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D03D6" w:rsidTr="003F45F8">
        <w:trPr>
          <w:trHeight w:val="851"/>
        </w:trPr>
        <w:tc>
          <w:tcPr>
            <w:tcW w:w="1259" w:type="dxa"/>
            <w:tcBorders>
              <w:top w:val="nil"/>
              <w:left w:val="nil"/>
              <w:bottom w:val="single" w:sz="4" w:space="0" w:color="auto"/>
              <w:right w:val="nil"/>
            </w:tcBorders>
          </w:tcPr>
          <w:p w:rsidR="00446DE4" w:rsidRPr="00DD03D6" w:rsidRDefault="00446DE4" w:rsidP="00473FF8">
            <w:pPr>
              <w:spacing w:after="80" w:line="340" w:lineRule="exact"/>
              <w:rPr>
                <w:noProof/>
                <w:lang w:val="fr-FR"/>
              </w:rPr>
            </w:pPr>
            <w:bookmarkStart w:id="0" w:name="_GoBack"/>
            <w:bookmarkEnd w:id="0"/>
          </w:p>
        </w:tc>
        <w:tc>
          <w:tcPr>
            <w:tcW w:w="2236" w:type="dxa"/>
            <w:tcBorders>
              <w:top w:val="nil"/>
              <w:left w:val="nil"/>
              <w:bottom w:val="single" w:sz="4" w:space="0" w:color="auto"/>
              <w:right w:val="nil"/>
            </w:tcBorders>
            <w:vAlign w:val="bottom"/>
          </w:tcPr>
          <w:p w:rsidR="00446DE4" w:rsidRPr="00DD03D6" w:rsidRDefault="00B3317B" w:rsidP="00473FF8">
            <w:pPr>
              <w:spacing w:after="80" w:line="340" w:lineRule="exact"/>
              <w:rPr>
                <w:noProof/>
                <w:sz w:val="28"/>
                <w:szCs w:val="28"/>
                <w:lang w:val="fr-FR"/>
              </w:rPr>
            </w:pPr>
            <w:r w:rsidRPr="00DD03D6">
              <w:rPr>
                <w:noProof/>
                <w:sz w:val="28"/>
                <w:szCs w:val="28"/>
                <w:lang w:val="fr-FR"/>
              </w:rPr>
              <w:t>Nations</w:t>
            </w:r>
            <w:r w:rsidR="00DD03D6" w:rsidRPr="00DD03D6">
              <w:rPr>
                <w:noProof/>
                <w:sz w:val="28"/>
                <w:szCs w:val="28"/>
                <w:lang w:val="fr-FR"/>
              </w:rPr>
              <w:t xml:space="preserve"> Unies</w:t>
            </w:r>
          </w:p>
        </w:tc>
        <w:tc>
          <w:tcPr>
            <w:tcW w:w="6144" w:type="dxa"/>
            <w:gridSpan w:val="2"/>
            <w:tcBorders>
              <w:top w:val="nil"/>
              <w:left w:val="nil"/>
              <w:bottom w:val="single" w:sz="4" w:space="0" w:color="auto"/>
              <w:right w:val="nil"/>
            </w:tcBorders>
            <w:vAlign w:val="bottom"/>
          </w:tcPr>
          <w:p w:rsidR="00446DE4" w:rsidRPr="00DD03D6" w:rsidRDefault="003F45F8" w:rsidP="003F45F8">
            <w:pPr>
              <w:jc w:val="right"/>
              <w:rPr>
                <w:noProof/>
                <w:lang w:val="fr-FR"/>
              </w:rPr>
            </w:pPr>
            <w:r w:rsidRPr="00DD03D6">
              <w:rPr>
                <w:noProof/>
                <w:sz w:val="40"/>
                <w:lang w:val="fr-FR"/>
              </w:rPr>
              <w:t>CRC</w:t>
            </w:r>
            <w:r w:rsidRPr="00DD03D6">
              <w:rPr>
                <w:noProof/>
                <w:lang w:val="fr-FR"/>
              </w:rPr>
              <w:t>/C/IRL/3-4</w:t>
            </w:r>
          </w:p>
        </w:tc>
      </w:tr>
      <w:tr w:rsidR="003107FA" w:rsidRPr="00DD03D6" w:rsidTr="003F45F8">
        <w:trPr>
          <w:trHeight w:val="2835"/>
        </w:trPr>
        <w:tc>
          <w:tcPr>
            <w:tcW w:w="1259" w:type="dxa"/>
            <w:tcBorders>
              <w:top w:val="single" w:sz="4" w:space="0" w:color="auto"/>
              <w:left w:val="nil"/>
              <w:bottom w:val="single" w:sz="12" w:space="0" w:color="auto"/>
              <w:right w:val="nil"/>
            </w:tcBorders>
          </w:tcPr>
          <w:p w:rsidR="003107FA" w:rsidRPr="00DD03D6" w:rsidRDefault="004B5700" w:rsidP="00942BE3">
            <w:pPr>
              <w:spacing w:before="120"/>
              <w:jc w:val="center"/>
              <w:rPr>
                <w:noProof/>
                <w:lang w:val="fr-FR"/>
              </w:rPr>
            </w:pPr>
            <w:r>
              <w:rPr>
                <w:noProof/>
                <w:lang w:val="en-US"/>
              </w:rPr>
              <w:drawing>
                <wp:inline distT="0" distB="0" distL="0" distR="0">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DD03D6" w:rsidRDefault="001E3807" w:rsidP="00DD03D6">
            <w:pPr>
              <w:spacing w:before="120" w:line="420" w:lineRule="exact"/>
              <w:rPr>
                <w:b/>
                <w:noProof/>
                <w:sz w:val="40"/>
                <w:szCs w:val="40"/>
                <w:lang w:val="fr-FR"/>
              </w:rPr>
            </w:pPr>
            <w:r w:rsidRPr="00DD03D6">
              <w:rPr>
                <w:b/>
                <w:noProof/>
                <w:sz w:val="40"/>
                <w:szCs w:val="40"/>
                <w:lang w:val="fr-FR"/>
              </w:rPr>
              <w:t xml:space="preserve">Convention </w:t>
            </w:r>
            <w:r w:rsidR="00DD03D6">
              <w:rPr>
                <w:b/>
                <w:noProof/>
                <w:sz w:val="40"/>
                <w:szCs w:val="40"/>
                <w:lang w:val="fr-FR"/>
              </w:rPr>
              <w:t>relative</w:t>
            </w:r>
            <w:r w:rsidRPr="00DD03D6">
              <w:rPr>
                <w:b/>
                <w:noProof/>
                <w:sz w:val="40"/>
                <w:szCs w:val="40"/>
                <w:lang w:val="fr-FR"/>
              </w:rPr>
              <w:br/>
            </w:r>
            <w:r w:rsidR="00DD03D6">
              <w:rPr>
                <w:b/>
                <w:noProof/>
                <w:sz w:val="40"/>
                <w:szCs w:val="40"/>
                <w:lang w:val="fr-FR"/>
              </w:rPr>
              <w:t xml:space="preserve">aux droits de l’enfant </w:t>
            </w:r>
          </w:p>
        </w:tc>
        <w:tc>
          <w:tcPr>
            <w:tcW w:w="2930" w:type="dxa"/>
            <w:tcBorders>
              <w:top w:val="single" w:sz="4" w:space="0" w:color="auto"/>
              <w:left w:val="nil"/>
              <w:bottom w:val="single" w:sz="12" w:space="0" w:color="auto"/>
              <w:right w:val="nil"/>
            </w:tcBorders>
          </w:tcPr>
          <w:p w:rsidR="003107FA" w:rsidRPr="00DD03D6" w:rsidRDefault="003F45F8" w:rsidP="003F45F8">
            <w:pPr>
              <w:spacing w:before="240" w:line="240" w:lineRule="exact"/>
              <w:rPr>
                <w:noProof/>
                <w:lang w:val="fr-FR"/>
              </w:rPr>
            </w:pPr>
            <w:r w:rsidRPr="00DD03D6">
              <w:rPr>
                <w:noProof/>
                <w:lang w:val="fr-FR"/>
              </w:rPr>
              <w:t xml:space="preserve">Distr.: </w:t>
            </w:r>
            <w:r w:rsidR="005A6325">
              <w:rPr>
                <w:noProof/>
                <w:lang w:val="fr-FR"/>
              </w:rPr>
              <w:t>g</w:t>
            </w:r>
            <w:r w:rsidR="00DD03D6" w:rsidRPr="00DD03D6">
              <w:rPr>
                <w:noProof/>
                <w:lang w:val="fr-FR"/>
              </w:rPr>
              <w:t>é</w:t>
            </w:r>
            <w:r w:rsidRPr="00DD03D6">
              <w:rPr>
                <w:noProof/>
                <w:lang w:val="fr-FR"/>
              </w:rPr>
              <w:t>n</w:t>
            </w:r>
            <w:r w:rsidR="00DD03D6" w:rsidRPr="00DD03D6">
              <w:rPr>
                <w:noProof/>
                <w:lang w:val="fr-FR"/>
              </w:rPr>
              <w:t>é</w:t>
            </w:r>
            <w:r w:rsidRPr="00DD03D6">
              <w:rPr>
                <w:noProof/>
                <w:lang w:val="fr-FR"/>
              </w:rPr>
              <w:t>ral</w:t>
            </w:r>
            <w:r w:rsidR="00DD03D6" w:rsidRPr="00DD03D6">
              <w:rPr>
                <w:noProof/>
                <w:lang w:val="fr-FR"/>
              </w:rPr>
              <w:t>e</w:t>
            </w:r>
          </w:p>
          <w:p w:rsidR="003F45F8" w:rsidRPr="00DD03D6" w:rsidRDefault="00AA6E4D" w:rsidP="003F45F8">
            <w:pPr>
              <w:spacing w:line="240" w:lineRule="exact"/>
              <w:rPr>
                <w:noProof/>
                <w:lang w:val="fr-FR"/>
              </w:rPr>
            </w:pPr>
            <w:r w:rsidRPr="00DD03D6">
              <w:rPr>
                <w:noProof/>
                <w:lang w:val="fr-FR"/>
              </w:rPr>
              <w:t xml:space="preserve">26 </w:t>
            </w:r>
            <w:r w:rsidR="00DD03D6">
              <w:rPr>
                <w:noProof/>
                <w:lang w:val="fr-FR"/>
              </w:rPr>
              <w:t xml:space="preserve">janvier </w:t>
            </w:r>
            <w:r w:rsidR="00FB3DAF" w:rsidRPr="00DD03D6">
              <w:rPr>
                <w:noProof/>
                <w:lang w:val="fr-FR"/>
              </w:rPr>
              <w:t>2015</w:t>
            </w:r>
          </w:p>
          <w:p w:rsidR="003F45F8" w:rsidRPr="00DD03D6" w:rsidRDefault="00DD03D6" w:rsidP="003F45F8">
            <w:pPr>
              <w:spacing w:line="240" w:lineRule="exact"/>
              <w:rPr>
                <w:noProof/>
                <w:lang w:val="fr-FR"/>
              </w:rPr>
            </w:pPr>
            <w:r>
              <w:rPr>
                <w:noProof/>
                <w:lang w:val="fr-FR"/>
              </w:rPr>
              <w:t>Français</w:t>
            </w:r>
          </w:p>
          <w:p w:rsidR="003F45F8" w:rsidRPr="00DD03D6" w:rsidRDefault="003F45F8" w:rsidP="005A6325">
            <w:pPr>
              <w:spacing w:line="240" w:lineRule="exact"/>
              <w:rPr>
                <w:noProof/>
                <w:lang w:val="fr-FR"/>
              </w:rPr>
            </w:pPr>
            <w:r w:rsidRPr="00DD03D6">
              <w:rPr>
                <w:noProof/>
                <w:lang w:val="fr-FR"/>
              </w:rPr>
              <w:t>Original</w:t>
            </w:r>
            <w:r w:rsidR="005A6325">
              <w:rPr>
                <w:noProof/>
                <w:lang w:val="fr-FR"/>
              </w:rPr>
              <w:t> </w:t>
            </w:r>
            <w:r w:rsidRPr="00DD03D6">
              <w:rPr>
                <w:noProof/>
                <w:lang w:val="fr-FR"/>
              </w:rPr>
              <w:t xml:space="preserve">: </w:t>
            </w:r>
            <w:r w:rsidR="00DD03D6">
              <w:rPr>
                <w:noProof/>
                <w:lang w:val="fr-FR"/>
              </w:rPr>
              <w:t xml:space="preserve">anglais </w:t>
            </w:r>
          </w:p>
        </w:tc>
      </w:tr>
    </w:tbl>
    <w:p w:rsidR="003F45F8" w:rsidRPr="00DD03D6" w:rsidRDefault="003F45F8" w:rsidP="003F45F8">
      <w:pPr>
        <w:spacing w:before="120"/>
        <w:rPr>
          <w:b/>
          <w:noProof/>
          <w:sz w:val="24"/>
          <w:szCs w:val="24"/>
          <w:lang w:val="fr-FR"/>
        </w:rPr>
      </w:pPr>
      <w:r w:rsidRPr="00DD03D6">
        <w:rPr>
          <w:b/>
          <w:noProof/>
          <w:sz w:val="24"/>
          <w:szCs w:val="24"/>
          <w:lang w:val="fr-FR"/>
        </w:rPr>
        <w:t>Com</w:t>
      </w:r>
      <w:r w:rsidR="00DD03D6">
        <w:rPr>
          <w:b/>
          <w:noProof/>
          <w:sz w:val="24"/>
          <w:szCs w:val="24"/>
          <w:lang w:val="fr-FR"/>
        </w:rPr>
        <w:t>ité des droits de l’enfant</w:t>
      </w:r>
      <w:r w:rsidR="00DD03D6" w:rsidRPr="00DD03D6">
        <w:rPr>
          <w:b/>
          <w:noProof/>
          <w:sz w:val="24"/>
          <w:szCs w:val="24"/>
          <w:lang w:val="fr-FR" w:eastAsia="zh-CN"/>
        </w:rPr>
        <w:t xml:space="preserve"> </w:t>
      </w:r>
    </w:p>
    <w:p w:rsidR="003F45F8" w:rsidRPr="00DD03D6" w:rsidRDefault="003F45F8" w:rsidP="00763D72">
      <w:pPr>
        <w:pStyle w:val="HMG"/>
        <w:rPr>
          <w:noProof/>
          <w:lang w:val="fr-FR"/>
        </w:rPr>
      </w:pPr>
      <w:r w:rsidRPr="00DD03D6">
        <w:rPr>
          <w:noProof/>
          <w:lang w:val="fr-FR"/>
        </w:rPr>
        <w:tab/>
      </w:r>
      <w:r w:rsidRPr="00DD03D6">
        <w:rPr>
          <w:noProof/>
          <w:lang w:val="fr-FR"/>
        </w:rPr>
        <w:tab/>
      </w:r>
      <w:r w:rsidR="004F217D" w:rsidRPr="004C620C">
        <w:rPr>
          <w:noProof/>
          <w:lang w:val="fr-FR"/>
        </w:rPr>
        <w:t>Examen des rapports soumis par les États parties en vertu de l’article 44 de la Convention</w:t>
      </w:r>
    </w:p>
    <w:p w:rsidR="003F45F8" w:rsidRPr="00DD03D6" w:rsidRDefault="003F45F8" w:rsidP="00673EDB">
      <w:pPr>
        <w:pStyle w:val="HChG"/>
        <w:rPr>
          <w:noProof/>
          <w:lang w:val="fr-FR"/>
        </w:rPr>
      </w:pPr>
      <w:r w:rsidRPr="00DD03D6">
        <w:rPr>
          <w:noProof/>
          <w:lang w:val="fr-FR"/>
        </w:rPr>
        <w:tab/>
      </w:r>
      <w:r w:rsidRPr="00DD03D6">
        <w:rPr>
          <w:noProof/>
          <w:lang w:val="fr-FR"/>
        </w:rPr>
        <w:tab/>
      </w:r>
      <w:r w:rsidR="004F217D">
        <w:rPr>
          <w:lang w:val="fr-FR"/>
        </w:rPr>
        <w:t>Troisième et quatrième rapports périodiques de l’Irlande attendus en </w:t>
      </w:r>
      <w:r w:rsidR="004F217D" w:rsidRPr="008E7D16">
        <w:rPr>
          <w:noProof/>
          <w:lang w:val="fr-FR"/>
        </w:rPr>
        <w:t>2009</w:t>
      </w:r>
      <w:r w:rsidR="004F217D">
        <w:rPr>
          <w:noProof/>
          <w:lang w:val="fr-FR"/>
        </w:rPr>
        <w:t xml:space="preserve"> </w:t>
      </w:r>
    </w:p>
    <w:p w:rsidR="003F45F8" w:rsidRPr="00DD03D6" w:rsidRDefault="003F45F8" w:rsidP="00763D72">
      <w:pPr>
        <w:pStyle w:val="HMG"/>
        <w:rPr>
          <w:noProof/>
          <w:lang w:val="fr-FR"/>
        </w:rPr>
      </w:pPr>
      <w:r w:rsidRPr="00DD03D6">
        <w:rPr>
          <w:noProof/>
          <w:lang w:val="fr-FR"/>
        </w:rPr>
        <w:tab/>
      </w:r>
      <w:r w:rsidRPr="00DD03D6">
        <w:rPr>
          <w:noProof/>
          <w:lang w:val="fr-FR"/>
        </w:rPr>
        <w:tab/>
      </w:r>
      <w:r w:rsidR="003915B7" w:rsidRPr="00DD03D6">
        <w:rPr>
          <w:noProof/>
          <w:lang w:val="fr-FR"/>
        </w:rPr>
        <w:t>Irland</w:t>
      </w:r>
      <w:r w:rsidR="004F217D">
        <w:rPr>
          <w:noProof/>
          <w:lang w:val="fr-FR"/>
        </w:rPr>
        <w:t>e</w:t>
      </w:r>
      <w:r w:rsidRPr="00DD03D6">
        <w:rPr>
          <w:rStyle w:val="Appelnotedebasdep"/>
          <w:b w:val="0"/>
          <w:bCs/>
          <w:noProof/>
          <w:sz w:val="20"/>
          <w:vertAlign w:val="baseline"/>
          <w:lang w:val="fr-FR"/>
        </w:rPr>
        <w:footnoteReference w:customMarkFollows="1" w:id="2"/>
        <w:t>*</w:t>
      </w:r>
      <w:r w:rsidRPr="00DD03D6">
        <w:rPr>
          <w:b w:val="0"/>
          <w:bCs/>
          <w:noProof/>
          <w:sz w:val="20"/>
          <w:lang w:val="fr-FR"/>
        </w:rPr>
        <w:t xml:space="preserve"> </w:t>
      </w:r>
      <w:r w:rsidRPr="00DD03D6">
        <w:rPr>
          <w:rStyle w:val="Appelnotedebasdep"/>
          <w:b w:val="0"/>
          <w:bCs/>
          <w:noProof/>
          <w:sz w:val="20"/>
          <w:vertAlign w:val="baseline"/>
          <w:lang w:val="fr-FR"/>
        </w:rPr>
        <w:footnoteReference w:customMarkFollows="1" w:id="3"/>
        <w:t>**</w:t>
      </w:r>
    </w:p>
    <w:p w:rsidR="003F45F8" w:rsidRPr="00DD03D6" w:rsidRDefault="003F45F8" w:rsidP="003F45F8">
      <w:pPr>
        <w:spacing w:after="120"/>
        <w:ind w:left="1134" w:right="1134"/>
        <w:jc w:val="right"/>
        <w:rPr>
          <w:noProof/>
          <w:lang w:val="fr-FR"/>
        </w:rPr>
      </w:pPr>
      <w:r w:rsidRPr="00DD03D6">
        <w:rPr>
          <w:noProof/>
          <w:lang w:val="fr-FR"/>
        </w:rPr>
        <w:t>[</w:t>
      </w:r>
      <w:r w:rsidR="004F217D" w:rsidRPr="008E7D16">
        <w:rPr>
          <w:noProof/>
          <w:lang w:val="fr-FR"/>
        </w:rPr>
        <w:t xml:space="preserve">Date </w:t>
      </w:r>
      <w:r w:rsidR="004F217D">
        <w:rPr>
          <w:noProof/>
          <w:lang w:val="fr-FR"/>
        </w:rPr>
        <w:t xml:space="preserve">de réception </w:t>
      </w:r>
      <w:r w:rsidR="00763D72" w:rsidRPr="00DD03D6">
        <w:rPr>
          <w:noProof/>
          <w:lang w:val="fr-FR"/>
        </w:rPr>
        <w:t xml:space="preserve">: </w:t>
      </w:r>
      <w:r w:rsidR="007A1674" w:rsidRPr="00DD03D6">
        <w:rPr>
          <w:noProof/>
          <w:lang w:val="fr-FR"/>
        </w:rPr>
        <w:t xml:space="preserve">13 </w:t>
      </w:r>
      <w:r w:rsidR="004F217D">
        <w:rPr>
          <w:noProof/>
          <w:lang w:val="fr-FR"/>
        </w:rPr>
        <w:t xml:space="preserve">août </w:t>
      </w:r>
      <w:r w:rsidR="007A1674" w:rsidRPr="00DD03D6">
        <w:rPr>
          <w:noProof/>
          <w:lang w:val="fr-FR"/>
        </w:rPr>
        <w:t>2013</w:t>
      </w:r>
      <w:r w:rsidRPr="00DD03D6">
        <w:rPr>
          <w:noProof/>
          <w:lang w:val="fr-FR"/>
        </w:rPr>
        <w:t>]</w:t>
      </w:r>
    </w:p>
    <w:p w:rsidR="003972E0" w:rsidRPr="00DD03D6" w:rsidRDefault="003F45F8" w:rsidP="003915B7">
      <w:pPr>
        <w:spacing w:after="120"/>
        <w:rPr>
          <w:noProof/>
          <w:sz w:val="28"/>
          <w:lang w:val="fr-FR"/>
        </w:rPr>
      </w:pPr>
      <w:r w:rsidRPr="00DD03D6">
        <w:rPr>
          <w:noProof/>
          <w:lang w:val="fr-FR"/>
        </w:rPr>
        <w:br w:type="page"/>
      </w:r>
      <w:r w:rsidR="004F217D">
        <w:rPr>
          <w:noProof/>
          <w:sz w:val="28"/>
          <w:lang w:val="fr-FR"/>
        </w:rPr>
        <w:lastRenderedPageBreak/>
        <w:t>Table des matières</w:t>
      </w:r>
      <w:r w:rsidR="000213B3" w:rsidRPr="00DD03D6">
        <w:rPr>
          <w:noProof/>
          <w:sz w:val="28"/>
          <w:lang w:val="fr-FR"/>
        </w:rPr>
        <w:t xml:space="preserve"> </w:t>
      </w:r>
    </w:p>
    <w:p w:rsidR="003915B7" w:rsidRPr="00DD03D6" w:rsidRDefault="003915B7" w:rsidP="003915B7">
      <w:pPr>
        <w:tabs>
          <w:tab w:val="right" w:pos="8929"/>
          <w:tab w:val="right" w:pos="9638"/>
        </w:tabs>
        <w:spacing w:after="120"/>
        <w:ind w:left="283"/>
        <w:rPr>
          <w:noProof/>
          <w:lang w:val="fr-FR"/>
        </w:rPr>
      </w:pPr>
      <w:r w:rsidRPr="00DD03D6">
        <w:rPr>
          <w:i/>
          <w:noProof/>
          <w:sz w:val="18"/>
          <w:lang w:val="fr-FR"/>
        </w:rPr>
        <w:tab/>
        <w:t>Paragraph</w:t>
      </w:r>
      <w:r w:rsidR="004F217D">
        <w:rPr>
          <w:i/>
          <w:noProof/>
          <w:sz w:val="18"/>
          <w:lang w:val="fr-FR"/>
        </w:rPr>
        <w:t>e</w:t>
      </w:r>
      <w:r w:rsidRPr="00DD03D6">
        <w:rPr>
          <w:i/>
          <w:noProof/>
          <w:sz w:val="18"/>
          <w:lang w:val="fr-FR"/>
        </w:rPr>
        <w:t>s</w:t>
      </w:r>
      <w:r w:rsidRPr="00DD03D6">
        <w:rPr>
          <w:i/>
          <w:noProof/>
          <w:sz w:val="18"/>
          <w:lang w:val="fr-FR"/>
        </w:rPr>
        <w:tab/>
        <w:t>Page</w:t>
      </w:r>
    </w:p>
    <w:p w:rsidR="003915B7" w:rsidRPr="00DD03D6" w:rsidRDefault="00FD44C2"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Acronym</w:t>
      </w:r>
      <w:r w:rsidR="004F217D">
        <w:rPr>
          <w:noProof/>
          <w:lang w:val="fr-FR"/>
        </w:rPr>
        <w:t>e</w:t>
      </w:r>
      <w:r w:rsidR="003915B7" w:rsidRPr="00DD03D6">
        <w:rPr>
          <w:noProof/>
          <w:lang w:val="fr-FR"/>
        </w:rPr>
        <w:t>s</w:t>
      </w:r>
      <w:r w:rsidR="003915B7" w:rsidRPr="00DD03D6">
        <w:rPr>
          <w:noProof/>
          <w:lang w:val="fr-FR"/>
        </w:rPr>
        <w:tab/>
      </w:r>
      <w:r w:rsidRPr="00DD03D6">
        <w:rPr>
          <w:noProof/>
          <w:lang w:val="fr-FR"/>
        </w:rPr>
        <w:tab/>
      </w:r>
      <w:r w:rsidRPr="00DD03D6">
        <w:rPr>
          <w:noProof/>
          <w:lang w:val="fr-FR"/>
        </w:rPr>
        <w:tab/>
      </w:r>
      <w:r w:rsidR="00A8409B" w:rsidRPr="00DD03D6">
        <w:rPr>
          <w:noProof/>
          <w:lang w:val="fr-FR"/>
        </w:rPr>
        <w:t>5</w:t>
      </w:r>
    </w:p>
    <w:p w:rsidR="003915B7" w:rsidRPr="00DD03D6" w:rsidRDefault="00FD44C2"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A8409B" w:rsidRPr="00DD03D6">
        <w:rPr>
          <w:noProof/>
          <w:lang w:val="fr-FR"/>
        </w:rPr>
        <w:t>List</w:t>
      </w:r>
      <w:r w:rsidR="004F217D">
        <w:rPr>
          <w:noProof/>
          <w:lang w:val="fr-FR"/>
        </w:rPr>
        <w:t>e</w:t>
      </w:r>
      <w:r w:rsidR="00A8409B" w:rsidRPr="00DD03D6">
        <w:rPr>
          <w:noProof/>
          <w:lang w:val="fr-FR"/>
        </w:rPr>
        <w:t xml:space="preserve"> </w:t>
      </w:r>
      <w:r w:rsidR="004F217D">
        <w:rPr>
          <w:noProof/>
          <w:lang w:val="fr-FR"/>
        </w:rPr>
        <w:t>des</w:t>
      </w:r>
      <w:r w:rsidR="00A8409B" w:rsidRPr="00DD03D6">
        <w:rPr>
          <w:noProof/>
          <w:lang w:val="fr-FR"/>
        </w:rPr>
        <w:t xml:space="preserve"> t</w:t>
      </w:r>
      <w:r w:rsidR="003915B7" w:rsidRPr="00DD03D6">
        <w:rPr>
          <w:noProof/>
          <w:lang w:val="fr-FR"/>
        </w:rPr>
        <w:t>able</w:t>
      </w:r>
      <w:r w:rsidR="004F217D">
        <w:rPr>
          <w:noProof/>
          <w:lang w:val="fr-FR"/>
        </w:rPr>
        <w:t>aux</w:t>
      </w:r>
      <w:r w:rsidR="003915B7" w:rsidRPr="00DD03D6">
        <w:rPr>
          <w:noProof/>
          <w:lang w:val="fr-FR"/>
        </w:rPr>
        <w:tab/>
      </w:r>
      <w:r w:rsidRPr="00DD03D6">
        <w:rPr>
          <w:noProof/>
          <w:lang w:val="fr-FR"/>
        </w:rPr>
        <w:tab/>
      </w:r>
      <w:r w:rsidRPr="00DD03D6">
        <w:rPr>
          <w:noProof/>
          <w:lang w:val="fr-FR"/>
        </w:rPr>
        <w:tab/>
      </w:r>
      <w:r w:rsidR="002C0F88">
        <w:rPr>
          <w:noProof/>
          <w:lang w:val="fr-FR"/>
        </w:rPr>
        <w:t>6</w:t>
      </w:r>
    </w:p>
    <w:p w:rsidR="005C65F0" w:rsidRPr="00DD03D6" w:rsidRDefault="005C65F0" w:rsidP="00352749">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4F217D">
        <w:rPr>
          <w:noProof/>
          <w:lang w:val="fr-FR"/>
        </w:rPr>
        <w:t>Avant-propos du Ministre</w:t>
      </w:r>
      <w:r w:rsidRPr="00DD03D6">
        <w:rPr>
          <w:noProof/>
          <w:lang w:val="fr-FR"/>
        </w:rPr>
        <w:tab/>
      </w:r>
      <w:r w:rsidRPr="00DD03D6">
        <w:rPr>
          <w:noProof/>
          <w:lang w:val="fr-FR"/>
        </w:rPr>
        <w:tab/>
        <w:t>1–4</w:t>
      </w:r>
      <w:r w:rsidRPr="00DD03D6">
        <w:rPr>
          <w:noProof/>
          <w:lang w:val="fr-FR"/>
        </w:rPr>
        <w:tab/>
      </w:r>
      <w:r w:rsidR="002C0F88">
        <w:rPr>
          <w:noProof/>
          <w:lang w:val="fr-FR"/>
        </w:rPr>
        <w:t>7</w:t>
      </w:r>
    </w:p>
    <w:p w:rsidR="005C65F0" w:rsidRPr="00DD03D6" w:rsidRDefault="005C65F0" w:rsidP="005C65F0">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4F217D">
        <w:rPr>
          <w:noProof/>
          <w:lang w:val="fr-FR"/>
        </w:rPr>
        <w:t>Remerciement</w:t>
      </w:r>
      <w:r w:rsidRPr="00DD03D6">
        <w:rPr>
          <w:noProof/>
          <w:lang w:val="fr-FR"/>
        </w:rPr>
        <w:t>s</w:t>
      </w:r>
      <w:r w:rsidRPr="00DD03D6">
        <w:rPr>
          <w:noProof/>
          <w:lang w:val="fr-FR"/>
        </w:rPr>
        <w:tab/>
      </w:r>
      <w:r w:rsidRPr="00DD03D6">
        <w:rPr>
          <w:noProof/>
          <w:lang w:val="fr-FR"/>
        </w:rPr>
        <w:tab/>
        <w:t>5</w:t>
      </w:r>
      <w:r w:rsidRPr="00DD03D6">
        <w:rPr>
          <w:noProof/>
          <w:lang w:val="fr-FR"/>
        </w:rPr>
        <w:tab/>
      </w:r>
      <w:r w:rsidR="002C0F88">
        <w:rPr>
          <w:noProof/>
          <w:lang w:val="fr-FR"/>
        </w:rPr>
        <w:t>7</w:t>
      </w:r>
    </w:p>
    <w:p w:rsidR="003915B7" w:rsidRPr="00DD03D6" w:rsidRDefault="00FD44C2"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Introduction</w:t>
      </w:r>
      <w:r w:rsidR="003915B7" w:rsidRPr="00DD03D6">
        <w:rPr>
          <w:noProof/>
          <w:lang w:val="fr-FR"/>
        </w:rPr>
        <w:tab/>
      </w:r>
      <w:r w:rsidRPr="00DD03D6">
        <w:rPr>
          <w:noProof/>
          <w:lang w:val="fr-FR"/>
        </w:rPr>
        <w:tab/>
      </w:r>
      <w:r w:rsidR="005C65F0" w:rsidRPr="00DD03D6">
        <w:rPr>
          <w:noProof/>
          <w:lang w:val="fr-FR"/>
        </w:rPr>
        <w:t>6–</w:t>
      </w:r>
      <w:r w:rsidR="00190874" w:rsidRPr="00DD03D6">
        <w:rPr>
          <w:noProof/>
          <w:lang w:val="fr-FR"/>
        </w:rPr>
        <w:t>196</w:t>
      </w:r>
      <w:r w:rsidRPr="00DD03D6">
        <w:rPr>
          <w:noProof/>
          <w:lang w:val="fr-FR"/>
        </w:rPr>
        <w:tab/>
      </w:r>
      <w:r w:rsidR="005C65F0" w:rsidRPr="00DD03D6">
        <w:rPr>
          <w:noProof/>
          <w:lang w:val="fr-FR"/>
        </w:rPr>
        <w:t>8</w:t>
      </w:r>
    </w:p>
    <w:p w:rsidR="003915B7" w:rsidRPr="00DD03D6" w:rsidRDefault="00335EF7" w:rsidP="00352749">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00F94730" w:rsidRPr="00DD03D6">
        <w:rPr>
          <w:noProof/>
          <w:lang w:val="fr-FR"/>
        </w:rPr>
        <w:t>I</w:t>
      </w:r>
      <w:r w:rsidR="003915B7" w:rsidRPr="00DD03D6">
        <w:rPr>
          <w:noProof/>
          <w:lang w:val="fr-FR"/>
        </w:rPr>
        <w:t>.</w:t>
      </w:r>
      <w:r w:rsidR="003915B7" w:rsidRPr="00DD03D6">
        <w:rPr>
          <w:noProof/>
          <w:lang w:val="fr-FR"/>
        </w:rPr>
        <w:tab/>
      </w:r>
      <w:r w:rsidR="004F217D">
        <w:rPr>
          <w:noProof/>
          <w:lang w:val="fr-FR"/>
        </w:rPr>
        <w:t>Mesures d’application générales</w:t>
      </w:r>
      <w:r w:rsidR="003915B7" w:rsidRPr="00DD03D6">
        <w:rPr>
          <w:noProof/>
          <w:lang w:val="fr-FR"/>
        </w:rPr>
        <w:tab/>
      </w:r>
      <w:r w:rsidRPr="00DD03D6">
        <w:rPr>
          <w:noProof/>
          <w:lang w:val="fr-FR"/>
        </w:rPr>
        <w:tab/>
      </w:r>
      <w:r w:rsidR="00F94730" w:rsidRPr="00DD03D6">
        <w:rPr>
          <w:noProof/>
          <w:lang w:val="fr-FR"/>
        </w:rPr>
        <w:t>197</w:t>
      </w:r>
      <w:r w:rsidR="009E6BDD" w:rsidRPr="00DD03D6">
        <w:rPr>
          <w:noProof/>
          <w:lang w:val="fr-FR"/>
        </w:rPr>
        <w:t>–264</w:t>
      </w:r>
      <w:r w:rsidRPr="00DD03D6">
        <w:rPr>
          <w:noProof/>
          <w:lang w:val="fr-FR"/>
        </w:rPr>
        <w:tab/>
      </w:r>
      <w:r w:rsidR="002C0F88">
        <w:rPr>
          <w:noProof/>
          <w:lang w:val="fr-FR"/>
        </w:rPr>
        <w:t>40</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A.</w:t>
      </w:r>
      <w:r w:rsidR="003915B7" w:rsidRPr="00DD03D6">
        <w:rPr>
          <w:noProof/>
          <w:lang w:val="fr-FR"/>
        </w:rPr>
        <w:tab/>
        <w:t>Me</w:t>
      </w:r>
      <w:r w:rsidR="004F217D">
        <w:rPr>
          <w:noProof/>
          <w:lang w:val="fr-FR"/>
        </w:rPr>
        <w:t>sures prises pour harmoniser la législation et l</w:t>
      </w:r>
      <w:r w:rsidR="007B73D6">
        <w:rPr>
          <w:noProof/>
          <w:lang w:val="fr-FR"/>
        </w:rPr>
        <w:t>es</w:t>
      </w:r>
      <w:r w:rsidR="004F217D">
        <w:rPr>
          <w:noProof/>
          <w:lang w:val="fr-FR"/>
        </w:rPr>
        <w:t xml:space="preserve"> politique</w:t>
      </w:r>
      <w:r w:rsidR="007B73D6">
        <w:rPr>
          <w:noProof/>
          <w:lang w:val="fr-FR"/>
        </w:rPr>
        <w:t>s</w:t>
      </w:r>
      <w:r w:rsidR="004F217D">
        <w:rPr>
          <w:noProof/>
          <w:lang w:val="fr-FR"/>
        </w:rPr>
        <w:t xml:space="preserve"> nationales avec</w:t>
      </w:r>
      <w:r w:rsidRPr="00DD03D6">
        <w:rPr>
          <w:noProof/>
          <w:lang w:val="fr-FR"/>
        </w:rPr>
        <w:br/>
      </w:r>
      <w:r w:rsidRPr="00DD03D6">
        <w:rPr>
          <w:noProof/>
          <w:lang w:val="fr-FR"/>
        </w:rPr>
        <w:tab/>
      </w:r>
      <w:r w:rsidRPr="00DD03D6">
        <w:rPr>
          <w:noProof/>
          <w:lang w:val="fr-FR"/>
        </w:rPr>
        <w:tab/>
      </w:r>
      <w:r w:rsidRPr="00DD03D6">
        <w:rPr>
          <w:noProof/>
          <w:lang w:val="fr-FR"/>
        </w:rPr>
        <w:tab/>
      </w:r>
      <w:r w:rsidR="004F217D">
        <w:rPr>
          <w:noProof/>
          <w:lang w:val="fr-FR"/>
        </w:rPr>
        <w:t xml:space="preserve">les dispositions de la </w:t>
      </w:r>
      <w:r w:rsidR="003915B7" w:rsidRPr="00DD03D6">
        <w:rPr>
          <w:noProof/>
          <w:lang w:val="fr-FR"/>
        </w:rPr>
        <w:t xml:space="preserve">Convention </w:t>
      </w:r>
      <w:r w:rsidR="006773E9">
        <w:rPr>
          <w:noProof/>
          <w:lang w:val="fr-FR"/>
        </w:rPr>
        <w:t>e</w:t>
      </w:r>
      <w:r w:rsidR="00AB408C">
        <w:rPr>
          <w:noProof/>
          <w:lang w:val="fr-FR"/>
        </w:rPr>
        <w:t>t</w:t>
      </w:r>
      <w:r w:rsidR="006773E9">
        <w:rPr>
          <w:noProof/>
          <w:lang w:val="fr-FR"/>
        </w:rPr>
        <w:t xml:space="preserve"> des </w:t>
      </w:r>
      <w:r w:rsidR="003915B7" w:rsidRPr="00DD03D6">
        <w:rPr>
          <w:noProof/>
          <w:lang w:val="fr-FR"/>
        </w:rPr>
        <w:t>Protocol</w:t>
      </w:r>
      <w:r w:rsidR="006773E9">
        <w:rPr>
          <w:noProof/>
          <w:lang w:val="fr-FR"/>
        </w:rPr>
        <w:t>e</w:t>
      </w:r>
      <w:r w:rsidR="003915B7" w:rsidRPr="00DD03D6">
        <w:rPr>
          <w:noProof/>
          <w:lang w:val="fr-FR"/>
        </w:rPr>
        <w:t>s</w:t>
      </w:r>
      <w:r w:rsidR="006773E9">
        <w:rPr>
          <w:noProof/>
          <w:lang w:val="fr-FR"/>
        </w:rPr>
        <w:t xml:space="preserve"> facultatifs</w:t>
      </w:r>
      <w:r w:rsidR="007B73D6">
        <w:rPr>
          <w:noProof/>
          <w:lang w:val="fr-FR"/>
        </w:rPr>
        <w:t xml:space="preserve"> s’y rapportant</w:t>
      </w:r>
      <w:r w:rsidR="003915B7" w:rsidRPr="00DD03D6">
        <w:rPr>
          <w:noProof/>
          <w:lang w:val="fr-FR"/>
        </w:rPr>
        <w:tab/>
      </w:r>
      <w:r w:rsidRPr="00DD03D6">
        <w:rPr>
          <w:noProof/>
          <w:lang w:val="fr-FR"/>
        </w:rPr>
        <w:tab/>
      </w:r>
      <w:r w:rsidR="0009434A" w:rsidRPr="00DD03D6">
        <w:rPr>
          <w:noProof/>
          <w:lang w:val="fr-FR"/>
        </w:rPr>
        <w:t>198–</w:t>
      </w:r>
      <w:r w:rsidR="00BD47FC" w:rsidRPr="00DD03D6">
        <w:rPr>
          <w:noProof/>
          <w:lang w:val="fr-FR"/>
        </w:rPr>
        <w:t>213</w:t>
      </w:r>
      <w:r w:rsidRPr="00DD03D6">
        <w:rPr>
          <w:noProof/>
          <w:lang w:val="fr-FR"/>
        </w:rPr>
        <w:tab/>
      </w:r>
      <w:r w:rsidR="002C0F88">
        <w:rPr>
          <w:noProof/>
          <w:lang w:val="fr-FR"/>
        </w:rPr>
        <w:t>41</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B.</w:t>
      </w:r>
      <w:r w:rsidR="003915B7" w:rsidRPr="00DD03D6">
        <w:rPr>
          <w:noProof/>
          <w:lang w:val="fr-FR"/>
        </w:rPr>
        <w:tab/>
      </w:r>
      <w:r w:rsidR="006773E9">
        <w:rPr>
          <w:noProof/>
          <w:lang w:val="fr-FR"/>
        </w:rPr>
        <w:t xml:space="preserve">Dispositions prises pour </w:t>
      </w:r>
      <w:r w:rsidR="003915B7" w:rsidRPr="00DD03D6">
        <w:rPr>
          <w:noProof/>
          <w:lang w:val="fr-FR"/>
        </w:rPr>
        <w:t>adopt</w:t>
      </w:r>
      <w:r w:rsidR="006773E9">
        <w:rPr>
          <w:noProof/>
          <w:lang w:val="fr-FR"/>
        </w:rPr>
        <w:t>er et appliquer une Stratégie nationale globale</w:t>
      </w:r>
      <w:r w:rsidRPr="00DD03D6">
        <w:rPr>
          <w:noProof/>
          <w:lang w:val="fr-FR"/>
        </w:rPr>
        <w:br/>
      </w:r>
      <w:r w:rsidRPr="00DD03D6">
        <w:rPr>
          <w:noProof/>
          <w:lang w:val="fr-FR"/>
        </w:rPr>
        <w:tab/>
      </w:r>
      <w:r w:rsidRPr="00DD03D6">
        <w:rPr>
          <w:noProof/>
          <w:lang w:val="fr-FR"/>
        </w:rPr>
        <w:tab/>
      </w:r>
      <w:r w:rsidRPr="00DD03D6">
        <w:rPr>
          <w:noProof/>
          <w:lang w:val="fr-FR"/>
        </w:rPr>
        <w:tab/>
      </w:r>
      <w:r w:rsidR="006773E9">
        <w:rPr>
          <w:noProof/>
          <w:lang w:val="fr-FR"/>
        </w:rPr>
        <w:t xml:space="preserve">en faveur des enfants dans le cadre de la </w:t>
      </w:r>
      <w:r w:rsidR="003915B7" w:rsidRPr="00DD03D6">
        <w:rPr>
          <w:noProof/>
          <w:lang w:val="fr-FR"/>
        </w:rPr>
        <w:t>Convention</w:t>
      </w:r>
      <w:r w:rsidR="003915B7" w:rsidRPr="00DD03D6">
        <w:rPr>
          <w:noProof/>
          <w:lang w:val="fr-FR"/>
        </w:rPr>
        <w:tab/>
      </w:r>
      <w:r w:rsidRPr="00DD03D6">
        <w:rPr>
          <w:noProof/>
          <w:lang w:val="fr-FR"/>
        </w:rPr>
        <w:tab/>
      </w:r>
      <w:r w:rsidR="00BD47FC" w:rsidRPr="00DD03D6">
        <w:rPr>
          <w:noProof/>
          <w:lang w:val="fr-FR"/>
        </w:rPr>
        <w:t>214–</w:t>
      </w:r>
      <w:r w:rsidR="00C01394" w:rsidRPr="00DD03D6">
        <w:rPr>
          <w:noProof/>
          <w:lang w:val="fr-FR"/>
        </w:rPr>
        <w:t>217</w:t>
      </w:r>
      <w:r w:rsidRPr="00DD03D6">
        <w:rPr>
          <w:noProof/>
          <w:lang w:val="fr-FR"/>
        </w:rPr>
        <w:tab/>
      </w:r>
      <w:r w:rsidR="00BD47FC" w:rsidRPr="00DD03D6">
        <w:rPr>
          <w:noProof/>
          <w:lang w:val="fr-FR"/>
        </w:rPr>
        <w:t>4</w:t>
      </w:r>
      <w:r w:rsidR="002C0F88">
        <w:rPr>
          <w:noProof/>
          <w:lang w:val="fr-FR"/>
        </w:rPr>
        <w:t>6</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C.</w:t>
      </w:r>
      <w:r w:rsidR="003915B7" w:rsidRPr="00DD03D6">
        <w:rPr>
          <w:noProof/>
          <w:lang w:val="fr-FR"/>
        </w:rPr>
        <w:tab/>
        <w:t xml:space="preserve">Coordination </w:t>
      </w:r>
      <w:r w:rsidR="006773E9">
        <w:rPr>
          <w:noProof/>
          <w:lang w:val="fr-FR"/>
        </w:rPr>
        <w:t xml:space="preserve">de l’application de la </w:t>
      </w:r>
      <w:r w:rsidR="003915B7" w:rsidRPr="00DD03D6">
        <w:rPr>
          <w:noProof/>
          <w:lang w:val="fr-FR"/>
        </w:rPr>
        <w:t xml:space="preserve">Convention </w:t>
      </w:r>
      <w:r w:rsidR="006773E9">
        <w:rPr>
          <w:noProof/>
          <w:lang w:val="fr-FR"/>
        </w:rPr>
        <w:t>et de</w:t>
      </w:r>
      <w:r w:rsidR="00DB79DD">
        <w:rPr>
          <w:noProof/>
          <w:lang w:val="fr-FR"/>
        </w:rPr>
        <w:t>s</w:t>
      </w:r>
      <w:r w:rsidR="006773E9">
        <w:rPr>
          <w:noProof/>
          <w:lang w:val="fr-FR"/>
        </w:rPr>
        <w:t xml:space="preserve"> </w:t>
      </w:r>
      <w:r w:rsidRPr="00DD03D6">
        <w:rPr>
          <w:noProof/>
          <w:lang w:val="fr-FR"/>
        </w:rPr>
        <w:br/>
      </w:r>
      <w:r w:rsidRPr="00DD03D6">
        <w:rPr>
          <w:noProof/>
          <w:lang w:val="fr-FR"/>
        </w:rPr>
        <w:tab/>
      </w:r>
      <w:r w:rsidRPr="00DD03D6">
        <w:rPr>
          <w:noProof/>
          <w:lang w:val="fr-FR"/>
        </w:rPr>
        <w:tab/>
      </w:r>
      <w:r w:rsidRPr="00DD03D6">
        <w:rPr>
          <w:noProof/>
          <w:lang w:val="fr-FR"/>
        </w:rPr>
        <w:tab/>
      </w:r>
      <w:r w:rsidR="003915B7" w:rsidRPr="00DD03D6">
        <w:rPr>
          <w:noProof/>
          <w:lang w:val="fr-FR"/>
        </w:rPr>
        <w:t>Protocol</w:t>
      </w:r>
      <w:r w:rsidR="006773E9">
        <w:rPr>
          <w:noProof/>
          <w:lang w:val="fr-FR"/>
        </w:rPr>
        <w:t>e</w:t>
      </w:r>
      <w:r w:rsidR="003915B7" w:rsidRPr="00DD03D6">
        <w:rPr>
          <w:noProof/>
          <w:lang w:val="fr-FR"/>
        </w:rPr>
        <w:t>s</w:t>
      </w:r>
      <w:r w:rsidR="006773E9">
        <w:rPr>
          <w:noProof/>
          <w:lang w:val="fr-FR"/>
        </w:rPr>
        <w:t xml:space="preserve"> facultatifs</w:t>
      </w:r>
      <w:r w:rsidR="00DB79DD">
        <w:rPr>
          <w:noProof/>
          <w:lang w:val="fr-FR"/>
        </w:rPr>
        <w:t xml:space="preserve"> s’y rapportant</w:t>
      </w:r>
      <w:r w:rsidR="003915B7" w:rsidRPr="00DD03D6">
        <w:rPr>
          <w:noProof/>
          <w:lang w:val="fr-FR"/>
        </w:rPr>
        <w:tab/>
      </w:r>
      <w:r w:rsidRPr="00DD03D6">
        <w:rPr>
          <w:noProof/>
          <w:lang w:val="fr-FR"/>
        </w:rPr>
        <w:tab/>
      </w:r>
      <w:r w:rsidR="00C01394" w:rsidRPr="00DD03D6">
        <w:rPr>
          <w:noProof/>
          <w:lang w:val="fr-FR"/>
        </w:rPr>
        <w:t>218–</w:t>
      </w:r>
      <w:r w:rsidR="0039374D" w:rsidRPr="00DD03D6">
        <w:rPr>
          <w:noProof/>
          <w:lang w:val="fr-FR"/>
        </w:rPr>
        <w:t>226</w:t>
      </w:r>
      <w:r w:rsidRPr="00DD03D6">
        <w:rPr>
          <w:noProof/>
          <w:lang w:val="fr-FR"/>
        </w:rPr>
        <w:tab/>
      </w:r>
      <w:r w:rsidR="002C0F88">
        <w:rPr>
          <w:noProof/>
          <w:lang w:val="fr-FR"/>
        </w:rPr>
        <w:t>47</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D.</w:t>
      </w:r>
      <w:r w:rsidR="003915B7" w:rsidRPr="00DD03D6">
        <w:rPr>
          <w:noProof/>
          <w:lang w:val="fr-FR"/>
        </w:rPr>
        <w:tab/>
      </w:r>
      <w:r w:rsidR="006773E9">
        <w:rPr>
          <w:noProof/>
          <w:lang w:val="fr-FR"/>
        </w:rPr>
        <w:t xml:space="preserve">Affectation de crédits budgétaires à l’application de la </w:t>
      </w:r>
      <w:r w:rsidR="003915B7" w:rsidRPr="00DD03D6">
        <w:rPr>
          <w:noProof/>
          <w:lang w:val="fr-FR"/>
        </w:rPr>
        <w:t>Convention</w:t>
      </w:r>
      <w:r w:rsidR="006773E9">
        <w:rPr>
          <w:noProof/>
          <w:lang w:val="fr-FR"/>
        </w:rPr>
        <w:t xml:space="preserve"> et des</w:t>
      </w:r>
      <w:r w:rsidRPr="00DD03D6">
        <w:rPr>
          <w:noProof/>
          <w:lang w:val="fr-FR"/>
        </w:rPr>
        <w:br/>
      </w:r>
      <w:r w:rsidRPr="00DD03D6">
        <w:rPr>
          <w:noProof/>
          <w:lang w:val="fr-FR"/>
        </w:rPr>
        <w:tab/>
      </w:r>
      <w:r w:rsidRPr="00DD03D6">
        <w:rPr>
          <w:noProof/>
          <w:lang w:val="fr-FR"/>
        </w:rPr>
        <w:tab/>
      </w:r>
      <w:r w:rsidRPr="00DD03D6">
        <w:rPr>
          <w:noProof/>
          <w:lang w:val="fr-FR"/>
        </w:rPr>
        <w:tab/>
      </w:r>
      <w:r w:rsidR="003915B7" w:rsidRPr="00DD03D6">
        <w:rPr>
          <w:noProof/>
          <w:lang w:val="fr-FR"/>
        </w:rPr>
        <w:t>Protocol</w:t>
      </w:r>
      <w:r w:rsidR="006773E9">
        <w:rPr>
          <w:noProof/>
          <w:lang w:val="fr-FR"/>
        </w:rPr>
        <w:t>e</w:t>
      </w:r>
      <w:r w:rsidR="003915B7" w:rsidRPr="00DD03D6">
        <w:rPr>
          <w:noProof/>
          <w:lang w:val="fr-FR"/>
        </w:rPr>
        <w:t>s</w:t>
      </w:r>
      <w:r w:rsidR="006773E9">
        <w:rPr>
          <w:noProof/>
          <w:lang w:val="fr-FR"/>
        </w:rPr>
        <w:t xml:space="preserve"> facultatifs</w:t>
      </w:r>
      <w:r w:rsidR="00DB79DD">
        <w:rPr>
          <w:noProof/>
          <w:lang w:val="fr-FR"/>
        </w:rPr>
        <w:t xml:space="preserve"> s’y rapportant</w:t>
      </w:r>
      <w:r w:rsidR="003915B7" w:rsidRPr="00DD03D6">
        <w:rPr>
          <w:noProof/>
          <w:lang w:val="fr-FR"/>
        </w:rPr>
        <w:tab/>
      </w:r>
      <w:r w:rsidRPr="00DD03D6">
        <w:rPr>
          <w:noProof/>
          <w:lang w:val="fr-FR"/>
        </w:rPr>
        <w:tab/>
      </w:r>
      <w:r w:rsidR="0039374D" w:rsidRPr="00DD03D6">
        <w:rPr>
          <w:noProof/>
          <w:lang w:val="fr-FR"/>
        </w:rPr>
        <w:t>227–228</w:t>
      </w:r>
      <w:r w:rsidRPr="00DD03D6">
        <w:rPr>
          <w:noProof/>
          <w:lang w:val="fr-FR"/>
        </w:rPr>
        <w:tab/>
      </w:r>
      <w:r w:rsidR="002C0F88">
        <w:rPr>
          <w:noProof/>
          <w:lang w:val="fr-FR"/>
        </w:rPr>
        <w:t>50</w:t>
      </w:r>
    </w:p>
    <w:p w:rsidR="003915B7" w:rsidRPr="00DD03D6" w:rsidRDefault="00335EF7" w:rsidP="00487473">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E.</w:t>
      </w:r>
      <w:r w:rsidR="003915B7" w:rsidRPr="00DD03D6">
        <w:rPr>
          <w:noProof/>
          <w:lang w:val="fr-FR"/>
        </w:rPr>
        <w:tab/>
      </w:r>
      <w:r w:rsidR="006773E9">
        <w:rPr>
          <w:noProof/>
          <w:lang w:val="fr-FR"/>
        </w:rPr>
        <w:t>Assistance i</w:t>
      </w:r>
      <w:r w:rsidR="003915B7" w:rsidRPr="00DD03D6">
        <w:rPr>
          <w:noProof/>
          <w:lang w:val="fr-FR"/>
        </w:rPr>
        <w:t>nternational</w:t>
      </w:r>
      <w:r w:rsidR="006773E9">
        <w:rPr>
          <w:noProof/>
          <w:lang w:val="fr-FR"/>
        </w:rPr>
        <w:t xml:space="preserve">e et aide au développement en ce qui concerne </w:t>
      </w:r>
      <w:r w:rsidR="00487473">
        <w:rPr>
          <w:noProof/>
          <w:lang w:val="fr-FR"/>
        </w:rPr>
        <w:br/>
      </w:r>
      <w:r w:rsidR="006773E9">
        <w:rPr>
          <w:noProof/>
          <w:lang w:val="fr-FR"/>
        </w:rPr>
        <w:t xml:space="preserve">la Convention </w:t>
      </w:r>
      <w:r w:rsidRPr="00DD03D6">
        <w:rPr>
          <w:noProof/>
          <w:lang w:val="fr-FR"/>
        </w:rPr>
        <w:tab/>
      </w:r>
      <w:r w:rsidR="00487473">
        <w:rPr>
          <w:noProof/>
          <w:lang w:val="fr-FR"/>
        </w:rPr>
        <w:tab/>
      </w:r>
      <w:r w:rsidR="0039374D" w:rsidRPr="00DD03D6">
        <w:rPr>
          <w:noProof/>
          <w:lang w:val="fr-FR"/>
        </w:rPr>
        <w:t>229–239</w:t>
      </w:r>
      <w:r w:rsidRPr="00DD03D6">
        <w:rPr>
          <w:noProof/>
          <w:lang w:val="fr-FR"/>
        </w:rPr>
        <w:tab/>
      </w:r>
      <w:r w:rsidR="002C0F88">
        <w:rPr>
          <w:noProof/>
          <w:lang w:val="fr-FR"/>
        </w:rPr>
        <w:t>51</w:t>
      </w:r>
    </w:p>
    <w:p w:rsidR="003915B7" w:rsidRPr="00DD03D6" w:rsidRDefault="00335EF7" w:rsidP="00352749">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F.</w:t>
      </w:r>
      <w:r w:rsidR="003915B7" w:rsidRPr="00DD03D6">
        <w:rPr>
          <w:noProof/>
          <w:lang w:val="fr-FR"/>
        </w:rPr>
        <w:tab/>
      </w:r>
      <w:r w:rsidR="006773E9">
        <w:rPr>
          <w:noProof/>
          <w:lang w:val="fr-FR"/>
        </w:rPr>
        <w:t>Institutions n</w:t>
      </w:r>
      <w:r w:rsidR="003915B7" w:rsidRPr="00DD03D6">
        <w:rPr>
          <w:noProof/>
          <w:lang w:val="fr-FR"/>
        </w:rPr>
        <w:t>ational</w:t>
      </w:r>
      <w:r w:rsidR="006773E9">
        <w:rPr>
          <w:noProof/>
          <w:lang w:val="fr-FR"/>
        </w:rPr>
        <w:t xml:space="preserve">es </w:t>
      </w:r>
      <w:r w:rsidR="00B95578">
        <w:rPr>
          <w:noProof/>
          <w:lang w:val="fr-FR"/>
        </w:rPr>
        <w:t xml:space="preserve">de défense </w:t>
      </w:r>
      <w:r w:rsidR="006773E9">
        <w:rPr>
          <w:noProof/>
          <w:lang w:val="fr-FR"/>
        </w:rPr>
        <w:t>des droits de l’homme</w:t>
      </w:r>
      <w:r w:rsidR="003915B7" w:rsidRPr="00DD03D6">
        <w:rPr>
          <w:noProof/>
          <w:lang w:val="fr-FR"/>
        </w:rPr>
        <w:tab/>
      </w:r>
      <w:r w:rsidRPr="00DD03D6">
        <w:rPr>
          <w:noProof/>
          <w:lang w:val="fr-FR"/>
        </w:rPr>
        <w:tab/>
      </w:r>
      <w:r w:rsidR="0039374D" w:rsidRPr="00DD03D6">
        <w:rPr>
          <w:noProof/>
          <w:lang w:val="fr-FR"/>
        </w:rPr>
        <w:t>240–</w:t>
      </w:r>
      <w:r w:rsidR="00CA30F0" w:rsidRPr="00DD03D6">
        <w:rPr>
          <w:noProof/>
          <w:lang w:val="fr-FR"/>
        </w:rPr>
        <w:t>245</w:t>
      </w:r>
      <w:r w:rsidRPr="00DD03D6">
        <w:rPr>
          <w:noProof/>
          <w:lang w:val="fr-FR"/>
        </w:rPr>
        <w:tab/>
      </w:r>
      <w:r w:rsidR="002C0F88">
        <w:rPr>
          <w:noProof/>
          <w:lang w:val="fr-FR"/>
        </w:rPr>
        <w:t>53</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G.</w:t>
      </w:r>
      <w:r w:rsidR="003915B7" w:rsidRPr="00DD03D6">
        <w:rPr>
          <w:noProof/>
          <w:lang w:val="fr-FR"/>
        </w:rPr>
        <w:tab/>
        <w:t>Di</w:t>
      </w:r>
      <w:r w:rsidR="00161E71">
        <w:rPr>
          <w:noProof/>
          <w:lang w:val="fr-FR"/>
        </w:rPr>
        <w:t>ffusion d’</w:t>
      </w:r>
      <w:r w:rsidR="003915B7" w:rsidRPr="00DD03D6">
        <w:rPr>
          <w:noProof/>
          <w:lang w:val="fr-FR"/>
        </w:rPr>
        <w:t>information</w:t>
      </w:r>
      <w:r w:rsidR="00161E71">
        <w:rPr>
          <w:noProof/>
          <w:lang w:val="fr-FR"/>
        </w:rPr>
        <w:t xml:space="preserve">s sur la </w:t>
      </w:r>
      <w:r w:rsidR="003915B7" w:rsidRPr="00DD03D6">
        <w:rPr>
          <w:noProof/>
          <w:lang w:val="fr-FR"/>
        </w:rPr>
        <w:t>Convention (</w:t>
      </w:r>
      <w:r w:rsidR="00AB408C">
        <w:rPr>
          <w:noProof/>
          <w:lang w:val="fr-FR"/>
        </w:rPr>
        <w:t>auprès</w:t>
      </w:r>
      <w:r w:rsidR="00161E71">
        <w:rPr>
          <w:noProof/>
          <w:lang w:val="fr-FR"/>
        </w:rPr>
        <w:t xml:space="preserve"> des enfants et des</w:t>
      </w:r>
      <w:r w:rsidR="003915B7" w:rsidRPr="00DD03D6">
        <w:rPr>
          <w:noProof/>
          <w:lang w:val="fr-FR"/>
        </w:rPr>
        <w:t xml:space="preserve"> adult</w:t>
      </w:r>
      <w:r w:rsidR="00161E71">
        <w:rPr>
          <w:noProof/>
          <w:lang w:val="fr-FR"/>
        </w:rPr>
        <w:t>e</w:t>
      </w:r>
      <w:r w:rsidR="003915B7" w:rsidRPr="00DD03D6">
        <w:rPr>
          <w:noProof/>
          <w:lang w:val="fr-FR"/>
        </w:rPr>
        <w:t>s)</w:t>
      </w:r>
      <w:r w:rsidRPr="00DD03D6">
        <w:rPr>
          <w:noProof/>
          <w:lang w:val="fr-FR"/>
        </w:rPr>
        <w:tab/>
      </w:r>
      <w:r w:rsidR="00CA30F0" w:rsidRPr="00DD03D6">
        <w:rPr>
          <w:noProof/>
          <w:lang w:val="fr-FR"/>
        </w:rPr>
        <w:t>246–</w:t>
      </w:r>
      <w:r w:rsidR="00D72CFE" w:rsidRPr="00DD03D6">
        <w:rPr>
          <w:noProof/>
          <w:lang w:val="fr-FR"/>
        </w:rPr>
        <w:t>255</w:t>
      </w:r>
      <w:r w:rsidRPr="00DD03D6">
        <w:rPr>
          <w:noProof/>
          <w:lang w:val="fr-FR"/>
        </w:rPr>
        <w:tab/>
      </w:r>
      <w:r w:rsidR="002C0F88">
        <w:rPr>
          <w:noProof/>
          <w:lang w:val="fr-FR"/>
        </w:rPr>
        <w:t>54</w:t>
      </w:r>
    </w:p>
    <w:p w:rsidR="003915B7" w:rsidRPr="00DD03D6" w:rsidRDefault="00335EF7" w:rsidP="00487473">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H.</w:t>
      </w:r>
      <w:r w:rsidR="003915B7" w:rsidRPr="00DD03D6">
        <w:rPr>
          <w:noProof/>
          <w:lang w:val="fr-FR"/>
        </w:rPr>
        <w:tab/>
        <w:t>Di</w:t>
      </w:r>
      <w:r w:rsidR="00161E71">
        <w:rPr>
          <w:noProof/>
          <w:lang w:val="fr-FR"/>
        </w:rPr>
        <w:t xml:space="preserve">ffusion des rapports périodiques de l’État partie et des </w:t>
      </w:r>
      <w:r w:rsidR="00352749" w:rsidRPr="00DD03D6">
        <w:rPr>
          <w:noProof/>
          <w:lang w:val="fr-FR"/>
        </w:rPr>
        <w:t>observations</w:t>
      </w:r>
      <w:r w:rsidR="003915B7" w:rsidRPr="00DD03D6">
        <w:rPr>
          <w:noProof/>
          <w:lang w:val="fr-FR"/>
        </w:rPr>
        <w:t xml:space="preserve"> </w:t>
      </w:r>
      <w:r w:rsidR="00161E71">
        <w:rPr>
          <w:noProof/>
          <w:lang w:val="fr-FR"/>
        </w:rPr>
        <w:t xml:space="preserve">finales </w:t>
      </w:r>
      <w:r w:rsidR="00487473">
        <w:rPr>
          <w:noProof/>
          <w:lang w:val="fr-FR"/>
        </w:rPr>
        <w:br/>
      </w:r>
      <w:r w:rsidR="00161E71">
        <w:rPr>
          <w:noProof/>
          <w:lang w:val="fr-FR"/>
        </w:rPr>
        <w:t xml:space="preserve">du Comité auprès du </w:t>
      </w:r>
      <w:r w:rsidR="003915B7" w:rsidRPr="00DD03D6">
        <w:rPr>
          <w:noProof/>
          <w:lang w:val="fr-FR"/>
        </w:rPr>
        <w:t xml:space="preserve">public, </w:t>
      </w:r>
      <w:r w:rsidR="00161E71">
        <w:rPr>
          <w:noProof/>
          <w:lang w:val="fr-FR"/>
        </w:rPr>
        <w:t xml:space="preserve">de la société </w:t>
      </w:r>
      <w:r w:rsidR="003915B7" w:rsidRPr="00DD03D6">
        <w:rPr>
          <w:noProof/>
          <w:lang w:val="fr-FR"/>
        </w:rPr>
        <w:t>civil</w:t>
      </w:r>
      <w:r w:rsidR="00161E71">
        <w:rPr>
          <w:noProof/>
          <w:lang w:val="fr-FR"/>
        </w:rPr>
        <w:t>e</w:t>
      </w:r>
      <w:r w:rsidR="003915B7" w:rsidRPr="00DD03D6">
        <w:rPr>
          <w:noProof/>
          <w:lang w:val="fr-FR"/>
        </w:rPr>
        <w:t xml:space="preserve">, </w:t>
      </w:r>
      <w:r w:rsidR="00AB408C">
        <w:rPr>
          <w:noProof/>
          <w:lang w:val="fr-FR"/>
        </w:rPr>
        <w:t xml:space="preserve">des </w:t>
      </w:r>
      <w:r w:rsidR="003915B7" w:rsidRPr="00DD03D6">
        <w:rPr>
          <w:noProof/>
          <w:lang w:val="fr-FR"/>
        </w:rPr>
        <w:t>organisations</w:t>
      </w:r>
      <w:r w:rsidR="00AB408C">
        <w:rPr>
          <w:noProof/>
          <w:lang w:val="fr-FR"/>
        </w:rPr>
        <w:t xml:space="preserve"> </w:t>
      </w:r>
      <w:r w:rsidR="00487473">
        <w:rPr>
          <w:noProof/>
          <w:lang w:val="fr-FR"/>
        </w:rPr>
        <w:br/>
      </w:r>
      <w:r w:rsidR="00AB408C">
        <w:rPr>
          <w:noProof/>
          <w:lang w:val="fr-FR"/>
        </w:rPr>
        <w:t>professionnelles</w:t>
      </w:r>
      <w:r w:rsidR="003915B7" w:rsidRPr="00DD03D6">
        <w:rPr>
          <w:noProof/>
          <w:lang w:val="fr-FR"/>
        </w:rPr>
        <w:t>,</w:t>
      </w:r>
      <w:r w:rsidR="00AB408C">
        <w:rPr>
          <w:noProof/>
          <w:lang w:val="fr-FR"/>
        </w:rPr>
        <w:t xml:space="preserve"> des</w:t>
      </w:r>
      <w:r w:rsidR="00487473">
        <w:rPr>
          <w:noProof/>
          <w:lang w:val="fr-FR"/>
        </w:rPr>
        <w:t xml:space="preserve"> </w:t>
      </w:r>
      <w:r w:rsidR="00AB408C">
        <w:rPr>
          <w:noProof/>
          <w:lang w:val="fr-FR"/>
        </w:rPr>
        <w:t>syndicats</w:t>
      </w:r>
      <w:r w:rsidR="003915B7" w:rsidRPr="00DD03D6">
        <w:rPr>
          <w:noProof/>
          <w:lang w:val="fr-FR"/>
        </w:rPr>
        <w:t xml:space="preserve">, </w:t>
      </w:r>
      <w:r w:rsidR="00AB408C">
        <w:rPr>
          <w:noProof/>
          <w:lang w:val="fr-FR"/>
        </w:rPr>
        <w:t xml:space="preserve">des </w:t>
      </w:r>
      <w:r w:rsidR="003915B7" w:rsidRPr="00DD03D6">
        <w:rPr>
          <w:noProof/>
          <w:lang w:val="fr-FR"/>
        </w:rPr>
        <w:t xml:space="preserve">organisations </w:t>
      </w:r>
      <w:r w:rsidR="00AB408C">
        <w:rPr>
          <w:noProof/>
          <w:lang w:val="fr-FR"/>
        </w:rPr>
        <w:t>religieuses et autres</w:t>
      </w:r>
      <w:r w:rsidR="003915B7" w:rsidRPr="00DD03D6">
        <w:rPr>
          <w:noProof/>
          <w:lang w:val="fr-FR"/>
        </w:rPr>
        <w:tab/>
      </w:r>
      <w:r w:rsidRPr="00DD03D6">
        <w:rPr>
          <w:noProof/>
          <w:lang w:val="fr-FR"/>
        </w:rPr>
        <w:tab/>
      </w:r>
      <w:r w:rsidR="009E6BDD" w:rsidRPr="00DD03D6">
        <w:rPr>
          <w:noProof/>
          <w:lang w:val="fr-FR"/>
        </w:rPr>
        <w:t>256</w:t>
      </w:r>
      <w:r w:rsidRPr="00DD03D6">
        <w:rPr>
          <w:noProof/>
          <w:lang w:val="fr-FR"/>
        </w:rPr>
        <w:tab/>
      </w:r>
      <w:r w:rsidR="00D72CFE" w:rsidRPr="00DD03D6">
        <w:rPr>
          <w:noProof/>
          <w:lang w:val="fr-FR"/>
        </w:rPr>
        <w:t>5</w:t>
      </w:r>
      <w:r w:rsidR="002C0F88">
        <w:rPr>
          <w:noProof/>
          <w:lang w:val="fr-FR"/>
        </w:rPr>
        <w:t>7</w:t>
      </w:r>
    </w:p>
    <w:p w:rsidR="003915B7" w:rsidRPr="00DD03D6" w:rsidRDefault="00335EF7" w:rsidP="007F712C">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I.</w:t>
      </w:r>
      <w:r w:rsidR="003915B7" w:rsidRPr="00DD03D6">
        <w:rPr>
          <w:noProof/>
          <w:lang w:val="fr-FR"/>
        </w:rPr>
        <w:tab/>
        <w:t>P</w:t>
      </w:r>
      <w:r w:rsidR="00AB408C">
        <w:rPr>
          <w:noProof/>
          <w:lang w:val="fr-FR"/>
        </w:rPr>
        <w:t xml:space="preserve">rojet de diffusion du présent rapport périodique et des </w:t>
      </w:r>
      <w:r w:rsidRPr="00DD03D6">
        <w:rPr>
          <w:noProof/>
          <w:lang w:val="fr-FR"/>
        </w:rPr>
        <w:br/>
      </w:r>
      <w:r w:rsidRPr="00DD03D6">
        <w:rPr>
          <w:noProof/>
          <w:lang w:val="fr-FR"/>
        </w:rPr>
        <w:tab/>
      </w:r>
      <w:r w:rsidRPr="00DD03D6">
        <w:rPr>
          <w:noProof/>
          <w:lang w:val="fr-FR"/>
        </w:rPr>
        <w:tab/>
      </w:r>
      <w:r w:rsidRPr="00DD03D6">
        <w:rPr>
          <w:noProof/>
          <w:lang w:val="fr-FR"/>
        </w:rPr>
        <w:tab/>
      </w:r>
      <w:r w:rsidR="00352749" w:rsidRPr="00DD03D6">
        <w:rPr>
          <w:noProof/>
          <w:lang w:val="fr-FR"/>
        </w:rPr>
        <w:t>observations</w:t>
      </w:r>
      <w:r w:rsidR="003915B7" w:rsidRPr="00DD03D6">
        <w:rPr>
          <w:noProof/>
          <w:lang w:val="fr-FR"/>
        </w:rPr>
        <w:t xml:space="preserve"> </w:t>
      </w:r>
      <w:r w:rsidR="00AB408C">
        <w:rPr>
          <w:noProof/>
          <w:lang w:val="fr-FR"/>
        </w:rPr>
        <w:t>finales du Comité auprès du</w:t>
      </w:r>
      <w:r w:rsidR="003915B7" w:rsidRPr="00DD03D6">
        <w:rPr>
          <w:noProof/>
          <w:lang w:val="fr-FR"/>
        </w:rPr>
        <w:t xml:space="preserve"> public</w:t>
      </w:r>
      <w:r w:rsidR="003915B7" w:rsidRPr="00DD03D6">
        <w:rPr>
          <w:noProof/>
          <w:lang w:val="fr-FR"/>
        </w:rPr>
        <w:tab/>
      </w:r>
      <w:r w:rsidRPr="00DD03D6">
        <w:rPr>
          <w:noProof/>
          <w:lang w:val="fr-FR"/>
        </w:rPr>
        <w:tab/>
      </w:r>
      <w:r w:rsidR="009E6BDD" w:rsidRPr="00DD03D6">
        <w:rPr>
          <w:noProof/>
          <w:lang w:val="fr-FR"/>
        </w:rPr>
        <w:t>257</w:t>
      </w:r>
      <w:r w:rsidRPr="00DD03D6">
        <w:rPr>
          <w:noProof/>
          <w:lang w:val="fr-FR"/>
        </w:rPr>
        <w:tab/>
      </w:r>
      <w:r w:rsidR="009E6BDD" w:rsidRPr="00DD03D6">
        <w:rPr>
          <w:noProof/>
          <w:lang w:val="fr-FR"/>
        </w:rPr>
        <w:t>5</w:t>
      </w:r>
      <w:r w:rsidR="002C0F88">
        <w:rPr>
          <w:noProof/>
          <w:lang w:val="fr-FR"/>
        </w:rPr>
        <w:t>7</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J.</w:t>
      </w:r>
      <w:r w:rsidR="003915B7" w:rsidRPr="00DD03D6">
        <w:rPr>
          <w:noProof/>
          <w:lang w:val="fr-FR"/>
        </w:rPr>
        <w:tab/>
        <w:t>Coop</w:t>
      </w:r>
      <w:r w:rsidR="00AB408C">
        <w:rPr>
          <w:noProof/>
          <w:lang w:val="fr-FR"/>
        </w:rPr>
        <w:t>é</w:t>
      </w:r>
      <w:r w:rsidR="003915B7" w:rsidRPr="00DD03D6">
        <w:rPr>
          <w:noProof/>
          <w:lang w:val="fr-FR"/>
        </w:rPr>
        <w:t xml:space="preserve">ration </w:t>
      </w:r>
      <w:r w:rsidR="00AB408C">
        <w:rPr>
          <w:noProof/>
          <w:lang w:val="fr-FR"/>
        </w:rPr>
        <w:t xml:space="preserve">avec les </w:t>
      </w:r>
      <w:r w:rsidR="003915B7" w:rsidRPr="007F641E">
        <w:rPr>
          <w:noProof/>
          <w:lang w:val="fr-FR"/>
        </w:rPr>
        <w:t xml:space="preserve">organisations </w:t>
      </w:r>
      <w:r w:rsidR="00AB408C" w:rsidRPr="007F641E">
        <w:rPr>
          <w:noProof/>
          <w:lang w:val="fr-FR"/>
        </w:rPr>
        <w:t xml:space="preserve">de </w:t>
      </w:r>
      <w:r w:rsidR="007F641E">
        <w:rPr>
          <w:noProof/>
          <w:lang w:val="fr-FR"/>
        </w:rPr>
        <w:t>la</w:t>
      </w:r>
      <w:r w:rsidR="00AB408C" w:rsidRPr="007F641E">
        <w:rPr>
          <w:noProof/>
          <w:lang w:val="fr-FR"/>
        </w:rPr>
        <w:t xml:space="preserve"> société civile </w:t>
      </w:r>
      <w:r w:rsidR="003915B7" w:rsidRPr="007F641E">
        <w:rPr>
          <w:noProof/>
          <w:lang w:val="fr-FR"/>
        </w:rPr>
        <w:t>(</w:t>
      </w:r>
      <w:r w:rsidR="00AB408C" w:rsidRPr="007F641E">
        <w:rPr>
          <w:noProof/>
          <w:lang w:val="fr-FR"/>
        </w:rPr>
        <w:t>notamment les ONG</w:t>
      </w:r>
      <w:r w:rsidRPr="007F641E">
        <w:rPr>
          <w:noProof/>
          <w:lang w:val="fr-FR"/>
        </w:rPr>
        <w:br/>
      </w:r>
      <w:r w:rsidRPr="007F641E">
        <w:rPr>
          <w:noProof/>
          <w:lang w:val="fr-FR"/>
        </w:rPr>
        <w:tab/>
      </w:r>
      <w:r w:rsidRPr="007F641E">
        <w:rPr>
          <w:noProof/>
          <w:lang w:val="fr-FR"/>
        </w:rPr>
        <w:tab/>
      </w:r>
      <w:r w:rsidRPr="007F641E">
        <w:rPr>
          <w:noProof/>
          <w:lang w:val="fr-FR"/>
        </w:rPr>
        <w:tab/>
      </w:r>
      <w:r w:rsidR="00AB408C" w:rsidRPr="007F641E">
        <w:rPr>
          <w:noProof/>
          <w:lang w:val="fr-FR"/>
        </w:rPr>
        <w:t xml:space="preserve">et les </w:t>
      </w:r>
      <w:r w:rsidR="007F641E" w:rsidRPr="007F641E">
        <w:rPr>
          <w:noProof/>
          <w:color w:val="000000"/>
          <w:lang w:val="fr-FR"/>
        </w:rPr>
        <w:t>groupes représentant les enfants et les jeunes</w:t>
      </w:r>
      <w:r w:rsidR="003915B7" w:rsidRPr="007F641E">
        <w:rPr>
          <w:noProof/>
          <w:lang w:val="fr-FR"/>
        </w:rPr>
        <w:t>)</w:t>
      </w:r>
      <w:r w:rsidR="003915B7" w:rsidRPr="007F641E">
        <w:rPr>
          <w:noProof/>
          <w:lang w:val="fr-FR"/>
        </w:rPr>
        <w:tab/>
      </w:r>
      <w:r w:rsidRPr="00DD03D6">
        <w:rPr>
          <w:noProof/>
          <w:lang w:val="fr-FR"/>
        </w:rPr>
        <w:tab/>
      </w:r>
      <w:r w:rsidR="009E6BDD" w:rsidRPr="00DD03D6">
        <w:rPr>
          <w:noProof/>
          <w:lang w:val="fr-FR"/>
        </w:rPr>
        <w:t>258–264</w:t>
      </w:r>
      <w:r w:rsidRPr="00DD03D6">
        <w:rPr>
          <w:noProof/>
          <w:lang w:val="fr-FR"/>
        </w:rPr>
        <w:tab/>
      </w:r>
      <w:r w:rsidR="009E6BDD" w:rsidRPr="00DD03D6">
        <w:rPr>
          <w:noProof/>
          <w:lang w:val="fr-FR"/>
        </w:rPr>
        <w:t>5</w:t>
      </w:r>
      <w:r w:rsidR="002C0F88">
        <w:rPr>
          <w:noProof/>
          <w:lang w:val="fr-FR"/>
        </w:rPr>
        <w:t>7</w:t>
      </w:r>
    </w:p>
    <w:p w:rsidR="003915B7" w:rsidRPr="00DD03D6" w:rsidRDefault="00335EF7" w:rsidP="00352749">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009E6BDD" w:rsidRPr="00DD03D6">
        <w:rPr>
          <w:noProof/>
          <w:lang w:val="fr-FR"/>
        </w:rPr>
        <w:t>II</w:t>
      </w:r>
      <w:r w:rsidR="003915B7" w:rsidRPr="00DD03D6">
        <w:rPr>
          <w:noProof/>
          <w:lang w:val="fr-FR"/>
        </w:rPr>
        <w:t>.</w:t>
      </w:r>
      <w:r w:rsidR="003915B7" w:rsidRPr="00DD03D6">
        <w:rPr>
          <w:noProof/>
          <w:lang w:val="fr-FR"/>
        </w:rPr>
        <w:tab/>
        <w:t>D</w:t>
      </w:r>
      <w:r w:rsidR="007F641E">
        <w:rPr>
          <w:noProof/>
          <w:lang w:val="fr-FR"/>
        </w:rPr>
        <w:t>é</w:t>
      </w:r>
      <w:r w:rsidR="003915B7" w:rsidRPr="00DD03D6">
        <w:rPr>
          <w:noProof/>
          <w:lang w:val="fr-FR"/>
        </w:rPr>
        <w:t xml:space="preserve">finition </w:t>
      </w:r>
      <w:r w:rsidR="007F641E">
        <w:rPr>
          <w:noProof/>
          <w:lang w:val="fr-FR"/>
        </w:rPr>
        <w:t>de l’enfant</w:t>
      </w:r>
      <w:r w:rsidR="003915B7" w:rsidRPr="00DD03D6">
        <w:rPr>
          <w:noProof/>
          <w:lang w:val="fr-FR"/>
        </w:rPr>
        <w:tab/>
      </w:r>
      <w:r w:rsidRPr="00DD03D6">
        <w:rPr>
          <w:noProof/>
          <w:lang w:val="fr-FR"/>
        </w:rPr>
        <w:tab/>
      </w:r>
      <w:r w:rsidR="009E6BDD" w:rsidRPr="00DD03D6">
        <w:rPr>
          <w:noProof/>
          <w:lang w:val="fr-FR"/>
        </w:rPr>
        <w:t>265–</w:t>
      </w:r>
      <w:r w:rsidR="00B01680" w:rsidRPr="00DD03D6">
        <w:rPr>
          <w:noProof/>
          <w:lang w:val="fr-FR"/>
        </w:rPr>
        <w:t>267</w:t>
      </w:r>
      <w:r w:rsidRPr="00DD03D6">
        <w:rPr>
          <w:noProof/>
          <w:lang w:val="fr-FR"/>
        </w:rPr>
        <w:tab/>
      </w:r>
      <w:r w:rsidR="009E6BDD" w:rsidRPr="00DD03D6">
        <w:rPr>
          <w:noProof/>
          <w:lang w:val="fr-FR"/>
        </w:rPr>
        <w:t>5</w:t>
      </w:r>
      <w:r w:rsidR="002C0F88">
        <w:rPr>
          <w:noProof/>
          <w:lang w:val="fr-FR"/>
        </w:rPr>
        <w:t>8</w:t>
      </w:r>
    </w:p>
    <w:p w:rsidR="003915B7" w:rsidRPr="00DD03D6" w:rsidRDefault="00335EF7" w:rsidP="00522E7D">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ab/>
      </w:r>
      <w:r w:rsidR="004747E5">
        <w:rPr>
          <w:noProof/>
          <w:lang w:val="fr-FR"/>
        </w:rPr>
        <w:t>Âge légal minimal : d</w:t>
      </w:r>
      <w:r w:rsidR="007F641E">
        <w:rPr>
          <w:noProof/>
          <w:lang w:val="fr-FR"/>
        </w:rPr>
        <w:t>éfinitions</w:t>
      </w:r>
      <w:r w:rsidR="003915B7" w:rsidRPr="00DD03D6">
        <w:rPr>
          <w:noProof/>
          <w:lang w:val="fr-FR"/>
        </w:rPr>
        <w:tab/>
      </w:r>
      <w:r w:rsidRPr="00DD03D6">
        <w:rPr>
          <w:noProof/>
          <w:lang w:val="fr-FR"/>
        </w:rPr>
        <w:tab/>
      </w:r>
      <w:r w:rsidR="009E6BDD" w:rsidRPr="00DD03D6">
        <w:rPr>
          <w:noProof/>
          <w:lang w:val="fr-FR"/>
        </w:rPr>
        <w:t>265–</w:t>
      </w:r>
      <w:r w:rsidR="00A34DA6" w:rsidRPr="00DD03D6">
        <w:rPr>
          <w:noProof/>
          <w:lang w:val="fr-FR"/>
        </w:rPr>
        <w:t>267</w:t>
      </w:r>
      <w:r w:rsidRPr="00DD03D6">
        <w:rPr>
          <w:noProof/>
          <w:lang w:val="fr-FR"/>
        </w:rPr>
        <w:tab/>
      </w:r>
      <w:r w:rsidR="009E6BDD" w:rsidRPr="00DD03D6">
        <w:rPr>
          <w:noProof/>
          <w:lang w:val="fr-FR"/>
        </w:rPr>
        <w:t>5</w:t>
      </w:r>
      <w:r w:rsidR="002C0F88">
        <w:rPr>
          <w:noProof/>
          <w:lang w:val="fr-FR"/>
        </w:rPr>
        <w:t>8</w:t>
      </w:r>
    </w:p>
    <w:p w:rsidR="003915B7" w:rsidRPr="00DD03D6" w:rsidRDefault="00335EF7" w:rsidP="00352749">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00A34DA6" w:rsidRPr="00DD03D6">
        <w:rPr>
          <w:noProof/>
          <w:lang w:val="fr-FR"/>
        </w:rPr>
        <w:t>III</w:t>
      </w:r>
      <w:r w:rsidR="003915B7" w:rsidRPr="00DD03D6">
        <w:rPr>
          <w:noProof/>
          <w:lang w:val="fr-FR"/>
        </w:rPr>
        <w:t>.</w:t>
      </w:r>
      <w:r w:rsidR="003915B7" w:rsidRPr="00DD03D6">
        <w:rPr>
          <w:noProof/>
          <w:lang w:val="fr-FR"/>
        </w:rPr>
        <w:tab/>
      </w:r>
      <w:r w:rsidR="008F02E0">
        <w:rPr>
          <w:noProof/>
          <w:lang w:val="fr-FR"/>
        </w:rPr>
        <w:t>Principes généraux</w:t>
      </w:r>
      <w:r w:rsidR="003915B7" w:rsidRPr="00DD03D6">
        <w:rPr>
          <w:noProof/>
          <w:lang w:val="fr-FR"/>
        </w:rPr>
        <w:tab/>
      </w:r>
      <w:r w:rsidRPr="00DD03D6">
        <w:rPr>
          <w:noProof/>
          <w:lang w:val="fr-FR"/>
        </w:rPr>
        <w:tab/>
      </w:r>
      <w:r w:rsidR="00A34DA6" w:rsidRPr="00DD03D6">
        <w:rPr>
          <w:noProof/>
          <w:lang w:val="fr-FR"/>
        </w:rPr>
        <w:t>268–</w:t>
      </w:r>
      <w:r w:rsidR="00764404" w:rsidRPr="00DD03D6">
        <w:rPr>
          <w:noProof/>
          <w:lang w:val="fr-FR"/>
        </w:rPr>
        <w:t>323</w:t>
      </w:r>
      <w:r w:rsidRPr="00DD03D6">
        <w:rPr>
          <w:noProof/>
          <w:lang w:val="fr-FR"/>
        </w:rPr>
        <w:tab/>
      </w:r>
      <w:r w:rsidR="002C0F88">
        <w:rPr>
          <w:noProof/>
          <w:lang w:val="fr-FR"/>
        </w:rPr>
        <w:t>61</w:t>
      </w:r>
    </w:p>
    <w:p w:rsidR="003915B7" w:rsidRPr="00DD03D6" w:rsidRDefault="00335EF7" w:rsidP="00352749">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A.</w:t>
      </w:r>
      <w:r w:rsidR="003915B7" w:rsidRPr="00DD03D6">
        <w:rPr>
          <w:noProof/>
          <w:lang w:val="fr-FR"/>
        </w:rPr>
        <w:tab/>
        <w:t>Non-</w:t>
      </w:r>
      <w:r w:rsidR="00352749" w:rsidRPr="00DD03D6">
        <w:rPr>
          <w:noProof/>
          <w:lang w:val="fr-FR"/>
        </w:rPr>
        <w:t>d</w:t>
      </w:r>
      <w:r w:rsidR="003915B7" w:rsidRPr="00DD03D6">
        <w:rPr>
          <w:noProof/>
          <w:lang w:val="fr-FR"/>
        </w:rPr>
        <w:t>iscrimination</w:t>
      </w:r>
      <w:r w:rsidR="003915B7" w:rsidRPr="00DD03D6">
        <w:rPr>
          <w:noProof/>
          <w:lang w:val="fr-FR"/>
        </w:rPr>
        <w:tab/>
      </w:r>
      <w:r w:rsidRPr="00DD03D6">
        <w:rPr>
          <w:noProof/>
          <w:lang w:val="fr-FR"/>
        </w:rPr>
        <w:tab/>
      </w:r>
      <w:r w:rsidR="00A34DA6" w:rsidRPr="00DD03D6">
        <w:rPr>
          <w:noProof/>
          <w:lang w:val="fr-FR"/>
        </w:rPr>
        <w:t>268–277</w:t>
      </w:r>
      <w:r w:rsidRPr="00DD03D6">
        <w:rPr>
          <w:noProof/>
          <w:lang w:val="fr-FR"/>
        </w:rPr>
        <w:tab/>
      </w:r>
      <w:r w:rsidR="002C0F88">
        <w:rPr>
          <w:noProof/>
          <w:lang w:val="fr-FR"/>
        </w:rPr>
        <w:t>61</w:t>
      </w:r>
    </w:p>
    <w:p w:rsidR="003915B7" w:rsidRPr="00DD03D6" w:rsidRDefault="00335EF7" w:rsidP="00352749">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B.</w:t>
      </w:r>
      <w:r w:rsidR="003915B7" w:rsidRPr="00DD03D6">
        <w:rPr>
          <w:noProof/>
          <w:lang w:val="fr-FR"/>
        </w:rPr>
        <w:tab/>
      </w:r>
      <w:r w:rsidR="008F02E0">
        <w:rPr>
          <w:noProof/>
          <w:lang w:val="fr-FR"/>
        </w:rPr>
        <w:t>Intérêt supérieur de l’enfant</w:t>
      </w:r>
      <w:r w:rsidR="003915B7" w:rsidRPr="00DD03D6">
        <w:rPr>
          <w:noProof/>
          <w:lang w:val="fr-FR"/>
        </w:rPr>
        <w:tab/>
      </w:r>
      <w:r w:rsidRPr="00DD03D6">
        <w:rPr>
          <w:noProof/>
          <w:lang w:val="fr-FR"/>
        </w:rPr>
        <w:tab/>
      </w:r>
      <w:r w:rsidR="00A34DA6" w:rsidRPr="00DD03D6">
        <w:rPr>
          <w:noProof/>
          <w:lang w:val="fr-FR"/>
        </w:rPr>
        <w:t>278–292</w:t>
      </w:r>
      <w:r w:rsidRPr="00DD03D6">
        <w:rPr>
          <w:noProof/>
          <w:lang w:val="fr-FR"/>
        </w:rPr>
        <w:tab/>
      </w:r>
      <w:r w:rsidR="002C0F88">
        <w:rPr>
          <w:noProof/>
          <w:lang w:val="fr-FR"/>
        </w:rPr>
        <w:t>64</w:t>
      </w:r>
    </w:p>
    <w:p w:rsidR="003915B7" w:rsidRPr="00DD03D6" w:rsidRDefault="00335EF7" w:rsidP="00352749">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C.</w:t>
      </w:r>
      <w:r w:rsidR="003915B7" w:rsidRPr="00DD03D6">
        <w:rPr>
          <w:noProof/>
          <w:lang w:val="fr-FR"/>
        </w:rPr>
        <w:tab/>
      </w:r>
      <w:r w:rsidR="008F02E0">
        <w:rPr>
          <w:noProof/>
          <w:lang w:val="fr-FR"/>
        </w:rPr>
        <w:t>Droit à la vie, à la survie et au développement</w:t>
      </w:r>
      <w:r w:rsidR="003915B7" w:rsidRPr="00DD03D6">
        <w:rPr>
          <w:noProof/>
          <w:lang w:val="fr-FR"/>
        </w:rPr>
        <w:tab/>
      </w:r>
      <w:r w:rsidRPr="00DD03D6">
        <w:rPr>
          <w:noProof/>
          <w:lang w:val="fr-FR"/>
        </w:rPr>
        <w:tab/>
      </w:r>
      <w:r w:rsidR="00A34DA6" w:rsidRPr="00DD03D6">
        <w:rPr>
          <w:noProof/>
          <w:lang w:val="fr-FR"/>
        </w:rPr>
        <w:t>293–</w:t>
      </w:r>
      <w:r w:rsidR="00745F56" w:rsidRPr="00DD03D6">
        <w:rPr>
          <w:noProof/>
          <w:lang w:val="fr-FR"/>
        </w:rPr>
        <w:t>308</w:t>
      </w:r>
      <w:r w:rsidRPr="00DD03D6">
        <w:rPr>
          <w:noProof/>
          <w:lang w:val="fr-FR"/>
        </w:rPr>
        <w:tab/>
      </w:r>
      <w:r w:rsidR="002C0F88">
        <w:rPr>
          <w:noProof/>
          <w:lang w:val="fr-FR"/>
        </w:rPr>
        <w:t>66</w:t>
      </w:r>
    </w:p>
    <w:p w:rsidR="003915B7" w:rsidRPr="00DD03D6" w:rsidRDefault="00335EF7" w:rsidP="00352749">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8F02E0">
        <w:rPr>
          <w:noProof/>
          <w:lang w:val="fr-FR"/>
        </w:rPr>
        <w:t>D.</w:t>
      </w:r>
      <w:r w:rsidR="008F02E0">
        <w:rPr>
          <w:noProof/>
          <w:lang w:val="fr-FR"/>
        </w:rPr>
        <w:tab/>
        <w:t>Respect des opinions de l’enfant</w:t>
      </w:r>
      <w:r w:rsidR="003915B7" w:rsidRPr="00DD03D6">
        <w:rPr>
          <w:noProof/>
          <w:lang w:val="fr-FR"/>
        </w:rPr>
        <w:tab/>
      </w:r>
      <w:r w:rsidRPr="00DD03D6">
        <w:rPr>
          <w:noProof/>
          <w:lang w:val="fr-FR"/>
        </w:rPr>
        <w:tab/>
      </w:r>
      <w:r w:rsidR="00745F56" w:rsidRPr="00DD03D6">
        <w:rPr>
          <w:noProof/>
          <w:lang w:val="fr-FR"/>
        </w:rPr>
        <w:t>309–</w:t>
      </w:r>
      <w:r w:rsidR="00764404" w:rsidRPr="00DD03D6">
        <w:rPr>
          <w:noProof/>
          <w:lang w:val="fr-FR"/>
        </w:rPr>
        <w:t>323</w:t>
      </w:r>
      <w:r w:rsidRPr="00DD03D6">
        <w:rPr>
          <w:noProof/>
          <w:lang w:val="fr-FR"/>
        </w:rPr>
        <w:tab/>
      </w:r>
      <w:r w:rsidR="002C0F88">
        <w:rPr>
          <w:noProof/>
          <w:lang w:val="fr-FR"/>
        </w:rPr>
        <w:t>70</w:t>
      </w:r>
    </w:p>
    <w:p w:rsidR="003915B7" w:rsidRPr="00DD03D6" w:rsidRDefault="00335EF7" w:rsidP="00352749">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003A1F2E" w:rsidRPr="00DD03D6">
        <w:rPr>
          <w:noProof/>
          <w:lang w:val="fr-FR"/>
        </w:rPr>
        <w:t>IV</w:t>
      </w:r>
      <w:r w:rsidR="003915B7" w:rsidRPr="00DD03D6">
        <w:rPr>
          <w:noProof/>
          <w:lang w:val="fr-FR"/>
        </w:rPr>
        <w:t>.</w:t>
      </w:r>
      <w:r w:rsidR="003915B7" w:rsidRPr="00DD03D6">
        <w:rPr>
          <w:noProof/>
          <w:lang w:val="fr-FR"/>
        </w:rPr>
        <w:tab/>
      </w:r>
      <w:r w:rsidR="00FF1DC6">
        <w:rPr>
          <w:noProof/>
          <w:lang w:val="fr-FR"/>
        </w:rPr>
        <w:t>Libertés et droits civ</w:t>
      </w:r>
      <w:r w:rsidR="00955D48">
        <w:rPr>
          <w:noProof/>
          <w:lang w:val="fr-FR"/>
        </w:rPr>
        <w:t>i</w:t>
      </w:r>
      <w:r w:rsidR="00FF1DC6">
        <w:rPr>
          <w:noProof/>
          <w:lang w:val="fr-FR"/>
        </w:rPr>
        <w:t xml:space="preserve">ls </w:t>
      </w:r>
      <w:r w:rsidR="003915B7" w:rsidRPr="00DD03D6">
        <w:rPr>
          <w:noProof/>
          <w:lang w:val="fr-FR"/>
        </w:rPr>
        <w:tab/>
      </w:r>
      <w:r w:rsidRPr="00DD03D6">
        <w:rPr>
          <w:noProof/>
          <w:lang w:val="fr-FR"/>
        </w:rPr>
        <w:tab/>
      </w:r>
      <w:r w:rsidR="00EA2EFE" w:rsidRPr="00DD03D6">
        <w:rPr>
          <w:noProof/>
          <w:lang w:val="fr-FR"/>
        </w:rPr>
        <w:t>324–</w:t>
      </w:r>
      <w:r w:rsidR="00DA4BD2" w:rsidRPr="00DD03D6">
        <w:rPr>
          <w:noProof/>
          <w:lang w:val="fr-FR"/>
        </w:rPr>
        <w:t>371</w:t>
      </w:r>
      <w:r w:rsidRPr="00DD03D6">
        <w:rPr>
          <w:noProof/>
          <w:lang w:val="fr-FR"/>
        </w:rPr>
        <w:tab/>
      </w:r>
      <w:r w:rsidR="002C0F88">
        <w:rPr>
          <w:noProof/>
          <w:lang w:val="fr-FR"/>
        </w:rPr>
        <w:t>75</w:t>
      </w:r>
    </w:p>
    <w:p w:rsidR="003915B7" w:rsidRPr="00DD03D6" w:rsidRDefault="00335EF7" w:rsidP="00352749">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A.</w:t>
      </w:r>
      <w:r w:rsidR="003915B7" w:rsidRPr="00DD03D6">
        <w:rPr>
          <w:noProof/>
          <w:lang w:val="fr-FR"/>
        </w:rPr>
        <w:tab/>
      </w:r>
      <w:r w:rsidR="00FF1DC6">
        <w:rPr>
          <w:noProof/>
          <w:lang w:val="fr-FR"/>
        </w:rPr>
        <w:t>Enregistrement de la naissance</w:t>
      </w:r>
      <w:r w:rsidR="003915B7" w:rsidRPr="00DD03D6">
        <w:rPr>
          <w:noProof/>
          <w:lang w:val="fr-FR"/>
        </w:rPr>
        <w:t xml:space="preserve">, </w:t>
      </w:r>
      <w:r w:rsidR="00352749" w:rsidRPr="00DD03D6">
        <w:rPr>
          <w:noProof/>
          <w:lang w:val="fr-FR"/>
        </w:rPr>
        <w:t>n</w:t>
      </w:r>
      <w:r w:rsidR="00FF1DC6">
        <w:rPr>
          <w:noProof/>
          <w:lang w:val="fr-FR"/>
        </w:rPr>
        <w:t xml:space="preserve">om et </w:t>
      </w:r>
      <w:r w:rsidR="00352749" w:rsidRPr="00DD03D6">
        <w:rPr>
          <w:noProof/>
          <w:lang w:val="fr-FR"/>
        </w:rPr>
        <w:t>n</w:t>
      </w:r>
      <w:r w:rsidR="00FF1DC6">
        <w:rPr>
          <w:noProof/>
          <w:lang w:val="fr-FR"/>
        </w:rPr>
        <w:t>ationalité</w:t>
      </w:r>
      <w:r w:rsidR="003915B7" w:rsidRPr="00DD03D6">
        <w:rPr>
          <w:noProof/>
          <w:lang w:val="fr-FR"/>
        </w:rPr>
        <w:tab/>
      </w:r>
      <w:r w:rsidRPr="00DD03D6">
        <w:rPr>
          <w:noProof/>
          <w:lang w:val="fr-FR"/>
        </w:rPr>
        <w:tab/>
      </w:r>
      <w:r w:rsidR="00EA2EFE" w:rsidRPr="00DD03D6">
        <w:rPr>
          <w:noProof/>
          <w:lang w:val="fr-FR"/>
        </w:rPr>
        <w:t>324–</w:t>
      </w:r>
      <w:r w:rsidR="00764404" w:rsidRPr="00DD03D6">
        <w:rPr>
          <w:noProof/>
          <w:lang w:val="fr-FR"/>
        </w:rPr>
        <w:t>325</w:t>
      </w:r>
      <w:r w:rsidRPr="00DD03D6">
        <w:rPr>
          <w:noProof/>
          <w:lang w:val="fr-FR"/>
        </w:rPr>
        <w:tab/>
      </w:r>
      <w:r w:rsidR="002C0F88">
        <w:rPr>
          <w:noProof/>
          <w:lang w:val="fr-FR"/>
        </w:rPr>
        <w:t>75</w:t>
      </w:r>
    </w:p>
    <w:p w:rsidR="003915B7" w:rsidRPr="00DD03D6" w:rsidRDefault="00335EF7" w:rsidP="00352749">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B.</w:t>
      </w:r>
      <w:r w:rsidR="003915B7" w:rsidRPr="00DD03D6">
        <w:rPr>
          <w:noProof/>
          <w:lang w:val="fr-FR"/>
        </w:rPr>
        <w:tab/>
        <w:t>Pr</w:t>
      </w:r>
      <w:r w:rsidR="00FF1DC6">
        <w:rPr>
          <w:noProof/>
          <w:lang w:val="fr-FR"/>
        </w:rPr>
        <w:t>é</w:t>
      </w:r>
      <w:r w:rsidR="003915B7" w:rsidRPr="00DD03D6">
        <w:rPr>
          <w:noProof/>
          <w:lang w:val="fr-FR"/>
        </w:rPr>
        <w:t xml:space="preserve">servation </w:t>
      </w:r>
      <w:r w:rsidR="00FF1DC6">
        <w:rPr>
          <w:noProof/>
          <w:lang w:val="fr-FR"/>
        </w:rPr>
        <w:t>de l’</w:t>
      </w:r>
      <w:r w:rsidR="00352749" w:rsidRPr="00DD03D6">
        <w:rPr>
          <w:noProof/>
          <w:lang w:val="fr-FR"/>
        </w:rPr>
        <w:t>i</w:t>
      </w:r>
      <w:r w:rsidR="00FF1DC6">
        <w:rPr>
          <w:noProof/>
          <w:lang w:val="fr-FR"/>
        </w:rPr>
        <w:t>dentité</w:t>
      </w:r>
      <w:r w:rsidR="003915B7" w:rsidRPr="00DD03D6">
        <w:rPr>
          <w:noProof/>
          <w:lang w:val="fr-FR"/>
        </w:rPr>
        <w:tab/>
      </w:r>
      <w:r w:rsidRPr="00DD03D6">
        <w:rPr>
          <w:noProof/>
          <w:lang w:val="fr-FR"/>
        </w:rPr>
        <w:tab/>
      </w:r>
      <w:r w:rsidR="00764404" w:rsidRPr="00DD03D6">
        <w:rPr>
          <w:noProof/>
          <w:lang w:val="fr-FR"/>
        </w:rPr>
        <w:t>326</w:t>
      </w:r>
      <w:r w:rsidRPr="00DD03D6">
        <w:rPr>
          <w:noProof/>
          <w:lang w:val="fr-FR"/>
        </w:rPr>
        <w:tab/>
      </w:r>
      <w:r w:rsidR="00764404" w:rsidRPr="00DD03D6">
        <w:rPr>
          <w:noProof/>
          <w:lang w:val="fr-FR"/>
        </w:rPr>
        <w:t>7</w:t>
      </w:r>
      <w:r w:rsidR="002C0F88">
        <w:rPr>
          <w:noProof/>
          <w:lang w:val="fr-FR"/>
        </w:rPr>
        <w:t>6</w:t>
      </w:r>
    </w:p>
    <w:p w:rsidR="003915B7" w:rsidRPr="00DD03D6" w:rsidRDefault="00335EF7" w:rsidP="00352749">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C.</w:t>
      </w:r>
      <w:r w:rsidR="003915B7" w:rsidRPr="00DD03D6">
        <w:rPr>
          <w:noProof/>
          <w:lang w:val="fr-FR"/>
        </w:rPr>
        <w:tab/>
      </w:r>
      <w:r w:rsidR="00FF1DC6">
        <w:rPr>
          <w:noProof/>
          <w:lang w:val="fr-FR"/>
        </w:rPr>
        <w:t>Liberté d’</w:t>
      </w:r>
      <w:r w:rsidR="00352749" w:rsidRPr="00DD03D6">
        <w:rPr>
          <w:noProof/>
          <w:lang w:val="fr-FR"/>
        </w:rPr>
        <w:t>e</w:t>
      </w:r>
      <w:r w:rsidR="003915B7" w:rsidRPr="00DD03D6">
        <w:rPr>
          <w:noProof/>
          <w:lang w:val="fr-FR"/>
        </w:rPr>
        <w:t xml:space="preserve">xpression, </w:t>
      </w:r>
      <w:r w:rsidR="00FF1DC6">
        <w:rPr>
          <w:noProof/>
          <w:lang w:val="fr-FR"/>
        </w:rPr>
        <w:t>et droit de rechercner</w:t>
      </w:r>
      <w:r w:rsidR="003915B7" w:rsidRPr="00DD03D6">
        <w:rPr>
          <w:noProof/>
          <w:lang w:val="fr-FR"/>
        </w:rPr>
        <w:t xml:space="preserve">, </w:t>
      </w:r>
      <w:r w:rsidR="00352749" w:rsidRPr="00DD03D6">
        <w:rPr>
          <w:noProof/>
          <w:lang w:val="fr-FR"/>
        </w:rPr>
        <w:t>r</w:t>
      </w:r>
      <w:r w:rsidR="003915B7" w:rsidRPr="00DD03D6">
        <w:rPr>
          <w:noProof/>
          <w:lang w:val="fr-FR"/>
        </w:rPr>
        <w:t>ece</w:t>
      </w:r>
      <w:r w:rsidR="00FF1DC6">
        <w:rPr>
          <w:noProof/>
          <w:lang w:val="fr-FR"/>
        </w:rPr>
        <w:t>voir et répandre</w:t>
      </w:r>
      <w:r w:rsidRPr="00DD03D6">
        <w:rPr>
          <w:noProof/>
          <w:lang w:val="fr-FR"/>
        </w:rPr>
        <w:br/>
      </w:r>
      <w:r w:rsidRPr="00DD03D6">
        <w:rPr>
          <w:noProof/>
          <w:lang w:val="fr-FR"/>
        </w:rPr>
        <w:tab/>
      </w:r>
      <w:r w:rsidRPr="00DD03D6">
        <w:rPr>
          <w:noProof/>
          <w:lang w:val="fr-FR"/>
        </w:rPr>
        <w:tab/>
      </w:r>
      <w:r w:rsidRPr="00DD03D6">
        <w:rPr>
          <w:noProof/>
          <w:lang w:val="fr-FR"/>
        </w:rPr>
        <w:tab/>
      </w:r>
      <w:r w:rsidR="00FF1DC6">
        <w:rPr>
          <w:noProof/>
          <w:lang w:val="fr-FR"/>
        </w:rPr>
        <w:t xml:space="preserve">des </w:t>
      </w:r>
      <w:r w:rsidR="00352749" w:rsidRPr="00DD03D6">
        <w:rPr>
          <w:noProof/>
          <w:lang w:val="fr-FR"/>
        </w:rPr>
        <w:t>i</w:t>
      </w:r>
      <w:r w:rsidR="003915B7" w:rsidRPr="00DD03D6">
        <w:rPr>
          <w:noProof/>
          <w:lang w:val="fr-FR"/>
        </w:rPr>
        <w:t>nformation</w:t>
      </w:r>
      <w:r w:rsidR="00FF1DC6">
        <w:rPr>
          <w:noProof/>
          <w:lang w:val="fr-FR"/>
        </w:rPr>
        <w:t>s</w:t>
      </w:r>
      <w:r w:rsidR="003915B7" w:rsidRPr="00DD03D6">
        <w:rPr>
          <w:noProof/>
          <w:lang w:val="fr-FR"/>
        </w:rPr>
        <w:tab/>
      </w:r>
      <w:r w:rsidRPr="00DD03D6">
        <w:rPr>
          <w:noProof/>
          <w:lang w:val="fr-FR"/>
        </w:rPr>
        <w:tab/>
      </w:r>
      <w:r w:rsidR="00764404" w:rsidRPr="00DD03D6">
        <w:rPr>
          <w:noProof/>
          <w:lang w:val="fr-FR"/>
        </w:rPr>
        <w:t>327</w:t>
      </w:r>
      <w:r w:rsidR="00474EF4" w:rsidRPr="00DD03D6">
        <w:rPr>
          <w:noProof/>
          <w:lang w:val="fr-FR"/>
        </w:rPr>
        <w:t>–329</w:t>
      </w:r>
      <w:r w:rsidRPr="00DD03D6">
        <w:rPr>
          <w:noProof/>
          <w:lang w:val="fr-FR"/>
        </w:rPr>
        <w:tab/>
      </w:r>
      <w:r w:rsidR="00764404" w:rsidRPr="00DD03D6">
        <w:rPr>
          <w:noProof/>
          <w:lang w:val="fr-FR"/>
        </w:rPr>
        <w:t>7</w:t>
      </w:r>
      <w:r w:rsidR="002C0F88">
        <w:rPr>
          <w:noProof/>
          <w:lang w:val="fr-FR"/>
        </w:rPr>
        <w:t>6</w:t>
      </w:r>
    </w:p>
    <w:p w:rsidR="003915B7" w:rsidRPr="00DD03D6" w:rsidRDefault="00335EF7" w:rsidP="004D0235">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lastRenderedPageBreak/>
        <w:tab/>
      </w:r>
      <w:r w:rsidRPr="00DD03D6">
        <w:rPr>
          <w:noProof/>
          <w:lang w:val="fr-FR"/>
        </w:rPr>
        <w:tab/>
      </w:r>
      <w:r w:rsidR="003915B7" w:rsidRPr="00DD03D6">
        <w:rPr>
          <w:noProof/>
          <w:lang w:val="fr-FR"/>
        </w:rPr>
        <w:t>D.</w:t>
      </w:r>
      <w:r w:rsidR="003915B7" w:rsidRPr="00DD03D6">
        <w:rPr>
          <w:noProof/>
          <w:lang w:val="fr-FR"/>
        </w:rPr>
        <w:tab/>
      </w:r>
      <w:r w:rsidR="00FF1DC6">
        <w:rPr>
          <w:noProof/>
          <w:lang w:val="fr-FR"/>
        </w:rPr>
        <w:t xml:space="preserve">Liberté de pensée, de </w:t>
      </w:r>
      <w:r w:rsidR="004D0235" w:rsidRPr="00DD03D6">
        <w:rPr>
          <w:noProof/>
          <w:lang w:val="fr-FR"/>
        </w:rPr>
        <w:t>c</w:t>
      </w:r>
      <w:r w:rsidR="003915B7" w:rsidRPr="00DD03D6">
        <w:rPr>
          <w:noProof/>
          <w:lang w:val="fr-FR"/>
        </w:rPr>
        <w:t>onsci</w:t>
      </w:r>
      <w:r w:rsidR="00FF1DC6">
        <w:rPr>
          <w:noProof/>
          <w:lang w:val="fr-FR"/>
        </w:rPr>
        <w:t xml:space="preserve">ence et de </w:t>
      </w:r>
      <w:r w:rsidR="004D0235" w:rsidRPr="00DD03D6">
        <w:rPr>
          <w:noProof/>
          <w:lang w:val="fr-FR"/>
        </w:rPr>
        <w:t>r</w:t>
      </w:r>
      <w:r w:rsidR="003915B7" w:rsidRPr="00DD03D6">
        <w:rPr>
          <w:noProof/>
          <w:lang w:val="fr-FR"/>
        </w:rPr>
        <w:t>eligion</w:t>
      </w:r>
      <w:r w:rsidR="003915B7" w:rsidRPr="00DD03D6">
        <w:rPr>
          <w:noProof/>
          <w:lang w:val="fr-FR"/>
        </w:rPr>
        <w:tab/>
      </w:r>
      <w:r w:rsidRPr="00DD03D6">
        <w:rPr>
          <w:noProof/>
          <w:lang w:val="fr-FR"/>
        </w:rPr>
        <w:tab/>
      </w:r>
      <w:r w:rsidR="00764404" w:rsidRPr="00DD03D6">
        <w:rPr>
          <w:noProof/>
          <w:lang w:val="fr-FR"/>
        </w:rPr>
        <w:t>330–</w:t>
      </w:r>
      <w:r w:rsidR="00B14616" w:rsidRPr="00DD03D6">
        <w:rPr>
          <w:noProof/>
          <w:lang w:val="fr-FR"/>
        </w:rPr>
        <w:t>334</w:t>
      </w:r>
      <w:r w:rsidRPr="00DD03D6">
        <w:rPr>
          <w:noProof/>
          <w:lang w:val="fr-FR"/>
        </w:rPr>
        <w:tab/>
      </w:r>
      <w:r w:rsidR="002C0F88">
        <w:rPr>
          <w:noProof/>
          <w:lang w:val="fr-FR"/>
        </w:rPr>
        <w:t>7</w:t>
      </w:r>
      <w:r w:rsidR="00764404" w:rsidRPr="00DD03D6">
        <w:rPr>
          <w:noProof/>
          <w:lang w:val="fr-FR"/>
        </w:rPr>
        <w:t>6</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E.</w:t>
      </w:r>
      <w:r w:rsidR="003915B7" w:rsidRPr="00DD03D6">
        <w:rPr>
          <w:noProof/>
          <w:lang w:val="fr-FR"/>
        </w:rPr>
        <w:tab/>
      </w:r>
      <w:r w:rsidR="00FF1DC6">
        <w:rPr>
          <w:noProof/>
          <w:lang w:val="fr-FR"/>
        </w:rPr>
        <w:t>Liberté d’</w:t>
      </w:r>
      <w:r w:rsidR="003915B7" w:rsidRPr="00DD03D6">
        <w:rPr>
          <w:noProof/>
          <w:lang w:val="fr-FR"/>
        </w:rPr>
        <w:t xml:space="preserve">association </w:t>
      </w:r>
      <w:r w:rsidR="00FF1DC6">
        <w:rPr>
          <w:noProof/>
          <w:lang w:val="fr-FR"/>
        </w:rPr>
        <w:t>et liberté de réunion pacifique</w:t>
      </w:r>
      <w:r w:rsidR="003915B7" w:rsidRPr="00DD03D6">
        <w:rPr>
          <w:noProof/>
          <w:lang w:val="fr-FR"/>
        </w:rPr>
        <w:tab/>
      </w:r>
      <w:r w:rsidRPr="00DD03D6">
        <w:rPr>
          <w:noProof/>
          <w:lang w:val="fr-FR"/>
        </w:rPr>
        <w:tab/>
      </w:r>
      <w:r w:rsidR="00B14616" w:rsidRPr="00DD03D6">
        <w:rPr>
          <w:noProof/>
          <w:lang w:val="fr-FR"/>
        </w:rPr>
        <w:t>335</w:t>
      </w:r>
      <w:r w:rsidRPr="00DD03D6">
        <w:rPr>
          <w:noProof/>
          <w:lang w:val="fr-FR"/>
        </w:rPr>
        <w:tab/>
      </w:r>
      <w:r w:rsidR="002C0F88">
        <w:rPr>
          <w:noProof/>
          <w:lang w:val="fr-FR"/>
        </w:rPr>
        <w:t>77</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F.</w:t>
      </w:r>
      <w:r w:rsidR="003915B7" w:rsidRPr="00DD03D6">
        <w:rPr>
          <w:noProof/>
          <w:lang w:val="fr-FR"/>
        </w:rPr>
        <w:tab/>
        <w:t xml:space="preserve">Protection </w:t>
      </w:r>
      <w:r w:rsidR="00FF1DC6">
        <w:rPr>
          <w:noProof/>
          <w:lang w:val="fr-FR"/>
        </w:rPr>
        <w:t xml:space="preserve">de la vie privée et </w:t>
      </w:r>
      <w:r w:rsidR="003915B7" w:rsidRPr="00DD03D6">
        <w:rPr>
          <w:noProof/>
          <w:lang w:val="fr-FR"/>
        </w:rPr>
        <w:t xml:space="preserve">protection </w:t>
      </w:r>
      <w:r w:rsidR="00FF1DC6">
        <w:rPr>
          <w:noProof/>
          <w:lang w:val="fr-FR"/>
        </w:rPr>
        <w:t>de l’</w:t>
      </w:r>
      <w:r w:rsidR="003915B7" w:rsidRPr="00DD03D6">
        <w:rPr>
          <w:noProof/>
          <w:lang w:val="fr-FR"/>
        </w:rPr>
        <w:t>image</w:t>
      </w:r>
      <w:r w:rsidR="003915B7" w:rsidRPr="00DD03D6">
        <w:rPr>
          <w:noProof/>
          <w:lang w:val="fr-FR"/>
        </w:rPr>
        <w:tab/>
      </w:r>
      <w:r w:rsidRPr="00DD03D6">
        <w:rPr>
          <w:noProof/>
          <w:lang w:val="fr-FR"/>
        </w:rPr>
        <w:tab/>
      </w:r>
      <w:r w:rsidR="00B14616" w:rsidRPr="00DD03D6">
        <w:rPr>
          <w:noProof/>
          <w:lang w:val="fr-FR"/>
        </w:rPr>
        <w:t>336–339</w:t>
      </w:r>
      <w:r w:rsidRPr="00DD03D6">
        <w:rPr>
          <w:noProof/>
          <w:lang w:val="fr-FR"/>
        </w:rPr>
        <w:tab/>
      </w:r>
      <w:r w:rsidR="002C0F88">
        <w:rPr>
          <w:noProof/>
          <w:lang w:val="fr-FR"/>
        </w:rPr>
        <w:t>78</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G.</w:t>
      </w:r>
      <w:r w:rsidR="003915B7" w:rsidRPr="00DD03D6">
        <w:rPr>
          <w:noProof/>
          <w:lang w:val="fr-FR"/>
        </w:rPr>
        <w:tab/>
        <w:t>Acc</w:t>
      </w:r>
      <w:r w:rsidR="00FF1DC6">
        <w:rPr>
          <w:noProof/>
          <w:lang w:val="fr-FR"/>
        </w:rPr>
        <w:t>è</w:t>
      </w:r>
      <w:r w:rsidR="003915B7" w:rsidRPr="00DD03D6">
        <w:rPr>
          <w:noProof/>
          <w:lang w:val="fr-FR"/>
        </w:rPr>
        <w:t xml:space="preserve">s </w:t>
      </w:r>
      <w:r w:rsidR="00FF1DC6">
        <w:rPr>
          <w:noProof/>
          <w:lang w:val="fr-FR"/>
        </w:rPr>
        <w:t xml:space="preserve">à une </w:t>
      </w:r>
      <w:r w:rsidR="003915B7" w:rsidRPr="00DD03D6">
        <w:rPr>
          <w:noProof/>
          <w:lang w:val="fr-FR"/>
        </w:rPr>
        <w:t xml:space="preserve">information </w:t>
      </w:r>
      <w:r w:rsidR="006A4BF3">
        <w:rPr>
          <w:noProof/>
          <w:lang w:val="fr-FR"/>
        </w:rPr>
        <w:t>éman</w:t>
      </w:r>
      <w:r w:rsidR="00FF1DC6">
        <w:rPr>
          <w:noProof/>
          <w:lang w:val="fr-FR"/>
        </w:rPr>
        <w:t>ant de sources diverses et</w:t>
      </w:r>
      <w:r w:rsidR="003915B7" w:rsidRPr="00DD03D6">
        <w:rPr>
          <w:noProof/>
          <w:lang w:val="fr-FR"/>
        </w:rPr>
        <w:t xml:space="preserve"> protection</w:t>
      </w:r>
      <w:r w:rsidRPr="00DD03D6">
        <w:rPr>
          <w:noProof/>
          <w:lang w:val="fr-FR"/>
        </w:rPr>
        <w:br/>
      </w:r>
      <w:r w:rsidRPr="00DD03D6">
        <w:rPr>
          <w:noProof/>
          <w:lang w:val="fr-FR"/>
        </w:rPr>
        <w:tab/>
      </w:r>
      <w:r w:rsidRPr="00DD03D6">
        <w:rPr>
          <w:noProof/>
          <w:lang w:val="fr-FR"/>
        </w:rPr>
        <w:tab/>
      </w:r>
      <w:r w:rsidRPr="00DD03D6">
        <w:rPr>
          <w:noProof/>
          <w:lang w:val="fr-FR"/>
        </w:rPr>
        <w:tab/>
      </w:r>
      <w:r w:rsidR="00FF1DC6">
        <w:rPr>
          <w:noProof/>
          <w:lang w:val="fr-FR"/>
        </w:rPr>
        <w:t>contre les matériels qui nuisent au bien</w:t>
      </w:r>
      <w:r w:rsidR="003915B7" w:rsidRPr="00DD03D6">
        <w:rPr>
          <w:noProof/>
          <w:lang w:val="fr-FR"/>
        </w:rPr>
        <w:t>-</w:t>
      </w:r>
      <w:r w:rsidR="00FF1DC6">
        <w:rPr>
          <w:noProof/>
          <w:lang w:val="fr-FR"/>
        </w:rPr>
        <w:t>être des enfants</w:t>
      </w:r>
      <w:r w:rsidR="003915B7" w:rsidRPr="00DD03D6">
        <w:rPr>
          <w:noProof/>
          <w:lang w:val="fr-FR"/>
        </w:rPr>
        <w:tab/>
      </w:r>
      <w:r w:rsidRPr="00DD03D6">
        <w:rPr>
          <w:noProof/>
          <w:lang w:val="fr-FR"/>
        </w:rPr>
        <w:tab/>
      </w:r>
      <w:r w:rsidR="00B14616" w:rsidRPr="00DD03D6">
        <w:rPr>
          <w:noProof/>
          <w:lang w:val="fr-FR"/>
        </w:rPr>
        <w:t>340–</w:t>
      </w:r>
      <w:r w:rsidR="00CD645E" w:rsidRPr="00DD03D6">
        <w:rPr>
          <w:noProof/>
          <w:lang w:val="fr-FR"/>
        </w:rPr>
        <w:t>347</w:t>
      </w:r>
      <w:r w:rsidRPr="00DD03D6">
        <w:rPr>
          <w:noProof/>
          <w:lang w:val="fr-FR"/>
        </w:rPr>
        <w:tab/>
      </w:r>
      <w:r w:rsidR="002C0F88">
        <w:rPr>
          <w:noProof/>
          <w:lang w:val="fr-FR"/>
        </w:rPr>
        <w:t>78</w:t>
      </w:r>
    </w:p>
    <w:p w:rsidR="003915B7" w:rsidRPr="00DD03D6" w:rsidRDefault="00335EF7" w:rsidP="00FF1DC6">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H.</w:t>
      </w:r>
      <w:r w:rsidR="003915B7" w:rsidRPr="00DD03D6">
        <w:rPr>
          <w:noProof/>
          <w:lang w:val="fr-FR"/>
        </w:rPr>
        <w:tab/>
      </w:r>
      <w:r w:rsidR="00FF1DC6" w:rsidRPr="00FF1DC6">
        <w:rPr>
          <w:lang w:val="fr-FR"/>
        </w:rPr>
        <w:t xml:space="preserve">Droit de ne pas être soumis à la torture ni à des peines ou traitements cruels, </w:t>
      </w:r>
      <w:r w:rsidR="00487473">
        <w:rPr>
          <w:lang w:val="fr-FR"/>
        </w:rPr>
        <w:br/>
      </w:r>
      <w:r w:rsidR="00FF1DC6" w:rsidRPr="00FF1DC6">
        <w:rPr>
          <w:lang w:val="fr-FR"/>
        </w:rPr>
        <w:t>inhumains ou dégradants, y compris les châtiments corporels</w:t>
      </w:r>
      <w:r w:rsidR="003915B7" w:rsidRPr="00DD03D6">
        <w:rPr>
          <w:noProof/>
          <w:lang w:val="fr-FR"/>
        </w:rPr>
        <w:tab/>
      </w:r>
      <w:r w:rsidRPr="00DD03D6">
        <w:rPr>
          <w:noProof/>
          <w:lang w:val="fr-FR"/>
        </w:rPr>
        <w:tab/>
      </w:r>
      <w:r w:rsidR="00CD645E" w:rsidRPr="00DD03D6">
        <w:rPr>
          <w:noProof/>
          <w:lang w:val="fr-FR"/>
        </w:rPr>
        <w:t>348–</w:t>
      </w:r>
      <w:r w:rsidR="00BD2FA3" w:rsidRPr="00DD03D6">
        <w:rPr>
          <w:noProof/>
          <w:lang w:val="fr-FR"/>
        </w:rPr>
        <w:t>357</w:t>
      </w:r>
      <w:r w:rsidRPr="00DD03D6">
        <w:rPr>
          <w:noProof/>
          <w:lang w:val="fr-FR"/>
        </w:rPr>
        <w:tab/>
      </w:r>
      <w:r w:rsidR="002C0F88">
        <w:rPr>
          <w:noProof/>
          <w:lang w:val="fr-FR"/>
        </w:rPr>
        <w:t>8</w:t>
      </w:r>
      <w:r w:rsidR="00CD645E" w:rsidRPr="00DD03D6">
        <w:rPr>
          <w:noProof/>
          <w:lang w:val="fr-FR"/>
        </w:rPr>
        <w:t>1</w:t>
      </w:r>
    </w:p>
    <w:p w:rsidR="003915B7" w:rsidRPr="00DD03D6" w:rsidRDefault="00335EF7" w:rsidP="00353C98">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I.</w:t>
      </w:r>
      <w:r w:rsidR="003915B7" w:rsidRPr="00DD03D6">
        <w:rPr>
          <w:noProof/>
          <w:lang w:val="fr-FR"/>
        </w:rPr>
        <w:tab/>
        <w:t xml:space="preserve">Mesures </w:t>
      </w:r>
      <w:r w:rsidR="006A4BF3">
        <w:rPr>
          <w:noProof/>
          <w:lang w:val="fr-FR"/>
        </w:rPr>
        <w:t>prises pour</w:t>
      </w:r>
      <w:r w:rsidR="00353C98">
        <w:rPr>
          <w:noProof/>
          <w:lang w:val="fr-FR"/>
        </w:rPr>
        <w:t xml:space="preserve"> promouvoir </w:t>
      </w:r>
      <w:r w:rsidR="00353C98" w:rsidRPr="00353C98">
        <w:rPr>
          <w:noProof/>
          <w:lang w:val="fr-FR"/>
        </w:rPr>
        <w:t xml:space="preserve">la </w:t>
      </w:r>
      <w:r w:rsidR="00353C98" w:rsidRPr="00353C98">
        <w:rPr>
          <w:lang w:val="fr-FR"/>
        </w:rPr>
        <w:t xml:space="preserve">réadaptation physique et psychologique </w:t>
      </w:r>
      <w:r w:rsidR="00487473">
        <w:rPr>
          <w:lang w:val="fr-FR"/>
        </w:rPr>
        <w:br/>
      </w:r>
      <w:r w:rsidR="00353C98" w:rsidRPr="00353C98">
        <w:rPr>
          <w:lang w:val="fr-FR"/>
        </w:rPr>
        <w:t>et la réinsertion des enfants victim</w:t>
      </w:r>
      <w:r w:rsidR="00353C98">
        <w:rPr>
          <w:lang w:val="fr-FR"/>
        </w:rPr>
        <w:t>e</w:t>
      </w:r>
      <w:r w:rsidR="00353C98" w:rsidRPr="00353C98">
        <w:rPr>
          <w:lang w:val="fr-FR"/>
        </w:rPr>
        <w:t xml:space="preserve">s </w:t>
      </w:r>
      <w:r w:rsidR="003915B7" w:rsidRPr="00DD03D6">
        <w:rPr>
          <w:noProof/>
          <w:lang w:val="fr-FR"/>
        </w:rPr>
        <w:tab/>
      </w:r>
      <w:r w:rsidRPr="00DD03D6">
        <w:rPr>
          <w:noProof/>
          <w:lang w:val="fr-FR"/>
        </w:rPr>
        <w:tab/>
      </w:r>
      <w:r w:rsidR="00BD2FA3" w:rsidRPr="00DD03D6">
        <w:rPr>
          <w:noProof/>
          <w:lang w:val="fr-FR"/>
        </w:rPr>
        <w:t>358–</w:t>
      </w:r>
      <w:r w:rsidR="00DA4BD2" w:rsidRPr="00DD03D6">
        <w:rPr>
          <w:noProof/>
          <w:lang w:val="fr-FR"/>
        </w:rPr>
        <w:t>371</w:t>
      </w:r>
      <w:r w:rsidRPr="00DD03D6">
        <w:rPr>
          <w:noProof/>
          <w:lang w:val="fr-FR"/>
        </w:rPr>
        <w:tab/>
      </w:r>
      <w:r w:rsidR="002C0F88">
        <w:rPr>
          <w:noProof/>
          <w:lang w:val="fr-FR"/>
        </w:rPr>
        <w:t>82</w:t>
      </w:r>
    </w:p>
    <w:p w:rsidR="003915B7" w:rsidRPr="00DD03D6" w:rsidRDefault="00335EF7" w:rsidP="004D0235">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00DA4BD2" w:rsidRPr="00DD03D6">
        <w:rPr>
          <w:noProof/>
          <w:lang w:val="fr-FR"/>
        </w:rPr>
        <w:t>V</w:t>
      </w:r>
      <w:r w:rsidR="003915B7" w:rsidRPr="00DD03D6">
        <w:rPr>
          <w:noProof/>
          <w:lang w:val="fr-FR"/>
        </w:rPr>
        <w:t>.</w:t>
      </w:r>
      <w:r w:rsidR="003915B7" w:rsidRPr="00DD03D6">
        <w:rPr>
          <w:noProof/>
          <w:lang w:val="fr-FR"/>
        </w:rPr>
        <w:tab/>
      </w:r>
      <w:r w:rsidR="008B7C24">
        <w:rPr>
          <w:noProof/>
          <w:lang w:val="fr-FR"/>
        </w:rPr>
        <w:t xml:space="preserve">Milieu familial et protection de remplacement </w:t>
      </w:r>
      <w:r w:rsidR="003915B7" w:rsidRPr="00DD03D6">
        <w:rPr>
          <w:noProof/>
          <w:lang w:val="fr-FR"/>
        </w:rPr>
        <w:tab/>
      </w:r>
      <w:r w:rsidRPr="00DD03D6">
        <w:rPr>
          <w:noProof/>
          <w:lang w:val="fr-FR"/>
        </w:rPr>
        <w:tab/>
      </w:r>
      <w:r w:rsidR="00DA4BD2" w:rsidRPr="00DD03D6">
        <w:rPr>
          <w:noProof/>
          <w:lang w:val="fr-FR"/>
        </w:rPr>
        <w:t>372–</w:t>
      </w:r>
      <w:r w:rsidR="0025541B" w:rsidRPr="00DD03D6">
        <w:rPr>
          <w:noProof/>
          <w:lang w:val="fr-FR"/>
        </w:rPr>
        <w:t>449</w:t>
      </w:r>
      <w:r w:rsidRPr="00DD03D6">
        <w:rPr>
          <w:noProof/>
          <w:lang w:val="fr-FR"/>
        </w:rPr>
        <w:tab/>
      </w:r>
      <w:r w:rsidR="002C0F88">
        <w:rPr>
          <w:noProof/>
          <w:lang w:val="fr-FR"/>
        </w:rPr>
        <w:t>86</w:t>
      </w:r>
    </w:p>
    <w:p w:rsidR="003915B7" w:rsidRPr="00DD03D6" w:rsidRDefault="00335EF7" w:rsidP="00487473">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A.</w:t>
      </w:r>
      <w:r w:rsidR="003915B7" w:rsidRPr="00DD03D6">
        <w:rPr>
          <w:noProof/>
          <w:lang w:val="fr-FR"/>
        </w:rPr>
        <w:tab/>
      </w:r>
      <w:r w:rsidR="008B7C24">
        <w:rPr>
          <w:noProof/>
          <w:lang w:val="fr-FR"/>
        </w:rPr>
        <w:t xml:space="preserve">Milieu familial et orientation </w:t>
      </w:r>
      <w:r w:rsidR="004D61D1">
        <w:rPr>
          <w:noProof/>
          <w:lang w:val="fr-FR"/>
        </w:rPr>
        <w:t xml:space="preserve">à </w:t>
      </w:r>
      <w:r w:rsidR="001266C2">
        <w:rPr>
          <w:noProof/>
          <w:lang w:val="fr-FR"/>
        </w:rPr>
        <w:t>donn</w:t>
      </w:r>
      <w:r w:rsidR="004D61D1">
        <w:rPr>
          <w:noProof/>
          <w:lang w:val="fr-FR"/>
        </w:rPr>
        <w:t>er</w:t>
      </w:r>
      <w:r w:rsidR="001266C2">
        <w:rPr>
          <w:noProof/>
          <w:lang w:val="fr-FR"/>
        </w:rPr>
        <w:t xml:space="preserve"> par les </w:t>
      </w:r>
      <w:r w:rsidR="003915B7" w:rsidRPr="00DD03D6">
        <w:rPr>
          <w:noProof/>
          <w:lang w:val="fr-FR"/>
        </w:rPr>
        <w:t>parent</w:t>
      </w:r>
      <w:r w:rsidR="001266C2">
        <w:rPr>
          <w:noProof/>
          <w:lang w:val="fr-FR"/>
        </w:rPr>
        <w:t xml:space="preserve">s d’une manière qui </w:t>
      </w:r>
      <w:r w:rsidR="00487473">
        <w:rPr>
          <w:noProof/>
          <w:lang w:val="fr-FR"/>
        </w:rPr>
        <w:br/>
      </w:r>
      <w:r w:rsidR="001266C2">
        <w:rPr>
          <w:noProof/>
          <w:lang w:val="fr-FR"/>
        </w:rPr>
        <w:t>corresponde</w:t>
      </w:r>
      <w:r w:rsidR="00487473">
        <w:rPr>
          <w:noProof/>
          <w:lang w:val="fr-FR"/>
        </w:rPr>
        <w:t xml:space="preserve"> </w:t>
      </w:r>
      <w:r w:rsidR="001266C2">
        <w:rPr>
          <w:noProof/>
          <w:lang w:val="fr-FR"/>
        </w:rPr>
        <w:t xml:space="preserve">au développement </w:t>
      </w:r>
      <w:r w:rsidR="00721343">
        <w:rPr>
          <w:noProof/>
          <w:lang w:val="fr-FR"/>
        </w:rPr>
        <w:t xml:space="preserve">des </w:t>
      </w:r>
      <w:r w:rsidR="003915B7" w:rsidRPr="00DD03D6">
        <w:rPr>
          <w:noProof/>
          <w:lang w:val="fr-FR"/>
        </w:rPr>
        <w:t>capacit</w:t>
      </w:r>
      <w:r w:rsidR="00721343">
        <w:rPr>
          <w:noProof/>
          <w:lang w:val="fr-FR"/>
        </w:rPr>
        <w:t>és de l’enfant</w:t>
      </w:r>
      <w:r w:rsidR="003915B7" w:rsidRPr="00DD03D6">
        <w:rPr>
          <w:noProof/>
          <w:lang w:val="fr-FR"/>
        </w:rPr>
        <w:tab/>
      </w:r>
      <w:r w:rsidRPr="00DD03D6">
        <w:rPr>
          <w:noProof/>
          <w:lang w:val="fr-FR"/>
        </w:rPr>
        <w:tab/>
      </w:r>
      <w:r w:rsidR="00DA4BD2" w:rsidRPr="00DD03D6">
        <w:rPr>
          <w:noProof/>
          <w:lang w:val="fr-FR"/>
        </w:rPr>
        <w:t>372–</w:t>
      </w:r>
      <w:r w:rsidR="00B01680" w:rsidRPr="00DD03D6">
        <w:rPr>
          <w:noProof/>
          <w:lang w:val="fr-FR"/>
        </w:rPr>
        <w:t>376</w:t>
      </w:r>
      <w:r w:rsidRPr="00DD03D6">
        <w:rPr>
          <w:noProof/>
          <w:lang w:val="fr-FR"/>
        </w:rPr>
        <w:tab/>
      </w:r>
      <w:r w:rsidR="002C0F88">
        <w:rPr>
          <w:noProof/>
          <w:lang w:val="fr-FR"/>
        </w:rPr>
        <w:t>8</w:t>
      </w:r>
      <w:r w:rsidR="00DA4BD2" w:rsidRPr="00DD03D6">
        <w:rPr>
          <w:noProof/>
          <w:lang w:val="fr-FR"/>
        </w:rPr>
        <w:t>6</w:t>
      </w:r>
    </w:p>
    <w:p w:rsidR="003915B7" w:rsidRPr="00DD03D6" w:rsidRDefault="00335EF7" w:rsidP="00487473">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B.</w:t>
      </w:r>
      <w:r w:rsidR="003915B7" w:rsidRPr="00DD03D6">
        <w:rPr>
          <w:noProof/>
          <w:lang w:val="fr-FR"/>
        </w:rPr>
        <w:tab/>
      </w:r>
      <w:r w:rsidR="00721343">
        <w:rPr>
          <w:noProof/>
          <w:lang w:val="fr-FR"/>
        </w:rPr>
        <w:t>Responsabilité commune des p</w:t>
      </w:r>
      <w:r w:rsidR="003915B7" w:rsidRPr="00DD03D6">
        <w:rPr>
          <w:noProof/>
          <w:lang w:val="fr-FR"/>
        </w:rPr>
        <w:t xml:space="preserve">arents </w:t>
      </w:r>
      <w:r w:rsidR="00721343">
        <w:rPr>
          <w:noProof/>
          <w:lang w:val="fr-FR"/>
        </w:rPr>
        <w:t>et protection de remplacement</w:t>
      </w:r>
      <w:r w:rsidR="003915B7" w:rsidRPr="00DD03D6">
        <w:rPr>
          <w:noProof/>
          <w:lang w:val="fr-FR"/>
        </w:rPr>
        <w:t xml:space="preserve">, </w:t>
      </w:r>
      <w:r w:rsidR="00487473">
        <w:rPr>
          <w:noProof/>
          <w:lang w:val="fr-FR"/>
        </w:rPr>
        <w:br/>
      </w:r>
      <w:r w:rsidR="003915B7" w:rsidRPr="00DD03D6">
        <w:rPr>
          <w:noProof/>
          <w:lang w:val="fr-FR"/>
        </w:rPr>
        <w:t>assistance</w:t>
      </w:r>
      <w:r w:rsidR="00487473">
        <w:rPr>
          <w:noProof/>
          <w:lang w:val="fr-FR"/>
        </w:rPr>
        <w:t xml:space="preserve"> </w:t>
      </w:r>
      <w:r w:rsidR="00721343">
        <w:rPr>
          <w:noProof/>
          <w:lang w:val="fr-FR"/>
        </w:rPr>
        <w:t>aux</w:t>
      </w:r>
      <w:r w:rsidR="003915B7" w:rsidRPr="00DD03D6">
        <w:rPr>
          <w:noProof/>
          <w:lang w:val="fr-FR"/>
        </w:rPr>
        <w:t xml:space="preserve"> parents</w:t>
      </w:r>
      <w:r w:rsidRPr="00DD03D6">
        <w:rPr>
          <w:noProof/>
          <w:lang w:val="fr-FR"/>
        </w:rPr>
        <w:t xml:space="preserve"> </w:t>
      </w:r>
      <w:r w:rsidR="00721343">
        <w:rPr>
          <w:noProof/>
          <w:lang w:val="fr-FR"/>
        </w:rPr>
        <w:t>et fourniture de services de garde d’enfants</w:t>
      </w:r>
      <w:r w:rsidR="003915B7" w:rsidRPr="00DD03D6">
        <w:rPr>
          <w:noProof/>
          <w:lang w:val="fr-FR"/>
        </w:rPr>
        <w:tab/>
      </w:r>
      <w:r w:rsidRPr="00DD03D6">
        <w:rPr>
          <w:noProof/>
          <w:lang w:val="fr-FR"/>
        </w:rPr>
        <w:tab/>
      </w:r>
      <w:r w:rsidR="00B01680" w:rsidRPr="00DD03D6">
        <w:rPr>
          <w:noProof/>
          <w:lang w:val="fr-FR"/>
        </w:rPr>
        <w:t>377–387</w:t>
      </w:r>
      <w:r w:rsidRPr="00DD03D6">
        <w:rPr>
          <w:noProof/>
          <w:lang w:val="fr-FR"/>
        </w:rPr>
        <w:tab/>
      </w:r>
      <w:r w:rsidR="002C0F88">
        <w:rPr>
          <w:noProof/>
          <w:lang w:val="fr-FR"/>
        </w:rPr>
        <w:t>8</w:t>
      </w:r>
      <w:r w:rsidR="00B01680" w:rsidRPr="00DD03D6">
        <w:rPr>
          <w:noProof/>
          <w:lang w:val="fr-FR"/>
        </w:rPr>
        <w:t>7</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C.</w:t>
      </w:r>
      <w:r w:rsidR="003915B7" w:rsidRPr="00DD03D6">
        <w:rPr>
          <w:noProof/>
          <w:lang w:val="fr-FR"/>
        </w:rPr>
        <w:tab/>
        <w:t>S</w:t>
      </w:r>
      <w:r w:rsidR="00721343">
        <w:rPr>
          <w:noProof/>
          <w:lang w:val="fr-FR"/>
        </w:rPr>
        <w:t>é</w:t>
      </w:r>
      <w:r w:rsidR="003915B7" w:rsidRPr="00DD03D6">
        <w:rPr>
          <w:noProof/>
          <w:lang w:val="fr-FR"/>
        </w:rPr>
        <w:t xml:space="preserve">paration </w:t>
      </w:r>
      <w:r w:rsidR="00721343">
        <w:rPr>
          <w:noProof/>
          <w:lang w:val="fr-FR"/>
        </w:rPr>
        <w:t xml:space="preserve">d’avec les </w:t>
      </w:r>
      <w:r w:rsidR="003915B7" w:rsidRPr="00DD03D6">
        <w:rPr>
          <w:noProof/>
          <w:lang w:val="fr-FR"/>
        </w:rPr>
        <w:t>parents</w:t>
      </w:r>
      <w:r w:rsidR="003915B7" w:rsidRPr="00DD03D6">
        <w:rPr>
          <w:noProof/>
          <w:lang w:val="fr-FR"/>
        </w:rPr>
        <w:tab/>
      </w:r>
      <w:r w:rsidRPr="00DD03D6">
        <w:rPr>
          <w:noProof/>
          <w:lang w:val="fr-FR"/>
        </w:rPr>
        <w:tab/>
      </w:r>
      <w:r w:rsidR="00B01680" w:rsidRPr="00DD03D6">
        <w:rPr>
          <w:noProof/>
          <w:lang w:val="fr-FR"/>
        </w:rPr>
        <w:t>388–389</w:t>
      </w:r>
      <w:r w:rsidRPr="00DD03D6">
        <w:rPr>
          <w:noProof/>
          <w:lang w:val="fr-FR"/>
        </w:rPr>
        <w:tab/>
      </w:r>
      <w:r w:rsidR="00B01680" w:rsidRPr="00DD03D6">
        <w:rPr>
          <w:noProof/>
          <w:lang w:val="fr-FR"/>
        </w:rPr>
        <w:t>8</w:t>
      </w:r>
      <w:r w:rsidR="002C0F88">
        <w:rPr>
          <w:noProof/>
          <w:lang w:val="fr-FR"/>
        </w:rPr>
        <w:t>9</w:t>
      </w:r>
    </w:p>
    <w:p w:rsidR="003915B7" w:rsidRPr="00DD03D6" w:rsidRDefault="00335EF7" w:rsidP="004D0235">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D.</w:t>
      </w:r>
      <w:r w:rsidR="003915B7" w:rsidRPr="00DD03D6">
        <w:rPr>
          <w:noProof/>
          <w:lang w:val="fr-FR"/>
        </w:rPr>
        <w:tab/>
      </w:r>
      <w:r w:rsidR="00721343">
        <w:rPr>
          <w:noProof/>
          <w:lang w:val="fr-FR"/>
        </w:rPr>
        <w:t>Regroupement familial</w:t>
      </w:r>
      <w:r w:rsidR="003915B7" w:rsidRPr="00DD03D6">
        <w:rPr>
          <w:noProof/>
          <w:lang w:val="fr-FR"/>
        </w:rPr>
        <w:tab/>
      </w:r>
      <w:r w:rsidRPr="00DD03D6">
        <w:rPr>
          <w:noProof/>
          <w:lang w:val="fr-FR"/>
        </w:rPr>
        <w:tab/>
      </w:r>
      <w:r w:rsidR="00B01680" w:rsidRPr="00DD03D6">
        <w:rPr>
          <w:noProof/>
          <w:lang w:val="fr-FR"/>
        </w:rPr>
        <w:t>390–</w:t>
      </w:r>
      <w:r w:rsidR="008C2D2C" w:rsidRPr="00DD03D6">
        <w:rPr>
          <w:noProof/>
          <w:lang w:val="fr-FR"/>
        </w:rPr>
        <w:t>392</w:t>
      </w:r>
      <w:r w:rsidRPr="00DD03D6">
        <w:rPr>
          <w:noProof/>
          <w:lang w:val="fr-FR"/>
        </w:rPr>
        <w:tab/>
      </w:r>
      <w:r w:rsidR="002C0F88">
        <w:rPr>
          <w:noProof/>
          <w:lang w:val="fr-FR"/>
        </w:rPr>
        <w:t>8</w:t>
      </w:r>
      <w:r w:rsidR="00B01680" w:rsidRPr="00DD03D6">
        <w:rPr>
          <w:noProof/>
          <w:lang w:val="fr-FR"/>
        </w:rPr>
        <w:t>9</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E.</w:t>
      </w:r>
      <w:r w:rsidR="003915B7" w:rsidRPr="00DD03D6">
        <w:rPr>
          <w:noProof/>
          <w:lang w:val="fr-FR"/>
        </w:rPr>
        <w:tab/>
        <w:t>Reco</w:t>
      </w:r>
      <w:r w:rsidR="00721343">
        <w:rPr>
          <w:noProof/>
          <w:lang w:val="fr-FR"/>
        </w:rPr>
        <w:t>uvrement de la pension alimentaire de l’enfant</w:t>
      </w:r>
      <w:r w:rsidR="003915B7" w:rsidRPr="00DD03D6">
        <w:rPr>
          <w:noProof/>
          <w:lang w:val="fr-FR"/>
        </w:rPr>
        <w:tab/>
      </w:r>
      <w:r w:rsidRPr="00DD03D6">
        <w:rPr>
          <w:noProof/>
          <w:lang w:val="fr-FR"/>
        </w:rPr>
        <w:tab/>
      </w:r>
      <w:r w:rsidR="008C2D2C" w:rsidRPr="00DD03D6">
        <w:rPr>
          <w:noProof/>
          <w:lang w:val="fr-FR"/>
        </w:rPr>
        <w:t>393–</w:t>
      </w:r>
      <w:r w:rsidR="00463F7B" w:rsidRPr="00DD03D6">
        <w:rPr>
          <w:noProof/>
          <w:lang w:val="fr-FR"/>
        </w:rPr>
        <w:t>394</w:t>
      </w:r>
      <w:r w:rsidRPr="00DD03D6">
        <w:rPr>
          <w:noProof/>
          <w:lang w:val="fr-FR"/>
        </w:rPr>
        <w:tab/>
      </w:r>
      <w:r w:rsidR="008C2D2C" w:rsidRPr="00DD03D6">
        <w:rPr>
          <w:noProof/>
          <w:lang w:val="fr-FR"/>
        </w:rPr>
        <w:t>9</w:t>
      </w:r>
      <w:r w:rsidR="002C0F88">
        <w:rPr>
          <w:noProof/>
          <w:lang w:val="fr-FR"/>
        </w:rPr>
        <w:t>0</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F.</w:t>
      </w:r>
      <w:r w:rsidR="003915B7" w:rsidRPr="00DD03D6">
        <w:rPr>
          <w:noProof/>
          <w:lang w:val="fr-FR"/>
        </w:rPr>
        <w:tab/>
      </w:r>
      <w:r w:rsidR="00721343">
        <w:rPr>
          <w:noProof/>
          <w:lang w:val="fr-FR"/>
        </w:rPr>
        <w:t>Enfants privés de leur milieu familial</w:t>
      </w:r>
      <w:r w:rsidR="003915B7" w:rsidRPr="00DD03D6">
        <w:rPr>
          <w:noProof/>
          <w:lang w:val="fr-FR"/>
        </w:rPr>
        <w:tab/>
      </w:r>
      <w:r w:rsidRPr="00DD03D6">
        <w:rPr>
          <w:noProof/>
          <w:lang w:val="fr-FR"/>
        </w:rPr>
        <w:tab/>
      </w:r>
      <w:r w:rsidR="00463F7B" w:rsidRPr="00DD03D6">
        <w:rPr>
          <w:noProof/>
          <w:lang w:val="fr-FR"/>
        </w:rPr>
        <w:t>395–427</w:t>
      </w:r>
      <w:r w:rsidRPr="00DD03D6">
        <w:rPr>
          <w:noProof/>
          <w:lang w:val="fr-FR"/>
        </w:rPr>
        <w:tab/>
      </w:r>
      <w:r w:rsidR="002C0F88">
        <w:rPr>
          <w:noProof/>
          <w:lang w:val="fr-FR"/>
        </w:rPr>
        <w:t>9</w:t>
      </w:r>
      <w:r w:rsidR="00463F7B" w:rsidRPr="00DD03D6">
        <w:rPr>
          <w:noProof/>
          <w:lang w:val="fr-FR"/>
        </w:rPr>
        <w:t>0</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G.</w:t>
      </w:r>
      <w:r w:rsidR="003915B7" w:rsidRPr="00DD03D6">
        <w:rPr>
          <w:noProof/>
          <w:lang w:val="fr-FR"/>
        </w:rPr>
        <w:tab/>
      </w:r>
      <w:r w:rsidR="00C72E11">
        <w:rPr>
          <w:noProof/>
          <w:lang w:val="fr-FR"/>
        </w:rPr>
        <w:t>Examen pé</w:t>
      </w:r>
      <w:r w:rsidR="003915B7" w:rsidRPr="00DD03D6">
        <w:rPr>
          <w:noProof/>
          <w:lang w:val="fr-FR"/>
        </w:rPr>
        <w:t>riodi</w:t>
      </w:r>
      <w:r w:rsidR="00C72E11">
        <w:rPr>
          <w:noProof/>
          <w:lang w:val="fr-FR"/>
        </w:rPr>
        <w:t xml:space="preserve">que du </w:t>
      </w:r>
      <w:r w:rsidR="003915B7" w:rsidRPr="00DD03D6">
        <w:rPr>
          <w:noProof/>
          <w:lang w:val="fr-FR"/>
        </w:rPr>
        <w:t>placement</w:t>
      </w:r>
      <w:r w:rsidR="003915B7" w:rsidRPr="00DD03D6">
        <w:rPr>
          <w:noProof/>
          <w:lang w:val="fr-FR"/>
        </w:rPr>
        <w:tab/>
      </w:r>
      <w:r w:rsidRPr="00DD03D6">
        <w:rPr>
          <w:noProof/>
          <w:lang w:val="fr-FR"/>
        </w:rPr>
        <w:tab/>
      </w:r>
      <w:r w:rsidR="00463F7B" w:rsidRPr="00DD03D6">
        <w:rPr>
          <w:noProof/>
          <w:lang w:val="fr-FR"/>
        </w:rPr>
        <w:t>428–435</w:t>
      </w:r>
      <w:r w:rsidRPr="00DD03D6">
        <w:rPr>
          <w:noProof/>
          <w:lang w:val="fr-FR"/>
        </w:rPr>
        <w:tab/>
      </w:r>
      <w:r w:rsidR="002C0F88">
        <w:rPr>
          <w:noProof/>
          <w:lang w:val="fr-FR"/>
        </w:rPr>
        <w:t>9</w:t>
      </w:r>
      <w:r w:rsidR="00463F7B" w:rsidRPr="00DD03D6">
        <w:rPr>
          <w:noProof/>
          <w:lang w:val="fr-FR"/>
        </w:rPr>
        <w:t>8</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C72E11">
        <w:rPr>
          <w:noProof/>
          <w:lang w:val="fr-FR"/>
        </w:rPr>
        <w:t>H.</w:t>
      </w:r>
      <w:r w:rsidR="00C72E11">
        <w:rPr>
          <w:noProof/>
          <w:lang w:val="fr-FR"/>
        </w:rPr>
        <w:tab/>
        <w:t>Adoption</w:t>
      </w:r>
      <w:r w:rsidR="003915B7" w:rsidRPr="00DD03D6">
        <w:rPr>
          <w:noProof/>
          <w:lang w:val="fr-FR"/>
        </w:rPr>
        <w:t xml:space="preserve"> national</w:t>
      </w:r>
      <w:r w:rsidR="00C72E11">
        <w:rPr>
          <w:noProof/>
          <w:lang w:val="fr-FR"/>
        </w:rPr>
        <w:t>e et internationale</w:t>
      </w:r>
      <w:r w:rsidR="003915B7" w:rsidRPr="00DD03D6">
        <w:rPr>
          <w:noProof/>
          <w:lang w:val="fr-FR"/>
        </w:rPr>
        <w:tab/>
      </w:r>
      <w:r w:rsidRPr="00DD03D6">
        <w:rPr>
          <w:noProof/>
          <w:lang w:val="fr-FR"/>
        </w:rPr>
        <w:tab/>
      </w:r>
      <w:r w:rsidR="00463F7B" w:rsidRPr="00DD03D6">
        <w:rPr>
          <w:noProof/>
          <w:lang w:val="fr-FR"/>
        </w:rPr>
        <w:t>436–440</w:t>
      </w:r>
      <w:r w:rsidRPr="00DD03D6">
        <w:rPr>
          <w:noProof/>
          <w:lang w:val="fr-FR"/>
        </w:rPr>
        <w:tab/>
      </w:r>
      <w:r w:rsidR="002C0F88">
        <w:rPr>
          <w:noProof/>
          <w:lang w:val="fr-FR"/>
        </w:rPr>
        <w:t>99</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I.</w:t>
      </w:r>
      <w:r w:rsidR="003915B7" w:rsidRPr="00DD03D6">
        <w:rPr>
          <w:noProof/>
          <w:lang w:val="fr-FR"/>
        </w:rPr>
        <w:tab/>
      </w:r>
      <w:r w:rsidR="00C72E11">
        <w:rPr>
          <w:noProof/>
          <w:lang w:val="fr-FR"/>
        </w:rPr>
        <w:t>Déplacements et non-retours illicites</w:t>
      </w:r>
      <w:r w:rsidR="003915B7" w:rsidRPr="00DD03D6">
        <w:rPr>
          <w:noProof/>
          <w:lang w:val="fr-FR"/>
        </w:rPr>
        <w:tab/>
      </w:r>
      <w:r w:rsidRPr="00DD03D6">
        <w:rPr>
          <w:noProof/>
          <w:lang w:val="fr-FR"/>
        </w:rPr>
        <w:tab/>
      </w:r>
      <w:r w:rsidR="00463F7B" w:rsidRPr="00DD03D6">
        <w:rPr>
          <w:noProof/>
          <w:lang w:val="fr-FR"/>
        </w:rPr>
        <w:t>441–447</w:t>
      </w:r>
      <w:r w:rsidRPr="00DD03D6">
        <w:rPr>
          <w:noProof/>
          <w:lang w:val="fr-FR"/>
        </w:rPr>
        <w:tab/>
      </w:r>
      <w:r w:rsidR="002C0F88">
        <w:rPr>
          <w:noProof/>
          <w:lang w:val="fr-FR"/>
        </w:rPr>
        <w:t>100</w:t>
      </w:r>
    </w:p>
    <w:p w:rsidR="003915B7" w:rsidRPr="00DD03D6" w:rsidRDefault="00335EF7" w:rsidP="00487473">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J.</w:t>
      </w:r>
      <w:r w:rsidR="003915B7" w:rsidRPr="00DD03D6">
        <w:rPr>
          <w:noProof/>
          <w:lang w:val="fr-FR"/>
        </w:rPr>
        <w:tab/>
      </w:r>
      <w:r w:rsidR="00C72E11" w:rsidRPr="00C72E11">
        <w:rPr>
          <w:lang w:val="fr-FR"/>
        </w:rPr>
        <w:t xml:space="preserve">Sévices ou négligence, y compris réadaptation physique et psychologique </w:t>
      </w:r>
      <w:r w:rsidR="00487473">
        <w:rPr>
          <w:lang w:val="fr-FR"/>
        </w:rPr>
        <w:br/>
      </w:r>
      <w:r w:rsidR="00C72E11" w:rsidRPr="00C72E11">
        <w:rPr>
          <w:lang w:val="fr-FR"/>
        </w:rPr>
        <w:t>et réinsertion sociale</w:t>
      </w:r>
      <w:r w:rsidR="00C72E11" w:rsidRPr="00487473">
        <w:rPr>
          <w:lang w:val="fr-CH"/>
        </w:rPr>
        <w:t xml:space="preserve"> </w:t>
      </w:r>
      <w:r w:rsidR="00487473">
        <w:rPr>
          <w:lang w:val="fr-CH"/>
        </w:rPr>
        <w:tab/>
      </w:r>
      <w:r w:rsidRPr="00DD03D6">
        <w:rPr>
          <w:noProof/>
          <w:lang w:val="fr-FR"/>
        </w:rPr>
        <w:tab/>
      </w:r>
      <w:r w:rsidR="00463F7B" w:rsidRPr="00DD03D6">
        <w:rPr>
          <w:noProof/>
          <w:lang w:val="fr-FR"/>
        </w:rPr>
        <w:t>448–</w:t>
      </w:r>
      <w:r w:rsidR="0025541B" w:rsidRPr="00DD03D6">
        <w:rPr>
          <w:noProof/>
          <w:lang w:val="fr-FR"/>
        </w:rPr>
        <w:t>449</w:t>
      </w:r>
      <w:r w:rsidRPr="00DD03D6">
        <w:rPr>
          <w:noProof/>
          <w:lang w:val="fr-FR"/>
        </w:rPr>
        <w:tab/>
      </w:r>
      <w:r w:rsidR="002C0F88">
        <w:rPr>
          <w:noProof/>
          <w:lang w:val="fr-FR"/>
        </w:rPr>
        <w:t>102</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0025541B" w:rsidRPr="00DD03D6">
        <w:rPr>
          <w:noProof/>
          <w:lang w:val="fr-FR"/>
        </w:rPr>
        <w:t>VI</w:t>
      </w:r>
      <w:r w:rsidR="003915B7" w:rsidRPr="00DD03D6">
        <w:rPr>
          <w:noProof/>
          <w:lang w:val="fr-FR"/>
        </w:rPr>
        <w:t>.</w:t>
      </w:r>
      <w:r w:rsidR="003915B7" w:rsidRPr="00DD03D6">
        <w:rPr>
          <w:noProof/>
          <w:lang w:val="fr-FR"/>
        </w:rPr>
        <w:tab/>
      </w:r>
      <w:r w:rsidR="00C72E11">
        <w:rPr>
          <w:noProof/>
          <w:lang w:val="fr-FR"/>
        </w:rPr>
        <w:t>Handicap, santé et bien-être</w:t>
      </w:r>
      <w:r w:rsidR="003915B7" w:rsidRPr="00DD03D6">
        <w:rPr>
          <w:noProof/>
          <w:lang w:val="fr-FR"/>
        </w:rPr>
        <w:tab/>
      </w:r>
      <w:r w:rsidRPr="00DD03D6">
        <w:rPr>
          <w:noProof/>
          <w:lang w:val="fr-FR"/>
        </w:rPr>
        <w:tab/>
      </w:r>
      <w:r w:rsidR="0025541B" w:rsidRPr="00DD03D6">
        <w:rPr>
          <w:noProof/>
          <w:lang w:val="fr-FR"/>
        </w:rPr>
        <w:t>450–</w:t>
      </w:r>
      <w:r w:rsidR="005742D3" w:rsidRPr="00DD03D6">
        <w:rPr>
          <w:noProof/>
          <w:lang w:val="fr-FR"/>
        </w:rPr>
        <w:t>566</w:t>
      </w:r>
      <w:r w:rsidRPr="00DD03D6">
        <w:rPr>
          <w:noProof/>
          <w:lang w:val="fr-FR"/>
        </w:rPr>
        <w:tab/>
      </w:r>
      <w:r w:rsidR="002C0F88">
        <w:rPr>
          <w:noProof/>
          <w:lang w:val="fr-FR"/>
        </w:rPr>
        <w:t>102</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A.</w:t>
      </w:r>
      <w:r w:rsidR="003915B7" w:rsidRPr="00DD03D6">
        <w:rPr>
          <w:noProof/>
          <w:lang w:val="fr-FR"/>
        </w:rPr>
        <w:tab/>
      </w:r>
      <w:r w:rsidR="00C72E11">
        <w:rPr>
          <w:noProof/>
          <w:lang w:val="fr-FR"/>
        </w:rPr>
        <w:t>Enfants handicapés</w:t>
      </w:r>
      <w:r w:rsidR="003915B7" w:rsidRPr="00DD03D6">
        <w:rPr>
          <w:noProof/>
          <w:lang w:val="fr-FR"/>
        </w:rPr>
        <w:tab/>
      </w:r>
      <w:r w:rsidRPr="00DD03D6">
        <w:rPr>
          <w:noProof/>
          <w:lang w:val="fr-FR"/>
        </w:rPr>
        <w:tab/>
      </w:r>
      <w:r w:rsidR="005D2A9B" w:rsidRPr="00DD03D6">
        <w:rPr>
          <w:noProof/>
          <w:lang w:val="fr-FR"/>
        </w:rPr>
        <w:t>450–464</w:t>
      </w:r>
      <w:r w:rsidRPr="00DD03D6">
        <w:rPr>
          <w:noProof/>
          <w:lang w:val="fr-FR"/>
        </w:rPr>
        <w:tab/>
      </w:r>
      <w:r w:rsidR="002C0F88">
        <w:rPr>
          <w:noProof/>
          <w:lang w:val="fr-FR"/>
        </w:rPr>
        <w:t>102</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B.</w:t>
      </w:r>
      <w:r w:rsidR="003915B7" w:rsidRPr="00DD03D6">
        <w:rPr>
          <w:noProof/>
          <w:lang w:val="fr-FR"/>
        </w:rPr>
        <w:tab/>
      </w:r>
      <w:r w:rsidR="006A4BF3">
        <w:rPr>
          <w:noProof/>
          <w:lang w:val="fr-FR"/>
        </w:rPr>
        <w:t>Santé des gens du voyage</w:t>
      </w:r>
      <w:r w:rsidR="003915B7" w:rsidRPr="00DD03D6">
        <w:rPr>
          <w:noProof/>
          <w:lang w:val="fr-FR"/>
        </w:rPr>
        <w:tab/>
      </w:r>
      <w:r w:rsidRPr="00DD03D6">
        <w:rPr>
          <w:noProof/>
          <w:lang w:val="fr-FR"/>
        </w:rPr>
        <w:tab/>
      </w:r>
      <w:r w:rsidR="005D2A9B" w:rsidRPr="00DD03D6">
        <w:rPr>
          <w:noProof/>
          <w:lang w:val="fr-FR"/>
        </w:rPr>
        <w:t>465–469</w:t>
      </w:r>
      <w:r w:rsidRPr="00DD03D6">
        <w:rPr>
          <w:noProof/>
          <w:lang w:val="fr-FR"/>
        </w:rPr>
        <w:tab/>
      </w:r>
      <w:r w:rsidR="002C0F88">
        <w:rPr>
          <w:noProof/>
          <w:lang w:val="fr-FR"/>
        </w:rPr>
        <w:t>105</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C.</w:t>
      </w:r>
      <w:r w:rsidR="003915B7" w:rsidRPr="00DD03D6">
        <w:rPr>
          <w:noProof/>
          <w:lang w:val="fr-FR"/>
        </w:rPr>
        <w:tab/>
        <w:t>Survi</w:t>
      </w:r>
      <w:r w:rsidR="006A4BF3">
        <w:rPr>
          <w:noProof/>
          <w:lang w:val="fr-FR"/>
        </w:rPr>
        <w:t>e et développement</w:t>
      </w:r>
      <w:r w:rsidR="003915B7" w:rsidRPr="00DD03D6">
        <w:rPr>
          <w:noProof/>
          <w:lang w:val="fr-FR"/>
        </w:rPr>
        <w:tab/>
      </w:r>
      <w:r w:rsidRPr="00DD03D6">
        <w:rPr>
          <w:noProof/>
          <w:lang w:val="fr-FR"/>
        </w:rPr>
        <w:tab/>
      </w:r>
      <w:r w:rsidR="005D2A9B" w:rsidRPr="00DD03D6">
        <w:rPr>
          <w:noProof/>
          <w:lang w:val="fr-FR"/>
        </w:rPr>
        <w:t>470–477</w:t>
      </w:r>
      <w:r w:rsidRPr="00DD03D6">
        <w:rPr>
          <w:noProof/>
          <w:lang w:val="fr-FR"/>
        </w:rPr>
        <w:tab/>
      </w:r>
      <w:r w:rsidR="002C0F88">
        <w:rPr>
          <w:noProof/>
          <w:lang w:val="fr-FR"/>
        </w:rPr>
        <w:t>106</w:t>
      </w:r>
    </w:p>
    <w:p w:rsidR="003915B7" w:rsidRPr="00DD03D6" w:rsidRDefault="00335EF7"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D.</w:t>
      </w:r>
      <w:r w:rsidR="003915B7" w:rsidRPr="00DD03D6">
        <w:rPr>
          <w:noProof/>
          <w:lang w:val="fr-FR"/>
        </w:rPr>
        <w:tab/>
      </w:r>
      <w:r w:rsidR="006A4BF3">
        <w:rPr>
          <w:noProof/>
          <w:lang w:val="fr-FR"/>
        </w:rPr>
        <w:t>Santé et services de santé</w:t>
      </w:r>
      <w:r w:rsidR="003915B7" w:rsidRPr="00DD03D6">
        <w:rPr>
          <w:noProof/>
          <w:lang w:val="fr-FR"/>
        </w:rPr>
        <w:t xml:space="preserve">, </w:t>
      </w:r>
      <w:r w:rsidR="006A4BF3">
        <w:rPr>
          <w:noProof/>
          <w:lang w:val="fr-FR"/>
        </w:rPr>
        <w:t>en particulier les soins de santé</w:t>
      </w:r>
      <w:r w:rsidR="003915B7" w:rsidRPr="00DD03D6">
        <w:rPr>
          <w:noProof/>
          <w:lang w:val="fr-FR"/>
        </w:rPr>
        <w:t xml:space="preserve"> prima</w:t>
      </w:r>
      <w:r w:rsidR="006A4BF3">
        <w:rPr>
          <w:noProof/>
          <w:lang w:val="fr-FR"/>
        </w:rPr>
        <w:t>ires</w:t>
      </w:r>
      <w:r w:rsidR="003915B7" w:rsidRPr="00DD03D6">
        <w:rPr>
          <w:noProof/>
          <w:lang w:val="fr-FR"/>
        </w:rPr>
        <w:tab/>
      </w:r>
      <w:r w:rsidRPr="00DD03D6">
        <w:rPr>
          <w:noProof/>
          <w:lang w:val="fr-FR"/>
        </w:rPr>
        <w:tab/>
      </w:r>
      <w:r w:rsidR="005D2A9B" w:rsidRPr="00DD03D6">
        <w:rPr>
          <w:noProof/>
          <w:lang w:val="fr-FR"/>
        </w:rPr>
        <w:t>478–</w:t>
      </w:r>
      <w:r w:rsidR="00030284" w:rsidRPr="00DD03D6">
        <w:rPr>
          <w:noProof/>
          <w:lang w:val="fr-FR"/>
        </w:rPr>
        <w:t>490</w:t>
      </w:r>
      <w:r w:rsidRPr="00DD03D6">
        <w:rPr>
          <w:noProof/>
          <w:lang w:val="fr-FR"/>
        </w:rPr>
        <w:tab/>
      </w:r>
      <w:r w:rsidR="002C0F88">
        <w:rPr>
          <w:noProof/>
          <w:lang w:val="fr-FR"/>
        </w:rPr>
        <w:t>108</w:t>
      </w:r>
    </w:p>
    <w:p w:rsidR="003915B7" w:rsidRPr="00DD03D6" w:rsidRDefault="00335EF7" w:rsidP="00593D49">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E.</w:t>
      </w:r>
      <w:r w:rsidR="003915B7" w:rsidRPr="00DD03D6">
        <w:rPr>
          <w:noProof/>
          <w:lang w:val="fr-FR"/>
        </w:rPr>
        <w:tab/>
      </w:r>
      <w:r w:rsidR="00593D49">
        <w:rPr>
          <w:lang w:val="fr-FR"/>
        </w:rPr>
        <w:t xml:space="preserve">Gestion des problèmes de </w:t>
      </w:r>
      <w:r w:rsidR="00490606">
        <w:rPr>
          <w:lang w:val="fr-FR"/>
        </w:rPr>
        <w:t>santé les plus courants</w:t>
      </w:r>
      <w:r w:rsidR="00593D49">
        <w:rPr>
          <w:lang w:val="fr-FR"/>
        </w:rPr>
        <w:t xml:space="preserve">, promotion de la santé </w:t>
      </w:r>
      <w:r w:rsidR="00487473">
        <w:rPr>
          <w:lang w:val="fr-FR"/>
        </w:rPr>
        <w:br/>
      </w:r>
      <w:r w:rsidR="00593D49">
        <w:rPr>
          <w:lang w:val="fr-FR"/>
        </w:rPr>
        <w:t xml:space="preserve">physique et mentale et du bien-être des enfants, et prévention et traitement </w:t>
      </w:r>
      <w:r w:rsidR="00487473">
        <w:rPr>
          <w:lang w:val="fr-FR"/>
        </w:rPr>
        <w:br/>
      </w:r>
      <w:r w:rsidR="00593D49">
        <w:rPr>
          <w:lang w:val="fr-FR"/>
        </w:rPr>
        <w:t xml:space="preserve">des maladies </w:t>
      </w:r>
      <w:r w:rsidR="00487473">
        <w:rPr>
          <w:lang w:val="fr-FR"/>
        </w:rPr>
        <w:t>t</w:t>
      </w:r>
      <w:r w:rsidR="00593D49">
        <w:rPr>
          <w:lang w:val="fr-FR"/>
        </w:rPr>
        <w:t>ransmissibles et non transmissibles</w:t>
      </w:r>
      <w:r w:rsidR="003915B7" w:rsidRPr="00DD03D6">
        <w:rPr>
          <w:noProof/>
          <w:lang w:val="fr-FR"/>
        </w:rPr>
        <w:tab/>
      </w:r>
      <w:r w:rsidRPr="00DD03D6">
        <w:rPr>
          <w:noProof/>
          <w:lang w:val="fr-FR"/>
        </w:rPr>
        <w:tab/>
      </w:r>
      <w:r w:rsidR="00030284" w:rsidRPr="00DD03D6">
        <w:rPr>
          <w:noProof/>
          <w:lang w:val="fr-FR"/>
        </w:rPr>
        <w:t>491–511</w:t>
      </w:r>
      <w:r w:rsidRPr="00DD03D6">
        <w:rPr>
          <w:noProof/>
          <w:lang w:val="fr-FR"/>
        </w:rPr>
        <w:tab/>
      </w:r>
      <w:r w:rsidR="002C0F88">
        <w:rPr>
          <w:noProof/>
          <w:lang w:val="fr-FR"/>
        </w:rPr>
        <w:t>110</w:t>
      </w:r>
    </w:p>
    <w:p w:rsidR="003915B7" w:rsidRPr="00DD03D6" w:rsidRDefault="00335EF7" w:rsidP="00487473">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F.</w:t>
      </w:r>
      <w:r w:rsidR="003915B7" w:rsidRPr="00DD03D6">
        <w:rPr>
          <w:noProof/>
          <w:lang w:val="fr-FR"/>
        </w:rPr>
        <w:tab/>
      </w:r>
      <w:r w:rsidR="00490606">
        <w:rPr>
          <w:noProof/>
          <w:lang w:val="fr-FR"/>
        </w:rPr>
        <w:t xml:space="preserve">Droits des adolescents en matière de santé procréative et mesures adoptées </w:t>
      </w:r>
      <w:r w:rsidR="00487473">
        <w:rPr>
          <w:noProof/>
          <w:lang w:val="fr-FR"/>
        </w:rPr>
        <w:br/>
      </w:r>
      <w:r w:rsidR="00490606">
        <w:rPr>
          <w:noProof/>
          <w:lang w:val="fr-FR"/>
        </w:rPr>
        <w:t>pour</w:t>
      </w:r>
      <w:r w:rsidR="00487473">
        <w:rPr>
          <w:noProof/>
          <w:lang w:val="fr-FR"/>
        </w:rPr>
        <w:t xml:space="preserve"> </w:t>
      </w:r>
      <w:r w:rsidRPr="00DD03D6">
        <w:rPr>
          <w:noProof/>
          <w:lang w:val="fr-FR"/>
        </w:rPr>
        <w:tab/>
      </w:r>
      <w:r w:rsidR="00490606">
        <w:rPr>
          <w:noProof/>
          <w:lang w:val="fr-FR"/>
        </w:rPr>
        <w:t xml:space="preserve">promouvoir un mode de vie sain </w:t>
      </w:r>
      <w:r w:rsidR="003915B7" w:rsidRPr="00DD03D6">
        <w:rPr>
          <w:noProof/>
          <w:lang w:val="fr-FR"/>
        </w:rPr>
        <w:tab/>
      </w:r>
      <w:r w:rsidRPr="00DD03D6">
        <w:rPr>
          <w:noProof/>
          <w:lang w:val="fr-FR"/>
        </w:rPr>
        <w:tab/>
      </w:r>
      <w:r w:rsidR="00030284" w:rsidRPr="00DD03D6">
        <w:rPr>
          <w:noProof/>
          <w:lang w:val="fr-FR"/>
        </w:rPr>
        <w:t>512–</w:t>
      </w:r>
      <w:r w:rsidR="00954A1E" w:rsidRPr="00DD03D6">
        <w:rPr>
          <w:noProof/>
          <w:lang w:val="fr-FR"/>
        </w:rPr>
        <w:t>515</w:t>
      </w:r>
      <w:r w:rsidRPr="00DD03D6">
        <w:rPr>
          <w:noProof/>
          <w:lang w:val="fr-FR"/>
        </w:rPr>
        <w:tab/>
      </w:r>
      <w:r w:rsidR="00030284" w:rsidRPr="00DD03D6">
        <w:rPr>
          <w:noProof/>
          <w:lang w:val="fr-FR"/>
        </w:rPr>
        <w:t>1</w:t>
      </w:r>
      <w:r w:rsidR="002C0F88">
        <w:rPr>
          <w:noProof/>
          <w:lang w:val="fr-FR"/>
        </w:rPr>
        <w:t>15</w:t>
      </w:r>
    </w:p>
    <w:p w:rsidR="003915B7" w:rsidRPr="00DD03D6" w:rsidRDefault="00335EF7" w:rsidP="00487473">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G.</w:t>
      </w:r>
      <w:r w:rsidR="003915B7" w:rsidRPr="00DD03D6">
        <w:rPr>
          <w:noProof/>
          <w:lang w:val="fr-FR"/>
        </w:rPr>
        <w:tab/>
        <w:t xml:space="preserve">Mesures </w:t>
      </w:r>
      <w:r w:rsidR="006E0E0C">
        <w:rPr>
          <w:noProof/>
          <w:lang w:val="fr-FR"/>
        </w:rPr>
        <w:t>adoptées pour interdire et éliminer tous</w:t>
      </w:r>
      <w:r w:rsidR="003915B7" w:rsidRPr="00DD03D6">
        <w:rPr>
          <w:noProof/>
          <w:lang w:val="fr-FR"/>
        </w:rPr>
        <w:t xml:space="preserve"> </w:t>
      </w:r>
      <w:r w:rsidR="006E0E0C">
        <w:rPr>
          <w:noProof/>
          <w:lang w:val="fr-FR"/>
        </w:rPr>
        <w:t xml:space="preserve">types de pratiques </w:t>
      </w:r>
      <w:r w:rsidR="00487473">
        <w:rPr>
          <w:noProof/>
          <w:lang w:val="fr-FR"/>
        </w:rPr>
        <w:br/>
      </w:r>
      <w:r w:rsidR="003915B7" w:rsidRPr="00DD03D6">
        <w:rPr>
          <w:noProof/>
          <w:lang w:val="fr-FR"/>
        </w:rPr>
        <w:t>tradition</w:t>
      </w:r>
      <w:r w:rsidR="006E0E0C">
        <w:rPr>
          <w:noProof/>
          <w:lang w:val="fr-FR"/>
        </w:rPr>
        <w:t>nelles</w:t>
      </w:r>
      <w:r w:rsidR="00487473">
        <w:rPr>
          <w:noProof/>
          <w:lang w:val="fr-FR"/>
        </w:rPr>
        <w:t xml:space="preserve"> </w:t>
      </w:r>
      <w:r w:rsidR="003915B7" w:rsidRPr="00DD03D6">
        <w:rPr>
          <w:noProof/>
          <w:lang w:val="fr-FR"/>
        </w:rPr>
        <w:t>pr</w:t>
      </w:r>
      <w:r w:rsidR="006E0E0C">
        <w:rPr>
          <w:noProof/>
          <w:lang w:val="fr-FR"/>
        </w:rPr>
        <w:t>éjudiciables</w:t>
      </w:r>
      <w:r w:rsidR="003915B7" w:rsidRPr="00DD03D6">
        <w:rPr>
          <w:noProof/>
          <w:lang w:val="fr-FR"/>
        </w:rPr>
        <w:tab/>
      </w:r>
      <w:r w:rsidRPr="00DD03D6">
        <w:rPr>
          <w:noProof/>
          <w:lang w:val="fr-FR"/>
        </w:rPr>
        <w:tab/>
      </w:r>
      <w:r w:rsidR="00954A1E" w:rsidRPr="00DD03D6">
        <w:rPr>
          <w:noProof/>
          <w:lang w:val="fr-FR"/>
        </w:rPr>
        <w:t>516</w:t>
      </w:r>
      <w:r w:rsidRPr="00DD03D6">
        <w:rPr>
          <w:noProof/>
          <w:lang w:val="fr-FR"/>
        </w:rPr>
        <w:tab/>
      </w:r>
      <w:r w:rsidR="00954A1E" w:rsidRPr="00DD03D6">
        <w:rPr>
          <w:noProof/>
          <w:lang w:val="fr-FR"/>
        </w:rPr>
        <w:t>1</w:t>
      </w:r>
      <w:r w:rsidR="002C0F88">
        <w:rPr>
          <w:noProof/>
          <w:lang w:val="fr-FR"/>
        </w:rPr>
        <w:t>17</w:t>
      </w:r>
    </w:p>
    <w:p w:rsidR="003915B7" w:rsidRPr="00DD03D6" w:rsidRDefault="00335EF7" w:rsidP="00487473">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H.</w:t>
      </w:r>
      <w:r w:rsidR="003915B7" w:rsidRPr="00DD03D6">
        <w:rPr>
          <w:noProof/>
          <w:lang w:val="fr-FR"/>
        </w:rPr>
        <w:tab/>
        <w:t xml:space="preserve">Mesures </w:t>
      </w:r>
      <w:r w:rsidR="006E0E0C">
        <w:rPr>
          <w:noProof/>
          <w:lang w:val="fr-FR"/>
        </w:rPr>
        <w:t xml:space="preserve">adoptées pour protéger les enfants contre l’abus de substances </w:t>
      </w:r>
      <w:r w:rsidR="00487473">
        <w:rPr>
          <w:noProof/>
          <w:lang w:val="fr-FR"/>
        </w:rPr>
        <w:br/>
      </w:r>
      <w:r w:rsidR="006E0E0C">
        <w:rPr>
          <w:noProof/>
          <w:lang w:val="fr-FR"/>
        </w:rPr>
        <w:t>psychotropes</w:t>
      </w:r>
      <w:r w:rsidR="00487473">
        <w:rPr>
          <w:noProof/>
          <w:lang w:val="fr-FR"/>
        </w:rPr>
        <w:tab/>
      </w:r>
      <w:r w:rsidRPr="00DD03D6">
        <w:rPr>
          <w:noProof/>
          <w:lang w:val="fr-FR"/>
        </w:rPr>
        <w:tab/>
      </w:r>
      <w:r w:rsidR="00954A1E" w:rsidRPr="00DD03D6">
        <w:rPr>
          <w:noProof/>
          <w:lang w:val="fr-FR"/>
        </w:rPr>
        <w:t>517–528</w:t>
      </w:r>
      <w:r w:rsidRPr="00DD03D6">
        <w:rPr>
          <w:noProof/>
          <w:lang w:val="fr-FR"/>
        </w:rPr>
        <w:tab/>
      </w:r>
      <w:r w:rsidR="00954A1E" w:rsidRPr="00DD03D6">
        <w:rPr>
          <w:noProof/>
          <w:lang w:val="fr-FR"/>
        </w:rPr>
        <w:t>1</w:t>
      </w:r>
      <w:r w:rsidR="002C0F88">
        <w:rPr>
          <w:noProof/>
          <w:lang w:val="fr-FR"/>
        </w:rPr>
        <w:t>17</w:t>
      </w:r>
    </w:p>
    <w:p w:rsidR="003915B7" w:rsidRPr="00DD03D6" w:rsidRDefault="00335EF7" w:rsidP="006E0E0C">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008D4F8E" w:rsidRPr="00DD03D6">
        <w:rPr>
          <w:noProof/>
          <w:lang w:val="fr-FR"/>
        </w:rPr>
        <w:tab/>
      </w:r>
      <w:r w:rsidR="003915B7" w:rsidRPr="00DD03D6">
        <w:rPr>
          <w:noProof/>
          <w:lang w:val="fr-FR"/>
        </w:rPr>
        <w:t>I.</w:t>
      </w:r>
      <w:r w:rsidR="003915B7" w:rsidRPr="00DD03D6">
        <w:rPr>
          <w:noProof/>
          <w:lang w:val="fr-FR"/>
        </w:rPr>
        <w:tab/>
      </w:r>
      <w:r w:rsidR="006E0E0C">
        <w:rPr>
          <w:lang w:val="fr-FR"/>
        </w:rPr>
        <w:t xml:space="preserve">Mesures adoptées pour garantir la protection des enfants dont les parents </w:t>
      </w:r>
      <w:r w:rsidR="00487473">
        <w:rPr>
          <w:lang w:val="fr-FR"/>
        </w:rPr>
        <w:br/>
      </w:r>
      <w:r w:rsidR="006E0E0C">
        <w:rPr>
          <w:lang w:val="fr-FR"/>
        </w:rPr>
        <w:t>sont incarcérés et des enfants qui accompagnent leur mère en prison</w:t>
      </w:r>
      <w:r w:rsidR="003915B7" w:rsidRPr="00DD03D6">
        <w:rPr>
          <w:noProof/>
          <w:lang w:val="fr-FR"/>
        </w:rPr>
        <w:tab/>
      </w:r>
      <w:r w:rsidR="00E26C69" w:rsidRPr="00DD03D6">
        <w:rPr>
          <w:noProof/>
          <w:lang w:val="fr-FR"/>
        </w:rPr>
        <w:tab/>
      </w:r>
      <w:r w:rsidR="00954A1E" w:rsidRPr="00DD03D6">
        <w:rPr>
          <w:noProof/>
          <w:lang w:val="fr-FR"/>
        </w:rPr>
        <w:t>529–</w:t>
      </w:r>
      <w:r w:rsidR="0033232A" w:rsidRPr="00DD03D6">
        <w:rPr>
          <w:noProof/>
          <w:lang w:val="fr-FR"/>
        </w:rPr>
        <w:t>531</w:t>
      </w:r>
      <w:r w:rsidR="00E26C69" w:rsidRPr="00DD03D6">
        <w:rPr>
          <w:noProof/>
          <w:lang w:val="fr-FR"/>
        </w:rPr>
        <w:tab/>
      </w:r>
      <w:r w:rsidR="00954A1E" w:rsidRPr="00DD03D6">
        <w:rPr>
          <w:noProof/>
          <w:lang w:val="fr-FR"/>
        </w:rPr>
        <w:t>1</w:t>
      </w:r>
      <w:r w:rsidR="002C0F88">
        <w:rPr>
          <w:noProof/>
          <w:lang w:val="fr-FR"/>
        </w:rPr>
        <w:t>19</w:t>
      </w:r>
    </w:p>
    <w:p w:rsidR="003915B7" w:rsidRPr="00DD03D6" w:rsidRDefault="00E26C69"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J.</w:t>
      </w:r>
      <w:r w:rsidR="003915B7" w:rsidRPr="00DD03D6">
        <w:rPr>
          <w:noProof/>
          <w:lang w:val="fr-FR"/>
        </w:rPr>
        <w:tab/>
      </w:r>
      <w:r w:rsidR="006E0E0C" w:rsidRPr="006E0E0C">
        <w:rPr>
          <w:lang w:val="fr-FR"/>
        </w:rPr>
        <w:t>Sécurité sociale et services et établissements de garde d’enfants</w:t>
      </w:r>
      <w:r w:rsidR="003915B7" w:rsidRPr="00DD03D6">
        <w:rPr>
          <w:noProof/>
          <w:lang w:val="fr-FR"/>
        </w:rPr>
        <w:tab/>
      </w:r>
      <w:r w:rsidRPr="00DD03D6">
        <w:rPr>
          <w:noProof/>
          <w:lang w:val="fr-FR"/>
        </w:rPr>
        <w:tab/>
      </w:r>
      <w:r w:rsidR="0033232A" w:rsidRPr="00DD03D6">
        <w:rPr>
          <w:noProof/>
          <w:lang w:val="fr-FR"/>
        </w:rPr>
        <w:t>532–</w:t>
      </w:r>
      <w:r w:rsidR="005742D3" w:rsidRPr="00DD03D6">
        <w:rPr>
          <w:noProof/>
          <w:lang w:val="fr-FR"/>
        </w:rPr>
        <w:t>539</w:t>
      </w:r>
      <w:r w:rsidRPr="00DD03D6">
        <w:rPr>
          <w:noProof/>
          <w:lang w:val="fr-FR"/>
        </w:rPr>
        <w:tab/>
      </w:r>
      <w:r w:rsidR="0033232A" w:rsidRPr="00DD03D6">
        <w:rPr>
          <w:noProof/>
          <w:lang w:val="fr-FR"/>
        </w:rPr>
        <w:t>1</w:t>
      </w:r>
      <w:r w:rsidR="002C0F88">
        <w:rPr>
          <w:noProof/>
          <w:lang w:val="fr-FR"/>
        </w:rPr>
        <w:t>20</w:t>
      </w:r>
    </w:p>
    <w:p w:rsidR="003915B7" w:rsidRPr="00DD03D6" w:rsidRDefault="00E26C69" w:rsidP="00042A71">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lastRenderedPageBreak/>
        <w:tab/>
      </w:r>
      <w:r w:rsidRPr="00DD03D6">
        <w:rPr>
          <w:noProof/>
          <w:lang w:val="fr-FR"/>
        </w:rPr>
        <w:tab/>
      </w:r>
      <w:r w:rsidR="003915B7" w:rsidRPr="00DD03D6">
        <w:rPr>
          <w:noProof/>
          <w:lang w:val="fr-FR"/>
        </w:rPr>
        <w:t>K.</w:t>
      </w:r>
      <w:r w:rsidR="003915B7" w:rsidRPr="00DD03D6">
        <w:rPr>
          <w:noProof/>
          <w:lang w:val="fr-FR"/>
        </w:rPr>
        <w:tab/>
      </w:r>
      <w:r w:rsidR="00042A71">
        <w:rPr>
          <w:noProof/>
          <w:lang w:val="fr-FR"/>
        </w:rPr>
        <w:t>Niveau de vie et mesures adoptées</w:t>
      </w:r>
      <w:r w:rsidR="003915B7" w:rsidRPr="00DD03D6">
        <w:rPr>
          <w:noProof/>
          <w:lang w:val="fr-FR"/>
        </w:rPr>
        <w:t xml:space="preserve">, </w:t>
      </w:r>
      <w:r w:rsidR="00042A71">
        <w:rPr>
          <w:noProof/>
          <w:lang w:val="fr-FR"/>
        </w:rPr>
        <w:t>y compris sous la forme d’</w:t>
      </w:r>
      <w:r w:rsidR="00042A71">
        <w:rPr>
          <w:color w:val="000000"/>
          <w:shd w:val="clear" w:color="auto" w:fill="FFFFFF"/>
          <w:lang w:val="fr-FR"/>
        </w:rPr>
        <w:t xml:space="preserve">une assistance </w:t>
      </w:r>
      <w:r w:rsidR="00487473">
        <w:rPr>
          <w:color w:val="000000"/>
          <w:shd w:val="clear" w:color="auto" w:fill="FFFFFF"/>
          <w:lang w:val="fr-FR"/>
        </w:rPr>
        <w:br/>
      </w:r>
      <w:r w:rsidR="00042A71">
        <w:rPr>
          <w:color w:val="000000"/>
          <w:shd w:val="clear" w:color="auto" w:fill="FFFFFF"/>
          <w:lang w:val="fr-FR"/>
        </w:rPr>
        <w:t>matérielle et de</w:t>
      </w:r>
      <w:r w:rsidR="00042A71" w:rsidRPr="00042A71">
        <w:rPr>
          <w:color w:val="000000"/>
          <w:shd w:val="clear" w:color="auto" w:fill="FFFFFF"/>
          <w:lang w:val="fr-FR"/>
        </w:rPr>
        <w:t xml:space="preserve"> programmes d'appui, notamment en ce qui concerne </w:t>
      </w:r>
      <w:r w:rsidR="00487473">
        <w:rPr>
          <w:color w:val="000000"/>
          <w:shd w:val="clear" w:color="auto" w:fill="FFFFFF"/>
          <w:lang w:val="fr-FR"/>
        </w:rPr>
        <w:br/>
      </w:r>
      <w:r w:rsidR="00042A71" w:rsidRPr="00042A71">
        <w:rPr>
          <w:color w:val="000000"/>
          <w:shd w:val="clear" w:color="auto" w:fill="FFFFFF"/>
          <w:lang w:val="fr-FR"/>
        </w:rPr>
        <w:t>l</w:t>
      </w:r>
      <w:r w:rsidR="004815F9">
        <w:rPr>
          <w:color w:val="000000"/>
          <w:shd w:val="clear" w:color="auto" w:fill="FFFFFF"/>
          <w:lang w:val="fr-FR"/>
        </w:rPr>
        <w:t>’</w:t>
      </w:r>
      <w:r w:rsidR="00042A71" w:rsidRPr="00042A71">
        <w:rPr>
          <w:color w:val="000000"/>
          <w:shd w:val="clear" w:color="auto" w:fill="FFFFFF"/>
          <w:lang w:val="fr-FR"/>
        </w:rPr>
        <w:t>alimentation, le vêtement et le logement</w:t>
      </w:r>
      <w:r w:rsidR="003915B7" w:rsidRPr="00DD03D6">
        <w:rPr>
          <w:noProof/>
          <w:lang w:val="fr-FR"/>
        </w:rPr>
        <w:t>,</w:t>
      </w:r>
      <w:r w:rsidR="00042A71">
        <w:rPr>
          <w:noProof/>
          <w:lang w:val="fr-FR"/>
        </w:rPr>
        <w:t xml:space="preserve"> pour garantir le développement </w:t>
      </w:r>
      <w:r w:rsidR="00487473">
        <w:rPr>
          <w:noProof/>
          <w:lang w:val="fr-FR"/>
        </w:rPr>
        <w:br/>
      </w:r>
      <w:r w:rsidR="003915B7" w:rsidRPr="00DD03D6">
        <w:rPr>
          <w:noProof/>
          <w:lang w:val="fr-FR"/>
        </w:rPr>
        <w:t>mental,</w:t>
      </w:r>
      <w:r w:rsidRPr="00DD03D6">
        <w:rPr>
          <w:noProof/>
          <w:lang w:val="fr-FR"/>
        </w:rPr>
        <w:t xml:space="preserve"> </w:t>
      </w:r>
      <w:r w:rsidR="003915B7" w:rsidRPr="00DD03D6">
        <w:rPr>
          <w:noProof/>
          <w:lang w:val="fr-FR"/>
        </w:rPr>
        <w:t>spiritu</w:t>
      </w:r>
      <w:r w:rsidR="00042A71">
        <w:rPr>
          <w:noProof/>
          <w:lang w:val="fr-FR"/>
        </w:rPr>
        <w:t>e</w:t>
      </w:r>
      <w:r w:rsidR="003915B7" w:rsidRPr="00DD03D6">
        <w:rPr>
          <w:noProof/>
          <w:lang w:val="fr-FR"/>
        </w:rPr>
        <w:t xml:space="preserve">l, moral </w:t>
      </w:r>
      <w:r w:rsidR="00042A71">
        <w:rPr>
          <w:noProof/>
          <w:lang w:val="fr-FR"/>
        </w:rPr>
        <w:t>et</w:t>
      </w:r>
      <w:r w:rsidR="003915B7" w:rsidRPr="00DD03D6">
        <w:rPr>
          <w:noProof/>
          <w:lang w:val="fr-FR"/>
        </w:rPr>
        <w:t xml:space="preserve"> social,</w:t>
      </w:r>
      <w:r w:rsidR="00042A71">
        <w:rPr>
          <w:noProof/>
          <w:lang w:val="fr-FR"/>
        </w:rPr>
        <w:t xml:space="preserve"> et</w:t>
      </w:r>
      <w:r w:rsidR="003915B7" w:rsidRPr="00DD03D6">
        <w:rPr>
          <w:noProof/>
          <w:lang w:val="fr-FR"/>
        </w:rPr>
        <w:t xml:space="preserve"> r</w:t>
      </w:r>
      <w:r w:rsidR="00042A71">
        <w:rPr>
          <w:noProof/>
          <w:lang w:val="fr-FR"/>
        </w:rPr>
        <w:t>é</w:t>
      </w:r>
      <w:r w:rsidR="003915B7" w:rsidRPr="00DD03D6">
        <w:rPr>
          <w:noProof/>
          <w:lang w:val="fr-FR"/>
        </w:rPr>
        <w:t>du</w:t>
      </w:r>
      <w:r w:rsidR="00042A71">
        <w:rPr>
          <w:noProof/>
          <w:lang w:val="fr-FR"/>
        </w:rPr>
        <w:t>ir</w:t>
      </w:r>
      <w:r w:rsidR="003915B7" w:rsidRPr="00DD03D6">
        <w:rPr>
          <w:noProof/>
          <w:lang w:val="fr-FR"/>
        </w:rPr>
        <w:t xml:space="preserve">e </w:t>
      </w:r>
      <w:r w:rsidR="00042A71">
        <w:rPr>
          <w:noProof/>
          <w:lang w:val="fr-FR"/>
        </w:rPr>
        <w:t xml:space="preserve">la </w:t>
      </w:r>
      <w:r w:rsidR="003915B7" w:rsidRPr="00DD03D6">
        <w:rPr>
          <w:noProof/>
          <w:lang w:val="fr-FR"/>
        </w:rPr>
        <w:t>p</w:t>
      </w:r>
      <w:r w:rsidR="00042A71">
        <w:rPr>
          <w:noProof/>
          <w:lang w:val="fr-FR"/>
        </w:rPr>
        <w:t>auvreté et les i</w:t>
      </w:r>
      <w:r w:rsidR="003915B7" w:rsidRPr="00DD03D6">
        <w:rPr>
          <w:noProof/>
          <w:lang w:val="fr-FR"/>
        </w:rPr>
        <w:t>n</w:t>
      </w:r>
      <w:r w:rsidR="00042A71">
        <w:rPr>
          <w:noProof/>
          <w:lang w:val="fr-FR"/>
        </w:rPr>
        <w:t>ég</w:t>
      </w:r>
      <w:r w:rsidR="003915B7" w:rsidRPr="00DD03D6">
        <w:rPr>
          <w:noProof/>
          <w:lang w:val="fr-FR"/>
        </w:rPr>
        <w:t>alit</w:t>
      </w:r>
      <w:r w:rsidR="00042A71">
        <w:rPr>
          <w:noProof/>
          <w:lang w:val="fr-FR"/>
        </w:rPr>
        <w:t xml:space="preserve">és </w:t>
      </w:r>
      <w:r w:rsidR="00487473">
        <w:rPr>
          <w:noProof/>
          <w:lang w:val="fr-FR"/>
        </w:rPr>
        <w:tab/>
      </w:r>
      <w:r w:rsidRPr="00DD03D6">
        <w:rPr>
          <w:noProof/>
          <w:lang w:val="fr-FR"/>
        </w:rPr>
        <w:tab/>
      </w:r>
      <w:r w:rsidR="005742D3" w:rsidRPr="00DD03D6">
        <w:rPr>
          <w:noProof/>
          <w:lang w:val="fr-FR"/>
        </w:rPr>
        <w:t>540–566</w:t>
      </w:r>
      <w:r w:rsidRPr="00DD03D6">
        <w:rPr>
          <w:noProof/>
          <w:lang w:val="fr-FR"/>
        </w:rPr>
        <w:tab/>
      </w:r>
      <w:r w:rsidR="005742D3" w:rsidRPr="00DD03D6">
        <w:rPr>
          <w:noProof/>
          <w:lang w:val="fr-FR"/>
        </w:rPr>
        <w:t>1</w:t>
      </w:r>
      <w:r w:rsidR="002C0F88">
        <w:rPr>
          <w:noProof/>
          <w:lang w:val="fr-FR"/>
        </w:rPr>
        <w:t>22</w:t>
      </w:r>
    </w:p>
    <w:p w:rsidR="003915B7" w:rsidRPr="00DD03D6" w:rsidRDefault="00E26C69" w:rsidP="005742D3">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005742D3" w:rsidRPr="00DD03D6">
        <w:rPr>
          <w:noProof/>
          <w:lang w:val="fr-FR"/>
        </w:rPr>
        <w:t>VII</w:t>
      </w:r>
      <w:r w:rsidR="003915B7" w:rsidRPr="00DD03D6">
        <w:rPr>
          <w:noProof/>
          <w:lang w:val="fr-FR"/>
        </w:rPr>
        <w:t>.</w:t>
      </w:r>
      <w:r w:rsidR="003915B7" w:rsidRPr="00DD03D6">
        <w:rPr>
          <w:noProof/>
          <w:lang w:val="fr-FR"/>
        </w:rPr>
        <w:tab/>
      </w:r>
      <w:r w:rsidR="00A93A1A">
        <w:rPr>
          <w:noProof/>
          <w:lang w:val="fr-FR"/>
        </w:rPr>
        <w:t>É</w:t>
      </w:r>
      <w:r w:rsidR="003915B7" w:rsidRPr="00DD03D6">
        <w:rPr>
          <w:noProof/>
          <w:lang w:val="fr-FR"/>
        </w:rPr>
        <w:t>ducation, l</w:t>
      </w:r>
      <w:r w:rsidR="00A93A1A">
        <w:rPr>
          <w:noProof/>
          <w:lang w:val="fr-FR"/>
        </w:rPr>
        <w:t>oisirs et activi</w:t>
      </w:r>
      <w:r w:rsidR="003470E7">
        <w:rPr>
          <w:noProof/>
          <w:lang w:val="fr-FR"/>
        </w:rPr>
        <w:t>t</w:t>
      </w:r>
      <w:r w:rsidR="00A93A1A">
        <w:rPr>
          <w:noProof/>
          <w:lang w:val="fr-FR"/>
        </w:rPr>
        <w:t xml:space="preserve">és </w:t>
      </w:r>
      <w:r w:rsidR="003915B7" w:rsidRPr="00DD03D6">
        <w:rPr>
          <w:noProof/>
          <w:lang w:val="fr-FR"/>
        </w:rPr>
        <w:t>cultur</w:t>
      </w:r>
      <w:r w:rsidR="00A93A1A">
        <w:rPr>
          <w:noProof/>
          <w:lang w:val="fr-FR"/>
        </w:rPr>
        <w:t>elles</w:t>
      </w:r>
      <w:r w:rsidR="003915B7" w:rsidRPr="00DD03D6">
        <w:rPr>
          <w:noProof/>
          <w:lang w:val="fr-FR"/>
        </w:rPr>
        <w:tab/>
      </w:r>
      <w:r w:rsidRPr="00DD03D6">
        <w:rPr>
          <w:noProof/>
          <w:lang w:val="fr-FR"/>
        </w:rPr>
        <w:tab/>
      </w:r>
      <w:r w:rsidR="005742D3" w:rsidRPr="00DD03D6">
        <w:rPr>
          <w:noProof/>
          <w:lang w:val="fr-FR"/>
        </w:rPr>
        <w:t>567–659</w:t>
      </w:r>
      <w:r w:rsidRPr="00DD03D6">
        <w:rPr>
          <w:noProof/>
          <w:lang w:val="fr-FR"/>
        </w:rPr>
        <w:tab/>
      </w:r>
      <w:r w:rsidR="005742D3" w:rsidRPr="00DD03D6">
        <w:rPr>
          <w:noProof/>
          <w:lang w:val="fr-FR"/>
        </w:rPr>
        <w:t>1</w:t>
      </w:r>
      <w:r w:rsidR="002C0F88">
        <w:rPr>
          <w:noProof/>
          <w:lang w:val="fr-FR"/>
        </w:rPr>
        <w:t>26</w:t>
      </w:r>
    </w:p>
    <w:p w:rsidR="003915B7" w:rsidRPr="00DD03D6" w:rsidRDefault="00E26C69" w:rsidP="00403000">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A.</w:t>
      </w:r>
      <w:r w:rsidR="003915B7" w:rsidRPr="00DD03D6">
        <w:rPr>
          <w:noProof/>
          <w:lang w:val="fr-FR"/>
        </w:rPr>
        <w:tab/>
      </w:r>
      <w:r w:rsidR="00A93A1A">
        <w:rPr>
          <w:noProof/>
          <w:lang w:val="fr-FR"/>
        </w:rPr>
        <w:t>Droit à l’é</w:t>
      </w:r>
      <w:r w:rsidR="003915B7" w:rsidRPr="00DD03D6">
        <w:rPr>
          <w:noProof/>
          <w:lang w:val="fr-FR"/>
        </w:rPr>
        <w:t>ducation</w:t>
      </w:r>
      <w:r w:rsidR="003915B7" w:rsidRPr="00DD03D6">
        <w:rPr>
          <w:noProof/>
          <w:lang w:val="fr-FR"/>
        </w:rPr>
        <w:tab/>
      </w:r>
      <w:r w:rsidRPr="00DD03D6">
        <w:rPr>
          <w:noProof/>
          <w:lang w:val="fr-FR"/>
        </w:rPr>
        <w:tab/>
      </w:r>
      <w:r w:rsidR="005742D3" w:rsidRPr="00DD03D6">
        <w:rPr>
          <w:noProof/>
          <w:lang w:val="fr-FR"/>
        </w:rPr>
        <w:t>567</w:t>
      </w:r>
      <w:r w:rsidRPr="00DD03D6">
        <w:rPr>
          <w:noProof/>
          <w:lang w:val="fr-FR"/>
        </w:rPr>
        <w:tab/>
      </w:r>
      <w:r w:rsidR="005742D3" w:rsidRPr="00DD03D6">
        <w:rPr>
          <w:noProof/>
          <w:lang w:val="fr-FR"/>
        </w:rPr>
        <w:t>1</w:t>
      </w:r>
      <w:r w:rsidR="002C0F88">
        <w:rPr>
          <w:noProof/>
          <w:lang w:val="fr-FR"/>
        </w:rPr>
        <w:t>26</w:t>
      </w:r>
    </w:p>
    <w:p w:rsidR="003915B7" w:rsidRPr="00DD03D6" w:rsidRDefault="00E26C69" w:rsidP="00403000">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B.</w:t>
      </w:r>
      <w:r w:rsidR="003915B7" w:rsidRPr="00DD03D6">
        <w:rPr>
          <w:noProof/>
          <w:lang w:val="fr-FR"/>
        </w:rPr>
        <w:tab/>
      </w:r>
      <w:r w:rsidR="00A93A1A">
        <w:rPr>
          <w:noProof/>
          <w:lang w:val="fr-FR"/>
        </w:rPr>
        <w:t>Buts de l’é</w:t>
      </w:r>
      <w:r w:rsidR="003915B7" w:rsidRPr="00DD03D6">
        <w:rPr>
          <w:noProof/>
          <w:lang w:val="fr-FR"/>
        </w:rPr>
        <w:t>ducation</w:t>
      </w:r>
      <w:r w:rsidR="003915B7" w:rsidRPr="00DD03D6">
        <w:rPr>
          <w:noProof/>
          <w:lang w:val="fr-FR"/>
        </w:rPr>
        <w:tab/>
      </w:r>
      <w:r w:rsidRPr="00DD03D6">
        <w:rPr>
          <w:noProof/>
          <w:lang w:val="fr-FR"/>
        </w:rPr>
        <w:tab/>
      </w:r>
      <w:r w:rsidR="005742D3" w:rsidRPr="00DD03D6">
        <w:rPr>
          <w:noProof/>
          <w:lang w:val="fr-FR"/>
        </w:rPr>
        <w:t>568–618</w:t>
      </w:r>
      <w:r w:rsidRPr="00DD03D6">
        <w:rPr>
          <w:noProof/>
          <w:lang w:val="fr-FR"/>
        </w:rPr>
        <w:tab/>
      </w:r>
      <w:r w:rsidR="005742D3" w:rsidRPr="00DD03D6">
        <w:rPr>
          <w:noProof/>
          <w:lang w:val="fr-FR"/>
        </w:rPr>
        <w:t>1</w:t>
      </w:r>
      <w:r w:rsidR="002C0F88">
        <w:rPr>
          <w:noProof/>
          <w:lang w:val="fr-FR"/>
        </w:rPr>
        <w:t>27</w:t>
      </w:r>
    </w:p>
    <w:p w:rsidR="003915B7" w:rsidRPr="00DD03D6" w:rsidRDefault="00E26C69" w:rsidP="00A93A1A">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C.</w:t>
      </w:r>
      <w:r w:rsidR="003915B7" w:rsidRPr="00DD03D6">
        <w:rPr>
          <w:noProof/>
          <w:lang w:val="fr-FR"/>
        </w:rPr>
        <w:tab/>
      </w:r>
      <w:r w:rsidR="00A93A1A">
        <w:rPr>
          <w:lang w:val="fr-FR"/>
        </w:rPr>
        <w:t>Droits culturels des enfants appartenant à des groupes autochtones et</w:t>
      </w:r>
      <w:r w:rsidR="00A93A1A">
        <w:rPr>
          <w:lang w:val="fr-FR"/>
        </w:rPr>
        <w:br/>
        <w:t>minoritaires</w:t>
      </w:r>
      <w:r w:rsidR="003915B7" w:rsidRPr="00DD03D6">
        <w:rPr>
          <w:noProof/>
          <w:lang w:val="fr-FR"/>
        </w:rPr>
        <w:tab/>
      </w:r>
      <w:r w:rsidRPr="00DD03D6">
        <w:rPr>
          <w:noProof/>
          <w:lang w:val="fr-FR"/>
        </w:rPr>
        <w:tab/>
      </w:r>
      <w:r w:rsidR="005742D3" w:rsidRPr="00DD03D6">
        <w:rPr>
          <w:noProof/>
          <w:lang w:val="fr-FR"/>
        </w:rPr>
        <w:t>619–622</w:t>
      </w:r>
      <w:r w:rsidRPr="00DD03D6">
        <w:rPr>
          <w:noProof/>
          <w:lang w:val="fr-FR"/>
        </w:rPr>
        <w:tab/>
      </w:r>
      <w:r w:rsidR="005742D3" w:rsidRPr="00DD03D6">
        <w:rPr>
          <w:noProof/>
          <w:lang w:val="fr-FR"/>
        </w:rPr>
        <w:t>1</w:t>
      </w:r>
      <w:r w:rsidR="002C0F88">
        <w:rPr>
          <w:noProof/>
          <w:lang w:val="fr-FR"/>
        </w:rPr>
        <w:t>38</w:t>
      </w:r>
    </w:p>
    <w:p w:rsidR="003915B7" w:rsidRPr="00DD03D6" w:rsidRDefault="00E26C69"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D.</w:t>
      </w:r>
      <w:r w:rsidR="003915B7" w:rsidRPr="00DD03D6">
        <w:rPr>
          <w:noProof/>
          <w:lang w:val="fr-FR"/>
        </w:rPr>
        <w:tab/>
      </w:r>
      <w:r w:rsidR="00A93A1A">
        <w:rPr>
          <w:noProof/>
          <w:lang w:val="fr-FR"/>
        </w:rPr>
        <w:t>É</w:t>
      </w:r>
      <w:r w:rsidR="003915B7" w:rsidRPr="00DD03D6">
        <w:rPr>
          <w:noProof/>
          <w:lang w:val="fr-FR"/>
        </w:rPr>
        <w:t xml:space="preserve">ducation </w:t>
      </w:r>
      <w:r w:rsidR="00A93A1A">
        <w:rPr>
          <w:noProof/>
          <w:lang w:val="fr-FR"/>
        </w:rPr>
        <w:t xml:space="preserve">aux droits de l’homme et </w:t>
      </w:r>
      <w:r w:rsidR="003676CB">
        <w:rPr>
          <w:noProof/>
          <w:lang w:val="fr-FR"/>
        </w:rPr>
        <w:t xml:space="preserve">éducation </w:t>
      </w:r>
      <w:r w:rsidR="003915B7" w:rsidRPr="00DD03D6">
        <w:rPr>
          <w:noProof/>
          <w:lang w:val="fr-FR"/>
        </w:rPr>
        <w:t>civi</w:t>
      </w:r>
      <w:r w:rsidR="003676CB">
        <w:rPr>
          <w:noProof/>
          <w:lang w:val="fr-FR"/>
        </w:rPr>
        <w:t>que</w:t>
      </w:r>
      <w:r w:rsidR="003915B7" w:rsidRPr="00DD03D6">
        <w:rPr>
          <w:noProof/>
          <w:lang w:val="fr-FR"/>
        </w:rPr>
        <w:tab/>
      </w:r>
      <w:r w:rsidRPr="00DD03D6">
        <w:rPr>
          <w:noProof/>
          <w:lang w:val="fr-FR"/>
        </w:rPr>
        <w:tab/>
      </w:r>
      <w:r w:rsidR="005742D3" w:rsidRPr="00DD03D6">
        <w:rPr>
          <w:noProof/>
          <w:lang w:val="fr-FR"/>
        </w:rPr>
        <w:t>623–625</w:t>
      </w:r>
      <w:r w:rsidRPr="00DD03D6">
        <w:rPr>
          <w:noProof/>
          <w:lang w:val="fr-FR"/>
        </w:rPr>
        <w:tab/>
      </w:r>
      <w:r w:rsidR="005742D3" w:rsidRPr="00DD03D6">
        <w:rPr>
          <w:noProof/>
          <w:lang w:val="fr-FR"/>
        </w:rPr>
        <w:t>1</w:t>
      </w:r>
      <w:r w:rsidR="002C0F88">
        <w:rPr>
          <w:noProof/>
          <w:lang w:val="fr-FR"/>
        </w:rPr>
        <w:t>38</w:t>
      </w:r>
    </w:p>
    <w:p w:rsidR="003915B7" w:rsidRPr="00DD03D6" w:rsidRDefault="00E26C69" w:rsidP="003676CB">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E.</w:t>
      </w:r>
      <w:r w:rsidR="003915B7" w:rsidRPr="00DD03D6">
        <w:rPr>
          <w:noProof/>
          <w:lang w:val="fr-FR"/>
        </w:rPr>
        <w:tab/>
      </w:r>
      <w:r w:rsidR="003676CB">
        <w:rPr>
          <w:lang w:val="fr-FR"/>
        </w:rPr>
        <w:t>Repos, jeu, loisirs et activités récréatives, culturelles</w:t>
      </w:r>
      <w:r w:rsidR="00E92D3C">
        <w:rPr>
          <w:lang w:val="fr-FR"/>
        </w:rPr>
        <w:t xml:space="preserve"> </w:t>
      </w:r>
      <w:r w:rsidR="003676CB">
        <w:rPr>
          <w:lang w:val="fr-FR"/>
        </w:rPr>
        <w:t>et artistiques</w:t>
      </w:r>
      <w:r w:rsidR="00E92D3C">
        <w:rPr>
          <w:noProof/>
          <w:lang w:val="fr-FR"/>
        </w:rPr>
        <w:t xml:space="preserve"> </w:t>
      </w:r>
      <w:r w:rsidR="003915B7" w:rsidRPr="00DD03D6">
        <w:rPr>
          <w:noProof/>
          <w:lang w:val="fr-FR"/>
        </w:rPr>
        <w:tab/>
      </w:r>
      <w:r w:rsidRPr="00DD03D6">
        <w:rPr>
          <w:noProof/>
          <w:lang w:val="fr-FR"/>
        </w:rPr>
        <w:tab/>
      </w:r>
      <w:r w:rsidR="005742D3" w:rsidRPr="00DD03D6">
        <w:rPr>
          <w:noProof/>
          <w:lang w:val="fr-FR"/>
        </w:rPr>
        <w:t>626–659</w:t>
      </w:r>
      <w:r w:rsidRPr="00DD03D6">
        <w:rPr>
          <w:noProof/>
          <w:lang w:val="fr-FR"/>
        </w:rPr>
        <w:tab/>
      </w:r>
      <w:r w:rsidR="005742D3" w:rsidRPr="00DD03D6">
        <w:rPr>
          <w:noProof/>
          <w:lang w:val="fr-FR"/>
        </w:rPr>
        <w:t>1</w:t>
      </w:r>
      <w:r w:rsidR="002C0F88">
        <w:rPr>
          <w:noProof/>
          <w:lang w:val="fr-FR"/>
        </w:rPr>
        <w:t>39</w:t>
      </w:r>
    </w:p>
    <w:p w:rsidR="003915B7" w:rsidRPr="00DD03D6" w:rsidRDefault="00E26C69" w:rsidP="00403000">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005742D3" w:rsidRPr="00DD03D6">
        <w:rPr>
          <w:noProof/>
          <w:lang w:val="fr-FR"/>
        </w:rPr>
        <w:t>VIII</w:t>
      </w:r>
      <w:r w:rsidR="003915B7" w:rsidRPr="00DD03D6">
        <w:rPr>
          <w:noProof/>
          <w:lang w:val="fr-FR"/>
        </w:rPr>
        <w:t>.</w:t>
      </w:r>
      <w:r w:rsidR="003915B7" w:rsidRPr="00DD03D6">
        <w:rPr>
          <w:noProof/>
          <w:lang w:val="fr-FR"/>
        </w:rPr>
        <w:tab/>
      </w:r>
      <w:r w:rsidR="003676CB">
        <w:rPr>
          <w:noProof/>
          <w:lang w:val="fr-FR"/>
        </w:rPr>
        <w:t xml:space="preserve">Mesures de </w:t>
      </w:r>
      <w:r w:rsidR="00403000" w:rsidRPr="00DD03D6">
        <w:rPr>
          <w:noProof/>
          <w:lang w:val="fr-FR"/>
        </w:rPr>
        <w:t>p</w:t>
      </w:r>
      <w:r w:rsidR="003915B7" w:rsidRPr="00DD03D6">
        <w:rPr>
          <w:noProof/>
          <w:lang w:val="fr-FR"/>
        </w:rPr>
        <w:t xml:space="preserve">rotection </w:t>
      </w:r>
      <w:r w:rsidR="003676CB">
        <w:rPr>
          <w:noProof/>
          <w:lang w:val="fr-FR"/>
        </w:rPr>
        <w:t>spéciales</w:t>
      </w:r>
      <w:r w:rsidR="003915B7" w:rsidRPr="00DD03D6">
        <w:rPr>
          <w:noProof/>
          <w:lang w:val="fr-FR"/>
        </w:rPr>
        <w:tab/>
      </w:r>
      <w:r w:rsidRPr="00DD03D6">
        <w:rPr>
          <w:noProof/>
          <w:lang w:val="fr-FR"/>
        </w:rPr>
        <w:tab/>
      </w:r>
      <w:r w:rsidR="005742D3" w:rsidRPr="00DD03D6">
        <w:rPr>
          <w:noProof/>
          <w:lang w:val="fr-FR"/>
        </w:rPr>
        <w:t>660–</w:t>
      </w:r>
      <w:r w:rsidR="000D03FC" w:rsidRPr="00DD03D6">
        <w:rPr>
          <w:noProof/>
          <w:lang w:val="fr-FR"/>
        </w:rPr>
        <w:t>727</w:t>
      </w:r>
      <w:r w:rsidRPr="00DD03D6">
        <w:rPr>
          <w:noProof/>
          <w:lang w:val="fr-FR"/>
        </w:rPr>
        <w:tab/>
      </w:r>
      <w:r w:rsidR="005742D3" w:rsidRPr="00DD03D6">
        <w:rPr>
          <w:noProof/>
          <w:lang w:val="fr-FR"/>
        </w:rPr>
        <w:t>1</w:t>
      </w:r>
      <w:r w:rsidR="002C0F88">
        <w:rPr>
          <w:noProof/>
          <w:lang w:val="fr-FR"/>
        </w:rPr>
        <w:t>49</w:t>
      </w:r>
    </w:p>
    <w:p w:rsidR="003915B7" w:rsidRPr="00DD03D6" w:rsidRDefault="00E26C69" w:rsidP="00B0572C">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A.</w:t>
      </w:r>
      <w:r w:rsidR="003915B7" w:rsidRPr="00DD03D6">
        <w:rPr>
          <w:noProof/>
          <w:lang w:val="fr-FR"/>
        </w:rPr>
        <w:tab/>
      </w:r>
      <w:r w:rsidR="00B0572C">
        <w:rPr>
          <w:lang w:val="fr-FR"/>
        </w:rPr>
        <w:t xml:space="preserve">Enfants </w:t>
      </w:r>
      <w:r w:rsidR="00AB1E7E">
        <w:rPr>
          <w:lang w:val="fr-FR"/>
        </w:rPr>
        <w:t xml:space="preserve">qui, </w:t>
      </w:r>
      <w:r w:rsidR="00B0572C">
        <w:rPr>
          <w:lang w:val="fr-FR"/>
        </w:rPr>
        <w:t xml:space="preserve">se trouvant en dehors </w:t>
      </w:r>
      <w:r w:rsidR="00AB1E7E">
        <w:rPr>
          <w:lang w:val="fr-FR"/>
        </w:rPr>
        <w:t xml:space="preserve">de leur pays d’origine, </w:t>
      </w:r>
      <w:r w:rsidR="00B0572C">
        <w:rPr>
          <w:lang w:val="fr-FR"/>
        </w:rPr>
        <w:t xml:space="preserve">demandent le </w:t>
      </w:r>
      <w:r w:rsidR="00487473">
        <w:rPr>
          <w:lang w:val="fr-FR"/>
        </w:rPr>
        <w:br/>
      </w:r>
      <w:r w:rsidR="00B0572C">
        <w:rPr>
          <w:lang w:val="fr-FR"/>
        </w:rPr>
        <w:t>statut de réfugié,</w:t>
      </w:r>
      <w:r w:rsidR="00487473">
        <w:rPr>
          <w:lang w:val="fr-FR"/>
        </w:rPr>
        <w:t xml:space="preserve"> </w:t>
      </w:r>
      <w:r w:rsidR="00B0572C">
        <w:rPr>
          <w:lang w:val="fr-FR"/>
        </w:rPr>
        <w:t xml:space="preserve">enfants non accompagnés, enfants déplacés, enfants </w:t>
      </w:r>
      <w:r w:rsidR="00487473">
        <w:rPr>
          <w:lang w:val="fr-FR"/>
        </w:rPr>
        <w:br/>
      </w:r>
      <w:r w:rsidR="00B0572C">
        <w:rPr>
          <w:lang w:val="fr-FR"/>
        </w:rPr>
        <w:t>migrants et enfants touchés par les migrations</w:t>
      </w:r>
      <w:r w:rsidR="00487473">
        <w:rPr>
          <w:lang w:val="fr-FR"/>
        </w:rPr>
        <w:tab/>
      </w:r>
      <w:r w:rsidRPr="00DD03D6">
        <w:rPr>
          <w:noProof/>
          <w:lang w:val="fr-FR"/>
        </w:rPr>
        <w:tab/>
      </w:r>
      <w:r w:rsidR="000D03FC" w:rsidRPr="00DD03D6">
        <w:rPr>
          <w:noProof/>
          <w:lang w:val="fr-FR"/>
        </w:rPr>
        <w:t>661–668</w:t>
      </w:r>
      <w:r w:rsidRPr="00DD03D6">
        <w:rPr>
          <w:noProof/>
          <w:lang w:val="fr-FR"/>
        </w:rPr>
        <w:tab/>
      </w:r>
      <w:r w:rsidR="000D03FC" w:rsidRPr="00DD03D6">
        <w:rPr>
          <w:noProof/>
          <w:lang w:val="fr-FR"/>
        </w:rPr>
        <w:t>1</w:t>
      </w:r>
      <w:r w:rsidR="002C0F88">
        <w:rPr>
          <w:noProof/>
          <w:lang w:val="fr-FR"/>
        </w:rPr>
        <w:t>49</w:t>
      </w:r>
    </w:p>
    <w:p w:rsidR="003915B7" w:rsidRPr="00DD03D6" w:rsidRDefault="00E26C69" w:rsidP="00B0572C">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B.</w:t>
      </w:r>
      <w:r w:rsidR="003915B7" w:rsidRPr="00DD03D6">
        <w:rPr>
          <w:noProof/>
          <w:lang w:val="fr-FR"/>
        </w:rPr>
        <w:tab/>
      </w:r>
      <w:r w:rsidR="00B0572C" w:rsidRPr="00B0572C">
        <w:rPr>
          <w:lang w:val="fr-FR"/>
        </w:rPr>
        <w:t xml:space="preserve">Enfants touchés </w:t>
      </w:r>
      <w:r w:rsidR="00B0572C">
        <w:rPr>
          <w:lang w:val="fr-FR"/>
        </w:rPr>
        <w:t>par des conflits armés</w:t>
      </w:r>
      <w:r w:rsidR="00B0572C" w:rsidRPr="00B0572C">
        <w:rPr>
          <w:lang w:val="fr-FR"/>
        </w:rPr>
        <w:t xml:space="preserve">, avec indication, notamment, des </w:t>
      </w:r>
      <w:r w:rsidR="00487473">
        <w:rPr>
          <w:lang w:val="fr-FR"/>
        </w:rPr>
        <w:br/>
      </w:r>
      <w:r w:rsidR="00B0572C" w:rsidRPr="00B0572C">
        <w:rPr>
          <w:lang w:val="fr-FR"/>
        </w:rPr>
        <w:t xml:space="preserve">mesures de réadaptation physique et psychologique et de réinsertion </w:t>
      </w:r>
      <w:r w:rsidR="00487473">
        <w:rPr>
          <w:lang w:val="fr-FR"/>
        </w:rPr>
        <w:br/>
      </w:r>
      <w:r w:rsidR="00B0572C" w:rsidRPr="00B0572C">
        <w:rPr>
          <w:lang w:val="fr-FR"/>
        </w:rPr>
        <w:t>sociale prises</w:t>
      </w:r>
      <w:r w:rsidR="003915B7" w:rsidRPr="00DD03D6">
        <w:rPr>
          <w:noProof/>
          <w:lang w:val="fr-FR"/>
        </w:rPr>
        <w:tab/>
      </w:r>
      <w:r w:rsidRPr="00DD03D6">
        <w:rPr>
          <w:noProof/>
          <w:lang w:val="fr-FR"/>
        </w:rPr>
        <w:tab/>
      </w:r>
      <w:r w:rsidR="000D03FC" w:rsidRPr="00DD03D6">
        <w:rPr>
          <w:noProof/>
          <w:lang w:val="fr-FR"/>
        </w:rPr>
        <w:t>669–674</w:t>
      </w:r>
      <w:r w:rsidRPr="00DD03D6">
        <w:rPr>
          <w:noProof/>
          <w:lang w:val="fr-FR"/>
        </w:rPr>
        <w:tab/>
      </w:r>
      <w:r w:rsidR="000D03FC" w:rsidRPr="00DD03D6">
        <w:rPr>
          <w:noProof/>
          <w:lang w:val="fr-FR"/>
        </w:rPr>
        <w:t>1</w:t>
      </w:r>
      <w:r w:rsidR="002C0F88">
        <w:rPr>
          <w:noProof/>
          <w:lang w:val="fr-FR"/>
        </w:rPr>
        <w:t>50</w:t>
      </w:r>
    </w:p>
    <w:p w:rsidR="003915B7" w:rsidRPr="00DD03D6" w:rsidRDefault="00E26C69" w:rsidP="00B0572C">
      <w:pPr>
        <w:tabs>
          <w:tab w:val="right" w:pos="850"/>
          <w:tab w:val="left" w:pos="1134"/>
          <w:tab w:val="left" w:pos="1559"/>
          <w:tab w:val="left" w:pos="1984"/>
          <w:tab w:val="left" w:leader="dot" w:pos="7654"/>
          <w:tab w:val="right" w:pos="8929"/>
          <w:tab w:val="right" w:pos="9638"/>
        </w:tabs>
        <w:spacing w:after="120"/>
        <w:ind w:left="1559" w:hanging="1559"/>
        <w:rPr>
          <w:noProof/>
          <w:lang w:val="fr-FR"/>
        </w:rPr>
      </w:pPr>
      <w:r w:rsidRPr="00DD03D6">
        <w:rPr>
          <w:noProof/>
          <w:lang w:val="fr-FR"/>
        </w:rPr>
        <w:tab/>
      </w:r>
      <w:r w:rsidRPr="00DD03D6">
        <w:rPr>
          <w:noProof/>
          <w:lang w:val="fr-FR"/>
        </w:rPr>
        <w:tab/>
      </w:r>
      <w:r w:rsidR="003915B7" w:rsidRPr="00DD03D6">
        <w:rPr>
          <w:noProof/>
          <w:lang w:val="fr-FR"/>
        </w:rPr>
        <w:t>C.</w:t>
      </w:r>
      <w:r w:rsidR="003915B7" w:rsidRPr="00DD03D6">
        <w:rPr>
          <w:noProof/>
          <w:lang w:val="fr-FR"/>
        </w:rPr>
        <w:tab/>
      </w:r>
      <w:r w:rsidR="00B0572C" w:rsidRPr="00B0572C">
        <w:rPr>
          <w:lang w:val="fr-FR"/>
        </w:rPr>
        <w:t xml:space="preserve">Enfants en situation d’exploitation, y compris leur réadaptation physique </w:t>
      </w:r>
      <w:r w:rsidR="00487473">
        <w:rPr>
          <w:lang w:val="fr-FR"/>
        </w:rPr>
        <w:br/>
      </w:r>
      <w:r w:rsidR="00B0572C" w:rsidRPr="00B0572C">
        <w:rPr>
          <w:lang w:val="fr-FR"/>
        </w:rPr>
        <w:t>et psychologique et leur réinsertion sociale</w:t>
      </w:r>
      <w:r w:rsidR="003915B7" w:rsidRPr="00DD03D6">
        <w:rPr>
          <w:noProof/>
          <w:lang w:val="fr-FR"/>
        </w:rPr>
        <w:tab/>
      </w:r>
      <w:r w:rsidRPr="00DD03D6">
        <w:rPr>
          <w:noProof/>
          <w:lang w:val="fr-FR"/>
        </w:rPr>
        <w:tab/>
      </w:r>
      <w:r w:rsidR="000D03FC" w:rsidRPr="00DD03D6">
        <w:rPr>
          <w:noProof/>
          <w:lang w:val="fr-FR"/>
        </w:rPr>
        <w:t>675–697</w:t>
      </w:r>
      <w:r w:rsidRPr="00DD03D6">
        <w:rPr>
          <w:noProof/>
          <w:lang w:val="fr-FR"/>
        </w:rPr>
        <w:tab/>
      </w:r>
      <w:r w:rsidR="000D03FC" w:rsidRPr="00DD03D6">
        <w:rPr>
          <w:noProof/>
          <w:lang w:val="fr-FR"/>
        </w:rPr>
        <w:t>1</w:t>
      </w:r>
      <w:r w:rsidR="002C0F88">
        <w:rPr>
          <w:noProof/>
          <w:lang w:val="fr-FR"/>
        </w:rPr>
        <w:t>51</w:t>
      </w:r>
    </w:p>
    <w:p w:rsidR="003915B7" w:rsidRPr="00DD03D6" w:rsidRDefault="00E26C69"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D.</w:t>
      </w:r>
      <w:r w:rsidR="003915B7" w:rsidRPr="00DD03D6">
        <w:rPr>
          <w:noProof/>
          <w:lang w:val="fr-FR"/>
        </w:rPr>
        <w:tab/>
      </w:r>
      <w:r w:rsidR="00B174A4">
        <w:rPr>
          <w:noProof/>
          <w:lang w:val="fr-FR"/>
        </w:rPr>
        <w:t>Enfants des rues</w:t>
      </w:r>
      <w:r w:rsidR="003915B7" w:rsidRPr="00DD03D6">
        <w:rPr>
          <w:noProof/>
          <w:lang w:val="fr-FR"/>
        </w:rPr>
        <w:tab/>
      </w:r>
      <w:r w:rsidRPr="00DD03D6">
        <w:rPr>
          <w:noProof/>
          <w:lang w:val="fr-FR"/>
        </w:rPr>
        <w:tab/>
      </w:r>
      <w:r w:rsidR="000D03FC" w:rsidRPr="00DD03D6">
        <w:rPr>
          <w:noProof/>
          <w:lang w:val="fr-FR"/>
        </w:rPr>
        <w:t>698</w:t>
      </w:r>
      <w:r w:rsidRPr="00DD03D6">
        <w:rPr>
          <w:noProof/>
          <w:lang w:val="fr-FR"/>
        </w:rPr>
        <w:tab/>
      </w:r>
      <w:r w:rsidR="000D03FC" w:rsidRPr="00DD03D6">
        <w:rPr>
          <w:noProof/>
          <w:lang w:val="fr-FR"/>
        </w:rPr>
        <w:t>1</w:t>
      </w:r>
      <w:r w:rsidR="002C0F88">
        <w:rPr>
          <w:noProof/>
          <w:lang w:val="fr-FR"/>
        </w:rPr>
        <w:t>55</w:t>
      </w:r>
    </w:p>
    <w:p w:rsidR="003915B7" w:rsidRPr="00DD03D6" w:rsidRDefault="00E26C69"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E.</w:t>
      </w:r>
      <w:r w:rsidR="003915B7" w:rsidRPr="00DD03D6">
        <w:rPr>
          <w:noProof/>
          <w:lang w:val="fr-FR"/>
        </w:rPr>
        <w:tab/>
      </w:r>
      <w:r w:rsidR="00AB1E7E">
        <w:rPr>
          <w:noProof/>
          <w:lang w:val="fr-FR"/>
        </w:rPr>
        <w:t>Enfants en situation de confli</w:t>
      </w:r>
      <w:r w:rsidR="003915B7" w:rsidRPr="00DD03D6">
        <w:rPr>
          <w:noProof/>
          <w:lang w:val="fr-FR"/>
        </w:rPr>
        <w:t xml:space="preserve">t </w:t>
      </w:r>
      <w:r w:rsidR="00AB1E7E">
        <w:rPr>
          <w:noProof/>
          <w:lang w:val="fr-FR"/>
        </w:rPr>
        <w:t>avec la loi</w:t>
      </w:r>
      <w:r w:rsidR="003915B7" w:rsidRPr="00DD03D6">
        <w:rPr>
          <w:noProof/>
          <w:lang w:val="fr-FR"/>
        </w:rPr>
        <w:t xml:space="preserve">, </w:t>
      </w:r>
      <w:r w:rsidR="00AB1E7E">
        <w:rPr>
          <w:noProof/>
          <w:lang w:val="fr-FR"/>
        </w:rPr>
        <w:t>et enfants victimes et témoins</w:t>
      </w:r>
      <w:r w:rsidR="003915B7" w:rsidRPr="00DD03D6">
        <w:rPr>
          <w:noProof/>
          <w:lang w:val="fr-FR"/>
        </w:rPr>
        <w:tab/>
      </w:r>
      <w:r w:rsidRPr="00DD03D6">
        <w:rPr>
          <w:noProof/>
          <w:lang w:val="fr-FR"/>
        </w:rPr>
        <w:tab/>
      </w:r>
      <w:r w:rsidR="000D03FC" w:rsidRPr="00DD03D6">
        <w:rPr>
          <w:noProof/>
          <w:lang w:val="fr-FR"/>
        </w:rPr>
        <w:t>699–726</w:t>
      </w:r>
      <w:r w:rsidRPr="00DD03D6">
        <w:rPr>
          <w:noProof/>
          <w:lang w:val="fr-FR"/>
        </w:rPr>
        <w:tab/>
      </w:r>
      <w:r w:rsidR="002C0F88">
        <w:rPr>
          <w:noProof/>
          <w:lang w:val="fr-FR"/>
        </w:rPr>
        <w:t>15</w:t>
      </w:r>
      <w:r w:rsidR="000D03FC" w:rsidRPr="00DD03D6">
        <w:rPr>
          <w:noProof/>
          <w:lang w:val="fr-FR"/>
        </w:rPr>
        <w:t>5</w:t>
      </w:r>
    </w:p>
    <w:p w:rsidR="003915B7" w:rsidRPr="00DD03D6" w:rsidRDefault="00E26C69" w:rsidP="003915B7">
      <w:pPr>
        <w:tabs>
          <w:tab w:val="right" w:pos="850"/>
          <w:tab w:val="left" w:pos="1134"/>
          <w:tab w:val="left" w:pos="1559"/>
          <w:tab w:val="left" w:pos="1984"/>
          <w:tab w:val="left" w:leader="dot" w:pos="7654"/>
          <w:tab w:val="right" w:pos="8929"/>
          <w:tab w:val="right" w:pos="9638"/>
        </w:tabs>
        <w:spacing w:after="120"/>
        <w:rPr>
          <w:noProof/>
          <w:lang w:val="fr-FR"/>
        </w:rPr>
      </w:pPr>
      <w:r w:rsidRPr="00DD03D6">
        <w:rPr>
          <w:noProof/>
          <w:lang w:val="fr-FR"/>
        </w:rPr>
        <w:tab/>
      </w:r>
      <w:r w:rsidRPr="00DD03D6">
        <w:rPr>
          <w:noProof/>
          <w:lang w:val="fr-FR"/>
        </w:rPr>
        <w:tab/>
      </w:r>
      <w:r w:rsidR="003915B7" w:rsidRPr="00DD03D6">
        <w:rPr>
          <w:noProof/>
          <w:lang w:val="fr-FR"/>
        </w:rPr>
        <w:t>F.</w:t>
      </w:r>
      <w:r w:rsidR="003915B7" w:rsidRPr="00DD03D6">
        <w:rPr>
          <w:noProof/>
          <w:lang w:val="fr-FR"/>
        </w:rPr>
        <w:tab/>
      </w:r>
      <w:r w:rsidR="00AB1E7E" w:rsidRPr="00AB1E7E">
        <w:rPr>
          <w:lang w:val="fr-FR"/>
        </w:rPr>
        <w:t>Enfants appartenant à une minorité ou à un groupe autochtone</w:t>
      </w:r>
      <w:r w:rsidR="003915B7" w:rsidRPr="00DD03D6">
        <w:rPr>
          <w:noProof/>
          <w:lang w:val="fr-FR"/>
        </w:rPr>
        <w:tab/>
      </w:r>
      <w:r w:rsidRPr="00DD03D6">
        <w:rPr>
          <w:noProof/>
          <w:lang w:val="fr-FR"/>
        </w:rPr>
        <w:tab/>
      </w:r>
      <w:r w:rsidR="000D03FC" w:rsidRPr="00DD03D6">
        <w:rPr>
          <w:noProof/>
          <w:lang w:val="fr-FR"/>
        </w:rPr>
        <w:t>727</w:t>
      </w:r>
      <w:r w:rsidRPr="00DD03D6">
        <w:rPr>
          <w:noProof/>
          <w:lang w:val="fr-FR"/>
        </w:rPr>
        <w:tab/>
      </w:r>
      <w:r w:rsidR="000D03FC" w:rsidRPr="00DD03D6">
        <w:rPr>
          <w:noProof/>
          <w:lang w:val="fr-FR"/>
        </w:rPr>
        <w:t>1</w:t>
      </w:r>
      <w:r w:rsidR="002C0F88">
        <w:rPr>
          <w:noProof/>
          <w:lang w:val="fr-FR"/>
        </w:rPr>
        <w:t>60</w:t>
      </w:r>
    </w:p>
    <w:p w:rsidR="003722FE" w:rsidRPr="00DD03D6" w:rsidRDefault="003722FE" w:rsidP="003722FE">
      <w:pPr>
        <w:pStyle w:val="HChG"/>
        <w:rPr>
          <w:noProof/>
          <w:lang w:val="fr-FR"/>
        </w:rPr>
      </w:pPr>
      <w:r w:rsidRPr="00DD03D6">
        <w:rPr>
          <w:noProof/>
          <w:lang w:val="fr-FR"/>
        </w:rPr>
        <w:br w:type="page"/>
      </w:r>
      <w:bookmarkStart w:id="1" w:name="_Toc356430834"/>
      <w:r w:rsidRPr="00DD03D6">
        <w:rPr>
          <w:noProof/>
          <w:lang w:val="fr-FR"/>
        </w:rPr>
        <w:lastRenderedPageBreak/>
        <w:tab/>
      </w:r>
      <w:r w:rsidRPr="00DD03D6">
        <w:rPr>
          <w:noProof/>
          <w:lang w:val="fr-FR"/>
        </w:rPr>
        <w:tab/>
        <w:t>Acronym</w:t>
      </w:r>
      <w:r w:rsidR="00AB1E7E">
        <w:rPr>
          <w:noProof/>
          <w:lang w:val="fr-FR"/>
        </w:rPr>
        <w:t>e</w:t>
      </w:r>
      <w:r w:rsidRPr="00DD03D6">
        <w:rPr>
          <w:noProof/>
          <w:lang w:val="fr-FR"/>
        </w:rPr>
        <w:t>s</w:t>
      </w:r>
      <w:bookmarkEnd w:id="1"/>
    </w:p>
    <w:p w:rsidR="00857FEC" w:rsidRDefault="00857FEC" w:rsidP="00A73FC5">
      <w:pPr>
        <w:pStyle w:val="SingleTxtG"/>
        <w:tabs>
          <w:tab w:val="left" w:pos="2268"/>
        </w:tabs>
        <w:spacing w:after="100" w:line="220" w:lineRule="atLeast"/>
        <w:rPr>
          <w:noProof/>
          <w:lang w:val="fr-FR"/>
        </w:rPr>
      </w:pPr>
      <w:r>
        <w:rPr>
          <w:noProof/>
          <w:lang w:val="fr-FR"/>
        </w:rPr>
        <w:t>EPSEN</w:t>
      </w:r>
      <w:r>
        <w:rPr>
          <w:noProof/>
          <w:lang w:val="fr-FR"/>
        </w:rPr>
        <w:tab/>
      </w:r>
      <w:r w:rsidR="00487473">
        <w:rPr>
          <w:noProof/>
          <w:lang w:val="fr-FR"/>
        </w:rPr>
        <w:t>É</w:t>
      </w:r>
      <w:r>
        <w:rPr>
          <w:noProof/>
          <w:lang w:val="fr-FR"/>
        </w:rPr>
        <w:t>ducation des personnes ayant des besoins éducatifs spéciaux</w:t>
      </w:r>
    </w:p>
    <w:p w:rsidR="00A73FC5" w:rsidRPr="00DD03D6" w:rsidRDefault="00A00880" w:rsidP="00A73FC5">
      <w:pPr>
        <w:pStyle w:val="SingleTxtG"/>
        <w:tabs>
          <w:tab w:val="left" w:pos="2268"/>
        </w:tabs>
        <w:spacing w:after="100" w:line="220" w:lineRule="atLeast"/>
        <w:rPr>
          <w:noProof/>
          <w:lang w:val="fr-FR"/>
        </w:rPr>
      </w:pPr>
      <w:r>
        <w:rPr>
          <w:noProof/>
          <w:lang w:val="fr-FR"/>
        </w:rPr>
        <w:t>ETP</w:t>
      </w:r>
      <w:r>
        <w:rPr>
          <w:noProof/>
          <w:lang w:val="fr-FR"/>
        </w:rPr>
        <w:tab/>
      </w:r>
      <w:r w:rsidR="00487473">
        <w:rPr>
          <w:noProof/>
          <w:lang w:val="fr-FR"/>
        </w:rPr>
        <w:t>É</w:t>
      </w:r>
      <w:r>
        <w:rPr>
          <w:noProof/>
          <w:lang w:val="fr-FR"/>
        </w:rPr>
        <w:t>quivalent temps plein</w:t>
      </w:r>
    </w:p>
    <w:p w:rsidR="00161BCD" w:rsidRDefault="00161BCD" w:rsidP="00A73FC5">
      <w:pPr>
        <w:pStyle w:val="SingleTxtG"/>
        <w:tabs>
          <w:tab w:val="left" w:pos="2268"/>
        </w:tabs>
        <w:spacing w:after="100" w:line="220" w:lineRule="atLeast"/>
        <w:rPr>
          <w:noProof/>
          <w:lang w:val="fr-FR"/>
        </w:rPr>
      </w:pPr>
      <w:r>
        <w:rPr>
          <w:noProof/>
          <w:lang w:val="fr-FR"/>
        </w:rPr>
        <w:t>PIB</w:t>
      </w:r>
      <w:r>
        <w:rPr>
          <w:noProof/>
          <w:lang w:val="fr-FR"/>
        </w:rPr>
        <w:tab/>
      </w:r>
      <w:r w:rsidR="00487473">
        <w:rPr>
          <w:noProof/>
          <w:lang w:val="fr-FR"/>
        </w:rPr>
        <w:t>P</w:t>
      </w:r>
      <w:r>
        <w:rPr>
          <w:noProof/>
          <w:lang w:val="fr-FR"/>
        </w:rPr>
        <w:t>roduit intérieur brut</w:t>
      </w:r>
    </w:p>
    <w:p w:rsidR="006F02BB" w:rsidRPr="00DD03D6" w:rsidRDefault="006F02BB" w:rsidP="00A73FC5">
      <w:pPr>
        <w:pStyle w:val="SingleTxtG"/>
        <w:tabs>
          <w:tab w:val="left" w:pos="2268"/>
        </w:tabs>
        <w:spacing w:after="100" w:line="220" w:lineRule="atLeast"/>
        <w:rPr>
          <w:noProof/>
          <w:lang w:val="fr-FR"/>
        </w:rPr>
      </w:pPr>
      <w:r w:rsidRPr="00DD03D6">
        <w:rPr>
          <w:noProof/>
          <w:lang w:val="fr-FR"/>
        </w:rPr>
        <w:t>U</w:t>
      </w:r>
      <w:r w:rsidR="00A00880">
        <w:rPr>
          <w:noProof/>
          <w:lang w:val="fr-FR"/>
        </w:rPr>
        <w:t>E</w:t>
      </w:r>
      <w:r w:rsidRPr="00DD03D6">
        <w:rPr>
          <w:noProof/>
          <w:lang w:val="fr-FR"/>
        </w:rPr>
        <w:tab/>
        <w:t>Union</w:t>
      </w:r>
      <w:r w:rsidR="00A00880">
        <w:rPr>
          <w:noProof/>
          <w:lang w:val="fr-FR"/>
        </w:rPr>
        <w:t xml:space="preserve"> européenne</w:t>
      </w:r>
    </w:p>
    <w:p w:rsidR="0085041B" w:rsidRPr="00DD03D6" w:rsidRDefault="003722FE" w:rsidP="0085041B">
      <w:pPr>
        <w:pStyle w:val="HChG"/>
        <w:rPr>
          <w:noProof/>
          <w:lang w:val="fr-FR"/>
        </w:rPr>
      </w:pPr>
      <w:r w:rsidRPr="00DD03D6">
        <w:rPr>
          <w:noProof/>
          <w:lang w:val="fr-FR"/>
        </w:rPr>
        <w:br w:type="page"/>
      </w:r>
      <w:bookmarkStart w:id="2" w:name="_Toc356430832"/>
      <w:r w:rsidR="0085041B" w:rsidRPr="00DD03D6">
        <w:rPr>
          <w:noProof/>
          <w:lang w:val="fr-FR"/>
        </w:rPr>
        <w:lastRenderedPageBreak/>
        <w:tab/>
      </w:r>
      <w:r w:rsidR="0085041B" w:rsidRPr="00DD03D6">
        <w:rPr>
          <w:noProof/>
          <w:lang w:val="fr-FR"/>
        </w:rPr>
        <w:tab/>
      </w:r>
      <w:bookmarkEnd w:id="2"/>
      <w:r w:rsidR="0085041B" w:rsidRPr="00DD03D6">
        <w:rPr>
          <w:noProof/>
          <w:lang w:val="fr-FR"/>
        </w:rPr>
        <w:t>List</w:t>
      </w:r>
      <w:r w:rsidR="0085041B">
        <w:rPr>
          <w:noProof/>
          <w:lang w:val="fr-FR"/>
        </w:rPr>
        <w:t>es</w:t>
      </w:r>
      <w:r w:rsidR="0085041B" w:rsidRPr="00DD03D6">
        <w:rPr>
          <w:noProof/>
          <w:lang w:val="fr-FR"/>
        </w:rPr>
        <w:t xml:space="preserve"> </w:t>
      </w:r>
      <w:r w:rsidR="0085041B">
        <w:rPr>
          <w:noProof/>
          <w:lang w:val="fr-FR"/>
        </w:rPr>
        <w:t>des</w:t>
      </w:r>
      <w:r w:rsidR="0085041B" w:rsidRPr="00DD03D6">
        <w:rPr>
          <w:noProof/>
          <w:lang w:val="fr-FR"/>
        </w:rPr>
        <w:t xml:space="preserve"> table</w:t>
      </w:r>
      <w:r w:rsidR="0085041B">
        <w:rPr>
          <w:noProof/>
          <w:lang w:val="fr-FR"/>
        </w:rPr>
        <w:t>aux</w:t>
      </w:r>
    </w:p>
    <w:p w:rsidR="0085041B" w:rsidRPr="00DD03D6" w:rsidRDefault="0085041B" w:rsidP="0085041B">
      <w:pPr>
        <w:tabs>
          <w:tab w:val="right" w:pos="9638"/>
        </w:tabs>
        <w:spacing w:after="120"/>
        <w:ind w:left="283"/>
        <w:rPr>
          <w:noProof/>
          <w:lang w:val="fr-FR"/>
        </w:rPr>
      </w:pPr>
      <w:r>
        <w:rPr>
          <w:i/>
          <w:noProof/>
          <w:sz w:val="18"/>
          <w:szCs w:val="18"/>
          <w:lang w:val="fr-FR"/>
        </w:rPr>
        <w:tab/>
      </w:r>
      <w:r w:rsidRPr="00DD03D6">
        <w:rPr>
          <w:i/>
          <w:noProof/>
          <w:sz w:val="18"/>
          <w:szCs w:val="18"/>
          <w:lang w:val="fr-FR"/>
        </w:rPr>
        <w:t>Page</w:t>
      </w:r>
    </w:p>
    <w:p w:rsidR="0085041B" w:rsidRPr="00DD03D6" w:rsidRDefault="0085041B" w:rsidP="0085041B">
      <w:pPr>
        <w:tabs>
          <w:tab w:val="left" w:leader="dot" w:pos="9072"/>
          <w:tab w:val="right" w:pos="9639"/>
        </w:tabs>
        <w:spacing w:after="120"/>
        <w:ind w:left="1134"/>
        <w:rPr>
          <w:noProof/>
          <w:lang w:val="fr-FR"/>
        </w:rPr>
      </w:pPr>
      <w:r w:rsidRPr="00DD03D6">
        <w:rPr>
          <w:noProof/>
          <w:lang w:val="fr-FR"/>
        </w:rPr>
        <w:t>Table</w:t>
      </w:r>
      <w:r>
        <w:rPr>
          <w:noProof/>
          <w:lang w:val="fr-FR"/>
        </w:rPr>
        <w:t>au</w:t>
      </w:r>
      <w:r w:rsidRPr="00DD03D6">
        <w:rPr>
          <w:noProof/>
          <w:lang w:val="fr-FR"/>
        </w:rPr>
        <w:t xml:space="preserve"> 1</w:t>
      </w:r>
      <w:r>
        <w:rPr>
          <w:noProof/>
          <w:lang w:val="fr-FR"/>
        </w:rPr>
        <w:t> </w:t>
      </w:r>
      <w:r w:rsidRPr="00DD03D6">
        <w:rPr>
          <w:noProof/>
          <w:lang w:val="fr-FR"/>
        </w:rPr>
        <w:t xml:space="preserve">: </w:t>
      </w:r>
      <w:r>
        <w:rPr>
          <w:noProof/>
          <w:lang w:val="fr-FR"/>
        </w:rPr>
        <w:t>Raison principale de la prise en charge, par type de prise en charge</w:t>
      </w:r>
      <w:r w:rsidRPr="00DD03D6">
        <w:rPr>
          <w:noProof/>
          <w:lang w:val="fr-FR"/>
        </w:rPr>
        <w:t xml:space="preserve"> (2011)</w:t>
      </w:r>
      <w:r>
        <w:rPr>
          <w:noProof/>
          <w:lang w:val="fr-FR"/>
        </w:rPr>
        <w:tab/>
      </w:r>
      <w:r>
        <w:rPr>
          <w:noProof/>
          <w:lang w:val="fr-FR"/>
        </w:rPr>
        <w:tab/>
        <w:t>35</w:t>
      </w:r>
    </w:p>
    <w:p w:rsidR="0085041B" w:rsidRPr="00DD03D6" w:rsidRDefault="0085041B" w:rsidP="0085041B">
      <w:pPr>
        <w:tabs>
          <w:tab w:val="left" w:leader="dot" w:pos="9072"/>
          <w:tab w:val="right" w:pos="9638"/>
        </w:tabs>
        <w:spacing w:after="120"/>
        <w:ind w:left="1134"/>
        <w:rPr>
          <w:noProof/>
          <w:lang w:val="fr-FR"/>
        </w:rPr>
      </w:pPr>
      <w:r w:rsidRPr="00DD03D6">
        <w:rPr>
          <w:noProof/>
          <w:lang w:val="fr-FR"/>
        </w:rPr>
        <w:t>Table</w:t>
      </w:r>
      <w:r>
        <w:rPr>
          <w:noProof/>
          <w:lang w:val="fr-FR"/>
        </w:rPr>
        <w:t>au</w:t>
      </w:r>
      <w:r w:rsidRPr="00DD03D6">
        <w:rPr>
          <w:noProof/>
          <w:lang w:val="fr-FR"/>
        </w:rPr>
        <w:t xml:space="preserve"> 2</w:t>
      </w:r>
      <w:r>
        <w:rPr>
          <w:noProof/>
          <w:lang w:val="fr-FR"/>
        </w:rPr>
        <w:t> </w:t>
      </w:r>
      <w:r w:rsidRPr="00DD03D6">
        <w:rPr>
          <w:noProof/>
          <w:lang w:val="fr-FR"/>
        </w:rPr>
        <w:t xml:space="preserve">: </w:t>
      </w:r>
      <w:r>
        <w:rPr>
          <w:noProof/>
          <w:lang w:val="fr-FR"/>
        </w:rPr>
        <w:t>Crédits mis à la disposition du Ministère de l’enfance et de la jeunesse</w:t>
      </w:r>
      <w:r w:rsidRPr="00DD03D6">
        <w:rPr>
          <w:noProof/>
          <w:lang w:val="fr-FR"/>
        </w:rPr>
        <w:t>, 2011-2012</w:t>
      </w:r>
      <w:r>
        <w:rPr>
          <w:noProof/>
          <w:lang w:val="fr-FR"/>
        </w:rPr>
        <w:t xml:space="preserve"> </w:t>
      </w:r>
      <w:r w:rsidRPr="00DD03D6">
        <w:rPr>
          <w:noProof/>
          <w:lang w:val="fr-FR"/>
        </w:rPr>
        <w:tab/>
      </w:r>
      <w:r w:rsidRPr="00DD03D6">
        <w:rPr>
          <w:noProof/>
          <w:lang w:val="fr-FR"/>
        </w:rPr>
        <w:tab/>
      </w:r>
      <w:r>
        <w:rPr>
          <w:noProof/>
          <w:lang w:val="fr-FR"/>
        </w:rPr>
        <w:t>50</w:t>
      </w:r>
    </w:p>
    <w:p w:rsidR="0085041B" w:rsidRPr="00DD03D6" w:rsidRDefault="0085041B" w:rsidP="0085041B">
      <w:pPr>
        <w:tabs>
          <w:tab w:val="left" w:leader="dot" w:pos="9072"/>
          <w:tab w:val="right" w:pos="9638"/>
        </w:tabs>
        <w:spacing w:after="120"/>
        <w:ind w:left="1134"/>
        <w:rPr>
          <w:noProof/>
          <w:lang w:val="fr-FR"/>
        </w:rPr>
      </w:pPr>
      <w:r w:rsidRPr="00DD03D6">
        <w:rPr>
          <w:noProof/>
          <w:lang w:val="fr-FR"/>
        </w:rPr>
        <w:t>Table</w:t>
      </w:r>
      <w:r>
        <w:rPr>
          <w:noProof/>
          <w:lang w:val="fr-FR"/>
        </w:rPr>
        <w:t>au</w:t>
      </w:r>
      <w:r w:rsidRPr="00DD03D6">
        <w:rPr>
          <w:noProof/>
          <w:lang w:val="fr-FR"/>
        </w:rPr>
        <w:t xml:space="preserve"> 3</w:t>
      </w:r>
      <w:r>
        <w:rPr>
          <w:noProof/>
          <w:lang w:val="fr-FR"/>
        </w:rPr>
        <w:t> </w:t>
      </w:r>
      <w:r w:rsidRPr="00DD03D6">
        <w:rPr>
          <w:noProof/>
          <w:lang w:val="fr-FR"/>
        </w:rPr>
        <w:t xml:space="preserve">: Consultations </w:t>
      </w:r>
      <w:r>
        <w:rPr>
          <w:noProof/>
          <w:lang w:val="fr-FR"/>
        </w:rPr>
        <w:t xml:space="preserve">menées auprès des enfants et </w:t>
      </w:r>
      <w:r w:rsidRPr="00DD03D6">
        <w:rPr>
          <w:noProof/>
          <w:lang w:val="fr-FR"/>
        </w:rPr>
        <w:t>publications</w:t>
      </w:r>
      <w:r>
        <w:rPr>
          <w:noProof/>
          <w:lang w:val="fr-FR"/>
        </w:rPr>
        <w:t xml:space="preserve"> auxquelles elles ont </w:t>
      </w:r>
      <w:r>
        <w:rPr>
          <w:noProof/>
          <w:lang w:val="fr-FR"/>
        </w:rPr>
        <w:br/>
        <w:t>donné lieu</w:t>
      </w:r>
      <w:r w:rsidRPr="00DD03D6">
        <w:rPr>
          <w:noProof/>
          <w:lang w:val="fr-FR"/>
        </w:rPr>
        <w:tab/>
      </w:r>
      <w:r>
        <w:rPr>
          <w:noProof/>
          <w:lang w:val="fr-FR"/>
        </w:rPr>
        <w:tab/>
        <w:t>55</w:t>
      </w:r>
    </w:p>
    <w:p w:rsidR="0085041B" w:rsidRPr="00DD03D6" w:rsidRDefault="0085041B" w:rsidP="0085041B">
      <w:pPr>
        <w:tabs>
          <w:tab w:val="left" w:leader="dot" w:pos="9072"/>
          <w:tab w:val="right" w:pos="9638"/>
        </w:tabs>
        <w:spacing w:after="120"/>
        <w:ind w:left="1134"/>
        <w:rPr>
          <w:noProof/>
          <w:lang w:val="fr-FR"/>
        </w:rPr>
      </w:pPr>
      <w:r w:rsidRPr="00DD03D6">
        <w:rPr>
          <w:noProof/>
          <w:lang w:val="fr-FR"/>
        </w:rPr>
        <w:t>Table</w:t>
      </w:r>
      <w:r>
        <w:rPr>
          <w:noProof/>
          <w:lang w:val="fr-FR"/>
        </w:rPr>
        <w:t>au</w:t>
      </w:r>
      <w:r w:rsidRPr="00DD03D6">
        <w:rPr>
          <w:noProof/>
          <w:lang w:val="fr-FR"/>
        </w:rPr>
        <w:t xml:space="preserve"> 4</w:t>
      </w:r>
      <w:r>
        <w:rPr>
          <w:noProof/>
          <w:lang w:val="fr-FR"/>
        </w:rPr>
        <w:t> </w:t>
      </w:r>
      <w:r w:rsidRPr="00DD03D6">
        <w:rPr>
          <w:noProof/>
          <w:lang w:val="fr-FR"/>
        </w:rPr>
        <w:t>: D</w:t>
      </w:r>
      <w:r>
        <w:rPr>
          <w:noProof/>
          <w:lang w:val="fr-FR"/>
        </w:rPr>
        <w:t>é</w:t>
      </w:r>
      <w:r w:rsidRPr="00DD03D6">
        <w:rPr>
          <w:noProof/>
          <w:lang w:val="fr-FR"/>
        </w:rPr>
        <w:t xml:space="preserve">finition </w:t>
      </w:r>
      <w:r>
        <w:rPr>
          <w:noProof/>
          <w:lang w:val="fr-FR"/>
        </w:rPr>
        <w:t>de</w:t>
      </w:r>
      <w:r w:rsidRPr="00DD03D6">
        <w:rPr>
          <w:noProof/>
          <w:lang w:val="fr-FR"/>
        </w:rPr>
        <w:t xml:space="preserve"> </w:t>
      </w:r>
      <w:r>
        <w:rPr>
          <w:noProof/>
          <w:lang w:val="fr-FR"/>
        </w:rPr>
        <w:t>« l’enfant »</w:t>
      </w:r>
      <w:r w:rsidRPr="00DD03D6">
        <w:rPr>
          <w:noProof/>
          <w:lang w:val="fr-FR"/>
        </w:rPr>
        <w:t xml:space="preserve"> </w:t>
      </w:r>
      <w:r>
        <w:rPr>
          <w:noProof/>
          <w:lang w:val="fr-FR"/>
        </w:rPr>
        <w:t xml:space="preserve">et </w:t>
      </w:r>
      <w:r w:rsidRPr="008D4388">
        <w:rPr>
          <w:noProof/>
          <w:lang w:val="fr-FR"/>
        </w:rPr>
        <w:t>dispositions relatives à l’âge minim</w:t>
      </w:r>
      <w:r>
        <w:rPr>
          <w:noProof/>
          <w:lang w:val="fr-FR"/>
        </w:rPr>
        <w:t>al</w:t>
      </w:r>
      <w:r w:rsidRPr="008D4388">
        <w:rPr>
          <w:noProof/>
          <w:lang w:val="fr-FR"/>
        </w:rPr>
        <w:t xml:space="preserve"> légal</w:t>
      </w:r>
      <w:r w:rsidRPr="00DD03D6">
        <w:rPr>
          <w:noProof/>
          <w:lang w:val="fr-FR"/>
        </w:rPr>
        <w:tab/>
      </w:r>
      <w:r w:rsidRPr="00DD03D6">
        <w:rPr>
          <w:noProof/>
          <w:lang w:val="fr-FR"/>
        </w:rPr>
        <w:tab/>
      </w:r>
      <w:r>
        <w:rPr>
          <w:noProof/>
          <w:lang w:val="fr-FR"/>
        </w:rPr>
        <w:t>59</w:t>
      </w:r>
    </w:p>
    <w:p w:rsidR="0085041B" w:rsidRPr="00DD03D6" w:rsidRDefault="0085041B" w:rsidP="0085041B">
      <w:pPr>
        <w:tabs>
          <w:tab w:val="left" w:leader="dot" w:pos="9072"/>
          <w:tab w:val="right" w:pos="9638"/>
        </w:tabs>
        <w:spacing w:after="120"/>
        <w:ind w:left="1134"/>
        <w:rPr>
          <w:noProof/>
          <w:lang w:val="fr-FR"/>
        </w:rPr>
      </w:pPr>
      <w:r w:rsidRPr="00DD03D6">
        <w:rPr>
          <w:noProof/>
          <w:lang w:val="fr-FR"/>
        </w:rPr>
        <w:t>Table</w:t>
      </w:r>
      <w:r>
        <w:rPr>
          <w:noProof/>
          <w:lang w:val="fr-FR"/>
        </w:rPr>
        <w:t>au</w:t>
      </w:r>
      <w:r w:rsidRPr="00DD03D6">
        <w:rPr>
          <w:noProof/>
          <w:lang w:val="fr-FR"/>
        </w:rPr>
        <w:t xml:space="preserve"> 5</w:t>
      </w:r>
      <w:r>
        <w:rPr>
          <w:noProof/>
          <w:lang w:val="fr-FR"/>
        </w:rPr>
        <w:t> </w:t>
      </w:r>
      <w:r w:rsidRPr="00DD03D6">
        <w:rPr>
          <w:noProof/>
          <w:lang w:val="fr-FR"/>
        </w:rPr>
        <w:t xml:space="preserve">: </w:t>
      </w:r>
      <w:r>
        <w:rPr>
          <w:noProof/>
          <w:lang w:val="fr-FR"/>
        </w:rPr>
        <w:t>Nombre de demandes d’asile présentées par des mineurs non accompagnés</w:t>
      </w:r>
      <w:r w:rsidRPr="00DD03D6">
        <w:rPr>
          <w:noProof/>
          <w:lang w:val="fr-FR"/>
        </w:rPr>
        <w:t xml:space="preserve">, </w:t>
      </w:r>
      <w:r>
        <w:rPr>
          <w:noProof/>
          <w:lang w:val="fr-FR"/>
        </w:rPr>
        <w:br/>
      </w:r>
      <w:r w:rsidRPr="00DD03D6">
        <w:rPr>
          <w:noProof/>
          <w:lang w:val="fr-FR"/>
        </w:rPr>
        <w:t>2006</w:t>
      </w:r>
      <w:r w:rsidRPr="00DD03D6">
        <w:rPr>
          <w:noProof/>
          <w:lang w:val="fr-FR"/>
        </w:rPr>
        <w:noBreakHyphen/>
        <w:t>2011</w:t>
      </w:r>
      <w:r>
        <w:rPr>
          <w:noProof/>
          <w:lang w:val="fr-FR"/>
        </w:rPr>
        <w:tab/>
      </w:r>
      <w:r>
        <w:rPr>
          <w:noProof/>
          <w:lang w:val="fr-FR"/>
        </w:rPr>
        <w:tab/>
        <w:t>89</w:t>
      </w:r>
    </w:p>
    <w:p w:rsidR="0085041B" w:rsidRPr="00DD03D6" w:rsidRDefault="0085041B" w:rsidP="0085041B">
      <w:pPr>
        <w:tabs>
          <w:tab w:val="left" w:leader="dot" w:pos="9072"/>
          <w:tab w:val="right" w:pos="9638"/>
        </w:tabs>
        <w:spacing w:after="120"/>
        <w:ind w:left="1134"/>
        <w:rPr>
          <w:noProof/>
          <w:lang w:val="fr-FR"/>
        </w:rPr>
      </w:pPr>
      <w:r w:rsidRPr="00DD03D6">
        <w:rPr>
          <w:noProof/>
          <w:lang w:val="fr-FR"/>
        </w:rPr>
        <w:t>Table</w:t>
      </w:r>
      <w:r>
        <w:rPr>
          <w:noProof/>
          <w:lang w:val="fr-FR"/>
        </w:rPr>
        <w:t>au</w:t>
      </w:r>
      <w:r w:rsidRPr="00DD03D6">
        <w:rPr>
          <w:noProof/>
          <w:lang w:val="fr-FR"/>
        </w:rPr>
        <w:t xml:space="preserve"> 6</w:t>
      </w:r>
      <w:r>
        <w:rPr>
          <w:noProof/>
          <w:lang w:val="fr-FR"/>
        </w:rPr>
        <w:t> </w:t>
      </w:r>
      <w:r w:rsidRPr="00DD03D6">
        <w:rPr>
          <w:noProof/>
          <w:lang w:val="fr-FR"/>
        </w:rPr>
        <w:t xml:space="preserve">: </w:t>
      </w:r>
      <w:r>
        <w:rPr>
          <w:noProof/>
          <w:lang w:val="fr-FR"/>
        </w:rPr>
        <w:t>Évolution du nombre des enfants placés</w:t>
      </w:r>
      <w:r w:rsidRPr="00DD03D6">
        <w:rPr>
          <w:noProof/>
          <w:lang w:val="fr-FR"/>
        </w:rPr>
        <w:t>, 2007-2011</w:t>
      </w:r>
      <w:r w:rsidRPr="00DD03D6">
        <w:rPr>
          <w:noProof/>
          <w:lang w:val="fr-FR"/>
        </w:rPr>
        <w:tab/>
      </w:r>
      <w:r w:rsidRPr="00DD03D6">
        <w:rPr>
          <w:noProof/>
          <w:lang w:val="fr-FR"/>
        </w:rPr>
        <w:tab/>
      </w:r>
      <w:r>
        <w:rPr>
          <w:noProof/>
          <w:lang w:val="fr-FR"/>
        </w:rPr>
        <w:t>91</w:t>
      </w:r>
    </w:p>
    <w:p w:rsidR="0085041B" w:rsidRPr="00DD03D6" w:rsidRDefault="0085041B" w:rsidP="0085041B">
      <w:pPr>
        <w:tabs>
          <w:tab w:val="left" w:leader="dot" w:pos="9072"/>
          <w:tab w:val="right" w:pos="9638"/>
        </w:tabs>
        <w:spacing w:after="120"/>
        <w:ind w:left="1134"/>
        <w:rPr>
          <w:noProof/>
          <w:lang w:val="fr-FR"/>
        </w:rPr>
      </w:pPr>
      <w:r w:rsidRPr="00DD03D6">
        <w:rPr>
          <w:noProof/>
          <w:lang w:val="fr-FR"/>
        </w:rPr>
        <w:t>Table</w:t>
      </w:r>
      <w:r>
        <w:rPr>
          <w:noProof/>
          <w:lang w:val="fr-FR"/>
        </w:rPr>
        <w:t>au</w:t>
      </w:r>
      <w:r w:rsidRPr="00DD03D6">
        <w:rPr>
          <w:noProof/>
          <w:lang w:val="fr-FR"/>
        </w:rPr>
        <w:t xml:space="preserve"> 7</w:t>
      </w:r>
      <w:r>
        <w:rPr>
          <w:noProof/>
          <w:lang w:val="fr-FR"/>
        </w:rPr>
        <w:t> </w:t>
      </w:r>
      <w:r w:rsidRPr="00DD03D6">
        <w:rPr>
          <w:noProof/>
          <w:lang w:val="fr-FR"/>
        </w:rPr>
        <w:t xml:space="preserve">: </w:t>
      </w:r>
      <w:r>
        <w:rPr>
          <w:noProof/>
          <w:lang w:val="fr-FR"/>
        </w:rPr>
        <w:t>Enfants placés, par</w:t>
      </w:r>
      <w:r w:rsidRPr="00DD03D6">
        <w:rPr>
          <w:noProof/>
          <w:lang w:val="fr-FR"/>
        </w:rPr>
        <w:t xml:space="preserve"> type </w:t>
      </w:r>
      <w:r>
        <w:rPr>
          <w:noProof/>
          <w:lang w:val="fr-FR"/>
        </w:rPr>
        <w:t>de</w:t>
      </w:r>
      <w:r w:rsidRPr="00DD03D6">
        <w:rPr>
          <w:noProof/>
          <w:lang w:val="fr-FR"/>
        </w:rPr>
        <w:t xml:space="preserve"> placement, </w:t>
      </w:r>
      <w:r>
        <w:rPr>
          <w:noProof/>
          <w:lang w:val="fr-FR"/>
        </w:rPr>
        <w:t>av</w:t>
      </w:r>
      <w:r w:rsidRPr="00DD03D6">
        <w:rPr>
          <w:noProof/>
          <w:lang w:val="fr-FR"/>
        </w:rPr>
        <w:t>ril 2012</w:t>
      </w:r>
      <w:r>
        <w:rPr>
          <w:noProof/>
          <w:lang w:val="fr-FR"/>
        </w:rPr>
        <w:tab/>
      </w:r>
      <w:r>
        <w:rPr>
          <w:noProof/>
          <w:lang w:val="fr-FR"/>
        </w:rPr>
        <w:tab/>
        <w:t>91</w:t>
      </w:r>
    </w:p>
    <w:p w:rsidR="0085041B" w:rsidRPr="00DD03D6" w:rsidRDefault="0085041B" w:rsidP="0085041B">
      <w:pPr>
        <w:tabs>
          <w:tab w:val="left" w:leader="dot" w:pos="9072"/>
          <w:tab w:val="right" w:pos="9638"/>
        </w:tabs>
        <w:spacing w:after="120"/>
        <w:ind w:left="1134"/>
        <w:rPr>
          <w:noProof/>
          <w:lang w:val="fr-FR"/>
        </w:rPr>
      </w:pPr>
      <w:r w:rsidRPr="00DD03D6">
        <w:rPr>
          <w:noProof/>
          <w:lang w:val="fr-FR"/>
        </w:rPr>
        <w:t>Table</w:t>
      </w:r>
      <w:r>
        <w:rPr>
          <w:noProof/>
          <w:lang w:val="fr-FR"/>
        </w:rPr>
        <w:t>au</w:t>
      </w:r>
      <w:r w:rsidRPr="00DD03D6">
        <w:rPr>
          <w:noProof/>
          <w:lang w:val="fr-FR"/>
        </w:rPr>
        <w:t xml:space="preserve"> 8</w:t>
      </w:r>
      <w:r>
        <w:rPr>
          <w:noProof/>
          <w:lang w:val="fr-FR"/>
        </w:rPr>
        <w:t> </w:t>
      </w:r>
      <w:r w:rsidRPr="00DD03D6">
        <w:rPr>
          <w:noProof/>
          <w:lang w:val="fr-FR"/>
        </w:rPr>
        <w:t xml:space="preserve">: </w:t>
      </w:r>
      <w:r w:rsidRPr="00DD03D6">
        <w:rPr>
          <w:noProof/>
          <w:lang w:val="fr-FR" w:eastAsia="en-GB"/>
        </w:rPr>
        <w:t>N</w:t>
      </w:r>
      <w:r>
        <w:rPr>
          <w:noProof/>
          <w:lang w:val="fr-FR" w:eastAsia="en-GB"/>
        </w:rPr>
        <w:t>o</w:t>
      </w:r>
      <w:r w:rsidRPr="00DD03D6">
        <w:rPr>
          <w:noProof/>
          <w:lang w:val="fr-FR" w:eastAsia="en-GB"/>
        </w:rPr>
        <w:t>mb</w:t>
      </w:r>
      <w:r>
        <w:rPr>
          <w:noProof/>
          <w:lang w:val="fr-FR" w:eastAsia="en-GB"/>
        </w:rPr>
        <w:t xml:space="preserve">re d’enfants enlevés pour être emmenés hors d’Irlande ou en Irlande </w:t>
      </w:r>
      <w:r w:rsidRPr="00DD03D6">
        <w:rPr>
          <w:noProof/>
          <w:lang w:val="fr-FR" w:eastAsia="en-GB"/>
        </w:rPr>
        <w:t>(n</w:t>
      </w:r>
      <w:r>
        <w:rPr>
          <w:noProof/>
          <w:lang w:val="fr-FR" w:eastAsia="en-GB"/>
        </w:rPr>
        <w:t>ouvelles demandes</w:t>
      </w:r>
      <w:r w:rsidRPr="00DD03D6">
        <w:rPr>
          <w:noProof/>
          <w:lang w:val="fr-FR" w:eastAsia="en-GB"/>
        </w:rPr>
        <w:t>), 2006-2010</w:t>
      </w:r>
      <w:r w:rsidRPr="00DD03D6">
        <w:rPr>
          <w:noProof/>
          <w:lang w:val="fr-FR"/>
        </w:rPr>
        <w:tab/>
      </w:r>
      <w:r w:rsidRPr="00DD03D6">
        <w:rPr>
          <w:noProof/>
          <w:lang w:val="fr-FR"/>
        </w:rPr>
        <w:tab/>
      </w:r>
      <w:r>
        <w:rPr>
          <w:noProof/>
          <w:lang w:val="fr-FR"/>
        </w:rPr>
        <w:t>101</w:t>
      </w:r>
    </w:p>
    <w:p w:rsidR="0085041B" w:rsidRPr="00DD03D6" w:rsidRDefault="0085041B" w:rsidP="0085041B">
      <w:pPr>
        <w:tabs>
          <w:tab w:val="left" w:leader="dot" w:pos="9072"/>
          <w:tab w:val="right" w:pos="9638"/>
        </w:tabs>
        <w:spacing w:after="120"/>
        <w:ind w:left="1134"/>
        <w:rPr>
          <w:noProof/>
          <w:lang w:val="fr-FR"/>
        </w:rPr>
      </w:pPr>
      <w:r w:rsidRPr="00DD03D6">
        <w:rPr>
          <w:noProof/>
          <w:lang w:val="fr-FR"/>
        </w:rPr>
        <w:t>Table</w:t>
      </w:r>
      <w:r>
        <w:rPr>
          <w:noProof/>
          <w:lang w:val="fr-FR"/>
        </w:rPr>
        <w:t>au</w:t>
      </w:r>
      <w:r w:rsidRPr="00DD03D6">
        <w:rPr>
          <w:noProof/>
          <w:lang w:val="fr-FR"/>
        </w:rPr>
        <w:t xml:space="preserve"> 9</w:t>
      </w:r>
      <w:r>
        <w:rPr>
          <w:noProof/>
          <w:lang w:val="fr-FR"/>
        </w:rPr>
        <w:t> </w:t>
      </w:r>
      <w:r w:rsidRPr="00DD03D6">
        <w:rPr>
          <w:noProof/>
          <w:lang w:val="fr-FR"/>
        </w:rPr>
        <w:t xml:space="preserve">: </w:t>
      </w:r>
      <w:r>
        <w:rPr>
          <w:noProof/>
          <w:lang w:val="fr-FR"/>
        </w:rPr>
        <w:t>Limite d’âge m</w:t>
      </w:r>
      <w:r w:rsidRPr="00DD03D6">
        <w:rPr>
          <w:noProof/>
          <w:lang w:val="fr-FR"/>
        </w:rPr>
        <w:t>axim</w:t>
      </w:r>
      <w:r>
        <w:rPr>
          <w:noProof/>
          <w:lang w:val="fr-FR"/>
        </w:rPr>
        <w:t>ale pour le versement d’une allocation de famille monoparentale</w:t>
      </w:r>
      <w:r w:rsidRPr="00DD03D6">
        <w:rPr>
          <w:noProof/>
          <w:lang w:val="fr-FR"/>
        </w:rPr>
        <w:t xml:space="preserve">, </w:t>
      </w:r>
      <w:r>
        <w:rPr>
          <w:noProof/>
          <w:lang w:val="fr-FR"/>
        </w:rPr>
        <w:br/>
      </w:r>
      <w:r w:rsidRPr="00DD03D6">
        <w:rPr>
          <w:noProof/>
          <w:lang w:val="fr-FR"/>
        </w:rPr>
        <w:t>2013-2015</w:t>
      </w:r>
      <w:r w:rsidRPr="00DD03D6">
        <w:rPr>
          <w:noProof/>
          <w:lang w:val="fr-FR"/>
        </w:rPr>
        <w:tab/>
      </w:r>
      <w:r w:rsidRPr="00DD03D6">
        <w:rPr>
          <w:noProof/>
          <w:lang w:val="fr-FR"/>
        </w:rPr>
        <w:tab/>
      </w:r>
      <w:r>
        <w:rPr>
          <w:noProof/>
          <w:lang w:val="fr-FR"/>
        </w:rPr>
        <w:t>121</w:t>
      </w:r>
    </w:p>
    <w:p w:rsidR="0085041B" w:rsidRPr="00DD03D6" w:rsidRDefault="0085041B" w:rsidP="0085041B">
      <w:pPr>
        <w:tabs>
          <w:tab w:val="left" w:leader="dot" w:pos="9072"/>
          <w:tab w:val="right" w:pos="9638"/>
        </w:tabs>
        <w:spacing w:after="120"/>
        <w:ind w:left="1134"/>
        <w:rPr>
          <w:noProof/>
          <w:lang w:val="fr-FR"/>
        </w:rPr>
      </w:pPr>
      <w:r w:rsidRPr="00DD03D6">
        <w:rPr>
          <w:noProof/>
          <w:lang w:val="fr-FR"/>
        </w:rPr>
        <w:t>Table</w:t>
      </w:r>
      <w:r>
        <w:rPr>
          <w:noProof/>
          <w:lang w:val="fr-FR"/>
        </w:rPr>
        <w:t>au</w:t>
      </w:r>
      <w:r w:rsidRPr="00DD03D6">
        <w:rPr>
          <w:noProof/>
          <w:lang w:val="fr-FR"/>
        </w:rPr>
        <w:t xml:space="preserve"> 10</w:t>
      </w:r>
      <w:r>
        <w:rPr>
          <w:noProof/>
          <w:lang w:val="fr-FR"/>
        </w:rPr>
        <w:t> </w:t>
      </w:r>
      <w:r w:rsidRPr="00DD03D6">
        <w:rPr>
          <w:noProof/>
          <w:lang w:val="fr-FR"/>
        </w:rPr>
        <w:t>: N</w:t>
      </w:r>
      <w:r>
        <w:rPr>
          <w:noProof/>
          <w:lang w:val="fr-FR"/>
        </w:rPr>
        <w:t>o</w:t>
      </w:r>
      <w:r w:rsidRPr="00DD03D6">
        <w:rPr>
          <w:noProof/>
          <w:lang w:val="fr-FR"/>
        </w:rPr>
        <w:t>mb</w:t>
      </w:r>
      <w:r>
        <w:rPr>
          <w:noProof/>
          <w:lang w:val="fr-FR"/>
        </w:rPr>
        <w:t>re</w:t>
      </w:r>
      <w:r w:rsidRPr="00DD03D6">
        <w:rPr>
          <w:noProof/>
          <w:lang w:val="fr-FR"/>
        </w:rPr>
        <w:t xml:space="preserve"> </w:t>
      </w:r>
      <w:r>
        <w:rPr>
          <w:noProof/>
          <w:lang w:val="fr-FR"/>
        </w:rPr>
        <w:t>d’enseignants de soutien linguistique en équivalent temps plein aux niveaux primaire et postprimaire,</w:t>
      </w:r>
      <w:r w:rsidRPr="00DD03D6">
        <w:rPr>
          <w:noProof/>
          <w:lang w:val="fr-FR"/>
        </w:rPr>
        <w:t xml:space="preserve"> 2006-2011</w:t>
      </w:r>
      <w:r>
        <w:rPr>
          <w:noProof/>
          <w:lang w:val="fr-FR"/>
        </w:rPr>
        <w:tab/>
      </w:r>
      <w:r>
        <w:rPr>
          <w:noProof/>
          <w:lang w:val="fr-FR"/>
        </w:rPr>
        <w:tab/>
        <w:t>135</w:t>
      </w:r>
    </w:p>
    <w:p w:rsidR="0085041B" w:rsidRPr="008A546D" w:rsidRDefault="0085041B" w:rsidP="0085041B">
      <w:pPr>
        <w:rPr>
          <w:lang w:val="fr-FR"/>
        </w:rPr>
      </w:pPr>
    </w:p>
    <w:p w:rsidR="00A8409B" w:rsidRPr="00DD03D6" w:rsidRDefault="00FD44C2" w:rsidP="0085041B">
      <w:pPr>
        <w:pStyle w:val="HChG"/>
        <w:rPr>
          <w:noProof/>
          <w:lang w:val="fr-FR"/>
        </w:rPr>
      </w:pPr>
      <w:r w:rsidRPr="00DD03D6">
        <w:rPr>
          <w:noProof/>
          <w:lang w:val="fr-FR"/>
        </w:rPr>
        <w:br w:type="page"/>
      </w:r>
      <w:bookmarkStart w:id="3" w:name="_Toc356430836"/>
      <w:r w:rsidR="00A8409B" w:rsidRPr="00DD03D6">
        <w:rPr>
          <w:noProof/>
          <w:lang w:val="fr-FR"/>
        </w:rPr>
        <w:lastRenderedPageBreak/>
        <w:tab/>
      </w:r>
      <w:r w:rsidR="00A8409B" w:rsidRPr="00DD03D6">
        <w:rPr>
          <w:noProof/>
          <w:lang w:val="fr-FR"/>
        </w:rPr>
        <w:tab/>
      </w:r>
      <w:r w:rsidR="005C06A3">
        <w:rPr>
          <w:noProof/>
          <w:lang w:val="fr-FR"/>
        </w:rPr>
        <w:t xml:space="preserve">Avant-propos du Ministre </w:t>
      </w:r>
    </w:p>
    <w:p w:rsidR="00A8409B" w:rsidRPr="00DD03D6" w:rsidRDefault="005C06A3" w:rsidP="00A8409B">
      <w:pPr>
        <w:pStyle w:val="SingleTxtG"/>
        <w:numPr>
          <w:ilvl w:val="0"/>
          <w:numId w:val="3"/>
        </w:numPr>
        <w:ind w:left="1134" w:firstLine="0"/>
        <w:rPr>
          <w:noProof/>
          <w:lang w:val="fr-FR"/>
        </w:rPr>
      </w:pPr>
      <w:r>
        <w:rPr>
          <w:noProof/>
          <w:lang w:val="fr-FR"/>
        </w:rPr>
        <w:t xml:space="preserve">Pour le Gouvernement irlandais, le fait de grandir en Irlande </w:t>
      </w:r>
      <w:r w:rsidR="00802EB9">
        <w:rPr>
          <w:noProof/>
          <w:lang w:val="fr-FR"/>
        </w:rPr>
        <w:t>permet aux enfants de commencer leur vie dans des conditions qui sont meilleures que dans n’importe quel autre pays du monde</w:t>
      </w:r>
      <w:r w:rsidR="00A8409B" w:rsidRPr="00DD03D6">
        <w:rPr>
          <w:noProof/>
          <w:lang w:val="fr-FR"/>
        </w:rPr>
        <w:t xml:space="preserve">. </w:t>
      </w:r>
    </w:p>
    <w:p w:rsidR="00A8409B" w:rsidRPr="00DD03D6" w:rsidRDefault="004A0A4B" w:rsidP="00DF6780">
      <w:pPr>
        <w:pStyle w:val="SingleTxtG"/>
        <w:numPr>
          <w:ilvl w:val="0"/>
          <w:numId w:val="3"/>
        </w:numPr>
        <w:ind w:left="1134" w:firstLine="0"/>
        <w:rPr>
          <w:noProof/>
          <w:lang w:val="fr-FR"/>
        </w:rPr>
      </w:pPr>
      <w:r>
        <w:rPr>
          <w:noProof/>
          <w:lang w:val="fr-FR"/>
        </w:rPr>
        <w:t>Avec la prise de fonctions d</w:t>
      </w:r>
      <w:r w:rsidR="005656AF">
        <w:rPr>
          <w:noProof/>
          <w:lang w:val="fr-FR"/>
        </w:rPr>
        <w:t xml:space="preserve">e la </w:t>
      </w:r>
      <w:r w:rsidR="00F663D8">
        <w:rPr>
          <w:noProof/>
          <w:lang w:val="fr-FR"/>
        </w:rPr>
        <w:t>premi</w:t>
      </w:r>
      <w:r w:rsidR="005656AF">
        <w:rPr>
          <w:noProof/>
          <w:lang w:val="fr-FR"/>
        </w:rPr>
        <w:t>ère</w:t>
      </w:r>
      <w:r w:rsidR="00F663D8">
        <w:rPr>
          <w:noProof/>
          <w:lang w:val="fr-FR"/>
        </w:rPr>
        <w:t xml:space="preserve"> </w:t>
      </w:r>
      <w:r w:rsidR="00A8409B" w:rsidRPr="00DD03D6">
        <w:rPr>
          <w:noProof/>
          <w:lang w:val="fr-FR"/>
        </w:rPr>
        <w:t>Minist</w:t>
      </w:r>
      <w:r>
        <w:rPr>
          <w:noProof/>
          <w:lang w:val="fr-FR"/>
        </w:rPr>
        <w:t xml:space="preserve">re </w:t>
      </w:r>
      <w:r w:rsidR="00F663D8">
        <w:rPr>
          <w:noProof/>
          <w:lang w:val="fr-FR"/>
        </w:rPr>
        <w:t>de l’enfance et de la jeunesse, le Gouvernement irlandais s’est engagé à améliorer sensiblement la situation des enfants et des jeunes, par le biais des activités énumérées ci-après</w:t>
      </w:r>
      <w:r w:rsidR="005A6325">
        <w:rPr>
          <w:noProof/>
          <w:lang w:val="fr-FR"/>
        </w:rPr>
        <w:t> </w:t>
      </w:r>
      <w:r w:rsidR="00A8409B" w:rsidRPr="00DD03D6">
        <w:rPr>
          <w:noProof/>
          <w:lang w:val="fr-FR"/>
        </w:rPr>
        <w:t>:</w:t>
      </w:r>
    </w:p>
    <w:p w:rsidR="00A8409B" w:rsidRPr="00DD03D6" w:rsidRDefault="00F663D8" w:rsidP="00413CF6">
      <w:pPr>
        <w:pStyle w:val="Bullet1G"/>
        <w:tabs>
          <w:tab w:val="clear" w:pos="1701"/>
        </w:tabs>
        <w:ind w:left="1843" w:hanging="142"/>
        <w:rPr>
          <w:noProof/>
          <w:lang w:val="fr-FR"/>
        </w:rPr>
      </w:pPr>
      <w:r>
        <w:rPr>
          <w:noProof/>
          <w:lang w:val="fr-FR"/>
        </w:rPr>
        <w:t xml:space="preserve">La tenue d’un </w:t>
      </w:r>
      <w:r w:rsidR="00DF6780" w:rsidRPr="00DD03D6">
        <w:rPr>
          <w:noProof/>
          <w:lang w:val="fr-FR"/>
        </w:rPr>
        <w:t>r</w:t>
      </w:r>
      <w:r>
        <w:rPr>
          <w:noProof/>
          <w:lang w:val="fr-FR"/>
        </w:rPr>
        <w:t>é</w:t>
      </w:r>
      <w:r w:rsidR="00A8409B" w:rsidRPr="00DD03D6">
        <w:rPr>
          <w:noProof/>
          <w:lang w:val="fr-FR"/>
        </w:rPr>
        <w:t>f</w:t>
      </w:r>
      <w:r>
        <w:rPr>
          <w:noProof/>
          <w:lang w:val="fr-FR"/>
        </w:rPr>
        <w:t>é</w:t>
      </w:r>
      <w:r w:rsidR="00A8409B" w:rsidRPr="00DD03D6">
        <w:rPr>
          <w:noProof/>
          <w:lang w:val="fr-FR"/>
        </w:rPr>
        <w:t xml:space="preserve">rendum </w:t>
      </w:r>
      <w:r>
        <w:rPr>
          <w:noProof/>
          <w:lang w:val="fr-FR"/>
        </w:rPr>
        <w:t xml:space="preserve">sur les droits des enfants consacrés par la </w:t>
      </w:r>
      <w:r w:rsidR="00A8409B" w:rsidRPr="00DD03D6">
        <w:rPr>
          <w:noProof/>
          <w:lang w:val="fr-FR"/>
        </w:rPr>
        <w:t>Constitution;</w:t>
      </w:r>
    </w:p>
    <w:p w:rsidR="00A8409B" w:rsidRPr="00DD03D6" w:rsidRDefault="00F663D8" w:rsidP="00413CF6">
      <w:pPr>
        <w:pStyle w:val="Bullet1G"/>
        <w:tabs>
          <w:tab w:val="clear" w:pos="1701"/>
        </w:tabs>
        <w:ind w:left="1843" w:hanging="142"/>
        <w:rPr>
          <w:noProof/>
          <w:lang w:val="fr-FR"/>
        </w:rPr>
      </w:pPr>
      <w:r>
        <w:rPr>
          <w:noProof/>
          <w:lang w:val="fr-FR"/>
        </w:rPr>
        <w:t>L</w:t>
      </w:r>
      <w:r w:rsidR="005D4553">
        <w:rPr>
          <w:noProof/>
          <w:lang w:val="fr-FR"/>
        </w:rPr>
        <w:t xml:space="preserve">’officialisation </w:t>
      </w:r>
      <w:r>
        <w:rPr>
          <w:noProof/>
          <w:lang w:val="fr-FR"/>
        </w:rPr>
        <w:t>de l’Agence pour l’enfant et la famille</w:t>
      </w:r>
      <w:r w:rsidR="00A90616">
        <w:rPr>
          <w:noProof/>
          <w:lang w:val="fr-FR"/>
        </w:rPr>
        <w:t>,</w:t>
      </w:r>
      <w:r>
        <w:rPr>
          <w:noProof/>
          <w:lang w:val="fr-FR"/>
        </w:rPr>
        <w:t xml:space="preserve"> </w:t>
      </w:r>
      <w:r w:rsidR="00A90616">
        <w:rPr>
          <w:noProof/>
          <w:lang w:val="fr-FR"/>
        </w:rPr>
        <w:t>chargée par la</w:t>
      </w:r>
      <w:r>
        <w:rPr>
          <w:noProof/>
          <w:lang w:val="fr-FR"/>
        </w:rPr>
        <w:t xml:space="preserve"> loi de</w:t>
      </w:r>
      <w:r w:rsidR="00AA2C7F">
        <w:rPr>
          <w:noProof/>
          <w:lang w:val="fr-FR"/>
        </w:rPr>
        <w:t xml:space="preserve"> </w:t>
      </w:r>
      <w:r w:rsidR="00A90616">
        <w:rPr>
          <w:noProof/>
          <w:lang w:val="fr-FR"/>
        </w:rPr>
        <w:t xml:space="preserve">réformer en profondeur la prestation des services de </w:t>
      </w:r>
      <w:r w:rsidR="00A8409B" w:rsidRPr="00DD03D6">
        <w:rPr>
          <w:noProof/>
          <w:lang w:val="fr-FR"/>
        </w:rPr>
        <w:t xml:space="preserve">protection </w:t>
      </w:r>
      <w:r w:rsidR="00A90616">
        <w:rPr>
          <w:noProof/>
          <w:lang w:val="fr-FR"/>
        </w:rPr>
        <w:t xml:space="preserve">des enfants et d’en retirer la responsabilité à </w:t>
      </w:r>
      <w:r w:rsidR="00F60C2A">
        <w:rPr>
          <w:noProof/>
          <w:lang w:val="fr-FR"/>
        </w:rPr>
        <w:t>la Direction des services de santé</w:t>
      </w:r>
      <w:r w:rsidR="00A8409B" w:rsidRPr="00DD03D6">
        <w:rPr>
          <w:noProof/>
          <w:lang w:val="fr-FR"/>
        </w:rPr>
        <w:t xml:space="preserve"> (HSE);</w:t>
      </w:r>
    </w:p>
    <w:p w:rsidR="00A8409B" w:rsidRPr="00DD03D6" w:rsidRDefault="00302AA0" w:rsidP="00413CF6">
      <w:pPr>
        <w:pStyle w:val="Bullet1G"/>
        <w:tabs>
          <w:tab w:val="clear" w:pos="1701"/>
        </w:tabs>
        <w:ind w:left="1843" w:hanging="142"/>
        <w:rPr>
          <w:noProof/>
          <w:lang w:val="fr-FR"/>
        </w:rPr>
      </w:pPr>
      <w:r>
        <w:rPr>
          <w:noProof/>
          <w:lang w:val="fr-FR"/>
        </w:rPr>
        <w:t>Application des recomma</w:t>
      </w:r>
      <w:r w:rsidR="00A8409B" w:rsidRPr="00DD03D6">
        <w:rPr>
          <w:noProof/>
          <w:lang w:val="fr-FR"/>
        </w:rPr>
        <w:t xml:space="preserve">ndations </w:t>
      </w:r>
      <w:r w:rsidR="00C55397">
        <w:rPr>
          <w:noProof/>
          <w:lang w:val="fr-FR"/>
        </w:rPr>
        <w:t xml:space="preserve">du Rapport </w:t>
      </w:r>
      <w:r w:rsidR="00A8409B" w:rsidRPr="00DD03D6">
        <w:rPr>
          <w:noProof/>
          <w:lang w:val="fr-FR"/>
        </w:rPr>
        <w:t xml:space="preserve">Ryan, </w:t>
      </w:r>
      <w:r w:rsidR="00C55397">
        <w:rPr>
          <w:noProof/>
          <w:lang w:val="fr-FR"/>
        </w:rPr>
        <w:t xml:space="preserve">notamment en donnant force de loi aux </w:t>
      </w:r>
      <w:r w:rsidR="001E1CAD">
        <w:rPr>
          <w:noProof/>
          <w:lang w:val="fr-FR"/>
        </w:rPr>
        <w:t>d</w:t>
      </w:r>
      <w:r w:rsidR="00F82998">
        <w:rPr>
          <w:iCs/>
          <w:noProof/>
          <w:lang w:val="fr-FR"/>
        </w:rPr>
        <w:t xml:space="preserve">irectives nationales </w:t>
      </w:r>
      <w:r w:rsidR="001E1CAD">
        <w:rPr>
          <w:iCs/>
          <w:noProof/>
          <w:lang w:val="fr-FR"/>
        </w:rPr>
        <w:t xml:space="preserve">intitulées </w:t>
      </w:r>
      <w:r w:rsidR="001E1CAD" w:rsidRPr="003F1ADB">
        <w:rPr>
          <w:lang w:val="fr-CH"/>
        </w:rPr>
        <w:t>«</w:t>
      </w:r>
      <w:r w:rsidR="003F1ADB">
        <w:rPr>
          <w:i/>
          <w:lang w:val="fr-CH"/>
        </w:rPr>
        <w:t> </w:t>
      </w:r>
      <w:r w:rsidR="001E1CAD" w:rsidRPr="007B3894">
        <w:rPr>
          <w:i/>
          <w:lang w:val="fr-CH"/>
        </w:rPr>
        <w:t>Les enfants d’abord</w:t>
      </w:r>
      <w:r w:rsidR="001E1CAD">
        <w:rPr>
          <w:i/>
          <w:lang w:val="fr-CH"/>
        </w:rPr>
        <w:t xml:space="preserve"> </w:t>
      </w:r>
      <w:r w:rsidR="001E1CAD" w:rsidRPr="007B3894">
        <w:rPr>
          <w:i/>
          <w:lang w:val="fr-CH"/>
        </w:rPr>
        <w:t>: directives nationales pour la protecti</w:t>
      </w:r>
      <w:r w:rsidR="001E1CAD">
        <w:rPr>
          <w:i/>
          <w:lang w:val="fr-CH"/>
        </w:rPr>
        <w:t>on et le bien-être des enfants</w:t>
      </w:r>
      <w:r w:rsidR="003F1ADB">
        <w:rPr>
          <w:i/>
          <w:lang w:val="fr-CH"/>
        </w:rPr>
        <w:t> </w:t>
      </w:r>
      <w:r w:rsidR="001E1CAD" w:rsidRPr="003F1ADB">
        <w:rPr>
          <w:lang w:val="fr-CH"/>
        </w:rPr>
        <w:t>»</w:t>
      </w:r>
      <w:r w:rsidR="001E1CAD">
        <w:rPr>
          <w:noProof/>
          <w:lang w:val="fr-FR"/>
        </w:rPr>
        <w:t xml:space="preserve"> </w:t>
      </w:r>
      <w:r w:rsidR="00C55397">
        <w:rPr>
          <w:noProof/>
          <w:lang w:val="fr-FR"/>
        </w:rPr>
        <w:t xml:space="preserve">et en </w:t>
      </w:r>
      <w:r w:rsidR="00A8409B" w:rsidRPr="00DD03D6">
        <w:rPr>
          <w:noProof/>
          <w:lang w:val="fr-FR"/>
        </w:rPr>
        <w:t>l</w:t>
      </w:r>
      <w:r w:rsidR="00C55397">
        <w:rPr>
          <w:noProof/>
          <w:lang w:val="fr-FR"/>
        </w:rPr>
        <w:t>é</w:t>
      </w:r>
      <w:r w:rsidR="00A8409B" w:rsidRPr="00DD03D6">
        <w:rPr>
          <w:noProof/>
          <w:lang w:val="fr-FR"/>
        </w:rPr>
        <w:t>gi</w:t>
      </w:r>
      <w:r w:rsidR="00C55397">
        <w:rPr>
          <w:noProof/>
          <w:lang w:val="fr-FR"/>
        </w:rPr>
        <w:t xml:space="preserve">férant en faveur de l’utilisation d’informations </w:t>
      </w:r>
      <w:r w:rsidR="000A2B7B" w:rsidRPr="00DD03D6">
        <w:rPr>
          <w:noProof/>
          <w:lang w:val="fr-FR"/>
        </w:rPr>
        <w:t>‘</w:t>
      </w:r>
      <w:r w:rsidR="005F652E">
        <w:rPr>
          <w:noProof/>
          <w:lang w:val="fr-FR"/>
        </w:rPr>
        <w:t>circonstancielles</w:t>
      </w:r>
      <w:r w:rsidR="000A2B7B" w:rsidRPr="00DD03D6">
        <w:rPr>
          <w:noProof/>
          <w:lang w:val="fr-FR"/>
        </w:rPr>
        <w:t>’</w:t>
      </w:r>
      <w:r w:rsidR="00A8409B" w:rsidRPr="00DD03D6">
        <w:rPr>
          <w:noProof/>
          <w:lang w:val="fr-FR"/>
        </w:rPr>
        <w:t>;</w:t>
      </w:r>
    </w:p>
    <w:p w:rsidR="00A8409B" w:rsidRPr="00DD03D6" w:rsidRDefault="00A8409B" w:rsidP="00413CF6">
      <w:pPr>
        <w:pStyle w:val="Bullet1G"/>
        <w:tabs>
          <w:tab w:val="clear" w:pos="1701"/>
        </w:tabs>
        <w:ind w:left="1843" w:hanging="142"/>
        <w:rPr>
          <w:noProof/>
          <w:lang w:val="fr-FR"/>
        </w:rPr>
      </w:pPr>
      <w:r w:rsidRPr="00DD03D6">
        <w:rPr>
          <w:noProof/>
          <w:lang w:val="fr-FR"/>
        </w:rPr>
        <w:t>Maint</w:t>
      </w:r>
      <w:r w:rsidR="005F652E">
        <w:rPr>
          <w:noProof/>
          <w:lang w:val="fr-FR"/>
        </w:rPr>
        <w:t>ien d’une année d’éducation préscolaire gratuite et amélioration de la qualité de cette éducation dans la mesure des ressources disponibles</w:t>
      </w:r>
      <w:r w:rsidRPr="00DD03D6">
        <w:rPr>
          <w:noProof/>
          <w:lang w:val="fr-FR"/>
        </w:rPr>
        <w:t>;</w:t>
      </w:r>
    </w:p>
    <w:p w:rsidR="00A8409B" w:rsidRPr="00DD03D6" w:rsidRDefault="005F652E" w:rsidP="00413CF6">
      <w:pPr>
        <w:pStyle w:val="Bullet1G"/>
        <w:tabs>
          <w:tab w:val="clear" w:pos="1701"/>
        </w:tabs>
        <w:ind w:left="1843" w:hanging="142"/>
        <w:rPr>
          <w:noProof/>
          <w:lang w:val="fr-FR"/>
        </w:rPr>
      </w:pPr>
      <w:r>
        <w:rPr>
          <w:noProof/>
          <w:lang w:val="fr-FR"/>
        </w:rPr>
        <w:t xml:space="preserve">Adoption d’une loi </w:t>
      </w:r>
      <w:r w:rsidR="009D6F65">
        <w:rPr>
          <w:noProof/>
          <w:lang w:val="fr-FR"/>
        </w:rPr>
        <w:t>destinée à fusionner et à remanier les textes de loi sur l’</w:t>
      </w:r>
      <w:r w:rsidR="009D6F65" w:rsidRPr="00DD03D6">
        <w:rPr>
          <w:noProof/>
          <w:lang w:val="fr-FR"/>
        </w:rPr>
        <w:t>adoption</w:t>
      </w:r>
      <w:r w:rsidR="00A8409B" w:rsidRPr="00DD03D6">
        <w:rPr>
          <w:noProof/>
          <w:lang w:val="fr-FR"/>
        </w:rPr>
        <w:t>;</w:t>
      </w:r>
    </w:p>
    <w:p w:rsidR="00A8409B" w:rsidRPr="00DD03D6" w:rsidRDefault="00A8409B" w:rsidP="00413CF6">
      <w:pPr>
        <w:pStyle w:val="Bullet1G"/>
        <w:tabs>
          <w:tab w:val="clear" w:pos="1701"/>
        </w:tabs>
        <w:ind w:left="1843" w:hanging="142"/>
        <w:rPr>
          <w:noProof/>
          <w:lang w:val="fr-FR"/>
        </w:rPr>
      </w:pPr>
      <w:r w:rsidRPr="00DD03D6">
        <w:rPr>
          <w:noProof/>
          <w:lang w:val="fr-FR"/>
        </w:rPr>
        <w:t>Investi</w:t>
      </w:r>
      <w:r w:rsidR="005F652E">
        <w:rPr>
          <w:noProof/>
          <w:lang w:val="fr-FR"/>
        </w:rPr>
        <w:t xml:space="preserve">ssement dans un programme d’éducation de la petite enfance ciblant les enfants défavorisés, en </w:t>
      </w:r>
      <w:r w:rsidR="00D24D9E">
        <w:rPr>
          <w:noProof/>
          <w:lang w:val="fr-FR"/>
        </w:rPr>
        <w:t>faisant fond sur les structures d’accueil préscolaire existantes pour venir en aide aux familles ayant le plus besoin d’assistance</w:t>
      </w:r>
      <w:r w:rsidRPr="00DD03D6">
        <w:rPr>
          <w:noProof/>
          <w:lang w:val="fr-FR"/>
        </w:rPr>
        <w:t>;</w:t>
      </w:r>
    </w:p>
    <w:p w:rsidR="00A8409B" w:rsidRPr="00DD03D6" w:rsidRDefault="00ED7ABF" w:rsidP="00413CF6">
      <w:pPr>
        <w:pStyle w:val="Bullet1G"/>
        <w:tabs>
          <w:tab w:val="clear" w:pos="1701"/>
        </w:tabs>
        <w:ind w:left="1843" w:hanging="142"/>
        <w:rPr>
          <w:noProof/>
          <w:lang w:val="fr-FR"/>
        </w:rPr>
      </w:pPr>
      <w:r>
        <w:rPr>
          <w:noProof/>
          <w:lang w:val="fr-FR"/>
        </w:rPr>
        <w:t xml:space="preserve">Mettre un terme </w:t>
      </w:r>
      <w:r w:rsidRPr="00ED7ABF">
        <w:rPr>
          <w:color w:val="000000"/>
          <w:lang w:val="fr-FR"/>
        </w:rPr>
        <w:t xml:space="preserve">à la </w:t>
      </w:r>
      <w:r>
        <w:rPr>
          <w:color w:val="000000"/>
          <w:lang w:val="fr-FR"/>
        </w:rPr>
        <w:t xml:space="preserve">pratique consistant à placer des enfants en détention </w:t>
      </w:r>
      <w:r w:rsidR="008A0ADE">
        <w:rPr>
          <w:color w:val="000000"/>
          <w:lang w:val="fr-FR"/>
        </w:rPr>
        <w:t>à</w:t>
      </w:r>
      <w:r w:rsidRPr="00ED7ABF">
        <w:rPr>
          <w:color w:val="000000"/>
          <w:lang w:val="fr-FR"/>
        </w:rPr>
        <w:t xml:space="preserve"> l’Institution Saint-Patrick</w:t>
      </w:r>
      <w:r w:rsidR="00A8409B" w:rsidRPr="00DD03D6">
        <w:rPr>
          <w:noProof/>
          <w:lang w:val="fr-FR"/>
        </w:rPr>
        <w:t>.</w:t>
      </w:r>
    </w:p>
    <w:p w:rsidR="00A8409B" w:rsidRPr="00DD03D6" w:rsidRDefault="008C4CB2" w:rsidP="00A8409B">
      <w:pPr>
        <w:pStyle w:val="SingleTxtG"/>
        <w:numPr>
          <w:ilvl w:val="0"/>
          <w:numId w:val="3"/>
        </w:numPr>
        <w:ind w:left="1134" w:firstLine="0"/>
        <w:rPr>
          <w:noProof/>
          <w:lang w:val="fr-FR"/>
        </w:rPr>
      </w:pPr>
      <w:r>
        <w:rPr>
          <w:noProof/>
          <w:lang w:val="fr-FR"/>
        </w:rPr>
        <w:t xml:space="preserve">C’est dans ce </w:t>
      </w:r>
      <w:r w:rsidR="00A8409B" w:rsidRPr="00DD03D6">
        <w:rPr>
          <w:noProof/>
          <w:lang w:val="fr-FR"/>
        </w:rPr>
        <w:t>context</w:t>
      </w:r>
      <w:r>
        <w:rPr>
          <w:noProof/>
          <w:lang w:val="fr-FR"/>
        </w:rPr>
        <w:t>e</w:t>
      </w:r>
      <w:r w:rsidR="00722FB5">
        <w:rPr>
          <w:noProof/>
          <w:lang w:val="fr-FR"/>
        </w:rPr>
        <w:t xml:space="preserve"> que je présente le rapport que le Gouvernement</w:t>
      </w:r>
      <w:r w:rsidR="00A8409B" w:rsidRPr="00DD03D6">
        <w:rPr>
          <w:noProof/>
          <w:lang w:val="fr-FR"/>
        </w:rPr>
        <w:t xml:space="preserve"> </w:t>
      </w:r>
      <w:r w:rsidR="00722FB5">
        <w:rPr>
          <w:noProof/>
          <w:lang w:val="fr-FR"/>
        </w:rPr>
        <w:t>soumet au Comité des droits de l’enfant</w:t>
      </w:r>
      <w:r w:rsidR="00A8409B" w:rsidRPr="00DD03D6">
        <w:rPr>
          <w:noProof/>
          <w:lang w:val="fr-FR"/>
        </w:rPr>
        <w:t xml:space="preserve">. </w:t>
      </w:r>
      <w:r w:rsidR="00722FB5">
        <w:rPr>
          <w:noProof/>
          <w:lang w:val="fr-FR"/>
        </w:rPr>
        <w:t xml:space="preserve">J’aurai à cœur de </w:t>
      </w:r>
      <w:r w:rsidR="00A8409B" w:rsidRPr="00DD03D6">
        <w:rPr>
          <w:noProof/>
          <w:lang w:val="fr-FR"/>
        </w:rPr>
        <w:t>continu</w:t>
      </w:r>
      <w:r w:rsidR="00722FB5">
        <w:rPr>
          <w:noProof/>
          <w:lang w:val="fr-FR"/>
        </w:rPr>
        <w:t>er à collaborer avec le Comité et</w:t>
      </w:r>
      <w:r w:rsidR="007F714F">
        <w:rPr>
          <w:noProof/>
          <w:lang w:val="fr-FR"/>
        </w:rPr>
        <w:t xml:space="preserve"> </w:t>
      </w:r>
      <w:r w:rsidR="00722FB5">
        <w:rPr>
          <w:noProof/>
          <w:lang w:val="fr-FR"/>
        </w:rPr>
        <w:t xml:space="preserve">les différentes </w:t>
      </w:r>
      <w:r w:rsidR="00A8409B" w:rsidRPr="00DD03D6">
        <w:rPr>
          <w:noProof/>
          <w:lang w:val="fr-FR"/>
        </w:rPr>
        <w:t xml:space="preserve">organisations </w:t>
      </w:r>
      <w:r w:rsidR="00722FB5">
        <w:rPr>
          <w:noProof/>
          <w:lang w:val="fr-FR"/>
        </w:rPr>
        <w:t>irlandaises qui, je le sais, nourrissent les mêmes ambitions que nous pour nos enfants.</w:t>
      </w:r>
      <w:r w:rsidR="00A8409B" w:rsidRPr="00DD03D6">
        <w:rPr>
          <w:noProof/>
          <w:lang w:val="fr-FR"/>
        </w:rPr>
        <w:t xml:space="preserve"> </w:t>
      </w:r>
      <w:r w:rsidR="00722FB5">
        <w:rPr>
          <w:noProof/>
          <w:lang w:val="fr-FR"/>
        </w:rPr>
        <w:t>E</w:t>
      </w:r>
      <w:r w:rsidR="00A8409B" w:rsidRPr="00DD03D6">
        <w:rPr>
          <w:noProof/>
          <w:lang w:val="fr-FR"/>
        </w:rPr>
        <w:t>n particul</w:t>
      </w:r>
      <w:r w:rsidR="00722FB5">
        <w:rPr>
          <w:noProof/>
          <w:lang w:val="fr-FR"/>
        </w:rPr>
        <w:t>ier</w:t>
      </w:r>
      <w:r w:rsidR="00A8409B" w:rsidRPr="00DD03D6">
        <w:rPr>
          <w:noProof/>
          <w:lang w:val="fr-FR"/>
        </w:rPr>
        <w:t xml:space="preserve">, </w:t>
      </w:r>
      <w:r w:rsidR="00722FB5">
        <w:rPr>
          <w:noProof/>
          <w:lang w:val="fr-FR"/>
        </w:rPr>
        <w:t>je me réjouis à la perspective de rencontrer au plus tôt le Comité pour examiner les domaines dans lesquels des progrès ont déjà été accomplis et les progrès que le Gouvernement est déterminé à réaliser</w:t>
      </w:r>
      <w:r w:rsidR="00A8409B" w:rsidRPr="00DD03D6">
        <w:rPr>
          <w:noProof/>
          <w:lang w:val="fr-FR"/>
        </w:rPr>
        <w:t>.</w:t>
      </w:r>
    </w:p>
    <w:p w:rsidR="00A8409B" w:rsidRPr="00DD03D6" w:rsidRDefault="002A5F35" w:rsidP="00A8409B">
      <w:pPr>
        <w:pStyle w:val="SingleTxtG"/>
        <w:numPr>
          <w:ilvl w:val="0"/>
          <w:numId w:val="3"/>
        </w:numPr>
        <w:ind w:left="1134" w:firstLine="0"/>
        <w:rPr>
          <w:noProof/>
          <w:lang w:val="fr-FR"/>
        </w:rPr>
      </w:pPr>
      <w:r>
        <w:rPr>
          <w:noProof/>
          <w:lang w:val="fr-FR"/>
        </w:rPr>
        <w:t>Je souhaite au Comité plein succès dans ses travaux</w:t>
      </w:r>
      <w:r w:rsidR="00A8409B" w:rsidRPr="00DD03D6">
        <w:rPr>
          <w:noProof/>
          <w:lang w:val="fr-FR"/>
        </w:rPr>
        <w:t>.</w:t>
      </w:r>
    </w:p>
    <w:p w:rsidR="00A8409B" w:rsidRPr="00DD03D6" w:rsidRDefault="00A8409B" w:rsidP="00A8409B">
      <w:pPr>
        <w:pStyle w:val="HChG"/>
        <w:rPr>
          <w:noProof/>
          <w:lang w:val="fr-FR"/>
        </w:rPr>
      </w:pPr>
      <w:bookmarkStart w:id="4" w:name="_Toc356430833"/>
      <w:r w:rsidRPr="00DD03D6">
        <w:rPr>
          <w:noProof/>
          <w:lang w:val="fr-FR"/>
        </w:rPr>
        <w:tab/>
      </w:r>
      <w:r w:rsidRPr="00DD03D6">
        <w:rPr>
          <w:noProof/>
          <w:lang w:val="fr-FR"/>
        </w:rPr>
        <w:tab/>
      </w:r>
      <w:r w:rsidR="00AE398D">
        <w:rPr>
          <w:noProof/>
          <w:lang w:val="fr-FR"/>
        </w:rPr>
        <w:t>Remercieme</w:t>
      </w:r>
      <w:r w:rsidRPr="00DD03D6">
        <w:rPr>
          <w:noProof/>
          <w:lang w:val="fr-FR"/>
        </w:rPr>
        <w:t>nts</w:t>
      </w:r>
      <w:bookmarkEnd w:id="4"/>
    </w:p>
    <w:p w:rsidR="00A8409B" w:rsidRPr="00DD03D6" w:rsidRDefault="00EC75A0" w:rsidP="001C5F56">
      <w:pPr>
        <w:pStyle w:val="SingleTxtG"/>
        <w:numPr>
          <w:ilvl w:val="0"/>
          <w:numId w:val="3"/>
        </w:numPr>
        <w:ind w:left="1134" w:firstLine="0"/>
        <w:rPr>
          <w:noProof/>
          <w:lang w:val="fr-FR"/>
        </w:rPr>
      </w:pPr>
      <w:r>
        <w:rPr>
          <w:noProof/>
          <w:lang w:val="fr-FR"/>
        </w:rPr>
        <w:t xml:space="preserve">Le Ministère de l’enfance et de la jeunesse remercie sincèrement le personnel des nombreux ministères et organismes qui a </w:t>
      </w:r>
      <w:r w:rsidR="006821C1">
        <w:rPr>
          <w:noProof/>
          <w:lang w:val="fr-FR"/>
        </w:rPr>
        <w:t>particip</w:t>
      </w:r>
      <w:r>
        <w:rPr>
          <w:noProof/>
          <w:lang w:val="fr-FR"/>
        </w:rPr>
        <w:t>é à l’établiss</w:t>
      </w:r>
      <w:r w:rsidR="006821C1">
        <w:rPr>
          <w:noProof/>
          <w:lang w:val="fr-FR"/>
        </w:rPr>
        <w:t>e</w:t>
      </w:r>
      <w:r>
        <w:rPr>
          <w:noProof/>
          <w:lang w:val="fr-FR"/>
        </w:rPr>
        <w:t>ment du présent rapport. E</w:t>
      </w:r>
      <w:r w:rsidR="00A8409B" w:rsidRPr="00DD03D6">
        <w:rPr>
          <w:noProof/>
          <w:lang w:val="fr-FR"/>
        </w:rPr>
        <w:t xml:space="preserve">n </w:t>
      </w:r>
      <w:r>
        <w:rPr>
          <w:noProof/>
          <w:lang w:val="fr-FR"/>
        </w:rPr>
        <w:t xml:space="preserve">outre, il </w:t>
      </w:r>
      <w:r w:rsidR="006821C1">
        <w:rPr>
          <w:noProof/>
          <w:lang w:val="fr-FR"/>
        </w:rPr>
        <w:t>se félicite vivement des contributions et de la coopé</w:t>
      </w:r>
      <w:r w:rsidR="00A8409B" w:rsidRPr="00DD03D6">
        <w:rPr>
          <w:noProof/>
          <w:lang w:val="fr-FR"/>
        </w:rPr>
        <w:t xml:space="preserve">ration </w:t>
      </w:r>
      <w:r w:rsidR="006821C1">
        <w:rPr>
          <w:noProof/>
          <w:lang w:val="fr-FR"/>
        </w:rPr>
        <w:t xml:space="preserve">des organisations </w:t>
      </w:r>
      <w:r w:rsidR="00A8409B" w:rsidRPr="00DD03D6">
        <w:rPr>
          <w:noProof/>
          <w:lang w:val="fr-FR"/>
        </w:rPr>
        <w:t>non</w:t>
      </w:r>
      <w:r w:rsidR="006821C1">
        <w:rPr>
          <w:noProof/>
          <w:lang w:val="fr-FR"/>
        </w:rPr>
        <w:t xml:space="preserve"> </w:t>
      </w:r>
      <w:r w:rsidR="00A8409B" w:rsidRPr="00DD03D6">
        <w:rPr>
          <w:noProof/>
          <w:lang w:val="fr-FR"/>
        </w:rPr>
        <w:t>go</w:t>
      </w:r>
      <w:r w:rsidR="006821C1">
        <w:rPr>
          <w:noProof/>
          <w:lang w:val="fr-FR"/>
        </w:rPr>
        <w:t>u</w:t>
      </w:r>
      <w:r w:rsidR="00A8409B" w:rsidRPr="00DD03D6">
        <w:rPr>
          <w:noProof/>
          <w:lang w:val="fr-FR"/>
        </w:rPr>
        <w:t>vern</w:t>
      </w:r>
      <w:r w:rsidR="006821C1">
        <w:rPr>
          <w:noProof/>
          <w:lang w:val="fr-FR"/>
        </w:rPr>
        <w:t>e</w:t>
      </w:r>
      <w:r w:rsidR="00A8409B" w:rsidRPr="00DD03D6">
        <w:rPr>
          <w:noProof/>
          <w:lang w:val="fr-FR"/>
        </w:rPr>
        <w:t>mental</w:t>
      </w:r>
      <w:r w:rsidR="006821C1">
        <w:rPr>
          <w:noProof/>
          <w:lang w:val="fr-FR"/>
        </w:rPr>
        <w:t>es</w:t>
      </w:r>
      <w:r w:rsidR="00A8409B" w:rsidRPr="00DD03D6">
        <w:rPr>
          <w:noProof/>
          <w:lang w:val="fr-FR"/>
        </w:rPr>
        <w:t>.</w:t>
      </w:r>
    </w:p>
    <w:p w:rsidR="007C0AE6" w:rsidRPr="00DD03D6" w:rsidRDefault="00A8409B" w:rsidP="00206054">
      <w:pPr>
        <w:pStyle w:val="HChG"/>
        <w:rPr>
          <w:noProof/>
          <w:lang w:val="fr-FR"/>
        </w:rPr>
      </w:pPr>
      <w:r w:rsidRPr="00DD03D6">
        <w:rPr>
          <w:noProof/>
          <w:lang w:val="fr-FR"/>
        </w:rPr>
        <w:lastRenderedPageBreak/>
        <w:tab/>
      </w:r>
      <w:r w:rsidRPr="00DD03D6">
        <w:rPr>
          <w:noProof/>
          <w:lang w:val="fr-FR"/>
        </w:rPr>
        <w:tab/>
      </w:r>
      <w:r w:rsidR="007C0AE6" w:rsidRPr="00DD03D6">
        <w:rPr>
          <w:noProof/>
          <w:lang w:val="fr-FR"/>
        </w:rPr>
        <w:t>Introduction</w:t>
      </w:r>
      <w:bookmarkEnd w:id="3"/>
    </w:p>
    <w:p w:rsidR="007C0AE6" w:rsidRPr="00DD03D6" w:rsidRDefault="007C0AE6" w:rsidP="00B43A33">
      <w:pPr>
        <w:pStyle w:val="H1G"/>
        <w:rPr>
          <w:noProof/>
          <w:lang w:val="fr-FR"/>
        </w:rPr>
      </w:pPr>
      <w:bookmarkStart w:id="5" w:name="_Toc356430837"/>
      <w:r w:rsidRPr="00DD03D6">
        <w:rPr>
          <w:noProof/>
          <w:lang w:val="fr-FR"/>
        </w:rPr>
        <w:tab/>
      </w:r>
      <w:r w:rsidRPr="00DD03D6">
        <w:rPr>
          <w:noProof/>
          <w:lang w:val="fr-FR"/>
        </w:rPr>
        <w:tab/>
      </w:r>
      <w:r w:rsidR="005F5F98">
        <w:rPr>
          <w:noProof/>
          <w:lang w:val="fr-FR"/>
        </w:rPr>
        <w:t xml:space="preserve">Genèse du présent rapport </w:t>
      </w:r>
      <w:bookmarkEnd w:id="5"/>
    </w:p>
    <w:p w:rsidR="007C0AE6" w:rsidRPr="00DD03D6" w:rsidRDefault="005F5F98" w:rsidP="001C5F56">
      <w:pPr>
        <w:pStyle w:val="SingleTxtG"/>
        <w:numPr>
          <w:ilvl w:val="0"/>
          <w:numId w:val="3"/>
        </w:numPr>
        <w:ind w:left="1134" w:firstLine="0"/>
        <w:rPr>
          <w:noProof/>
          <w:lang w:val="fr-FR"/>
        </w:rPr>
      </w:pPr>
      <w:r>
        <w:rPr>
          <w:noProof/>
          <w:lang w:val="fr-FR"/>
        </w:rPr>
        <w:t xml:space="preserve">Les </w:t>
      </w:r>
      <w:r w:rsidR="00067B0B">
        <w:rPr>
          <w:noProof/>
          <w:lang w:val="fr-FR"/>
        </w:rPr>
        <w:t xml:space="preserve">troisième </w:t>
      </w:r>
      <w:r w:rsidRPr="005F5F98">
        <w:rPr>
          <w:lang w:val="fr-FR"/>
        </w:rPr>
        <w:t xml:space="preserve">et quatrième rapports </w:t>
      </w:r>
      <w:r>
        <w:rPr>
          <w:lang w:val="fr-FR"/>
        </w:rPr>
        <w:t xml:space="preserve">de l’Irlande </w:t>
      </w:r>
      <w:r>
        <w:rPr>
          <w:noProof/>
          <w:lang w:val="fr-FR"/>
        </w:rPr>
        <w:t xml:space="preserve">sur l’application de la </w:t>
      </w:r>
      <w:r w:rsidR="007C0AE6" w:rsidRPr="00DD03D6">
        <w:rPr>
          <w:noProof/>
          <w:lang w:val="fr-FR"/>
        </w:rPr>
        <w:t xml:space="preserve">Convention </w:t>
      </w:r>
      <w:r>
        <w:rPr>
          <w:noProof/>
          <w:lang w:val="fr-FR"/>
        </w:rPr>
        <w:t xml:space="preserve">relative aux droits de l’enfant </w:t>
      </w:r>
      <w:r w:rsidR="00C46B16" w:rsidRPr="005F5F98">
        <w:rPr>
          <w:lang w:val="fr-FR"/>
        </w:rPr>
        <w:t>soumis</w:t>
      </w:r>
      <w:r w:rsidR="005A6325">
        <w:rPr>
          <w:lang w:val="fr-FR"/>
        </w:rPr>
        <w:t xml:space="preserve"> </w:t>
      </w:r>
      <w:r w:rsidR="00C46B16" w:rsidRPr="005F5F98">
        <w:rPr>
          <w:lang w:val="fr-FR"/>
        </w:rPr>
        <w:t>en un seul document</w:t>
      </w:r>
      <w:r w:rsidR="00C46B16" w:rsidRPr="00487473">
        <w:rPr>
          <w:lang w:val="fr-CH"/>
        </w:rPr>
        <w:t xml:space="preserve"> </w:t>
      </w:r>
      <w:r w:rsidR="00C46B16">
        <w:rPr>
          <w:noProof/>
          <w:lang w:val="fr-FR"/>
        </w:rPr>
        <w:t>au</w:t>
      </w:r>
      <w:r w:rsidR="00C46B16" w:rsidRPr="00DD03D6">
        <w:rPr>
          <w:noProof/>
          <w:lang w:val="fr-FR"/>
        </w:rPr>
        <w:t xml:space="preserve"> Com</w:t>
      </w:r>
      <w:r w:rsidR="00C46B16">
        <w:rPr>
          <w:noProof/>
          <w:lang w:val="fr-FR"/>
        </w:rPr>
        <w:t xml:space="preserve">ité des droits de l’enfant </w:t>
      </w:r>
      <w:r>
        <w:rPr>
          <w:noProof/>
          <w:lang w:val="fr-FR"/>
        </w:rPr>
        <w:t>actualisent le deuxième rapport de l’Irlande, publié par le</w:t>
      </w:r>
      <w:r w:rsidR="007C0AE6" w:rsidRPr="00DD03D6">
        <w:rPr>
          <w:noProof/>
          <w:lang w:val="fr-FR"/>
        </w:rPr>
        <w:t xml:space="preserve"> </w:t>
      </w:r>
      <w:r w:rsidR="00946E91">
        <w:rPr>
          <w:noProof/>
          <w:lang w:val="fr-FR"/>
        </w:rPr>
        <w:t>B</w:t>
      </w:r>
      <w:r w:rsidR="00C46B16">
        <w:rPr>
          <w:noProof/>
          <w:lang w:val="fr-FR"/>
        </w:rPr>
        <w:t>ureau</w:t>
      </w:r>
      <w:r w:rsidR="00946E91">
        <w:rPr>
          <w:noProof/>
          <w:lang w:val="fr-FR"/>
        </w:rPr>
        <w:t xml:space="preserve"> national des enfants</w:t>
      </w:r>
      <w:r w:rsidR="007C0AE6" w:rsidRPr="00DD03D6">
        <w:rPr>
          <w:noProof/>
          <w:lang w:val="fr-FR"/>
        </w:rPr>
        <w:t xml:space="preserve"> </w:t>
      </w:r>
      <w:r w:rsidR="00946E91">
        <w:rPr>
          <w:noProof/>
          <w:lang w:val="fr-FR"/>
        </w:rPr>
        <w:t>e</w:t>
      </w:r>
      <w:r w:rsidR="007C0AE6" w:rsidRPr="00DD03D6">
        <w:rPr>
          <w:noProof/>
          <w:lang w:val="fr-FR"/>
        </w:rPr>
        <w:t xml:space="preserve">n 2005. </w:t>
      </w:r>
      <w:r w:rsidR="00C46B16">
        <w:rPr>
          <w:noProof/>
          <w:lang w:val="fr-FR"/>
        </w:rPr>
        <w:t>À</w:t>
      </w:r>
      <w:r w:rsidR="00946E91">
        <w:rPr>
          <w:noProof/>
          <w:lang w:val="fr-FR"/>
        </w:rPr>
        <w:t xml:space="preserve"> cette occasion, ils mettent en exergue les </w:t>
      </w:r>
      <w:r w:rsidR="007C0AE6" w:rsidRPr="00DD03D6">
        <w:rPr>
          <w:noProof/>
          <w:lang w:val="fr-FR"/>
        </w:rPr>
        <w:t>progr</w:t>
      </w:r>
      <w:r w:rsidR="00946E91">
        <w:rPr>
          <w:noProof/>
          <w:lang w:val="fr-FR"/>
        </w:rPr>
        <w:t>è</w:t>
      </w:r>
      <w:r w:rsidR="007C0AE6" w:rsidRPr="00DD03D6">
        <w:rPr>
          <w:noProof/>
          <w:lang w:val="fr-FR"/>
        </w:rPr>
        <w:t xml:space="preserve">s </w:t>
      </w:r>
      <w:r w:rsidR="00946E91">
        <w:rPr>
          <w:noProof/>
          <w:lang w:val="fr-FR"/>
        </w:rPr>
        <w:t xml:space="preserve">réalisés entre </w:t>
      </w:r>
      <w:r w:rsidR="007C0AE6" w:rsidRPr="00DD03D6">
        <w:rPr>
          <w:noProof/>
          <w:lang w:val="fr-FR"/>
        </w:rPr>
        <w:t>2006</w:t>
      </w:r>
      <w:r w:rsidR="00946E91">
        <w:rPr>
          <w:noProof/>
          <w:lang w:val="fr-FR"/>
        </w:rPr>
        <w:t xml:space="preserve"> et </w:t>
      </w:r>
      <w:r w:rsidR="007C0AE6" w:rsidRPr="00DD03D6">
        <w:rPr>
          <w:noProof/>
          <w:lang w:val="fr-FR"/>
        </w:rPr>
        <w:t xml:space="preserve">2011 </w:t>
      </w:r>
      <w:r w:rsidR="00946E91">
        <w:rPr>
          <w:noProof/>
          <w:lang w:val="fr-FR"/>
        </w:rPr>
        <w:t xml:space="preserve">et les importants </w:t>
      </w:r>
      <w:r w:rsidR="007C0AE6" w:rsidRPr="00DD03D6">
        <w:rPr>
          <w:noProof/>
          <w:lang w:val="fr-FR"/>
        </w:rPr>
        <w:t>change</w:t>
      </w:r>
      <w:r w:rsidR="00946E91">
        <w:rPr>
          <w:noProof/>
          <w:lang w:val="fr-FR"/>
        </w:rPr>
        <w:t>ment</w:t>
      </w:r>
      <w:r w:rsidR="007C0AE6" w:rsidRPr="00DD03D6">
        <w:rPr>
          <w:noProof/>
          <w:lang w:val="fr-FR"/>
        </w:rPr>
        <w:t xml:space="preserve">s </w:t>
      </w:r>
      <w:r w:rsidR="00946E91">
        <w:rPr>
          <w:noProof/>
          <w:lang w:val="fr-FR"/>
        </w:rPr>
        <w:t xml:space="preserve">opérés au niveau des politiques adoptées et des moyens mis en place pour mieux comprendre la vie des enfants </w:t>
      </w:r>
      <w:r w:rsidR="00C46B16">
        <w:rPr>
          <w:noProof/>
          <w:lang w:val="fr-FR"/>
        </w:rPr>
        <w:t>et améliorer leur situation</w:t>
      </w:r>
      <w:r w:rsidR="007C0AE6" w:rsidRPr="00DD03D6">
        <w:rPr>
          <w:noProof/>
          <w:lang w:val="fr-FR"/>
        </w:rPr>
        <w:t>.</w:t>
      </w:r>
    </w:p>
    <w:p w:rsidR="007C0AE6" w:rsidRPr="00DD03D6" w:rsidRDefault="002045F8" w:rsidP="001C5F56">
      <w:pPr>
        <w:pStyle w:val="SingleTxtG"/>
        <w:numPr>
          <w:ilvl w:val="0"/>
          <w:numId w:val="3"/>
        </w:numPr>
        <w:ind w:left="1134" w:firstLine="0"/>
        <w:rPr>
          <w:noProof/>
          <w:lang w:val="fr-FR"/>
        </w:rPr>
      </w:pPr>
      <w:r>
        <w:rPr>
          <w:noProof/>
          <w:lang w:val="fr-FR"/>
        </w:rPr>
        <w:t xml:space="preserve">Les progrès accomplis </w:t>
      </w:r>
      <w:r w:rsidR="0051357D">
        <w:rPr>
          <w:noProof/>
          <w:lang w:val="fr-FR"/>
        </w:rPr>
        <w:t>depuis la soumission</w:t>
      </w:r>
      <w:r>
        <w:rPr>
          <w:noProof/>
          <w:lang w:val="fr-FR"/>
        </w:rPr>
        <w:t xml:space="preserve"> du dernier rapport sont dus pour une large part à la poursuite de la mise en </w:t>
      </w:r>
      <w:r w:rsidR="0051357D">
        <w:rPr>
          <w:noProof/>
          <w:lang w:val="fr-FR"/>
        </w:rPr>
        <w:t xml:space="preserve">œuvre de la </w:t>
      </w:r>
      <w:r w:rsidR="0051357D">
        <w:rPr>
          <w:i/>
          <w:noProof/>
          <w:lang w:val="fr-FR"/>
        </w:rPr>
        <w:t xml:space="preserve">Stratégie nationale en faveur des enfants : Nos enfants – Leur vie </w:t>
      </w:r>
      <w:r w:rsidR="0051357D">
        <w:rPr>
          <w:noProof/>
          <w:lang w:val="fr-FR"/>
        </w:rPr>
        <w:t>(</w:t>
      </w:r>
      <w:r w:rsidR="007C0AE6" w:rsidRPr="00DD03D6">
        <w:rPr>
          <w:i/>
          <w:iCs/>
          <w:noProof/>
          <w:lang w:val="fr-FR"/>
        </w:rPr>
        <w:t>National Children</w:t>
      </w:r>
      <w:r w:rsidR="000A2B7B" w:rsidRPr="00DD03D6">
        <w:rPr>
          <w:i/>
          <w:iCs/>
          <w:noProof/>
          <w:lang w:val="fr-FR"/>
        </w:rPr>
        <w:t>’</w:t>
      </w:r>
      <w:r w:rsidR="007C0AE6" w:rsidRPr="00DD03D6">
        <w:rPr>
          <w:i/>
          <w:iCs/>
          <w:noProof/>
          <w:lang w:val="fr-FR"/>
        </w:rPr>
        <w:t>s Strategy:</w:t>
      </w:r>
      <w:r w:rsidR="007C0AE6" w:rsidRPr="00DD03D6">
        <w:rPr>
          <w:noProof/>
          <w:lang w:val="fr-FR"/>
        </w:rPr>
        <w:t xml:space="preserve"> </w:t>
      </w:r>
      <w:r w:rsidR="007C0AE6" w:rsidRPr="00DD03D6">
        <w:rPr>
          <w:i/>
          <w:iCs/>
          <w:noProof/>
          <w:lang w:val="fr-FR"/>
        </w:rPr>
        <w:t>Our Children – Their Lives</w:t>
      </w:r>
      <w:r w:rsidR="0051357D">
        <w:rPr>
          <w:iCs/>
          <w:noProof/>
          <w:lang w:val="fr-FR"/>
        </w:rPr>
        <w:t>)</w:t>
      </w:r>
      <w:r w:rsidR="007C0AE6" w:rsidRPr="00DD03D6">
        <w:rPr>
          <w:noProof/>
          <w:lang w:val="fr-FR"/>
        </w:rPr>
        <w:t>, publi</w:t>
      </w:r>
      <w:r w:rsidR="0051357D">
        <w:rPr>
          <w:noProof/>
          <w:lang w:val="fr-FR"/>
        </w:rPr>
        <w:t xml:space="preserve">ée en </w:t>
      </w:r>
      <w:r w:rsidR="007C0AE6" w:rsidRPr="00DD03D6">
        <w:rPr>
          <w:noProof/>
          <w:lang w:val="fr-FR"/>
        </w:rPr>
        <w:t xml:space="preserve">2000. </w:t>
      </w:r>
      <w:r w:rsidR="0051357D">
        <w:rPr>
          <w:noProof/>
          <w:lang w:val="fr-FR"/>
        </w:rPr>
        <w:t xml:space="preserve">Ancrée dans la </w:t>
      </w:r>
      <w:r w:rsidR="007C0AE6" w:rsidRPr="00DD03D6">
        <w:rPr>
          <w:noProof/>
          <w:lang w:val="fr-FR"/>
        </w:rPr>
        <w:t xml:space="preserve">Convention, </w:t>
      </w:r>
      <w:r w:rsidR="0051357D">
        <w:rPr>
          <w:noProof/>
          <w:lang w:val="fr-FR"/>
        </w:rPr>
        <w:t>cette stratégie interministérielle a débouché sur un certain nombre de structures et d’activités</w:t>
      </w:r>
      <w:r w:rsidR="007C0AE6" w:rsidRPr="00DD03D6">
        <w:rPr>
          <w:noProof/>
          <w:lang w:val="fr-FR"/>
        </w:rPr>
        <w:t xml:space="preserve"> consultative</w:t>
      </w:r>
      <w:r w:rsidR="0051357D">
        <w:rPr>
          <w:noProof/>
          <w:lang w:val="fr-FR"/>
        </w:rPr>
        <w:t>s</w:t>
      </w:r>
      <w:r w:rsidR="007C0AE6" w:rsidRPr="00DD03D6">
        <w:rPr>
          <w:noProof/>
          <w:lang w:val="fr-FR"/>
        </w:rPr>
        <w:t xml:space="preserve"> </w:t>
      </w:r>
      <w:r w:rsidR="0051357D">
        <w:rPr>
          <w:noProof/>
          <w:lang w:val="fr-FR"/>
        </w:rPr>
        <w:t>permettant aux enfants irlandais de faire entendre leur voix au sujet des principales questions qui les co</w:t>
      </w:r>
      <w:r w:rsidR="00F82998">
        <w:rPr>
          <w:noProof/>
          <w:lang w:val="fr-FR"/>
        </w:rPr>
        <w:t>ncernent, ainsi que sur certaines initiatives importantes visant à étudier de façon suivie la vie des enfants</w:t>
      </w:r>
      <w:r w:rsidR="007C0AE6" w:rsidRPr="00DD03D6">
        <w:rPr>
          <w:noProof/>
          <w:lang w:val="fr-FR"/>
        </w:rPr>
        <w:t xml:space="preserve">. </w:t>
      </w:r>
      <w:r w:rsidR="00F82998">
        <w:rPr>
          <w:noProof/>
          <w:lang w:val="fr-FR"/>
        </w:rPr>
        <w:t>Comme il ressort de la partie principale du présent rapport, cette sensibilisation à la nécessité d’écouter les enfants et de leur offrir la possibilité de se faire entendre a permis d’opérer un certain nombre de changements importants</w:t>
      </w:r>
      <w:r w:rsidR="007C0AE6" w:rsidRPr="00DD03D6">
        <w:rPr>
          <w:noProof/>
          <w:lang w:val="fr-FR"/>
        </w:rPr>
        <w:t xml:space="preserve">. </w:t>
      </w:r>
      <w:r w:rsidR="000212C3">
        <w:rPr>
          <w:noProof/>
          <w:lang w:val="fr-FR"/>
        </w:rPr>
        <w:t>S’appuyant sur l’expérience acquise dans le cadre de la Stratégie nationale en faveur des enfants</w:t>
      </w:r>
      <w:r w:rsidR="007C0AE6" w:rsidRPr="00DD03D6">
        <w:rPr>
          <w:noProof/>
          <w:lang w:val="fr-FR"/>
        </w:rPr>
        <w:t xml:space="preserve">, </w:t>
      </w:r>
      <w:r w:rsidR="000212C3">
        <w:rPr>
          <w:noProof/>
          <w:lang w:val="fr-FR"/>
        </w:rPr>
        <w:t xml:space="preserve">le Ministère de l’enfance et de la jeunesse </w:t>
      </w:r>
      <w:r w:rsidR="006C0AE3">
        <w:rPr>
          <w:noProof/>
          <w:lang w:val="fr-FR"/>
        </w:rPr>
        <w:t xml:space="preserve">a entrepris d’élaborer un nouveau Cadre </w:t>
      </w:r>
      <w:r w:rsidR="008A0ADE">
        <w:rPr>
          <w:noProof/>
          <w:lang w:val="fr-FR"/>
        </w:rPr>
        <w:t>directeur</w:t>
      </w:r>
      <w:r w:rsidR="006C0AE3">
        <w:rPr>
          <w:noProof/>
          <w:lang w:val="fr-FR"/>
        </w:rPr>
        <w:t xml:space="preserve"> national relatif à l’enfance et à la jeunesse</w:t>
      </w:r>
      <w:r w:rsidR="007C0AE6" w:rsidRPr="00DD03D6">
        <w:rPr>
          <w:noProof/>
          <w:lang w:val="fr-FR"/>
        </w:rPr>
        <w:t>.</w:t>
      </w:r>
    </w:p>
    <w:p w:rsidR="007C0AE6" w:rsidRPr="00DD03D6" w:rsidRDefault="00BD788A" w:rsidP="001C5F56">
      <w:pPr>
        <w:pStyle w:val="SingleTxtG"/>
        <w:numPr>
          <w:ilvl w:val="0"/>
          <w:numId w:val="3"/>
        </w:numPr>
        <w:ind w:left="1134" w:firstLine="0"/>
        <w:rPr>
          <w:noProof/>
          <w:lang w:val="fr-FR"/>
        </w:rPr>
      </w:pPr>
      <w:r>
        <w:rPr>
          <w:noProof/>
          <w:lang w:val="fr-FR"/>
        </w:rPr>
        <w:t>La création en juin 2011 du Ministère de l’enfance et de la jeunesse doté des pleins pouvoirs ministériels témoigne de la détermination de l’Irlande à améliorer la vie des enfants et à renforcer leurs droits</w:t>
      </w:r>
      <w:r w:rsidR="007C0AE6" w:rsidRPr="00DD03D6">
        <w:rPr>
          <w:noProof/>
          <w:lang w:val="fr-FR"/>
        </w:rPr>
        <w:t xml:space="preserve">. </w:t>
      </w:r>
      <w:r>
        <w:rPr>
          <w:noProof/>
          <w:lang w:val="fr-FR"/>
        </w:rPr>
        <w:t>Cette détermination ressort également du référendum c</w:t>
      </w:r>
      <w:r w:rsidR="007C0AE6" w:rsidRPr="00DD03D6">
        <w:rPr>
          <w:noProof/>
          <w:lang w:val="fr-FR"/>
        </w:rPr>
        <w:t>onstitution</w:t>
      </w:r>
      <w:r>
        <w:rPr>
          <w:noProof/>
          <w:lang w:val="fr-FR"/>
        </w:rPr>
        <w:t xml:space="preserve">nel au sujet des droits des enfants qui s’est tenu le </w:t>
      </w:r>
      <w:r w:rsidR="007C0AE6" w:rsidRPr="00DD03D6">
        <w:rPr>
          <w:noProof/>
          <w:lang w:val="fr-FR"/>
        </w:rPr>
        <w:t xml:space="preserve">10 </w:t>
      </w:r>
      <w:r>
        <w:rPr>
          <w:noProof/>
          <w:lang w:val="fr-FR"/>
        </w:rPr>
        <w:t>n</w:t>
      </w:r>
      <w:r w:rsidR="007C0AE6" w:rsidRPr="00DD03D6">
        <w:rPr>
          <w:noProof/>
          <w:lang w:val="fr-FR"/>
        </w:rPr>
        <w:t>ovemb</w:t>
      </w:r>
      <w:r>
        <w:rPr>
          <w:noProof/>
          <w:lang w:val="fr-FR"/>
        </w:rPr>
        <w:t>re</w:t>
      </w:r>
      <w:r w:rsidR="007C0AE6" w:rsidRPr="00DD03D6">
        <w:rPr>
          <w:noProof/>
          <w:lang w:val="fr-FR"/>
        </w:rPr>
        <w:t xml:space="preserve"> 2012. </w:t>
      </w:r>
      <w:r>
        <w:rPr>
          <w:noProof/>
          <w:lang w:val="fr-FR"/>
        </w:rPr>
        <w:t xml:space="preserve">Ce Ministère a pour mission de </w:t>
      </w:r>
      <w:r w:rsidR="00D97618">
        <w:rPr>
          <w:noProof/>
          <w:lang w:val="fr-FR"/>
        </w:rPr>
        <w:t>« </w:t>
      </w:r>
      <w:r>
        <w:rPr>
          <w:noProof/>
          <w:lang w:val="fr-FR"/>
        </w:rPr>
        <w:t xml:space="preserve">conduire l’action visant à améliorer la situation des enfants et des jeunes en </w:t>
      </w:r>
      <w:r w:rsidR="00D97618">
        <w:rPr>
          <w:noProof/>
          <w:lang w:val="fr-FR"/>
        </w:rPr>
        <w:t>Irlande »</w:t>
      </w:r>
      <w:r w:rsidR="007C0AE6" w:rsidRPr="00DD03D6">
        <w:rPr>
          <w:noProof/>
          <w:lang w:val="fr-FR"/>
        </w:rPr>
        <w:t xml:space="preserve">. </w:t>
      </w:r>
      <w:r w:rsidR="00026524">
        <w:rPr>
          <w:noProof/>
          <w:lang w:val="fr-FR"/>
        </w:rPr>
        <w:t xml:space="preserve">Ses </w:t>
      </w:r>
      <w:r w:rsidR="007C0AE6" w:rsidRPr="00DD03D6">
        <w:rPr>
          <w:noProof/>
          <w:lang w:val="fr-FR"/>
        </w:rPr>
        <w:t>respons</w:t>
      </w:r>
      <w:r w:rsidR="00026524">
        <w:rPr>
          <w:noProof/>
          <w:lang w:val="fr-FR"/>
        </w:rPr>
        <w:t>a</w:t>
      </w:r>
      <w:r w:rsidR="007C0AE6" w:rsidRPr="00DD03D6">
        <w:rPr>
          <w:noProof/>
          <w:lang w:val="fr-FR"/>
        </w:rPr>
        <w:t>bilit</w:t>
      </w:r>
      <w:r w:rsidR="00026524">
        <w:rPr>
          <w:noProof/>
          <w:lang w:val="fr-FR"/>
        </w:rPr>
        <w:t>é</w:t>
      </w:r>
      <w:r w:rsidR="007C0AE6" w:rsidRPr="00DD03D6">
        <w:rPr>
          <w:noProof/>
          <w:lang w:val="fr-FR"/>
        </w:rPr>
        <w:t xml:space="preserve">s </w:t>
      </w:r>
      <w:r w:rsidR="00026524">
        <w:rPr>
          <w:noProof/>
          <w:lang w:val="fr-FR"/>
        </w:rPr>
        <w:t>englobent un large éventail d’activités stratégiques et d’</w:t>
      </w:r>
      <w:r w:rsidR="0028671E">
        <w:rPr>
          <w:noProof/>
          <w:lang w:val="fr-FR"/>
        </w:rPr>
        <w:t>activités de service</w:t>
      </w:r>
      <w:r w:rsidR="00026524">
        <w:rPr>
          <w:noProof/>
          <w:lang w:val="fr-FR"/>
        </w:rPr>
        <w:t xml:space="preserve"> à mener de façon tant </w:t>
      </w:r>
      <w:r w:rsidR="007C0AE6" w:rsidRPr="00DD03D6">
        <w:rPr>
          <w:noProof/>
          <w:lang w:val="fr-FR"/>
        </w:rPr>
        <w:t>direct</w:t>
      </w:r>
      <w:r w:rsidR="00026524">
        <w:rPr>
          <w:noProof/>
          <w:lang w:val="fr-FR"/>
        </w:rPr>
        <w:t>e</w:t>
      </w:r>
      <w:r w:rsidR="007C0AE6" w:rsidRPr="00DD03D6">
        <w:rPr>
          <w:noProof/>
          <w:lang w:val="fr-FR"/>
        </w:rPr>
        <w:t xml:space="preserve"> </w:t>
      </w:r>
      <w:r w:rsidR="00026524">
        <w:rPr>
          <w:noProof/>
          <w:lang w:val="fr-FR"/>
        </w:rPr>
        <w:t>qu’</w:t>
      </w:r>
      <w:r w:rsidR="007C0AE6" w:rsidRPr="00DD03D6">
        <w:rPr>
          <w:noProof/>
          <w:lang w:val="fr-FR"/>
        </w:rPr>
        <w:t>indirect</w:t>
      </w:r>
      <w:r w:rsidR="00026524">
        <w:rPr>
          <w:noProof/>
          <w:lang w:val="fr-FR"/>
        </w:rPr>
        <w:t>e en faveur des enfants et des jeunes</w:t>
      </w:r>
      <w:r w:rsidR="007C0AE6" w:rsidRPr="00DD03D6">
        <w:rPr>
          <w:noProof/>
          <w:lang w:val="fr-FR"/>
        </w:rPr>
        <w:t xml:space="preserve">. </w:t>
      </w:r>
      <w:r w:rsidR="00026524">
        <w:rPr>
          <w:noProof/>
          <w:lang w:val="fr-FR"/>
        </w:rPr>
        <w:t xml:space="preserve">Complexe, son mandat est constitué par un certain nombre de volets distincts, mais </w:t>
      </w:r>
      <w:r w:rsidR="0028671E">
        <w:rPr>
          <w:noProof/>
          <w:lang w:val="fr-FR"/>
        </w:rPr>
        <w:t xml:space="preserve">interdépendants </w:t>
      </w:r>
      <w:r w:rsidR="007C0AE6" w:rsidRPr="00DD03D6">
        <w:rPr>
          <w:noProof/>
          <w:lang w:val="fr-FR"/>
        </w:rPr>
        <w:t>:</w:t>
      </w:r>
    </w:p>
    <w:p w:rsidR="007C0AE6" w:rsidRPr="00DD03D6" w:rsidRDefault="0028671E" w:rsidP="00413CF6">
      <w:pPr>
        <w:pStyle w:val="Bullet1G"/>
        <w:tabs>
          <w:tab w:val="clear" w:pos="1701"/>
        </w:tabs>
        <w:ind w:left="1843" w:hanging="142"/>
        <w:rPr>
          <w:noProof/>
          <w:lang w:val="fr-FR"/>
        </w:rPr>
      </w:pPr>
      <w:r>
        <w:rPr>
          <w:noProof/>
          <w:lang w:val="fr-FR"/>
        </w:rPr>
        <w:t>Assurer directement divers services universels et ciblés</w:t>
      </w:r>
      <w:r w:rsidR="007C0AE6" w:rsidRPr="00DD03D6">
        <w:rPr>
          <w:noProof/>
          <w:lang w:val="fr-FR"/>
        </w:rPr>
        <w:t>;</w:t>
      </w:r>
    </w:p>
    <w:p w:rsidR="007C0AE6" w:rsidRPr="00DD03D6" w:rsidRDefault="0028671E" w:rsidP="00413CF6">
      <w:pPr>
        <w:pStyle w:val="Bullet1G"/>
        <w:tabs>
          <w:tab w:val="clear" w:pos="1701"/>
        </w:tabs>
        <w:ind w:left="1843" w:hanging="142"/>
        <w:rPr>
          <w:noProof/>
          <w:lang w:val="fr-FR"/>
        </w:rPr>
      </w:pPr>
      <w:r w:rsidRPr="00413CF6">
        <w:rPr>
          <w:color w:val="000000"/>
          <w:lang w:val="fr-FR"/>
        </w:rPr>
        <w:t>Veille</w:t>
      </w:r>
      <w:r w:rsidR="007F714F" w:rsidRPr="00413CF6">
        <w:rPr>
          <w:color w:val="000000"/>
          <w:lang w:val="fr-FR"/>
        </w:rPr>
        <w:t>r</w:t>
      </w:r>
      <w:r>
        <w:rPr>
          <w:noProof/>
          <w:lang w:val="fr-FR"/>
        </w:rPr>
        <w:t xml:space="preserve"> à la mise en place de m</w:t>
      </w:r>
      <w:r w:rsidR="009A4C36">
        <w:rPr>
          <w:noProof/>
          <w:lang w:val="fr-FR"/>
        </w:rPr>
        <w:t>é</w:t>
      </w:r>
      <w:r>
        <w:rPr>
          <w:noProof/>
          <w:lang w:val="fr-FR"/>
        </w:rPr>
        <w:t xml:space="preserve">canismes </w:t>
      </w:r>
      <w:r w:rsidR="009A4C36">
        <w:rPr>
          <w:noProof/>
          <w:lang w:val="fr-FR"/>
        </w:rPr>
        <w:t xml:space="preserve">de haute qualité en vue d’interventions ciblées concernant </w:t>
      </w:r>
      <w:r w:rsidR="00990DAE">
        <w:rPr>
          <w:noProof/>
          <w:lang w:val="fr-FR"/>
        </w:rPr>
        <w:t>la</w:t>
      </w:r>
      <w:r w:rsidR="007C0AE6" w:rsidRPr="00DD03D6">
        <w:rPr>
          <w:noProof/>
          <w:lang w:val="fr-FR"/>
        </w:rPr>
        <w:t xml:space="preserve"> protection</w:t>
      </w:r>
      <w:r w:rsidR="00990DAE">
        <w:rPr>
          <w:noProof/>
          <w:lang w:val="fr-FR"/>
        </w:rPr>
        <w:t xml:space="preserve"> de l’enfance</w:t>
      </w:r>
      <w:r w:rsidR="007C0AE6" w:rsidRPr="00DD03D6">
        <w:rPr>
          <w:noProof/>
          <w:lang w:val="fr-FR"/>
        </w:rPr>
        <w:t xml:space="preserve">, </w:t>
      </w:r>
      <w:r w:rsidR="009E1208">
        <w:rPr>
          <w:noProof/>
          <w:lang w:val="fr-FR"/>
        </w:rPr>
        <w:t>les prestations familiales</w:t>
      </w:r>
      <w:r w:rsidR="007C0AE6" w:rsidRPr="00DD03D6">
        <w:rPr>
          <w:noProof/>
          <w:lang w:val="fr-FR"/>
        </w:rPr>
        <w:t xml:space="preserve">, </w:t>
      </w:r>
      <w:r w:rsidR="009E1208">
        <w:rPr>
          <w:noProof/>
          <w:lang w:val="fr-FR"/>
        </w:rPr>
        <w:t>l’</w:t>
      </w:r>
      <w:r w:rsidR="007C0AE6" w:rsidRPr="00DD03D6">
        <w:rPr>
          <w:noProof/>
          <w:lang w:val="fr-FR"/>
        </w:rPr>
        <w:t xml:space="preserve">adoption, </w:t>
      </w:r>
      <w:r w:rsidR="009E1208">
        <w:rPr>
          <w:noProof/>
          <w:lang w:val="fr-FR"/>
        </w:rPr>
        <w:t>la scolarisation et la réduction de la délinquance juvénile</w:t>
      </w:r>
      <w:r w:rsidR="007C0AE6" w:rsidRPr="00DD03D6">
        <w:rPr>
          <w:noProof/>
          <w:lang w:val="fr-FR"/>
        </w:rPr>
        <w:t>;</w:t>
      </w:r>
    </w:p>
    <w:p w:rsidR="007C0AE6" w:rsidRPr="00DD03D6" w:rsidRDefault="009E1208" w:rsidP="00413CF6">
      <w:pPr>
        <w:pStyle w:val="Bullet1G"/>
        <w:tabs>
          <w:tab w:val="clear" w:pos="1701"/>
        </w:tabs>
        <w:ind w:left="1843" w:hanging="142"/>
        <w:rPr>
          <w:noProof/>
          <w:lang w:val="fr-FR"/>
        </w:rPr>
      </w:pPr>
      <w:r>
        <w:rPr>
          <w:noProof/>
          <w:lang w:val="fr-FR"/>
        </w:rPr>
        <w:t xml:space="preserve">Harmoniser les politiques et les moyens mis en œuvre au niveau interministériel avec ceux des diverses </w:t>
      </w:r>
      <w:r w:rsidR="00E83488">
        <w:rPr>
          <w:noProof/>
          <w:lang w:val="fr-FR"/>
        </w:rPr>
        <w:t>acteurs</w:t>
      </w:r>
      <w:r>
        <w:rPr>
          <w:noProof/>
          <w:lang w:val="fr-FR"/>
        </w:rPr>
        <w:t xml:space="preserve"> en vue d’améliorer la situation des enfants, des jeunes et des familles</w:t>
      </w:r>
      <w:r w:rsidR="007C0AE6" w:rsidRPr="00DD03D6">
        <w:rPr>
          <w:noProof/>
          <w:lang w:val="fr-FR"/>
        </w:rPr>
        <w:t>.</w:t>
      </w:r>
    </w:p>
    <w:p w:rsidR="007C0AE6" w:rsidRPr="00DD03D6" w:rsidRDefault="009E1208" w:rsidP="001C5F56">
      <w:pPr>
        <w:pStyle w:val="SingleTxtG"/>
        <w:numPr>
          <w:ilvl w:val="0"/>
          <w:numId w:val="3"/>
        </w:numPr>
        <w:ind w:left="1134" w:firstLine="0"/>
        <w:rPr>
          <w:noProof/>
          <w:lang w:val="fr-FR"/>
        </w:rPr>
      </w:pPr>
      <w:r>
        <w:rPr>
          <w:noProof/>
          <w:lang w:val="fr-FR"/>
        </w:rPr>
        <w:t xml:space="preserve">Le présent rapport couvre les </w:t>
      </w:r>
      <w:r w:rsidR="001C5F56" w:rsidRPr="00DD03D6">
        <w:rPr>
          <w:noProof/>
          <w:lang w:val="fr-FR"/>
        </w:rPr>
        <w:t>six</w:t>
      </w:r>
      <w:r w:rsidR="007C0AE6" w:rsidRPr="00DD03D6">
        <w:rPr>
          <w:noProof/>
          <w:lang w:val="fr-FR"/>
        </w:rPr>
        <w:t xml:space="preserve"> </w:t>
      </w:r>
      <w:r>
        <w:rPr>
          <w:noProof/>
          <w:lang w:val="fr-FR"/>
        </w:rPr>
        <w:t xml:space="preserve">années écoulées entre </w:t>
      </w:r>
      <w:r w:rsidR="007C0AE6" w:rsidRPr="00DD03D6">
        <w:rPr>
          <w:noProof/>
          <w:lang w:val="fr-FR"/>
        </w:rPr>
        <w:t xml:space="preserve">2006 </w:t>
      </w:r>
      <w:r>
        <w:rPr>
          <w:noProof/>
          <w:lang w:val="fr-FR"/>
        </w:rPr>
        <w:t>et</w:t>
      </w:r>
      <w:r w:rsidR="007C0AE6" w:rsidRPr="00DD03D6">
        <w:rPr>
          <w:noProof/>
          <w:lang w:val="fr-FR"/>
        </w:rPr>
        <w:t xml:space="preserve"> 2011. </w:t>
      </w:r>
      <w:r>
        <w:rPr>
          <w:noProof/>
          <w:lang w:val="fr-FR"/>
        </w:rPr>
        <w:t>Dans certains cas</w:t>
      </w:r>
      <w:r w:rsidR="00050E4B">
        <w:rPr>
          <w:noProof/>
          <w:lang w:val="fr-FR"/>
        </w:rPr>
        <w:t xml:space="preserve"> et dans un souci de clarté</w:t>
      </w:r>
      <w:r>
        <w:rPr>
          <w:noProof/>
          <w:lang w:val="fr-FR"/>
        </w:rPr>
        <w:t xml:space="preserve">, il utilise des données correspondant à </w:t>
      </w:r>
      <w:r w:rsidR="00050E4B">
        <w:rPr>
          <w:noProof/>
          <w:lang w:val="fr-FR"/>
        </w:rPr>
        <w:t>2012</w:t>
      </w:r>
      <w:r w:rsidR="007C0AE6" w:rsidRPr="00DD03D6">
        <w:rPr>
          <w:noProof/>
          <w:lang w:val="fr-FR"/>
        </w:rPr>
        <w:t xml:space="preserve">. </w:t>
      </w:r>
      <w:r w:rsidR="00050E4B">
        <w:rPr>
          <w:noProof/>
          <w:lang w:val="fr-FR"/>
        </w:rPr>
        <w:t xml:space="preserve">Afin de </w:t>
      </w:r>
      <w:r w:rsidR="007C0AE6" w:rsidRPr="00DD03D6">
        <w:rPr>
          <w:noProof/>
          <w:lang w:val="fr-FR"/>
        </w:rPr>
        <w:t>contextualise</w:t>
      </w:r>
      <w:r w:rsidR="00050E4B">
        <w:rPr>
          <w:noProof/>
          <w:lang w:val="fr-FR"/>
        </w:rPr>
        <w:t>r</w:t>
      </w:r>
      <w:r w:rsidR="007C0AE6" w:rsidRPr="00DD03D6">
        <w:rPr>
          <w:noProof/>
          <w:lang w:val="fr-FR"/>
        </w:rPr>
        <w:t xml:space="preserve"> </w:t>
      </w:r>
      <w:r w:rsidR="00050E4B">
        <w:rPr>
          <w:noProof/>
          <w:lang w:val="fr-FR"/>
        </w:rPr>
        <w:t>les évolutions enregistrées au cours de ces six annnées et les propositions concernant l’avenir, il importe de décrire succinctement les tendances et faits nouveaux récents revêtant de l’importance pour la vie des enfants en Irlande</w:t>
      </w:r>
      <w:r w:rsidR="007C0AE6" w:rsidRPr="00DD03D6">
        <w:rPr>
          <w:noProof/>
          <w:lang w:val="fr-FR"/>
        </w:rPr>
        <w:t>.</w:t>
      </w:r>
    </w:p>
    <w:p w:rsidR="007C0AE6" w:rsidRPr="00DD03D6" w:rsidRDefault="00050E4B" w:rsidP="00050E4B">
      <w:pPr>
        <w:pStyle w:val="H23G"/>
        <w:ind w:firstLine="0"/>
        <w:rPr>
          <w:noProof/>
          <w:lang w:val="fr-FR"/>
        </w:rPr>
      </w:pPr>
      <w:r>
        <w:rPr>
          <w:noProof/>
          <w:lang w:val="fr-FR"/>
        </w:rPr>
        <w:t xml:space="preserve">L’économie </w:t>
      </w:r>
    </w:p>
    <w:p w:rsidR="007C0AE6" w:rsidRDefault="00050E4B" w:rsidP="006F02BB">
      <w:pPr>
        <w:pStyle w:val="SingleTxtG"/>
        <w:numPr>
          <w:ilvl w:val="0"/>
          <w:numId w:val="3"/>
        </w:numPr>
        <w:ind w:left="1134" w:firstLine="0"/>
        <w:rPr>
          <w:noProof/>
          <w:lang w:val="fr-FR"/>
        </w:rPr>
      </w:pPr>
      <w:r w:rsidRPr="00050E4B">
        <w:rPr>
          <w:lang w:val="fr-FR"/>
        </w:rPr>
        <w:t>Après avoir connu une forte croissance dans les années 90, l’économie irlandaise a commencé à perdr</w:t>
      </w:r>
      <w:r w:rsidR="00145A33">
        <w:rPr>
          <w:lang w:val="fr-FR"/>
        </w:rPr>
        <w:t>e en compétitivité à partir de</w:t>
      </w:r>
      <w:r w:rsidRPr="00050E4B">
        <w:rPr>
          <w:lang w:val="fr-FR"/>
        </w:rPr>
        <w:t xml:space="preserve"> 2000, et la croissance s’est déplacée du secteur des exportations vers la demande intérieure (construction notamment), plus instable. </w:t>
      </w:r>
      <w:r w:rsidRPr="00050E4B">
        <w:rPr>
          <w:lang w:val="fr-FR"/>
        </w:rPr>
        <w:lastRenderedPageBreak/>
        <w:t>Le boom de la construction qui s’en est suivi a conduit à une accumulation de déséquilibres qui ont largement exposé l’économie irlandaise à la Grande Récession, ce ralentissement soudain de l’activité économique mondiale en 2008 et 2009</w:t>
      </w:r>
      <w:r w:rsidR="005D7533" w:rsidRPr="00DD03D6">
        <w:rPr>
          <w:noProof/>
          <w:lang w:val="fr-FR"/>
        </w:rPr>
        <w:t>.</w:t>
      </w:r>
    </w:p>
    <w:p w:rsidR="007C0AE6" w:rsidRPr="00DD03D6" w:rsidRDefault="008A244B" w:rsidP="006F02BB">
      <w:pPr>
        <w:pStyle w:val="SingleTxtG"/>
        <w:numPr>
          <w:ilvl w:val="0"/>
          <w:numId w:val="3"/>
        </w:numPr>
        <w:ind w:left="1134" w:firstLine="0"/>
        <w:rPr>
          <w:noProof/>
          <w:lang w:val="fr-FR"/>
        </w:rPr>
      </w:pPr>
      <w:r w:rsidRPr="00EB53E3">
        <w:rPr>
          <w:lang w:val="fr-FR"/>
        </w:rPr>
        <w:t>La perte de compétitivité nationale, aggravée par la faiblesse des principaux partenaires commerciaux et l’appréciation de l’euro pendant les turbulences économiques, a eu des incidences négatives sur les secteurs exportateurs du pays. Les exportations ont reculé de 7,3</w:t>
      </w:r>
      <w:r w:rsidR="003F1ADB">
        <w:rPr>
          <w:lang w:val="fr-FR"/>
        </w:rPr>
        <w:t> %</w:t>
      </w:r>
      <w:r w:rsidRPr="00EB53E3">
        <w:rPr>
          <w:lang w:val="fr-FR"/>
        </w:rPr>
        <w:t xml:space="preserve"> entre le quatrième trimestre de 2007 et le troisième trimestre de 2009, tandis que la production dans le secteur du logement, qui </w:t>
      </w:r>
      <w:r w:rsidR="007878F0">
        <w:rPr>
          <w:lang w:val="fr-FR"/>
        </w:rPr>
        <w:t>avait plafonné à plus de 90 000 </w:t>
      </w:r>
      <w:r w:rsidRPr="00EB53E3">
        <w:rPr>
          <w:lang w:val="fr-FR"/>
        </w:rPr>
        <w:t xml:space="preserve">logements en 2006, a fortement chuté sous l’effet </w:t>
      </w:r>
      <w:r w:rsidR="00145A33">
        <w:rPr>
          <w:lang w:val="fr-FR"/>
        </w:rPr>
        <w:t>du recul</w:t>
      </w:r>
      <w:r w:rsidRPr="00EB53E3">
        <w:rPr>
          <w:lang w:val="fr-FR"/>
        </w:rPr>
        <w:t xml:space="preserve"> de la demande. La diminution considérable de la confiance des consommateurs a entraîné un déclin sans précédent de la consommation des ménages. C’est ainsi que des contractions annuelles du PIB</w:t>
      </w:r>
      <w:r w:rsidR="00E75D4B" w:rsidRPr="00EB53E3">
        <w:rPr>
          <w:lang w:val="fr-FR"/>
        </w:rPr>
        <w:t xml:space="preserve"> réel</w:t>
      </w:r>
      <w:r w:rsidRPr="00EB53E3">
        <w:rPr>
          <w:lang w:val="fr-FR"/>
        </w:rPr>
        <w:t xml:space="preserve"> ont été enregistrées en 2008, 2009 et 2010 et qu’un écart de 10,7</w:t>
      </w:r>
      <w:r w:rsidR="003F1ADB">
        <w:rPr>
          <w:lang w:val="fr-FR"/>
        </w:rPr>
        <w:t> %</w:t>
      </w:r>
      <w:r w:rsidRPr="00EB53E3">
        <w:rPr>
          <w:lang w:val="fr-FR"/>
        </w:rPr>
        <w:t xml:space="preserve"> a été observé entre le quatrième trimestre de 2007 et celui de 2009, avant que le PIB ne connaisse à nouveau une croissance de 1,4</w:t>
      </w:r>
      <w:r w:rsidR="003F1ADB">
        <w:rPr>
          <w:lang w:val="fr-FR"/>
        </w:rPr>
        <w:t> %</w:t>
      </w:r>
      <w:r w:rsidRPr="00EB53E3">
        <w:rPr>
          <w:lang w:val="fr-FR"/>
        </w:rPr>
        <w:t xml:space="preserve"> en 2011. </w:t>
      </w:r>
      <w:r w:rsidR="003B3BB4" w:rsidRPr="00EB53E3">
        <w:rPr>
          <w:noProof/>
          <w:lang w:val="fr-FR"/>
        </w:rPr>
        <w:t>Comme c’est souvent le cas dans les petits pays à économie ouverte, c</w:t>
      </w:r>
      <w:r w:rsidRPr="00EB53E3">
        <w:rPr>
          <w:lang w:val="fr-FR"/>
        </w:rPr>
        <w:t xml:space="preserve">e sont les bons résultats à l’exportation, dus à la rapide amélioration de la compétitivité de l’Irlande, qui ont permis ce retour à la croissance. En 2012 et pour la deuxième année consécutive, un taux de croissance positif </w:t>
      </w:r>
      <w:r w:rsidR="003B3BB4" w:rsidRPr="00EB53E3">
        <w:rPr>
          <w:lang w:val="fr-FR"/>
        </w:rPr>
        <w:t xml:space="preserve">du PIB </w:t>
      </w:r>
      <w:r w:rsidRPr="00EB53E3">
        <w:rPr>
          <w:lang w:val="fr-FR"/>
        </w:rPr>
        <w:t>a été enregistré, égal à 0,9</w:t>
      </w:r>
      <w:r w:rsidR="003F1ADB">
        <w:rPr>
          <w:lang w:val="fr-FR"/>
        </w:rPr>
        <w:t> %</w:t>
      </w:r>
      <w:r w:rsidRPr="00EB53E3">
        <w:rPr>
          <w:lang w:val="fr-FR"/>
        </w:rPr>
        <w:t xml:space="preserve"> selon les chiffres préliminaires communiqués par le Bureau central de statistique</w:t>
      </w:r>
      <w:r w:rsidR="007C0AE6" w:rsidRPr="00DD03D6">
        <w:rPr>
          <w:noProof/>
          <w:lang w:val="fr-FR"/>
        </w:rPr>
        <w:t xml:space="preserve">. </w:t>
      </w:r>
      <w:r w:rsidR="00EB53E3">
        <w:rPr>
          <w:noProof/>
          <w:lang w:val="fr-FR"/>
        </w:rPr>
        <w:t xml:space="preserve">Pour le Ministère des finances, la croissance devrait se poursuivre pendant l’année en cours et s’établir, selon ses prévisions les plus récentes, à </w:t>
      </w:r>
      <w:r w:rsidR="007C0AE6" w:rsidRPr="00DD03D6">
        <w:rPr>
          <w:noProof/>
          <w:lang w:val="fr-FR"/>
        </w:rPr>
        <w:t>1</w:t>
      </w:r>
      <w:r w:rsidR="00EB53E3">
        <w:rPr>
          <w:noProof/>
          <w:lang w:val="fr-FR"/>
        </w:rPr>
        <w:t>,</w:t>
      </w:r>
      <w:r w:rsidR="007C0AE6" w:rsidRPr="00DD03D6">
        <w:rPr>
          <w:noProof/>
          <w:lang w:val="fr-FR"/>
        </w:rPr>
        <w:t>5</w:t>
      </w:r>
      <w:r w:rsidR="003F1ADB">
        <w:rPr>
          <w:noProof/>
          <w:lang w:val="fr-FR"/>
        </w:rPr>
        <w:t> %</w:t>
      </w:r>
      <w:r w:rsidR="007C0AE6" w:rsidRPr="00DD03D6">
        <w:rPr>
          <w:noProof/>
          <w:lang w:val="fr-FR"/>
        </w:rPr>
        <w:t xml:space="preserve"> </w:t>
      </w:r>
      <w:r w:rsidR="00EB53E3">
        <w:rPr>
          <w:noProof/>
          <w:lang w:val="fr-FR"/>
        </w:rPr>
        <w:t xml:space="preserve">pour </w:t>
      </w:r>
      <w:r w:rsidR="007C0AE6" w:rsidRPr="00DD03D6">
        <w:rPr>
          <w:noProof/>
          <w:lang w:val="fr-FR"/>
        </w:rPr>
        <w:t>2013.</w:t>
      </w:r>
    </w:p>
    <w:p w:rsidR="007C0AE6" w:rsidRPr="00DD03D6" w:rsidRDefault="00EB53E3" w:rsidP="006F02BB">
      <w:pPr>
        <w:pStyle w:val="SingleTxtG"/>
        <w:numPr>
          <w:ilvl w:val="0"/>
          <w:numId w:val="3"/>
        </w:numPr>
        <w:ind w:left="1134" w:firstLine="0"/>
        <w:rPr>
          <w:noProof/>
          <w:lang w:val="fr-FR"/>
        </w:rPr>
      </w:pPr>
      <w:r>
        <w:rPr>
          <w:noProof/>
          <w:lang w:val="fr-FR"/>
        </w:rPr>
        <w:t>Comme beaucoup d’autres pays européens, l’</w:t>
      </w:r>
      <w:r w:rsidR="007C0AE6" w:rsidRPr="00DD03D6">
        <w:rPr>
          <w:noProof/>
          <w:lang w:val="fr-FR"/>
        </w:rPr>
        <w:t>Irland</w:t>
      </w:r>
      <w:r>
        <w:rPr>
          <w:noProof/>
          <w:lang w:val="fr-FR"/>
        </w:rPr>
        <w:t>e</w:t>
      </w:r>
      <w:r w:rsidR="007C0AE6" w:rsidRPr="00DD03D6">
        <w:rPr>
          <w:noProof/>
          <w:lang w:val="fr-FR"/>
        </w:rPr>
        <w:t xml:space="preserve"> </w:t>
      </w:r>
      <w:r>
        <w:rPr>
          <w:noProof/>
          <w:lang w:val="fr-FR"/>
        </w:rPr>
        <w:t xml:space="preserve">s’efforce de remédier à la crise économique </w:t>
      </w:r>
      <w:r w:rsidR="00863686">
        <w:rPr>
          <w:noProof/>
          <w:lang w:val="fr-FR"/>
        </w:rPr>
        <w:t>en mettant en œuvre un programme de rigueur financière, tel qu’il figure dans le Plan national de relance</w:t>
      </w:r>
      <w:r w:rsidR="007C0AE6" w:rsidRPr="00DD03D6">
        <w:rPr>
          <w:noProof/>
          <w:lang w:val="fr-FR"/>
        </w:rPr>
        <w:t xml:space="preserve">. </w:t>
      </w:r>
      <w:r w:rsidR="00863686">
        <w:rPr>
          <w:noProof/>
          <w:lang w:val="fr-FR"/>
        </w:rPr>
        <w:t xml:space="preserve">Malheureusement, </w:t>
      </w:r>
      <w:r w:rsidR="00D727EB">
        <w:rPr>
          <w:noProof/>
          <w:lang w:val="fr-FR"/>
        </w:rPr>
        <w:t>ce programme a entraîné une réduction des dépenses publiques dans un grand nombre de domaines</w:t>
      </w:r>
      <w:r w:rsidR="007C0AE6" w:rsidRPr="00DD03D6">
        <w:rPr>
          <w:noProof/>
          <w:lang w:val="fr-FR"/>
        </w:rPr>
        <w:t>.</w:t>
      </w:r>
    </w:p>
    <w:p w:rsidR="007C0AE6" w:rsidRPr="00D727EB" w:rsidRDefault="00D727EB" w:rsidP="006F02BB">
      <w:pPr>
        <w:pStyle w:val="SingleTxtG"/>
        <w:numPr>
          <w:ilvl w:val="0"/>
          <w:numId w:val="3"/>
        </w:numPr>
        <w:ind w:left="1134" w:firstLine="0"/>
        <w:rPr>
          <w:noProof/>
          <w:lang w:val="fr-FR"/>
        </w:rPr>
      </w:pPr>
      <w:r w:rsidRPr="00D727EB">
        <w:rPr>
          <w:lang w:val="fr-FR"/>
        </w:rPr>
        <w:t>Le taux de chômage a augmenté considérablement au cours des dernières années, passant de 4,4</w:t>
      </w:r>
      <w:r w:rsidR="003F1ADB">
        <w:rPr>
          <w:lang w:val="fr-FR"/>
        </w:rPr>
        <w:t> %</w:t>
      </w:r>
      <w:r w:rsidRPr="00D727EB">
        <w:rPr>
          <w:lang w:val="fr-FR"/>
        </w:rPr>
        <w:t xml:space="preserve"> au début de 2006 à 14,8</w:t>
      </w:r>
      <w:r w:rsidR="003F1ADB">
        <w:rPr>
          <w:lang w:val="fr-FR"/>
        </w:rPr>
        <w:t> %</w:t>
      </w:r>
      <w:r w:rsidRPr="00D727EB">
        <w:rPr>
          <w:lang w:val="fr-FR"/>
        </w:rPr>
        <w:t xml:space="preserve"> au troisième trimestre de 2012. Au cours de la même période, le taux de chômage de longue durée est passé de 1,3</w:t>
      </w:r>
      <w:r w:rsidR="003F1ADB">
        <w:rPr>
          <w:lang w:val="fr-FR"/>
        </w:rPr>
        <w:t> %</w:t>
      </w:r>
      <w:r w:rsidRPr="00D727EB">
        <w:rPr>
          <w:lang w:val="fr-FR"/>
        </w:rPr>
        <w:t xml:space="preserve"> à 8,9</w:t>
      </w:r>
      <w:r w:rsidR="003F1ADB">
        <w:rPr>
          <w:lang w:val="fr-FR"/>
        </w:rPr>
        <w:t> %</w:t>
      </w:r>
      <w:r w:rsidR="007C0AE6" w:rsidRPr="00D727EB">
        <w:rPr>
          <w:noProof/>
          <w:lang w:val="fr-FR"/>
        </w:rPr>
        <w:t>.</w:t>
      </w:r>
    </w:p>
    <w:p w:rsidR="007C0AE6" w:rsidRPr="00DD03D6" w:rsidRDefault="00D727EB" w:rsidP="00D727EB">
      <w:pPr>
        <w:pStyle w:val="H23G"/>
        <w:ind w:firstLine="0"/>
        <w:rPr>
          <w:noProof/>
          <w:lang w:val="fr-FR"/>
        </w:rPr>
      </w:pPr>
      <w:r>
        <w:rPr>
          <w:noProof/>
          <w:lang w:val="fr-FR"/>
        </w:rPr>
        <w:t>Évolutions démographiques</w:t>
      </w:r>
    </w:p>
    <w:p w:rsidR="007C0AE6" w:rsidRPr="00DD03D6" w:rsidRDefault="00D727EB" w:rsidP="007A2AF3">
      <w:pPr>
        <w:pStyle w:val="SingleTxtG"/>
        <w:numPr>
          <w:ilvl w:val="0"/>
          <w:numId w:val="3"/>
        </w:numPr>
        <w:ind w:left="1134" w:firstLine="0"/>
        <w:rPr>
          <w:noProof/>
          <w:lang w:val="fr-FR"/>
        </w:rPr>
      </w:pPr>
      <w:r>
        <w:rPr>
          <w:noProof/>
          <w:lang w:val="fr-FR"/>
        </w:rPr>
        <w:t xml:space="preserve">L’Irlande a enregistré un accroissement démographique important au cours de la décennie écoulée puisque le nombre total d’habitants a augmenté d’environ </w:t>
      </w:r>
      <w:r w:rsidR="007C0AE6" w:rsidRPr="00DD03D6">
        <w:rPr>
          <w:noProof/>
          <w:lang w:val="fr-FR"/>
        </w:rPr>
        <w:t>664</w:t>
      </w:r>
      <w:r w:rsidR="007878F0">
        <w:rPr>
          <w:noProof/>
          <w:lang w:val="fr-FR"/>
        </w:rPr>
        <w:t> </w:t>
      </w:r>
      <w:r w:rsidR="007C0AE6" w:rsidRPr="00DD03D6">
        <w:rPr>
          <w:noProof/>
          <w:lang w:val="fr-FR"/>
        </w:rPr>
        <w:t>000 (17</w:t>
      </w:r>
      <w:r w:rsidR="003F1ADB">
        <w:rPr>
          <w:noProof/>
          <w:lang w:val="fr-FR"/>
        </w:rPr>
        <w:t> %</w:t>
      </w:r>
      <w:r w:rsidR="007C0AE6" w:rsidRPr="00DD03D6">
        <w:rPr>
          <w:noProof/>
          <w:lang w:val="fr-FR"/>
        </w:rPr>
        <w:t xml:space="preserve">) </w:t>
      </w:r>
      <w:r>
        <w:rPr>
          <w:noProof/>
          <w:lang w:val="fr-FR"/>
        </w:rPr>
        <w:t xml:space="preserve">entre </w:t>
      </w:r>
      <w:r w:rsidR="007C0AE6" w:rsidRPr="00DD03D6">
        <w:rPr>
          <w:noProof/>
          <w:lang w:val="fr-FR"/>
        </w:rPr>
        <w:t xml:space="preserve">2002 </w:t>
      </w:r>
      <w:r>
        <w:rPr>
          <w:noProof/>
          <w:lang w:val="fr-FR"/>
        </w:rPr>
        <w:t xml:space="preserve">et </w:t>
      </w:r>
      <w:r w:rsidR="007C0AE6" w:rsidRPr="00DD03D6">
        <w:rPr>
          <w:noProof/>
          <w:lang w:val="fr-FR"/>
        </w:rPr>
        <w:t xml:space="preserve">2011. </w:t>
      </w:r>
      <w:r w:rsidR="00F61FB2" w:rsidRPr="00F61FB2">
        <w:rPr>
          <w:lang w:val="fr-FR"/>
        </w:rPr>
        <w:t>Au cours de la même période, le nombre d’enfants de moins de 18 ans est passé de 1 013 031 à 1 148 687, en progression d’environ 13,4</w:t>
      </w:r>
      <w:r w:rsidR="003F1ADB">
        <w:rPr>
          <w:lang w:val="fr-FR"/>
        </w:rPr>
        <w:t> %</w:t>
      </w:r>
      <w:r w:rsidR="00F61FB2" w:rsidRPr="00F61FB2">
        <w:rPr>
          <w:lang w:val="fr-FR"/>
        </w:rPr>
        <w:t xml:space="preserve">. La proportion d’Irlandais </w:t>
      </w:r>
      <w:r w:rsidR="00F61FB2">
        <w:rPr>
          <w:lang w:val="fr-FR"/>
        </w:rPr>
        <w:t xml:space="preserve">âgés </w:t>
      </w:r>
      <w:r w:rsidR="00F61FB2" w:rsidRPr="00F61FB2">
        <w:rPr>
          <w:lang w:val="fr-FR"/>
        </w:rPr>
        <w:t>de moins de 18 ans a considérablement diminué entre 1981 (36,2</w:t>
      </w:r>
      <w:r w:rsidR="003F1ADB">
        <w:rPr>
          <w:lang w:val="fr-FR"/>
        </w:rPr>
        <w:t> %</w:t>
      </w:r>
      <w:r w:rsidR="00F61FB2" w:rsidRPr="00F61FB2">
        <w:rPr>
          <w:lang w:val="fr-FR"/>
        </w:rPr>
        <w:t>) et 2002 (25,9</w:t>
      </w:r>
      <w:r w:rsidR="003F1ADB">
        <w:rPr>
          <w:lang w:val="fr-FR"/>
        </w:rPr>
        <w:t> %</w:t>
      </w:r>
      <w:r w:rsidR="00F61FB2" w:rsidRPr="00F61FB2">
        <w:rPr>
          <w:lang w:val="fr-FR"/>
        </w:rPr>
        <w:t>), mais elle est restée stable depuis et, en 2011, les enfants représentaient 25</w:t>
      </w:r>
      <w:r w:rsidR="003F1ADB">
        <w:rPr>
          <w:lang w:val="fr-FR"/>
        </w:rPr>
        <w:t> %</w:t>
      </w:r>
      <w:r w:rsidR="00F61FB2" w:rsidRPr="00F61FB2">
        <w:rPr>
          <w:lang w:val="fr-FR"/>
        </w:rPr>
        <w:t xml:space="preserve"> de la population totale. Le </w:t>
      </w:r>
      <w:r w:rsidR="00D001CB">
        <w:rPr>
          <w:lang w:val="fr-FR"/>
        </w:rPr>
        <w:t>rapport</w:t>
      </w:r>
      <w:r w:rsidR="00F61FB2" w:rsidRPr="00F61FB2">
        <w:rPr>
          <w:lang w:val="fr-FR"/>
        </w:rPr>
        <w:t xml:space="preserve"> de dépendance économique des jeunes (rapport entre les moins de 14 ans et l’ensemble de la population en âge de travailler) a augmenté entre 2006 et 2011, passant de 29,7</w:t>
      </w:r>
      <w:r w:rsidR="003F1ADB">
        <w:rPr>
          <w:lang w:val="fr-FR"/>
        </w:rPr>
        <w:t> %</w:t>
      </w:r>
      <w:r w:rsidR="00F61FB2" w:rsidRPr="00F61FB2">
        <w:rPr>
          <w:lang w:val="fr-FR"/>
        </w:rPr>
        <w:t xml:space="preserve"> à 31,9</w:t>
      </w:r>
      <w:r w:rsidR="003F1ADB">
        <w:rPr>
          <w:lang w:val="fr-FR"/>
        </w:rPr>
        <w:t> %</w:t>
      </w:r>
      <w:r w:rsidR="007C0AE6" w:rsidRPr="00DD03D6">
        <w:rPr>
          <w:noProof/>
          <w:lang w:val="fr-FR"/>
        </w:rPr>
        <w:t xml:space="preserve">. </w:t>
      </w:r>
    </w:p>
    <w:p w:rsidR="00FD44C2" w:rsidRPr="00DD03D6" w:rsidRDefault="0017649D" w:rsidP="006F02BB">
      <w:pPr>
        <w:pStyle w:val="SingleTxtG"/>
        <w:numPr>
          <w:ilvl w:val="0"/>
          <w:numId w:val="3"/>
        </w:numPr>
        <w:ind w:left="1134" w:firstLine="0"/>
        <w:rPr>
          <w:noProof/>
          <w:lang w:val="fr-FR"/>
        </w:rPr>
      </w:pPr>
      <w:r w:rsidRPr="0017649D">
        <w:rPr>
          <w:lang w:val="fr-FR"/>
        </w:rPr>
        <w:t xml:space="preserve">Selon </w:t>
      </w:r>
      <w:r>
        <w:rPr>
          <w:lang w:val="fr-FR"/>
        </w:rPr>
        <w:t>une analyse</w:t>
      </w:r>
      <w:r w:rsidRPr="0017649D">
        <w:rPr>
          <w:lang w:val="fr-FR"/>
        </w:rPr>
        <w:t xml:space="preserve"> du Bureau central de statistique</w:t>
      </w:r>
      <w:r>
        <w:rPr>
          <w:lang w:val="fr-FR"/>
        </w:rPr>
        <w:t xml:space="preserve"> intitulée </w:t>
      </w:r>
      <w:r w:rsidRPr="0030293A">
        <w:rPr>
          <w:i/>
          <w:lang w:val="fr-FR"/>
        </w:rPr>
        <w:t>Les femmes et les hommes en Irlande en 2011</w:t>
      </w:r>
      <w:r>
        <w:rPr>
          <w:lang w:val="fr-FR"/>
        </w:rPr>
        <w:t xml:space="preserve"> (CSO, 2012a)</w:t>
      </w:r>
      <w:r w:rsidRPr="0017649D">
        <w:rPr>
          <w:lang w:val="fr-FR"/>
        </w:rPr>
        <w:t>, l</w:t>
      </w:r>
      <w:r>
        <w:rPr>
          <w:lang w:val="fr-FR"/>
        </w:rPr>
        <w:t xml:space="preserve">’indice synthétique </w:t>
      </w:r>
      <w:r w:rsidRPr="0017649D">
        <w:rPr>
          <w:lang w:val="fr-FR"/>
        </w:rPr>
        <w:t xml:space="preserve">de fécondité des Irlandaises </w:t>
      </w:r>
      <w:r>
        <w:rPr>
          <w:lang w:val="fr-FR"/>
        </w:rPr>
        <w:t>a été</w:t>
      </w:r>
      <w:r w:rsidRPr="0017649D">
        <w:rPr>
          <w:lang w:val="fr-FR"/>
        </w:rPr>
        <w:t xml:space="preserve"> le plus élevé de l’Union européenne </w:t>
      </w:r>
      <w:r w:rsidR="00161BCD">
        <w:rPr>
          <w:lang w:val="fr-FR"/>
        </w:rPr>
        <w:t>(U</w:t>
      </w:r>
      <w:r>
        <w:rPr>
          <w:lang w:val="fr-FR"/>
        </w:rPr>
        <w:t xml:space="preserve">E) </w:t>
      </w:r>
      <w:r w:rsidRPr="0017649D">
        <w:rPr>
          <w:lang w:val="fr-FR"/>
        </w:rPr>
        <w:t>pendant toute la période considérée</w:t>
      </w:r>
      <w:r w:rsidR="007878F0">
        <w:rPr>
          <w:lang w:val="fr-FR"/>
        </w:rPr>
        <w:t> </w:t>
      </w:r>
      <w:r w:rsidRPr="0017649D">
        <w:rPr>
          <w:lang w:val="fr-FR"/>
        </w:rPr>
        <w:t>: il est passé de 1,9</w:t>
      </w:r>
      <w:r w:rsidR="003F1ADB">
        <w:rPr>
          <w:lang w:val="fr-FR"/>
        </w:rPr>
        <w:t> %</w:t>
      </w:r>
      <w:r w:rsidRPr="0017649D">
        <w:rPr>
          <w:lang w:val="fr-FR"/>
        </w:rPr>
        <w:t xml:space="preserve"> </w:t>
      </w:r>
      <w:r>
        <w:rPr>
          <w:lang w:val="fr-FR"/>
        </w:rPr>
        <w:t xml:space="preserve">en 2006 </w:t>
      </w:r>
      <w:r w:rsidRPr="0017649D">
        <w:rPr>
          <w:lang w:val="fr-FR"/>
        </w:rPr>
        <w:t>à 2,07</w:t>
      </w:r>
      <w:r w:rsidR="003F1ADB">
        <w:rPr>
          <w:lang w:val="fr-FR"/>
        </w:rPr>
        <w:t> %</w:t>
      </w:r>
      <w:r w:rsidRPr="0017649D">
        <w:rPr>
          <w:lang w:val="fr-FR"/>
        </w:rPr>
        <w:t xml:space="preserve"> </w:t>
      </w:r>
      <w:r>
        <w:rPr>
          <w:lang w:val="fr-FR"/>
        </w:rPr>
        <w:t xml:space="preserve">en </w:t>
      </w:r>
      <w:r w:rsidRPr="0017649D">
        <w:rPr>
          <w:lang w:val="fr-FR"/>
        </w:rPr>
        <w:t>2010. Le nombre de naissances a augmenté de 29</w:t>
      </w:r>
      <w:r w:rsidR="003F1ADB">
        <w:rPr>
          <w:lang w:val="fr-FR"/>
        </w:rPr>
        <w:t> %</w:t>
      </w:r>
      <w:r w:rsidRPr="0017649D">
        <w:rPr>
          <w:lang w:val="fr-FR"/>
        </w:rPr>
        <w:t xml:space="preserve"> au cours de la décennie écoulée, passant de 57 854 en 2001 à 74 650 en 2011</w:t>
      </w:r>
      <w:r w:rsidR="007C0AE6" w:rsidRPr="00DD03D6">
        <w:rPr>
          <w:noProof/>
          <w:lang w:val="fr-FR"/>
        </w:rPr>
        <w:t>.</w:t>
      </w:r>
    </w:p>
    <w:p w:rsidR="007A2AF3" w:rsidRPr="00DD03D6" w:rsidRDefault="00D001CB" w:rsidP="007A2AF3">
      <w:pPr>
        <w:pStyle w:val="SingleTxtG"/>
        <w:numPr>
          <w:ilvl w:val="0"/>
          <w:numId w:val="3"/>
        </w:numPr>
        <w:ind w:left="1134" w:firstLine="0"/>
        <w:rPr>
          <w:noProof/>
          <w:lang w:val="fr-FR"/>
        </w:rPr>
      </w:pPr>
      <w:r w:rsidRPr="00D001CB">
        <w:rPr>
          <w:lang w:val="fr-FR"/>
        </w:rPr>
        <w:t xml:space="preserve">On constate un vieillissement de la population irlandaise. Selon la publication du Bureau central de statistique </w:t>
      </w:r>
      <w:r w:rsidRPr="00DD03D6">
        <w:rPr>
          <w:i/>
          <w:noProof/>
          <w:lang w:val="fr-FR"/>
        </w:rPr>
        <w:t>Older and Younger</w:t>
      </w:r>
      <w:r w:rsidRPr="00DD03D6">
        <w:rPr>
          <w:noProof/>
          <w:lang w:val="fr-FR"/>
        </w:rPr>
        <w:t xml:space="preserve"> (CSO, 2012b),</w:t>
      </w:r>
      <w:r w:rsidRPr="00D001CB">
        <w:rPr>
          <w:lang w:val="fr-FR"/>
        </w:rPr>
        <w:t xml:space="preserve"> le nombre de personnes âgées de 65 ans </w:t>
      </w:r>
      <w:r w:rsidR="00D65373">
        <w:rPr>
          <w:lang w:val="fr-FR"/>
        </w:rPr>
        <w:t>et</w:t>
      </w:r>
      <w:r w:rsidRPr="00D001CB">
        <w:rPr>
          <w:lang w:val="fr-FR"/>
        </w:rPr>
        <w:t xml:space="preserve"> plus est passé de 467 926 </w:t>
      </w:r>
      <w:r>
        <w:rPr>
          <w:lang w:val="fr-FR"/>
        </w:rPr>
        <w:t xml:space="preserve">en 2006 </w:t>
      </w:r>
      <w:r w:rsidRPr="00D001CB">
        <w:rPr>
          <w:lang w:val="fr-FR"/>
        </w:rPr>
        <w:t xml:space="preserve">à 535 393 </w:t>
      </w:r>
      <w:r>
        <w:rPr>
          <w:lang w:val="fr-FR"/>
        </w:rPr>
        <w:t xml:space="preserve">en </w:t>
      </w:r>
      <w:r w:rsidRPr="00D001CB">
        <w:rPr>
          <w:lang w:val="fr-FR"/>
        </w:rPr>
        <w:t>2011, soit une augmentation de 14,4</w:t>
      </w:r>
      <w:r w:rsidR="003F1ADB">
        <w:rPr>
          <w:lang w:val="fr-FR"/>
        </w:rPr>
        <w:t> %</w:t>
      </w:r>
      <w:r w:rsidRPr="00D001CB">
        <w:rPr>
          <w:lang w:val="fr-FR"/>
        </w:rPr>
        <w:t>. Les personnes âgées représentent aujourd’hui 11,7</w:t>
      </w:r>
      <w:r w:rsidR="003F1ADB">
        <w:rPr>
          <w:lang w:val="fr-FR"/>
        </w:rPr>
        <w:t> %</w:t>
      </w:r>
      <w:r w:rsidRPr="00D001CB">
        <w:rPr>
          <w:lang w:val="fr-FR"/>
        </w:rPr>
        <w:t xml:space="preserve"> de la population contre 11</w:t>
      </w:r>
      <w:r w:rsidR="003F1ADB">
        <w:rPr>
          <w:lang w:val="fr-FR"/>
        </w:rPr>
        <w:t> %</w:t>
      </w:r>
      <w:r w:rsidRPr="00D001CB">
        <w:rPr>
          <w:lang w:val="fr-FR"/>
        </w:rPr>
        <w:t xml:space="preserve"> en 2006. Le </w:t>
      </w:r>
      <w:r>
        <w:rPr>
          <w:lang w:val="fr-FR"/>
        </w:rPr>
        <w:t>rapport</w:t>
      </w:r>
      <w:r w:rsidRPr="00D001CB">
        <w:rPr>
          <w:lang w:val="fr-FR"/>
        </w:rPr>
        <w:t xml:space="preserve"> de dépendance des personnes âgées était de 17,4</w:t>
      </w:r>
      <w:r w:rsidR="003F1ADB">
        <w:rPr>
          <w:lang w:val="fr-FR"/>
        </w:rPr>
        <w:t> %</w:t>
      </w:r>
      <w:r w:rsidRPr="00D001CB">
        <w:rPr>
          <w:lang w:val="fr-FR"/>
        </w:rPr>
        <w:t xml:space="preserve"> en 2011, </w:t>
      </w:r>
      <w:r>
        <w:rPr>
          <w:lang w:val="fr-FR"/>
        </w:rPr>
        <w:t>contre</w:t>
      </w:r>
      <w:r w:rsidRPr="00D001CB">
        <w:rPr>
          <w:lang w:val="fr-FR"/>
        </w:rPr>
        <w:t xml:space="preserve"> 16,1</w:t>
      </w:r>
      <w:r w:rsidR="003F1ADB">
        <w:rPr>
          <w:lang w:val="fr-FR"/>
        </w:rPr>
        <w:t> %</w:t>
      </w:r>
      <w:r w:rsidRPr="00D001CB">
        <w:rPr>
          <w:lang w:val="fr-FR"/>
        </w:rPr>
        <w:t xml:space="preserve"> en 2006</w:t>
      </w:r>
      <w:r w:rsidR="007A2AF3" w:rsidRPr="00DD03D6">
        <w:rPr>
          <w:noProof/>
          <w:lang w:val="fr-FR"/>
        </w:rPr>
        <w:t>.</w:t>
      </w:r>
    </w:p>
    <w:p w:rsidR="007A2AF3" w:rsidRPr="00DD03D6" w:rsidRDefault="00D001CB" w:rsidP="00763D72">
      <w:pPr>
        <w:pStyle w:val="SingleTxtG"/>
        <w:numPr>
          <w:ilvl w:val="0"/>
          <w:numId w:val="3"/>
        </w:numPr>
        <w:ind w:left="1134" w:firstLine="0"/>
        <w:rPr>
          <w:noProof/>
          <w:lang w:val="fr-FR"/>
        </w:rPr>
      </w:pPr>
      <w:r w:rsidRPr="00D001CB">
        <w:rPr>
          <w:lang w:val="fr-FR"/>
        </w:rPr>
        <w:lastRenderedPageBreak/>
        <w:t>Ces dernières années, la structure de la population irlandaise a été modifiée par une inversion des tendances migratoires, le taux de migration nette étant devenu négatif. En 2006, la migration nette représentait 71 800 personnes, mais en 201</w:t>
      </w:r>
      <w:r>
        <w:rPr>
          <w:lang w:val="fr-FR"/>
        </w:rPr>
        <w:t>1</w:t>
      </w:r>
      <w:r w:rsidRPr="00D001CB">
        <w:rPr>
          <w:lang w:val="fr-FR"/>
        </w:rPr>
        <w:t>, elle présentait un solde négatif de 34 400 personnes. Les estimations du Bureau central de statistique pour 2012 indiquent que le solde migratoire négatif pour la population en âge de travailler (personnes âgées de 15 à 65 ans) est de 36 600</w:t>
      </w:r>
      <w:r w:rsidR="007A2AF3" w:rsidRPr="00DD03D6">
        <w:rPr>
          <w:noProof/>
          <w:lang w:val="fr-FR"/>
        </w:rPr>
        <w:t>.</w:t>
      </w:r>
    </w:p>
    <w:p w:rsidR="007A2AF3" w:rsidRPr="00DD03D6" w:rsidRDefault="000C14B9" w:rsidP="007A2AF3">
      <w:pPr>
        <w:pStyle w:val="SingleTxtG"/>
        <w:numPr>
          <w:ilvl w:val="0"/>
          <w:numId w:val="3"/>
        </w:numPr>
        <w:ind w:left="1134" w:firstLine="0"/>
        <w:rPr>
          <w:noProof/>
          <w:lang w:val="fr-FR"/>
        </w:rPr>
      </w:pPr>
      <w:r w:rsidRPr="000C14B9">
        <w:rPr>
          <w:lang w:val="fr-FR"/>
        </w:rPr>
        <w:t>Ces évolutions démographiques se traduiront par une demande accrue en aides et services publics</w:t>
      </w:r>
      <w:r w:rsidR="007A2AF3" w:rsidRPr="00DD03D6">
        <w:rPr>
          <w:noProof/>
          <w:lang w:val="fr-FR"/>
        </w:rPr>
        <w:t>.</w:t>
      </w:r>
    </w:p>
    <w:p w:rsidR="007A2AF3" w:rsidRPr="00DD03D6" w:rsidRDefault="000C14B9" w:rsidP="000C14B9">
      <w:pPr>
        <w:pStyle w:val="H23G"/>
        <w:ind w:firstLine="0"/>
        <w:rPr>
          <w:noProof/>
          <w:lang w:val="fr-FR"/>
        </w:rPr>
      </w:pPr>
      <w:r>
        <w:rPr>
          <w:noProof/>
          <w:lang w:val="fr-FR"/>
        </w:rPr>
        <w:t xml:space="preserve">Taille et structure de la famille </w:t>
      </w:r>
    </w:p>
    <w:p w:rsidR="007A2AF3" w:rsidRDefault="000C14B9" w:rsidP="006F02BB">
      <w:pPr>
        <w:pStyle w:val="SingleTxtG"/>
        <w:numPr>
          <w:ilvl w:val="0"/>
          <w:numId w:val="3"/>
        </w:numPr>
        <w:ind w:left="1134" w:firstLine="0"/>
        <w:rPr>
          <w:noProof/>
          <w:lang w:val="fr-FR"/>
        </w:rPr>
      </w:pPr>
      <w:r>
        <w:rPr>
          <w:noProof/>
          <w:lang w:val="fr-FR"/>
        </w:rPr>
        <w:t>E</w:t>
      </w:r>
      <w:r w:rsidR="007A2AF3" w:rsidRPr="00DD03D6">
        <w:rPr>
          <w:noProof/>
          <w:lang w:val="fr-FR"/>
        </w:rPr>
        <w:t xml:space="preserve">n 2011, </w:t>
      </w:r>
      <w:r>
        <w:rPr>
          <w:noProof/>
          <w:lang w:val="fr-FR"/>
        </w:rPr>
        <w:t xml:space="preserve">comme en </w:t>
      </w:r>
      <w:r w:rsidR="007A2AF3" w:rsidRPr="00DD03D6">
        <w:rPr>
          <w:noProof/>
          <w:lang w:val="fr-FR"/>
        </w:rPr>
        <w:t xml:space="preserve">2006, </w:t>
      </w:r>
      <w:r>
        <w:rPr>
          <w:noProof/>
          <w:lang w:val="fr-FR"/>
        </w:rPr>
        <w:t xml:space="preserve">la grande majorité des enfants vivaient avec leurs deux </w:t>
      </w:r>
      <w:r w:rsidR="007A2AF3" w:rsidRPr="00DD03D6">
        <w:rPr>
          <w:noProof/>
          <w:lang w:val="fr-FR"/>
        </w:rPr>
        <w:t xml:space="preserve">parents. </w:t>
      </w:r>
      <w:r>
        <w:rPr>
          <w:noProof/>
          <w:lang w:val="fr-FR"/>
        </w:rPr>
        <w:t xml:space="preserve">La </w:t>
      </w:r>
      <w:r w:rsidR="007A2AF3" w:rsidRPr="00DD03D6">
        <w:rPr>
          <w:noProof/>
          <w:lang w:val="fr-FR"/>
        </w:rPr>
        <w:t xml:space="preserve">proportion </w:t>
      </w:r>
      <w:r>
        <w:rPr>
          <w:noProof/>
          <w:lang w:val="fr-FR"/>
        </w:rPr>
        <w:t xml:space="preserve">globale des enfants vivant avec leurs deux parents ou au sein d’un ménage monoparental est restée </w:t>
      </w:r>
      <w:r w:rsidR="007A2AF3" w:rsidRPr="00DD03D6">
        <w:rPr>
          <w:noProof/>
          <w:lang w:val="fr-FR"/>
        </w:rPr>
        <w:t>relative</w:t>
      </w:r>
      <w:r>
        <w:rPr>
          <w:noProof/>
          <w:lang w:val="fr-FR"/>
        </w:rPr>
        <w:t xml:space="preserve">ment stable : environ </w:t>
      </w:r>
      <w:r w:rsidR="007A2AF3" w:rsidRPr="00DD03D6">
        <w:rPr>
          <w:noProof/>
          <w:lang w:val="fr-FR"/>
        </w:rPr>
        <w:t>81</w:t>
      </w:r>
      <w:r w:rsidR="003F1ADB">
        <w:rPr>
          <w:noProof/>
          <w:lang w:val="fr-FR"/>
        </w:rPr>
        <w:t> %</w:t>
      </w:r>
      <w:r w:rsidR="007A2AF3" w:rsidRPr="00DD03D6">
        <w:rPr>
          <w:noProof/>
          <w:lang w:val="fr-FR"/>
        </w:rPr>
        <w:t xml:space="preserve"> r</w:t>
      </w:r>
      <w:r>
        <w:rPr>
          <w:noProof/>
          <w:lang w:val="fr-FR"/>
        </w:rPr>
        <w:t xml:space="preserve">ésident avec leurs deux </w:t>
      </w:r>
      <w:r w:rsidR="007A2AF3" w:rsidRPr="00DD03D6">
        <w:rPr>
          <w:noProof/>
          <w:lang w:val="fr-FR"/>
        </w:rPr>
        <w:t xml:space="preserve">parents </w:t>
      </w:r>
      <w:r>
        <w:rPr>
          <w:noProof/>
          <w:lang w:val="fr-FR"/>
        </w:rPr>
        <w:t>et 18,</w:t>
      </w:r>
      <w:r w:rsidR="007A2AF3" w:rsidRPr="00DD03D6">
        <w:rPr>
          <w:noProof/>
          <w:lang w:val="fr-FR"/>
        </w:rPr>
        <w:t>3</w:t>
      </w:r>
      <w:r w:rsidR="003F1ADB">
        <w:rPr>
          <w:noProof/>
          <w:lang w:val="fr-FR"/>
        </w:rPr>
        <w:t> %</w:t>
      </w:r>
      <w:r w:rsidR="007A2AF3" w:rsidRPr="00DD03D6">
        <w:rPr>
          <w:noProof/>
          <w:lang w:val="fr-FR"/>
        </w:rPr>
        <w:t xml:space="preserve"> </w:t>
      </w:r>
      <w:r>
        <w:rPr>
          <w:noProof/>
          <w:lang w:val="fr-FR"/>
        </w:rPr>
        <w:t>vivent au sein d’un ménage monoparental</w:t>
      </w:r>
      <w:r w:rsidR="007A2AF3" w:rsidRPr="00DD03D6">
        <w:rPr>
          <w:noProof/>
          <w:lang w:val="fr-FR"/>
        </w:rPr>
        <w:t xml:space="preserve">. </w:t>
      </w:r>
      <w:r>
        <w:rPr>
          <w:noProof/>
          <w:lang w:val="fr-FR"/>
        </w:rPr>
        <w:t>Des changements importants ne s’en sont pas moins produits parmi les différents groupes d’âges</w:t>
      </w:r>
      <w:r w:rsidR="007A2AF3" w:rsidRPr="00DD03D6">
        <w:rPr>
          <w:noProof/>
          <w:lang w:val="fr-FR"/>
        </w:rPr>
        <w:t xml:space="preserve">. </w:t>
      </w:r>
      <w:r w:rsidR="00D65373">
        <w:rPr>
          <w:noProof/>
          <w:lang w:val="fr-FR"/>
        </w:rPr>
        <w:t xml:space="preserve">La </w:t>
      </w:r>
      <w:r w:rsidR="007A2AF3" w:rsidRPr="00DD03D6">
        <w:rPr>
          <w:noProof/>
          <w:lang w:val="fr-FR"/>
        </w:rPr>
        <w:t xml:space="preserve">proportion </w:t>
      </w:r>
      <w:r w:rsidR="00D65373">
        <w:rPr>
          <w:noProof/>
          <w:lang w:val="fr-FR"/>
        </w:rPr>
        <w:t xml:space="preserve">d’enfants d’âge préscolaire âgés de quatre ans ou moins vivant avec un parent isolé a été ramenée de </w:t>
      </w:r>
      <w:r w:rsidR="007A2AF3" w:rsidRPr="00DD03D6">
        <w:rPr>
          <w:noProof/>
          <w:lang w:val="fr-FR"/>
        </w:rPr>
        <w:t>16</w:t>
      </w:r>
      <w:r w:rsidR="00D65373">
        <w:rPr>
          <w:noProof/>
          <w:lang w:val="fr-FR"/>
        </w:rPr>
        <w:t>,</w:t>
      </w:r>
      <w:r w:rsidR="007A2AF3" w:rsidRPr="00DD03D6">
        <w:rPr>
          <w:noProof/>
          <w:lang w:val="fr-FR"/>
        </w:rPr>
        <w:t>8</w:t>
      </w:r>
      <w:r w:rsidR="003F1ADB">
        <w:rPr>
          <w:noProof/>
          <w:lang w:val="fr-FR"/>
        </w:rPr>
        <w:t> %</w:t>
      </w:r>
      <w:r w:rsidR="007A2AF3" w:rsidRPr="00DD03D6">
        <w:rPr>
          <w:noProof/>
          <w:lang w:val="fr-FR"/>
        </w:rPr>
        <w:t xml:space="preserve"> </w:t>
      </w:r>
      <w:r w:rsidR="00D65373">
        <w:rPr>
          <w:noProof/>
          <w:lang w:val="fr-FR"/>
        </w:rPr>
        <w:t>e</w:t>
      </w:r>
      <w:r w:rsidR="007A2AF3" w:rsidRPr="00DD03D6">
        <w:rPr>
          <w:noProof/>
          <w:lang w:val="fr-FR"/>
        </w:rPr>
        <w:t xml:space="preserve">n 2006 </w:t>
      </w:r>
      <w:r w:rsidR="00D65373">
        <w:rPr>
          <w:noProof/>
          <w:lang w:val="fr-FR"/>
        </w:rPr>
        <w:t>à</w:t>
      </w:r>
      <w:r w:rsidR="007A2AF3" w:rsidRPr="00DD03D6">
        <w:rPr>
          <w:noProof/>
          <w:lang w:val="fr-FR"/>
        </w:rPr>
        <w:t xml:space="preserve"> 15</w:t>
      </w:r>
      <w:r w:rsidR="00D65373">
        <w:rPr>
          <w:noProof/>
          <w:lang w:val="fr-FR"/>
        </w:rPr>
        <w:t>,</w:t>
      </w:r>
      <w:r w:rsidR="007A2AF3" w:rsidRPr="00DD03D6">
        <w:rPr>
          <w:noProof/>
          <w:lang w:val="fr-FR"/>
        </w:rPr>
        <w:t>4</w:t>
      </w:r>
      <w:r w:rsidR="003F1ADB">
        <w:rPr>
          <w:noProof/>
          <w:lang w:val="fr-FR"/>
        </w:rPr>
        <w:t> %</w:t>
      </w:r>
      <w:r w:rsidR="007A2AF3" w:rsidRPr="00DD03D6">
        <w:rPr>
          <w:noProof/>
          <w:lang w:val="fr-FR"/>
        </w:rPr>
        <w:t xml:space="preserve"> </w:t>
      </w:r>
      <w:r w:rsidR="00D65373">
        <w:rPr>
          <w:noProof/>
          <w:lang w:val="fr-FR"/>
        </w:rPr>
        <w:t>e</w:t>
      </w:r>
      <w:r w:rsidR="007A2AF3" w:rsidRPr="00DD03D6">
        <w:rPr>
          <w:noProof/>
          <w:lang w:val="fr-FR"/>
        </w:rPr>
        <w:t>n 2012.</w:t>
      </w:r>
    </w:p>
    <w:p w:rsidR="007A2AF3" w:rsidRPr="00DD03D6" w:rsidRDefault="00D65373" w:rsidP="00035893">
      <w:pPr>
        <w:pStyle w:val="SingleTxtG"/>
        <w:numPr>
          <w:ilvl w:val="0"/>
          <w:numId w:val="3"/>
        </w:numPr>
        <w:ind w:left="1134" w:firstLine="0"/>
        <w:rPr>
          <w:noProof/>
          <w:lang w:val="fr-FR"/>
        </w:rPr>
      </w:pPr>
      <w:r>
        <w:rPr>
          <w:noProof/>
          <w:lang w:val="fr-FR"/>
        </w:rPr>
        <w:t xml:space="preserve">Le nombre de familles reconstituées repérées lors du recensement de </w:t>
      </w:r>
      <w:r w:rsidR="007A2AF3" w:rsidRPr="00DD03D6">
        <w:rPr>
          <w:noProof/>
          <w:lang w:val="fr-FR"/>
        </w:rPr>
        <w:t xml:space="preserve">2011 </w:t>
      </w:r>
      <w:r w:rsidR="00861D42">
        <w:rPr>
          <w:noProof/>
          <w:lang w:val="fr-FR"/>
        </w:rPr>
        <w:t xml:space="preserve">s’est établi à </w:t>
      </w:r>
      <w:r w:rsidR="007A2AF3" w:rsidRPr="00DD03D6">
        <w:rPr>
          <w:noProof/>
          <w:lang w:val="fr-FR"/>
        </w:rPr>
        <w:t>27</w:t>
      </w:r>
      <w:r w:rsidR="00B6341E">
        <w:rPr>
          <w:noProof/>
          <w:lang w:val="fr-FR"/>
        </w:rPr>
        <w:t> </w:t>
      </w:r>
      <w:r w:rsidR="007A2AF3" w:rsidRPr="00DD03D6">
        <w:rPr>
          <w:noProof/>
          <w:lang w:val="fr-FR"/>
        </w:rPr>
        <w:t xml:space="preserve">033, </w:t>
      </w:r>
      <w:r w:rsidR="00861D42">
        <w:rPr>
          <w:noProof/>
          <w:lang w:val="fr-FR"/>
        </w:rPr>
        <w:t xml:space="preserve">en progression de </w:t>
      </w:r>
      <w:r w:rsidR="007A2AF3" w:rsidRPr="00DD03D6">
        <w:rPr>
          <w:noProof/>
          <w:lang w:val="fr-FR"/>
        </w:rPr>
        <w:t>55</w:t>
      </w:r>
      <w:r w:rsidR="003F1ADB">
        <w:rPr>
          <w:noProof/>
          <w:lang w:val="fr-FR"/>
        </w:rPr>
        <w:t> %</w:t>
      </w:r>
      <w:r w:rsidR="007A2AF3" w:rsidRPr="00DD03D6">
        <w:rPr>
          <w:noProof/>
          <w:lang w:val="fr-FR"/>
        </w:rPr>
        <w:t xml:space="preserve"> </w:t>
      </w:r>
      <w:r w:rsidR="00861D42">
        <w:rPr>
          <w:noProof/>
          <w:lang w:val="fr-FR"/>
        </w:rPr>
        <w:t xml:space="preserve">depuis </w:t>
      </w:r>
      <w:r w:rsidR="007A2AF3" w:rsidRPr="00DD03D6">
        <w:rPr>
          <w:noProof/>
          <w:lang w:val="fr-FR"/>
        </w:rPr>
        <w:t xml:space="preserve">2006. </w:t>
      </w:r>
      <w:r w:rsidR="00861D42">
        <w:rPr>
          <w:noProof/>
          <w:lang w:val="fr-FR"/>
        </w:rPr>
        <w:t>E</w:t>
      </w:r>
      <w:r w:rsidR="007A2AF3" w:rsidRPr="00DD03D6">
        <w:rPr>
          <w:noProof/>
          <w:lang w:val="fr-FR"/>
        </w:rPr>
        <w:t xml:space="preserve">n 2011, </w:t>
      </w:r>
      <w:r w:rsidR="00861D42">
        <w:rPr>
          <w:noProof/>
          <w:lang w:val="fr-FR"/>
        </w:rPr>
        <w:t xml:space="preserve">ces familles </w:t>
      </w:r>
      <w:r w:rsidR="007A2AF3" w:rsidRPr="00DD03D6">
        <w:rPr>
          <w:noProof/>
          <w:lang w:val="fr-FR"/>
        </w:rPr>
        <w:t>repr</w:t>
      </w:r>
      <w:r w:rsidR="00861D42">
        <w:rPr>
          <w:noProof/>
          <w:lang w:val="fr-FR"/>
        </w:rPr>
        <w:t>é</w:t>
      </w:r>
      <w:r w:rsidR="007A2AF3" w:rsidRPr="00DD03D6">
        <w:rPr>
          <w:noProof/>
          <w:lang w:val="fr-FR"/>
        </w:rPr>
        <w:t>sent</w:t>
      </w:r>
      <w:r w:rsidR="00861D42">
        <w:rPr>
          <w:noProof/>
          <w:lang w:val="fr-FR"/>
        </w:rPr>
        <w:t xml:space="preserve">aient </w:t>
      </w:r>
      <w:r w:rsidR="007A2AF3" w:rsidRPr="00DD03D6">
        <w:rPr>
          <w:noProof/>
          <w:lang w:val="fr-FR"/>
        </w:rPr>
        <w:t>2</w:t>
      </w:r>
      <w:r w:rsidR="00861D42">
        <w:rPr>
          <w:noProof/>
          <w:lang w:val="fr-FR"/>
        </w:rPr>
        <w:t>,</w:t>
      </w:r>
      <w:r w:rsidR="007A2AF3" w:rsidRPr="00DD03D6">
        <w:rPr>
          <w:noProof/>
          <w:lang w:val="fr-FR"/>
        </w:rPr>
        <w:t>3</w:t>
      </w:r>
      <w:r w:rsidR="003F1ADB">
        <w:rPr>
          <w:noProof/>
          <w:lang w:val="fr-FR"/>
        </w:rPr>
        <w:t> %</w:t>
      </w:r>
      <w:r w:rsidR="007A2AF3" w:rsidRPr="00DD03D6">
        <w:rPr>
          <w:noProof/>
          <w:lang w:val="fr-FR"/>
        </w:rPr>
        <w:t xml:space="preserve"> </w:t>
      </w:r>
      <w:r w:rsidR="00861D42">
        <w:rPr>
          <w:noProof/>
          <w:lang w:val="fr-FR"/>
        </w:rPr>
        <w:t xml:space="preserve">de l’ensemble des cellules familiales; ces familles reconstituées étaient composées d’un mari, d’une femme et d’enfants dans </w:t>
      </w:r>
      <w:r w:rsidR="00861D42" w:rsidRPr="00DD03D6">
        <w:rPr>
          <w:noProof/>
          <w:lang w:val="fr-FR"/>
        </w:rPr>
        <w:t>72</w:t>
      </w:r>
      <w:r w:rsidR="003F1ADB">
        <w:rPr>
          <w:noProof/>
          <w:lang w:val="fr-FR"/>
        </w:rPr>
        <w:t> %</w:t>
      </w:r>
      <w:r w:rsidR="00861D42" w:rsidRPr="00DD03D6">
        <w:rPr>
          <w:noProof/>
          <w:lang w:val="fr-FR"/>
        </w:rPr>
        <w:t xml:space="preserve"> </w:t>
      </w:r>
      <w:r w:rsidR="00861D42">
        <w:rPr>
          <w:noProof/>
          <w:lang w:val="fr-FR"/>
        </w:rPr>
        <w:t xml:space="preserve">des cas, et d’un couple vivant maritalement et d’enfants dans </w:t>
      </w:r>
      <w:r w:rsidR="007A2AF3" w:rsidRPr="00DD03D6">
        <w:rPr>
          <w:noProof/>
          <w:lang w:val="fr-FR"/>
        </w:rPr>
        <w:t>20</w:t>
      </w:r>
      <w:r w:rsidR="003F1ADB">
        <w:rPr>
          <w:noProof/>
          <w:lang w:val="fr-FR"/>
        </w:rPr>
        <w:t> %</w:t>
      </w:r>
      <w:r w:rsidR="007A2AF3" w:rsidRPr="00DD03D6">
        <w:rPr>
          <w:noProof/>
          <w:lang w:val="fr-FR"/>
        </w:rPr>
        <w:t xml:space="preserve"> </w:t>
      </w:r>
      <w:r w:rsidR="00861D42">
        <w:rPr>
          <w:noProof/>
          <w:lang w:val="fr-FR"/>
        </w:rPr>
        <w:t>d</w:t>
      </w:r>
      <w:r w:rsidR="006E1F37">
        <w:rPr>
          <w:noProof/>
          <w:lang w:val="fr-FR"/>
        </w:rPr>
        <w:t>’autre</w:t>
      </w:r>
      <w:r w:rsidR="00861D42">
        <w:rPr>
          <w:noProof/>
          <w:lang w:val="fr-FR"/>
        </w:rPr>
        <w:t>s cas</w:t>
      </w:r>
      <w:r w:rsidR="007A2AF3" w:rsidRPr="00DD03D6">
        <w:rPr>
          <w:noProof/>
          <w:lang w:val="fr-FR"/>
        </w:rPr>
        <w:t xml:space="preserve">. </w:t>
      </w:r>
      <w:r w:rsidR="00B6341E">
        <w:rPr>
          <w:noProof/>
          <w:lang w:val="fr-FR"/>
        </w:rPr>
        <w:t>Dans les </w:t>
      </w:r>
      <w:r w:rsidR="007A2AF3" w:rsidRPr="00DD03D6">
        <w:rPr>
          <w:noProof/>
          <w:lang w:val="fr-FR"/>
        </w:rPr>
        <w:t>7</w:t>
      </w:r>
      <w:r w:rsidR="003F1ADB">
        <w:rPr>
          <w:noProof/>
          <w:lang w:val="fr-FR"/>
        </w:rPr>
        <w:t> %</w:t>
      </w:r>
      <w:r w:rsidR="007A2AF3" w:rsidRPr="00DD03D6">
        <w:rPr>
          <w:noProof/>
          <w:lang w:val="fr-FR"/>
        </w:rPr>
        <w:t xml:space="preserve"> </w:t>
      </w:r>
      <w:r w:rsidR="00861D42">
        <w:rPr>
          <w:noProof/>
          <w:lang w:val="fr-FR"/>
        </w:rPr>
        <w:t>de</w:t>
      </w:r>
      <w:r w:rsidR="007A2AF3" w:rsidRPr="00DD03D6">
        <w:rPr>
          <w:noProof/>
          <w:lang w:val="fr-FR"/>
        </w:rPr>
        <w:t xml:space="preserve"> cas</w:t>
      </w:r>
      <w:r w:rsidR="00861D42">
        <w:rPr>
          <w:noProof/>
          <w:lang w:val="fr-FR"/>
        </w:rPr>
        <w:t xml:space="preserve"> restants, il s’agissait de familles monoparentales</w:t>
      </w:r>
      <w:r w:rsidR="007A2AF3" w:rsidRPr="00DD03D6">
        <w:rPr>
          <w:noProof/>
          <w:lang w:val="fr-FR"/>
        </w:rPr>
        <w:t xml:space="preserve">, </w:t>
      </w:r>
      <w:r w:rsidR="00861D42">
        <w:rPr>
          <w:noProof/>
          <w:lang w:val="fr-FR"/>
        </w:rPr>
        <w:t xml:space="preserve">dont </w:t>
      </w:r>
      <w:r w:rsidR="007A2AF3" w:rsidRPr="00DD03D6">
        <w:rPr>
          <w:noProof/>
          <w:lang w:val="fr-FR"/>
        </w:rPr>
        <w:t>81</w:t>
      </w:r>
      <w:r w:rsidR="003F1ADB">
        <w:rPr>
          <w:noProof/>
          <w:lang w:val="fr-FR"/>
        </w:rPr>
        <w:t> %</w:t>
      </w:r>
      <w:r w:rsidR="007A2AF3" w:rsidRPr="00DD03D6">
        <w:rPr>
          <w:noProof/>
          <w:lang w:val="fr-FR"/>
        </w:rPr>
        <w:t xml:space="preserve"> </w:t>
      </w:r>
      <w:r w:rsidR="00861D42">
        <w:rPr>
          <w:noProof/>
          <w:lang w:val="fr-FR"/>
        </w:rPr>
        <w:t>étaient dirigées par une femme</w:t>
      </w:r>
      <w:r w:rsidR="007A2AF3" w:rsidRPr="00DD03D6">
        <w:rPr>
          <w:noProof/>
          <w:lang w:val="fr-FR"/>
        </w:rPr>
        <w:t xml:space="preserve">. </w:t>
      </w:r>
      <w:r w:rsidR="00861D42">
        <w:rPr>
          <w:noProof/>
          <w:lang w:val="fr-FR"/>
        </w:rPr>
        <w:t>E</w:t>
      </w:r>
      <w:r w:rsidR="007A2AF3" w:rsidRPr="00DD03D6">
        <w:rPr>
          <w:noProof/>
          <w:lang w:val="fr-FR"/>
        </w:rPr>
        <w:t xml:space="preserve">n 2011, </w:t>
      </w:r>
      <w:r w:rsidR="00861D42">
        <w:rPr>
          <w:noProof/>
          <w:lang w:val="fr-FR"/>
        </w:rPr>
        <w:t xml:space="preserve">on comptait </w:t>
      </w:r>
      <w:r w:rsidR="007A2AF3" w:rsidRPr="00DD03D6">
        <w:rPr>
          <w:noProof/>
          <w:lang w:val="fr-FR"/>
        </w:rPr>
        <w:t>4</w:t>
      </w:r>
      <w:r w:rsidR="00B6341E">
        <w:rPr>
          <w:noProof/>
          <w:lang w:val="fr-FR"/>
        </w:rPr>
        <w:t> 042 </w:t>
      </w:r>
      <w:r w:rsidR="007A2AF3" w:rsidRPr="00DD03D6">
        <w:rPr>
          <w:noProof/>
          <w:lang w:val="fr-FR"/>
        </w:rPr>
        <w:t xml:space="preserve">couples </w:t>
      </w:r>
      <w:r w:rsidR="00861D42">
        <w:rPr>
          <w:noProof/>
          <w:lang w:val="fr-FR"/>
        </w:rPr>
        <w:t xml:space="preserve">homosexuels </w:t>
      </w:r>
      <w:r w:rsidR="0099135B">
        <w:rPr>
          <w:noProof/>
          <w:lang w:val="fr-FR"/>
        </w:rPr>
        <w:t xml:space="preserve">vivant en cohabitation </w:t>
      </w:r>
      <w:r w:rsidR="007A2AF3" w:rsidRPr="00DD03D6">
        <w:rPr>
          <w:noProof/>
          <w:lang w:val="fr-FR"/>
        </w:rPr>
        <w:t>– 2</w:t>
      </w:r>
      <w:r w:rsidR="00B6341E">
        <w:rPr>
          <w:noProof/>
          <w:lang w:val="fr-FR"/>
        </w:rPr>
        <w:t> </w:t>
      </w:r>
      <w:r w:rsidR="007A2AF3" w:rsidRPr="00DD03D6">
        <w:rPr>
          <w:noProof/>
          <w:lang w:val="fr-FR"/>
        </w:rPr>
        <w:t xml:space="preserve">321 couples </w:t>
      </w:r>
      <w:r w:rsidR="0099135B">
        <w:rPr>
          <w:noProof/>
          <w:lang w:val="fr-FR"/>
        </w:rPr>
        <w:t>d’hommes et</w:t>
      </w:r>
      <w:r w:rsidR="007A2AF3" w:rsidRPr="00DD03D6">
        <w:rPr>
          <w:noProof/>
          <w:lang w:val="fr-FR"/>
        </w:rPr>
        <w:t xml:space="preserve"> 1</w:t>
      </w:r>
      <w:r w:rsidR="00B6341E">
        <w:rPr>
          <w:noProof/>
          <w:lang w:val="fr-FR"/>
        </w:rPr>
        <w:t> 721 </w:t>
      </w:r>
      <w:r w:rsidR="007A2AF3" w:rsidRPr="00DD03D6">
        <w:rPr>
          <w:noProof/>
          <w:lang w:val="fr-FR"/>
        </w:rPr>
        <w:t>couples</w:t>
      </w:r>
      <w:r w:rsidR="0099135B">
        <w:rPr>
          <w:noProof/>
          <w:lang w:val="fr-FR"/>
        </w:rPr>
        <w:t xml:space="preserve"> de femmes; il s’agissait dans </w:t>
      </w:r>
      <w:r w:rsidR="007A2AF3" w:rsidRPr="00DD03D6">
        <w:rPr>
          <w:noProof/>
          <w:lang w:val="fr-FR"/>
        </w:rPr>
        <w:t xml:space="preserve">230 </w:t>
      </w:r>
      <w:r w:rsidR="0099135B">
        <w:rPr>
          <w:noProof/>
          <w:lang w:val="fr-FR"/>
        </w:rPr>
        <w:t>cas de couples homosexuels avec enfants, l’immense majorité de ces couples étant des couples de femmes</w:t>
      </w:r>
      <w:r w:rsidR="007A2AF3" w:rsidRPr="00DD03D6">
        <w:rPr>
          <w:noProof/>
          <w:lang w:val="fr-FR"/>
        </w:rPr>
        <w:t xml:space="preserve">. </w:t>
      </w:r>
      <w:r w:rsidR="0099135B">
        <w:rPr>
          <w:noProof/>
          <w:lang w:val="fr-FR"/>
        </w:rPr>
        <w:t>La plupart des couples homosexuels vivaient en cohabitation</w:t>
      </w:r>
      <w:r w:rsidR="007A2AF3" w:rsidRPr="00DD03D6">
        <w:rPr>
          <w:noProof/>
          <w:lang w:val="fr-FR"/>
        </w:rPr>
        <w:t xml:space="preserve"> (3</w:t>
      </w:r>
      <w:r w:rsidR="00B6341E">
        <w:rPr>
          <w:noProof/>
          <w:lang w:val="fr-FR"/>
        </w:rPr>
        <w:t> </w:t>
      </w:r>
      <w:r w:rsidR="007A2AF3" w:rsidRPr="00DD03D6">
        <w:rPr>
          <w:noProof/>
          <w:lang w:val="fr-FR"/>
        </w:rPr>
        <w:t xml:space="preserve">876), </w:t>
      </w:r>
      <w:r w:rsidR="0099135B">
        <w:rPr>
          <w:noProof/>
          <w:lang w:val="fr-FR"/>
        </w:rPr>
        <w:t xml:space="preserve">mais </w:t>
      </w:r>
      <w:r w:rsidR="007A2AF3" w:rsidRPr="00DD03D6">
        <w:rPr>
          <w:noProof/>
          <w:lang w:val="fr-FR"/>
        </w:rPr>
        <w:t xml:space="preserve">166 </w:t>
      </w:r>
      <w:r w:rsidR="0099135B">
        <w:rPr>
          <w:noProof/>
          <w:lang w:val="fr-FR"/>
        </w:rPr>
        <w:t>ont indiqué être des couples mariés</w:t>
      </w:r>
      <w:r w:rsidR="007A2AF3" w:rsidRPr="00DD03D6">
        <w:rPr>
          <w:noProof/>
          <w:lang w:val="fr-FR"/>
        </w:rPr>
        <w:t xml:space="preserve">. </w:t>
      </w:r>
      <w:r w:rsidR="007C1EC8">
        <w:rPr>
          <w:noProof/>
          <w:lang w:val="fr-FR"/>
        </w:rPr>
        <w:t>Étant donné que la possibilité pour des personnes du même sexe de contracter une union civile était récente en Irlande au moment du recensement</w:t>
      </w:r>
      <w:r w:rsidR="007A2AF3" w:rsidRPr="00DD03D6">
        <w:rPr>
          <w:noProof/>
          <w:lang w:val="fr-FR"/>
        </w:rPr>
        <w:t xml:space="preserve">, </w:t>
      </w:r>
      <w:r w:rsidR="009C6648">
        <w:rPr>
          <w:noProof/>
          <w:lang w:val="fr-FR"/>
        </w:rPr>
        <w:t>il est vraisemblable que la plupart de ces couples s’étaient mariés à l’étranger</w:t>
      </w:r>
      <w:r w:rsidR="007A2AF3" w:rsidRPr="00DD03D6">
        <w:rPr>
          <w:noProof/>
          <w:lang w:val="fr-FR"/>
        </w:rPr>
        <w:t xml:space="preserve">. </w:t>
      </w:r>
      <w:r w:rsidR="009C6648">
        <w:rPr>
          <w:noProof/>
          <w:lang w:val="fr-FR"/>
        </w:rPr>
        <w:t xml:space="preserve">Les chiffres </w:t>
      </w:r>
      <w:r w:rsidR="006E1F37">
        <w:rPr>
          <w:noProof/>
          <w:lang w:val="fr-FR"/>
        </w:rPr>
        <w:t xml:space="preserve">se rapportent non pas seulement à des enfants âgés de moins de 18 ans, mais </w:t>
      </w:r>
      <w:r w:rsidR="009C6648">
        <w:rPr>
          <w:noProof/>
          <w:lang w:val="fr-FR"/>
        </w:rPr>
        <w:t xml:space="preserve">à des enfants de tous </w:t>
      </w:r>
      <w:r w:rsidR="006E1F37">
        <w:rPr>
          <w:noProof/>
          <w:lang w:val="fr-FR"/>
        </w:rPr>
        <w:t>âges</w:t>
      </w:r>
      <w:r w:rsidR="007A2AF3" w:rsidRPr="00DD03D6">
        <w:rPr>
          <w:rStyle w:val="Appelnotedebasdep"/>
          <w:noProof/>
          <w:lang w:val="fr-FR"/>
        </w:rPr>
        <w:footnoteReference w:id="4"/>
      </w:r>
      <w:r w:rsidR="006E1F37">
        <w:rPr>
          <w:noProof/>
          <w:lang w:val="fr-FR"/>
        </w:rPr>
        <w:t>.</w:t>
      </w:r>
    </w:p>
    <w:p w:rsidR="007A2AF3" w:rsidRPr="00DD03D6" w:rsidRDefault="00CC1F4B" w:rsidP="007A2AF3">
      <w:pPr>
        <w:pStyle w:val="SingleTxtG"/>
        <w:numPr>
          <w:ilvl w:val="0"/>
          <w:numId w:val="3"/>
        </w:numPr>
        <w:ind w:left="1134" w:firstLine="0"/>
        <w:rPr>
          <w:noProof/>
          <w:lang w:val="fr-FR"/>
        </w:rPr>
      </w:pPr>
      <w:r>
        <w:rPr>
          <w:noProof/>
          <w:lang w:val="fr-FR"/>
        </w:rPr>
        <w:t xml:space="preserve">La grande </w:t>
      </w:r>
      <w:r w:rsidR="007A2AF3" w:rsidRPr="00DD03D6">
        <w:rPr>
          <w:noProof/>
          <w:lang w:val="fr-FR"/>
        </w:rPr>
        <w:t>majorit</w:t>
      </w:r>
      <w:r>
        <w:rPr>
          <w:noProof/>
          <w:lang w:val="fr-FR"/>
        </w:rPr>
        <w:t>é de ces familles monoparentales sont dirigées par une femme</w:t>
      </w:r>
      <w:r w:rsidR="007A2AF3" w:rsidRPr="00DD03D6">
        <w:rPr>
          <w:noProof/>
          <w:lang w:val="fr-FR"/>
        </w:rPr>
        <w:t xml:space="preserve">. </w:t>
      </w:r>
      <w:r>
        <w:rPr>
          <w:noProof/>
          <w:lang w:val="fr-FR"/>
        </w:rPr>
        <w:t>E</w:t>
      </w:r>
      <w:r w:rsidR="007A2AF3" w:rsidRPr="00DD03D6">
        <w:rPr>
          <w:noProof/>
          <w:lang w:val="fr-FR"/>
        </w:rPr>
        <w:t>n 2006, 183</w:t>
      </w:r>
      <w:r w:rsidR="00B6341E">
        <w:rPr>
          <w:noProof/>
          <w:lang w:val="fr-FR"/>
        </w:rPr>
        <w:t> </w:t>
      </w:r>
      <w:r w:rsidR="007A2AF3" w:rsidRPr="00DD03D6">
        <w:rPr>
          <w:noProof/>
          <w:lang w:val="fr-FR"/>
        </w:rPr>
        <w:t xml:space="preserve">744 </w:t>
      </w:r>
      <w:r>
        <w:rPr>
          <w:noProof/>
          <w:lang w:val="fr-FR"/>
        </w:rPr>
        <w:t>enfants vivaient dans une famille monoparentale</w:t>
      </w:r>
      <w:r w:rsidR="007A2AF3" w:rsidRPr="00DD03D6">
        <w:rPr>
          <w:noProof/>
          <w:lang w:val="fr-FR"/>
        </w:rPr>
        <w:t xml:space="preserve">. </w:t>
      </w:r>
      <w:r>
        <w:rPr>
          <w:noProof/>
          <w:lang w:val="fr-FR"/>
        </w:rPr>
        <w:t>En</w:t>
      </w:r>
      <w:r w:rsidR="007A2AF3" w:rsidRPr="00DD03D6">
        <w:rPr>
          <w:noProof/>
          <w:lang w:val="fr-FR"/>
        </w:rPr>
        <w:t xml:space="preserve"> 2011, </w:t>
      </w:r>
      <w:r>
        <w:rPr>
          <w:noProof/>
          <w:lang w:val="fr-FR"/>
        </w:rPr>
        <w:t xml:space="preserve">le nombre de ces enfants avait progressé d’environ </w:t>
      </w:r>
      <w:r w:rsidR="007A2AF3" w:rsidRPr="00DD03D6">
        <w:rPr>
          <w:noProof/>
          <w:lang w:val="fr-FR"/>
        </w:rPr>
        <w:t>10</w:t>
      </w:r>
      <w:r w:rsidR="003F1ADB">
        <w:rPr>
          <w:noProof/>
          <w:lang w:val="fr-FR"/>
        </w:rPr>
        <w:t> %</w:t>
      </w:r>
      <w:r w:rsidR="007A2AF3" w:rsidRPr="00DD03D6">
        <w:rPr>
          <w:noProof/>
          <w:lang w:val="fr-FR"/>
        </w:rPr>
        <w:t xml:space="preserve">, </w:t>
      </w:r>
      <w:r>
        <w:rPr>
          <w:noProof/>
          <w:lang w:val="fr-FR"/>
        </w:rPr>
        <w:t xml:space="preserve">pour s’établir à </w:t>
      </w:r>
      <w:r w:rsidR="007A2AF3" w:rsidRPr="00DD03D6">
        <w:rPr>
          <w:noProof/>
          <w:lang w:val="fr-FR"/>
        </w:rPr>
        <w:t>202</w:t>
      </w:r>
      <w:r w:rsidR="00B6341E">
        <w:rPr>
          <w:noProof/>
          <w:lang w:val="fr-FR"/>
        </w:rPr>
        <w:t> </w:t>
      </w:r>
      <w:r w:rsidR="007A2AF3" w:rsidRPr="00DD03D6">
        <w:rPr>
          <w:noProof/>
          <w:lang w:val="fr-FR"/>
        </w:rPr>
        <w:t>444.</w:t>
      </w:r>
    </w:p>
    <w:p w:rsidR="007A2AF3" w:rsidRPr="00DD03D6" w:rsidRDefault="00744C19" w:rsidP="007A2AF3">
      <w:pPr>
        <w:pStyle w:val="SingleTxtG"/>
        <w:numPr>
          <w:ilvl w:val="0"/>
          <w:numId w:val="3"/>
        </w:numPr>
        <w:ind w:left="1134" w:firstLine="0"/>
        <w:rPr>
          <w:noProof/>
          <w:lang w:val="fr-FR"/>
        </w:rPr>
      </w:pPr>
      <w:r>
        <w:rPr>
          <w:noProof/>
          <w:lang w:val="fr-FR"/>
        </w:rPr>
        <w:t>L</w:t>
      </w:r>
      <w:r w:rsidR="00920E15">
        <w:rPr>
          <w:noProof/>
          <w:lang w:val="fr-FR"/>
        </w:rPr>
        <w:t xml:space="preserve">es familles monoparentales </w:t>
      </w:r>
      <w:r>
        <w:rPr>
          <w:noProof/>
          <w:lang w:val="fr-FR"/>
        </w:rPr>
        <w:t xml:space="preserve">étant </w:t>
      </w:r>
      <w:r w:rsidR="00920E15">
        <w:rPr>
          <w:noProof/>
          <w:lang w:val="fr-FR"/>
        </w:rPr>
        <w:t xml:space="preserve">particulièrement exposées au risque de pauvreté, l’augmentation de ces chiffres a des incidences sur l’éventail des </w:t>
      </w:r>
      <w:r>
        <w:rPr>
          <w:noProof/>
          <w:lang w:val="fr-FR"/>
        </w:rPr>
        <w:t>politiques et moyens à mettre en œuvre pour aider comme il convient les enfants appartenant à des familles de ce type</w:t>
      </w:r>
      <w:r w:rsidR="007A2AF3" w:rsidRPr="00DD03D6">
        <w:rPr>
          <w:noProof/>
          <w:lang w:val="fr-FR"/>
        </w:rPr>
        <w:t>.</w:t>
      </w:r>
    </w:p>
    <w:p w:rsidR="007A2AF3" w:rsidRDefault="00913564" w:rsidP="00913564">
      <w:pPr>
        <w:pStyle w:val="H23G"/>
        <w:ind w:firstLine="0"/>
        <w:rPr>
          <w:noProof/>
          <w:lang w:val="fr-FR"/>
        </w:rPr>
      </w:pPr>
      <w:r>
        <w:rPr>
          <w:noProof/>
          <w:lang w:val="fr-FR"/>
        </w:rPr>
        <w:t xml:space="preserve">Questions nouvelles </w:t>
      </w:r>
    </w:p>
    <w:p w:rsidR="007A2AF3" w:rsidRPr="00DD03D6" w:rsidRDefault="00913564" w:rsidP="00111EE3">
      <w:pPr>
        <w:pStyle w:val="SingleTxtG"/>
        <w:numPr>
          <w:ilvl w:val="0"/>
          <w:numId w:val="3"/>
        </w:numPr>
        <w:ind w:left="1134" w:firstLine="0"/>
        <w:rPr>
          <w:noProof/>
          <w:lang w:val="fr-FR"/>
        </w:rPr>
      </w:pPr>
      <w:r>
        <w:rPr>
          <w:noProof/>
          <w:lang w:val="fr-FR"/>
        </w:rPr>
        <w:t xml:space="preserve">Un certain nombre de questions nouvelles </w:t>
      </w:r>
      <w:r w:rsidR="007A13C2">
        <w:rPr>
          <w:noProof/>
          <w:lang w:val="fr-FR"/>
        </w:rPr>
        <w:t>concernant la vie des enfants en Irlande ont fait leur app</w:t>
      </w:r>
      <w:r w:rsidR="00716910">
        <w:rPr>
          <w:noProof/>
          <w:lang w:val="fr-FR"/>
        </w:rPr>
        <w:t>a</w:t>
      </w:r>
      <w:r w:rsidR="007A13C2">
        <w:rPr>
          <w:noProof/>
          <w:lang w:val="fr-FR"/>
        </w:rPr>
        <w:t>rition</w:t>
      </w:r>
      <w:r w:rsidR="007A2AF3" w:rsidRPr="00DD03D6">
        <w:rPr>
          <w:noProof/>
          <w:lang w:val="fr-FR"/>
        </w:rPr>
        <w:t xml:space="preserve">. </w:t>
      </w:r>
      <w:r w:rsidR="00716910">
        <w:rPr>
          <w:noProof/>
          <w:lang w:val="fr-FR"/>
        </w:rPr>
        <w:t xml:space="preserve">Du fait </w:t>
      </w:r>
      <w:r w:rsidR="00D97618">
        <w:rPr>
          <w:noProof/>
          <w:lang w:val="fr-FR"/>
        </w:rPr>
        <w:t xml:space="preserve">du ralentissement de l’activité </w:t>
      </w:r>
      <w:r w:rsidR="00716910">
        <w:rPr>
          <w:noProof/>
          <w:lang w:val="fr-FR"/>
        </w:rPr>
        <w:t xml:space="preserve">économique, la pauvreté des </w:t>
      </w:r>
      <w:r w:rsidR="00716910">
        <w:rPr>
          <w:noProof/>
          <w:lang w:val="fr-FR"/>
        </w:rPr>
        <w:lastRenderedPageBreak/>
        <w:t>enfants figure désormais au nombre de ces questions, le taux d’</w:t>
      </w:r>
      <w:r w:rsidR="00D97618">
        <w:rPr>
          <w:noProof/>
          <w:lang w:val="fr-FR"/>
        </w:rPr>
        <w:t>«</w:t>
      </w:r>
      <w:r w:rsidR="003F1ADB">
        <w:rPr>
          <w:noProof/>
          <w:lang w:val="fr-FR"/>
        </w:rPr>
        <w:t> </w:t>
      </w:r>
      <w:r w:rsidR="00716910">
        <w:rPr>
          <w:noProof/>
          <w:lang w:val="fr-FR"/>
        </w:rPr>
        <w:t>exposition au risque de pauvreté</w:t>
      </w:r>
      <w:r w:rsidR="00D97618">
        <w:rPr>
          <w:noProof/>
          <w:lang w:val="fr-FR"/>
        </w:rPr>
        <w:t> »</w:t>
      </w:r>
      <w:r w:rsidR="00E90D55" w:rsidRPr="00DD03D6">
        <w:rPr>
          <w:noProof/>
          <w:lang w:val="fr-FR"/>
        </w:rPr>
        <w:t xml:space="preserve"> </w:t>
      </w:r>
      <w:r w:rsidR="00716910">
        <w:rPr>
          <w:noProof/>
          <w:lang w:val="fr-FR"/>
        </w:rPr>
        <w:t xml:space="preserve">et celui de </w:t>
      </w:r>
      <w:r w:rsidR="00D97618">
        <w:rPr>
          <w:noProof/>
          <w:lang w:val="fr-FR"/>
        </w:rPr>
        <w:t>« </w:t>
      </w:r>
      <w:r w:rsidR="00716910">
        <w:rPr>
          <w:noProof/>
          <w:lang w:val="fr-FR"/>
        </w:rPr>
        <w:t xml:space="preserve">privation </w:t>
      </w:r>
      <w:r w:rsidR="007A2AF3" w:rsidRPr="00DD03D6">
        <w:rPr>
          <w:noProof/>
          <w:lang w:val="fr-FR"/>
        </w:rPr>
        <w:t>mat</w:t>
      </w:r>
      <w:r w:rsidR="00716910">
        <w:rPr>
          <w:noProof/>
          <w:lang w:val="fr-FR"/>
        </w:rPr>
        <w:t>é</w:t>
      </w:r>
      <w:r w:rsidR="007A2AF3" w:rsidRPr="00DD03D6">
        <w:rPr>
          <w:noProof/>
          <w:lang w:val="fr-FR"/>
        </w:rPr>
        <w:t>ri</w:t>
      </w:r>
      <w:r w:rsidR="00716910">
        <w:rPr>
          <w:noProof/>
          <w:lang w:val="fr-FR"/>
        </w:rPr>
        <w:t>elle</w:t>
      </w:r>
      <w:r w:rsidR="00D97618">
        <w:rPr>
          <w:noProof/>
          <w:lang w:val="fr-FR"/>
        </w:rPr>
        <w:t> »</w:t>
      </w:r>
      <w:r w:rsidR="007A2AF3" w:rsidRPr="00DD03D6">
        <w:rPr>
          <w:noProof/>
          <w:lang w:val="fr-FR"/>
        </w:rPr>
        <w:t xml:space="preserve"> </w:t>
      </w:r>
      <w:r w:rsidR="00716910">
        <w:rPr>
          <w:noProof/>
          <w:lang w:val="fr-FR"/>
        </w:rPr>
        <w:t>augmentant pour les familles avec enfants</w:t>
      </w:r>
      <w:r w:rsidR="007A2AF3" w:rsidRPr="00DD03D6">
        <w:rPr>
          <w:noProof/>
          <w:lang w:val="fr-FR"/>
        </w:rPr>
        <w:t xml:space="preserve">. </w:t>
      </w:r>
      <w:r w:rsidR="00716910">
        <w:rPr>
          <w:noProof/>
          <w:lang w:val="fr-FR"/>
        </w:rPr>
        <w:t xml:space="preserve">Les autres questions nouvelles abordées dans le présent rapport sont notamment les difficultés en matière de lecture, d’écriture et de calcul, </w:t>
      </w:r>
      <w:r w:rsidR="0029525B">
        <w:rPr>
          <w:noProof/>
          <w:lang w:val="fr-FR"/>
        </w:rPr>
        <w:t>l’obésité chez les enfants</w:t>
      </w:r>
      <w:r w:rsidR="007A2AF3" w:rsidRPr="00DD03D6">
        <w:rPr>
          <w:noProof/>
          <w:lang w:val="fr-FR"/>
        </w:rPr>
        <w:t xml:space="preserve">, </w:t>
      </w:r>
      <w:r w:rsidR="0029525B">
        <w:rPr>
          <w:noProof/>
          <w:lang w:val="fr-FR"/>
        </w:rPr>
        <w:t>l’abus d’alcool</w:t>
      </w:r>
      <w:r w:rsidR="007A2AF3" w:rsidRPr="00DD03D6">
        <w:rPr>
          <w:noProof/>
          <w:lang w:val="fr-FR"/>
        </w:rPr>
        <w:t xml:space="preserve">, </w:t>
      </w:r>
      <w:r w:rsidR="0029525B">
        <w:rPr>
          <w:noProof/>
          <w:lang w:val="fr-FR"/>
        </w:rPr>
        <w:t>la traite des enfants</w:t>
      </w:r>
      <w:r w:rsidR="007A2AF3" w:rsidRPr="00DD03D6">
        <w:rPr>
          <w:noProof/>
          <w:lang w:val="fr-FR"/>
        </w:rPr>
        <w:t xml:space="preserve"> </w:t>
      </w:r>
      <w:r w:rsidR="00B37386">
        <w:rPr>
          <w:noProof/>
          <w:lang w:val="fr-FR"/>
        </w:rPr>
        <w:t xml:space="preserve">et le développement du </w:t>
      </w:r>
      <w:r w:rsidR="007A2AF3" w:rsidRPr="00DD03D6">
        <w:rPr>
          <w:noProof/>
          <w:lang w:val="fr-FR"/>
        </w:rPr>
        <w:t>pluralism</w:t>
      </w:r>
      <w:r w:rsidR="00B37386">
        <w:rPr>
          <w:noProof/>
          <w:lang w:val="fr-FR"/>
        </w:rPr>
        <w:t>e</w:t>
      </w:r>
      <w:r w:rsidR="007A2AF3" w:rsidRPr="00DD03D6">
        <w:rPr>
          <w:noProof/>
          <w:lang w:val="fr-FR"/>
        </w:rPr>
        <w:t xml:space="preserve"> </w:t>
      </w:r>
      <w:r w:rsidR="00B37386">
        <w:rPr>
          <w:noProof/>
          <w:lang w:val="fr-FR"/>
        </w:rPr>
        <w:t xml:space="preserve">et du </w:t>
      </w:r>
      <w:r w:rsidR="007A2AF3" w:rsidRPr="00DD03D6">
        <w:rPr>
          <w:noProof/>
          <w:lang w:val="fr-FR"/>
        </w:rPr>
        <w:t>multiculturalism</w:t>
      </w:r>
      <w:r w:rsidR="00B37386">
        <w:rPr>
          <w:noProof/>
          <w:lang w:val="fr-FR"/>
        </w:rPr>
        <w:t>e</w:t>
      </w:r>
      <w:r w:rsidR="007A2AF3" w:rsidRPr="00DD03D6">
        <w:rPr>
          <w:noProof/>
          <w:lang w:val="fr-FR"/>
        </w:rPr>
        <w:t xml:space="preserve">. </w:t>
      </w:r>
      <w:r w:rsidR="00B37386">
        <w:rPr>
          <w:noProof/>
          <w:lang w:val="fr-FR"/>
        </w:rPr>
        <w:t>E</w:t>
      </w:r>
      <w:r w:rsidR="007A2AF3" w:rsidRPr="00DD03D6">
        <w:rPr>
          <w:noProof/>
          <w:lang w:val="fr-FR"/>
        </w:rPr>
        <w:t xml:space="preserve">n 2011, </w:t>
      </w:r>
      <w:r w:rsidR="008F057A">
        <w:rPr>
          <w:noProof/>
          <w:lang w:val="fr-FR"/>
        </w:rPr>
        <w:t xml:space="preserve">le Ministère de l’éducation et de la formation a présenté le document intitulé </w:t>
      </w:r>
      <w:r w:rsidR="008F057A" w:rsidRPr="00F25E66">
        <w:rPr>
          <w:i/>
          <w:noProof/>
          <w:lang w:val="fr-FR"/>
        </w:rPr>
        <w:t>Lire, écrire et compter pour l’apprentissage et pour la vie : Stratégie nationale concernant l’amélioration de la lecture, de l’écriture et du calcul chez les enfants et les jeunes, 2011-2020 (</w:t>
      </w:r>
      <w:r w:rsidR="007A2AF3" w:rsidRPr="00F25E66">
        <w:rPr>
          <w:i/>
          <w:noProof/>
          <w:lang w:val="fr-FR"/>
        </w:rPr>
        <w:t xml:space="preserve">Literacy and Numeracy for Learning and Life: The National Strategy to </w:t>
      </w:r>
      <w:r w:rsidR="00111EE3" w:rsidRPr="00F25E66">
        <w:rPr>
          <w:i/>
          <w:noProof/>
          <w:lang w:val="fr-FR"/>
        </w:rPr>
        <w:t>I</w:t>
      </w:r>
      <w:r w:rsidR="007A2AF3" w:rsidRPr="00F25E66">
        <w:rPr>
          <w:i/>
          <w:noProof/>
          <w:lang w:val="fr-FR"/>
        </w:rPr>
        <w:t>mprove Literacy and Numeracy among Children and Young People, 2011-2020</w:t>
      </w:r>
      <w:r w:rsidR="008F057A" w:rsidRPr="00F25E66">
        <w:rPr>
          <w:i/>
          <w:noProof/>
          <w:lang w:val="fr-FR"/>
        </w:rPr>
        <w:t>)</w:t>
      </w:r>
      <w:r w:rsidR="007A2AF3" w:rsidRPr="00DD03D6">
        <w:rPr>
          <w:noProof/>
          <w:lang w:val="fr-FR"/>
        </w:rPr>
        <w:t xml:space="preserve">. </w:t>
      </w:r>
      <w:r w:rsidR="008F057A">
        <w:rPr>
          <w:noProof/>
          <w:lang w:val="fr-FR"/>
        </w:rPr>
        <w:t>Cette s</w:t>
      </w:r>
      <w:r w:rsidR="007A2AF3" w:rsidRPr="00DD03D6">
        <w:rPr>
          <w:noProof/>
          <w:lang w:val="fr-FR"/>
        </w:rPr>
        <w:t>trat</w:t>
      </w:r>
      <w:r w:rsidR="008F057A">
        <w:rPr>
          <w:noProof/>
          <w:lang w:val="fr-FR"/>
        </w:rPr>
        <w:t>é</w:t>
      </w:r>
      <w:r w:rsidR="007A2AF3" w:rsidRPr="00DD03D6">
        <w:rPr>
          <w:noProof/>
          <w:lang w:val="fr-FR"/>
        </w:rPr>
        <w:t>g</w:t>
      </w:r>
      <w:r w:rsidR="008F057A">
        <w:rPr>
          <w:noProof/>
          <w:lang w:val="fr-FR"/>
        </w:rPr>
        <w:t>ie</w:t>
      </w:r>
      <w:r w:rsidR="007A2AF3" w:rsidRPr="00DD03D6">
        <w:rPr>
          <w:noProof/>
          <w:lang w:val="fr-FR"/>
        </w:rPr>
        <w:t xml:space="preserve"> </w:t>
      </w:r>
      <w:r w:rsidR="008F057A">
        <w:rPr>
          <w:noProof/>
          <w:lang w:val="fr-FR"/>
        </w:rPr>
        <w:t xml:space="preserve">énonce </w:t>
      </w:r>
      <w:r w:rsidR="000D2AB8">
        <w:rPr>
          <w:noProof/>
          <w:lang w:val="fr-FR"/>
        </w:rPr>
        <w:t xml:space="preserve">les </w:t>
      </w:r>
      <w:r w:rsidR="008F057A">
        <w:rPr>
          <w:noProof/>
          <w:lang w:val="fr-FR"/>
        </w:rPr>
        <w:t xml:space="preserve">diverses mesures </w:t>
      </w:r>
      <w:r w:rsidR="000D2AB8">
        <w:rPr>
          <w:noProof/>
          <w:lang w:val="fr-FR"/>
        </w:rPr>
        <w:t>à prendre au cours des années qui viennent pour relever les normes applicables à la formation et au perfectionnement professionnel des enseignants, aux programmes d’études et à l’évaluation des résultats</w:t>
      </w:r>
      <w:r w:rsidR="007A2AF3" w:rsidRPr="00DD03D6">
        <w:rPr>
          <w:noProof/>
          <w:lang w:val="fr-FR"/>
        </w:rPr>
        <w:t>.</w:t>
      </w:r>
    </w:p>
    <w:p w:rsidR="007A2AF3" w:rsidRPr="00DD03D6" w:rsidRDefault="002527FE" w:rsidP="002527FE">
      <w:pPr>
        <w:pStyle w:val="H1G"/>
        <w:ind w:firstLine="0"/>
        <w:rPr>
          <w:noProof/>
          <w:lang w:val="fr-FR"/>
        </w:rPr>
      </w:pPr>
      <w:r>
        <w:rPr>
          <w:noProof/>
          <w:lang w:val="fr-FR"/>
        </w:rPr>
        <w:t>Observations finales et récapitulatif des progrès accomplis</w:t>
      </w:r>
    </w:p>
    <w:p w:rsidR="007A2AF3" w:rsidRPr="00DD03D6" w:rsidRDefault="008E5835" w:rsidP="00AB5D2C">
      <w:pPr>
        <w:pStyle w:val="SingleTxtG"/>
        <w:numPr>
          <w:ilvl w:val="0"/>
          <w:numId w:val="3"/>
        </w:numPr>
        <w:ind w:left="1134" w:firstLine="0"/>
        <w:rPr>
          <w:noProof/>
          <w:lang w:val="fr-FR"/>
        </w:rPr>
      </w:pPr>
      <w:r>
        <w:rPr>
          <w:noProof/>
          <w:lang w:val="fr-FR"/>
        </w:rPr>
        <w:t>L’</w:t>
      </w:r>
      <w:r w:rsidR="007A2AF3" w:rsidRPr="00DD03D6">
        <w:rPr>
          <w:noProof/>
          <w:lang w:val="fr-FR"/>
        </w:rPr>
        <w:t>Irland</w:t>
      </w:r>
      <w:r>
        <w:rPr>
          <w:noProof/>
          <w:lang w:val="fr-FR"/>
        </w:rPr>
        <w:t>e</w:t>
      </w:r>
      <w:r w:rsidR="007A2AF3" w:rsidRPr="00DD03D6">
        <w:rPr>
          <w:noProof/>
          <w:lang w:val="fr-FR"/>
        </w:rPr>
        <w:t xml:space="preserve"> </w:t>
      </w:r>
      <w:r>
        <w:rPr>
          <w:noProof/>
          <w:lang w:val="fr-FR"/>
        </w:rPr>
        <w:t xml:space="preserve">a soumis son deuxième rapport au Comité en </w:t>
      </w:r>
      <w:r w:rsidR="007A2AF3" w:rsidRPr="00DD03D6">
        <w:rPr>
          <w:noProof/>
          <w:lang w:val="fr-FR"/>
        </w:rPr>
        <w:t xml:space="preserve">2005 (2005, CRC/C/IRL/2). </w:t>
      </w:r>
      <w:r>
        <w:rPr>
          <w:noProof/>
          <w:lang w:val="fr-FR"/>
        </w:rPr>
        <w:t xml:space="preserve">Après </w:t>
      </w:r>
      <w:r w:rsidR="002056A6">
        <w:rPr>
          <w:noProof/>
          <w:lang w:val="fr-FR"/>
        </w:rPr>
        <w:t>l’</w:t>
      </w:r>
      <w:r>
        <w:rPr>
          <w:noProof/>
          <w:lang w:val="fr-FR"/>
        </w:rPr>
        <w:t xml:space="preserve">avoir examiné, le Comité a publié ses </w:t>
      </w:r>
      <w:r w:rsidR="00AB5D2C" w:rsidRPr="00DD03D6">
        <w:rPr>
          <w:noProof/>
          <w:lang w:val="fr-FR"/>
        </w:rPr>
        <w:t>o</w:t>
      </w:r>
      <w:r w:rsidR="00E90D55" w:rsidRPr="00DD03D6">
        <w:rPr>
          <w:noProof/>
          <w:lang w:val="fr-FR"/>
        </w:rPr>
        <w:t>bservations</w:t>
      </w:r>
      <w:r>
        <w:rPr>
          <w:noProof/>
          <w:lang w:val="fr-FR"/>
        </w:rPr>
        <w:t xml:space="preserve"> finales</w:t>
      </w:r>
      <w:r w:rsidR="007A2AF3" w:rsidRPr="00DD03D6">
        <w:rPr>
          <w:rStyle w:val="Appelnotedebasdep"/>
          <w:noProof/>
          <w:lang w:val="fr-FR"/>
        </w:rPr>
        <w:footnoteReference w:id="5"/>
      </w:r>
      <w:r>
        <w:rPr>
          <w:noProof/>
          <w:lang w:val="fr-FR"/>
        </w:rPr>
        <w:t>.</w:t>
      </w:r>
      <w:r w:rsidR="007A2AF3" w:rsidRPr="00DD03D6">
        <w:rPr>
          <w:noProof/>
          <w:lang w:val="fr-FR"/>
        </w:rPr>
        <w:t xml:space="preserve"> </w:t>
      </w:r>
      <w:r w:rsidR="002E74CF">
        <w:rPr>
          <w:noProof/>
          <w:lang w:val="fr-FR"/>
        </w:rPr>
        <w:t xml:space="preserve">Le </w:t>
      </w:r>
      <w:r w:rsidR="007A2AF3" w:rsidRPr="00DD03D6">
        <w:rPr>
          <w:noProof/>
          <w:lang w:val="fr-FR"/>
        </w:rPr>
        <w:t>text</w:t>
      </w:r>
      <w:r w:rsidR="002E74CF">
        <w:rPr>
          <w:noProof/>
          <w:lang w:val="fr-FR"/>
        </w:rPr>
        <w:t>e</w:t>
      </w:r>
      <w:r w:rsidR="007A2AF3" w:rsidRPr="00DD03D6">
        <w:rPr>
          <w:noProof/>
          <w:lang w:val="fr-FR"/>
        </w:rPr>
        <w:t xml:space="preserve"> </w:t>
      </w:r>
      <w:r w:rsidR="002E74CF">
        <w:rPr>
          <w:noProof/>
          <w:lang w:val="fr-FR"/>
        </w:rPr>
        <w:t xml:space="preserve">de </w:t>
      </w:r>
      <w:r w:rsidR="002056A6">
        <w:rPr>
          <w:noProof/>
          <w:lang w:val="fr-FR"/>
        </w:rPr>
        <w:t xml:space="preserve">celles-ci </w:t>
      </w:r>
      <w:r w:rsidR="002E74CF">
        <w:rPr>
          <w:noProof/>
          <w:lang w:val="fr-FR"/>
        </w:rPr>
        <w:t>est présenté en caractères gras d’un bout à l’autre du présent rapport</w:t>
      </w:r>
      <w:r w:rsidR="007A2AF3" w:rsidRPr="00DD03D6">
        <w:rPr>
          <w:noProof/>
          <w:lang w:val="fr-FR"/>
        </w:rPr>
        <w:t xml:space="preserve">. </w:t>
      </w:r>
      <w:r w:rsidR="002E74CF">
        <w:rPr>
          <w:noProof/>
          <w:lang w:val="fr-FR"/>
        </w:rPr>
        <w:t xml:space="preserve">On trouvera plus loin un récapitulatif de ces </w:t>
      </w:r>
      <w:r w:rsidR="007A2AF3" w:rsidRPr="00DD03D6">
        <w:rPr>
          <w:noProof/>
          <w:lang w:val="fr-FR"/>
        </w:rPr>
        <w:t xml:space="preserve">observations </w:t>
      </w:r>
      <w:r w:rsidR="002E74CF">
        <w:rPr>
          <w:noProof/>
          <w:lang w:val="fr-FR"/>
        </w:rPr>
        <w:t xml:space="preserve">et de la suite qui leur a été donnée depuis </w:t>
      </w:r>
      <w:r w:rsidR="007A2AF3" w:rsidRPr="00DD03D6">
        <w:rPr>
          <w:noProof/>
          <w:lang w:val="fr-FR"/>
        </w:rPr>
        <w:t xml:space="preserve">2005. </w:t>
      </w:r>
      <w:r w:rsidR="002E74CF">
        <w:rPr>
          <w:noProof/>
          <w:lang w:val="fr-FR"/>
        </w:rPr>
        <w:t xml:space="preserve">On notera que la majorité des évolutions et points mentionnés dans la présente </w:t>
      </w:r>
      <w:r w:rsidR="007A2AF3" w:rsidRPr="00DD03D6">
        <w:rPr>
          <w:noProof/>
          <w:lang w:val="fr-FR"/>
        </w:rPr>
        <w:t xml:space="preserve">introduction </w:t>
      </w:r>
      <w:r w:rsidR="002E74CF">
        <w:rPr>
          <w:noProof/>
          <w:lang w:val="fr-FR"/>
        </w:rPr>
        <w:t xml:space="preserve">sont traités plus en </w:t>
      </w:r>
      <w:r w:rsidR="007A2AF3" w:rsidRPr="00DD03D6">
        <w:rPr>
          <w:noProof/>
          <w:lang w:val="fr-FR"/>
        </w:rPr>
        <w:t>d</w:t>
      </w:r>
      <w:r w:rsidR="002E74CF">
        <w:rPr>
          <w:noProof/>
          <w:lang w:val="fr-FR"/>
        </w:rPr>
        <w:t>é</w:t>
      </w:r>
      <w:r w:rsidR="007A2AF3" w:rsidRPr="00DD03D6">
        <w:rPr>
          <w:noProof/>
          <w:lang w:val="fr-FR"/>
        </w:rPr>
        <w:t xml:space="preserve">tail </w:t>
      </w:r>
      <w:r w:rsidR="002E74CF">
        <w:rPr>
          <w:noProof/>
          <w:lang w:val="fr-FR"/>
        </w:rPr>
        <w:t>dans les</w:t>
      </w:r>
      <w:r w:rsidR="002056A6">
        <w:rPr>
          <w:noProof/>
          <w:lang w:val="fr-FR"/>
        </w:rPr>
        <w:t xml:space="preserve"> différents </w:t>
      </w:r>
      <w:r w:rsidR="002E74CF">
        <w:rPr>
          <w:noProof/>
          <w:lang w:val="fr-FR"/>
        </w:rPr>
        <w:t xml:space="preserve">chapitres </w:t>
      </w:r>
      <w:r w:rsidR="002056A6">
        <w:rPr>
          <w:noProof/>
          <w:lang w:val="fr-FR"/>
        </w:rPr>
        <w:t>du présent rapport</w:t>
      </w:r>
      <w:r w:rsidR="007A2AF3" w:rsidRPr="00DD03D6">
        <w:rPr>
          <w:noProof/>
          <w:lang w:val="fr-FR"/>
        </w:rPr>
        <w:t xml:space="preserve">. </w:t>
      </w:r>
      <w:r w:rsidR="002056A6">
        <w:rPr>
          <w:noProof/>
          <w:lang w:val="fr-FR"/>
        </w:rPr>
        <w:t>Ils sont récapitulés ici pour éviter tout répétition inutile d’informations</w:t>
      </w:r>
      <w:r w:rsidR="007A2AF3" w:rsidRPr="00DD03D6">
        <w:rPr>
          <w:noProof/>
          <w:lang w:val="fr-FR"/>
        </w:rPr>
        <w:t>.</w:t>
      </w:r>
    </w:p>
    <w:p w:rsidR="007A2AF3" w:rsidRPr="00DD03D6" w:rsidRDefault="007A2AF3" w:rsidP="00035893">
      <w:pPr>
        <w:pStyle w:val="H23G"/>
        <w:rPr>
          <w:noProof/>
          <w:lang w:val="fr-FR"/>
        </w:rPr>
      </w:pPr>
      <w:r w:rsidRPr="00DD03D6">
        <w:rPr>
          <w:noProof/>
          <w:lang w:val="fr-FR"/>
        </w:rPr>
        <w:tab/>
      </w:r>
      <w:r w:rsidRPr="00DD03D6">
        <w:rPr>
          <w:noProof/>
          <w:lang w:val="fr-FR"/>
        </w:rPr>
        <w:tab/>
        <w:t>L</w:t>
      </w:r>
      <w:r w:rsidR="002056A6">
        <w:rPr>
          <w:noProof/>
          <w:lang w:val="fr-FR"/>
        </w:rPr>
        <w:t>é</w:t>
      </w:r>
      <w:r w:rsidRPr="00DD03D6">
        <w:rPr>
          <w:noProof/>
          <w:lang w:val="fr-FR"/>
        </w:rPr>
        <w:t xml:space="preserve">gislation </w:t>
      </w:r>
      <w:r w:rsidR="002056A6">
        <w:rPr>
          <w:noProof/>
          <w:lang w:val="fr-FR"/>
        </w:rPr>
        <w:t xml:space="preserve">et </w:t>
      </w:r>
      <w:r w:rsidR="000964D8">
        <w:rPr>
          <w:noProof/>
          <w:lang w:val="fr-FR"/>
        </w:rPr>
        <w:t xml:space="preserve">mise en </w:t>
      </w:r>
      <w:r w:rsidR="002056A6">
        <w:rPr>
          <w:noProof/>
          <w:lang w:val="fr-FR"/>
        </w:rPr>
        <w:t xml:space="preserve">application </w:t>
      </w:r>
      <w:r w:rsidR="00520CB9" w:rsidRPr="00DD03D6">
        <w:rPr>
          <w:noProof/>
          <w:lang w:val="fr-FR"/>
        </w:rPr>
        <w:t>(</w:t>
      </w:r>
      <w:r w:rsidR="002056A6">
        <w:rPr>
          <w:noProof/>
          <w:lang w:val="fr-FR"/>
        </w:rPr>
        <w:t>voir le</w:t>
      </w:r>
      <w:r w:rsidR="00520CB9" w:rsidRPr="00DD03D6">
        <w:rPr>
          <w:noProof/>
          <w:lang w:val="fr-FR"/>
        </w:rPr>
        <w:t>s</w:t>
      </w:r>
      <w:r w:rsidR="002056A6">
        <w:rPr>
          <w:noProof/>
          <w:lang w:val="fr-FR"/>
        </w:rPr>
        <w:t xml:space="preserve"> </w:t>
      </w:r>
      <w:r w:rsidR="00035893" w:rsidRPr="00DD03D6">
        <w:rPr>
          <w:noProof/>
          <w:lang w:val="fr-FR"/>
        </w:rPr>
        <w:t>c</w:t>
      </w:r>
      <w:r w:rsidR="00520CB9" w:rsidRPr="00DD03D6">
        <w:rPr>
          <w:noProof/>
          <w:lang w:val="fr-FR"/>
        </w:rPr>
        <w:t>hap</w:t>
      </w:r>
      <w:r w:rsidR="002056A6">
        <w:rPr>
          <w:noProof/>
          <w:lang w:val="fr-FR"/>
        </w:rPr>
        <w:t xml:space="preserve">itres </w:t>
      </w:r>
      <w:r w:rsidRPr="00DD03D6">
        <w:rPr>
          <w:noProof/>
          <w:lang w:val="fr-FR"/>
        </w:rPr>
        <w:t xml:space="preserve">1 </w:t>
      </w:r>
      <w:r w:rsidR="002056A6">
        <w:rPr>
          <w:noProof/>
          <w:lang w:val="fr-FR"/>
        </w:rPr>
        <w:t>et</w:t>
      </w:r>
      <w:r w:rsidRPr="00DD03D6">
        <w:rPr>
          <w:noProof/>
          <w:lang w:val="fr-FR"/>
        </w:rPr>
        <w:t xml:space="preserve"> 5)</w:t>
      </w:r>
    </w:p>
    <w:p w:rsidR="007A2AF3" w:rsidRPr="00DD03D6" w:rsidRDefault="000964D8" w:rsidP="007A2AF3">
      <w:pPr>
        <w:pStyle w:val="SingleTxtG"/>
        <w:numPr>
          <w:ilvl w:val="0"/>
          <w:numId w:val="3"/>
        </w:numPr>
        <w:ind w:left="1134" w:firstLine="0"/>
        <w:rPr>
          <w:noProof/>
          <w:lang w:val="fr-FR"/>
        </w:rPr>
      </w:pPr>
      <w:r w:rsidRPr="000964D8">
        <w:rPr>
          <w:rFonts w:eastAsia="MS Mincho"/>
          <w:bCs/>
          <w:lang w:val="fr-FR"/>
        </w:rPr>
        <w:t xml:space="preserve">Le Comité prie instamment l’État partie de prendre d’urgence toutes les mesures requises pour </w:t>
      </w:r>
      <w:r w:rsidR="005723B7">
        <w:rPr>
          <w:rFonts w:eastAsia="MS Mincho"/>
          <w:bCs/>
          <w:lang w:val="fr-FR"/>
        </w:rPr>
        <w:t>appliquer</w:t>
      </w:r>
      <w:r w:rsidRPr="000964D8">
        <w:rPr>
          <w:rFonts w:eastAsia="MS Mincho"/>
          <w:bCs/>
          <w:lang w:val="fr-FR"/>
        </w:rPr>
        <w:t xml:space="preserve"> les dispositions des lois relatives aux enfants </w:t>
      </w:r>
      <w:r w:rsidR="005723B7">
        <w:rPr>
          <w:rFonts w:eastAsia="MS Mincho"/>
          <w:bCs/>
          <w:lang w:val="fr-FR"/>
        </w:rPr>
        <w:t xml:space="preserve">restées en suspens en ce qui </w:t>
      </w:r>
      <w:r w:rsidRPr="000964D8">
        <w:rPr>
          <w:rFonts w:eastAsia="MS Mincho"/>
          <w:bCs/>
          <w:lang w:val="fr-FR"/>
        </w:rPr>
        <w:t>concern</w:t>
      </w:r>
      <w:r w:rsidR="005723B7">
        <w:rPr>
          <w:rFonts w:eastAsia="MS Mincho"/>
          <w:bCs/>
          <w:lang w:val="fr-FR"/>
        </w:rPr>
        <w:t>e</w:t>
      </w:r>
      <w:r w:rsidRPr="000964D8">
        <w:rPr>
          <w:rFonts w:eastAsia="MS Mincho"/>
          <w:bCs/>
          <w:lang w:val="fr-FR"/>
        </w:rPr>
        <w:t xml:space="preserve"> la protection des droits de l’enfant, en prévoyant notamment à cette fin des moyens suffisants. Le Comité encourage l’État partie à poursuivre l’intégration de la Convention dans la législation nationale</w:t>
      </w:r>
      <w:r w:rsidR="007A2AF3" w:rsidRPr="00DD03D6">
        <w:rPr>
          <w:noProof/>
          <w:lang w:val="fr-FR"/>
        </w:rPr>
        <w:t>.</w:t>
      </w:r>
    </w:p>
    <w:p w:rsidR="007A2AF3" w:rsidRPr="00DD03D6" w:rsidRDefault="000964D8" w:rsidP="000964D8">
      <w:pPr>
        <w:pStyle w:val="H4G"/>
        <w:ind w:firstLine="0"/>
        <w:rPr>
          <w:noProof/>
          <w:lang w:val="fr-FR"/>
        </w:rPr>
      </w:pPr>
      <w:r>
        <w:rPr>
          <w:noProof/>
          <w:lang w:val="fr-FR"/>
        </w:rPr>
        <w:t xml:space="preserve">Loi de 2007 portant modification de la </w:t>
      </w:r>
      <w:r w:rsidR="000079BD">
        <w:rPr>
          <w:noProof/>
          <w:lang w:val="fr-FR"/>
        </w:rPr>
        <w:t>loi sur la protection de l’enfance</w:t>
      </w:r>
      <w:r w:rsidR="007A2AF3" w:rsidRPr="00DD03D6">
        <w:rPr>
          <w:noProof/>
          <w:lang w:val="fr-FR"/>
        </w:rPr>
        <w:t xml:space="preserve"> </w:t>
      </w:r>
    </w:p>
    <w:p w:rsidR="007A2AF3" w:rsidRPr="00DD03D6" w:rsidRDefault="00D63C63" w:rsidP="00B60794">
      <w:pPr>
        <w:pStyle w:val="SingleTxtG"/>
        <w:numPr>
          <w:ilvl w:val="0"/>
          <w:numId w:val="3"/>
        </w:numPr>
        <w:ind w:left="1134" w:firstLine="0"/>
        <w:rPr>
          <w:noProof/>
          <w:lang w:val="fr-FR"/>
        </w:rPr>
      </w:pPr>
      <w:r>
        <w:rPr>
          <w:noProof/>
          <w:lang w:val="fr-FR"/>
        </w:rPr>
        <w:t>La loi de 2007 portant modification de la loi sur la protection de l’enfance</w:t>
      </w:r>
      <w:r w:rsidRPr="00DD03D6">
        <w:rPr>
          <w:noProof/>
          <w:lang w:val="fr-FR"/>
        </w:rPr>
        <w:t xml:space="preserve"> </w:t>
      </w:r>
      <w:r>
        <w:rPr>
          <w:noProof/>
          <w:lang w:val="fr-FR"/>
        </w:rPr>
        <w:t xml:space="preserve">a modifié </w:t>
      </w:r>
      <w:r w:rsidR="002E5ADB">
        <w:rPr>
          <w:noProof/>
          <w:lang w:val="fr-FR"/>
        </w:rPr>
        <w:t xml:space="preserve">à la fois la loi de 1991sur la protection de l’enfance </w:t>
      </w:r>
      <w:r>
        <w:rPr>
          <w:noProof/>
          <w:lang w:val="fr-FR"/>
        </w:rPr>
        <w:t>et la loi de 2001 sur les enfants</w:t>
      </w:r>
      <w:r w:rsidR="007A2AF3" w:rsidRPr="00DD03D6">
        <w:rPr>
          <w:noProof/>
          <w:lang w:val="fr-FR"/>
        </w:rPr>
        <w:t xml:space="preserve">. </w:t>
      </w:r>
      <w:r w:rsidR="002E5ADB">
        <w:rPr>
          <w:noProof/>
          <w:lang w:val="fr-FR"/>
        </w:rPr>
        <w:t xml:space="preserve">La loi de </w:t>
      </w:r>
      <w:r w:rsidR="007A2AF3" w:rsidRPr="00DD03D6">
        <w:rPr>
          <w:noProof/>
          <w:lang w:val="fr-FR"/>
        </w:rPr>
        <w:t xml:space="preserve">2007 </w:t>
      </w:r>
      <w:r w:rsidR="002E5ADB">
        <w:rPr>
          <w:noProof/>
          <w:lang w:val="fr-FR"/>
        </w:rPr>
        <w:t>dispose pour l’essentiel qu’un parent d’accueil ou un membre de la famille qui a pris en charge un enfant pendant une période ininterrompue de cinq ans, l’enfant lui ayant été confié par la Direction des services de santé</w:t>
      </w:r>
      <w:r w:rsidR="007A2AF3" w:rsidRPr="00DD03D6">
        <w:rPr>
          <w:noProof/>
          <w:lang w:val="fr-FR"/>
        </w:rPr>
        <w:t xml:space="preserve">, </w:t>
      </w:r>
      <w:r w:rsidR="002E5ADB">
        <w:rPr>
          <w:noProof/>
          <w:lang w:val="fr-FR"/>
        </w:rPr>
        <w:t xml:space="preserve">peut demander à un tribunal de rendre une ordonnance </w:t>
      </w:r>
      <w:r w:rsidR="00035485">
        <w:rPr>
          <w:noProof/>
          <w:lang w:val="fr-FR"/>
        </w:rPr>
        <w:t>d’extension d’autonomie en ce qui concerne la protection de l’enfant</w:t>
      </w:r>
      <w:r w:rsidR="007A2AF3" w:rsidRPr="00DD03D6">
        <w:rPr>
          <w:noProof/>
          <w:lang w:val="fr-FR"/>
        </w:rPr>
        <w:t xml:space="preserve">. </w:t>
      </w:r>
      <w:r w:rsidR="00631191">
        <w:rPr>
          <w:noProof/>
          <w:lang w:val="fr-FR"/>
        </w:rPr>
        <w:t xml:space="preserve">Cette loi a modifié l’article </w:t>
      </w:r>
      <w:r w:rsidR="007A2AF3" w:rsidRPr="00DD03D6">
        <w:rPr>
          <w:noProof/>
          <w:lang w:val="fr-FR"/>
        </w:rPr>
        <w:t xml:space="preserve">77 </w:t>
      </w:r>
      <w:r w:rsidR="00631191">
        <w:rPr>
          <w:noProof/>
          <w:lang w:val="fr-FR"/>
        </w:rPr>
        <w:t>de la loi de 2001 sur les enfants</w:t>
      </w:r>
      <w:r w:rsidR="00631191" w:rsidRPr="00DD03D6">
        <w:rPr>
          <w:noProof/>
          <w:lang w:val="fr-FR"/>
        </w:rPr>
        <w:t xml:space="preserve"> </w:t>
      </w:r>
      <w:r w:rsidR="00631191">
        <w:rPr>
          <w:noProof/>
          <w:lang w:val="fr-FR"/>
        </w:rPr>
        <w:t xml:space="preserve">pour ce qui est </w:t>
      </w:r>
      <w:r w:rsidR="000F7E85">
        <w:rPr>
          <w:noProof/>
          <w:lang w:val="fr-FR"/>
        </w:rPr>
        <w:t>de</w:t>
      </w:r>
      <w:r w:rsidR="00230C25">
        <w:rPr>
          <w:noProof/>
          <w:lang w:val="fr-FR"/>
        </w:rPr>
        <w:t>s conférences familiales en matière</w:t>
      </w:r>
      <w:r w:rsidR="000F7E85">
        <w:rPr>
          <w:noProof/>
          <w:lang w:val="fr-FR"/>
        </w:rPr>
        <w:t xml:space="preserve"> de protection. Elle a également modifié l’article </w:t>
      </w:r>
      <w:r w:rsidR="007A2AF3" w:rsidRPr="00DD03D6">
        <w:rPr>
          <w:noProof/>
          <w:lang w:val="fr-FR"/>
        </w:rPr>
        <w:t xml:space="preserve">29 </w:t>
      </w:r>
      <w:r w:rsidR="000F7E85">
        <w:rPr>
          <w:noProof/>
          <w:lang w:val="fr-FR"/>
        </w:rPr>
        <w:t xml:space="preserve">de la </w:t>
      </w:r>
      <w:r w:rsidR="00A5090D">
        <w:rPr>
          <w:noProof/>
          <w:lang w:val="fr-FR"/>
        </w:rPr>
        <w:t>loi de 1991sur la protection de l’enfance</w:t>
      </w:r>
      <w:r w:rsidR="007A2AF3" w:rsidRPr="00DD03D6">
        <w:rPr>
          <w:noProof/>
          <w:lang w:val="fr-FR"/>
        </w:rPr>
        <w:t xml:space="preserve">, </w:t>
      </w:r>
      <w:r w:rsidR="00A5090D">
        <w:rPr>
          <w:noProof/>
          <w:lang w:val="fr-FR"/>
        </w:rPr>
        <w:t>qui dispose que les procédures judiciaires relatives à la protection de l’enfance doivent se tenir à huis clos, en y insérant une disposition autorisant des personnes spécifiées à rendre compte des débats dans des circonstances spécifiées</w:t>
      </w:r>
      <w:r w:rsidR="007A2AF3" w:rsidRPr="00DD03D6">
        <w:rPr>
          <w:noProof/>
          <w:lang w:val="fr-FR"/>
        </w:rPr>
        <w:t>.</w:t>
      </w:r>
    </w:p>
    <w:p w:rsidR="007A2AF3" w:rsidRPr="00DD03D6" w:rsidRDefault="007A2AF3" w:rsidP="00AB5630">
      <w:pPr>
        <w:pStyle w:val="H4G"/>
        <w:rPr>
          <w:noProof/>
          <w:lang w:val="fr-FR"/>
        </w:rPr>
      </w:pPr>
      <w:r w:rsidRPr="00DD03D6">
        <w:rPr>
          <w:noProof/>
          <w:lang w:val="fr-FR"/>
        </w:rPr>
        <w:lastRenderedPageBreak/>
        <w:tab/>
      </w:r>
      <w:r w:rsidRPr="00DD03D6">
        <w:rPr>
          <w:noProof/>
          <w:lang w:val="fr-FR"/>
        </w:rPr>
        <w:tab/>
      </w:r>
      <w:r w:rsidR="00A5090D">
        <w:rPr>
          <w:noProof/>
          <w:lang w:val="fr-FR"/>
        </w:rPr>
        <w:t>Loi de 2011 portant modification de la loi sur la protection de l’enfance</w:t>
      </w:r>
    </w:p>
    <w:p w:rsidR="007A2AF3" w:rsidRPr="00DD03D6" w:rsidRDefault="00A5090D" w:rsidP="00075AC0">
      <w:pPr>
        <w:pStyle w:val="SingleTxtG"/>
        <w:numPr>
          <w:ilvl w:val="0"/>
          <w:numId w:val="3"/>
        </w:numPr>
        <w:ind w:left="1134" w:firstLine="0"/>
        <w:rPr>
          <w:noProof/>
          <w:lang w:val="fr-FR"/>
        </w:rPr>
      </w:pPr>
      <w:r>
        <w:rPr>
          <w:noProof/>
          <w:lang w:val="fr-FR"/>
        </w:rPr>
        <w:t>La loi de 2011 portant modification de la loi sur la protection de l’enfance</w:t>
      </w:r>
      <w:r w:rsidRPr="00DD03D6">
        <w:rPr>
          <w:noProof/>
          <w:lang w:val="fr-FR"/>
        </w:rPr>
        <w:t xml:space="preserve"> </w:t>
      </w:r>
      <w:r>
        <w:rPr>
          <w:noProof/>
          <w:lang w:val="fr-FR"/>
        </w:rPr>
        <w:t xml:space="preserve">vise principalement à mettre en place un cadre légal </w:t>
      </w:r>
      <w:r w:rsidR="00C030A3">
        <w:rPr>
          <w:noProof/>
          <w:lang w:val="fr-FR"/>
        </w:rPr>
        <w:t>explicite</w:t>
      </w:r>
      <w:r>
        <w:rPr>
          <w:noProof/>
          <w:lang w:val="fr-FR"/>
        </w:rPr>
        <w:t xml:space="preserve"> permettant à la </w:t>
      </w:r>
      <w:r w:rsidR="007A2AF3" w:rsidRPr="00660134">
        <w:rPr>
          <w:i/>
          <w:noProof/>
          <w:lang w:val="fr-FR"/>
        </w:rPr>
        <w:t>High Court</w:t>
      </w:r>
      <w:r w:rsidR="007A2AF3" w:rsidRPr="00DD03D6">
        <w:rPr>
          <w:noProof/>
          <w:lang w:val="fr-FR"/>
        </w:rPr>
        <w:t xml:space="preserve"> </w:t>
      </w:r>
      <w:r w:rsidR="00660134">
        <w:rPr>
          <w:noProof/>
          <w:lang w:val="fr-FR"/>
        </w:rPr>
        <w:t xml:space="preserve">de connaître d’affaires </w:t>
      </w:r>
      <w:r w:rsidR="00362E25">
        <w:rPr>
          <w:noProof/>
          <w:lang w:val="fr-FR"/>
        </w:rPr>
        <w:t xml:space="preserve">liées </w:t>
      </w:r>
      <w:r w:rsidR="00DA4597">
        <w:rPr>
          <w:noProof/>
          <w:lang w:val="fr-FR"/>
        </w:rPr>
        <w:t>à la protection</w:t>
      </w:r>
      <w:r w:rsidR="00362E25">
        <w:rPr>
          <w:noProof/>
          <w:lang w:val="fr-FR"/>
        </w:rPr>
        <w:t xml:space="preserve"> spécia</w:t>
      </w:r>
      <w:r w:rsidR="00DA4597">
        <w:rPr>
          <w:noProof/>
          <w:lang w:val="fr-FR"/>
        </w:rPr>
        <w:t>le</w:t>
      </w:r>
      <w:r w:rsidR="00CA6668">
        <w:rPr>
          <w:noProof/>
          <w:lang w:val="fr-FR"/>
        </w:rPr>
        <w:t xml:space="preserve"> </w:t>
      </w:r>
      <w:r w:rsidR="006B5FF7">
        <w:rPr>
          <w:noProof/>
          <w:lang w:val="fr-FR"/>
        </w:rPr>
        <w:t xml:space="preserve">sans </w:t>
      </w:r>
      <w:r w:rsidR="00C030A3">
        <w:rPr>
          <w:noProof/>
          <w:lang w:val="fr-FR"/>
        </w:rPr>
        <w:t>exercer</w:t>
      </w:r>
      <w:r w:rsidR="006B5FF7">
        <w:rPr>
          <w:noProof/>
          <w:lang w:val="fr-FR"/>
        </w:rPr>
        <w:t xml:space="preserve"> sa compétence inhérente</w:t>
      </w:r>
      <w:r w:rsidR="007A2AF3" w:rsidRPr="00DD03D6">
        <w:rPr>
          <w:noProof/>
          <w:lang w:val="fr-FR"/>
        </w:rPr>
        <w:t xml:space="preserve"> (</w:t>
      </w:r>
      <w:r w:rsidR="00C030A3">
        <w:rPr>
          <w:noProof/>
          <w:lang w:val="fr-FR"/>
        </w:rPr>
        <w:t>il s’agit</w:t>
      </w:r>
      <w:r w:rsidR="006B5FF7">
        <w:rPr>
          <w:noProof/>
          <w:lang w:val="fr-FR"/>
        </w:rPr>
        <w:t xml:space="preserve"> de</w:t>
      </w:r>
      <w:r w:rsidR="00C030A3">
        <w:rPr>
          <w:noProof/>
          <w:lang w:val="fr-FR"/>
        </w:rPr>
        <w:t xml:space="preserve"> l’exercice de</w:t>
      </w:r>
      <w:r w:rsidR="006B5FF7">
        <w:rPr>
          <w:noProof/>
          <w:lang w:val="fr-FR"/>
        </w:rPr>
        <w:t>s compétences implicites en matière de réglementation ou de jugement concernant toutes les affaires dont elle peut être saisie</w:t>
      </w:r>
      <w:r w:rsidR="007A2AF3" w:rsidRPr="00DD03D6">
        <w:rPr>
          <w:noProof/>
          <w:lang w:val="fr-FR"/>
        </w:rPr>
        <w:t xml:space="preserve">. </w:t>
      </w:r>
      <w:r w:rsidR="006B5FF7">
        <w:rPr>
          <w:noProof/>
          <w:lang w:val="fr-FR"/>
        </w:rPr>
        <w:t>La compétence inhérente est souvent invoquée au sujet de questions qui, sans être réglementées par une loi</w:t>
      </w:r>
      <w:r w:rsidR="007A2AF3" w:rsidRPr="00DD03D6">
        <w:rPr>
          <w:noProof/>
          <w:lang w:val="fr-FR"/>
        </w:rPr>
        <w:t xml:space="preserve">, </w:t>
      </w:r>
      <w:r w:rsidR="006B5FF7">
        <w:rPr>
          <w:noProof/>
          <w:lang w:val="fr-FR"/>
        </w:rPr>
        <w:t>n’en sont pas moins considérées comme devant faire l’objet d’un règlement judiciaire au nom de la justice procé</w:t>
      </w:r>
      <w:r w:rsidR="007A2AF3" w:rsidRPr="00DD03D6">
        <w:rPr>
          <w:noProof/>
          <w:lang w:val="fr-FR"/>
        </w:rPr>
        <w:t>dural</w:t>
      </w:r>
      <w:r w:rsidR="006B5FF7">
        <w:rPr>
          <w:noProof/>
          <w:lang w:val="fr-FR"/>
        </w:rPr>
        <w:t>e</w:t>
      </w:r>
      <w:r w:rsidR="00C030A3">
        <w:rPr>
          <w:noProof/>
          <w:lang w:val="fr-FR"/>
        </w:rPr>
        <w:t xml:space="preserve"> ou de l’</w:t>
      </w:r>
      <w:r w:rsidR="007A2AF3" w:rsidRPr="00DD03D6">
        <w:rPr>
          <w:noProof/>
          <w:lang w:val="fr-FR"/>
        </w:rPr>
        <w:t>efficac</w:t>
      </w:r>
      <w:r w:rsidR="00C030A3">
        <w:rPr>
          <w:noProof/>
          <w:lang w:val="fr-FR"/>
        </w:rPr>
        <w:t>ité judiciaire</w:t>
      </w:r>
      <w:r w:rsidR="007A2AF3" w:rsidRPr="00DD03D6">
        <w:rPr>
          <w:noProof/>
          <w:lang w:val="fr-FR"/>
        </w:rPr>
        <w:t>)</w:t>
      </w:r>
      <w:r w:rsidR="00C030A3">
        <w:rPr>
          <w:noProof/>
          <w:lang w:val="fr-FR"/>
        </w:rPr>
        <w:t>.</w:t>
      </w:r>
      <w:r w:rsidR="007A2AF3" w:rsidRPr="00DD03D6">
        <w:rPr>
          <w:noProof/>
          <w:lang w:val="fr-FR"/>
        </w:rPr>
        <w:t xml:space="preserve"> </w:t>
      </w:r>
      <w:r w:rsidR="00C030A3">
        <w:rPr>
          <w:noProof/>
          <w:lang w:val="fr-FR"/>
        </w:rPr>
        <w:t xml:space="preserve">Cette loi prévoit l’enregistrement et l’inspection d’unités de </w:t>
      </w:r>
      <w:r w:rsidR="00CA6668">
        <w:rPr>
          <w:noProof/>
          <w:lang w:val="fr-FR"/>
        </w:rPr>
        <w:t>soins spéciaux</w:t>
      </w:r>
      <w:r w:rsidR="00C030A3">
        <w:rPr>
          <w:noProof/>
          <w:lang w:val="fr-FR"/>
        </w:rPr>
        <w:t xml:space="preserve"> par le </w:t>
      </w:r>
      <w:r w:rsidR="00C030A3" w:rsidRPr="00C030A3">
        <w:rPr>
          <w:lang w:val="fr-FR"/>
        </w:rPr>
        <w:t>Bureau de l’information sanitaire et de la qualité des services sanitaires</w:t>
      </w:r>
      <w:r w:rsidR="007A2AF3" w:rsidRPr="00DD03D6">
        <w:rPr>
          <w:noProof/>
          <w:lang w:val="fr-FR"/>
        </w:rPr>
        <w:t>.</w:t>
      </w:r>
    </w:p>
    <w:p w:rsidR="007A2AF3" w:rsidRPr="00DD03D6" w:rsidRDefault="00C030A3" w:rsidP="00075AC0">
      <w:pPr>
        <w:pStyle w:val="SingleTxtG"/>
        <w:numPr>
          <w:ilvl w:val="0"/>
          <w:numId w:val="3"/>
        </w:numPr>
        <w:ind w:left="1134" w:firstLine="0"/>
        <w:rPr>
          <w:noProof/>
          <w:lang w:val="fr-FR"/>
        </w:rPr>
      </w:pPr>
      <w:r>
        <w:rPr>
          <w:noProof/>
          <w:lang w:val="fr-FR"/>
        </w:rPr>
        <w:t xml:space="preserve">La protection spéciale s’entend </w:t>
      </w:r>
      <w:r w:rsidR="00D313AE">
        <w:rPr>
          <w:noProof/>
          <w:lang w:val="fr-FR"/>
        </w:rPr>
        <w:t xml:space="preserve">de la </w:t>
      </w:r>
      <w:r w:rsidR="007A2AF3" w:rsidRPr="00DD03D6">
        <w:rPr>
          <w:noProof/>
          <w:lang w:val="fr-FR"/>
        </w:rPr>
        <w:t>d</w:t>
      </w:r>
      <w:r w:rsidR="00D313AE">
        <w:rPr>
          <w:noProof/>
          <w:lang w:val="fr-FR"/>
        </w:rPr>
        <w:t>é</w:t>
      </w:r>
      <w:r w:rsidR="007A2AF3" w:rsidRPr="00DD03D6">
        <w:rPr>
          <w:noProof/>
          <w:lang w:val="fr-FR"/>
        </w:rPr>
        <w:t xml:space="preserve">tention, </w:t>
      </w:r>
      <w:r w:rsidR="00D313AE">
        <w:rPr>
          <w:noProof/>
          <w:lang w:val="fr-FR"/>
        </w:rPr>
        <w:t xml:space="preserve">à titre </w:t>
      </w:r>
      <w:r w:rsidR="007A2AF3" w:rsidRPr="00DD03D6">
        <w:rPr>
          <w:noProof/>
          <w:lang w:val="fr-FR"/>
        </w:rPr>
        <w:t>exception</w:t>
      </w:r>
      <w:r w:rsidR="00D313AE">
        <w:rPr>
          <w:noProof/>
          <w:lang w:val="fr-FR"/>
        </w:rPr>
        <w:t>nel et pour son bien-être et sa protection</w:t>
      </w:r>
      <w:r w:rsidR="007A2AF3" w:rsidRPr="00DD03D6">
        <w:rPr>
          <w:noProof/>
          <w:lang w:val="fr-FR"/>
        </w:rPr>
        <w:t xml:space="preserve">, </w:t>
      </w:r>
      <w:r w:rsidR="00D313AE">
        <w:rPr>
          <w:noProof/>
          <w:lang w:val="fr-FR"/>
        </w:rPr>
        <w:t xml:space="preserve">d’un enfant non délinquant dans une unité </w:t>
      </w:r>
      <w:r w:rsidR="00CA6668">
        <w:rPr>
          <w:noProof/>
          <w:lang w:val="fr-FR"/>
        </w:rPr>
        <w:t>de soins</w:t>
      </w:r>
      <w:r w:rsidR="00D313AE">
        <w:rPr>
          <w:noProof/>
          <w:lang w:val="fr-FR"/>
        </w:rPr>
        <w:t xml:space="preserve"> spécia</w:t>
      </w:r>
      <w:r w:rsidR="00CA6668">
        <w:rPr>
          <w:noProof/>
          <w:lang w:val="fr-FR"/>
        </w:rPr>
        <w:t>ux</w:t>
      </w:r>
      <w:r w:rsidR="00D313AE">
        <w:rPr>
          <w:noProof/>
          <w:lang w:val="fr-FR"/>
        </w:rPr>
        <w:t xml:space="preserve"> qui met à sa disposition des aides éducatives et thérapeutiques</w:t>
      </w:r>
      <w:r w:rsidR="007A2AF3" w:rsidRPr="00DD03D6">
        <w:rPr>
          <w:noProof/>
          <w:lang w:val="fr-FR"/>
        </w:rPr>
        <w:t xml:space="preserve">. </w:t>
      </w:r>
      <w:r w:rsidR="00D313AE">
        <w:rPr>
          <w:noProof/>
          <w:lang w:val="fr-FR"/>
        </w:rPr>
        <w:t xml:space="preserve">Le comportement de l’enfant et le risque </w:t>
      </w:r>
      <w:r w:rsidR="00CD027B">
        <w:rPr>
          <w:noProof/>
          <w:lang w:val="fr-FR"/>
        </w:rPr>
        <w:t>d’atteinte à la vie, à la santé, à la sécurité, au développement ou au bien-être de l’intéressé sont abordés dans le cadre de cette protection spéciale, de même que la question des soins nécessaires pour l’avenir</w:t>
      </w:r>
      <w:r w:rsidR="007A2AF3" w:rsidRPr="00DD03D6">
        <w:rPr>
          <w:noProof/>
          <w:lang w:val="fr-FR"/>
        </w:rPr>
        <w:t>.</w:t>
      </w:r>
    </w:p>
    <w:p w:rsidR="007A2AF3" w:rsidRPr="00DD03D6" w:rsidRDefault="00CD027B" w:rsidP="00CD027B">
      <w:pPr>
        <w:pStyle w:val="H4G"/>
        <w:ind w:firstLine="0"/>
        <w:rPr>
          <w:noProof/>
          <w:lang w:val="fr-FR"/>
        </w:rPr>
      </w:pPr>
      <w:r>
        <w:rPr>
          <w:noProof/>
          <w:lang w:val="fr-FR"/>
        </w:rPr>
        <w:t xml:space="preserve">Loi de </w:t>
      </w:r>
      <w:r w:rsidR="007A2AF3" w:rsidRPr="00DD03D6">
        <w:rPr>
          <w:noProof/>
          <w:lang w:val="fr-FR"/>
        </w:rPr>
        <w:t>2010</w:t>
      </w:r>
      <w:r>
        <w:rPr>
          <w:noProof/>
          <w:lang w:val="fr-FR"/>
        </w:rPr>
        <w:t xml:space="preserve"> sur l’adoption</w:t>
      </w:r>
    </w:p>
    <w:p w:rsidR="007A2AF3" w:rsidRPr="00DD03D6" w:rsidRDefault="00196A13" w:rsidP="00B60794">
      <w:pPr>
        <w:pStyle w:val="SingleTxtG"/>
        <w:numPr>
          <w:ilvl w:val="0"/>
          <w:numId w:val="3"/>
        </w:numPr>
        <w:ind w:left="1134" w:firstLine="0"/>
        <w:rPr>
          <w:noProof/>
          <w:lang w:val="fr-FR"/>
        </w:rPr>
      </w:pPr>
      <w:r>
        <w:rPr>
          <w:noProof/>
          <w:lang w:val="fr-FR"/>
        </w:rPr>
        <w:t xml:space="preserve">La loi de 2010 sur l’adoption est entrée en vigueur le </w:t>
      </w:r>
      <w:r w:rsidR="007A2AF3" w:rsidRPr="00DD03D6">
        <w:rPr>
          <w:noProof/>
          <w:lang w:val="fr-FR"/>
        </w:rPr>
        <w:t>1</w:t>
      </w:r>
      <w:r w:rsidRPr="00196A13">
        <w:rPr>
          <w:noProof/>
          <w:vertAlign w:val="superscript"/>
          <w:lang w:val="fr-FR"/>
        </w:rPr>
        <w:t>er</w:t>
      </w:r>
      <w:r>
        <w:rPr>
          <w:noProof/>
          <w:lang w:val="fr-FR"/>
        </w:rPr>
        <w:t xml:space="preserve"> novembre de cette année-là</w:t>
      </w:r>
      <w:r w:rsidR="007A2AF3" w:rsidRPr="00DD03D6">
        <w:rPr>
          <w:noProof/>
          <w:lang w:val="fr-FR"/>
        </w:rPr>
        <w:t xml:space="preserve">. </w:t>
      </w:r>
      <w:r>
        <w:rPr>
          <w:noProof/>
          <w:lang w:val="fr-FR"/>
        </w:rPr>
        <w:t>Ce nouveau texte de loi, qui transpose les dispositions de la Convention de La Haye</w:t>
      </w:r>
      <w:r w:rsidR="008B644B" w:rsidRPr="008B644B">
        <w:rPr>
          <w:noProof/>
          <w:lang w:val="fr-FR"/>
        </w:rPr>
        <w:t xml:space="preserve"> </w:t>
      </w:r>
      <w:r w:rsidR="008B644B">
        <w:rPr>
          <w:noProof/>
          <w:lang w:val="fr-FR"/>
        </w:rPr>
        <w:t>sur la p</w:t>
      </w:r>
      <w:r w:rsidR="008B644B" w:rsidRPr="00DD03D6">
        <w:rPr>
          <w:noProof/>
          <w:lang w:val="fr-FR"/>
        </w:rPr>
        <w:t xml:space="preserve">rotection </w:t>
      </w:r>
      <w:r w:rsidR="008B644B">
        <w:rPr>
          <w:noProof/>
          <w:lang w:val="fr-FR"/>
        </w:rPr>
        <w:t>des enfants et la c</w:t>
      </w:r>
      <w:r w:rsidR="008B644B" w:rsidRPr="00DD03D6">
        <w:rPr>
          <w:noProof/>
          <w:lang w:val="fr-FR"/>
        </w:rPr>
        <w:t>oop</w:t>
      </w:r>
      <w:r w:rsidR="008B644B">
        <w:rPr>
          <w:noProof/>
          <w:lang w:val="fr-FR"/>
        </w:rPr>
        <w:t>é</w:t>
      </w:r>
      <w:r w:rsidR="008B644B" w:rsidRPr="00DD03D6">
        <w:rPr>
          <w:noProof/>
          <w:lang w:val="fr-FR"/>
        </w:rPr>
        <w:t xml:space="preserve">ration </w:t>
      </w:r>
      <w:r w:rsidR="008B644B">
        <w:rPr>
          <w:noProof/>
          <w:lang w:val="fr-FR"/>
        </w:rPr>
        <w:t>e</w:t>
      </w:r>
      <w:r w:rsidR="008B644B" w:rsidRPr="00DD03D6">
        <w:rPr>
          <w:noProof/>
          <w:lang w:val="fr-FR"/>
        </w:rPr>
        <w:t xml:space="preserve">n </w:t>
      </w:r>
      <w:r w:rsidR="008B644B">
        <w:rPr>
          <w:noProof/>
          <w:lang w:val="fr-FR"/>
        </w:rPr>
        <w:t>matière d’adoption internationale</w:t>
      </w:r>
      <w:r>
        <w:rPr>
          <w:noProof/>
          <w:lang w:val="fr-FR"/>
        </w:rPr>
        <w:t xml:space="preserve">, vise à fournir un cadre qui garantisse que les procédures appropriées ont été respectées et que toutes les </w:t>
      </w:r>
      <w:r w:rsidR="007A2AF3" w:rsidRPr="00DD03D6">
        <w:rPr>
          <w:noProof/>
          <w:lang w:val="fr-FR"/>
        </w:rPr>
        <w:t xml:space="preserve">adoptions </w:t>
      </w:r>
      <w:r>
        <w:rPr>
          <w:noProof/>
          <w:lang w:val="fr-FR"/>
        </w:rPr>
        <w:t>correspondent à l’intérêt supérieur de l’enfant</w:t>
      </w:r>
      <w:r w:rsidR="007A2AF3" w:rsidRPr="00DD03D6">
        <w:rPr>
          <w:noProof/>
          <w:lang w:val="fr-FR"/>
        </w:rPr>
        <w:t xml:space="preserve">. </w:t>
      </w:r>
      <w:r>
        <w:rPr>
          <w:noProof/>
          <w:lang w:val="fr-FR"/>
        </w:rPr>
        <w:t xml:space="preserve">Ce texte donne </w:t>
      </w:r>
      <w:r w:rsidR="007A2AF3" w:rsidRPr="00DD03D6">
        <w:rPr>
          <w:noProof/>
          <w:lang w:val="fr-FR"/>
        </w:rPr>
        <w:t xml:space="preserve">force </w:t>
      </w:r>
      <w:r>
        <w:rPr>
          <w:noProof/>
          <w:lang w:val="fr-FR"/>
        </w:rPr>
        <w:t xml:space="preserve">de loi à la </w:t>
      </w:r>
      <w:r w:rsidR="007A2AF3" w:rsidRPr="00DD03D6">
        <w:rPr>
          <w:noProof/>
          <w:lang w:val="fr-FR"/>
        </w:rPr>
        <w:t xml:space="preserve">Convention </w:t>
      </w:r>
      <w:r>
        <w:rPr>
          <w:noProof/>
          <w:lang w:val="fr-FR"/>
        </w:rPr>
        <w:t>de La Haye</w:t>
      </w:r>
      <w:r w:rsidR="007A2AF3" w:rsidRPr="00DD03D6">
        <w:rPr>
          <w:noProof/>
          <w:lang w:val="fr-FR"/>
        </w:rPr>
        <w:t xml:space="preserve">, </w:t>
      </w:r>
      <w:r w:rsidR="00654E30">
        <w:rPr>
          <w:noProof/>
          <w:lang w:val="fr-FR"/>
        </w:rPr>
        <w:t xml:space="preserve">qui est également entrée en vigueur en Irlande le </w:t>
      </w:r>
      <w:r w:rsidR="007A2AF3" w:rsidRPr="00DD03D6">
        <w:rPr>
          <w:noProof/>
          <w:lang w:val="fr-FR"/>
        </w:rPr>
        <w:t>1</w:t>
      </w:r>
      <w:r w:rsidR="00654E30" w:rsidRPr="00654E30">
        <w:rPr>
          <w:noProof/>
          <w:vertAlign w:val="superscript"/>
          <w:lang w:val="fr-FR"/>
        </w:rPr>
        <w:t>er</w:t>
      </w:r>
      <w:r w:rsidR="00654E30">
        <w:rPr>
          <w:noProof/>
          <w:lang w:val="fr-FR"/>
        </w:rPr>
        <w:t xml:space="preserve"> novembre</w:t>
      </w:r>
      <w:r w:rsidR="007A2AF3" w:rsidRPr="00DD03D6">
        <w:rPr>
          <w:noProof/>
          <w:lang w:val="fr-FR"/>
        </w:rPr>
        <w:t xml:space="preserve"> 2010.</w:t>
      </w:r>
    </w:p>
    <w:p w:rsidR="007A2AF3" w:rsidRPr="00DD03D6" w:rsidRDefault="00B346F8" w:rsidP="00B346F8">
      <w:pPr>
        <w:pStyle w:val="H4G"/>
        <w:ind w:firstLine="0"/>
        <w:rPr>
          <w:noProof/>
          <w:lang w:val="fr-FR"/>
        </w:rPr>
      </w:pPr>
      <w:r>
        <w:rPr>
          <w:noProof/>
          <w:lang w:val="fr-FR"/>
        </w:rPr>
        <w:t xml:space="preserve">Loi de 2007 sur la santé </w:t>
      </w:r>
      <w:r w:rsidR="007A2AF3" w:rsidRPr="00DD03D6">
        <w:rPr>
          <w:noProof/>
          <w:lang w:val="fr-FR"/>
        </w:rPr>
        <w:t>(</w:t>
      </w:r>
      <w:r>
        <w:rPr>
          <w:noProof/>
          <w:lang w:val="fr-FR"/>
        </w:rPr>
        <w:t>création du Bureau d’information sanitaire et de la qualité des services sanitaires</w:t>
      </w:r>
      <w:r w:rsidR="007A2AF3" w:rsidRPr="00DD03D6">
        <w:rPr>
          <w:noProof/>
          <w:lang w:val="fr-FR"/>
        </w:rPr>
        <w:t>)</w:t>
      </w:r>
    </w:p>
    <w:p w:rsidR="007A2AF3" w:rsidRPr="00DD03D6" w:rsidRDefault="005D4553" w:rsidP="00075AC0">
      <w:pPr>
        <w:pStyle w:val="SingleTxtG"/>
        <w:numPr>
          <w:ilvl w:val="0"/>
          <w:numId w:val="3"/>
        </w:numPr>
        <w:ind w:left="1134" w:firstLine="0"/>
        <w:rPr>
          <w:noProof/>
          <w:lang w:val="fr-FR"/>
        </w:rPr>
      </w:pPr>
      <w:r>
        <w:rPr>
          <w:noProof/>
          <w:lang w:val="fr-FR"/>
        </w:rPr>
        <w:t>L’Inspection des services sociaux</w:t>
      </w:r>
      <w:r w:rsidR="007A2AF3" w:rsidRPr="00DD03D6">
        <w:rPr>
          <w:noProof/>
          <w:lang w:val="fr-FR"/>
        </w:rPr>
        <w:t xml:space="preserve">, </w:t>
      </w:r>
      <w:r>
        <w:rPr>
          <w:noProof/>
          <w:lang w:val="fr-FR"/>
        </w:rPr>
        <w:t xml:space="preserve">qui avait été initialement créée en </w:t>
      </w:r>
      <w:r w:rsidR="007A2AF3" w:rsidRPr="00DD03D6">
        <w:rPr>
          <w:noProof/>
          <w:lang w:val="fr-FR"/>
        </w:rPr>
        <w:t xml:space="preserve">1999, </w:t>
      </w:r>
      <w:r>
        <w:rPr>
          <w:noProof/>
          <w:lang w:val="fr-FR"/>
        </w:rPr>
        <w:t xml:space="preserve">a été </w:t>
      </w:r>
      <w:r w:rsidR="00194B6C">
        <w:rPr>
          <w:noProof/>
          <w:lang w:val="fr-FR"/>
        </w:rPr>
        <w:t>dot</w:t>
      </w:r>
      <w:r>
        <w:rPr>
          <w:noProof/>
          <w:lang w:val="fr-FR"/>
        </w:rPr>
        <w:t xml:space="preserve">ée </w:t>
      </w:r>
      <w:r w:rsidR="00194B6C">
        <w:rPr>
          <w:noProof/>
          <w:lang w:val="fr-FR"/>
        </w:rPr>
        <w:t xml:space="preserve">d’une base légale </w:t>
      </w:r>
      <w:r>
        <w:rPr>
          <w:noProof/>
          <w:lang w:val="fr-FR"/>
        </w:rPr>
        <w:t xml:space="preserve">en tant que Bureau de l’Inspecteur en chef des services sociaux au sein du Bureau d’information sanitaire et de la qualité des services sanitaires, que l’article </w:t>
      </w:r>
      <w:r w:rsidRPr="00DD03D6">
        <w:rPr>
          <w:noProof/>
          <w:lang w:val="fr-FR"/>
        </w:rPr>
        <w:t xml:space="preserve">69 </w:t>
      </w:r>
      <w:r>
        <w:rPr>
          <w:noProof/>
          <w:lang w:val="fr-FR"/>
        </w:rPr>
        <w:t xml:space="preserve">de la loi de 1991sur la protection de l’enfance charge d’inspecter les </w:t>
      </w:r>
      <w:r w:rsidR="00657DAE">
        <w:rPr>
          <w:noProof/>
          <w:lang w:val="fr-FR"/>
        </w:rPr>
        <w:t xml:space="preserve">structures d’accueil pour enfants </w:t>
      </w:r>
      <w:r w:rsidR="007A2AF3" w:rsidRPr="00DD03D6">
        <w:rPr>
          <w:noProof/>
          <w:lang w:val="fr-FR"/>
        </w:rPr>
        <w:t>(</w:t>
      </w:r>
      <w:r w:rsidR="00657DAE">
        <w:rPr>
          <w:noProof/>
          <w:lang w:val="fr-FR"/>
        </w:rPr>
        <w:t>c’est-à-dire les structures gérées par la Direction des services de santé, qui a remplacé les bureaux régionaux de la santé</w:t>
      </w:r>
      <w:r w:rsidR="007A2AF3" w:rsidRPr="00DD03D6">
        <w:rPr>
          <w:noProof/>
          <w:lang w:val="fr-FR"/>
        </w:rPr>
        <w:t xml:space="preserve">). </w:t>
      </w:r>
      <w:r w:rsidR="00657DAE">
        <w:rPr>
          <w:noProof/>
          <w:lang w:val="fr-FR"/>
        </w:rPr>
        <w:t xml:space="preserve">Le Bureau d’information sanitaire a été chargé d’inspecter les établissements d’éducation surveillée en vertu des dispositions des articles </w:t>
      </w:r>
      <w:r w:rsidR="007A2AF3" w:rsidRPr="00DD03D6">
        <w:rPr>
          <w:noProof/>
          <w:lang w:val="fr-FR"/>
        </w:rPr>
        <w:t xml:space="preserve">85 </w:t>
      </w:r>
      <w:r w:rsidR="00657DAE">
        <w:rPr>
          <w:noProof/>
          <w:lang w:val="fr-FR"/>
        </w:rPr>
        <w:t>et</w:t>
      </w:r>
      <w:r w:rsidR="007A2AF3" w:rsidRPr="00DD03D6">
        <w:rPr>
          <w:noProof/>
          <w:lang w:val="fr-FR"/>
        </w:rPr>
        <w:t xml:space="preserve"> 86 </w:t>
      </w:r>
      <w:r w:rsidR="00657DAE">
        <w:rPr>
          <w:noProof/>
          <w:lang w:val="fr-FR"/>
        </w:rPr>
        <w:t>de la loi de 2001 sur les enfants</w:t>
      </w:r>
      <w:r w:rsidR="00657DAE" w:rsidRPr="00DD03D6">
        <w:rPr>
          <w:noProof/>
          <w:lang w:val="fr-FR"/>
        </w:rPr>
        <w:t xml:space="preserve"> </w:t>
      </w:r>
      <w:r w:rsidR="00657DAE">
        <w:rPr>
          <w:noProof/>
          <w:lang w:val="fr-FR"/>
        </w:rPr>
        <w:t>(telle que modifiée)</w:t>
      </w:r>
      <w:r w:rsidR="007A2AF3" w:rsidRPr="00DD03D6">
        <w:rPr>
          <w:noProof/>
          <w:lang w:val="fr-FR"/>
        </w:rPr>
        <w:t xml:space="preserve">. </w:t>
      </w:r>
      <w:r w:rsidR="00657DAE">
        <w:rPr>
          <w:noProof/>
          <w:lang w:val="fr-FR"/>
        </w:rPr>
        <w:t xml:space="preserve">Ce Bureau </w:t>
      </w:r>
      <w:r w:rsidR="007A2AF3" w:rsidRPr="00DD03D6">
        <w:rPr>
          <w:noProof/>
          <w:lang w:val="fr-FR"/>
        </w:rPr>
        <w:t>inspect</w:t>
      </w:r>
      <w:r w:rsidR="00C31F32">
        <w:rPr>
          <w:noProof/>
          <w:lang w:val="fr-FR"/>
        </w:rPr>
        <w:t>e</w:t>
      </w:r>
      <w:r w:rsidR="007A2AF3" w:rsidRPr="00DD03D6">
        <w:rPr>
          <w:noProof/>
          <w:lang w:val="fr-FR"/>
        </w:rPr>
        <w:t xml:space="preserve"> </w:t>
      </w:r>
      <w:r w:rsidR="00C31F32">
        <w:rPr>
          <w:noProof/>
          <w:lang w:val="fr-FR"/>
        </w:rPr>
        <w:t>également les structures de placement en famille d’accueil et a élaboré des normes nationales de protection des enfants qui seront bientôt appliquées à l’inspection indépendante des services de protection de l’enfance</w:t>
      </w:r>
      <w:r w:rsidR="007A2AF3" w:rsidRPr="00DD03D6">
        <w:rPr>
          <w:noProof/>
          <w:lang w:val="fr-FR"/>
        </w:rPr>
        <w:t>.</w:t>
      </w:r>
    </w:p>
    <w:p w:rsidR="007A2AF3" w:rsidRPr="00DD03D6" w:rsidRDefault="00607DD4" w:rsidP="00075AC0">
      <w:pPr>
        <w:pStyle w:val="SingleTxtG"/>
        <w:numPr>
          <w:ilvl w:val="0"/>
          <w:numId w:val="3"/>
        </w:numPr>
        <w:ind w:left="1134" w:firstLine="0"/>
        <w:rPr>
          <w:noProof/>
          <w:lang w:val="fr-FR"/>
        </w:rPr>
      </w:pPr>
      <w:r>
        <w:rPr>
          <w:lang w:val="fr-CH"/>
        </w:rPr>
        <w:t>L’application de toutes les</w:t>
      </w:r>
      <w:r w:rsidR="005723B7">
        <w:rPr>
          <w:lang w:val="fr-CH"/>
        </w:rPr>
        <w:t xml:space="preserve"> dispositions restées en suspens de la loi de 2001 </w:t>
      </w:r>
      <w:r>
        <w:rPr>
          <w:lang w:val="fr-CH"/>
        </w:rPr>
        <w:t>sur les</w:t>
      </w:r>
      <w:r w:rsidR="005723B7">
        <w:rPr>
          <w:lang w:val="fr-CH"/>
        </w:rPr>
        <w:t xml:space="preserve"> enfants est devenue effective en </w:t>
      </w:r>
      <w:r>
        <w:rPr>
          <w:lang w:val="fr-CH"/>
        </w:rPr>
        <w:t>2007, à la suite des modification</w:t>
      </w:r>
      <w:r w:rsidR="005723B7">
        <w:rPr>
          <w:lang w:val="fr-CH"/>
        </w:rPr>
        <w:t>s apporté</w:t>
      </w:r>
      <w:r>
        <w:rPr>
          <w:lang w:val="fr-CH"/>
        </w:rPr>
        <w:t>e</w:t>
      </w:r>
      <w:r w:rsidR="005723B7">
        <w:rPr>
          <w:lang w:val="fr-CH"/>
        </w:rPr>
        <w:t xml:space="preserve">s à la loi de 2001 par la loi de 2006 sur la justice pénale et de l’adoption </w:t>
      </w:r>
      <w:r w:rsidR="003B679E">
        <w:rPr>
          <w:lang w:val="fr-CH"/>
        </w:rPr>
        <w:t>de la l</w:t>
      </w:r>
      <w:r w:rsidR="003B679E">
        <w:rPr>
          <w:noProof/>
          <w:lang w:val="fr-FR"/>
        </w:rPr>
        <w:t>oi de 2007 portant modification de la loi sur la protection de l’enfance</w:t>
      </w:r>
      <w:r w:rsidR="007A2AF3" w:rsidRPr="00DD03D6">
        <w:rPr>
          <w:noProof/>
          <w:lang w:val="fr-FR"/>
        </w:rPr>
        <w:t>.</w:t>
      </w:r>
    </w:p>
    <w:p w:rsidR="007A2AF3" w:rsidRPr="00DD03D6" w:rsidRDefault="003B679E" w:rsidP="003B679E">
      <w:pPr>
        <w:pStyle w:val="H4G"/>
        <w:ind w:firstLine="0"/>
        <w:rPr>
          <w:noProof/>
          <w:lang w:val="fr-FR"/>
        </w:rPr>
      </w:pPr>
      <w:r>
        <w:rPr>
          <w:noProof/>
          <w:lang w:val="fr-FR"/>
        </w:rPr>
        <w:t>Projet de loi de 2012 sur le trente et unième amendement</w:t>
      </w:r>
      <w:r w:rsidR="00E11156">
        <w:rPr>
          <w:noProof/>
          <w:lang w:val="fr-FR"/>
        </w:rPr>
        <w:t xml:space="preserve"> à la Constitution (relatif aux enfants) </w:t>
      </w:r>
    </w:p>
    <w:p w:rsidR="007A2AF3" w:rsidRPr="00DD03D6" w:rsidRDefault="00E11156" w:rsidP="00B60794">
      <w:pPr>
        <w:pStyle w:val="SingleTxtG"/>
        <w:numPr>
          <w:ilvl w:val="0"/>
          <w:numId w:val="3"/>
        </w:numPr>
        <w:ind w:left="1134" w:firstLine="0"/>
        <w:rPr>
          <w:noProof/>
          <w:lang w:val="fr-FR"/>
        </w:rPr>
      </w:pPr>
      <w:r>
        <w:rPr>
          <w:noProof/>
          <w:lang w:val="fr-FR"/>
        </w:rPr>
        <w:t>Un ré</w:t>
      </w:r>
      <w:r w:rsidR="007A2AF3" w:rsidRPr="00DD03D6">
        <w:rPr>
          <w:noProof/>
          <w:lang w:val="fr-FR"/>
        </w:rPr>
        <w:t>f</w:t>
      </w:r>
      <w:r>
        <w:rPr>
          <w:noProof/>
          <w:lang w:val="fr-FR"/>
        </w:rPr>
        <w:t>é</w:t>
      </w:r>
      <w:r w:rsidR="007A2AF3" w:rsidRPr="00DD03D6">
        <w:rPr>
          <w:noProof/>
          <w:lang w:val="fr-FR"/>
        </w:rPr>
        <w:t xml:space="preserve">rendum </w:t>
      </w:r>
      <w:r>
        <w:rPr>
          <w:noProof/>
          <w:lang w:val="fr-FR"/>
        </w:rPr>
        <w:t xml:space="preserve">destiné à incorporer explicitement les enfants en tant que sujets de droits dans la </w:t>
      </w:r>
      <w:r w:rsidR="007A2AF3" w:rsidRPr="00DD03D6">
        <w:rPr>
          <w:noProof/>
          <w:lang w:val="fr-FR"/>
        </w:rPr>
        <w:t xml:space="preserve">Constitution </w:t>
      </w:r>
      <w:r>
        <w:rPr>
          <w:noProof/>
          <w:lang w:val="fr-FR"/>
        </w:rPr>
        <w:t>irlandaise s’est tenu en n</w:t>
      </w:r>
      <w:r w:rsidR="007A2AF3" w:rsidRPr="00DD03D6">
        <w:rPr>
          <w:noProof/>
          <w:lang w:val="fr-FR"/>
        </w:rPr>
        <w:t>ovemb</w:t>
      </w:r>
      <w:r>
        <w:rPr>
          <w:noProof/>
          <w:lang w:val="fr-FR"/>
        </w:rPr>
        <w:t>re</w:t>
      </w:r>
      <w:r w:rsidR="007A2AF3" w:rsidRPr="00DD03D6">
        <w:rPr>
          <w:noProof/>
          <w:lang w:val="fr-FR"/>
        </w:rPr>
        <w:t xml:space="preserve"> 2012. </w:t>
      </w:r>
      <w:r>
        <w:rPr>
          <w:noProof/>
          <w:lang w:val="fr-FR"/>
        </w:rPr>
        <w:t xml:space="preserve">Le projet contenait une disposition explicite relative aux droits </w:t>
      </w:r>
      <w:r w:rsidR="005E5EAA">
        <w:rPr>
          <w:noProof/>
          <w:lang w:val="fr-FR"/>
        </w:rPr>
        <w:t xml:space="preserve">qui s’appliquerait </w:t>
      </w:r>
      <w:r>
        <w:rPr>
          <w:noProof/>
          <w:lang w:val="fr-FR"/>
        </w:rPr>
        <w:t>à tous les enfants</w:t>
      </w:r>
      <w:r w:rsidR="00CF6087">
        <w:rPr>
          <w:noProof/>
          <w:lang w:val="fr-FR"/>
        </w:rPr>
        <w:t xml:space="preserve">; </w:t>
      </w:r>
      <w:r w:rsidR="00D3657D">
        <w:rPr>
          <w:noProof/>
          <w:lang w:val="fr-FR"/>
        </w:rPr>
        <w:t xml:space="preserve">une </w:t>
      </w:r>
      <w:r w:rsidR="00CF6087">
        <w:rPr>
          <w:noProof/>
          <w:lang w:val="fr-FR"/>
        </w:rPr>
        <w:t xml:space="preserve">base </w:t>
      </w:r>
      <w:r w:rsidR="00CF6087">
        <w:rPr>
          <w:noProof/>
          <w:lang w:val="fr-FR"/>
        </w:rPr>
        <w:lastRenderedPageBreak/>
        <w:t xml:space="preserve">d’intervention tenant davantage compte des enfants lorsque les </w:t>
      </w:r>
      <w:r w:rsidR="007A2AF3" w:rsidRPr="00DD03D6">
        <w:rPr>
          <w:noProof/>
          <w:lang w:val="fr-FR"/>
        </w:rPr>
        <w:t xml:space="preserve">parents </w:t>
      </w:r>
      <w:r w:rsidR="00CF6087">
        <w:rPr>
          <w:noProof/>
          <w:lang w:val="fr-FR"/>
        </w:rPr>
        <w:t xml:space="preserve">manquent à leur obligation de </w:t>
      </w:r>
      <w:r w:rsidR="007A2AF3" w:rsidRPr="00DD03D6">
        <w:rPr>
          <w:noProof/>
          <w:lang w:val="fr-FR"/>
        </w:rPr>
        <w:t>prot</w:t>
      </w:r>
      <w:r w:rsidR="00CF6087">
        <w:rPr>
          <w:noProof/>
          <w:lang w:val="fr-FR"/>
        </w:rPr>
        <w:t>éger la sécurité et le bien-être de leurs enfants</w:t>
      </w:r>
      <w:r w:rsidR="007A2AF3" w:rsidRPr="00DD03D6">
        <w:rPr>
          <w:noProof/>
          <w:lang w:val="fr-FR"/>
        </w:rPr>
        <w:t xml:space="preserve">; </w:t>
      </w:r>
      <w:r w:rsidR="00CF6087">
        <w:rPr>
          <w:noProof/>
          <w:lang w:val="fr-FR"/>
        </w:rPr>
        <w:t>une prescription concernant les dispositions législatives à adopter en ce qui concerne l’adoption d’enfants</w:t>
      </w:r>
      <w:r w:rsidR="007A2AF3" w:rsidRPr="00DD03D6">
        <w:rPr>
          <w:noProof/>
          <w:lang w:val="fr-FR"/>
        </w:rPr>
        <w:t xml:space="preserve">; </w:t>
      </w:r>
      <w:r w:rsidR="00CF6087">
        <w:rPr>
          <w:noProof/>
          <w:lang w:val="fr-FR"/>
        </w:rPr>
        <w:t xml:space="preserve">et une prescription en vertu de laquelle la </w:t>
      </w:r>
      <w:r w:rsidR="007A2AF3" w:rsidRPr="00DD03D6">
        <w:rPr>
          <w:noProof/>
          <w:lang w:val="fr-FR"/>
        </w:rPr>
        <w:t>l</w:t>
      </w:r>
      <w:r w:rsidR="00CF6087">
        <w:rPr>
          <w:noProof/>
          <w:lang w:val="fr-FR"/>
        </w:rPr>
        <w:t>é</w:t>
      </w:r>
      <w:r w:rsidR="007A2AF3" w:rsidRPr="00DD03D6">
        <w:rPr>
          <w:noProof/>
          <w:lang w:val="fr-FR"/>
        </w:rPr>
        <w:t xml:space="preserve">gislation </w:t>
      </w:r>
      <w:r w:rsidR="00CF6087">
        <w:rPr>
          <w:noProof/>
          <w:lang w:val="fr-FR"/>
        </w:rPr>
        <w:t xml:space="preserve">doit prévoir qu’en </w:t>
      </w:r>
      <w:r w:rsidR="007B4041">
        <w:rPr>
          <w:noProof/>
          <w:lang w:val="fr-FR"/>
        </w:rPr>
        <w:t xml:space="preserve">ce qui concerne la </w:t>
      </w:r>
      <w:r w:rsidR="00CF6087">
        <w:rPr>
          <w:noProof/>
          <w:lang w:val="fr-FR"/>
        </w:rPr>
        <w:t xml:space="preserve">protection des enfants, </w:t>
      </w:r>
      <w:r w:rsidR="007B4041">
        <w:rPr>
          <w:noProof/>
          <w:lang w:val="fr-FR"/>
        </w:rPr>
        <w:t>l</w:t>
      </w:r>
      <w:r w:rsidR="00CF6087">
        <w:rPr>
          <w:noProof/>
          <w:lang w:val="fr-FR"/>
        </w:rPr>
        <w:t>’</w:t>
      </w:r>
      <w:r w:rsidR="007A2AF3" w:rsidRPr="00DD03D6">
        <w:rPr>
          <w:noProof/>
          <w:lang w:val="fr-FR"/>
        </w:rPr>
        <w:t xml:space="preserve">adoption </w:t>
      </w:r>
      <w:r w:rsidR="00CF6087">
        <w:rPr>
          <w:noProof/>
          <w:lang w:val="fr-FR"/>
        </w:rPr>
        <w:t xml:space="preserve">et </w:t>
      </w:r>
      <w:r w:rsidR="007A2AF3" w:rsidRPr="00DD03D6">
        <w:rPr>
          <w:noProof/>
          <w:lang w:val="fr-FR"/>
        </w:rPr>
        <w:t>certain</w:t>
      </w:r>
      <w:r w:rsidR="00CF6087">
        <w:rPr>
          <w:noProof/>
          <w:lang w:val="fr-FR"/>
        </w:rPr>
        <w:t>es</w:t>
      </w:r>
      <w:r w:rsidR="007B4041">
        <w:rPr>
          <w:noProof/>
          <w:lang w:val="fr-FR"/>
        </w:rPr>
        <w:t xml:space="preserve"> procédures relevant du droit de la famille,</w:t>
      </w:r>
      <w:r w:rsidR="00E92D3C">
        <w:rPr>
          <w:noProof/>
          <w:lang w:val="fr-FR"/>
        </w:rPr>
        <w:t xml:space="preserve"> </w:t>
      </w:r>
      <w:r w:rsidR="007B4041">
        <w:rPr>
          <w:noProof/>
          <w:lang w:val="fr-FR"/>
        </w:rPr>
        <w:t>l’intérêt supérieur de l’enfant doit prévaloir et ses opinions doivent être prises en considération en fonction de son âge et de son degré de maturité</w:t>
      </w:r>
      <w:r w:rsidR="007A2AF3" w:rsidRPr="00DD03D6">
        <w:rPr>
          <w:noProof/>
          <w:lang w:val="fr-FR"/>
        </w:rPr>
        <w:t xml:space="preserve">. </w:t>
      </w:r>
      <w:r w:rsidR="007B4041">
        <w:rPr>
          <w:noProof/>
          <w:lang w:val="fr-FR"/>
        </w:rPr>
        <w:t>Les modification</w:t>
      </w:r>
      <w:r w:rsidR="003024AE">
        <w:rPr>
          <w:noProof/>
          <w:lang w:val="fr-FR"/>
        </w:rPr>
        <w:t>s</w:t>
      </w:r>
      <w:r w:rsidR="007B4041">
        <w:rPr>
          <w:noProof/>
          <w:lang w:val="fr-FR"/>
        </w:rPr>
        <w:t xml:space="preserve"> de la </w:t>
      </w:r>
      <w:r w:rsidR="007A2AF3" w:rsidRPr="00DD03D6">
        <w:rPr>
          <w:noProof/>
          <w:lang w:val="fr-FR"/>
        </w:rPr>
        <w:t xml:space="preserve">Constitution </w:t>
      </w:r>
      <w:r w:rsidR="00DC4724">
        <w:rPr>
          <w:noProof/>
          <w:lang w:val="fr-FR"/>
        </w:rPr>
        <w:t>qui seront mises en application lorsque le projet aura été adopté</w:t>
      </w:r>
      <w:r w:rsidR="005E5EAA">
        <w:rPr>
          <w:noProof/>
          <w:lang w:val="fr-FR"/>
        </w:rPr>
        <w:t xml:space="preserve"> </w:t>
      </w:r>
      <w:r w:rsidR="003024AE">
        <w:rPr>
          <w:noProof/>
          <w:lang w:val="fr-FR"/>
        </w:rPr>
        <w:t xml:space="preserve">sont présentées aux </w:t>
      </w:r>
      <w:r w:rsidR="00B60794" w:rsidRPr="00DD03D6">
        <w:rPr>
          <w:noProof/>
          <w:lang w:val="fr-FR"/>
        </w:rPr>
        <w:t>p</w:t>
      </w:r>
      <w:r w:rsidR="00796A7C" w:rsidRPr="00DD03D6">
        <w:rPr>
          <w:noProof/>
          <w:lang w:val="fr-FR"/>
        </w:rPr>
        <w:t>aragraph</w:t>
      </w:r>
      <w:r w:rsidR="003024AE">
        <w:rPr>
          <w:noProof/>
          <w:lang w:val="fr-FR"/>
        </w:rPr>
        <w:t>e</w:t>
      </w:r>
      <w:r w:rsidR="00796A7C" w:rsidRPr="00DD03D6">
        <w:rPr>
          <w:noProof/>
          <w:lang w:val="fr-FR"/>
        </w:rPr>
        <w:t>s </w:t>
      </w:r>
      <w:r w:rsidR="007A2AF3" w:rsidRPr="00DD03D6">
        <w:rPr>
          <w:noProof/>
          <w:lang w:val="fr-FR"/>
        </w:rPr>
        <w:t>192</w:t>
      </w:r>
      <w:r w:rsidR="003024AE">
        <w:rPr>
          <w:noProof/>
          <w:lang w:val="fr-FR"/>
        </w:rPr>
        <w:t xml:space="preserve"> et</w:t>
      </w:r>
      <w:r w:rsidR="00C21145">
        <w:rPr>
          <w:noProof/>
          <w:lang w:val="fr-FR"/>
        </w:rPr>
        <w:t xml:space="preserve"> </w:t>
      </w:r>
      <w:r w:rsidR="007A2AF3" w:rsidRPr="00DD03D6">
        <w:rPr>
          <w:noProof/>
          <w:lang w:val="fr-FR"/>
        </w:rPr>
        <w:t xml:space="preserve">193 </w:t>
      </w:r>
      <w:r w:rsidR="003024AE">
        <w:rPr>
          <w:noProof/>
          <w:lang w:val="fr-FR"/>
        </w:rPr>
        <w:t>du présent rapport</w:t>
      </w:r>
      <w:r w:rsidR="007A2AF3" w:rsidRPr="00DD03D6">
        <w:rPr>
          <w:noProof/>
          <w:lang w:val="fr-FR"/>
        </w:rPr>
        <w:t>.</w:t>
      </w:r>
    </w:p>
    <w:p w:rsidR="007A2AF3" w:rsidRPr="00DD03D6" w:rsidRDefault="005E5EAA" w:rsidP="005E5EAA">
      <w:pPr>
        <w:pStyle w:val="H23G"/>
        <w:ind w:firstLine="0"/>
        <w:rPr>
          <w:noProof/>
          <w:lang w:val="fr-FR"/>
        </w:rPr>
      </w:pPr>
      <w:r>
        <w:rPr>
          <w:noProof/>
          <w:lang w:val="fr-FR"/>
        </w:rPr>
        <w:t xml:space="preserve">Le </w:t>
      </w:r>
      <w:r w:rsidR="00520CB9" w:rsidRPr="00DD03D6">
        <w:rPr>
          <w:noProof/>
          <w:lang w:val="fr-FR"/>
        </w:rPr>
        <w:t xml:space="preserve">Plan </w:t>
      </w:r>
      <w:r>
        <w:rPr>
          <w:noProof/>
          <w:lang w:val="fr-FR"/>
        </w:rPr>
        <w:t>d’a</w:t>
      </w:r>
      <w:r w:rsidR="00520CB9" w:rsidRPr="00DD03D6">
        <w:rPr>
          <w:noProof/>
          <w:lang w:val="fr-FR"/>
        </w:rPr>
        <w:t xml:space="preserve">ction </w:t>
      </w:r>
      <w:r>
        <w:rPr>
          <w:noProof/>
          <w:lang w:val="fr-FR"/>
        </w:rPr>
        <w:t xml:space="preserve">national </w:t>
      </w:r>
      <w:r w:rsidR="00520CB9" w:rsidRPr="00DD03D6">
        <w:rPr>
          <w:noProof/>
          <w:lang w:val="fr-FR"/>
        </w:rPr>
        <w:t>(</w:t>
      </w:r>
      <w:r>
        <w:rPr>
          <w:noProof/>
          <w:lang w:val="fr-FR"/>
        </w:rPr>
        <w:t xml:space="preserve">voir le </w:t>
      </w:r>
      <w:r w:rsidR="00035893" w:rsidRPr="00DD03D6">
        <w:rPr>
          <w:noProof/>
          <w:lang w:val="fr-FR"/>
        </w:rPr>
        <w:t>c</w:t>
      </w:r>
      <w:r w:rsidR="00520CB9" w:rsidRPr="00DD03D6">
        <w:rPr>
          <w:noProof/>
          <w:lang w:val="fr-FR"/>
        </w:rPr>
        <w:t>hap</w:t>
      </w:r>
      <w:r>
        <w:rPr>
          <w:noProof/>
          <w:lang w:val="fr-FR"/>
        </w:rPr>
        <w:t>itre</w:t>
      </w:r>
      <w:r w:rsidR="00520CB9" w:rsidRPr="00DD03D6">
        <w:rPr>
          <w:noProof/>
          <w:lang w:val="fr-FR"/>
        </w:rPr>
        <w:t> </w:t>
      </w:r>
      <w:r w:rsidR="007A2AF3" w:rsidRPr="00DD03D6">
        <w:rPr>
          <w:noProof/>
          <w:lang w:val="fr-FR"/>
        </w:rPr>
        <w:t>1)</w:t>
      </w:r>
    </w:p>
    <w:p w:rsidR="007A2AF3" w:rsidRPr="005E5EAA" w:rsidRDefault="005E5EAA" w:rsidP="00075AC0">
      <w:pPr>
        <w:pStyle w:val="SingleTxtG"/>
        <w:numPr>
          <w:ilvl w:val="0"/>
          <w:numId w:val="3"/>
        </w:numPr>
        <w:ind w:left="1134" w:firstLine="0"/>
        <w:rPr>
          <w:b/>
          <w:noProof/>
          <w:lang w:val="fr-FR"/>
        </w:rPr>
      </w:pPr>
      <w:r w:rsidRPr="005E5EAA">
        <w:rPr>
          <w:b/>
          <w:bCs/>
          <w:lang w:val="fr-FR"/>
        </w:rPr>
        <w:t>Le Comité recommande à l’État partie</w:t>
      </w:r>
      <w:r w:rsidR="00D97618">
        <w:rPr>
          <w:b/>
          <w:bCs/>
          <w:lang w:val="fr-FR"/>
        </w:rPr>
        <w:t> </w:t>
      </w:r>
      <w:r w:rsidR="007A2AF3" w:rsidRPr="005E5EAA">
        <w:rPr>
          <w:b/>
          <w:noProof/>
          <w:lang w:val="fr-FR"/>
        </w:rPr>
        <w:t>:</w:t>
      </w:r>
    </w:p>
    <w:p w:rsidR="007A2AF3" w:rsidRPr="00681AFE" w:rsidRDefault="007A2AF3" w:rsidP="00E90D55">
      <w:pPr>
        <w:pStyle w:val="SingleTxtG"/>
        <w:ind w:firstLine="567"/>
        <w:rPr>
          <w:b/>
          <w:noProof/>
          <w:lang w:val="fr-FR"/>
        </w:rPr>
      </w:pPr>
      <w:r w:rsidRPr="005E5EAA">
        <w:rPr>
          <w:b/>
          <w:noProof/>
          <w:lang w:val="fr-FR"/>
        </w:rPr>
        <w:t>a)</w:t>
      </w:r>
      <w:r w:rsidRPr="005E5EAA">
        <w:rPr>
          <w:b/>
          <w:noProof/>
          <w:lang w:val="fr-FR"/>
        </w:rPr>
        <w:tab/>
      </w:r>
      <w:r w:rsidR="005E5EAA" w:rsidRPr="00681AFE">
        <w:rPr>
          <w:b/>
          <w:noProof/>
          <w:lang w:val="fr-FR"/>
        </w:rPr>
        <w:t>De m</w:t>
      </w:r>
      <w:r w:rsidR="005E5EAA" w:rsidRPr="00681AFE">
        <w:rPr>
          <w:b/>
          <w:bCs/>
          <w:noProof/>
          <w:lang w:val="fr-FR"/>
        </w:rPr>
        <w:t>esurer et d’évaluer les résultats produits par la stratégie nationale en</w:t>
      </w:r>
      <w:r w:rsidR="00D97618">
        <w:rPr>
          <w:b/>
          <w:bCs/>
          <w:noProof/>
          <w:lang w:val="fr-FR"/>
        </w:rPr>
        <w:t xml:space="preserve"> </w:t>
      </w:r>
      <w:r w:rsidR="005E5EAA" w:rsidRPr="00681AFE">
        <w:rPr>
          <w:b/>
          <w:bCs/>
          <w:noProof/>
          <w:lang w:val="fr-FR"/>
        </w:rPr>
        <w:t>faveur des enfants, afin que les droits soient pris en compte dans toutes les activités</w:t>
      </w:r>
      <w:r w:rsidRPr="00681AFE">
        <w:rPr>
          <w:b/>
          <w:noProof/>
          <w:lang w:val="fr-FR"/>
        </w:rPr>
        <w:t>;</w:t>
      </w:r>
    </w:p>
    <w:p w:rsidR="007A2AF3" w:rsidRPr="00681AFE" w:rsidRDefault="007A2AF3" w:rsidP="00E90D55">
      <w:pPr>
        <w:pStyle w:val="SingleTxtG"/>
        <w:ind w:firstLine="567"/>
        <w:rPr>
          <w:b/>
          <w:noProof/>
          <w:lang w:val="fr-FR"/>
        </w:rPr>
      </w:pPr>
      <w:r w:rsidRPr="00681AFE">
        <w:rPr>
          <w:b/>
          <w:noProof/>
          <w:lang w:val="fr-FR"/>
        </w:rPr>
        <w:t>b)</w:t>
      </w:r>
      <w:r w:rsidRPr="00681AFE">
        <w:rPr>
          <w:b/>
          <w:noProof/>
          <w:lang w:val="fr-FR"/>
        </w:rPr>
        <w:tab/>
      </w:r>
      <w:r w:rsidR="005E5EAA" w:rsidRPr="00681AFE">
        <w:rPr>
          <w:b/>
          <w:noProof/>
          <w:lang w:val="fr-FR"/>
        </w:rPr>
        <w:t>D’é</w:t>
      </w:r>
      <w:r w:rsidR="005E5EAA" w:rsidRPr="00681AFE">
        <w:rPr>
          <w:b/>
          <w:bCs/>
          <w:noProof/>
          <w:lang w:val="fr-FR"/>
        </w:rPr>
        <w:t>tablir un échéancier précis pour la réalisation des objectifs et des activités prévus dans la stratégie; et</w:t>
      </w:r>
      <w:r w:rsidR="005E5EAA" w:rsidRPr="00681AFE">
        <w:rPr>
          <w:b/>
          <w:noProof/>
          <w:lang w:val="fr-FR"/>
        </w:rPr>
        <w:t xml:space="preserve"> </w:t>
      </w:r>
    </w:p>
    <w:p w:rsidR="007A2AF3" w:rsidRPr="00681AFE" w:rsidRDefault="007A2AF3" w:rsidP="00E90D55">
      <w:pPr>
        <w:pStyle w:val="SingleTxtG"/>
        <w:ind w:firstLine="567"/>
        <w:rPr>
          <w:b/>
          <w:noProof/>
          <w:lang w:val="fr-FR"/>
        </w:rPr>
      </w:pPr>
      <w:r w:rsidRPr="00681AFE">
        <w:rPr>
          <w:b/>
          <w:noProof/>
          <w:lang w:val="fr-FR"/>
        </w:rPr>
        <w:t>c)</w:t>
      </w:r>
      <w:r w:rsidRPr="00681AFE">
        <w:rPr>
          <w:b/>
          <w:noProof/>
          <w:lang w:val="fr-FR"/>
        </w:rPr>
        <w:tab/>
      </w:r>
      <w:r w:rsidR="005E5EAA" w:rsidRPr="00681AFE">
        <w:rPr>
          <w:b/>
          <w:noProof/>
          <w:lang w:val="fr-FR"/>
        </w:rPr>
        <w:t>D’a</w:t>
      </w:r>
      <w:r w:rsidR="005E5EAA" w:rsidRPr="00681AFE">
        <w:rPr>
          <w:b/>
          <w:bCs/>
          <w:noProof/>
          <w:lang w:val="fr-FR"/>
        </w:rPr>
        <w:t>llouer</w:t>
      </w:r>
      <w:r w:rsidR="005E5EAA" w:rsidRPr="00681AFE">
        <w:rPr>
          <w:b/>
          <w:bCs/>
          <w:lang w:val="fr-FR"/>
        </w:rPr>
        <w:t xml:space="preserve"> des crédits budgétaires spécifiques à la mise en œuvre de la stratégie</w:t>
      </w:r>
      <w:r w:rsidRPr="00681AFE">
        <w:rPr>
          <w:b/>
          <w:noProof/>
          <w:lang w:val="fr-FR"/>
        </w:rPr>
        <w:t>.</w:t>
      </w:r>
    </w:p>
    <w:p w:rsidR="007A2AF3" w:rsidRPr="00DD03D6" w:rsidRDefault="005E5EAA" w:rsidP="00075AC0">
      <w:pPr>
        <w:pStyle w:val="SingleTxtG"/>
        <w:numPr>
          <w:ilvl w:val="0"/>
          <w:numId w:val="3"/>
        </w:numPr>
        <w:ind w:left="1134" w:firstLine="0"/>
        <w:rPr>
          <w:b/>
          <w:noProof/>
          <w:lang w:val="fr-FR"/>
        </w:rPr>
      </w:pPr>
      <w:r w:rsidRPr="00681AFE">
        <w:rPr>
          <w:b/>
          <w:bCs/>
          <w:lang w:val="fr-FR"/>
        </w:rPr>
        <w:t xml:space="preserve">Le Comité recommande à l’État partie de faire le nécessaire pour que le plan d’action couvre tous les domaines visés par la Convention et tienne </w:t>
      </w:r>
      <w:r w:rsidRPr="00681AFE">
        <w:rPr>
          <w:rFonts w:eastAsia="MS Mincho"/>
          <w:b/>
          <w:bCs/>
          <w:lang w:val="fr-FR"/>
        </w:rPr>
        <w:t>compte du document intitulé «</w:t>
      </w:r>
      <w:r w:rsidR="003F1ADB">
        <w:rPr>
          <w:rFonts w:eastAsia="MS Mincho"/>
          <w:b/>
          <w:bCs/>
          <w:lang w:val="fr-FR"/>
        </w:rPr>
        <w:t> </w:t>
      </w:r>
      <w:r w:rsidRPr="00681AFE">
        <w:rPr>
          <w:rFonts w:eastAsia="MS Mincho"/>
          <w:b/>
          <w:bCs/>
          <w:lang w:val="fr-FR"/>
        </w:rPr>
        <w:t>Un monde digne des enfants</w:t>
      </w:r>
      <w:r w:rsidR="003F1ADB">
        <w:rPr>
          <w:rFonts w:eastAsia="MS Mincho"/>
          <w:b/>
          <w:bCs/>
          <w:lang w:val="fr-FR"/>
        </w:rPr>
        <w:t> </w:t>
      </w:r>
      <w:r w:rsidRPr="00681AFE">
        <w:rPr>
          <w:rFonts w:eastAsia="MS Mincho"/>
          <w:b/>
          <w:bCs/>
          <w:lang w:val="fr-FR"/>
        </w:rPr>
        <w:t>», adopté par l’Assemblée générale des Nations Unies à sa session extraordinaire de mai 2002 consacrée aux enfants. Il recommande également à l’État partie d’adopter une approche intégrée et fondée sur la participation pour la mise en œuvre et le suivi du plan d’action</w:t>
      </w:r>
      <w:r w:rsidRPr="00681AFE">
        <w:rPr>
          <w:b/>
          <w:bCs/>
          <w:lang w:val="fr-FR"/>
        </w:rPr>
        <w:t xml:space="preserve"> national, et l’invite à fournir dans son prochain rapport des informations sur l’avancement et les résultats de ces activités</w:t>
      </w:r>
      <w:r w:rsidR="007A2AF3" w:rsidRPr="00681AFE">
        <w:rPr>
          <w:b/>
          <w:noProof/>
          <w:lang w:val="fr-FR"/>
        </w:rPr>
        <w:t>.</w:t>
      </w:r>
    </w:p>
    <w:p w:rsidR="007A2AF3" w:rsidRPr="00DD03D6" w:rsidRDefault="00681AFE" w:rsidP="0004550B">
      <w:pPr>
        <w:pStyle w:val="SingleTxtG"/>
        <w:numPr>
          <w:ilvl w:val="0"/>
          <w:numId w:val="3"/>
        </w:numPr>
        <w:ind w:left="1134" w:firstLine="0"/>
        <w:rPr>
          <w:noProof/>
          <w:lang w:val="fr-FR"/>
        </w:rPr>
      </w:pPr>
      <w:r>
        <w:rPr>
          <w:noProof/>
          <w:lang w:val="fr-FR"/>
        </w:rPr>
        <w:t xml:space="preserve">La Stratégie nationale en faveur des enfants est ancrée dans la </w:t>
      </w:r>
      <w:r w:rsidR="0004550B" w:rsidRPr="00DD03D6">
        <w:rPr>
          <w:noProof/>
          <w:lang w:val="fr-FR"/>
        </w:rPr>
        <w:t xml:space="preserve">Convention </w:t>
      </w:r>
      <w:r>
        <w:rPr>
          <w:noProof/>
          <w:lang w:val="fr-FR"/>
        </w:rPr>
        <w:t>relative aux droits de l’enfant et entend aider à réaliser les droits des enfants dans de nombreux domaines</w:t>
      </w:r>
      <w:r w:rsidR="007A2AF3" w:rsidRPr="00DD03D6">
        <w:rPr>
          <w:noProof/>
          <w:lang w:val="fr-FR"/>
        </w:rPr>
        <w:t xml:space="preserve">. </w:t>
      </w:r>
      <w:r>
        <w:rPr>
          <w:noProof/>
          <w:lang w:val="fr-FR"/>
        </w:rPr>
        <w:t xml:space="preserve">Le nouveau Cadre politique national relatif à l’enfance et à la jeunesse qu’a entrepris d’élaborer le </w:t>
      </w:r>
      <w:r w:rsidR="00675D6D">
        <w:rPr>
          <w:noProof/>
          <w:lang w:val="fr-FR"/>
        </w:rPr>
        <w:t>Ministère de l’enfance et de la jeunesse prolongera et développera cette Stratégie, en poursuivra la mise en œuvre dans les domaines concernés et définira les priorités du Gouvernement pour les cinq années à venir</w:t>
      </w:r>
      <w:r w:rsidR="007A2AF3" w:rsidRPr="00DD03D6">
        <w:rPr>
          <w:noProof/>
          <w:lang w:val="fr-FR"/>
        </w:rPr>
        <w:t>.</w:t>
      </w:r>
    </w:p>
    <w:p w:rsidR="007A2AF3" w:rsidRPr="00DD03D6" w:rsidRDefault="00675D6D" w:rsidP="00075AC0">
      <w:pPr>
        <w:pStyle w:val="SingleTxtG"/>
        <w:numPr>
          <w:ilvl w:val="0"/>
          <w:numId w:val="3"/>
        </w:numPr>
        <w:ind w:left="1134" w:firstLine="0"/>
        <w:rPr>
          <w:noProof/>
          <w:lang w:val="fr-FR"/>
        </w:rPr>
      </w:pPr>
      <w:r>
        <w:rPr>
          <w:noProof/>
          <w:lang w:val="fr-FR"/>
        </w:rPr>
        <w:t>Un examen à mi-parcours de la Stratégie nationale en faveur des enfants</w:t>
      </w:r>
      <w:r w:rsidR="007A2AF3" w:rsidRPr="00DD03D6">
        <w:rPr>
          <w:noProof/>
          <w:lang w:val="fr-FR"/>
        </w:rPr>
        <w:t xml:space="preserve">, </w:t>
      </w:r>
      <w:r>
        <w:rPr>
          <w:noProof/>
          <w:lang w:val="fr-FR"/>
        </w:rPr>
        <w:t xml:space="preserve">effectué par </w:t>
      </w:r>
      <w:r w:rsidR="007A2AF3" w:rsidRPr="00DD03D6">
        <w:rPr>
          <w:noProof/>
          <w:lang w:val="fr-FR"/>
        </w:rPr>
        <w:t xml:space="preserve">Peyton </w:t>
      </w:r>
      <w:r>
        <w:rPr>
          <w:noProof/>
          <w:lang w:val="fr-FR"/>
        </w:rPr>
        <w:t>et</w:t>
      </w:r>
      <w:r w:rsidR="007A2AF3" w:rsidRPr="00DD03D6">
        <w:rPr>
          <w:noProof/>
          <w:lang w:val="fr-FR"/>
        </w:rPr>
        <w:t xml:space="preserve"> Wilson </w:t>
      </w:r>
      <w:r>
        <w:rPr>
          <w:noProof/>
          <w:lang w:val="fr-FR"/>
        </w:rPr>
        <w:t>e</w:t>
      </w:r>
      <w:r w:rsidR="007A2AF3" w:rsidRPr="00DD03D6">
        <w:rPr>
          <w:noProof/>
          <w:lang w:val="fr-FR"/>
        </w:rPr>
        <w:t xml:space="preserve">n 2006, </w:t>
      </w:r>
      <w:r>
        <w:rPr>
          <w:noProof/>
          <w:lang w:val="fr-FR"/>
        </w:rPr>
        <w:t xml:space="preserve">a attiré l’attention sur la nécessité, entre autres, de renforcer la </w:t>
      </w:r>
      <w:r w:rsidR="007A2AF3" w:rsidRPr="00DD03D6">
        <w:rPr>
          <w:noProof/>
          <w:lang w:val="fr-FR"/>
        </w:rPr>
        <w:t xml:space="preserve">coordination </w:t>
      </w:r>
      <w:r>
        <w:rPr>
          <w:noProof/>
          <w:lang w:val="fr-FR"/>
        </w:rPr>
        <w:t>des mesures adoptées en faveur des enfants</w:t>
      </w:r>
      <w:r w:rsidR="007A2AF3" w:rsidRPr="00DD03D6">
        <w:rPr>
          <w:noProof/>
          <w:lang w:val="fr-FR"/>
        </w:rPr>
        <w:t xml:space="preserve">. </w:t>
      </w:r>
      <w:r>
        <w:rPr>
          <w:noProof/>
          <w:lang w:val="fr-FR"/>
        </w:rPr>
        <w:t xml:space="preserve">Le </w:t>
      </w:r>
      <w:r w:rsidR="007A2AF3" w:rsidRPr="00DD03D6">
        <w:rPr>
          <w:noProof/>
          <w:lang w:val="fr-FR"/>
        </w:rPr>
        <w:t>d</w:t>
      </w:r>
      <w:r>
        <w:rPr>
          <w:noProof/>
          <w:lang w:val="fr-FR"/>
        </w:rPr>
        <w:t>é</w:t>
      </w:r>
      <w:r w:rsidR="007A2AF3" w:rsidRPr="00DD03D6">
        <w:rPr>
          <w:noProof/>
          <w:lang w:val="fr-FR"/>
        </w:rPr>
        <w:t>velop</w:t>
      </w:r>
      <w:r>
        <w:rPr>
          <w:noProof/>
          <w:lang w:val="fr-FR"/>
        </w:rPr>
        <w:t>pe</w:t>
      </w:r>
      <w:r w:rsidR="007A2AF3" w:rsidRPr="00DD03D6">
        <w:rPr>
          <w:noProof/>
          <w:lang w:val="fr-FR"/>
        </w:rPr>
        <w:t xml:space="preserve">ment </w:t>
      </w:r>
      <w:r>
        <w:rPr>
          <w:noProof/>
          <w:lang w:val="fr-FR"/>
        </w:rPr>
        <w:t xml:space="preserve">de cette </w:t>
      </w:r>
      <w:r w:rsidR="007A2AF3" w:rsidRPr="00DD03D6">
        <w:rPr>
          <w:noProof/>
          <w:lang w:val="fr-FR"/>
        </w:rPr>
        <w:t xml:space="preserve">coordination </w:t>
      </w:r>
      <w:r w:rsidR="001E0F8C">
        <w:rPr>
          <w:noProof/>
          <w:lang w:val="fr-FR"/>
        </w:rPr>
        <w:t xml:space="preserve">et le renforcement de la centralisation de l’orientation et du contrôle ont été favorisés par la création, en </w:t>
      </w:r>
      <w:r w:rsidR="007A2AF3" w:rsidRPr="00DD03D6">
        <w:rPr>
          <w:noProof/>
          <w:lang w:val="fr-FR"/>
        </w:rPr>
        <w:t xml:space="preserve">2011, </w:t>
      </w:r>
      <w:r w:rsidR="001E0F8C">
        <w:rPr>
          <w:noProof/>
          <w:lang w:val="fr-FR"/>
        </w:rPr>
        <w:t>du Ministère de l’enfance et de la jeunesse</w:t>
      </w:r>
      <w:r w:rsidR="007A2AF3" w:rsidRPr="00DD03D6">
        <w:rPr>
          <w:noProof/>
          <w:lang w:val="fr-FR"/>
        </w:rPr>
        <w:t xml:space="preserve">, </w:t>
      </w:r>
      <w:r w:rsidR="001E0F8C">
        <w:rPr>
          <w:noProof/>
          <w:lang w:val="fr-FR"/>
        </w:rPr>
        <w:t>doté des pleins pouvoirs ministériels</w:t>
      </w:r>
      <w:r w:rsidR="007A2AF3" w:rsidRPr="00DD03D6">
        <w:rPr>
          <w:noProof/>
          <w:lang w:val="fr-FR"/>
        </w:rPr>
        <w:t>.</w:t>
      </w:r>
    </w:p>
    <w:p w:rsidR="007A2AF3" w:rsidRPr="00DD03D6" w:rsidRDefault="001E0F8C" w:rsidP="00C074CD">
      <w:pPr>
        <w:pStyle w:val="SingleTxtG"/>
        <w:numPr>
          <w:ilvl w:val="0"/>
          <w:numId w:val="3"/>
        </w:numPr>
        <w:ind w:left="1134" w:firstLine="0"/>
        <w:rPr>
          <w:noProof/>
          <w:lang w:val="fr-FR"/>
        </w:rPr>
      </w:pPr>
      <w:r>
        <w:rPr>
          <w:noProof/>
          <w:lang w:val="fr-FR"/>
        </w:rPr>
        <w:t>On n’a pas construit de budget unique pour la mise en œuvre de la Stratégie nationale en faveur des enfants</w:t>
      </w:r>
      <w:r w:rsidRPr="00DD03D6">
        <w:rPr>
          <w:noProof/>
          <w:lang w:val="fr-FR"/>
        </w:rPr>
        <w:t xml:space="preserve"> </w:t>
      </w:r>
      <w:r>
        <w:rPr>
          <w:noProof/>
          <w:lang w:val="fr-FR"/>
        </w:rPr>
        <w:t xml:space="preserve">en raison du caractère interministériel et intersectoriel de </w:t>
      </w:r>
      <w:r w:rsidR="00C54FDF">
        <w:rPr>
          <w:noProof/>
          <w:lang w:val="fr-FR"/>
        </w:rPr>
        <w:t>celle-ci et du fait qu’elle adopte une perspective tenant compte de tous les aspects de l’enfance</w:t>
      </w:r>
      <w:r w:rsidR="007A2AF3" w:rsidRPr="00DD03D6">
        <w:rPr>
          <w:noProof/>
          <w:lang w:val="fr-FR"/>
        </w:rPr>
        <w:t xml:space="preserve">. </w:t>
      </w:r>
      <w:r w:rsidR="00324970">
        <w:rPr>
          <w:noProof/>
          <w:lang w:val="fr-FR"/>
        </w:rPr>
        <w:t>Le caractère multidimensionnel des me</w:t>
      </w:r>
      <w:r w:rsidR="007A2AF3" w:rsidRPr="00DD03D6">
        <w:rPr>
          <w:noProof/>
          <w:lang w:val="fr-FR"/>
        </w:rPr>
        <w:t xml:space="preserve">sures </w:t>
      </w:r>
      <w:r w:rsidR="00324970">
        <w:rPr>
          <w:noProof/>
          <w:lang w:val="fr-FR"/>
        </w:rPr>
        <w:t xml:space="preserve">qu’elle énonce reflète les multiples facettes de la vie des enfants et des familles </w:t>
      </w:r>
      <w:r w:rsidR="007A2AF3" w:rsidRPr="00DD03D6">
        <w:rPr>
          <w:noProof/>
          <w:lang w:val="fr-FR"/>
        </w:rPr>
        <w:t>(</w:t>
      </w:r>
      <w:r w:rsidR="00324970">
        <w:rPr>
          <w:noProof/>
          <w:lang w:val="fr-FR"/>
        </w:rPr>
        <w:t>voir</w:t>
      </w:r>
      <w:r w:rsidR="007A2AF3" w:rsidRPr="00DD03D6">
        <w:rPr>
          <w:noProof/>
          <w:lang w:val="fr-FR"/>
        </w:rPr>
        <w:t xml:space="preserve"> </w:t>
      </w:r>
      <w:r w:rsidR="00324970">
        <w:rPr>
          <w:noProof/>
          <w:lang w:val="fr-FR"/>
        </w:rPr>
        <w:t xml:space="preserve">les </w:t>
      </w:r>
      <w:r w:rsidR="0004550B" w:rsidRPr="00DD03D6">
        <w:rPr>
          <w:noProof/>
          <w:lang w:val="fr-FR"/>
        </w:rPr>
        <w:t>p</w:t>
      </w:r>
      <w:r w:rsidR="00796A7C" w:rsidRPr="00DD03D6">
        <w:rPr>
          <w:noProof/>
          <w:lang w:val="fr-FR"/>
        </w:rPr>
        <w:t>ar</w:t>
      </w:r>
      <w:r w:rsidR="0022664C">
        <w:rPr>
          <w:noProof/>
          <w:lang w:val="fr-FR"/>
        </w:rPr>
        <w:t>agraphes</w:t>
      </w:r>
      <w:r w:rsidR="00796A7C" w:rsidRPr="00DD03D6">
        <w:rPr>
          <w:noProof/>
          <w:lang w:val="fr-FR"/>
        </w:rPr>
        <w:t> </w:t>
      </w:r>
      <w:r w:rsidR="00C074CD" w:rsidRPr="00DD03D6">
        <w:rPr>
          <w:noProof/>
          <w:lang w:val="fr-FR"/>
        </w:rPr>
        <w:t>214</w:t>
      </w:r>
      <w:r w:rsidR="00324970">
        <w:rPr>
          <w:noProof/>
          <w:lang w:val="fr-FR"/>
        </w:rPr>
        <w:t xml:space="preserve"> et </w:t>
      </w:r>
      <w:r w:rsidR="00C074CD" w:rsidRPr="00DD03D6">
        <w:rPr>
          <w:noProof/>
          <w:lang w:val="fr-FR"/>
        </w:rPr>
        <w:t>215</w:t>
      </w:r>
      <w:r w:rsidR="007A2AF3" w:rsidRPr="00DD03D6">
        <w:rPr>
          <w:noProof/>
          <w:lang w:val="fr-FR"/>
        </w:rPr>
        <w:t>).</w:t>
      </w:r>
    </w:p>
    <w:p w:rsidR="00075AC0" w:rsidRPr="00DD03D6" w:rsidRDefault="00324970" w:rsidP="00324970">
      <w:pPr>
        <w:pStyle w:val="H23G"/>
        <w:ind w:firstLine="0"/>
        <w:rPr>
          <w:noProof/>
          <w:lang w:val="fr-FR"/>
        </w:rPr>
      </w:pPr>
      <w:r>
        <w:rPr>
          <w:noProof/>
          <w:lang w:val="fr-FR"/>
        </w:rPr>
        <w:t xml:space="preserve">Bureau du Médiateur des enfants </w:t>
      </w:r>
      <w:r w:rsidR="00075AC0" w:rsidRPr="00DD03D6">
        <w:rPr>
          <w:noProof/>
          <w:lang w:val="fr-FR"/>
        </w:rPr>
        <w:t>(</w:t>
      </w:r>
      <w:r>
        <w:rPr>
          <w:noProof/>
          <w:lang w:val="fr-FR"/>
        </w:rPr>
        <w:t xml:space="preserve">voir le </w:t>
      </w:r>
      <w:r w:rsidR="002A1CB1" w:rsidRPr="00DD03D6">
        <w:rPr>
          <w:noProof/>
          <w:lang w:val="fr-FR"/>
        </w:rPr>
        <w:t>c</w:t>
      </w:r>
      <w:r w:rsidR="00520CB9" w:rsidRPr="00DD03D6">
        <w:rPr>
          <w:noProof/>
          <w:lang w:val="fr-FR"/>
        </w:rPr>
        <w:t>hap</w:t>
      </w:r>
      <w:r>
        <w:rPr>
          <w:noProof/>
          <w:lang w:val="fr-FR"/>
        </w:rPr>
        <w:t xml:space="preserve">itre </w:t>
      </w:r>
      <w:r w:rsidR="00075AC0" w:rsidRPr="00DD03D6">
        <w:rPr>
          <w:noProof/>
          <w:lang w:val="fr-FR"/>
        </w:rPr>
        <w:t>1)</w:t>
      </w:r>
    </w:p>
    <w:p w:rsidR="00075AC0" w:rsidRPr="00B95578" w:rsidRDefault="00324970" w:rsidP="00075AC0">
      <w:pPr>
        <w:pStyle w:val="SingleTxtG"/>
        <w:numPr>
          <w:ilvl w:val="0"/>
          <w:numId w:val="3"/>
        </w:numPr>
        <w:ind w:left="1134" w:firstLine="0"/>
        <w:rPr>
          <w:noProof/>
          <w:lang w:val="fr-FR"/>
        </w:rPr>
      </w:pPr>
      <w:r w:rsidRPr="00B95578">
        <w:rPr>
          <w:b/>
          <w:bCs/>
          <w:lang w:val="fr-FR"/>
        </w:rPr>
        <w:t xml:space="preserve">Le Comité recommande que l’État partie, en collaboration avec le Médiateur des enfants, examine les dispositions qui limitent la faculté d’enquête du Médiateur et </w:t>
      </w:r>
      <w:r w:rsidRPr="00B95578">
        <w:rPr>
          <w:b/>
          <w:bCs/>
          <w:lang w:val="fr-FR"/>
        </w:rPr>
        <w:lastRenderedPageBreak/>
        <w:t>leur apporte des modifications visant à combler les lacunes susceptibles d’entraîner des violations des droits de l’enfant</w:t>
      </w:r>
      <w:r w:rsidR="00075AC0" w:rsidRPr="00B95578">
        <w:rPr>
          <w:b/>
          <w:bCs/>
          <w:noProof/>
          <w:lang w:val="fr-FR"/>
        </w:rPr>
        <w:t>.</w:t>
      </w:r>
    </w:p>
    <w:p w:rsidR="00075AC0" w:rsidRPr="00DD03D6" w:rsidRDefault="00324970" w:rsidP="008E6ED1">
      <w:pPr>
        <w:pStyle w:val="SingleTxtG"/>
        <w:numPr>
          <w:ilvl w:val="0"/>
          <w:numId w:val="3"/>
        </w:numPr>
        <w:ind w:left="1134" w:firstLine="0"/>
        <w:rPr>
          <w:noProof/>
          <w:lang w:val="fr-FR"/>
        </w:rPr>
      </w:pPr>
      <w:r w:rsidRPr="00B95578">
        <w:rPr>
          <w:b/>
          <w:bCs/>
          <w:lang w:val="fr-FR"/>
        </w:rPr>
        <w:t xml:space="preserve">Afin de garantir que le Bureau du Médiateur exerce ses activités en toute indépendance, le Comité recommande à l’État partie de faire en sorte que les ressources financières accordées à ce bureau lui soient allouées directement par le biais de </w:t>
      </w:r>
      <w:r w:rsidRPr="00B95578">
        <w:rPr>
          <w:b/>
          <w:bCs/>
          <w:lang w:val="gd-GB"/>
        </w:rPr>
        <w:t>l’</w:t>
      </w:r>
      <w:r w:rsidRPr="00B95578">
        <w:rPr>
          <w:b/>
          <w:bCs/>
          <w:i/>
          <w:iCs/>
          <w:lang w:val="gd-GB"/>
        </w:rPr>
        <w:t>Oireachtas</w:t>
      </w:r>
      <w:r w:rsidRPr="00B95578">
        <w:rPr>
          <w:b/>
          <w:bCs/>
          <w:lang w:val="fr-FR"/>
        </w:rPr>
        <w:t xml:space="preserve"> (Parlement national) et du Ministère des finances. Le Comité attire l’attention de l’État partie sur son Observation générale n</w:t>
      </w:r>
      <w:r w:rsidRPr="00B95578">
        <w:rPr>
          <w:b/>
          <w:bCs/>
          <w:vertAlign w:val="superscript"/>
          <w:lang w:val="fr-FR"/>
        </w:rPr>
        <w:t>o</w:t>
      </w:r>
      <w:r w:rsidRPr="00B95578">
        <w:rPr>
          <w:b/>
          <w:bCs/>
          <w:lang w:val="fr-FR"/>
        </w:rPr>
        <w:t xml:space="preserve"> 2 (2002) concernant le rôle des institutions nationales indépendantes de défense des droits de l’homme dans la protection et la promotion des droits de l’enfant </w:t>
      </w:r>
      <w:r w:rsidR="00075AC0" w:rsidRPr="00B95578">
        <w:rPr>
          <w:b/>
          <w:bCs/>
          <w:noProof/>
          <w:lang w:val="fr-FR"/>
        </w:rPr>
        <w:t>(CRC/GC/2002/2).</w:t>
      </w:r>
    </w:p>
    <w:p w:rsidR="00075AC0" w:rsidRPr="00DD03D6" w:rsidRDefault="00B95578" w:rsidP="0004550B">
      <w:pPr>
        <w:pStyle w:val="SingleTxtG"/>
        <w:numPr>
          <w:ilvl w:val="0"/>
          <w:numId w:val="3"/>
        </w:numPr>
        <w:ind w:left="1134" w:firstLine="0"/>
        <w:rPr>
          <w:b/>
          <w:bCs/>
          <w:noProof/>
          <w:lang w:val="fr-FR"/>
        </w:rPr>
      </w:pPr>
      <w:r>
        <w:rPr>
          <w:noProof/>
          <w:lang w:val="fr-FR"/>
        </w:rPr>
        <w:t>E</w:t>
      </w:r>
      <w:r w:rsidR="00075AC0" w:rsidRPr="00DD03D6">
        <w:rPr>
          <w:noProof/>
          <w:lang w:val="fr-FR"/>
        </w:rPr>
        <w:t xml:space="preserve">n </w:t>
      </w:r>
      <w:r>
        <w:rPr>
          <w:noProof/>
          <w:lang w:val="fr-FR"/>
        </w:rPr>
        <w:t xml:space="preserve">mars </w:t>
      </w:r>
      <w:r w:rsidR="00075AC0" w:rsidRPr="00DD03D6">
        <w:rPr>
          <w:noProof/>
          <w:lang w:val="fr-FR"/>
        </w:rPr>
        <w:t xml:space="preserve">2012, </w:t>
      </w:r>
      <w:r>
        <w:rPr>
          <w:noProof/>
          <w:lang w:val="fr-FR"/>
        </w:rPr>
        <w:t xml:space="preserve">le </w:t>
      </w:r>
      <w:r w:rsidR="005656AF">
        <w:rPr>
          <w:noProof/>
          <w:lang w:val="fr-FR"/>
        </w:rPr>
        <w:t xml:space="preserve">Bureau du Médiateur des enfants </w:t>
      </w:r>
      <w:r>
        <w:rPr>
          <w:noProof/>
          <w:lang w:val="fr-FR"/>
        </w:rPr>
        <w:t>a publié et présenté aux Chambres de l’</w:t>
      </w:r>
      <w:r w:rsidR="00075AC0" w:rsidRPr="00B95578">
        <w:rPr>
          <w:i/>
          <w:noProof/>
          <w:lang w:val="fr-FR"/>
        </w:rPr>
        <w:t>Oireachtas</w:t>
      </w:r>
      <w:r w:rsidR="00075AC0" w:rsidRPr="00DD03D6">
        <w:rPr>
          <w:noProof/>
          <w:lang w:val="fr-FR"/>
        </w:rPr>
        <w:t xml:space="preserve"> (</w:t>
      </w:r>
      <w:r>
        <w:rPr>
          <w:noProof/>
          <w:lang w:val="fr-FR"/>
        </w:rPr>
        <w:t>Parlement irlandais</w:t>
      </w:r>
      <w:r w:rsidR="00075AC0" w:rsidRPr="00DD03D6">
        <w:rPr>
          <w:noProof/>
          <w:lang w:val="fr-FR"/>
        </w:rPr>
        <w:t xml:space="preserve">) </w:t>
      </w:r>
      <w:r w:rsidR="00380978">
        <w:rPr>
          <w:noProof/>
          <w:lang w:val="fr-FR"/>
        </w:rPr>
        <w:t xml:space="preserve">un rapport établi par le Médiateur </w:t>
      </w:r>
      <w:r w:rsidR="009228EC">
        <w:rPr>
          <w:noProof/>
          <w:lang w:val="fr-FR"/>
        </w:rPr>
        <w:t xml:space="preserve">des enfants </w:t>
      </w:r>
      <w:r w:rsidR="00380978">
        <w:rPr>
          <w:noProof/>
          <w:lang w:val="fr-FR"/>
        </w:rPr>
        <w:t xml:space="preserve">sur l’application de la loi de 2002 sur le Médiateur des enfants </w:t>
      </w:r>
      <w:r w:rsidR="00075AC0" w:rsidRPr="00DD03D6">
        <w:rPr>
          <w:iCs/>
          <w:noProof/>
          <w:lang w:val="fr-FR"/>
        </w:rPr>
        <w:t>(OCO, 2012)</w:t>
      </w:r>
      <w:r w:rsidR="00075AC0" w:rsidRPr="00DD03D6">
        <w:rPr>
          <w:noProof/>
          <w:lang w:val="fr-FR"/>
        </w:rPr>
        <w:t xml:space="preserve">. </w:t>
      </w:r>
      <w:r w:rsidR="00380978">
        <w:rPr>
          <w:noProof/>
          <w:lang w:val="fr-FR"/>
        </w:rPr>
        <w:t>Ce rapport contient un certain nombre de recomma</w:t>
      </w:r>
      <w:r w:rsidR="00075AC0" w:rsidRPr="00DD03D6">
        <w:rPr>
          <w:noProof/>
          <w:lang w:val="fr-FR"/>
        </w:rPr>
        <w:t xml:space="preserve">ndations </w:t>
      </w:r>
      <w:r w:rsidR="00380978">
        <w:rPr>
          <w:noProof/>
          <w:lang w:val="fr-FR"/>
        </w:rPr>
        <w:t xml:space="preserve">sur divers sujets, dont certains concernent les secteurs spécifiques, notamment la </w:t>
      </w:r>
      <w:r w:rsidR="0004550B" w:rsidRPr="00DD03D6">
        <w:rPr>
          <w:noProof/>
          <w:lang w:val="fr-FR"/>
        </w:rPr>
        <w:t>j</w:t>
      </w:r>
      <w:r w:rsidR="00075AC0" w:rsidRPr="00DD03D6">
        <w:rPr>
          <w:noProof/>
          <w:lang w:val="fr-FR"/>
        </w:rPr>
        <w:t xml:space="preserve">ustice </w:t>
      </w:r>
      <w:r w:rsidR="00380978">
        <w:rPr>
          <w:noProof/>
          <w:lang w:val="fr-FR"/>
        </w:rPr>
        <w:t>et l’é</w:t>
      </w:r>
      <w:r w:rsidR="00075AC0" w:rsidRPr="00DD03D6">
        <w:rPr>
          <w:noProof/>
          <w:lang w:val="fr-FR"/>
        </w:rPr>
        <w:t xml:space="preserve">ducation, </w:t>
      </w:r>
      <w:r w:rsidR="00380978">
        <w:rPr>
          <w:noProof/>
          <w:lang w:val="fr-FR"/>
        </w:rPr>
        <w:t xml:space="preserve">et </w:t>
      </w:r>
      <w:r w:rsidR="00BC0F2C">
        <w:rPr>
          <w:noProof/>
          <w:lang w:val="fr-FR"/>
        </w:rPr>
        <w:t>d’a</w:t>
      </w:r>
      <w:r w:rsidR="00380978">
        <w:rPr>
          <w:noProof/>
          <w:lang w:val="fr-FR"/>
        </w:rPr>
        <w:t xml:space="preserve">utres </w:t>
      </w:r>
      <w:r w:rsidR="00BC0F2C">
        <w:rPr>
          <w:noProof/>
          <w:lang w:val="fr-FR"/>
        </w:rPr>
        <w:t>ont des répercussions plus larges</w:t>
      </w:r>
      <w:r w:rsidR="00075AC0" w:rsidRPr="00DD03D6">
        <w:rPr>
          <w:noProof/>
          <w:lang w:val="fr-FR"/>
        </w:rPr>
        <w:t xml:space="preserve">. </w:t>
      </w:r>
      <w:r w:rsidR="00D1330A">
        <w:rPr>
          <w:noProof/>
          <w:lang w:val="fr-FR"/>
        </w:rPr>
        <w:t>La Ministre de l’enfance et de la jeunesse</w:t>
      </w:r>
      <w:r w:rsidR="00BC0F2C">
        <w:rPr>
          <w:noProof/>
          <w:lang w:val="fr-FR"/>
        </w:rPr>
        <w:t xml:space="preserve"> tient des consultations avec ses collègues des autres ministères et présentera éventuellement, le moment venu, des projets de loi</w:t>
      </w:r>
      <w:r w:rsidR="00075AC0" w:rsidRPr="00DD03D6">
        <w:rPr>
          <w:noProof/>
          <w:lang w:val="fr-FR"/>
        </w:rPr>
        <w:t>.</w:t>
      </w:r>
    </w:p>
    <w:p w:rsidR="00075AC0" w:rsidRPr="00DD03D6" w:rsidRDefault="00BC0F2C" w:rsidP="0004550B">
      <w:pPr>
        <w:pStyle w:val="SingleTxtG"/>
        <w:numPr>
          <w:ilvl w:val="0"/>
          <w:numId w:val="3"/>
        </w:numPr>
        <w:ind w:left="1134" w:firstLine="0"/>
        <w:rPr>
          <w:noProof/>
          <w:lang w:val="fr-FR"/>
        </w:rPr>
      </w:pPr>
      <w:r>
        <w:rPr>
          <w:noProof/>
          <w:lang w:val="fr-FR"/>
        </w:rPr>
        <w:t xml:space="preserve">Le rapport en question a notamment recommandé d’étendre le mandat du Médiateur des enfants aux plaintes concernant les garçons âgés de moins de 18 ans qui sont détenus </w:t>
      </w:r>
      <w:r w:rsidR="005656AF">
        <w:rPr>
          <w:noProof/>
          <w:lang w:val="fr-FR"/>
        </w:rPr>
        <w:t>à</w:t>
      </w:r>
      <w:r>
        <w:rPr>
          <w:noProof/>
          <w:lang w:val="fr-FR"/>
        </w:rPr>
        <w:t xml:space="preserve"> </w:t>
      </w:r>
      <w:r w:rsidRPr="00ED7ABF">
        <w:rPr>
          <w:color w:val="000000"/>
          <w:lang w:val="fr-FR"/>
        </w:rPr>
        <w:t>l’Institution Saint-Patrick</w:t>
      </w:r>
      <w:r w:rsidR="00075AC0" w:rsidRPr="00DD03D6">
        <w:rPr>
          <w:noProof/>
          <w:lang w:val="fr-FR"/>
        </w:rPr>
        <w:t xml:space="preserve">. </w:t>
      </w:r>
      <w:r w:rsidR="00D1330A">
        <w:rPr>
          <w:noProof/>
          <w:lang w:val="fr-FR"/>
        </w:rPr>
        <w:t xml:space="preserve">Avec effet au </w:t>
      </w:r>
      <w:r w:rsidR="00075AC0" w:rsidRPr="00DD03D6">
        <w:rPr>
          <w:noProof/>
          <w:lang w:val="fr-FR"/>
        </w:rPr>
        <w:t>1</w:t>
      </w:r>
      <w:r w:rsidR="00D1330A" w:rsidRPr="00D1330A">
        <w:rPr>
          <w:noProof/>
          <w:vertAlign w:val="superscript"/>
          <w:lang w:val="fr-FR"/>
        </w:rPr>
        <w:t>er</w:t>
      </w:r>
      <w:r w:rsidR="00D1330A">
        <w:rPr>
          <w:noProof/>
          <w:lang w:val="fr-FR"/>
        </w:rPr>
        <w:t xml:space="preserve"> juillet </w:t>
      </w:r>
      <w:r w:rsidR="00075AC0" w:rsidRPr="00DD03D6">
        <w:rPr>
          <w:noProof/>
          <w:lang w:val="fr-FR"/>
        </w:rPr>
        <w:t xml:space="preserve">2012, </w:t>
      </w:r>
      <w:r w:rsidR="00D1330A">
        <w:rPr>
          <w:noProof/>
          <w:lang w:val="fr-FR"/>
        </w:rPr>
        <w:t xml:space="preserve">la Ministre de l’enfance et de la jeunesse a pris, avec l’assentiment du Ministre de la justice et de l’égalité, un décret abrogeant cette </w:t>
      </w:r>
      <w:r w:rsidR="00075AC0" w:rsidRPr="00DD03D6">
        <w:rPr>
          <w:noProof/>
          <w:lang w:val="fr-FR"/>
        </w:rPr>
        <w:t>excl</w:t>
      </w:r>
      <w:r w:rsidR="002F7A8F" w:rsidRPr="00DD03D6">
        <w:rPr>
          <w:noProof/>
          <w:lang w:val="fr-FR"/>
        </w:rPr>
        <w:t>usion (</w:t>
      </w:r>
      <w:r w:rsidR="00D1330A">
        <w:rPr>
          <w:noProof/>
          <w:lang w:val="fr-FR"/>
        </w:rPr>
        <w:t>i</w:t>
      </w:r>
      <w:r w:rsidR="002F7A8F" w:rsidRPr="00DD03D6">
        <w:rPr>
          <w:noProof/>
          <w:lang w:val="fr-FR"/>
        </w:rPr>
        <w:t>nstrument</w:t>
      </w:r>
      <w:r w:rsidR="00D379EE" w:rsidRPr="00DD03D6">
        <w:rPr>
          <w:noProof/>
          <w:lang w:val="fr-FR"/>
        </w:rPr>
        <w:t xml:space="preserve"> </w:t>
      </w:r>
      <w:r w:rsidR="00D1330A">
        <w:rPr>
          <w:noProof/>
          <w:lang w:val="fr-FR"/>
        </w:rPr>
        <w:t xml:space="preserve">réglementaire n° </w:t>
      </w:r>
      <w:r w:rsidR="00075AC0" w:rsidRPr="00DD03D6">
        <w:rPr>
          <w:noProof/>
          <w:lang w:val="fr-FR"/>
        </w:rPr>
        <w:t xml:space="preserve">210 </w:t>
      </w:r>
      <w:r w:rsidR="00D1330A">
        <w:rPr>
          <w:noProof/>
          <w:lang w:val="fr-FR"/>
        </w:rPr>
        <w:t xml:space="preserve">de </w:t>
      </w:r>
      <w:r w:rsidR="00075AC0" w:rsidRPr="00DD03D6">
        <w:rPr>
          <w:noProof/>
          <w:lang w:val="fr-FR"/>
        </w:rPr>
        <w:t xml:space="preserve">2012). </w:t>
      </w:r>
      <w:r w:rsidR="00D1330A">
        <w:rPr>
          <w:noProof/>
          <w:lang w:val="fr-FR"/>
        </w:rPr>
        <w:t>Par ailleurs, la Ministre a obtenu d’un de ses collègues du Gouvernement, le Ministre des dépenses publiques et des réformes</w:t>
      </w:r>
      <w:r w:rsidR="00075AC0" w:rsidRPr="00DD03D6">
        <w:rPr>
          <w:noProof/>
          <w:lang w:val="fr-FR"/>
        </w:rPr>
        <w:t xml:space="preserve">, </w:t>
      </w:r>
      <w:r w:rsidR="00D1330A">
        <w:rPr>
          <w:noProof/>
          <w:lang w:val="fr-FR"/>
        </w:rPr>
        <w:t xml:space="preserve">un élargissement de l’éventail des organismes publics </w:t>
      </w:r>
      <w:r w:rsidR="009228EC">
        <w:rPr>
          <w:noProof/>
          <w:lang w:val="fr-FR"/>
        </w:rPr>
        <w:t>qui relèvent de l’autorité du Médiateur des enfants</w:t>
      </w:r>
      <w:r w:rsidR="00075AC0" w:rsidRPr="00DD03D6">
        <w:rPr>
          <w:noProof/>
          <w:lang w:val="fr-FR"/>
        </w:rPr>
        <w:t xml:space="preserve">. </w:t>
      </w:r>
      <w:r w:rsidR="009228EC">
        <w:rPr>
          <w:noProof/>
          <w:lang w:val="fr-FR"/>
        </w:rPr>
        <w:t xml:space="preserve">En vertu des modifications des articles </w:t>
      </w:r>
      <w:r w:rsidR="00075AC0" w:rsidRPr="00DD03D6">
        <w:rPr>
          <w:noProof/>
          <w:lang w:val="fr-FR"/>
        </w:rPr>
        <w:t xml:space="preserve">4 </w:t>
      </w:r>
      <w:r w:rsidR="009228EC">
        <w:rPr>
          <w:noProof/>
          <w:lang w:val="fr-FR"/>
        </w:rPr>
        <w:t>et</w:t>
      </w:r>
      <w:r w:rsidR="00075AC0" w:rsidRPr="00DD03D6">
        <w:rPr>
          <w:noProof/>
          <w:lang w:val="fr-FR"/>
        </w:rPr>
        <w:t xml:space="preserve"> 22 </w:t>
      </w:r>
      <w:r w:rsidR="009228EC">
        <w:rPr>
          <w:noProof/>
          <w:lang w:val="fr-FR"/>
        </w:rPr>
        <w:t xml:space="preserve">de la loi de 2012 portant modification de la loi sur le Médiateur, qui sont entrées en vigueur le </w:t>
      </w:r>
      <w:r w:rsidR="00075AC0" w:rsidRPr="00DD03D6">
        <w:rPr>
          <w:noProof/>
          <w:lang w:val="fr-FR"/>
        </w:rPr>
        <w:t>1</w:t>
      </w:r>
      <w:r w:rsidR="009228EC" w:rsidRPr="009228EC">
        <w:rPr>
          <w:noProof/>
          <w:vertAlign w:val="superscript"/>
          <w:lang w:val="fr-FR"/>
        </w:rPr>
        <w:t>er</w:t>
      </w:r>
      <w:r w:rsidR="009228EC">
        <w:rPr>
          <w:noProof/>
          <w:lang w:val="fr-FR"/>
        </w:rPr>
        <w:t xml:space="preserve"> novembre</w:t>
      </w:r>
      <w:r w:rsidR="00075AC0" w:rsidRPr="00DD03D6">
        <w:rPr>
          <w:noProof/>
          <w:lang w:val="fr-FR"/>
        </w:rPr>
        <w:t xml:space="preserve"> 2012, </w:t>
      </w:r>
      <w:r w:rsidR="009228EC">
        <w:rPr>
          <w:noProof/>
          <w:lang w:val="fr-FR"/>
        </w:rPr>
        <w:t>tout organisme public qui relève de l’autorité du Médiateur relèvera automatiquement de celle du Médiateur des enfants</w:t>
      </w:r>
      <w:r w:rsidR="00075AC0" w:rsidRPr="00DD03D6">
        <w:rPr>
          <w:noProof/>
          <w:lang w:val="fr-FR"/>
        </w:rPr>
        <w:t xml:space="preserve">. </w:t>
      </w:r>
      <w:r w:rsidR="009228EC">
        <w:rPr>
          <w:noProof/>
          <w:lang w:val="fr-FR"/>
        </w:rPr>
        <w:t>Les compétences des deux bureaux sont donc harmonisées et l’on peut désormais parler de sécurité juridique et de clarté juridique en la matière</w:t>
      </w:r>
      <w:r w:rsidR="00075AC0" w:rsidRPr="00DD03D6">
        <w:rPr>
          <w:noProof/>
          <w:lang w:val="fr-FR"/>
        </w:rPr>
        <w:t>.</w:t>
      </w:r>
    </w:p>
    <w:p w:rsidR="00075AC0" w:rsidRPr="00DD03D6" w:rsidRDefault="009228EC" w:rsidP="00C074CD">
      <w:pPr>
        <w:pStyle w:val="SingleTxtG"/>
        <w:numPr>
          <w:ilvl w:val="0"/>
          <w:numId w:val="3"/>
        </w:numPr>
        <w:ind w:left="1134" w:firstLine="0"/>
        <w:rPr>
          <w:noProof/>
          <w:lang w:val="fr-FR"/>
        </w:rPr>
      </w:pPr>
      <w:r>
        <w:rPr>
          <w:noProof/>
          <w:lang w:val="fr-FR"/>
        </w:rPr>
        <w:t>Le Bureau du Médiateur des enfants est financé directement par le Ministère de l’enfance et de la jeunesse à l’aide de fonds fournis par l’</w:t>
      </w:r>
      <w:r w:rsidR="00075AC0" w:rsidRPr="009228EC">
        <w:rPr>
          <w:i/>
          <w:noProof/>
          <w:lang w:val="fr-FR"/>
        </w:rPr>
        <w:t>Oireachtas</w:t>
      </w:r>
      <w:r w:rsidR="00075AC0" w:rsidRPr="00DD03D6">
        <w:rPr>
          <w:noProof/>
          <w:lang w:val="fr-FR"/>
        </w:rPr>
        <w:t xml:space="preserve"> </w:t>
      </w:r>
      <w:r>
        <w:rPr>
          <w:noProof/>
          <w:lang w:val="fr-FR"/>
        </w:rPr>
        <w:t>conformément à la loi de 2002 sur le Médiateur des enfants</w:t>
      </w:r>
      <w:r w:rsidR="00075AC0" w:rsidRPr="00DD03D6">
        <w:rPr>
          <w:noProof/>
          <w:lang w:val="fr-FR"/>
        </w:rPr>
        <w:t xml:space="preserve">. </w:t>
      </w:r>
      <w:r w:rsidR="002112C5">
        <w:rPr>
          <w:noProof/>
          <w:lang w:val="fr-FR"/>
        </w:rPr>
        <w:t xml:space="preserve">Cette loi prévoit par ailleurs que l’une des fonctions du Médiateur des enfants consiste à sensibiliser le public aux questions, notamment les principes et dispositions de la Convention relative aux droits de l’enfant, qui se rapportent aux droits et au bien-être des enfants, ainsi qu’aux modalités de réalisation de ces droits </w:t>
      </w:r>
      <w:r w:rsidR="00075AC0" w:rsidRPr="00DD03D6">
        <w:rPr>
          <w:noProof/>
          <w:lang w:val="fr-FR"/>
        </w:rPr>
        <w:t>(</w:t>
      </w:r>
      <w:r w:rsidR="002112C5">
        <w:rPr>
          <w:noProof/>
          <w:lang w:val="fr-FR"/>
        </w:rPr>
        <w:t xml:space="preserve">voir les </w:t>
      </w:r>
      <w:r w:rsidR="00205166" w:rsidRPr="00DD03D6">
        <w:rPr>
          <w:noProof/>
          <w:lang w:val="fr-FR"/>
        </w:rPr>
        <w:t>p</w:t>
      </w:r>
      <w:r w:rsidR="00796A7C" w:rsidRPr="00DD03D6">
        <w:rPr>
          <w:noProof/>
          <w:lang w:val="fr-FR"/>
        </w:rPr>
        <w:t>ar</w:t>
      </w:r>
      <w:r w:rsidR="00D97618">
        <w:rPr>
          <w:noProof/>
          <w:lang w:val="fr-FR"/>
        </w:rPr>
        <w:t>agraphes</w:t>
      </w:r>
      <w:r w:rsidR="00796A7C" w:rsidRPr="00DD03D6">
        <w:rPr>
          <w:noProof/>
          <w:lang w:val="fr-FR"/>
        </w:rPr>
        <w:t> </w:t>
      </w:r>
      <w:r w:rsidR="00C074CD" w:rsidRPr="00DD03D6">
        <w:rPr>
          <w:noProof/>
          <w:lang w:val="fr-FR"/>
        </w:rPr>
        <w:t>240</w:t>
      </w:r>
      <w:r w:rsidR="002112C5">
        <w:rPr>
          <w:noProof/>
          <w:lang w:val="fr-FR"/>
        </w:rPr>
        <w:t xml:space="preserve"> et </w:t>
      </w:r>
      <w:r w:rsidR="00C074CD" w:rsidRPr="00DD03D6">
        <w:rPr>
          <w:noProof/>
          <w:lang w:val="fr-FR"/>
        </w:rPr>
        <w:t>241</w:t>
      </w:r>
      <w:r w:rsidR="00075AC0" w:rsidRPr="00DD03D6">
        <w:rPr>
          <w:noProof/>
          <w:lang w:val="fr-FR"/>
        </w:rPr>
        <w:t>).</w:t>
      </w:r>
    </w:p>
    <w:p w:rsidR="00075AC0" w:rsidRPr="00DD03D6" w:rsidRDefault="002112C5" w:rsidP="002112C5">
      <w:pPr>
        <w:pStyle w:val="H23G"/>
        <w:ind w:firstLine="0"/>
        <w:rPr>
          <w:noProof/>
          <w:lang w:val="fr-FR"/>
        </w:rPr>
      </w:pPr>
      <w:r>
        <w:rPr>
          <w:noProof/>
          <w:lang w:val="fr-FR"/>
        </w:rPr>
        <w:t xml:space="preserve">Collecte de données </w:t>
      </w:r>
    </w:p>
    <w:p w:rsidR="00075AC0" w:rsidRPr="00DD03D6" w:rsidRDefault="002112C5" w:rsidP="008E6ED1">
      <w:pPr>
        <w:pStyle w:val="SingleTxtG"/>
        <w:numPr>
          <w:ilvl w:val="0"/>
          <w:numId w:val="3"/>
        </w:numPr>
        <w:ind w:left="1134" w:firstLine="0"/>
        <w:rPr>
          <w:noProof/>
          <w:lang w:val="fr-FR"/>
        </w:rPr>
      </w:pPr>
      <w:r w:rsidRPr="002112C5">
        <w:rPr>
          <w:b/>
          <w:bCs/>
          <w:lang w:val="fr-FR"/>
        </w:rPr>
        <w:t>Le Comité recommande à l’État partie de prendre des mesures supplémentaires, et notamment de renforcer le rôle du Bureau central de statistique et des autres organes et services gouvernementaux, en vue de collecter systématiquement des données complètes et ventilées, conformément à la Convention, qui soient utilisées pour l’élaboration, l’exécution et le suivi des politiques et des programmes en faveur de l’enfance</w:t>
      </w:r>
      <w:r w:rsidRPr="00487473">
        <w:rPr>
          <w:b/>
          <w:bCs/>
          <w:lang w:val="fr-CH"/>
        </w:rPr>
        <w:t>.</w:t>
      </w:r>
    </w:p>
    <w:p w:rsidR="00075AC0" w:rsidRPr="00DD03D6" w:rsidRDefault="002112C5" w:rsidP="00075AC0">
      <w:pPr>
        <w:pStyle w:val="SingleTxtG"/>
        <w:numPr>
          <w:ilvl w:val="0"/>
          <w:numId w:val="3"/>
        </w:numPr>
        <w:ind w:left="1134" w:firstLine="0"/>
        <w:rPr>
          <w:noProof/>
          <w:lang w:val="fr-FR"/>
        </w:rPr>
      </w:pPr>
      <w:r>
        <w:rPr>
          <w:noProof/>
          <w:lang w:val="fr-FR"/>
        </w:rPr>
        <w:t>Des efforts c</w:t>
      </w:r>
      <w:r w:rsidR="00075AC0" w:rsidRPr="00DD03D6">
        <w:rPr>
          <w:noProof/>
          <w:lang w:val="fr-FR"/>
        </w:rPr>
        <w:t>onsid</w:t>
      </w:r>
      <w:r>
        <w:rPr>
          <w:noProof/>
          <w:lang w:val="fr-FR"/>
        </w:rPr>
        <w:t>é</w:t>
      </w:r>
      <w:r w:rsidR="00075AC0" w:rsidRPr="00DD03D6">
        <w:rPr>
          <w:noProof/>
          <w:lang w:val="fr-FR"/>
        </w:rPr>
        <w:t>rable</w:t>
      </w:r>
      <w:r>
        <w:rPr>
          <w:noProof/>
          <w:lang w:val="fr-FR"/>
        </w:rPr>
        <w:t>s ont été déployés pour mettre en place une collecte systématique de données complètes sur les enfants d’Irlande par les orga</w:t>
      </w:r>
      <w:r w:rsidR="00C62B9C">
        <w:rPr>
          <w:noProof/>
          <w:lang w:val="fr-FR"/>
        </w:rPr>
        <w:t>nes et services gouvernementaux, notamment l</w:t>
      </w:r>
      <w:r w:rsidR="005656AF">
        <w:rPr>
          <w:noProof/>
          <w:lang w:val="fr-FR"/>
        </w:rPr>
        <w:t>e Bureau central de statistique.</w:t>
      </w:r>
    </w:p>
    <w:p w:rsidR="00075AC0" w:rsidRPr="00DD03D6" w:rsidRDefault="00C62B9C" w:rsidP="00D81DD3">
      <w:pPr>
        <w:pStyle w:val="SingleTxtG"/>
        <w:numPr>
          <w:ilvl w:val="0"/>
          <w:numId w:val="3"/>
        </w:numPr>
        <w:ind w:left="1134" w:firstLine="0"/>
        <w:rPr>
          <w:noProof/>
          <w:lang w:val="fr-FR"/>
        </w:rPr>
      </w:pPr>
      <w:r>
        <w:rPr>
          <w:noProof/>
          <w:lang w:val="fr-FR"/>
        </w:rPr>
        <w:t>Le Programme n</w:t>
      </w:r>
      <w:r w:rsidR="00075AC0" w:rsidRPr="00DD03D6">
        <w:rPr>
          <w:noProof/>
          <w:lang w:val="fr-FR"/>
        </w:rPr>
        <w:t xml:space="preserve">ational </w:t>
      </w:r>
      <w:r>
        <w:rPr>
          <w:noProof/>
          <w:lang w:val="fr-FR"/>
        </w:rPr>
        <w:t xml:space="preserve">de recherche sur les enfants, qui a été élaboré en </w:t>
      </w:r>
      <w:r w:rsidR="00075AC0" w:rsidRPr="00DD03D6">
        <w:rPr>
          <w:noProof/>
          <w:lang w:val="fr-FR"/>
        </w:rPr>
        <w:t xml:space="preserve">2003 </w:t>
      </w:r>
      <w:r>
        <w:rPr>
          <w:noProof/>
          <w:lang w:val="fr-FR"/>
        </w:rPr>
        <w:t>par le Bureau n</w:t>
      </w:r>
      <w:r w:rsidR="00075AC0" w:rsidRPr="00DD03D6">
        <w:rPr>
          <w:noProof/>
          <w:lang w:val="fr-FR"/>
        </w:rPr>
        <w:t xml:space="preserve">ational </w:t>
      </w:r>
      <w:r>
        <w:rPr>
          <w:noProof/>
          <w:lang w:val="fr-FR"/>
        </w:rPr>
        <w:t xml:space="preserve">des enfants </w:t>
      </w:r>
      <w:r w:rsidR="00075AC0" w:rsidRPr="00DD03D6">
        <w:rPr>
          <w:noProof/>
          <w:lang w:val="fr-FR"/>
        </w:rPr>
        <w:t>(</w:t>
      </w:r>
      <w:r>
        <w:rPr>
          <w:noProof/>
          <w:lang w:val="fr-FR"/>
        </w:rPr>
        <w:t>intégré depuis au Ministère de l’enfance et de la jeunesse</w:t>
      </w:r>
      <w:r w:rsidR="00075AC0" w:rsidRPr="00DD03D6">
        <w:rPr>
          <w:noProof/>
          <w:lang w:val="fr-FR"/>
        </w:rPr>
        <w:t xml:space="preserve">), </w:t>
      </w:r>
      <w:r w:rsidR="005B07E1">
        <w:rPr>
          <w:noProof/>
          <w:lang w:val="fr-FR"/>
        </w:rPr>
        <w:t xml:space="preserve">a </w:t>
      </w:r>
      <w:r w:rsidR="005B07E1">
        <w:rPr>
          <w:noProof/>
          <w:lang w:val="fr-FR"/>
        </w:rPr>
        <w:lastRenderedPageBreak/>
        <w:t xml:space="preserve">débouché sur plusieurs initiatives </w:t>
      </w:r>
      <w:r w:rsidR="00075AC0" w:rsidRPr="00DD03D6">
        <w:rPr>
          <w:noProof/>
          <w:lang w:val="fr-FR"/>
        </w:rPr>
        <w:t>important</w:t>
      </w:r>
      <w:r w:rsidR="005B07E1">
        <w:rPr>
          <w:noProof/>
          <w:lang w:val="fr-FR"/>
        </w:rPr>
        <w:t>es</w:t>
      </w:r>
      <w:r w:rsidR="00075AC0" w:rsidRPr="00DD03D6">
        <w:rPr>
          <w:noProof/>
          <w:lang w:val="fr-FR"/>
        </w:rPr>
        <w:t>,</w:t>
      </w:r>
      <w:r w:rsidR="005B07E1">
        <w:rPr>
          <w:noProof/>
          <w:lang w:val="fr-FR"/>
        </w:rPr>
        <w:t xml:space="preserve"> parmi lesquelles la construction en 2005 d’une série n</w:t>
      </w:r>
      <w:r w:rsidR="00075AC0" w:rsidRPr="00DD03D6">
        <w:rPr>
          <w:noProof/>
          <w:lang w:val="fr-FR"/>
        </w:rPr>
        <w:t>ational</w:t>
      </w:r>
      <w:r w:rsidR="005B07E1">
        <w:rPr>
          <w:noProof/>
          <w:lang w:val="fr-FR"/>
        </w:rPr>
        <w:t xml:space="preserve">e d’indicateurs du bien-être des enfants, suivie de l’élaboration d’une publication bisannuelle, le </w:t>
      </w:r>
      <w:r w:rsidR="005B07E1">
        <w:rPr>
          <w:i/>
          <w:noProof/>
          <w:lang w:val="fr-FR"/>
        </w:rPr>
        <w:t>Rapport sur la situation des enfants d’Irlande</w:t>
      </w:r>
      <w:r w:rsidR="00075AC0" w:rsidRPr="00DD03D6">
        <w:rPr>
          <w:noProof/>
          <w:lang w:val="fr-FR"/>
        </w:rPr>
        <w:t xml:space="preserve">, </w:t>
      </w:r>
      <w:r w:rsidR="005B07E1">
        <w:rPr>
          <w:noProof/>
          <w:lang w:val="fr-FR"/>
        </w:rPr>
        <w:t>qui, paru pour la première fois en 2006, en est aujourd’hui à sa quatrième é</w:t>
      </w:r>
      <w:r w:rsidR="00075AC0" w:rsidRPr="00DD03D6">
        <w:rPr>
          <w:noProof/>
          <w:lang w:val="fr-FR"/>
        </w:rPr>
        <w:t xml:space="preserve">dition (DCYA, 2012a). </w:t>
      </w:r>
      <w:r w:rsidR="005B07E1">
        <w:rPr>
          <w:noProof/>
          <w:lang w:val="fr-FR"/>
        </w:rPr>
        <w:t>Ces rapports, qui s’appuient sur la série n</w:t>
      </w:r>
      <w:r w:rsidR="005B07E1" w:rsidRPr="00DD03D6">
        <w:rPr>
          <w:noProof/>
          <w:lang w:val="fr-FR"/>
        </w:rPr>
        <w:t>ational</w:t>
      </w:r>
      <w:r w:rsidR="005B07E1">
        <w:rPr>
          <w:noProof/>
          <w:lang w:val="fr-FR"/>
        </w:rPr>
        <w:t>e d’indicateurs du bien-être des enfants, sont établis par le Ministère de l’enfance et de la jeunesse</w:t>
      </w:r>
      <w:r w:rsidR="00075AC0" w:rsidRPr="00DD03D6">
        <w:rPr>
          <w:noProof/>
          <w:lang w:val="fr-FR"/>
        </w:rPr>
        <w:t xml:space="preserve">, </w:t>
      </w:r>
      <w:r w:rsidR="005B07E1">
        <w:rPr>
          <w:noProof/>
          <w:lang w:val="fr-FR"/>
        </w:rPr>
        <w:t>e</w:t>
      </w:r>
      <w:r w:rsidR="00075AC0" w:rsidRPr="00DD03D6">
        <w:rPr>
          <w:noProof/>
          <w:lang w:val="fr-FR"/>
        </w:rPr>
        <w:t xml:space="preserve">n </w:t>
      </w:r>
      <w:r w:rsidR="005B07E1">
        <w:rPr>
          <w:noProof/>
          <w:lang w:val="fr-FR"/>
        </w:rPr>
        <w:t>col</w:t>
      </w:r>
      <w:r w:rsidR="00285933">
        <w:rPr>
          <w:noProof/>
          <w:lang w:val="fr-FR"/>
        </w:rPr>
        <w:t>la</w:t>
      </w:r>
      <w:r w:rsidR="005B07E1">
        <w:rPr>
          <w:noProof/>
          <w:lang w:val="fr-FR"/>
        </w:rPr>
        <w:t xml:space="preserve">boration avec le Bureau central de statistique et le </w:t>
      </w:r>
      <w:r w:rsidR="00924644">
        <w:rPr>
          <w:noProof/>
          <w:lang w:val="fr-FR"/>
        </w:rPr>
        <w:t xml:space="preserve">Centre d’activités de promotion et de recherche en matière de santé de l’Université nationale d’Irlande à </w:t>
      </w:r>
      <w:r w:rsidR="00075AC0" w:rsidRPr="00DD03D6">
        <w:rPr>
          <w:noProof/>
          <w:lang w:val="fr-FR"/>
        </w:rPr>
        <w:t xml:space="preserve">Galway. </w:t>
      </w:r>
      <w:r w:rsidR="00924644">
        <w:rPr>
          <w:noProof/>
          <w:lang w:val="fr-FR"/>
        </w:rPr>
        <w:t xml:space="preserve">Ils </w:t>
      </w:r>
      <w:r w:rsidR="00285933">
        <w:rPr>
          <w:noProof/>
          <w:lang w:val="fr-FR"/>
        </w:rPr>
        <w:t>visent à décrire la vie des enfants en Irlande, à suivre les évolutions dans le temps et à comparer les progrès réalisés en Irlande avec ceux accomplis par d’autres pays</w:t>
      </w:r>
      <w:r w:rsidR="00075AC0" w:rsidRPr="00DD03D6">
        <w:rPr>
          <w:noProof/>
          <w:lang w:val="fr-FR"/>
        </w:rPr>
        <w:t xml:space="preserve">. </w:t>
      </w:r>
      <w:r w:rsidR="00285933">
        <w:rPr>
          <w:noProof/>
          <w:lang w:val="fr-FR"/>
        </w:rPr>
        <w:t xml:space="preserve">S’il y a lieu et si cela est possible, les </w:t>
      </w:r>
      <w:r w:rsidR="00075AC0" w:rsidRPr="00DD03D6">
        <w:rPr>
          <w:noProof/>
          <w:lang w:val="fr-FR"/>
        </w:rPr>
        <w:t>indicat</w:t>
      </w:r>
      <w:r w:rsidR="00285933">
        <w:rPr>
          <w:noProof/>
          <w:lang w:val="fr-FR"/>
        </w:rPr>
        <w:t>eu</w:t>
      </w:r>
      <w:r w:rsidR="00075AC0" w:rsidRPr="00DD03D6">
        <w:rPr>
          <w:noProof/>
          <w:lang w:val="fr-FR"/>
        </w:rPr>
        <w:t xml:space="preserve">rs </w:t>
      </w:r>
      <w:r w:rsidR="00285933">
        <w:rPr>
          <w:noProof/>
          <w:lang w:val="fr-FR"/>
        </w:rPr>
        <w:t>utilisés dans ces rapports sont ventilés par â</w:t>
      </w:r>
      <w:r w:rsidR="00075AC0" w:rsidRPr="00DD03D6">
        <w:rPr>
          <w:noProof/>
          <w:lang w:val="fr-FR"/>
        </w:rPr>
        <w:t xml:space="preserve">ge, </w:t>
      </w:r>
      <w:r w:rsidR="00285933">
        <w:rPr>
          <w:noProof/>
          <w:lang w:val="fr-FR"/>
        </w:rPr>
        <w:t xml:space="preserve">sexe, classe sociale, région géographique et groupe de </w:t>
      </w:r>
      <w:r w:rsidR="00075AC0" w:rsidRPr="00DD03D6">
        <w:rPr>
          <w:noProof/>
          <w:lang w:val="fr-FR"/>
        </w:rPr>
        <w:t>population (</w:t>
      </w:r>
      <w:r w:rsidR="00285933">
        <w:rPr>
          <w:noProof/>
          <w:lang w:val="fr-FR"/>
        </w:rPr>
        <w:t xml:space="preserve">par exemple, enfants </w:t>
      </w:r>
      <w:r w:rsidR="005656AF">
        <w:rPr>
          <w:noProof/>
          <w:lang w:val="fr-FR"/>
        </w:rPr>
        <w:t xml:space="preserve">appartenant à la communauté </w:t>
      </w:r>
      <w:r w:rsidR="00285933">
        <w:rPr>
          <w:noProof/>
          <w:lang w:val="fr-FR"/>
        </w:rPr>
        <w:t>des gen</w:t>
      </w:r>
      <w:r w:rsidR="00FD6584">
        <w:rPr>
          <w:noProof/>
          <w:lang w:val="fr-FR"/>
        </w:rPr>
        <w:t>s</w:t>
      </w:r>
      <w:r w:rsidR="00285933">
        <w:rPr>
          <w:noProof/>
          <w:lang w:val="fr-FR"/>
        </w:rPr>
        <w:t xml:space="preserve"> du voyage</w:t>
      </w:r>
      <w:r w:rsidR="00075AC0" w:rsidRPr="00DD03D6">
        <w:rPr>
          <w:noProof/>
          <w:lang w:val="fr-FR"/>
        </w:rPr>
        <w:t xml:space="preserve">, </w:t>
      </w:r>
      <w:r w:rsidR="00285933">
        <w:rPr>
          <w:noProof/>
          <w:lang w:val="fr-FR"/>
        </w:rPr>
        <w:t>enfants de ressortissants étrangers et enfants handicapés</w:t>
      </w:r>
      <w:r w:rsidR="00075AC0" w:rsidRPr="00DD03D6">
        <w:rPr>
          <w:noProof/>
          <w:lang w:val="fr-FR"/>
        </w:rPr>
        <w:t>).</w:t>
      </w:r>
    </w:p>
    <w:p w:rsidR="00075AC0" w:rsidRPr="00DD03D6" w:rsidRDefault="00FD6584" w:rsidP="00D81DD3">
      <w:pPr>
        <w:pStyle w:val="SingleTxtG"/>
        <w:numPr>
          <w:ilvl w:val="0"/>
          <w:numId w:val="3"/>
        </w:numPr>
        <w:ind w:left="1134" w:firstLine="0"/>
        <w:rPr>
          <w:noProof/>
          <w:lang w:val="fr-FR"/>
        </w:rPr>
      </w:pPr>
      <w:r>
        <w:rPr>
          <w:noProof/>
          <w:lang w:val="fr-FR"/>
        </w:rPr>
        <w:t xml:space="preserve">Par ailleurs, le Ministère de l’enfance et de la jeunesse a demandé la réalisation de près de </w:t>
      </w:r>
      <w:r w:rsidR="00075AC0" w:rsidRPr="00DD03D6">
        <w:rPr>
          <w:noProof/>
          <w:lang w:val="fr-FR"/>
        </w:rPr>
        <w:t xml:space="preserve">40 </w:t>
      </w:r>
      <w:r>
        <w:rPr>
          <w:noProof/>
          <w:lang w:val="fr-FR"/>
        </w:rPr>
        <w:t>études sur la vie des enfants dans le cadre du Programme n</w:t>
      </w:r>
      <w:r w:rsidRPr="00DD03D6">
        <w:rPr>
          <w:noProof/>
          <w:lang w:val="fr-FR"/>
        </w:rPr>
        <w:t xml:space="preserve">ational </w:t>
      </w:r>
      <w:r>
        <w:rPr>
          <w:noProof/>
          <w:lang w:val="fr-FR"/>
        </w:rPr>
        <w:t>de recherche sur les enfants</w:t>
      </w:r>
      <w:r w:rsidR="00075AC0" w:rsidRPr="00DD03D6">
        <w:rPr>
          <w:noProof/>
          <w:lang w:val="fr-FR"/>
        </w:rPr>
        <w:t xml:space="preserve">. </w:t>
      </w:r>
      <w:r>
        <w:rPr>
          <w:noProof/>
          <w:lang w:val="fr-FR"/>
        </w:rPr>
        <w:t xml:space="preserve">La plus marquante de ces études est, à ce jour, celle intitulée </w:t>
      </w:r>
      <w:r>
        <w:rPr>
          <w:i/>
          <w:noProof/>
          <w:lang w:val="fr-FR"/>
        </w:rPr>
        <w:t xml:space="preserve">Grandir en Irlande : Étude longitudinale nationale sur les enfants </w:t>
      </w:r>
      <w:r>
        <w:rPr>
          <w:noProof/>
          <w:lang w:val="fr-FR"/>
        </w:rPr>
        <w:t>(</w:t>
      </w:r>
      <w:r w:rsidR="00075AC0" w:rsidRPr="00DD03D6">
        <w:rPr>
          <w:i/>
          <w:iCs/>
          <w:noProof/>
          <w:lang w:val="fr-FR"/>
        </w:rPr>
        <w:t>Growing Up in Ireland: National Longitudinal Study of Children</w:t>
      </w:r>
      <w:r>
        <w:rPr>
          <w:noProof/>
          <w:lang w:val="fr-FR"/>
        </w:rPr>
        <w:t>).</w:t>
      </w:r>
      <w:r w:rsidR="00075AC0" w:rsidRPr="00DD03D6">
        <w:rPr>
          <w:noProof/>
          <w:lang w:val="fr-FR"/>
        </w:rPr>
        <w:t xml:space="preserve"> </w:t>
      </w:r>
      <w:r>
        <w:rPr>
          <w:noProof/>
          <w:lang w:val="fr-FR"/>
        </w:rPr>
        <w:t>Elle se propose d’</w:t>
      </w:r>
      <w:r w:rsidR="00D97618">
        <w:rPr>
          <w:iCs/>
          <w:noProof/>
          <w:lang w:val="fr-FR"/>
        </w:rPr>
        <w:t>« </w:t>
      </w:r>
      <w:r>
        <w:rPr>
          <w:iCs/>
          <w:noProof/>
          <w:lang w:val="fr-FR"/>
        </w:rPr>
        <w:t xml:space="preserve">étudier les </w:t>
      </w:r>
      <w:r w:rsidR="00075AC0" w:rsidRPr="00DD03D6">
        <w:rPr>
          <w:iCs/>
          <w:noProof/>
          <w:lang w:val="fr-FR"/>
        </w:rPr>
        <w:t>fact</w:t>
      </w:r>
      <w:r>
        <w:rPr>
          <w:iCs/>
          <w:noProof/>
          <w:lang w:val="fr-FR"/>
        </w:rPr>
        <w:t>eu</w:t>
      </w:r>
      <w:r w:rsidR="00075AC0" w:rsidRPr="00DD03D6">
        <w:rPr>
          <w:iCs/>
          <w:noProof/>
          <w:lang w:val="fr-FR"/>
        </w:rPr>
        <w:t>rs</w:t>
      </w:r>
      <w:r>
        <w:rPr>
          <w:iCs/>
          <w:noProof/>
          <w:lang w:val="fr-FR"/>
        </w:rPr>
        <w:t xml:space="preserve"> qui contribuent ou portent atteinte au bien-être</w:t>
      </w:r>
      <w:r w:rsidR="0097298C">
        <w:rPr>
          <w:iCs/>
          <w:noProof/>
          <w:lang w:val="fr-FR"/>
        </w:rPr>
        <w:t xml:space="preserve"> des enfants dans les familles d’aujourd’hui en Irlande</w:t>
      </w:r>
      <w:r>
        <w:rPr>
          <w:iCs/>
          <w:noProof/>
          <w:lang w:val="fr-FR"/>
        </w:rPr>
        <w:t xml:space="preserve"> </w:t>
      </w:r>
      <w:r w:rsidR="0097298C">
        <w:rPr>
          <w:iCs/>
          <w:noProof/>
          <w:lang w:val="fr-FR"/>
        </w:rPr>
        <w:t xml:space="preserve">et, ce faisant, de favoriser l’adoption de </w:t>
      </w:r>
      <w:r w:rsidR="007F4D59">
        <w:rPr>
          <w:iCs/>
          <w:noProof/>
          <w:lang w:val="fr-FR"/>
        </w:rPr>
        <w:t xml:space="preserve">mesures </w:t>
      </w:r>
      <w:r w:rsidR="0097298C">
        <w:rPr>
          <w:iCs/>
          <w:noProof/>
          <w:lang w:val="fr-FR"/>
        </w:rPr>
        <w:t xml:space="preserve">efficaces et </w:t>
      </w:r>
      <w:r w:rsidR="007F4D59">
        <w:rPr>
          <w:iCs/>
          <w:noProof/>
          <w:lang w:val="fr-FR"/>
        </w:rPr>
        <w:t xml:space="preserve">adaptées concernant les enfants et la conception de </w:t>
      </w:r>
      <w:r w:rsidR="00075AC0" w:rsidRPr="00DD03D6">
        <w:rPr>
          <w:iCs/>
          <w:noProof/>
          <w:lang w:val="fr-FR"/>
        </w:rPr>
        <w:t xml:space="preserve">services </w:t>
      </w:r>
      <w:r w:rsidR="007F4D59">
        <w:rPr>
          <w:iCs/>
          <w:noProof/>
          <w:lang w:val="fr-FR"/>
        </w:rPr>
        <w:t>aux enfants et à leur famille</w:t>
      </w:r>
      <w:r w:rsidR="00D97618">
        <w:rPr>
          <w:iCs/>
          <w:noProof/>
          <w:lang w:val="fr-FR"/>
        </w:rPr>
        <w:t> »</w:t>
      </w:r>
      <w:r w:rsidR="00075AC0" w:rsidRPr="00DD03D6">
        <w:rPr>
          <w:iCs/>
          <w:noProof/>
          <w:lang w:val="fr-FR"/>
        </w:rPr>
        <w:t xml:space="preserve">. </w:t>
      </w:r>
      <w:r w:rsidR="007F4D59">
        <w:rPr>
          <w:iCs/>
          <w:noProof/>
          <w:lang w:val="fr-FR"/>
        </w:rPr>
        <w:t xml:space="preserve">Elle surveille le </w:t>
      </w:r>
      <w:r w:rsidR="00075AC0" w:rsidRPr="00DD03D6">
        <w:rPr>
          <w:noProof/>
          <w:lang w:val="fr-FR"/>
        </w:rPr>
        <w:t>d</w:t>
      </w:r>
      <w:r w:rsidR="007F4D59">
        <w:rPr>
          <w:noProof/>
          <w:lang w:val="fr-FR"/>
        </w:rPr>
        <w:t>é</w:t>
      </w:r>
      <w:r w:rsidR="00075AC0" w:rsidRPr="00DD03D6">
        <w:rPr>
          <w:noProof/>
          <w:lang w:val="fr-FR"/>
        </w:rPr>
        <w:t>velop</w:t>
      </w:r>
      <w:r w:rsidR="007F4D59">
        <w:rPr>
          <w:noProof/>
          <w:lang w:val="fr-FR"/>
        </w:rPr>
        <w:t>pe</w:t>
      </w:r>
      <w:r w:rsidR="00075AC0" w:rsidRPr="00DD03D6">
        <w:rPr>
          <w:noProof/>
          <w:lang w:val="fr-FR"/>
        </w:rPr>
        <w:t xml:space="preserve">ment </w:t>
      </w:r>
      <w:r w:rsidR="007F4D59">
        <w:rPr>
          <w:noProof/>
          <w:lang w:val="fr-FR"/>
        </w:rPr>
        <w:t xml:space="preserve">de près de </w:t>
      </w:r>
      <w:r w:rsidR="00075AC0" w:rsidRPr="00DD03D6">
        <w:rPr>
          <w:noProof/>
          <w:lang w:val="fr-FR"/>
        </w:rPr>
        <w:t>20</w:t>
      </w:r>
      <w:r w:rsidR="00D97618">
        <w:rPr>
          <w:noProof/>
          <w:lang w:val="fr-FR"/>
        </w:rPr>
        <w:t> </w:t>
      </w:r>
      <w:r w:rsidR="00075AC0" w:rsidRPr="00DD03D6">
        <w:rPr>
          <w:noProof/>
          <w:lang w:val="fr-FR"/>
        </w:rPr>
        <w:t xml:space="preserve">000 </w:t>
      </w:r>
      <w:r w:rsidR="007F4D59">
        <w:rPr>
          <w:noProof/>
          <w:lang w:val="fr-FR"/>
        </w:rPr>
        <w:t xml:space="preserve">enfants – une </w:t>
      </w:r>
      <w:r w:rsidR="00075AC0" w:rsidRPr="00DD03D6">
        <w:rPr>
          <w:noProof/>
          <w:lang w:val="fr-FR"/>
        </w:rPr>
        <w:t>cohort</w:t>
      </w:r>
      <w:r w:rsidR="007F4D59">
        <w:rPr>
          <w:noProof/>
          <w:lang w:val="fr-FR"/>
        </w:rPr>
        <w:t>e de 11</w:t>
      </w:r>
      <w:r w:rsidR="00D97618">
        <w:rPr>
          <w:noProof/>
          <w:lang w:val="fr-FR"/>
        </w:rPr>
        <w:t> </w:t>
      </w:r>
      <w:r w:rsidR="00075AC0" w:rsidRPr="00DD03D6">
        <w:rPr>
          <w:noProof/>
          <w:lang w:val="fr-FR"/>
        </w:rPr>
        <w:t xml:space="preserve">100 </w:t>
      </w:r>
      <w:r w:rsidR="007F4D59">
        <w:rPr>
          <w:noProof/>
          <w:lang w:val="fr-FR"/>
        </w:rPr>
        <w:t xml:space="preserve">nourrissons âgés de </w:t>
      </w:r>
      <w:r w:rsidR="00D97618">
        <w:rPr>
          <w:noProof/>
          <w:lang w:val="fr-FR"/>
        </w:rPr>
        <w:t>9 </w:t>
      </w:r>
      <w:r w:rsidR="007F4D59">
        <w:rPr>
          <w:noProof/>
          <w:lang w:val="fr-FR"/>
        </w:rPr>
        <w:t>mois</w:t>
      </w:r>
      <w:r w:rsidR="009622D0">
        <w:rPr>
          <w:noProof/>
          <w:lang w:val="fr-FR"/>
        </w:rPr>
        <w:t xml:space="preserve"> et une cohorte de 8</w:t>
      </w:r>
      <w:r w:rsidR="00D97618">
        <w:rPr>
          <w:noProof/>
          <w:lang w:val="fr-FR"/>
        </w:rPr>
        <w:t> </w:t>
      </w:r>
      <w:r w:rsidR="00075AC0" w:rsidRPr="00DD03D6">
        <w:rPr>
          <w:noProof/>
          <w:lang w:val="fr-FR"/>
        </w:rPr>
        <w:t xml:space="preserve">570 </w:t>
      </w:r>
      <w:r w:rsidR="009622D0">
        <w:rPr>
          <w:noProof/>
          <w:lang w:val="fr-FR"/>
        </w:rPr>
        <w:t>enfants âgés de neuf ans</w:t>
      </w:r>
      <w:r w:rsidR="00075AC0" w:rsidRPr="00DD03D6">
        <w:rPr>
          <w:noProof/>
          <w:lang w:val="fr-FR"/>
        </w:rPr>
        <w:t xml:space="preserve">. </w:t>
      </w:r>
      <w:r w:rsidR="009622D0">
        <w:rPr>
          <w:noProof/>
          <w:lang w:val="fr-FR"/>
        </w:rPr>
        <w:t xml:space="preserve">Étant donné que </w:t>
      </w:r>
      <w:r w:rsidR="00075AC0" w:rsidRPr="00DD03D6">
        <w:rPr>
          <w:i/>
          <w:iCs/>
          <w:noProof/>
          <w:lang w:val="fr-FR"/>
        </w:rPr>
        <w:t>Gr</w:t>
      </w:r>
      <w:r w:rsidR="009622D0">
        <w:rPr>
          <w:i/>
          <w:iCs/>
          <w:noProof/>
          <w:lang w:val="fr-FR"/>
        </w:rPr>
        <w:t xml:space="preserve">andir en </w:t>
      </w:r>
      <w:r w:rsidR="00075AC0" w:rsidRPr="00DD03D6">
        <w:rPr>
          <w:i/>
          <w:iCs/>
          <w:noProof/>
          <w:lang w:val="fr-FR"/>
        </w:rPr>
        <w:t>Irland</w:t>
      </w:r>
      <w:r w:rsidR="009622D0">
        <w:rPr>
          <w:i/>
          <w:iCs/>
          <w:noProof/>
          <w:lang w:val="fr-FR"/>
        </w:rPr>
        <w:t>e</w:t>
      </w:r>
      <w:r w:rsidR="00075AC0" w:rsidRPr="00DD03D6">
        <w:rPr>
          <w:noProof/>
          <w:lang w:val="fr-FR"/>
        </w:rPr>
        <w:t xml:space="preserve"> </w:t>
      </w:r>
      <w:r w:rsidR="009622D0">
        <w:rPr>
          <w:noProof/>
          <w:lang w:val="fr-FR"/>
        </w:rPr>
        <w:t xml:space="preserve">est apparue pour la première fois en </w:t>
      </w:r>
      <w:r w:rsidR="00075AC0" w:rsidRPr="00DD03D6">
        <w:rPr>
          <w:noProof/>
          <w:lang w:val="fr-FR"/>
        </w:rPr>
        <w:t xml:space="preserve">2006, </w:t>
      </w:r>
      <w:r w:rsidR="009622D0">
        <w:rPr>
          <w:noProof/>
          <w:lang w:val="fr-FR"/>
        </w:rPr>
        <w:t xml:space="preserve">plus de </w:t>
      </w:r>
      <w:r w:rsidR="00075AC0" w:rsidRPr="00DD03D6">
        <w:rPr>
          <w:noProof/>
          <w:lang w:val="fr-FR"/>
        </w:rPr>
        <w:t>30 million</w:t>
      </w:r>
      <w:r w:rsidR="009622D0">
        <w:rPr>
          <w:noProof/>
          <w:lang w:val="fr-FR"/>
        </w:rPr>
        <w:t xml:space="preserve">s d’euros ont été affectés à deux vagues de collecte de données concernant les cohortes de nourrissons (à l’âge de </w:t>
      </w:r>
      <w:r w:rsidR="00D97618">
        <w:rPr>
          <w:noProof/>
          <w:lang w:val="fr-FR"/>
        </w:rPr>
        <w:t>9 </w:t>
      </w:r>
      <w:r w:rsidR="009622D0">
        <w:rPr>
          <w:noProof/>
          <w:lang w:val="fr-FR"/>
        </w:rPr>
        <w:t xml:space="preserve">mois et de </w:t>
      </w:r>
      <w:r w:rsidR="00D97618">
        <w:rPr>
          <w:noProof/>
          <w:lang w:val="fr-FR"/>
        </w:rPr>
        <w:t>3 </w:t>
      </w:r>
      <w:r w:rsidR="009622D0">
        <w:rPr>
          <w:noProof/>
          <w:lang w:val="fr-FR"/>
        </w:rPr>
        <w:t xml:space="preserve">ans) et d’enfants </w:t>
      </w:r>
      <w:r w:rsidR="00075AC0" w:rsidRPr="00DD03D6">
        <w:rPr>
          <w:noProof/>
          <w:lang w:val="fr-FR"/>
        </w:rPr>
        <w:t>(</w:t>
      </w:r>
      <w:r w:rsidR="009622D0">
        <w:rPr>
          <w:noProof/>
          <w:lang w:val="fr-FR"/>
        </w:rPr>
        <w:t xml:space="preserve">à l’âge de </w:t>
      </w:r>
      <w:r w:rsidR="00D97618">
        <w:rPr>
          <w:noProof/>
          <w:lang w:val="fr-FR"/>
        </w:rPr>
        <w:t>9 </w:t>
      </w:r>
      <w:r w:rsidR="009622D0">
        <w:rPr>
          <w:noProof/>
          <w:lang w:val="fr-FR"/>
        </w:rPr>
        <w:t xml:space="preserve">ans et de </w:t>
      </w:r>
      <w:r w:rsidR="00075AC0" w:rsidRPr="00DD03D6">
        <w:rPr>
          <w:noProof/>
          <w:lang w:val="fr-FR"/>
        </w:rPr>
        <w:t xml:space="preserve">13 </w:t>
      </w:r>
      <w:r w:rsidR="009622D0">
        <w:rPr>
          <w:noProof/>
          <w:lang w:val="fr-FR"/>
        </w:rPr>
        <w:t>ans</w:t>
      </w:r>
      <w:r w:rsidR="00075AC0" w:rsidRPr="00DD03D6">
        <w:rPr>
          <w:noProof/>
          <w:lang w:val="fr-FR"/>
        </w:rPr>
        <w:t xml:space="preserve">), </w:t>
      </w:r>
      <w:r w:rsidR="009622D0">
        <w:rPr>
          <w:noProof/>
          <w:lang w:val="fr-FR"/>
        </w:rPr>
        <w:t xml:space="preserve">ainsi qu’à une troisième vague de collecte de données concernant la cohorte de nourrissons (à l’âge de </w:t>
      </w:r>
      <w:r w:rsidR="00D97618">
        <w:rPr>
          <w:noProof/>
          <w:lang w:val="fr-FR"/>
        </w:rPr>
        <w:t>5 </w:t>
      </w:r>
      <w:r w:rsidR="009622D0">
        <w:rPr>
          <w:noProof/>
          <w:lang w:val="fr-FR"/>
        </w:rPr>
        <w:t>ans</w:t>
      </w:r>
      <w:r w:rsidR="00075AC0" w:rsidRPr="00DD03D6">
        <w:rPr>
          <w:noProof/>
          <w:lang w:val="fr-FR"/>
        </w:rPr>
        <w:t xml:space="preserve">), </w:t>
      </w:r>
      <w:r w:rsidR="009622D0">
        <w:rPr>
          <w:noProof/>
          <w:lang w:val="fr-FR"/>
        </w:rPr>
        <w:t xml:space="preserve">qui doit </w:t>
      </w:r>
      <w:r w:rsidR="00075AC0" w:rsidRPr="00DD03D6">
        <w:rPr>
          <w:noProof/>
          <w:lang w:val="fr-FR"/>
        </w:rPr>
        <w:t>commence</w:t>
      </w:r>
      <w:r w:rsidR="005662E7">
        <w:rPr>
          <w:noProof/>
          <w:lang w:val="fr-FR"/>
        </w:rPr>
        <w:t>r</w:t>
      </w:r>
      <w:r w:rsidR="00075AC0" w:rsidRPr="00DD03D6">
        <w:rPr>
          <w:noProof/>
          <w:lang w:val="fr-FR"/>
        </w:rPr>
        <w:t xml:space="preserve"> </w:t>
      </w:r>
      <w:r w:rsidR="005662E7">
        <w:rPr>
          <w:noProof/>
          <w:lang w:val="fr-FR"/>
        </w:rPr>
        <w:t>e</w:t>
      </w:r>
      <w:r w:rsidR="00075AC0" w:rsidRPr="00DD03D6">
        <w:rPr>
          <w:noProof/>
          <w:lang w:val="fr-FR"/>
        </w:rPr>
        <w:t xml:space="preserve">n 2013 </w:t>
      </w:r>
      <w:r w:rsidR="005662E7">
        <w:rPr>
          <w:noProof/>
          <w:lang w:val="fr-FR"/>
        </w:rPr>
        <w:t xml:space="preserve">pour rendre compte </w:t>
      </w:r>
      <w:r w:rsidR="007F2825">
        <w:rPr>
          <w:noProof/>
          <w:lang w:val="fr-FR"/>
        </w:rPr>
        <w:t xml:space="preserve">de la </w:t>
      </w:r>
      <w:r w:rsidR="00075AC0" w:rsidRPr="00DD03D6">
        <w:rPr>
          <w:noProof/>
          <w:lang w:val="fr-FR"/>
        </w:rPr>
        <w:t xml:space="preserve">transition </w:t>
      </w:r>
      <w:r w:rsidR="007F2825">
        <w:rPr>
          <w:noProof/>
          <w:lang w:val="fr-FR"/>
        </w:rPr>
        <w:t>vers l’enseignement primaire</w:t>
      </w:r>
      <w:r w:rsidR="00075AC0" w:rsidRPr="00DD03D6">
        <w:rPr>
          <w:noProof/>
          <w:lang w:val="fr-FR"/>
        </w:rPr>
        <w:t xml:space="preserve">. </w:t>
      </w:r>
      <w:r w:rsidR="007F2825">
        <w:rPr>
          <w:noProof/>
          <w:lang w:val="fr-FR"/>
        </w:rPr>
        <w:t xml:space="preserve">Les conclusions tirées jusqu’ici de ces études sont disponibles sur le site Web dédié </w:t>
      </w:r>
      <w:hyperlink r:id="rId10" w:history="1">
        <w:r w:rsidR="00075AC0" w:rsidRPr="00DD03D6">
          <w:rPr>
            <w:rStyle w:val="Lienhypertexte"/>
            <w:noProof/>
            <w:color w:val="0066FF"/>
            <w:u w:val="single"/>
            <w:lang w:val="fr-FR"/>
          </w:rPr>
          <w:t>www.growingup.ie</w:t>
        </w:r>
      </w:hyperlink>
      <w:r w:rsidR="002F7A8F" w:rsidRPr="00DD03D6">
        <w:rPr>
          <w:noProof/>
          <w:color w:val="0066FF"/>
          <w:u w:val="single"/>
          <w:lang w:val="fr-FR"/>
        </w:rPr>
        <w:t>.</w:t>
      </w:r>
    </w:p>
    <w:p w:rsidR="00075AC0" w:rsidRPr="00DD03D6" w:rsidRDefault="007F2825" w:rsidP="00D81DD3">
      <w:pPr>
        <w:pStyle w:val="SingleTxtG"/>
        <w:numPr>
          <w:ilvl w:val="0"/>
          <w:numId w:val="3"/>
        </w:numPr>
        <w:ind w:left="1134" w:firstLine="0"/>
        <w:rPr>
          <w:noProof/>
          <w:lang w:val="fr-FR"/>
        </w:rPr>
      </w:pPr>
      <w:r>
        <w:rPr>
          <w:noProof/>
          <w:lang w:val="fr-FR"/>
        </w:rPr>
        <w:t xml:space="preserve">La </w:t>
      </w:r>
      <w:r>
        <w:rPr>
          <w:i/>
          <w:noProof/>
          <w:lang w:val="fr-FR"/>
        </w:rPr>
        <w:t xml:space="preserve">Stratégie nationale de recherche et </w:t>
      </w:r>
      <w:r w:rsidR="00255441">
        <w:rPr>
          <w:i/>
          <w:noProof/>
          <w:lang w:val="fr-FR"/>
        </w:rPr>
        <w:t xml:space="preserve">d’élaboration de données sur la vie des enfants, 2011-2016 </w:t>
      </w:r>
      <w:r w:rsidR="00255441">
        <w:rPr>
          <w:noProof/>
          <w:lang w:val="fr-FR"/>
        </w:rPr>
        <w:t>(</w:t>
      </w:r>
      <w:r w:rsidR="00075AC0" w:rsidRPr="00DD03D6">
        <w:rPr>
          <w:i/>
          <w:iCs/>
          <w:noProof/>
          <w:lang w:val="fr-FR"/>
        </w:rPr>
        <w:t>National Strategy for Research and Data on Children</w:t>
      </w:r>
      <w:r w:rsidR="000A2B7B" w:rsidRPr="00DD03D6">
        <w:rPr>
          <w:i/>
          <w:iCs/>
          <w:noProof/>
          <w:lang w:val="fr-FR"/>
        </w:rPr>
        <w:t>’</w:t>
      </w:r>
      <w:r w:rsidR="00075AC0" w:rsidRPr="00DD03D6">
        <w:rPr>
          <w:i/>
          <w:iCs/>
          <w:noProof/>
          <w:lang w:val="fr-FR"/>
        </w:rPr>
        <w:t>s Lives, 2011-2016</w:t>
      </w:r>
      <w:r w:rsidR="00255441">
        <w:rPr>
          <w:noProof/>
          <w:lang w:val="fr-FR"/>
        </w:rPr>
        <w:t xml:space="preserve">) a été publiée par le Ministère de l’enfance et de la jeunesse en </w:t>
      </w:r>
      <w:r w:rsidR="00075AC0" w:rsidRPr="00DD03D6">
        <w:rPr>
          <w:noProof/>
          <w:lang w:val="fr-FR"/>
        </w:rPr>
        <w:t xml:space="preserve">2011. </w:t>
      </w:r>
      <w:r w:rsidR="00034BF1">
        <w:rPr>
          <w:noProof/>
          <w:lang w:val="fr-FR"/>
        </w:rPr>
        <w:t xml:space="preserve">Cette </w:t>
      </w:r>
      <w:r w:rsidR="00075AC0" w:rsidRPr="00DD03D6">
        <w:rPr>
          <w:noProof/>
          <w:lang w:val="fr-FR"/>
        </w:rPr>
        <w:t>strat</w:t>
      </w:r>
      <w:r w:rsidR="00034BF1">
        <w:rPr>
          <w:noProof/>
          <w:lang w:val="fr-FR"/>
        </w:rPr>
        <w:t>é</w:t>
      </w:r>
      <w:r w:rsidR="00075AC0" w:rsidRPr="00DD03D6">
        <w:rPr>
          <w:noProof/>
          <w:lang w:val="fr-FR"/>
        </w:rPr>
        <w:t>g</w:t>
      </w:r>
      <w:r w:rsidR="00034BF1">
        <w:rPr>
          <w:noProof/>
          <w:lang w:val="fr-FR"/>
        </w:rPr>
        <w:t>ie</w:t>
      </w:r>
      <w:r w:rsidR="00075AC0" w:rsidRPr="00DD03D6">
        <w:rPr>
          <w:noProof/>
          <w:lang w:val="fr-FR"/>
        </w:rPr>
        <w:t xml:space="preserve"> </w:t>
      </w:r>
      <w:r w:rsidR="00034BF1">
        <w:rPr>
          <w:noProof/>
          <w:lang w:val="fr-FR"/>
        </w:rPr>
        <w:t>fixe des orientations claires à la recherche et à l’élaboration de données sur les enfants en Irlande et énonce divers besoins d’informations spécifiques concernant la santé, l’éducation, la protection, la sécurité économique et la participation sociale</w:t>
      </w:r>
      <w:r w:rsidR="00075AC0" w:rsidRPr="00DD03D6">
        <w:rPr>
          <w:noProof/>
          <w:lang w:val="fr-FR"/>
        </w:rPr>
        <w:t xml:space="preserve">. </w:t>
      </w:r>
      <w:r w:rsidR="00034BF1">
        <w:rPr>
          <w:noProof/>
          <w:lang w:val="fr-FR"/>
        </w:rPr>
        <w:t xml:space="preserve">Le Plan d’action </w:t>
      </w:r>
      <w:r w:rsidR="003F2462">
        <w:rPr>
          <w:noProof/>
          <w:lang w:val="fr-FR"/>
        </w:rPr>
        <w:t xml:space="preserve">pour l’application </w:t>
      </w:r>
      <w:r w:rsidR="00034BF1">
        <w:rPr>
          <w:noProof/>
          <w:lang w:val="fr-FR"/>
        </w:rPr>
        <w:t xml:space="preserve">de cette stratégie entend </w:t>
      </w:r>
      <w:r w:rsidR="0073384D">
        <w:rPr>
          <w:noProof/>
          <w:lang w:val="fr-FR"/>
        </w:rPr>
        <w:t>combler les</w:t>
      </w:r>
      <w:r w:rsidR="00034BF1">
        <w:rPr>
          <w:noProof/>
          <w:lang w:val="fr-FR"/>
        </w:rPr>
        <w:t xml:space="preserve"> nombreuses </w:t>
      </w:r>
      <w:r w:rsidR="0073384D">
        <w:rPr>
          <w:noProof/>
          <w:lang w:val="fr-FR"/>
        </w:rPr>
        <w:t>lacunes en matière d’</w:t>
      </w:r>
      <w:r w:rsidR="00075AC0" w:rsidRPr="00DD03D6">
        <w:rPr>
          <w:noProof/>
          <w:lang w:val="fr-FR"/>
        </w:rPr>
        <w:t xml:space="preserve">information </w:t>
      </w:r>
      <w:r w:rsidR="0073384D">
        <w:rPr>
          <w:noProof/>
          <w:lang w:val="fr-FR"/>
        </w:rPr>
        <w:t>repérées</w:t>
      </w:r>
      <w:r w:rsidR="003F2462">
        <w:rPr>
          <w:noProof/>
          <w:lang w:val="fr-FR"/>
        </w:rPr>
        <w:t>,</w:t>
      </w:r>
      <w:r w:rsidR="0073384D">
        <w:rPr>
          <w:noProof/>
          <w:lang w:val="fr-FR"/>
        </w:rPr>
        <w:t xml:space="preserve"> grâce au lancement d’une initiative interministérielle mobilisant les moyens de</w:t>
      </w:r>
      <w:r w:rsidR="00075AC0" w:rsidRPr="00DD03D6">
        <w:rPr>
          <w:noProof/>
          <w:lang w:val="fr-FR"/>
        </w:rPr>
        <w:t xml:space="preserve"> 23 </w:t>
      </w:r>
      <w:r w:rsidR="000F76FD">
        <w:rPr>
          <w:noProof/>
          <w:lang w:val="fr-FR"/>
        </w:rPr>
        <w:t>services ministériels et autres organismes publics</w:t>
      </w:r>
      <w:r w:rsidR="00075AC0" w:rsidRPr="00DD03D6">
        <w:rPr>
          <w:noProof/>
          <w:lang w:val="fr-FR"/>
        </w:rPr>
        <w:t xml:space="preserve">, </w:t>
      </w:r>
      <w:r w:rsidR="000F76FD">
        <w:rPr>
          <w:noProof/>
          <w:lang w:val="fr-FR"/>
        </w:rPr>
        <w:t>parmi lesquels le Bureau central de statistique</w:t>
      </w:r>
      <w:r w:rsidR="00075AC0" w:rsidRPr="00DD03D6">
        <w:rPr>
          <w:noProof/>
          <w:lang w:val="fr-FR"/>
        </w:rPr>
        <w:t xml:space="preserve">. </w:t>
      </w:r>
      <w:r w:rsidR="000F76FD">
        <w:rPr>
          <w:noProof/>
          <w:lang w:val="fr-FR"/>
        </w:rPr>
        <w:t xml:space="preserve">Le Ministère de l’enfance et de la jeunesse assure une fonction de contrôle et de </w:t>
      </w:r>
      <w:r w:rsidR="003F2462">
        <w:rPr>
          <w:noProof/>
          <w:lang w:val="fr-FR"/>
        </w:rPr>
        <w:t>communication d’informations</w:t>
      </w:r>
      <w:r w:rsidR="000F76FD">
        <w:rPr>
          <w:noProof/>
          <w:lang w:val="fr-FR"/>
        </w:rPr>
        <w:t xml:space="preserve"> en ce qui concerne les activités prévues dans la stratégie, et exerce une responsabilité directe pour certaines activités</w:t>
      </w:r>
      <w:r w:rsidR="00075AC0" w:rsidRPr="00DD03D6">
        <w:rPr>
          <w:noProof/>
          <w:lang w:val="fr-FR"/>
        </w:rPr>
        <w:t xml:space="preserve">. </w:t>
      </w:r>
      <w:r w:rsidR="000F76FD">
        <w:rPr>
          <w:noProof/>
          <w:lang w:val="fr-FR"/>
        </w:rPr>
        <w:t xml:space="preserve">Cette stratégie s’emploie fermement à mieux utiliser les </w:t>
      </w:r>
      <w:r w:rsidR="00F52A98">
        <w:rPr>
          <w:noProof/>
          <w:lang w:val="fr-FR"/>
        </w:rPr>
        <w:t>banques de données existantes et les autres moyens et, en particuier, souligne le</w:t>
      </w:r>
      <w:r w:rsidR="00075AC0" w:rsidRPr="00DD03D6">
        <w:rPr>
          <w:noProof/>
          <w:lang w:val="fr-FR"/>
        </w:rPr>
        <w:t xml:space="preserve"> r</w:t>
      </w:r>
      <w:r w:rsidR="00F52A98">
        <w:rPr>
          <w:noProof/>
          <w:lang w:val="fr-FR"/>
        </w:rPr>
        <w:t>ô</w:t>
      </w:r>
      <w:r w:rsidR="00075AC0" w:rsidRPr="00DD03D6">
        <w:rPr>
          <w:noProof/>
          <w:lang w:val="fr-FR"/>
        </w:rPr>
        <w:t xml:space="preserve">le </w:t>
      </w:r>
      <w:r w:rsidR="00F52A98">
        <w:rPr>
          <w:noProof/>
          <w:lang w:val="fr-FR"/>
        </w:rPr>
        <w:t xml:space="preserve">des données s’agissant de fournir des points de repère aux fins de l’élaboration de politiques et de la prestation de services en s’appuyant sur l’étude </w:t>
      </w:r>
      <w:r w:rsidR="00F52A98" w:rsidRPr="00DD03D6">
        <w:rPr>
          <w:i/>
          <w:iCs/>
          <w:noProof/>
          <w:lang w:val="fr-FR"/>
        </w:rPr>
        <w:t>Gr</w:t>
      </w:r>
      <w:r w:rsidR="00F52A98">
        <w:rPr>
          <w:i/>
          <w:iCs/>
          <w:noProof/>
          <w:lang w:val="fr-FR"/>
        </w:rPr>
        <w:t xml:space="preserve">andir en </w:t>
      </w:r>
      <w:r w:rsidR="00F52A98" w:rsidRPr="00DD03D6">
        <w:rPr>
          <w:i/>
          <w:iCs/>
          <w:noProof/>
          <w:lang w:val="fr-FR"/>
        </w:rPr>
        <w:t>Irland</w:t>
      </w:r>
      <w:r w:rsidR="00F52A98">
        <w:rPr>
          <w:i/>
          <w:iCs/>
          <w:noProof/>
          <w:lang w:val="fr-FR"/>
        </w:rPr>
        <w:t>e</w:t>
      </w:r>
      <w:r w:rsidR="00F52A98" w:rsidRPr="00DD03D6">
        <w:rPr>
          <w:noProof/>
          <w:lang w:val="fr-FR"/>
        </w:rPr>
        <w:t xml:space="preserve"> </w:t>
      </w:r>
      <w:r w:rsidR="00F52A98">
        <w:rPr>
          <w:noProof/>
          <w:lang w:val="fr-FR"/>
        </w:rPr>
        <w:t>et d’autres grandes enquêtes financé</w:t>
      </w:r>
      <w:r w:rsidR="00BB5CA3">
        <w:rPr>
          <w:noProof/>
          <w:lang w:val="fr-FR"/>
        </w:rPr>
        <w:t>e</w:t>
      </w:r>
      <w:r w:rsidR="00F52A98">
        <w:rPr>
          <w:noProof/>
          <w:lang w:val="fr-FR"/>
        </w:rPr>
        <w:t xml:space="preserve">s sur </w:t>
      </w:r>
      <w:r w:rsidR="00BB5CA3">
        <w:rPr>
          <w:noProof/>
          <w:lang w:val="fr-FR"/>
        </w:rPr>
        <w:t xml:space="preserve">fonds publics, telles que le projet de recherche intitulé </w:t>
      </w:r>
      <w:r w:rsidR="00BB5CA3">
        <w:rPr>
          <w:lang w:val="fr-FR"/>
        </w:rPr>
        <w:t>Comportement des enfants d’âge scolaire en matière de santé</w:t>
      </w:r>
      <w:r w:rsidR="00BB5CA3" w:rsidRPr="00DD03D6">
        <w:rPr>
          <w:noProof/>
          <w:lang w:val="fr-FR"/>
        </w:rPr>
        <w:t xml:space="preserve"> </w:t>
      </w:r>
      <w:r w:rsidR="00075AC0" w:rsidRPr="00DD03D6">
        <w:rPr>
          <w:noProof/>
          <w:lang w:val="fr-FR"/>
        </w:rPr>
        <w:t xml:space="preserve">(HBSC), </w:t>
      </w:r>
      <w:r w:rsidR="00BB5CA3">
        <w:rPr>
          <w:noProof/>
          <w:lang w:val="fr-FR"/>
        </w:rPr>
        <w:t>le projet d’enquête paneuropéenne su</w:t>
      </w:r>
      <w:r w:rsidR="003F2462">
        <w:rPr>
          <w:noProof/>
          <w:lang w:val="fr-FR"/>
        </w:rPr>
        <w:t xml:space="preserve">r l’alcool et d’autres drogues en milieu scolaire </w:t>
      </w:r>
      <w:r w:rsidR="00075AC0" w:rsidRPr="00DD03D6">
        <w:rPr>
          <w:noProof/>
          <w:lang w:val="fr-FR"/>
        </w:rPr>
        <w:t xml:space="preserve">(ESPAD) </w:t>
      </w:r>
      <w:r w:rsidR="003F2462">
        <w:rPr>
          <w:noProof/>
          <w:lang w:val="fr-FR"/>
        </w:rPr>
        <w:t>et le Programme i</w:t>
      </w:r>
      <w:r w:rsidR="00075AC0" w:rsidRPr="00DD03D6">
        <w:rPr>
          <w:noProof/>
          <w:lang w:val="fr-FR"/>
        </w:rPr>
        <w:t xml:space="preserve">nternational </w:t>
      </w:r>
      <w:r w:rsidR="003F2462">
        <w:rPr>
          <w:noProof/>
          <w:lang w:val="fr-FR"/>
        </w:rPr>
        <w:t xml:space="preserve">pour le suivi des acquis des élèves </w:t>
      </w:r>
      <w:r w:rsidR="00075AC0" w:rsidRPr="00DD03D6">
        <w:rPr>
          <w:noProof/>
          <w:lang w:val="fr-FR"/>
        </w:rPr>
        <w:t>(PISA).</w:t>
      </w:r>
    </w:p>
    <w:p w:rsidR="00075AC0" w:rsidRPr="00DD03D6" w:rsidRDefault="00E07AC9" w:rsidP="00F769C1">
      <w:pPr>
        <w:pStyle w:val="SingleTxtG"/>
        <w:numPr>
          <w:ilvl w:val="0"/>
          <w:numId w:val="3"/>
        </w:numPr>
        <w:ind w:left="1134" w:firstLine="0"/>
        <w:rPr>
          <w:noProof/>
          <w:lang w:val="fr-FR"/>
        </w:rPr>
      </w:pPr>
      <w:r>
        <w:rPr>
          <w:noProof/>
          <w:lang w:val="fr-FR"/>
        </w:rPr>
        <w:t>Le Bureau central de statistique a joué un rôle important dans le cadre de ces activités</w:t>
      </w:r>
      <w:r w:rsidR="00075AC0" w:rsidRPr="00DD03D6">
        <w:rPr>
          <w:noProof/>
          <w:lang w:val="fr-FR"/>
        </w:rPr>
        <w:t xml:space="preserve">. </w:t>
      </w:r>
      <w:r w:rsidR="003F2D80">
        <w:rPr>
          <w:noProof/>
          <w:lang w:val="fr-FR"/>
        </w:rPr>
        <w:t xml:space="preserve">Les données </w:t>
      </w:r>
      <w:r w:rsidR="00075AC0" w:rsidRPr="00DD03D6">
        <w:rPr>
          <w:noProof/>
          <w:lang w:val="fr-FR"/>
        </w:rPr>
        <w:t>collect</w:t>
      </w:r>
      <w:r w:rsidR="003F2D80">
        <w:rPr>
          <w:noProof/>
          <w:lang w:val="fr-FR"/>
        </w:rPr>
        <w:t>ées et</w:t>
      </w:r>
      <w:r w:rsidR="00075AC0" w:rsidRPr="00DD03D6">
        <w:rPr>
          <w:noProof/>
          <w:lang w:val="fr-FR"/>
        </w:rPr>
        <w:t>/o</w:t>
      </w:r>
      <w:r w:rsidR="003F2D80">
        <w:rPr>
          <w:noProof/>
          <w:lang w:val="fr-FR"/>
        </w:rPr>
        <w:t>u</w:t>
      </w:r>
      <w:r w:rsidR="00075AC0" w:rsidRPr="00DD03D6">
        <w:rPr>
          <w:noProof/>
          <w:lang w:val="fr-FR"/>
        </w:rPr>
        <w:t xml:space="preserve"> analys</w:t>
      </w:r>
      <w:r w:rsidR="003F2D80">
        <w:rPr>
          <w:noProof/>
          <w:lang w:val="fr-FR"/>
        </w:rPr>
        <w:t>ées par sa Division des statistiques s</w:t>
      </w:r>
      <w:r w:rsidR="00075AC0" w:rsidRPr="00DD03D6">
        <w:rPr>
          <w:noProof/>
          <w:lang w:val="fr-FR"/>
        </w:rPr>
        <w:t>ocial</w:t>
      </w:r>
      <w:r w:rsidR="003F2D80">
        <w:rPr>
          <w:noProof/>
          <w:lang w:val="fr-FR"/>
        </w:rPr>
        <w:t>es</w:t>
      </w:r>
      <w:r w:rsidR="00075AC0" w:rsidRPr="00DD03D6">
        <w:rPr>
          <w:noProof/>
          <w:lang w:val="fr-FR"/>
        </w:rPr>
        <w:t xml:space="preserve"> </w:t>
      </w:r>
      <w:r w:rsidR="003F2D80">
        <w:rPr>
          <w:noProof/>
          <w:lang w:val="fr-FR"/>
        </w:rPr>
        <w:t>et</w:t>
      </w:r>
      <w:r w:rsidR="00075AC0" w:rsidRPr="00DD03D6">
        <w:rPr>
          <w:noProof/>
          <w:lang w:val="fr-FR"/>
        </w:rPr>
        <w:t xml:space="preserve"> </w:t>
      </w:r>
      <w:r w:rsidR="003F2D80">
        <w:rPr>
          <w:noProof/>
          <w:lang w:val="fr-FR"/>
        </w:rPr>
        <w:t>dé</w:t>
      </w:r>
      <w:r w:rsidR="00075AC0" w:rsidRPr="00DD03D6">
        <w:rPr>
          <w:noProof/>
          <w:lang w:val="fr-FR"/>
        </w:rPr>
        <w:t>mographi</w:t>
      </w:r>
      <w:r w:rsidR="003F2D80">
        <w:rPr>
          <w:noProof/>
          <w:lang w:val="fr-FR"/>
        </w:rPr>
        <w:t xml:space="preserve">ques </w:t>
      </w:r>
      <w:r w:rsidR="00075AC0" w:rsidRPr="00DD03D6">
        <w:rPr>
          <w:noProof/>
          <w:lang w:val="fr-FR"/>
        </w:rPr>
        <w:t>(</w:t>
      </w:r>
      <w:r w:rsidR="003F2D80">
        <w:rPr>
          <w:noProof/>
          <w:lang w:val="fr-FR"/>
        </w:rPr>
        <w:t>c’est-à-dire le recensement de la</w:t>
      </w:r>
      <w:r w:rsidR="003F2D80" w:rsidRPr="00DD03D6">
        <w:rPr>
          <w:noProof/>
          <w:lang w:val="fr-FR"/>
        </w:rPr>
        <w:t xml:space="preserve"> </w:t>
      </w:r>
      <w:r w:rsidR="003F2D80">
        <w:rPr>
          <w:noProof/>
          <w:lang w:val="fr-FR"/>
        </w:rPr>
        <w:t>p</w:t>
      </w:r>
      <w:r w:rsidR="00075AC0" w:rsidRPr="00DD03D6">
        <w:rPr>
          <w:noProof/>
          <w:lang w:val="fr-FR"/>
        </w:rPr>
        <w:t xml:space="preserve">opulation, </w:t>
      </w:r>
      <w:r w:rsidR="00300A2B">
        <w:rPr>
          <w:noProof/>
          <w:lang w:val="fr-FR"/>
        </w:rPr>
        <w:t>l’</w:t>
      </w:r>
      <w:r w:rsidR="003F2D80">
        <w:rPr>
          <w:noProof/>
          <w:lang w:val="fr-FR"/>
        </w:rPr>
        <w:t xml:space="preserve">enquête sur le budget des </w:t>
      </w:r>
      <w:r w:rsidR="003F2D80">
        <w:rPr>
          <w:noProof/>
          <w:lang w:val="fr-FR"/>
        </w:rPr>
        <w:lastRenderedPageBreak/>
        <w:t>ménages</w:t>
      </w:r>
      <w:r w:rsidR="00075AC0" w:rsidRPr="00DD03D6">
        <w:rPr>
          <w:noProof/>
          <w:lang w:val="fr-FR"/>
        </w:rPr>
        <w:t xml:space="preserve">, </w:t>
      </w:r>
      <w:r w:rsidR="00C80D23">
        <w:rPr>
          <w:noProof/>
          <w:lang w:val="fr-FR"/>
        </w:rPr>
        <w:t>les enquêtes nationales</w:t>
      </w:r>
      <w:r w:rsidR="005656AF">
        <w:rPr>
          <w:noProof/>
          <w:lang w:val="fr-FR"/>
        </w:rPr>
        <w:t xml:space="preserve"> trimestrielles sur les ménages</w:t>
      </w:r>
      <w:r w:rsidR="00075AC0" w:rsidRPr="00DD03D6">
        <w:rPr>
          <w:noProof/>
          <w:lang w:val="fr-FR"/>
        </w:rPr>
        <w:t xml:space="preserve">, </w:t>
      </w:r>
      <w:r w:rsidR="00C80D23">
        <w:rPr>
          <w:noProof/>
          <w:lang w:val="fr-FR"/>
        </w:rPr>
        <w:t>les enquêtes sur le revenu et les conditions de vie</w:t>
      </w:r>
      <w:r w:rsidR="005656AF">
        <w:rPr>
          <w:noProof/>
          <w:lang w:val="fr-FR"/>
        </w:rPr>
        <w:t>,</w:t>
      </w:r>
      <w:r w:rsidR="00075AC0" w:rsidRPr="00DD03D6">
        <w:rPr>
          <w:noProof/>
          <w:lang w:val="fr-FR"/>
        </w:rPr>
        <w:t xml:space="preserve"> </w:t>
      </w:r>
      <w:r w:rsidR="00C80D23">
        <w:rPr>
          <w:noProof/>
          <w:lang w:val="fr-FR"/>
        </w:rPr>
        <w:t xml:space="preserve">et les </w:t>
      </w:r>
      <w:r w:rsidR="0051662E">
        <w:rPr>
          <w:noProof/>
          <w:lang w:val="fr-FR"/>
        </w:rPr>
        <w:t>statistique</w:t>
      </w:r>
      <w:r w:rsidR="00075AC0" w:rsidRPr="00DD03D6">
        <w:rPr>
          <w:noProof/>
          <w:lang w:val="fr-FR"/>
        </w:rPr>
        <w:t>s</w:t>
      </w:r>
      <w:r w:rsidR="0051662E">
        <w:rPr>
          <w:noProof/>
          <w:lang w:val="fr-FR"/>
        </w:rPr>
        <w:t xml:space="preserve"> de l’état civil) contribuent pour beaucoup à l’accumulation des données sur les enfants en Irlande</w:t>
      </w:r>
      <w:r w:rsidR="00075AC0" w:rsidRPr="00DD03D6">
        <w:rPr>
          <w:noProof/>
          <w:lang w:val="fr-FR"/>
        </w:rPr>
        <w:t xml:space="preserve">. </w:t>
      </w:r>
      <w:r w:rsidR="0051662E">
        <w:rPr>
          <w:noProof/>
          <w:lang w:val="fr-FR"/>
        </w:rPr>
        <w:t>E</w:t>
      </w:r>
      <w:r w:rsidR="00075AC0" w:rsidRPr="00DD03D6">
        <w:rPr>
          <w:noProof/>
          <w:lang w:val="fr-FR"/>
        </w:rPr>
        <w:t xml:space="preserve">n </w:t>
      </w:r>
      <w:r w:rsidR="0051662E">
        <w:rPr>
          <w:noProof/>
          <w:lang w:val="fr-FR"/>
        </w:rPr>
        <w:t>outre, les activités de diffusion des données menées par ce Bureau représentent une source d’information inestimable</w:t>
      </w:r>
      <w:r w:rsidR="00075AC0" w:rsidRPr="00DD03D6">
        <w:rPr>
          <w:noProof/>
          <w:lang w:val="fr-FR"/>
        </w:rPr>
        <w:t xml:space="preserve">; </w:t>
      </w:r>
      <w:r w:rsidR="0051662E">
        <w:rPr>
          <w:noProof/>
          <w:lang w:val="fr-FR"/>
        </w:rPr>
        <w:t>ell</w:t>
      </w:r>
      <w:r w:rsidR="00741E6F">
        <w:rPr>
          <w:noProof/>
          <w:lang w:val="fr-FR"/>
        </w:rPr>
        <w:t>es apportent souvent une attent</w:t>
      </w:r>
      <w:r w:rsidR="0051662E">
        <w:rPr>
          <w:noProof/>
          <w:lang w:val="fr-FR"/>
        </w:rPr>
        <w:t xml:space="preserve">ion particulière </w:t>
      </w:r>
      <w:r w:rsidR="00741E6F">
        <w:rPr>
          <w:noProof/>
          <w:lang w:val="fr-FR"/>
        </w:rPr>
        <w:t>aux enfants</w:t>
      </w:r>
      <w:r w:rsidR="00075AC0" w:rsidRPr="00DD03D6">
        <w:rPr>
          <w:noProof/>
          <w:lang w:val="fr-FR"/>
        </w:rPr>
        <w:t xml:space="preserve">, </w:t>
      </w:r>
      <w:r w:rsidR="00741E6F">
        <w:rPr>
          <w:noProof/>
          <w:lang w:val="fr-FR"/>
        </w:rPr>
        <w:t xml:space="preserve">comme dans le cas des publications intitulées </w:t>
      </w:r>
      <w:r w:rsidR="00075AC0" w:rsidRPr="00DD03D6">
        <w:rPr>
          <w:i/>
          <w:iCs/>
          <w:noProof/>
          <w:lang w:val="fr-FR"/>
        </w:rPr>
        <w:t>Children and Young People in Ireland 2008</w:t>
      </w:r>
      <w:r w:rsidR="00075AC0" w:rsidRPr="00DD03D6">
        <w:rPr>
          <w:noProof/>
          <w:lang w:val="fr-FR"/>
        </w:rPr>
        <w:t xml:space="preserve"> </w:t>
      </w:r>
      <w:r w:rsidR="00741E6F">
        <w:rPr>
          <w:noProof/>
          <w:lang w:val="fr-FR"/>
        </w:rPr>
        <w:t xml:space="preserve">(Les enfants et les jeunes en Irlande 2008) </w:t>
      </w:r>
      <w:r w:rsidR="00075AC0" w:rsidRPr="00DD03D6">
        <w:rPr>
          <w:noProof/>
          <w:lang w:val="fr-FR"/>
        </w:rPr>
        <w:t xml:space="preserve">(CSO, 2009) </w:t>
      </w:r>
      <w:r w:rsidR="00741E6F">
        <w:rPr>
          <w:noProof/>
          <w:lang w:val="fr-FR"/>
        </w:rPr>
        <w:t xml:space="preserve">et </w:t>
      </w:r>
      <w:r w:rsidR="00075AC0" w:rsidRPr="00DD03D6">
        <w:rPr>
          <w:i/>
          <w:iCs/>
          <w:noProof/>
          <w:lang w:val="fr-FR"/>
        </w:rPr>
        <w:t>SILC Thematic Report on Children 2004-2010</w:t>
      </w:r>
      <w:r w:rsidR="00075AC0" w:rsidRPr="00DD03D6">
        <w:rPr>
          <w:noProof/>
          <w:lang w:val="fr-FR"/>
        </w:rPr>
        <w:t xml:space="preserve"> </w:t>
      </w:r>
      <w:r w:rsidR="00741E6F">
        <w:rPr>
          <w:noProof/>
          <w:lang w:val="fr-FR"/>
        </w:rPr>
        <w:t xml:space="preserve">(Rapport thématique sur les enfants établi à partir d’enquêtes sur le revenu et les conditions de vie 2004-2010 </w:t>
      </w:r>
      <w:r w:rsidR="00075AC0" w:rsidRPr="00DD03D6">
        <w:rPr>
          <w:noProof/>
          <w:lang w:val="fr-FR"/>
        </w:rPr>
        <w:t>(CSO, 2012c).</w:t>
      </w:r>
    </w:p>
    <w:p w:rsidR="00075AC0" w:rsidRDefault="00741E6F" w:rsidP="00F769C1">
      <w:pPr>
        <w:pStyle w:val="SingleTxtG"/>
        <w:numPr>
          <w:ilvl w:val="0"/>
          <w:numId w:val="3"/>
        </w:numPr>
        <w:ind w:left="1134" w:firstLine="0"/>
        <w:rPr>
          <w:noProof/>
          <w:lang w:val="fr-FR"/>
        </w:rPr>
      </w:pPr>
      <w:r>
        <w:rPr>
          <w:noProof/>
          <w:lang w:val="fr-FR"/>
        </w:rPr>
        <w:t>De surcroît</w:t>
      </w:r>
      <w:r w:rsidR="00075AC0" w:rsidRPr="00DD03D6">
        <w:rPr>
          <w:noProof/>
          <w:lang w:val="fr-FR"/>
        </w:rPr>
        <w:t xml:space="preserve">, </w:t>
      </w:r>
      <w:r>
        <w:rPr>
          <w:noProof/>
          <w:lang w:val="fr-FR"/>
        </w:rPr>
        <w:t>s’appuyant sur les activités déjà menées par le Bureau central de statistique dans le cadre de la mise en œuvre de la</w:t>
      </w:r>
      <w:r w:rsidR="00075AC0" w:rsidRPr="00DD03D6">
        <w:rPr>
          <w:noProof/>
          <w:lang w:val="fr-FR"/>
        </w:rPr>
        <w:t xml:space="preserve"> </w:t>
      </w:r>
      <w:r w:rsidR="00075AC0" w:rsidRPr="00DD03D6">
        <w:rPr>
          <w:i/>
          <w:iCs/>
          <w:noProof/>
          <w:lang w:val="fr-FR"/>
        </w:rPr>
        <w:t>Strat</w:t>
      </w:r>
      <w:r>
        <w:rPr>
          <w:i/>
          <w:iCs/>
          <w:noProof/>
          <w:lang w:val="fr-FR"/>
        </w:rPr>
        <w:t>égie pour les s</w:t>
      </w:r>
      <w:r w:rsidR="00075AC0" w:rsidRPr="00DD03D6">
        <w:rPr>
          <w:i/>
          <w:iCs/>
          <w:noProof/>
          <w:lang w:val="fr-FR"/>
        </w:rPr>
        <w:t>tatisti</w:t>
      </w:r>
      <w:r>
        <w:rPr>
          <w:i/>
          <w:iCs/>
          <w:noProof/>
          <w:lang w:val="fr-FR"/>
        </w:rPr>
        <w:t>que</w:t>
      </w:r>
      <w:r w:rsidR="00075AC0" w:rsidRPr="00DD03D6">
        <w:rPr>
          <w:i/>
          <w:iCs/>
          <w:noProof/>
          <w:lang w:val="fr-FR"/>
        </w:rPr>
        <w:t>s, 2003-2008</w:t>
      </w:r>
      <w:r w:rsidR="00075AC0" w:rsidRPr="00DD03D6">
        <w:rPr>
          <w:noProof/>
          <w:lang w:val="fr-FR"/>
        </w:rPr>
        <w:t xml:space="preserve"> (NSB, 2003)</w:t>
      </w:r>
      <w:r>
        <w:rPr>
          <w:noProof/>
          <w:lang w:val="fr-FR"/>
        </w:rPr>
        <w:t xml:space="preserve"> du </w:t>
      </w:r>
      <w:r w:rsidR="006F599B">
        <w:rPr>
          <w:noProof/>
          <w:lang w:val="fr-FR"/>
        </w:rPr>
        <w:t xml:space="preserve">Conseil national de statistique </w:t>
      </w:r>
      <w:r w:rsidR="00075AC0" w:rsidRPr="00DD03D6">
        <w:rPr>
          <w:noProof/>
          <w:lang w:val="fr-FR"/>
        </w:rPr>
        <w:t>(</w:t>
      </w:r>
      <w:r w:rsidR="006F599B">
        <w:rPr>
          <w:noProof/>
          <w:lang w:val="fr-FR"/>
        </w:rPr>
        <w:t>par exemple l’évaluation du potentie</w:t>
      </w:r>
      <w:r w:rsidR="00075AC0" w:rsidRPr="00DD03D6">
        <w:rPr>
          <w:noProof/>
          <w:lang w:val="fr-FR"/>
        </w:rPr>
        <w:t xml:space="preserve">l </w:t>
      </w:r>
      <w:r w:rsidR="006F599B">
        <w:rPr>
          <w:noProof/>
          <w:lang w:val="fr-FR"/>
        </w:rPr>
        <w:t xml:space="preserve">statistique des dossiers administratifs et l’aide </w:t>
      </w:r>
      <w:r w:rsidR="00185569">
        <w:rPr>
          <w:noProof/>
          <w:lang w:val="fr-FR"/>
        </w:rPr>
        <w:t>aux ministères en matière d’</w:t>
      </w:r>
      <w:r w:rsidR="006F599B">
        <w:rPr>
          <w:noProof/>
          <w:lang w:val="fr-FR"/>
        </w:rPr>
        <w:t xml:space="preserve">élaboration de </w:t>
      </w:r>
      <w:r w:rsidR="00075AC0" w:rsidRPr="00DD03D6">
        <w:rPr>
          <w:noProof/>
          <w:lang w:val="fr-FR"/>
        </w:rPr>
        <w:t>strat</w:t>
      </w:r>
      <w:r w:rsidR="00185569">
        <w:rPr>
          <w:noProof/>
          <w:lang w:val="fr-FR"/>
        </w:rPr>
        <w:t>é</w:t>
      </w:r>
      <w:r w:rsidR="00075AC0" w:rsidRPr="00DD03D6">
        <w:rPr>
          <w:noProof/>
          <w:lang w:val="fr-FR"/>
        </w:rPr>
        <w:t xml:space="preserve">gies </w:t>
      </w:r>
      <w:r w:rsidR="00185569">
        <w:rPr>
          <w:noProof/>
          <w:lang w:val="fr-FR"/>
        </w:rPr>
        <w:t>statistiques</w:t>
      </w:r>
      <w:r w:rsidR="00075AC0" w:rsidRPr="00DD03D6">
        <w:rPr>
          <w:noProof/>
          <w:lang w:val="fr-FR"/>
        </w:rPr>
        <w:t xml:space="preserve">), </w:t>
      </w:r>
      <w:r w:rsidR="00185569">
        <w:rPr>
          <w:noProof/>
          <w:lang w:val="fr-FR"/>
        </w:rPr>
        <w:t xml:space="preserve">la dernière stratégie en date, portant sur la période </w:t>
      </w:r>
      <w:r w:rsidR="00075AC0" w:rsidRPr="00DD03D6">
        <w:rPr>
          <w:noProof/>
          <w:lang w:val="fr-FR"/>
        </w:rPr>
        <w:t>2009-2014 (NSB, 2009)</w:t>
      </w:r>
      <w:r w:rsidR="005656AF">
        <w:rPr>
          <w:noProof/>
          <w:lang w:val="fr-FR"/>
        </w:rPr>
        <w:t>,</w:t>
      </w:r>
      <w:r w:rsidR="00075AC0" w:rsidRPr="00DD03D6">
        <w:rPr>
          <w:noProof/>
          <w:lang w:val="fr-FR"/>
        </w:rPr>
        <w:t xml:space="preserve"> </w:t>
      </w:r>
      <w:r w:rsidR="00157A93">
        <w:rPr>
          <w:noProof/>
          <w:lang w:val="fr-FR"/>
        </w:rPr>
        <w:t>a défini les cinq priorités ci-après</w:t>
      </w:r>
      <w:r w:rsidR="00D97618">
        <w:rPr>
          <w:noProof/>
          <w:lang w:val="fr-FR"/>
        </w:rPr>
        <w:t> </w:t>
      </w:r>
      <w:r w:rsidR="00075AC0" w:rsidRPr="00DD03D6">
        <w:rPr>
          <w:noProof/>
          <w:lang w:val="fr-FR"/>
        </w:rPr>
        <w:t>:</w:t>
      </w:r>
    </w:p>
    <w:p w:rsidR="00075AC0" w:rsidRPr="00DD03D6" w:rsidRDefault="00892208" w:rsidP="00413CF6">
      <w:pPr>
        <w:pStyle w:val="Bullet1G"/>
        <w:tabs>
          <w:tab w:val="clear" w:pos="1701"/>
        </w:tabs>
        <w:ind w:left="1843" w:hanging="142"/>
        <w:rPr>
          <w:noProof/>
          <w:lang w:val="fr-FR"/>
        </w:rPr>
      </w:pPr>
      <w:r>
        <w:rPr>
          <w:noProof/>
          <w:lang w:val="fr-FR"/>
        </w:rPr>
        <w:t xml:space="preserve">Veiller à ce que le système statistique irlandais soit </w:t>
      </w:r>
      <w:r w:rsidR="00075AC0" w:rsidRPr="00DD03D6">
        <w:rPr>
          <w:noProof/>
          <w:lang w:val="fr-FR"/>
        </w:rPr>
        <w:t>coh</w:t>
      </w:r>
      <w:r>
        <w:rPr>
          <w:noProof/>
          <w:lang w:val="fr-FR"/>
        </w:rPr>
        <w:t>é</w:t>
      </w:r>
      <w:r w:rsidR="00075AC0" w:rsidRPr="00DD03D6">
        <w:rPr>
          <w:noProof/>
          <w:lang w:val="fr-FR"/>
        </w:rPr>
        <w:t xml:space="preserve">rent </w:t>
      </w:r>
      <w:r>
        <w:rPr>
          <w:noProof/>
          <w:lang w:val="fr-FR"/>
        </w:rPr>
        <w:t>et puisse réaliser pleinement son potentie</w:t>
      </w:r>
      <w:r w:rsidR="00075AC0" w:rsidRPr="00DD03D6">
        <w:rPr>
          <w:noProof/>
          <w:lang w:val="fr-FR"/>
        </w:rPr>
        <w:t xml:space="preserve">l </w:t>
      </w:r>
      <w:r>
        <w:rPr>
          <w:noProof/>
          <w:lang w:val="fr-FR"/>
        </w:rPr>
        <w:t xml:space="preserve">pour ce qui est de </w:t>
      </w:r>
      <w:r w:rsidR="00075AC0" w:rsidRPr="00DD03D6">
        <w:rPr>
          <w:noProof/>
          <w:lang w:val="fr-FR"/>
        </w:rPr>
        <w:t>produ</w:t>
      </w:r>
      <w:r>
        <w:rPr>
          <w:noProof/>
          <w:lang w:val="fr-FR"/>
        </w:rPr>
        <w:t xml:space="preserve">ire des statistiques </w:t>
      </w:r>
      <w:r w:rsidR="004926F8">
        <w:rPr>
          <w:noProof/>
          <w:lang w:val="fr-FR"/>
        </w:rPr>
        <w:t>utile</w:t>
      </w:r>
      <w:r>
        <w:rPr>
          <w:noProof/>
          <w:lang w:val="fr-FR"/>
        </w:rPr>
        <w:t xml:space="preserve">s, </w:t>
      </w:r>
      <w:r w:rsidR="00075AC0" w:rsidRPr="00413CF6">
        <w:rPr>
          <w:color w:val="000000"/>
          <w:lang w:val="fr-FR"/>
        </w:rPr>
        <w:t>impartial</w:t>
      </w:r>
      <w:r w:rsidRPr="00413CF6">
        <w:rPr>
          <w:color w:val="000000"/>
          <w:lang w:val="fr-FR"/>
        </w:rPr>
        <w:t>es</w:t>
      </w:r>
      <w:r w:rsidR="00075AC0" w:rsidRPr="00DD03D6">
        <w:rPr>
          <w:noProof/>
          <w:lang w:val="fr-FR"/>
        </w:rPr>
        <w:t xml:space="preserve"> </w:t>
      </w:r>
      <w:r>
        <w:rPr>
          <w:noProof/>
          <w:lang w:val="fr-FR"/>
        </w:rPr>
        <w:t>et fiables pouvant éclairer les décisions de politique générale et les décisions financières</w:t>
      </w:r>
      <w:r w:rsidR="00075AC0" w:rsidRPr="00DD03D6">
        <w:rPr>
          <w:noProof/>
          <w:lang w:val="fr-FR"/>
        </w:rPr>
        <w:t>;</w:t>
      </w:r>
    </w:p>
    <w:p w:rsidR="00075AC0" w:rsidRPr="00DD03D6" w:rsidRDefault="00892208" w:rsidP="00413CF6">
      <w:pPr>
        <w:pStyle w:val="Bullet1G"/>
        <w:tabs>
          <w:tab w:val="clear" w:pos="1701"/>
        </w:tabs>
        <w:ind w:left="1843" w:hanging="142"/>
        <w:rPr>
          <w:noProof/>
          <w:lang w:val="fr-FR"/>
        </w:rPr>
      </w:pPr>
      <w:r>
        <w:rPr>
          <w:noProof/>
          <w:lang w:val="fr-FR"/>
        </w:rPr>
        <w:t xml:space="preserve">Améliorer le rapport coût-résultats et utiliser les ressources d’une manière plus efficace en priorisant les investissements dans les statistiques </w:t>
      </w:r>
      <w:r w:rsidR="00075AC0" w:rsidRPr="00DD03D6">
        <w:rPr>
          <w:noProof/>
          <w:lang w:val="fr-FR"/>
        </w:rPr>
        <w:t>(</w:t>
      </w:r>
      <w:r w:rsidR="00AB1E37">
        <w:rPr>
          <w:noProof/>
          <w:lang w:val="fr-FR"/>
        </w:rPr>
        <w:t>traitement, partage, stockage et protection des données, notamment</w:t>
      </w:r>
      <w:r w:rsidR="00075AC0" w:rsidRPr="00DD03D6">
        <w:rPr>
          <w:noProof/>
          <w:lang w:val="fr-FR"/>
        </w:rPr>
        <w:t xml:space="preserve">) </w:t>
      </w:r>
      <w:r w:rsidR="00AB1E37">
        <w:rPr>
          <w:noProof/>
          <w:lang w:val="fr-FR"/>
        </w:rPr>
        <w:t>dans tous les ministères et organismes publics</w:t>
      </w:r>
      <w:r w:rsidR="00075AC0" w:rsidRPr="00DD03D6">
        <w:rPr>
          <w:noProof/>
          <w:lang w:val="fr-FR"/>
        </w:rPr>
        <w:t xml:space="preserve">, </w:t>
      </w:r>
      <w:r w:rsidR="00AB1E37">
        <w:rPr>
          <w:noProof/>
          <w:lang w:val="fr-FR"/>
        </w:rPr>
        <w:t xml:space="preserve">et en faisant en sorte que les statistiques officielles puissent être utilisées dans tous les </w:t>
      </w:r>
      <w:r w:rsidR="00075AC0" w:rsidRPr="00DD03D6">
        <w:rPr>
          <w:noProof/>
          <w:lang w:val="fr-FR"/>
        </w:rPr>
        <w:t xml:space="preserve">aspects </w:t>
      </w:r>
      <w:r w:rsidR="00AB1E37">
        <w:rPr>
          <w:noProof/>
          <w:lang w:val="fr-FR"/>
        </w:rPr>
        <w:t>de la prise des décisions gouvernementales</w:t>
      </w:r>
      <w:r w:rsidR="00075AC0" w:rsidRPr="00DD03D6">
        <w:rPr>
          <w:noProof/>
          <w:lang w:val="fr-FR"/>
        </w:rPr>
        <w:t>;</w:t>
      </w:r>
    </w:p>
    <w:p w:rsidR="00075AC0" w:rsidRPr="00DD03D6" w:rsidRDefault="008443BC" w:rsidP="00413CF6">
      <w:pPr>
        <w:pStyle w:val="Bullet1G"/>
        <w:tabs>
          <w:tab w:val="clear" w:pos="1701"/>
        </w:tabs>
        <w:ind w:left="1843" w:hanging="142"/>
        <w:rPr>
          <w:noProof/>
          <w:lang w:val="fr-FR"/>
        </w:rPr>
      </w:pPr>
      <w:r>
        <w:rPr>
          <w:noProof/>
          <w:lang w:val="fr-FR"/>
        </w:rPr>
        <w:t xml:space="preserve">Mettre en place des systèmes </w:t>
      </w:r>
      <w:r w:rsidR="00747451">
        <w:rPr>
          <w:noProof/>
          <w:lang w:val="fr-FR"/>
        </w:rPr>
        <w:t xml:space="preserve">permettant de réduire au minimum </w:t>
      </w:r>
      <w:r w:rsidR="00747451">
        <w:rPr>
          <w:lang w:val="fr-FR"/>
        </w:rPr>
        <w:t xml:space="preserve">la charge que </w:t>
      </w:r>
      <w:r w:rsidR="00747451">
        <w:rPr>
          <w:noProof/>
          <w:lang w:val="fr-FR"/>
        </w:rPr>
        <w:t>représentent</w:t>
      </w:r>
      <w:r w:rsidR="00747451">
        <w:rPr>
          <w:lang w:val="fr-FR"/>
        </w:rPr>
        <w:t xml:space="preserve"> les réponses aux questionnaires pour les entreprises, les ménages et les particuliers </w:t>
      </w:r>
      <w:r w:rsidR="00747451">
        <w:rPr>
          <w:noProof/>
          <w:lang w:val="fr-FR"/>
        </w:rPr>
        <w:t>et de maximiser la valeur statistique des données d’enquête et des données administratives existantes en ajoutant</w:t>
      </w:r>
      <w:r w:rsidR="00075AC0" w:rsidRPr="00DD03D6">
        <w:rPr>
          <w:noProof/>
          <w:lang w:val="fr-FR"/>
        </w:rPr>
        <w:t xml:space="preserve"> </w:t>
      </w:r>
      <w:r w:rsidR="00CA33BE">
        <w:rPr>
          <w:noProof/>
          <w:lang w:val="fr-FR"/>
        </w:rPr>
        <w:t xml:space="preserve">des variables de classement cohérentes et des </w:t>
      </w:r>
      <w:r w:rsidR="004926F8">
        <w:rPr>
          <w:noProof/>
          <w:lang w:val="fr-FR"/>
        </w:rPr>
        <w:t>identifiants de rapprochement de données</w:t>
      </w:r>
      <w:r w:rsidR="00075AC0" w:rsidRPr="00DD03D6">
        <w:rPr>
          <w:noProof/>
          <w:lang w:val="fr-FR"/>
        </w:rPr>
        <w:t>;</w:t>
      </w:r>
    </w:p>
    <w:p w:rsidR="00075AC0" w:rsidRPr="00DD03D6" w:rsidRDefault="004926F8" w:rsidP="00413CF6">
      <w:pPr>
        <w:pStyle w:val="Bullet1G"/>
        <w:tabs>
          <w:tab w:val="clear" w:pos="1701"/>
        </w:tabs>
        <w:ind w:left="1843" w:hanging="142"/>
        <w:rPr>
          <w:noProof/>
          <w:lang w:val="fr-FR"/>
        </w:rPr>
      </w:pPr>
      <w:r>
        <w:rPr>
          <w:noProof/>
          <w:lang w:val="fr-FR"/>
        </w:rPr>
        <w:t xml:space="preserve">Faire en sorte que les statistiques officielles soient </w:t>
      </w:r>
      <w:r w:rsidR="00CC57A3">
        <w:rPr>
          <w:noProof/>
          <w:lang w:val="fr-FR"/>
        </w:rPr>
        <w:t>« </w:t>
      </w:r>
      <w:r>
        <w:rPr>
          <w:noProof/>
          <w:lang w:val="fr-FR"/>
        </w:rPr>
        <w:t>adaptées au but recherché</w:t>
      </w:r>
      <w:r w:rsidR="00CC57A3">
        <w:rPr>
          <w:noProof/>
          <w:lang w:val="fr-FR"/>
        </w:rPr>
        <w:t> »</w:t>
      </w:r>
      <w:r w:rsidR="00075AC0" w:rsidRPr="00DD03D6">
        <w:rPr>
          <w:noProof/>
          <w:lang w:val="fr-FR"/>
        </w:rPr>
        <w:t xml:space="preserve"> </w:t>
      </w:r>
      <w:r>
        <w:rPr>
          <w:noProof/>
          <w:lang w:val="fr-FR"/>
        </w:rPr>
        <w:t>en établissant un juste équilibre entre l’utilité</w:t>
      </w:r>
      <w:r w:rsidR="00075AC0" w:rsidRPr="00DD03D6">
        <w:rPr>
          <w:noProof/>
          <w:lang w:val="fr-FR"/>
        </w:rPr>
        <w:t xml:space="preserve">, </w:t>
      </w:r>
      <w:r>
        <w:rPr>
          <w:noProof/>
          <w:lang w:val="fr-FR"/>
        </w:rPr>
        <w:t>l’actualité</w:t>
      </w:r>
      <w:r w:rsidR="00075AC0" w:rsidRPr="00DD03D6">
        <w:rPr>
          <w:noProof/>
          <w:lang w:val="fr-FR"/>
        </w:rPr>
        <w:t xml:space="preserve">, </w:t>
      </w:r>
      <w:r>
        <w:rPr>
          <w:noProof/>
          <w:lang w:val="fr-FR"/>
        </w:rPr>
        <w:t xml:space="preserve">le coût et la </w:t>
      </w:r>
      <w:r w:rsidR="00075AC0" w:rsidRPr="00DD03D6">
        <w:rPr>
          <w:noProof/>
          <w:lang w:val="fr-FR"/>
        </w:rPr>
        <w:t>qualit</w:t>
      </w:r>
      <w:r>
        <w:rPr>
          <w:noProof/>
          <w:lang w:val="fr-FR"/>
        </w:rPr>
        <w:t>é des données de façon à pouvoir combler les principales lacunes et répondre aux nouveaux besoins</w:t>
      </w:r>
      <w:r w:rsidR="00075AC0" w:rsidRPr="00DD03D6">
        <w:rPr>
          <w:noProof/>
          <w:lang w:val="fr-FR"/>
        </w:rPr>
        <w:t>;</w:t>
      </w:r>
    </w:p>
    <w:p w:rsidR="00075AC0" w:rsidRPr="00DD03D6" w:rsidRDefault="004926F8" w:rsidP="00413CF6">
      <w:pPr>
        <w:pStyle w:val="Bullet1G"/>
        <w:tabs>
          <w:tab w:val="clear" w:pos="1701"/>
        </w:tabs>
        <w:ind w:left="1843" w:hanging="142"/>
        <w:rPr>
          <w:noProof/>
          <w:lang w:val="fr-FR"/>
        </w:rPr>
      </w:pPr>
      <w:r>
        <w:rPr>
          <w:noProof/>
          <w:lang w:val="fr-FR"/>
        </w:rPr>
        <w:t xml:space="preserve">Faire fond sur les </w:t>
      </w:r>
      <w:r w:rsidR="00075AC0" w:rsidRPr="00DD03D6">
        <w:rPr>
          <w:noProof/>
          <w:lang w:val="fr-FR"/>
        </w:rPr>
        <w:t>progr</w:t>
      </w:r>
      <w:r>
        <w:rPr>
          <w:noProof/>
          <w:lang w:val="fr-FR"/>
        </w:rPr>
        <w:t>ès réalisés au cours d</w:t>
      </w:r>
      <w:r w:rsidR="00075AC0" w:rsidRPr="00DD03D6">
        <w:rPr>
          <w:noProof/>
          <w:lang w:val="fr-FR"/>
        </w:rPr>
        <w:t>es</w:t>
      </w:r>
      <w:r>
        <w:rPr>
          <w:noProof/>
          <w:lang w:val="fr-FR"/>
        </w:rPr>
        <w:t xml:space="preserve"> dernière</w:t>
      </w:r>
      <w:r w:rsidR="00075AC0" w:rsidRPr="00DD03D6">
        <w:rPr>
          <w:noProof/>
          <w:lang w:val="fr-FR"/>
        </w:rPr>
        <w:t xml:space="preserve">s </w:t>
      </w:r>
      <w:r>
        <w:rPr>
          <w:noProof/>
          <w:lang w:val="fr-FR"/>
        </w:rPr>
        <w:t xml:space="preserve">années en </w:t>
      </w:r>
      <w:r w:rsidR="00075AC0" w:rsidRPr="00DD03D6">
        <w:rPr>
          <w:noProof/>
          <w:lang w:val="fr-FR"/>
        </w:rPr>
        <w:t>continu</w:t>
      </w:r>
      <w:r>
        <w:rPr>
          <w:noProof/>
          <w:lang w:val="fr-FR"/>
        </w:rPr>
        <w:t>ant de prioriser l’accessibilité des statistiques pour les uti</w:t>
      </w:r>
      <w:r w:rsidR="00A74275">
        <w:rPr>
          <w:noProof/>
          <w:lang w:val="fr-FR"/>
        </w:rPr>
        <w:t>l</w:t>
      </w:r>
      <w:r>
        <w:rPr>
          <w:noProof/>
          <w:lang w:val="fr-FR"/>
        </w:rPr>
        <w:t xml:space="preserve">isateurs </w:t>
      </w:r>
      <w:r w:rsidR="00A74275">
        <w:rPr>
          <w:noProof/>
          <w:lang w:val="fr-FR"/>
        </w:rPr>
        <w:t>et, à cette fin, en améliorant les voies d’accès et en encourageant l’utilisation des statistiques du Bureau central de statistique</w:t>
      </w:r>
      <w:r w:rsidR="00075AC0" w:rsidRPr="00DD03D6">
        <w:rPr>
          <w:noProof/>
          <w:lang w:val="fr-FR"/>
        </w:rPr>
        <w:t>.</w:t>
      </w:r>
    </w:p>
    <w:p w:rsidR="00075AC0" w:rsidRPr="00DD03D6" w:rsidRDefault="00075AC0" w:rsidP="002A1CB1">
      <w:pPr>
        <w:pStyle w:val="H23G"/>
        <w:rPr>
          <w:noProof/>
          <w:lang w:val="fr-FR"/>
        </w:rPr>
      </w:pPr>
      <w:r w:rsidRPr="00DD03D6">
        <w:rPr>
          <w:noProof/>
          <w:lang w:val="fr-FR"/>
        </w:rPr>
        <w:tab/>
      </w:r>
      <w:r w:rsidRPr="00DD03D6">
        <w:rPr>
          <w:noProof/>
          <w:lang w:val="fr-FR"/>
        </w:rPr>
        <w:tab/>
        <w:t>Di</w:t>
      </w:r>
      <w:r w:rsidR="00A74275">
        <w:rPr>
          <w:noProof/>
          <w:lang w:val="fr-FR"/>
        </w:rPr>
        <w:t>ffusion</w:t>
      </w:r>
      <w:r w:rsidRPr="00DD03D6">
        <w:rPr>
          <w:noProof/>
          <w:lang w:val="fr-FR"/>
        </w:rPr>
        <w:t xml:space="preserve">, </w:t>
      </w:r>
      <w:r w:rsidR="00A74275">
        <w:rPr>
          <w:noProof/>
          <w:lang w:val="fr-FR"/>
        </w:rPr>
        <w:t xml:space="preserve">formation et sensibilisation </w:t>
      </w:r>
      <w:r w:rsidRPr="00DD03D6">
        <w:rPr>
          <w:noProof/>
          <w:lang w:val="fr-FR"/>
        </w:rPr>
        <w:t>(</w:t>
      </w:r>
      <w:r w:rsidR="00A74275">
        <w:rPr>
          <w:noProof/>
          <w:lang w:val="fr-FR"/>
        </w:rPr>
        <w:t xml:space="preserve">voir les </w:t>
      </w:r>
      <w:r w:rsidR="002A1CB1" w:rsidRPr="00DD03D6">
        <w:rPr>
          <w:noProof/>
          <w:lang w:val="fr-FR"/>
        </w:rPr>
        <w:t>c</w:t>
      </w:r>
      <w:r w:rsidR="00520CB9" w:rsidRPr="00DD03D6">
        <w:rPr>
          <w:noProof/>
          <w:lang w:val="fr-FR"/>
        </w:rPr>
        <w:t>hap</w:t>
      </w:r>
      <w:r w:rsidR="00A74275">
        <w:rPr>
          <w:noProof/>
          <w:lang w:val="fr-FR"/>
        </w:rPr>
        <w:t xml:space="preserve">itres </w:t>
      </w:r>
      <w:r w:rsidRPr="00DD03D6">
        <w:rPr>
          <w:noProof/>
          <w:lang w:val="fr-FR"/>
        </w:rPr>
        <w:t xml:space="preserve">1 </w:t>
      </w:r>
      <w:r w:rsidR="00A74275">
        <w:rPr>
          <w:noProof/>
          <w:lang w:val="fr-FR"/>
        </w:rPr>
        <w:t>et</w:t>
      </w:r>
      <w:r w:rsidRPr="00DD03D6">
        <w:rPr>
          <w:noProof/>
          <w:lang w:val="fr-FR"/>
        </w:rPr>
        <w:t xml:space="preserve"> 7)</w:t>
      </w:r>
    </w:p>
    <w:p w:rsidR="00075AC0" w:rsidRPr="00DD03D6" w:rsidRDefault="00A74275" w:rsidP="00075AC0">
      <w:pPr>
        <w:pStyle w:val="SingleTxtG"/>
        <w:numPr>
          <w:ilvl w:val="0"/>
          <w:numId w:val="3"/>
        </w:numPr>
        <w:ind w:left="1134" w:firstLine="0"/>
        <w:rPr>
          <w:noProof/>
          <w:lang w:val="fr-FR"/>
        </w:rPr>
      </w:pPr>
      <w:r w:rsidRPr="00AE3B49">
        <w:rPr>
          <w:b/>
          <w:bCs/>
          <w:lang w:val="fr-FR"/>
        </w:rPr>
        <w:t>Le Comité encourage l’État partie à poursuivre ses efforts pour diffuser largement la Convention de sorte que les adultes comme les enfants en connaissent et en comprennent les dispositions, notamment en organisant régulièrement des campagnes de sensibilisation à l’échelle nationale, avec des outils facilement utilisables par les enfants, ainsi que des campagnes ciblées et des formations à l’intention des professionnels qui travaillent avec et pour les enfants − en particulier dans le domaine de l’éducation, de la santé et de la protection sociale −, des juristes et des responsables de l’application des lois</w:t>
      </w:r>
      <w:r w:rsidR="00075AC0" w:rsidRPr="00DD03D6">
        <w:rPr>
          <w:b/>
          <w:bCs/>
          <w:noProof/>
          <w:lang w:val="fr-FR"/>
        </w:rPr>
        <w:t>.</w:t>
      </w:r>
    </w:p>
    <w:p w:rsidR="00075AC0" w:rsidRPr="00DD03D6" w:rsidRDefault="00AE3B49" w:rsidP="006F02BB">
      <w:pPr>
        <w:pStyle w:val="SingleTxtG"/>
        <w:numPr>
          <w:ilvl w:val="0"/>
          <w:numId w:val="3"/>
        </w:numPr>
        <w:ind w:left="1134" w:firstLine="0"/>
        <w:rPr>
          <w:noProof/>
          <w:lang w:val="fr-FR"/>
        </w:rPr>
      </w:pPr>
      <w:r>
        <w:rPr>
          <w:noProof/>
          <w:lang w:val="fr-FR"/>
        </w:rPr>
        <w:t xml:space="preserve">Un certain </w:t>
      </w:r>
      <w:r w:rsidR="00075AC0" w:rsidRPr="00DD03D6">
        <w:rPr>
          <w:noProof/>
          <w:lang w:val="fr-FR"/>
        </w:rPr>
        <w:t>n</w:t>
      </w:r>
      <w:r>
        <w:rPr>
          <w:noProof/>
          <w:lang w:val="fr-FR"/>
        </w:rPr>
        <w:t xml:space="preserve">ombre d’activités de diffusion, de formation et de sensibilisation concernant tant la Convention que les droits des enfants ont été menées auprès des enfants, </w:t>
      </w:r>
      <w:r>
        <w:rPr>
          <w:noProof/>
          <w:lang w:val="fr-FR"/>
        </w:rPr>
        <w:lastRenderedPageBreak/>
        <w:t>des</w:t>
      </w:r>
      <w:r w:rsidR="00075AC0" w:rsidRPr="00DD03D6">
        <w:rPr>
          <w:noProof/>
          <w:lang w:val="fr-FR"/>
        </w:rPr>
        <w:t xml:space="preserve"> profession</w:t>
      </w:r>
      <w:r>
        <w:rPr>
          <w:noProof/>
          <w:lang w:val="fr-FR"/>
        </w:rPr>
        <w:t>ne</w:t>
      </w:r>
      <w:r w:rsidR="00075AC0" w:rsidRPr="00DD03D6">
        <w:rPr>
          <w:noProof/>
          <w:lang w:val="fr-FR"/>
        </w:rPr>
        <w:t xml:space="preserve">ls </w:t>
      </w:r>
      <w:r>
        <w:rPr>
          <w:noProof/>
          <w:lang w:val="fr-FR"/>
        </w:rPr>
        <w:t xml:space="preserve">et du </w:t>
      </w:r>
      <w:r w:rsidR="00075AC0" w:rsidRPr="00DD03D6">
        <w:rPr>
          <w:noProof/>
          <w:lang w:val="fr-FR"/>
        </w:rPr>
        <w:t xml:space="preserve">public, </w:t>
      </w:r>
      <w:r>
        <w:rPr>
          <w:noProof/>
          <w:lang w:val="fr-FR"/>
        </w:rPr>
        <w:t>et le présent rapport rend compte d’un grand nombre de ces activités</w:t>
      </w:r>
      <w:r w:rsidR="00075AC0" w:rsidRPr="00DD03D6">
        <w:rPr>
          <w:noProof/>
          <w:lang w:val="fr-FR"/>
        </w:rPr>
        <w:t xml:space="preserve">. </w:t>
      </w:r>
      <w:r w:rsidR="00477718">
        <w:rPr>
          <w:noProof/>
          <w:lang w:val="fr-FR"/>
        </w:rPr>
        <w:t>Ce sont notamment une formation aux droits de l’homme à l’intention d</w:t>
      </w:r>
      <w:r w:rsidR="006A33E2">
        <w:rPr>
          <w:noProof/>
          <w:lang w:val="fr-FR"/>
        </w:rPr>
        <w:t>e</w:t>
      </w:r>
      <w:r w:rsidR="00477718">
        <w:rPr>
          <w:noProof/>
          <w:lang w:val="fr-FR"/>
        </w:rPr>
        <w:t xml:space="preserve">s enseignants du primaire et du secondaire, la fourniture de directives sur la diversité à l’intention des prestataires de services d’éducation préscolaire, une formation </w:t>
      </w:r>
      <w:r w:rsidR="006D3092">
        <w:rPr>
          <w:noProof/>
          <w:lang w:val="fr-FR"/>
        </w:rPr>
        <w:t>dispensée par le personnel policier au sujet des enfants victimes et des jeunes délinquants</w:t>
      </w:r>
      <w:r w:rsidR="00075AC0" w:rsidRPr="00DD03D6">
        <w:rPr>
          <w:noProof/>
          <w:lang w:val="fr-FR"/>
        </w:rPr>
        <w:t xml:space="preserve">, </w:t>
      </w:r>
      <w:r w:rsidR="006D3092">
        <w:rPr>
          <w:noProof/>
          <w:lang w:val="fr-FR"/>
        </w:rPr>
        <w:t>et une formation spécifique à l’intention des personnes s’occupant d’enfants demandeurs d’asile et d’enfants pouvant avoir été victimes de la traite</w:t>
      </w:r>
      <w:r w:rsidR="00075AC0" w:rsidRPr="00DD03D6">
        <w:rPr>
          <w:noProof/>
          <w:lang w:val="fr-FR"/>
        </w:rPr>
        <w:t xml:space="preserve">. </w:t>
      </w:r>
      <w:r w:rsidR="006D3092">
        <w:rPr>
          <w:noProof/>
          <w:lang w:val="fr-FR"/>
        </w:rPr>
        <w:t>Les droits de l’homme figurent également au programme des études primaires et secondaires</w:t>
      </w:r>
      <w:r w:rsidR="00075AC0" w:rsidRPr="00DD03D6">
        <w:rPr>
          <w:noProof/>
          <w:lang w:val="fr-FR"/>
        </w:rPr>
        <w:t xml:space="preserve">. </w:t>
      </w:r>
      <w:r w:rsidR="006D3092">
        <w:rPr>
          <w:noProof/>
          <w:lang w:val="fr-FR"/>
        </w:rPr>
        <w:t xml:space="preserve">Un certain nombre de campagnes de sensibilisation ont été lancées sur des thèmes précis, </w:t>
      </w:r>
      <w:r w:rsidR="006A33E2">
        <w:rPr>
          <w:noProof/>
          <w:lang w:val="fr-FR"/>
        </w:rPr>
        <w:t>comme la santé mentale et la protection de l’enfant</w:t>
      </w:r>
      <w:r w:rsidR="00075AC0" w:rsidRPr="00DD03D6">
        <w:rPr>
          <w:noProof/>
          <w:lang w:val="fr-FR"/>
        </w:rPr>
        <w:t>.</w:t>
      </w:r>
    </w:p>
    <w:p w:rsidR="00075AC0" w:rsidRPr="00DD03D6" w:rsidRDefault="00075AC0" w:rsidP="002A1CB1">
      <w:pPr>
        <w:pStyle w:val="H23G"/>
        <w:rPr>
          <w:noProof/>
          <w:lang w:val="fr-FR"/>
        </w:rPr>
      </w:pPr>
      <w:r w:rsidRPr="00DD03D6">
        <w:rPr>
          <w:noProof/>
          <w:lang w:val="fr-FR"/>
        </w:rPr>
        <w:tab/>
      </w:r>
      <w:r w:rsidRPr="00DD03D6">
        <w:rPr>
          <w:noProof/>
          <w:lang w:val="fr-FR"/>
        </w:rPr>
        <w:tab/>
        <w:t>Non-</w:t>
      </w:r>
      <w:r w:rsidR="002A1CB1" w:rsidRPr="00DD03D6">
        <w:rPr>
          <w:noProof/>
          <w:lang w:val="fr-FR"/>
        </w:rPr>
        <w:t>d</w:t>
      </w:r>
      <w:r w:rsidRPr="00DD03D6">
        <w:rPr>
          <w:noProof/>
          <w:lang w:val="fr-FR"/>
        </w:rPr>
        <w:t xml:space="preserve">iscrimination </w:t>
      </w:r>
      <w:r w:rsidR="002A1CB1" w:rsidRPr="00DD03D6">
        <w:rPr>
          <w:noProof/>
          <w:lang w:val="fr-FR"/>
        </w:rPr>
        <w:t>(</w:t>
      </w:r>
      <w:r w:rsidR="006A33E2">
        <w:rPr>
          <w:noProof/>
          <w:lang w:val="fr-FR"/>
        </w:rPr>
        <w:t xml:space="preserve">voir le </w:t>
      </w:r>
      <w:r w:rsidR="002A1CB1" w:rsidRPr="00DD03D6">
        <w:rPr>
          <w:noProof/>
          <w:lang w:val="fr-FR"/>
        </w:rPr>
        <w:t>chap</w:t>
      </w:r>
      <w:r w:rsidR="006A33E2">
        <w:rPr>
          <w:noProof/>
          <w:lang w:val="fr-FR"/>
        </w:rPr>
        <w:t>itre</w:t>
      </w:r>
      <w:r w:rsidR="00520CB9" w:rsidRPr="00DD03D6">
        <w:rPr>
          <w:noProof/>
          <w:lang w:val="fr-FR"/>
        </w:rPr>
        <w:t> </w:t>
      </w:r>
      <w:r w:rsidRPr="00DD03D6">
        <w:rPr>
          <w:noProof/>
          <w:lang w:val="fr-FR"/>
        </w:rPr>
        <w:t>3)</w:t>
      </w:r>
    </w:p>
    <w:p w:rsidR="00075AC0" w:rsidRPr="00DD03D6" w:rsidRDefault="006A33E2" w:rsidP="00075AC0">
      <w:pPr>
        <w:pStyle w:val="SingleTxtG"/>
        <w:numPr>
          <w:ilvl w:val="0"/>
          <w:numId w:val="3"/>
        </w:numPr>
        <w:ind w:left="1134" w:firstLine="0"/>
        <w:rPr>
          <w:noProof/>
          <w:lang w:val="fr-FR"/>
        </w:rPr>
      </w:pPr>
      <w:r w:rsidRPr="006A33E2">
        <w:rPr>
          <w:b/>
          <w:bCs/>
          <w:lang w:val="fr-FR"/>
        </w:rPr>
        <w:t>Le Comité recommande à l’État partie de s’assurer que le Plan d’action national contre le racisme est intégralement mis en œuvre et de veiller tout particulièrement à ce que des mesures soient prises pour combattre le racisme, les préjugés, les stéréotypes et la xénophobie parmi les enfants, notamment à l’école primaire et secondaire</w:t>
      </w:r>
      <w:r w:rsidRPr="00487473">
        <w:rPr>
          <w:b/>
          <w:bCs/>
          <w:lang w:val="fr-CH"/>
        </w:rPr>
        <w:t>.</w:t>
      </w:r>
    </w:p>
    <w:p w:rsidR="00075AC0" w:rsidRPr="00DD03D6" w:rsidRDefault="006A33E2" w:rsidP="00E81CCA">
      <w:pPr>
        <w:pStyle w:val="SingleTxtG"/>
        <w:numPr>
          <w:ilvl w:val="0"/>
          <w:numId w:val="3"/>
        </w:numPr>
        <w:ind w:left="1134" w:firstLine="0"/>
        <w:rPr>
          <w:b/>
          <w:bCs/>
          <w:noProof/>
          <w:lang w:val="fr-FR"/>
        </w:rPr>
      </w:pPr>
      <w:r>
        <w:rPr>
          <w:noProof/>
          <w:lang w:val="fr-FR"/>
        </w:rPr>
        <w:t xml:space="preserve">Le </w:t>
      </w:r>
      <w:r w:rsidRPr="006A33E2">
        <w:rPr>
          <w:bCs/>
          <w:lang w:val="fr-FR"/>
        </w:rPr>
        <w:t>Plan d’action national contre le racisme</w:t>
      </w:r>
      <w:r w:rsidR="00075AC0" w:rsidRPr="00DD03D6">
        <w:rPr>
          <w:noProof/>
          <w:lang w:val="fr-FR"/>
        </w:rPr>
        <w:t>, 2005-2008 (</w:t>
      </w:r>
      <w:r>
        <w:rPr>
          <w:noProof/>
          <w:lang w:val="fr-FR"/>
        </w:rPr>
        <w:t>Ministère de la justice</w:t>
      </w:r>
      <w:r w:rsidR="00075AC0" w:rsidRPr="00DD03D6">
        <w:rPr>
          <w:noProof/>
          <w:lang w:val="fr-FR"/>
        </w:rPr>
        <w:t xml:space="preserve">, </w:t>
      </w:r>
      <w:r w:rsidR="00287026">
        <w:rPr>
          <w:noProof/>
          <w:lang w:val="fr-FR"/>
        </w:rPr>
        <w:t>de l’égalité et de la réforme législative</w:t>
      </w:r>
      <w:r w:rsidR="00075AC0" w:rsidRPr="00DD03D6">
        <w:rPr>
          <w:noProof/>
          <w:lang w:val="fr-FR"/>
        </w:rPr>
        <w:t xml:space="preserve">, 2005) </w:t>
      </w:r>
      <w:r w:rsidR="00287026">
        <w:rPr>
          <w:noProof/>
          <w:lang w:val="fr-FR"/>
        </w:rPr>
        <w:t xml:space="preserve">a débouché sur l’élaboration d’un certain nombre de stratégies qui ont </w:t>
      </w:r>
      <w:r w:rsidR="0088524F">
        <w:rPr>
          <w:noProof/>
          <w:lang w:val="fr-FR"/>
        </w:rPr>
        <w:t>une incidence</w:t>
      </w:r>
      <w:r w:rsidR="00287026">
        <w:rPr>
          <w:noProof/>
          <w:lang w:val="fr-FR"/>
        </w:rPr>
        <w:t xml:space="preserve"> sur les enfants et dont la mise en œuvre par les services gouvernementaux compétents se poursuit; il s’agit notamment d’une stratégie i</w:t>
      </w:r>
      <w:r w:rsidR="00075AC0" w:rsidRPr="00DD03D6">
        <w:rPr>
          <w:noProof/>
          <w:lang w:val="fr-FR"/>
        </w:rPr>
        <w:t>ntercultur</w:t>
      </w:r>
      <w:r w:rsidR="00287026">
        <w:rPr>
          <w:noProof/>
          <w:lang w:val="fr-FR"/>
        </w:rPr>
        <w:t>elle en matière de santé</w:t>
      </w:r>
      <w:r w:rsidR="00075AC0" w:rsidRPr="00DD03D6">
        <w:rPr>
          <w:noProof/>
          <w:lang w:val="fr-FR"/>
        </w:rPr>
        <w:t xml:space="preserve">, </w:t>
      </w:r>
      <w:r w:rsidR="00287026">
        <w:rPr>
          <w:noProof/>
          <w:lang w:val="fr-FR"/>
        </w:rPr>
        <w:t>d’une stratégie interculturelle en matière d’éducation, d’une stratégie artistique et d’une stratégie sur la diversité sur le lieu de travail</w:t>
      </w:r>
      <w:r w:rsidR="00075AC0" w:rsidRPr="00DD03D6">
        <w:rPr>
          <w:noProof/>
          <w:lang w:val="fr-FR"/>
        </w:rPr>
        <w:t>.</w:t>
      </w:r>
    </w:p>
    <w:p w:rsidR="00075AC0" w:rsidRPr="00DD03D6" w:rsidRDefault="00287026" w:rsidP="00287026">
      <w:pPr>
        <w:pStyle w:val="H23G"/>
        <w:ind w:firstLine="0"/>
        <w:rPr>
          <w:noProof/>
          <w:lang w:val="fr-FR"/>
        </w:rPr>
      </w:pPr>
      <w:r>
        <w:rPr>
          <w:noProof/>
          <w:lang w:val="fr-FR"/>
        </w:rPr>
        <w:t xml:space="preserve">Intérêt supérieur de l’enfant </w:t>
      </w:r>
      <w:r w:rsidR="002A1CB1" w:rsidRPr="00DD03D6">
        <w:rPr>
          <w:noProof/>
          <w:lang w:val="fr-FR"/>
        </w:rPr>
        <w:t>(</w:t>
      </w:r>
      <w:r w:rsidR="0088524F">
        <w:rPr>
          <w:noProof/>
          <w:lang w:val="fr-FR"/>
        </w:rPr>
        <w:t>v</w:t>
      </w:r>
      <w:r>
        <w:rPr>
          <w:noProof/>
          <w:lang w:val="fr-FR"/>
        </w:rPr>
        <w:t xml:space="preserve">oir le </w:t>
      </w:r>
      <w:r w:rsidR="002A1CB1" w:rsidRPr="00DD03D6">
        <w:rPr>
          <w:noProof/>
          <w:lang w:val="fr-FR"/>
        </w:rPr>
        <w:t>chap</w:t>
      </w:r>
      <w:r>
        <w:rPr>
          <w:noProof/>
          <w:lang w:val="fr-FR"/>
        </w:rPr>
        <w:t xml:space="preserve">itre </w:t>
      </w:r>
      <w:r w:rsidR="00075AC0" w:rsidRPr="00DD03D6">
        <w:rPr>
          <w:noProof/>
          <w:lang w:val="fr-FR"/>
        </w:rPr>
        <w:t>3)</w:t>
      </w:r>
    </w:p>
    <w:p w:rsidR="00075AC0" w:rsidRPr="0088524F" w:rsidRDefault="0088524F" w:rsidP="00075AC0">
      <w:pPr>
        <w:pStyle w:val="SingleTxtG"/>
        <w:numPr>
          <w:ilvl w:val="0"/>
          <w:numId w:val="3"/>
        </w:numPr>
        <w:ind w:left="1134" w:firstLine="0"/>
        <w:rPr>
          <w:noProof/>
          <w:lang w:val="fr-FR"/>
        </w:rPr>
      </w:pPr>
      <w:r w:rsidRPr="0088524F">
        <w:rPr>
          <w:b/>
          <w:bCs/>
          <w:lang w:val="fr-FR"/>
        </w:rPr>
        <w:t xml:space="preserve">Le Comité recommande à l’État partie </w:t>
      </w:r>
      <w:r w:rsidR="00075AC0" w:rsidRPr="0088524F">
        <w:rPr>
          <w:b/>
          <w:bCs/>
          <w:noProof/>
          <w:lang w:val="fr-FR"/>
        </w:rPr>
        <w:t>:</w:t>
      </w:r>
    </w:p>
    <w:p w:rsidR="00075AC0" w:rsidRPr="0088524F" w:rsidRDefault="00075AC0" w:rsidP="00461DDC">
      <w:pPr>
        <w:pStyle w:val="SingleTxtG"/>
        <w:ind w:firstLine="567"/>
        <w:rPr>
          <w:b/>
          <w:bCs/>
          <w:noProof/>
          <w:lang w:val="fr-FR"/>
        </w:rPr>
      </w:pPr>
      <w:r w:rsidRPr="0088524F">
        <w:rPr>
          <w:b/>
          <w:bCs/>
          <w:noProof/>
          <w:lang w:val="fr-FR"/>
        </w:rPr>
        <w:t>a)</w:t>
      </w:r>
      <w:r w:rsidRPr="0088524F">
        <w:rPr>
          <w:b/>
          <w:bCs/>
          <w:noProof/>
          <w:lang w:val="fr-FR"/>
        </w:rPr>
        <w:tab/>
      </w:r>
      <w:r w:rsidR="0088524F" w:rsidRPr="0088524F">
        <w:rPr>
          <w:b/>
          <w:bCs/>
          <w:noProof/>
          <w:lang w:val="fr-FR"/>
        </w:rPr>
        <w:t xml:space="preserve">De </w:t>
      </w:r>
      <w:r w:rsidR="0088524F">
        <w:rPr>
          <w:b/>
          <w:bCs/>
          <w:noProof/>
          <w:lang w:val="fr-FR"/>
        </w:rPr>
        <w:t>v</w:t>
      </w:r>
      <w:r w:rsidR="0088524F" w:rsidRPr="0088524F">
        <w:rPr>
          <w:b/>
          <w:bCs/>
          <w:noProof/>
          <w:lang w:val="fr-FR"/>
        </w:rPr>
        <w:t>eiller</w:t>
      </w:r>
      <w:r w:rsidR="0088524F" w:rsidRPr="0088524F">
        <w:rPr>
          <w:b/>
          <w:bCs/>
          <w:lang w:val="fr-FR"/>
        </w:rPr>
        <w:t xml:space="preserve"> à ce que le principe général de l’intérêt supérieur de l’enfant soit pris en considération de manière prioritaire, sans aucune distinction, et à ce qu’il soit totalement intégré dans tous les textes de loi concernant les enfants; et </w:t>
      </w:r>
    </w:p>
    <w:p w:rsidR="00075AC0" w:rsidRPr="00DD03D6" w:rsidRDefault="00075AC0" w:rsidP="00461DDC">
      <w:pPr>
        <w:pStyle w:val="SingleTxtG"/>
        <w:ind w:firstLine="567"/>
        <w:rPr>
          <w:b/>
          <w:bCs/>
          <w:noProof/>
          <w:lang w:val="fr-FR"/>
        </w:rPr>
      </w:pPr>
      <w:r w:rsidRPr="0088524F">
        <w:rPr>
          <w:b/>
          <w:bCs/>
          <w:noProof/>
          <w:lang w:val="fr-FR"/>
        </w:rPr>
        <w:t>b)</w:t>
      </w:r>
      <w:r w:rsidRPr="0088524F">
        <w:rPr>
          <w:b/>
          <w:bCs/>
          <w:noProof/>
          <w:lang w:val="fr-FR"/>
        </w:rPr>
        <w:tab/>
      </w:r>
      <w:r w:rsidR="0088524F" w:rsidRPr="0088524F">
        <w:rPr>
          <w:b/>
          <w:bCs/>
          <w:noProof/>
          <w:lang w:val="fr-FR"/>
        </w:rPr>
        <w:t xml:space="preserve">De </w:t>
      </w:r>
      <w:r w:rsidR="0088524F" w:rsidRPr="0088524F">
        <w:rPr>
          <w:b/>
          <w:bCs/>
          <w:lang w:val="fr-FR"/>
        </w:rPr>
        <w:t>veiller à ce que ce principe soit également pris en considération dans toutes les décisions politiques, judiciaires et administratives, ainsi que dans les projets, programmes et services qui ont une incidence sur les enfants</w:t>
      </w:r>
      <w:r w:rsidRPr="0088524F">
        <w:rPr>
          <w:b/>
          <w:bCs/>
          <w:noProof/>
          <w:lang w:val="fr-FR"/>
        </w:rPr>
        <w:t>.</w:t>
      </w:r>
    </w:p>
    <w:p w:rsidR="00075AC0" w:rsidRPr="00DD03D6" w:rsidRDefault="002132ED" w:rsidP="000B76A5">
      <w:pPr>
        <w:pStyle w:val="SingleTxtG"/>
        <w:numPr>
          <w:ilvl w:val="0"/>
          <w:numId w:val="3"/>
        </w:numPr>
        <w:ind w:left="1134" w:firstLine="0"/>
        <w:rPr>
          <w:noProof/>
          <w:lang w:val="fr-FR"/>
        </w:rPr>
      </w:pPr>
      <w:r>
        <w:rPr>
          <w:noProof/>
          <w:lang w:val="fr-FR"/>
        </w:rPr>
        <w:t>Le principe de l’intérêt supérieur de l’enfant a été pris en considération de manière prioritaire dans un certain nombre de nouveaux textes de loi, notamment la loi de 2010 sur l’adoption et la loi de 2011 portant modification de la loi sur la protection de l’enfance</w:t>
      </w:r>
      <w:r w:rsidR="000B76A5" w:rsidRPr="00DD03D6">
        <w:rPr>
          <w:noProof/>
          <w:lang w:val="fr-FR"/>
        </w:rPr>
        <w:t xml:space="preserve">. </w:t>
      </w:r>
      <w:r w:rsidR="00D5371E">
        <w:rPr>
          <w:noProof/>
          <w:lang w:val="fr-FR"/>
        </w:rPr>
        <w:t>Les textes de loi à venir</w:t>
      </w:r>
      <w:r w:rsidR="00075AC0" w:rsidRPr="00DD03D6">
        <w:rPr>
          <w:noProof/>
          <w:lang w:val="fr-FR"/>
        </w:rPr>
        <w:t xml:space="preserve">, </w:t>
      </w:r>
      <w:r w:rsidR="00D5371E">
        <w:rPr>
          <w:noProof/>
          <w:lang w:val="fr-FR"/>
        </w:rPr>
        <w:t xml:space="preserve">et notamment le projet de loi sur les enfants d’abord et la loi de 2012 sur la justice pénale </w:t>
      </w:r>
      <w:r w:rsidR="00075AC0" w:rsidRPr="00DD03D6">
        <w:rPr>
          <w:noProof/>
          <w:lang w:val="fr-FR"/>
        </w:rPr>
        <w:t>(</w:t>
      </w:r>
      <w:r w:rsidR="00D5371E" w:rsidRPr="00D5371E">
        <w:rPr>
          <w:lang w:val="fr-FR"/>
        </w:rPr>
        <w:t>Rétention de l’information relative aux infractions commises contre des enfants ou des adultes vulnérables</w:t>
      </w:r>
      <w:r w:rsidR="00075AC0" w:rsidRPr="00DD03D6">
        <w:rPr>
          <w:noProof/>
          <w:lang w:val="fr-FR"/>
        </w:rPr>
        <w:t xml:space="preserve">), </w:t>
      </w:r>
      <w:r w:rsidR="00D5371E">
        <w:rPr>
          <w:noProof/>
          <w:lang w:val="fr-FR"/>
        </w:rPr>
        <w:t xml:space="preserve">consolideront encore la place de ce principe dans la </w:t>
      </w:r>
      <w:r w:rsidR="00075AC0" w:rsidRPr="00DD03D6">
        <w:rPr>
          <w:noProof/>
          <w:lang w:val="fr-FR"/>
        </w:rPr>
        <w:t>l</w:t>
      </w:r>
      <w:r w:rsidR="00D5371E">
        <w:rPr>
          <w:noProof/>
          <w:lang w:val="fr-FR"/>
        </w:rPr>
        <w:t>é</w:t>
      </w:r>
      <w:r w:rsidR="00075AC0" w:rsidRPr="00DD03D6">
        <w:rPr>
          <w:noProof/>
          <w:lang w:val="fr-FR"/>
        </w:rPr>
        <w:t>gislation.</w:t>
      </w:r>
    </w:p>
    <w:p w:rsidR="00075AC0" w:rsidRPr="00DD03D6" w:rsidRDefault="00D5371E" w:rsidP="000B76A5">
      <w:pPr>
        <w:pStyle w:val="SingleTxtG"/>
        <w:numPr>
          <w:ilvl w:val="0"/>
          <w:numId w:val="3"/>
        </w:numPr>
        <w:ind w:left="1134" w:firstLine="0"/>
        <w:rPr>
          <w:noProof/>
          <w:lang w:val="fr-FR"/>
        </w:rPr>
      </w:pPr>
      <w:r>
        <w:rPr>
          <w:noProof/>
          <w:lang w:val="fr-FR"/>
        </w:rPr>
        <w:t>L</w:t>
      </w:r>
      <w:r w:rsidR="008713B2">
        <w:rPr>
          <w:noProof/>
          <w:lang w:val="fr-FR"/>
        </w:rPr>
        <w:t>a réforme constitutionnelle relative aux droits des enfants, adoptée à la suite du</w:t>
      </w:r>
      <w:r w:rsidR="00075AC0" w:rsidRPr="00DD03D6">
        <w:rPr>
          <w:noProof/>
          <w:lang w:val="fr-FR"/>
        </w:rPr>
        <w:t xml:space="preserve"> r</w:t>
      </w:r>
      <w:r w:rsidR="008713B2">
        <w:rPr>
          <w:noProof/>
          <w:lang w:val="fr-FR"/>
        </w:rPr>
        <w:t>é</w:t>
      </w:r>
      <w:r w:rsidR="00075AC0" w:rsidRPr="00DD03D6">
        <w:rPr>
          <w:noProof/>
          <w:lang w:val="fr-FR"/>
        </w:rPr>
        <w:t>f</w:t>
      </w:r>
      <w:r w:rsidR="008713B2">
        <w:rPr>
          <w:noProof/>
          <w:lang w:val="fr-FR"/>
        </w:rPr>
        <w:t>é</w:t>
      </w:r>
      <w:r w:rsidR="00075AC0" w:rsidRPr="00DD03D6">
        <w:rPr>
          <w:noProof/>
          <w:lang w:val="fr-FR"/>
        </w:rPr>
        <w:t xml:space="preserve">rendum </w:t>
      </w:r>
      <w:r w:rsidR="008713B2">
        <w:rPr>
          <w:noProof/>
          <w:lang w:val="fr-FR"/>
        </w:rPr>
        <w:t>de</w:t>
      </w:r>
      <w:r w:rsidR="00075AC0" w:rsidRPr="00DD03D6">
        <w:rPr>
          <w:noProof/>
          <w:lang w:val="fr-FR"/>
        </w:rPr>
        <w:t xml:space="preserve"> </w:t>
      </w:r>
      <w:r w:rsidR="008713B2">
        <w:rPr>
          <w:noProof/>
          <w:lang w:val="fr-FR"/>
        </w:rPr>
        <w:t>novembre</w:t>
      </w:r>
      <w:r w:rsidR="00075AC0" w:rsidRPr="00DD03D6">
        <w:rPr>
          <w:noProof/>
          <w:lang w:val="fr-FR"/>
        </w:rPr>
        <w:t xml:space="preserve"> 2012, </w:t>
      </w:r>
      <w:r w:rsidR="008713B2">
        <w:rPr>
          <w:noProof/>
          <w:lang w:val="fr-FR"/>
        </w:rPr>
        <w:t xml:space="preserve">a prévu de consacrer le principe de l’intérêt supérieur de l’enfant dans la </w:t>
      </w:r>
      <w:r w:rsidR="00075AC0" w:rsidRPr="00DD03D6">
        <w:rPr>
          <w:noProof/>
          <w:lang w:val="fr-FR"/>
        </w:rPr>
        <w:t xml:space="preserve">Constitution </w:t>
      </w:r>
      <w:r w:rsidR="008713B2">
        <w:rPr>
          <w:noProof/>
          <w:lang w:val="fr-FR"/>
        </w:rPr>
        <w:t>irlandaise en ce qui concerne les procédures engagées par l’État en matière d’assistance aux enfants et de protection des enfants ou les procédures concernant l’adoption, la tutelle ou la garde d’un enfant ou le droit de visite</w:t>
      </w:r>
      <w:r w:rsidR="00075AC0" w:rsidRPr="00DD03D6">
        <w:rPr>
          <w:noProof/>
          <w:lang w:val="fr-FR"/>
        </w:rPr>
        <w:t>.</w:t>
      </w:r>
    </w:p>
    <w:p w:rsidR="007A3F99" w:rsidRPr="00DD03D6" w:rsidRDefault="008713B2" w:rsidP="000B76A5">
      <w:pPr>
        <w:pStyle w:val="SingleTxtG"/>
        <w:numPr>
          <w:ilvl w:val="0"/>
          <w:numId w:val="3"/>
        </w:numPr>
        <w:ind w:left="1134" w:firstLine="0"/>
        <w:rPr>
          <w:noProof/>
          <w:lang w:val="fr-FR"/>
        </w:rPr>
      </w:pPr>
      <w:r>
        <w:rPr>
          <w:noProof/>
          <w:lang w:val="fr-FR"/>
        </w:rPr>
        <w:t xml:space="preserve">Les documents exposant la politique des pouvoirs publics, notamment la Stratégie nationale en faveur des enfants </w:t>
      </w:r>
      <w:r w:rsidR="007A3F99" w:rsidRPr="00DD03D6">
        <w:rPr>
          <w:noProof/>
          <w:lang w:val="fr-FR"/>
        </w:rPr>
        <w:t>(</w:t>
      </w:r>
      <w:r>
        <w:rPr>
          <w:noProof/>
          <w:lang w:val="fr-FR"/>
        </w:rPr>
        <w:t>Ministère de la santé et de l’enfance</w:t>
      </w:r>
      <w:r w:rsidR="007A3F99" w:rsidRPr="00DD03D6">
        <w:rPr>
          <w:noProof/>
          <w:lang w:val="fr-FR"/>
        </w:rPr>
        <w:t xml:space="preserve">, 2000) </w:t>
      </w:r>
      <w:r>
        <w:rPr>
          <w:noProof/>
          <w:lang w:val="fr-FR"/>
        </w:rPr>
        <w:t xml:space="preserve">et le Programme de services </w:t>
      </w:r>
      <w:r w:rsidR="00D8239B">
        <w:rPr>
          <w:noProof/>
          <w:lang w:val="fr-FR"/>
        </w:rPr>
        <w:t xml:space="preserve">destinés </w:t>
      </w:r>
      <w:r>
        <w:rPr>
          <w:noProof/>
          <w:lang w:val="fr-FR"/>
        </w:rPr>
        <w:t xml:space="preserve">aux enfants </w:t>
      </w:r>
      <w:r w:rsidR="007A3F99" w:rsidRPr="00DD03D6">
        <w:rPr>
          <w:noProof/>
          <w:lang w:val="fr-FR"/>
        </w:rPr>
        <w:t>(</w:t>
      </w:r>
      <w:r w:rsidR="00D8239B">
        <w:rPr>
          <w:noProof/>
          <w:lang w:val="fr-FR"/>
        </w:rPr>
        <w:t xml:space="preserve">Cabinet </w:t>
      </w:r>
      <w:r w:rsidR="00FF54F6">
        <w:rPr>
          <w:noProof/>
          <w:lang w:val="fr-FR"/>
        </w:rPr>
        <w:t xml:space="preserve">de la </w:t>
      </w:r>
      <w:r w:rsidR="00A04A46">
        <w:rPr>
          <w:noProof/>
          <w:lang w:val="fr-FR"/>
        </w:rPr>
        <w:t>Ministre de l’enfance et de la jeunesse</w:t>
      </w:r>
      <w:r w:rsidR="007A3F99" w:rsidRPr="00DD03D6">
        <w:rPr>
          <w:noProof/>
          <w:lang w:val="fr-FR"/>
        </w:rPr>
        <w:t xml:space="preserve">, 2007a), </w:t>
      </w:r>
      <w:r w:rsidR="00ED002D">
        <w:rPr>
          <w:noProof/>
          <w:lang w:val="fr-FR"/>
        </w:rPr>
        <w:t xml:space="preserve">ont </w:t>
      </w:r>
      <w:r w:rsidR="007A3F99" w:rsidRPr="00DD03D6">
        <w:rPr>
          <w:noProof/>
          <w:lang w:val="fr-FR"/>
        </w:rPr>
        <w:t>renforc</w:t>
      </w:r>
      <w:r w:rsidR="00ED002D">
        <w:rPr>
          <w:noProof/>
          <w:lang w:val="fr-FR"/>
        </w:rPr>
        <w:t>é</w:t>
      </w:r>
      <w:r w:rsidR="00387CB2">
        <w:rPr>
          <w:noProof/>
          <w:lang w:val="fr-FR"/>
        </w:rPr>
        <w:t xml:space="preserve"> l’</w:t>
      </w:r>
      <w:r w:rsidR="007A3F99" w:rsidRPr="00DD03D6">
        <w:rPr>
          <w:noProof/>
          <w:lang w:val="fr-FR"/>
        </w:rPr>
        <w:t xml:space="preserve">importance </w:t>
      </w:r>
      <w:r w:rsidR="00387CB2">
        <w:rPr>
          <w:noProof/>
          <w:lang w:val="fr-FR"/>
        </w:rPr>
        <w:t>du principe de l’intérêt supérieur de l’enfant dans la prise de décisions</w:t>
      </w:r>
      <w:r w:rsidR="007A3F99" w:rsidRPr="00DD03D6">
        <w:rPr>
          <w:noProof/>
          <w:lang w:val="fr-FR"/>
        </w:rPr>
        <w:t xml:space="preserve">. </w:t>
      </w:r>
      <w:r w:rsidR="00A844ED">
        <w:rPr>
          <w:noProof/>
          <w:lang w:val="fr-FR"/>
        </w:rPr>
        <w:t xml:space="preserve">Le Bureau du Médiateur des enfants joue un rôle </w:t>
      </w:r>
      <w:r w:rsidR="007A3F99" w:rsidRPr="00DD03D6">
        <w:rPr>
          <w:noProof/>
          <w:lang w:val="fr-FR"/>
        </w:rPr>
        <w:t xml:space="preserve">important </w:t>
      </w:r>
      <w:r w:rsidR="00A844ED">
        <w:rPr>
          <w:noProof/>
          <w:lang w:val="fr-FR"/>
        </w:rPr>
        <w:t xml:space="preserve">en </w:t>
      </w:r>
      <w:r w:rsidR="00A844ED">
        <w:rPr>
          <w:noProof/>
          <w:lang w:val="fr-FR"/>
        </w:rPr>
        <w:lastRenderedPageBreak/>
        <w:t xml:space="preserve">matière d’enquête sur les décisions </w:t>
      </w:r>
      <w:r w:rsidR="007A3F99" w:rsidRPr="00DD03D6">
        <w:rPr>
          <w:noProof/>
          <w:lang w:val="fr-FR"/>
        </w:rPr>
        <w:t>administrative</w:t>
      </w:r>
      <w:r w:rsidR="00A844ED">
        <w:rPr>
          <w:noProof/>
          <w:lang w:val="fr-FR"/>
        </w:rPr>
        <w:t>s</w:t>
      </w:r>
      <w:r w:rsidR="007A3F99" w:rsidRPr="00DD03D6">
        <w:rPr>
          <w:noProof/>
          <w:lang w:val="fr-FR"/>
        </w:rPr>
        <w:t xml:space="preserve"> </w:t>
      </w:r>
      <w:r w:rsidR="00A844ED">
        <w:rPr>
          <w:noProof/>
          <w:lang w:val="fr-FR"/>
        </w:rPr>
        <w:t xml:space="preserve">et la prestation de </w:t>
      </w:r>
      <w:r w:rsidR="007A3F99" w:rsidRPr="00DD03D6">
        <w:rPr>
          <w:noProof/>
          <w:lang w:val="fr-FR"/>
        </w:rPr>
        <w:t>service</w:t>
      </w:r>
      <w:r w:rsidR="00A844ED">
        <w:rPr>
          <w:noProof/>
          <w:lang w:val="fr-FR"/>
        </w:rPr>
        <w:t>s; ce faisant, il détermine dans quelle mesure</w:t>
      </w:r>
      <w:r w:rsidR="00A50ED7">
        <w:rPr>
          <w:noProof/>
          <w:lang w:val="fr-FR"/>
        </w:rPr>
        <w:t xml:space="preserve"> ce principe est respecté</w:t>
      </w:r>
      <w:r w:rsidR="007A3F99" w:rsidRPr="00DD03D6">
        <w:rPr>
          <w:noProof/>
          <w:lang w:val="fr-FR"/>
        </w:rPr>
        <w:t>.</w:t>
      </w:r>
    </w:p>
    <w:p w:rsidR="007A3F99" w:rsidRPr="00DD03D6" w:rsidRDefault="00A50ED7" w:rsidP="00A50ED7">
      <w:pPr>
        <w:pStyle w:val="H23G"/>
        <w:ind w:firstLine="0"/>
        <w:rPr>
          <w:noProof/>
          <w:lang w:val="fr-FR"/>
        </w:rPr>
      </w:pPr>
      <w:r>
        <w:rPr>
          <w:noProof/>
          <w:lang w:val="fr-FR"/>
        </w:rPr>
        <w:t xml:space="preserve">Opinions de l’enfant </w:t>
      </w:r>
      <w:r w:rsidR="002A1CB1" w:rsidRPr="00DD03D6">
        <w:rPr>
          <w:noProof/>
          <w:lang w:val="fr-FR"/>
        </w:rPr>
        <w:t>(</w:t>
      </w:r>
      <w:r>
        <w:rPr>
          <w:noProof/>
          <w:lang w:val="fr-FR"/>
        </w:rPr>
        <w:t xml:space="preserve">voir les </w:t>
      </w:r>
      <w:r w:rsidR="002A1CB1" w:rsidRPr="00DD03D6">
        <w:rPr>
          <w:noProof/>
          <w:lang w:val="fr-FR"/>
        </w:rPr>
        <w:t>chap</w:t>
      </w:r>
      <w:r>
        <w:rPr>
          <w:noProof/>
          <w:lang w:val="fr-FR"/>
        </w:rPr>
        <w:t xml:space="preserve">itres </w:t>
      </w:r>
      <w:r w:rsidR="007A3F99" w:rsidRPr="00DD03D6">
        <w:rPr>
          <w:noProof/>
          <w:lang w:val="fr-FR"/>
        </w:rPr>
        <w:t xml:space="preserve">1 </w:t>
      </w:r>
      <w:r>
        <w:rPr>
          <w:noProof/>
          <w:lang w:val="fr-FR"/>
        </w:rPr>
        <w:t>et</w:t>
      </w:r>
      <w:r w:rsidR="007A3F99" w:rsidRPr="00DD03D6">
        <w:rPr>
          <w:noProof/>
          <w:lang w:val="fr-FR"/>
        </w:rPr>
        <w:t xml:space="preserve"> 3)</w:t>
      </w:r>
    </w:p>
    <w:p w:rsidR="007A3F99" w:rsidRPr="00A50ED7" w:rsidRDefault="00A50ED7" w:rsidP="007A3F99">
      <w:pPr>
        <w:pStyle w:val="SingleTxtG"/>
        <w:numPr>
          <w:ilvl w:val="0"/>
          <w:numId w:val="3"/>
        </w:numPr>
        <w:ind w:left="1134" w:firstLine="0"/>
        <w:rPr>
          <w:b/>
          <w:noProof/>
          <w:lang w:val="fr-FR"/>
        </w:rPr>
      </w:pPr>
      <w:r w:rsidRPr="00A50ED7">
        <w:rPr>
          <w:b/>
          <w:bCs/>
          <w:color w:val="000000"/>
          <w:lang w:val="fr-FR"/>
        </w:rPr>
        <w:t>Compte tenu de l’article 12 de la Convention, le Comité recommande à l’État partie </w:t>
      </w:r>
      <w:r w:rsidR="007A3F99" w:rsidRPr="00A50ED7">
        <w:rPr>
          <w:b/>
          <w:noProof/>
          <w:lang w:val="fr-FR"/>
        </w:rPr>
        <w:t>:</w:t>
      </w:r>
    </w:p>
    <w:p w:rsidR="007A3F99" w:rsidRPr="00A50ED7" w:rsidRDefault="00A97798" w:rsidP="00F843B5">
      <w:pPr>
        <w:pStyle w:val="SingleTxtG"/>
        <w:ind w:firstLine="567"/>
        <w:rPr>
          <w:b/>
          <w:noProof/>
          <w:lang w:val="fr-FR"/>
        </w:rPr>
      </w:pPr>
      <w:r w:rsidRPr="00A50ED7">
        <w:rPr>
          <w:b/>
          <w:noProof/>
          <w:lang w:val="fr-FR"/>
        </w:rPr>
        <w:t>a)</w:t>
      </w:r>
      <w:r w:rsidRPr="00A50ED7">
        <w:rPr>
          <w:b/>
          <w:noProof/>
          <w:lang w:val="fr-FR"/>
        </w:rPr>
        <w:tab/>
      </w:r>
      <w:r w:rsidR="00A50ED7" w:rsidRPr="00A50ED7">
        <w:rPr>
          <w:b/>
          <w:noProof/>
          <w:lang w:val="fr-FR"/>
        </w:rPr>
        <w:t xml:space="preserve">De </w:t>
      </w:r>
      <w:r w:rsidR="00A50ED7" w:rsidRPr="00A50ED7">
        <w:rPr>
          <w:b/>
          <w:bCs/>
          <w:color w:val="000000"/>
          <w:lang w:val="fr-FR"/>
        </w:rPr>
        <w:t>redoubler d’efforts pour garantir, notamment par des dispositions constitutionnelles, que l’enfant ait le droit d’exprimer son opinion sur toutes les questions l’intéressant, et que cette opinion soit dûment prise en considération, en particulier au sein de la famille, à l’école et dans les autres centres éducatifs, dans le domaine de la santé et au niveau des collectivités;</w:t>
      </w:r>
    </w:p>
    <w:p w:rsidR="007A3F99" w:rsidRPr="00A50ED7" w:rsidRDefault="00A97798" w:rsidP="008E6ED1">
      <w:pPr>
        <w:pStyle w:val="SingleTxtG"/>
        <w:ind w:firstLine="567"/>
        <w:rPr>
          <w:b/>
          <w:noProof/>
          <w:lang w:val="fr-FR"/>
        </w:rPr>
      </w:pPr>
      <w:r w:rsidRPr="00A50ED7">
        <w:rPr>
          <w:b/>
          <w:noProof/>
          <w:lang w:val="fr-FR"/>
        </w:rPr>
        <w:t>b)</w:t>
      </w:r>
      <w:r w:rsidRPr="00A50ED7">
        <w:rPr>
          <w:b/>
          <w:noProof/>
          <w:lang w:val="fr-FR"/>
        </w:rPr>
        <w:tab/>
      </w:r>
      <w:r w:rsidR="00A50ED7" w:rsidRPr="00A50ED7">
        <w:rPr>
          <w:b/>
          <w:bCs/>
          <w:color w:val="000000"/>
          <w:lang w:val="fr-FR"/>
        </w:rPr>
        <w:t xml:space="preserve">De permettre à l’enfant d’être entendu dans toute procédure judiciaire ou administrative l’intéressant, et de veiller à ce que son opinion soit dûment prise en considération eu égard à son âge et à son degré de maturité, notamment au moyen de la représentation indépendante (tuteur </w:t>
      </w:r>
      <w:r w:rsidR="00A50ED7" w:rsidRPr="00A50ED7">
        <w:rPr>
          <w:b/>
          <w:bCs/>
          <w:i/>
          <w:iCs/>
          <w:color w:val="000000"/>
          <w:lang w:val="fr-FR"/>
        </w:rPr>
        <w:t>ad litem</w:t>
      </w:r>
      <w:r w:rsidR="00A50ED7" w:rsidRPr="00A50ED7">
        <w:rPr>
          <w:b/>
          <w:bCs/>
          <w:color w:val="000000"/>
          <w:lang w:val="fr-FR"/>
        </w:rPr>
        <w:t xml:space="preserve">) prévue par la </w:t>
      </w:r>
      <w:r w:rsidR="00A50ED7" w:rsidRPr="00A50ED7">
        <w:rPr>
          <w:b/>
          <w:bCs/>
          <w:lang w:val="fr-FR"/>
        </w:rPr>
        <w:t>loi de</w:t>
      </w:r>
      <w:r w:rsidR="00413CF6">
        <w:rPr>
          <w:b/>
          <w:bCs/>
          <w:lang w:val="fr-FR"/>
        </w:rPr>
        <w:t xml:space="preserve"> </w:t>
      </w:r>
      <w:r w:rsidR="00A50ED7" w:rsidRPr="00A50ED7">
        <w:rPr>
          <w:b/>
          <w:bCs/>
          <w:lang w:val="fr-FR"/>
        </w:rPr>
        <w:t>1991 sur la protection de l’enfance, en particulier dans le cas où l’enfant est séparé de ses parents; et</w:t>
      </w:r>
    </w:p>
    <w:p w:rsidR="007A3F99" w:rsidRPr="00A50ED7" w:rsidRDefault="00A97798" w:rsidP="008E6ED1">
      <w:pPr>
        <w:pStyle w:val="SingleTxtG"/>
        <w:ind w:firstLine="567"/>
        <w:rPr>
          <w:b/>
          <w:noProof/>
          <w:lang w:val="fr-FR"/>
        </w:rPr>
      </w:pPr>
      <w:r w:rsidRPr="00A50ED7">
        <w:rPr>
          <w:b/>
          <w:noProof/>
          <w:lang w:val="fr-FR"/>
        </w:rPr>
        <w:t>c)</w:t>
      </w:r>
      <w:r w:rsidRPr="00A50ED7">
        <w:rPr>
          <w:b/>
          <w:noProof/>
          <w:lang w:val="fr-FR"/>
        </w:rPr>
        <w:tab/>
      </w:r>
      <w:r w:rsidR="00A50ED7" w:rsidRPr="00A50ED7">
        <w:rPr>
          <w:b/>
          <w:noProof/>
          <w:lang w:val="fr-FR"/>
        </w:rPr>
        <w:t xml:space="preserve">De </w:t>
      </w:r>
      <w:r w:rsidR="00A50ED7" w:rsidRPr="00A50ED7">
        <w:rPr>
          <w:b/>
          <w:bCs/>
          <w:lang w:val="fr-FR"/>
        </w:rPr>
        <w:t>tenir compte des recommandations adoptées par le Comité lors de la journée de débat général sur le droit pour l’enfant d’être entendu, tenue en septembre 2006</w:t>
      </w:r>
      <w:r w:rsidR="007A3F99" w:rsidRPr="00A50ED7">
        <w:rPr>
          <w:b/>
          <w:noProof/>
          <w:lang w:val="fr-FR"/>
        </w:rPr>
        <w:t>.</w:t>
      </w:r>
    </w:p>
    <w:p w:rsidR="007A3F99" w:rsidRPr="00DD03D6" w:rsidRDefault="00A50ED7" w:rsidP="007A3F99">
      <w:pPr>
        <w:pStyle w:val="SingleTxtG"/>
        <w:numPr>
          <w:ilvl w:val="0"/>
          <w:numId w:val="3"/>
        </w:numPr>
        <w:ind w:left="1134" w:firstLine="0"/>
        <w:rPr>
          <w:noProof/>
          <w:lang w:val="fr-FR"/>
        </w:rPr>
      </w:pPr>
      <w:r>
        <w:rPr>
          <w:noProof/>
          <w:lang w:val="fr-FR"/>
        </w:rPr>
        <w:t xml:space="preserve">En application de la Stratégie nationale en faveur de l’enfance, un certain nombre de </w:t>
      </w:r>
      <w:r w:rsidR="007A3F99" w:rsidRPr="00DD03D6">
        <w:rPr>
          <w:noProof/>
          <w:lang w:val="fr-FR"/>
        </w:rPr>
        <w:t xml:space="preserve">structures </w:t>
      </w:r>
      <w:r>
        <w:rPr>
          <w:noProof/>
          <w:lang w:val="fr-FR"/>
        </w:rPr>
        <w:t xml:space="preserve">ont été mises en </w:t>
      </w:r>
      <w:r w:rsidR="007A3F99" w:rsidRPr="00DD03D6">
        <w:rPr>
          <w:noProof/>
          <w:lang w:val="fr-FR"/>
        </w:rPr>
        <w:t xml:space="preserve">place </w:t>
      </w:r>
      <w:r>
        <w:rPr>
          <w:noProof/>
          <w:lang w:val="fr-FR"/>
        </w:rPr>
        <w:t xml:space="preserve">pour garantir que les opinions de l’enfant soient prises en considération </w:t>
      </w:r>
      <w:r w:rsidR="005C01EF">
        <w:rPr>
          <w:noProof/>
          <w:lang w:val="fr-FR"/>
        </w:rPr>
        <w:t>dans le cadre des questions administratives l’intéressant</w:t>
      </w:r>
      <w:r w:rsidR="007A3F99" w:rsidRPr="00DD03D6">
        <w:rPr>
          <w:noProof/>
          <w:lang w:val="fr-FR"/>
        </w:rPr>
        <w:t xml:space="preserve">. </w:t>
      </w:r>
      <w:r w:rsidR="005C01EF">
        <w:rPr>
          <w:noProof/>
          <w:lang w:val="fr-FR"/>
        </w:rPr>
        <w:t>Ces</w:t>
      </w:r>
      <w:r w:rsidR="007A3F99" w:rsidRPr="00DD03D6">
        <w:rPr>
          <w:noProof/>
          <w:lang w:val="fr-FR"/>
        </w:rPr>
        <w:t xml:space="preserve"> structures, </w:t>
      </w:r>
      <w:r w:rsidR="005C01EF">
        <w:rPr>
          <w:noProof/>
          <w:lang w:val="fr-FR"/>
        </w:rPr>
        <w:t xml:space="preserve">et les progrès qu’elles ont permis de réaliser, sont présentées en détail aux chapitres </w:t>
      </w:r>
      <w:r w:rsidR="007A3F99" w:rsidRPr="00DD03D6">
        <w:rPr>
          <w:noProof/>
          <w:lang w:val="fr-FR"/>
        </w:rPr>
        <w:t xml:space="preserve">1 </w:t>
      </w:r>
      <w:r w:rsidR="005C01EF">
        <w:rPr>
          <w:noProof/>
          <w:lang w:val="fr-FR"/>
        </w:rPr>
        <w:t>et</w:t>
      </w:r>
      <w:r w:rsidR="007A3F99" w:rsidRPr="00DD03D6">
        <w:rPr>
          <w:noProof/>
          <w:lang w:val="fr-FR"/>
        </w:rPr>
        <w:t xml:space="preserve"> 3 </w:t>
      </w:r>
      <w:r w:rsidR="005C01EF">
        <w:rPr>
          <w:noProof/>
          <w:lang w:val="fr-FR"/>
        </w:rPr>
        <w:t>du présent rapport</w:t>
      </w:r>
      <w:r w:rsidR="007A3F99" w:rsidRPr="00DD03D6">
        <w:rPr>
          <w:noProof/>
          <w:lang w:val="fr-FR"/>
        </w:rPr>
        <w:t>.</w:t>
      </w:r>
    </w:p>
    <w:p w:rsidR="007A3F99" w:rsidRPr="00DD03D6" w:rsidRDefault="005C01EF" w:rsidP="007A3F99">
      <w:pPr>
        <w:pStyle w:val="SingleTxtG"/>
        <w:numPr>
          <w:ilvl w:val="0"/>
          <w:numId w:val="3"/>
        </w:numPr>
        <w:ind w:left="1134" w:firstLine="0"/>
        <w:rPr>
          <w:noProof/>
          <w:sz w:val="23"/>
          <w:szCs w:val="23"/>
          <w:lang w:val="fr-FR"/>
        </w:rPr>
      </w:pPr>
      <w:r>
        <w:rPr>
          <w:noProof/>
          <w:lang w:val="fr-FR"/>
        </w:rPr>
        <w:t>La loi de 2010 sur l’a</w:t>
      </w:r>
      <w:r w:rsidR="007A3F99" w:rsidRPr="00DD03D6">
        <w:rPr>
          <w:noProof/>
          <w:lang w:val="fr-FR"/>
        </w:rPr>
        <w:t xml:space="preserve">doption </w:t>
      </w:r>
      <w:r>
        <w:rPr>
          <w:noProof/>
          <w:lang w:val="fr-FR"/>
        </w:rPr>
        <w:t xml:space="preserve">dispose que l’Autorité en matière d’adoption doit permettre à un enfant qui fait l’objet d’une demande d’adoption et qui a atteint l’âge de </w:t>
      </w:r>
      <w:r w:rsidR="009C7EE8">
        <w:rPr>
          <w:noProof/>
          <w:lang w:val="fr-FR"/>
        </w:rPr>
        <w:t>7 </w:t>
      </w:r>
      <w:r>
        <w:rPr>
          <w:noProof/>
          <w:lang w:val="fr-FR"/>
        </w:rPr>
        <w:t>ans d’être entendu et doit prendre dûment en considération son opinion eu égard à son âge et à son degré de maturité</w:t>
      </w:r>
      <w:r w:rsidR="007A3F99" w:rsidRPr="00DD03D6">
        <w:rPr>
          <w:noProof/>
          <w:lang w:val="fr-FR"/>
        </w:rPr>
        <w:t>.</w:t>
      </w:r>
    </w:p>
    <w:p w:rsidR="007A3F99" w:rsidRPr="00DD03D6" w:rsidRDefault="005C01EF" w:rsidP="005D7533">
      <w:pPr>
        <w:pStyle w:val="SingleTxtG"/>
        <w:numPr>
          <w:ilvl w:val="0"/>
          <w:numId w:val="3"/>
        </w:numPr>
        <w:ind w:left="1134" w:firstLine="0"/>
        <w:rPr>
          <w:noProof/>
          <w:lang w:val="fr-FR"/>
        </w:rPr>
      </w:pPr>
      <w:r>
        <w:rPr>
          <w:noProof/>
          <w:lang w:val="fr-FR"/>
        </w:rPr>
        <w:t>Les normes n</w:t>
      </w:r>
      <w:r w:rsidR="007A3F99" w:rsidRPr="00DD03D6">
        <w:rPr>
          <w:noProof/>
          <w:lang w:val="fr-FR"/>
        </w:rPr>
        <w:t>ational</w:t>
      </w:r>
      <w:r>
        <w:rPr>
          <w:noProof/>
          <w:lang w:val="fr-FR"/>
        </w:rPr>
        <w:t>es de p</w:t>
      </w:r>
      <w:r w:rsidR="007A3F99" w:rsidRPr="00DD03D6">
        <w:rPr>
          <w:noProof/>
          <w:lang w:val="fr-FR"/>
        </w:rPr>
        <w:t xml:space="preserve">rotection </w:t>
      </w:r>
      <w:r>
        <w:rPr>
          <w:noProof/>
          <w:lang w:val="fr-FR"/>
        </w:rPr>
        <w:t xml:space="preserve">des enfants et d’assistance aux enfants </w:t>
      </w:r>
      <w:r w:rsidR="005D7533" w:rsidRPr="00DD03D6">
        <w:rPr>
          <w:noProof/>
          <w:lang w:val="fr-FR"/>
        </w:rPr>
        <w:t>(</w:t>
      </w:r>
      <w:r w:rsidR="00A0437C">
        <w:rPr>
          <w:noProof/>
          <w:lang w:val="fr-FR"/>
        </w:rPr>
        <w:t>Bureau de l’information sanitaire et de la qualité des services sanitaires</w:t>
      </w:r>
      <w:r w:rsidR="005D7533" w:rsidRPr="00DD03D6">
        <w:rPr>
          <w:noProof/>
          <w:lang w:val="fr-FR"/>
        </w:rPr>
        <w:t xml:space="preserve">, 2012a) </w:t>
      </w:r>
      <w:r>
        <w:rPr>
          <w:noProof/>
          <w:lang w:val="fr-FR"/>
        </w:rPr>
        <w:t xml:space="preserve">précisent que </w:t>
      </w:r>
      <w:r w:rsidR="009C7EE8">
        <w:rPr>
          <w:noProof/>
          <w:lang w:val="fr-FR"/>
        </w:rPr>
        <w:t>« </w:t>
      </w:r>
      <w:r w:rsidR="00A0437C">
        <w:rPr>
          <w:noProof/>
          <w:lang w:val="fr-FR"/>
        </w:rPr>
        <w:t>les enfants seront entendus et il sera tenu compte de leurs préoccupations et de leurs griefs dans un esprit d’ouverture et d’efficacité</w:t>
      </w:r>
      <w:r w:rsidR="009C7EE8">
        <w:rPr>
          <w:noProof/>
          <w:lang w:val="fr-FR"/>
        </w:rPr>
        <w:t> »</w:t>
      </w:r>
      <w:r w:rsidR="007A3F99" w:rsidRPr="00DD03D6">
        <w:rPr>
          <w:noProof/>
          <w:lang w:val="fr-FR"/>
        </w:rPr>
        <w:t>.</w:t>
      </w:r>
    </w:p>
    <w:p w:rsidR="007A3F99" w:rsidRPr="00DD03D6" w:rsidRDefault="00A0437C" w:rsidP="00A90888">
      <w:pPr>
        <w:pStyle w:val="SingleTxtG"/>
        <w:numPr>
          <w:ilvl w:val="0"/>
          <w:numId w:val="3"/>
        </w:numPr>
        <w:ind w:left="1134" w:firstLine="0"/>
        <w:rPr>
          <w:i/>
          <w:iCs/>
          <w:noProof/>
          <w:lang w:val="fr-FR"/>
        </w:rPr>
      </w:pPr>
      <w:r>
        <w:rPr>
          <w:noProof/>
          <w:lang w:val="fr-FR"/>
        </w:rPr>
        <w:t>E</w:t>
      </w:r>
      <w:r w:rsidR="007A3F99" w:rsidRPr="00DD03D6">
        <w:rPr>
          <w:noProof/>
          <w:lang w:val="fr-FR"/>
        </w:rPr>
        <w:t xml:space="preserve">n 2009, </w:t>
      </w:r>
      <w:r w:rsidR="005A307E">
        <w:rPr>
          <w:noProof/>
          <w:lang w:val="fr-FR"/>
        </w:rPr>
        <w:t xml:space="preserve">le Conseil consultatif sur les lois relatives aux enfants a, en </w:t>
      </w:r>
      <w:r w:rsidR="007A3F99" w:rsidRPr="00DD03D6">
        <w:rPr>
          <w:noProof/>
          <w:lang w:val="fr-FR"/>
        </w:rPr>
        <w:t xml:space="preserve">consultation </w:t>
      </w:r>
      <w:r w:rsidR="005A307E">
        <w:rPr>
          <w:noProof/>
          <w:lang w:val="fr-FR"/>
        </w:rPr>
        <w:t>avec les prin</w:t>
      </w:r>
      <w:r w:rsidR="004B1931">
        <w:rPr>
          <w:noProof/>
          <w:lang w:val="fr-FR"/>
        </w:rPr>
        <w:t>ci</w:t>
      </w:r>
      <w:r w:rsidR="005A307E">
        <w:rPr>
          <w:noProof/>
          <w:lang w:val="fr-FR"/>
        </w:rPr>
        <w:t xml:space="preserve">pales </w:t>
      </w:r>
      <w:r w:rsidR="00E83488">
        <w:rPr>
          <w:noProof/>
          <w:lang w:val="fr-FR"/>
        </w:rPr>
        <w:t>acteurs</w:t>
      </w:r>
      <w:r w:rsidR="005A307E">
        <w:rPr>
          <w:noProof/>
          <w:lang w:val="fr-FR"/>
        </w:rPr>
        <w:t xml:space="preserve">, publié des directives concernant le </w:t>
      </w:r>
      <w:r w:rsidR="007A3F99" w:rsidRPr="00DD03D6">
        <w:rPr>
          <w:noProof/>
          <w:lang w:val="fr-FR"/>
        </w:rPr>
        <w:t>r</w:t>
      </w:r>
      <w:r w:rsidR="005A307E">
        <w:rPr>
          <w:noProof/>
          <w:lang w:val="fr-FR"/>
        </w:rPr>
        <w:t>ô</w:t>
      </w:r>
      <w:r w:rsidR="007A3F99" w:rsidRPr="00DD03D6">
        <w:rPr>
          <w:noProof/>
          <w:lang w:val="fr-FR"/>
        </w:rPr>
        <w:t xml:space="preserve">le, </w:t>
      </w:r>
      <w:r w:rsidR="005A307E">
        <w:rPr>
          <w:noProof/>
          <w:lang w:val="fr-FR"/>
        </w:rPr>
        <w:t>la nomination</w:t>
      </w:r>
      <w:r w:rsidR="007A3F99" w:rsidRPr="00DD03D6">
        <w:rPr>
          <w:noProof/>
          <w:lang w:val="fr-FR"/>
        </w:rPr>
        <w:t xml:space="preserve">, </w:t>
      </w:r>
      <w:r w:rsidR="005A307E">
        <w:rPr>
          <w:noProof/>
          <w:lang w:val="fr-FR"/>
        </w:rPr>
        <w:t xml:space="preserve">les </w:t>
      </w:r>
      <w:r w:rsidR="007A3F99" w:rsidRPr="00DD03D6">
        <w:rPr>
          <w:noProof/>
          <w:lang w:val="fr-FR"/>
        </w:rPr>
        <w:t>qualification</w:t>
      </w:r>
      <w:r w:rsidR="005A307E">
        <w:rPr>
          <w:noProof/>
          <w:lang w:val="fr-FR"/>
        </w:rPr>
        <w:t>s</w:t>
      </w:r>
      <w:r w:rsidR="007A3F99" w:rsidRPr="00DD03D6">
        <w:rPr>
          <w:noProof/>
          <w:lang w:val="fr-FR"/>
        </w:rPr>
        <w:t xml:space="preserve"> </w:t>
      </w:r>
      <w:r w:rsidR="005A307E">
        <w:rPr>
          <w:noProof/>
          <w:lang w:val="fr-FR"/>
        </w:rPr>
        <w:t xml:space="preserve">et la formation des tuteurs </w:t>
      </w:r>
      <w:r w:rsidR="007A3F99" w:rsidRPr="005A307E">
        <w:rPr>
          <w:i/>
          <w:noProof/>
          <w:lang w:val="fr-FR"/>
        </w:rPr>
        <w:t xml:space="preserve">ad </w:t>
      </w:r>
      <w:r w:rsidR="00A90888" w:rsidRPr="005A307E">
        <w:rPr>
          <w:i/>
          <w:noProof/>
          <w:lang w:val="fr-FR"/>
        </w:rPr>
        <w:t>l</w:t>
      </w:r>
      <w:r w:rsidR="007A3F99" w:rsidRPr="005A307E">
        <w:rPr>
          <w:i/>
          <w:noProof/>
          <w:lang w:val="fr-FR"/>
        </w:rPr>
        <w:t>item</w:t>
      </w:r>
      <w:r w:rsidR="007A3F99" w:rsidRPr="00DD03D6">
        <w:rPr>
          <w:noProof/>
          <w:lang w:val="fr-FR"/>
        </w:rPr>
        <w:t xml:space="preserve"> (CAAB, 2009).</w:t>
      </w:r>
    </w:p>
    <w:p w:rsidR="007A3F99" w:rsidRDefault="005A307E" w:rsidP="007A3F99">
      <w:pPr>
        <w:pStyle w:val="SingleTxtG"/>
        <w:numPr>
          <w:ilvl w:val="0"/>
          <w:numId w:val="3"/>
        </w:numPr>
        <w:ind w:left="1134" w:firstLine="0"/>
        <w:rPr>
          <w:noProof/>
          <w:lang w:val="fr-FR"/>
        </w:rPr>
      </w:pPr>
      <w:r>
        <w:rPr>
          <w:noProof/>
          <w:lang w:val="fr-FR" w:eastAsia="en-GB"/>
        </w:rPr>
        <w:t xml:space="preserve">La loi de 2010 sur la procédure pénale a modifié </w:t>
      </w:r>
      <w:r w:rsidR="00162AF4">
        <w:rPr>
          <w:noProof/>
          <w:lang w:val="fr-FR" w:eastAsia="en-GB"/>
        </w:rPr>
        <w:t xml:space="preserve">la loi sur le témoignage des victimes </w:t>
      </w:r>
      <w:r w:rsidR="001E791B">
        <w:rPr>
          <w:noProof/>
          <w:lang w:val="fr-FR" w:eastAsia="en-GB"/>
        </w:rPr>
        <w:t xml:space="preserve">sur l’impact des infractions </w:t>
      </w:r>
      <w:r w:rsidR="00162AF4">
        <w:rPr>
          <w:noProof/>
          <w:lang w:val="fr-FR" w:eastAsia="en-GB"/>
        </w:rPr>
        <w:t>et contient une disposition particulière concernant les enfants victimes d’infractions</w:t>
      </w:r>
      <w:r w:rsidR="007A3F99" w:rsidRPr="00DD03D6">
        <w:rPr>
          <w:noProof/>
          <w:lang w:val="fr-FR" w:eastAsia="en-GB"/>
        </w:rPr>
        <w:t xml:space="preserve">. </w:t>
      </w:r>
    </w:p>
    <w:p w:rsidR="007A3F99" w:rsidRPr="00DD03D6" w:rsidRDefault="00552C2B" w:rsidP="00A90888">
      <w:pPr>
        <w:pStyle w:val="SingleTxtG"/>
        <w:numPr>
          <w:ilvl w:val="0"/>
          <w:numId w:val="3"/>
        </w:numPr>
        <w:ind w:left="1134" w:firstLine="0"/>
        <w:rPr>
          <w:noProof/>
          <w:lang w:val="fr-FR"/>
        </w:rPr>
      </w:pPr>
      <w:r>
        <w:rPr>
          <w:noProof/>
          <w:lang w:val="fr-FR"/>
        </w:rPr>
        <w:t>La réforme c</w:t>
      </w:r>
      <w:r w:rsidR="007A3F99" w:rsidRPr="00DD03D6">
        <w:rPr>
          <w:noProof/>
          <w:lang w:val="fr-FR"/>
        </w:rPr>
        <w:t>onstitution</w:t>
      </w:r>
      <w:r>
        <w:rPr>
          <w:noProof/>
          <w:lang w:val="fr-FR"/>
        </w:rPr>
        <w:t xml:space="preserve">nelle touchant les droits des enfants, qui a fait l’objet d’un </w:t>
      </w:r>
      <w:r w:rsidR="007A3F99" w:rsidRPr="00DD03D6">
        <w:rPr>
          <w:noProof/>
          <w:lang w:val="fr-FR"/>
        </w:rPr>
        <w:t>r</w:t>
      </w:r>
      <w:r>
        <w:rPr>
          <w:noProof/>
          <w:lang w:val="fr-FR"/>
        </w:rPr>
        <w:t>é</w:t>
      </w:r>
      <w:r w:rsidR="007A3F99" w:rsidRPr="00DD03D6">
        <w:rPr>
          <w:noProof/>
          <w:lang w:val="fr-FR"/>
        </w:rPr>
        <w:t>f</w:t>
      </w:r>
      <w:r>
        <w:rPr>
          <w:noProof/>
          <w:lang w:val="fr-FR"/>
        </w:rPr>
        <w:t>é</w:t>
      </w:r>
      <w:r w:rsidR="007A3F99" w:rsidRPr="00DD03D6">
        <w:rPr>
          <w:noProof/>
          <w:lang w:val="fr-FR"/>
        </w:rPr>
        <w:t xml:space="preserve">rendum </w:t>
      </w:r>
      <w:r>
        <w:rPr>
          <w:noProof/>
          <w:lang w:val="fr-FR"/>
        </w:rPr>
        <w:t>tenu le</w:t>
      </w:r>
      <w:r w:rsidR="007A3F99" w:rsidRPr="00DD03D6">
        <w:rPr>
          <w:noProof/>
          <w:lang w:val="fr-FR"/>
        </w:rPr>
        <w:t xml:space="preserve"> 10 </w:t>
      </w:r>
      <w:r>
        <w:rPr>
          <w:noProof/>
          <w:lang w:val="fr-FR"/>
        </w:rPr>
        <w:t>n</w:t>
      </w:r>
      <w:r w:rsidR="007A3F99" w:rsidRPr="00DD03D6">
        <w:rPr>
          <w:noProof/>
          <w:lang w:val="fr-FR"/>
        </w:rPr>
        <w:t>ovemb</w:t>
      </w:r>
      <w:r>
        <w:rPr>
          <w:noProof/>
          <w:lang w:val="fr-FR"/>
        </w:rPr>
        <w:t>re</w:t>
      </w:r>
      <w:r w:rsidR="007A3F99" w:rsidRPr="00DD03D6">
        <w:rPr>
          <w:noProof/>
          <w:lang w:val="fr-FR"/>
        </w:rPr>
        <w:t xml:space="preserve"> 2012, </w:t>
      </w:r>
      <w:r>
        <w:rPr>
          <w:noProof/>
          <w:lang w:val="fr-FR"/>
        </w:rPr>
        <w:t>a inséré une disposition qui consacre et renforce le droit de l’enfant de voir ses opinions sollicitées et prises dûment en considération dans les procédures re</w:t>
      </w:r>
      <w:r w:rsidR="00045D83">
        <w:rPr>
          <w:noProof/>
          <w:lang w:val="fr-FR"/>
        </w:rPr>
        <w:t>latives à la protection de l’enf</w:t>
      </w:r>
      <w:r>
        <w:rPr>
          <w:noProof/>
          <w:lang w:val="fr-FR"/>
        </w:rPr>
        <w:t>ant engagées par l’État ou les procédures concernant l’</w:t>
      </w:r>
      <w:r w:rsidR="007A3F99" w:rsidRPr="00DD03D6">
        <w:rPr>
          <w:noProof/>
          <w:lang w:val="fr-FR"/>
        </w:rPr>
        <w:t xml:space="preserve">adoption, </w:t>
      </w:r>
      <w:r>
        <w:rPr>
          <w:noProof/>
          <w:lang w:val="fr-FR"/>
        </w:rPr>
        <w:t>la tutelle ou la garde d’un enfant ou le droit de visite</w:t>
      </w:r>
      <w:r w:rsidR="007A3F99" w:rsidRPr="00DD03D6">
        <w:rPr>
          <w:noProof/>
          <w:lang w:val="fr-FR"/>
        </w:rPr>
        <w:t>.</w:t>
      </w:r>
    </w:p>
    <w:p w:rsidR="007A3F99" w:rsidRPr="00DD03D6" w:rsidRDefault="006074D7" w:rsidP="006074D7">
      <w:pPr>
        <w:pStyle w:val="H23G"/>
        <w:ind w:firstLine="0"/>
        <w:rPr>
          <w:noProof/>
          <w:lang w:val="fr-FR"/>
        </w:rPr>
      </w:pPr>
      <w:r>
        <w:rPr>
          <w:noProof/>
          <w:lang w:val="fr-FR"/>
        </w:rPr>
        <w:lastRenderedPageBreak/>
        <w:t>Application de la règle de la p</w:t>
      </w:r>
      <w:r w:rsidR="007A3F99" w:rsidRPr="00DD03D6">
        <w:rPr>
          <w:noProof/>
          <w:lang w:val="fr-FR"/>
        </w:rPr>
        <w:t xml:space="preserve">rotection </w:t>
      </w:r>
      <w:r>
        <w:rPr>
          <w:noProof/>
          <w:lang w:val="fr-FR"/>
        </w:rPr>
        <w:t xml:space="preserve">de la vie privée à toutes les procédures judiciaires concernant des enfants </w:t>
      </w:r>
      <w:r w:rsidR="002A1CB1" w:rsidRPr="00DD03D6">
        <w:rPr>
          <w:noProof/>
          <w:lang w:val="fr-FR"/>
        </w:rPr>
        <w:t>(</w:t>
      </w:r>
      <w:r>
        <w:rPr>
          <w:noProof/>
          <w:lang w:val="fr-FR"/>
        </w:rPr>
        <w:t xml:space="preserve">voir le chapitre </w:t>
      </w:r>
      <w:r w:rsidR="007A3F99" w:rsidRPr="00DD03D6">
        <w:rPr>
          <w:noProof/>
          <w:lang w:val="fr-FR"/>
        </w:rPr>
        <w:t>4)</w:t>
      </w:r>
    </w:p>
    <w:p w:rsidR="007A3F99" w:rsidRPr="00DD03D6" w:rsidRDefault="006074D7" w:rsidP="00857C94">
      <w:pPr>
        <w:pStyle w:val="SingleTxtG"/>
        <w:numPr>
          <w:ilvl w:val="0"/>
          <w:numId w:val="3"/>
        </w:numPr>
        <w:ind w:left="1134" w:firstLine="0"/>
        <w:rPr>
          <w:b/>
          <w:noProof/>
          <w:lang w:val="fr-FR"/>
        </w:rPr>
      </w:pPr>
      <w:r w:rsidRPr="006074D7">
        <w:rPr>
          <w:b/>
          <w:bCs/>
          <w:lang w:val="fr-FR"/>
        </w:rPr>
        <w:t>Le Comité recommande à l’État partie de prendre les mesures voulues pour que la règle de la protection de la vie privée s’applique à toutes les procédures judiciaires concernant des enfants</w:t>
      </w:r>
      <w:r w:rsidR="007A3F99" w:rsidRPr="00DD03D6">
        <w:rPr>
          <w:b/>
          <w:noProof/>
          <w:lang w:val="fr-FR"/>
        </w:rPr>
        <w:t>.</w:t>
      </w:r>
    </w:p>
    <w:p w:rsidR="007A3F99" w:rsidRPr="00DD03D6" w:rsidRDefault="006074D7" w:rsidP="00EA0007">
      <w:pPr>
        <w:pStyle w:val="SingleTxtG"/>
        <w:numPr>
          <w:ilvl w:val="0"/>
          <w:numId w:val="3"/>
        </w:numPr>
        <w:ind w:left="1134" w:firstLine="0"/>
        <w:rPr>
          <w:noProof/>
          <w:lang w:val="fr-FR"/>
        </w:rPr>
      </w:pPr>
      <w:r>
        <w:rPr>
          <w:noProof/>
          <w:lang w:val="fr-FR"/>
        </w:rPr>
        <w:t>Les procédures judiciaires concernant des enfants interdisent, au civil comme au pénal, l’</w:t>
      </w:r>
      <w:r w:rsidR="007A3F99" w:rsidRPr="00DD03D6">
        <w:rPr>
          <w:noProof/>
          <w:lang w:val="fr-FR"/>
        </w:rPr>
        <w:t xml:space="preserve">identification </w:t>
      </w:r>
      <w:r>
        <w:rPr>
          <w:noProof/>
          <w:lang w:val="fr-FR"/>
        </w:rPr>
        <w:t xml:space="preserve">des enfants </w:t>
      </w:r>
      <w:r w:rsidR="007A3F99" w:rsidRPr="00DD03D6">
        <w:rPr>
          <w:noProof/>
          <w:lang w:val="fr-FR"/>
        </w:rPr>
        <w:t>(</w:t>
      </w:r>
      <w:r>
        <w:rPr>
          <w:noProof/>
          <w:lang w:val="fr-FR"/>
        </w:rPr>
        <w:t xml:space="preserve">voir les </w:t>
      </w:r>
      <w:r w:rsidR="00A90888" w:rsidRPr="00DD03D6">
        <w:rPr>
          <w:noProof/>
          <w:lang w:val="fr-FR"/>
        </w:rPr>
        <w:t>p</w:t>
      </w:r>
      <w:r w:rsidR="00796A7C" w:rsidRPr="00DD03D6">
        <w:rPr>
          <w:noProof/>
          <w:lang w:val="fr-FR"/>
        </w:rPr>
        <w:t>ar</w:t>
      </w:r>
      <w:r w:rsidR="00EB3C1F">
        <w:rPr>
          <w:noProof/>
          <w:lang w:val="fr-FR"/>
        </w:rPr>
        <w:t>agraphes</w:t>
      </w:r>
      <w:r w:rsidR="00796A7C" w:rsidRPr="00DD03D6">
        <w:rPr>
          <w:noProof/>
          <w:lang w:val="fr-FR"/>
        </w:rPr>
        <w:t> </w:t>
      </w:r>
      <w:r w:rsidR="00EA0007" w:rsidRPr="00DD03D6">
        <w:rPr>
          <w:noProof/>
          <w:lang w:val="fr-FR"/>
        </w:rPr>
        <w:t>337</w:t>
      </w:r>
      <w:r>
        <w:rPr>
          <w:noProof/>
          <w:lang w:val="fr-FR"/>
        </w:rPr>
        <w:t xml:space="preserve"> à </w:t>
      </w:r>
      <w:r w:rsidR="00EA0007" w:rsidRPr="00DD03D6">
        <w:rPr>
          <w:noProof/>
          <w:lang w:val="fr-FR"/>
        </w:rPr>
        <w:t>339</w:t>
      </w:r>
      <w:r w:rsidR="007A3F99" w:rsidRPr="00DD03D6">
        <w:rPr>
          <w:noProof/>
          <w:lang w:val="fr-FR"/>
        </w:rPr>
        <w:t>).</w:t>
      </w:r>
    </w:p>
    <w:p w:rsidR="007A3F99" w:rsidRPr="00DD03D6" w:rsidRDefault="006074D7" w:rsidP="006074D7">
      <w:pPr>
        <w:pStyle w:val="H23G"/>
        <w:ind w:firstLine="0"/>
        <w:rPr>
          <w:noProof/>
          <w:lang w:val="fr-FR"/>
        </w:rPr>
      </w:pPr>
      <w:r>
        <w:rPr>
          <w:noProof/>
          <w:lang w:val="fr-FR"/>
        </w:rPr>
        <w:t xml:space="preserve">Milieu familial </w:t>
      </w:r>
      <w:r w:rsidR="002A1CB1" w:rsidRPr="00DD03D6">
        <w:rPr>
          <w:noProof/>
          <w:lang w:val="fr-FR"/>
        </w:rPr>
        <w:t>(</w:t>
      </w:r>
      <w:r>
        <w:rPr>
          <w:noProof/>
          <w:lang w:val="fr-FR"/>
        </w:rPr>
        <w:t xml:space="preserve">voir le chapitre </w:t>
      </w:r>
      <w:r w:rsidR="007A3F99" w:rsidRPr="00DD03D6">
        <w:rPr>
          <w:noProof/>
          <w:lang w:val="fr-FR"/>
        </w:rPr>
        <w:t>5)</w:t>
      </w:r>
    </w:p>
    <w:p w:rsidR="007A3F99" w:rsidRPr="00EC15DC" w:rsidRDefault="006074D7" w:rsidP="008A5703">
      <w:pPr>
        <w:pStyle w:val="SingleTxtG"/>
        <w:numPr>
          <w:ilvl w:val="0"/>
          <w:numId w:val="3"/>
        </w:numPr>
        <w:ind w:left="1134" w:firstLine="0"/>
        <w:rPr>
          <w:noProof/>
          <w:lang w:val="fr-FR"/>
        </w:rPr>
      </w:pPr>
      <w:r w:rsidRPr="00EC15DC">
        <w:rPr>
          <w:b/>
          <w:bCs/>
          <w:lang w:val="fr-FR"/>
        </w:rPr>
        <w:t>Le Comité recommande à l’État partie</w:t>
      </w:r>
      <w:r w:rsidR="00EB3C1F">
        <w:rPr>
          <w:b/>
          <w:bCs/>
          <w:lang w:val="fr-FR"/>
        </w:rPr>
        <w:t> </w:t>
      </w:r>
      <w:r w:rsidR="007A3F99" w:rsidRPr="00EC15DC">
        <w:rPr>
          <w:b/>
          <w:noProof/>
          <w:lang w:val="fr-FR"/>
        </w:rPr>
        <w:t>:</w:t>
      </w:r>
    </w:p>
    <w:p w:rsidR="007A3F99" w:rsidRPr="00EC15DC" w:rsidRDefault="007A3F99" w:rsidP="008E6ED1">
      <w:pPr>
        <w:pStyle w:val="SingleTxtG"/>
        <w:ind w:firstLine="567"/>
        <w:rPr>
          <w:b/>
          <w:noProof/>
          <w:lang w:val="fr-FR"/>
        </w:rPr>
      </w:pPr>
      <w:r w:rsidRPr="00EC15DC">
        <w:rPr>
          <w:b/>
          <w:noProof/>
          <w:lang w:val="fr-FR"/>
        </w:rPr>
        <w:t>a)</w:t>
      </w:r>
      <w:r w:rsidRPr="00EC15DC">
        <w:rPr>
          <w:b/>
          <w:noProof/>
          <w:lang w:val="fr-FR"/>
        </w:rPr>
        <w:tab/>
      </w:r>
      <w:r w:rsidR="00EC15DC" w:rsidRPr="00EC15DC">
        <w:rPr>
          <w:b/>
          <w:noProof/>
          <w:lang w:val="fr-FR"/>
        </w:rPr>
        <w:t>De f</w:t>
      </w:r>
      <w:r w:rsidR="006074D7" w:rsidRPr="00EC15DC">
        <w:rPr>
          <w:b/>
          <w:bCs/>
          <w:lang w:val="fr-FR"/>
        </w:rPr>
        <w:t>aire un bilan approfondi des services de soutien offerts par les différents ministères, afin d’en évaluer la qualité et la portée, et de cerner puis corriger les lacunes éventuelles; et</w:t>
      </w:r>
      <w:r w:rsidR="006074D7" w:rsidRPr="00EC15DC">
        <w:rPr>
          <w:b/>
          <w:noProof/>
          <w:lang w:val="fr-FR"/>
        </w:rPr>
        <w:t xml:space="preserve"> </w:t>
      </w:r>
    </w:p>
    <w:p w:rsidR="007A3F99" w:rsidRPr="00DD03D6" w:rsidRDefault="007A3F99" w:rsidP="008E6ED1">
      <w:pPr>
        <w:pStyle w:val="SingleTxtG"/>
        <w:ind w:firstLine="567"/>
        <w:rPr>
          <w:b/>
          <w:noProof/>
          <w:lang w:val="fr-FR"/>
        </w:rPr>
      </w:pPr>
      <w:r w:rsidRPr="00EC15DC">
        <w:rPr>
          <w:b/>
          <w:noProof/>
          <w:lang w:val="fr-FR"/>
        </w:rPr>
        <w:t>b)</w:t>
      </w:r>
      <w:r w:rsidRPr="00EC15DC">
        <w:rPr>
          <w:b/>
          <w:noProof/>
          <w:lang w:val="fr-FR"/>
        </w:rPr>
        <w:tab/>
      </w:r>
      <w:r w:rsidR="00EC15DC" w:rsidRPr="00EC15DC">
        <w:rPr>
          <w:b/>
          <w:noProof/>
          <w:lang w:val="fr-FR"/>
        </w:rPr>
        <w:t>D’é</w:t>
      </w:r>
      <w:r w:rsidR="006074D7" w:rsidRPr="00EC15DC">
        <w:rPr>
          <w:b/>
          <w:bCs/>
          <w:lang w:val="fr-FR"/>
        </w:rPr>
        <w:t>tendre les services d’assistance sociale aux familles et aux enfants en situation de risque de sorte qu’ils soient disponibles 24 heures sur 24 et 7 jours sur 7</w:t>
      </w:r>
      <w:r w:rsidRPr="00EC15DC">
        <w:rPr>
          <w:b/>
          <w:noProof/>
          <w:lang w:val="fr-FR"/>
        </w:rPr>
        <w:t>.</w:t>
      </w:r>
    </w:p>
    <w:p w:rsidR="007A3F99" w:rsidRPr="00DD03D6" w:rsidRDefault="007630C2" w:rsidP="00F843B5">
      <w:pPr>
        <w:pStyle w:val="SingleTxtG"/>
        <w:numPr>
          <w:ilvl w:val="0"/>
          <w:numId w:val="3"/>
        </w:numPr>
        <w:ind w:left="1134" w:firstLine="0"/>
        <w:rPr>
          <w:noProof/>
          <w:lang w:val="fr-FR"/>
        </w:rPr>
      </w:pPr>
      <w:r>
        <w:rPr>
          <w:noProof/>
          <w:lang w:val="fr-FR"/>
        </w:rPr>
        <w:t xml:space="preserve">À partir de </w:t>
      </w:r>
      <w:r w:rsidR="007A3F99" w:rsidRPr="00DD03D6">
        <w:rPr>
          <w:noProof/>
          <w:lang w:val="fr-FR"/>
        </w:rPr>
        <w:t xml:space="preserve">2005, </w:t>
      </w:r>
      <w:r>
        <w:rPr>
          <w:noProof/>
          <w:lang w:val="fr-FR"/>
        </w:rPr>
        <w:t>le Service d’intervention d’urgence</w:t>
      </w:r>
      <w:r w:rsidR="007A3F99" w:rsidRPr="00DD03D6">
        <w:rPr>
          <w:noProof/>
          <w:lang w:val="fr-FR"/>
        </w:rPr>
        <w:t>, bas</w:t>
      </w:r>
      <w:r w:rsidR="000D3F7F">
        <w:rPr>
          <w:noProof/>
          <w:lang w:val="fr-FR"/>
        </w:rPr>
        <w:t xml:space="preserve">é dans l’agglomération de </w:t>
      </w:r>
      <w:r w:rsidR="007A3F99" w:rsidRPr="00DD03D6">
        <w:rPr>
          <w:noProof/>
          <w:lang w:val="fr-FR"/>
        </w:rPr>
        <w:t xml:space="preserve">Dublin, </w:t>
      </w:r>
      <w:r w:rsidR="000D3F7F">
        <w:rPr>
          <w:noProof/>
          <w:lang w:val="fr-FR"/>
        </w:rPr>
        <w:t>a été étendu à tous les enfants jusqu’à l</w:t>
      </w:r>
      <w:r w:rsidR="00C23377">
        <w:rPr>
          <w:noProof/>
          <w:lang w:val="fr-FR"/>
        </w:rPr>
        <w:t>’</w:t>
      </w:r>
      <w:r w:rsidR="000D3F7F">
        <w:rPr>
          <w:noProof/>
          <w:lang w:val="fr-FR"/>
        </w:rPr>
        <w:t>âge de 18 ans</w:t>
      </w:r>
      <w:r w:rsidR="007A3F99" w:rsidRPr="00DD03D6">
        <w:rPr>
          <w:noProof/>
          <w:lang w:val="fr-FR"/>
        </w:rPr>
        <w:t xml:space="preserve">. </w:t>
      </w:r>
      <w:r w:rsidR="000D3F7F">
        <w:rPr>
          <w:noProof/>
          <w:lang w:val="fr-FR"/>
        </w:rPr>
        <w:t>E</w:t>
      </w:r>
      <w:r w:rsidR="007A3F99" w:rsidRPr="00DD03D6">
        <w:rPr>
          <w:noProof/>
          <w:lang w:val="fr-FR"/>
        </w:rPr>
        <w:t xml:space="preserve">n </w:t>
      </w:r>
      <w:r w:rsidR="000D3F7F">
        <w:rPr>
          <w:noProof/>
          <w:lang w:val="fr-FR"/>
        </w:rPr>
        <w:t xml:space="preserve">juin </w:t>
      </w:r>
      <w:r w:rsidR="007A3F99" w:rsidRPr="00DD03D6">
        <w:rPr>
          <w:noProof/>
          <w:lang w:val="fr-FR"/>
        </w:rPr>
        <w:t xml:space="preserve">2009, </w:t>
      </w:r>
      <w:r w:rsidR="00EB3C1F">
        <w:rPr>
          <w:noProof/>
          <w:lang w:val="fr-FR"/>
        </w:rPr>
        <w:t>en application de l’</w:t>
      </w:r>
      <w:r w:rsidR="000D3F7F">
        <w:rPr>
          <w:noProof/>
          <w:lang w:val="fr-FR"/>
        </w:rPr>
        <w:t xml:space="preserve">article </w:t>
      </w:r>
      <w:r w:rsidR="007A3F99" w:rsidRPr="00DD03D6">
        <w:rPr>
          <w:noProof/>
          <w:lang w:val="fr-FR"/>
        </w:rPr>
        <w:t xml:space="preserve">12 </w:t>
      </w:r>
      <w:r w:rsidR="000D3F7F">
        <w:rPr>
          <w:noProof/>
          <w:lang w:val="fr-FR"/>
        </w:rPr>
        <w:t xml:space="preserve">de la loi de 1991 sur la protection de l’enfance, la Direction des services de santé a créé un service permettant à la police de trouver </w:t>
      </w:r>
      <w:r w:rsidR="00C23377">
        <w:rPr>
          <w:noProof/>
          <w:lang w:val="fr-FR"/>
        </w:rPr>
        <w:t xml:space="preserve">en dehors des horaires habituels de travail </w:t>
      </w:r>
      <w:r w:rsidR="000D3F7F">
        <w:rPr>
          <w:noProof/>
          <w:lang w:val="fr-FR"/>
        </w:rPr>
        <w:t>un lieu sûr pour</w:t>
      </w:r>
      <w:r w:rsidR="00C23377">
        <w:rPr>
          <w:noProof/>
          <w:lang w:val="fr-FR"/>
        </w:rPr>
        <w:t xml:space="preserve"> les enfants et les jeunes en situation de risque</w:t>
      </w:r>
      <w:r w:rsidR="007A3F99" w:rsidRPr="00DD03D6">
        <w:rPr>
          <w:noProof/>
          <w:lang w:val="fr-FR"/>
        </w:rPr>
        <w:t xml:space="preserve">. </w:t>
      </w:r>
      <w:r w:rsidR="00C23377">
        <w:rPr>
          <w:noProof/>
          <w:lang w:val="fr-FR"/>
        </w:rPr>
        <w:t xml:space="preserve">Deux projets pilotes ont été mis en œuvre en </w:t>
      </w:r>
      <w:r w:rsidR="007A3F99" w:rsidRPr="00DD03D6">
        <w:rPr>
          <w:noProof/>
          <w:lang w:val="fr-FR"/>
        </w:rPr>
        <w:t xml:space="preserve">2011, </w:t>
      </w:r>
      <w:r w:rsidR="00C23377">
        <w:rPr>
          <w:noProof/>
          <w:lang w:val="fr-FR"/>
        </w:rPr>
        <w:t>à</w:t>
      </w:r>
      <w:r w:rsidR="007A3F99" w:rsidRPr="00DD03D6">
        <w:rPr>
          <w:noProof/>
          <w:lang w:val="fr-FR"/>
        </w:rPr>
        <w:t xml:space="preserve"> Cork </w:t>
      </w:r>
      <w:r w:rsidR="00C23377">
        <w:rPr>
          <w:noProof/>
          <w:lang w:val="fr-FR"/>
        </w:rPr>
        <w:t xml:space="preserve">et à </w:t>
      </w:r>
      <w:r w:rsidR="007A3F99" w:rsidRPr="00DD03D6">
        <w:rPr>
          <w:noProof/>
          <w:lang w:val="fr-FR"/>
        </w:rPr>
        <w:t xml:space="preserve">Donegal, </w:t>
      </w:r>
      <w:r w:rsidR="00C23377">
        <w:rPr>
          <w:noProof/>
          <w:lang w:val="fr-FR"/>
        </w:rPr>
        <w:t>pour élaborer un modèle de prestation de services d’assistance sociale en dehors des horaires habituels de travail</w:t>
      </w:r>
      <w:r w:rsidR="007A3F99" w:rsidRPr="00DD03D6">
        <w:rPr>
          <w:noProof/>
          <w:lang w:val="fr-FR"/>
        </w:rPr>
        <w:t xml:space="preserve">. </w:t>
      </w:r>
      <w:r w:rsidR="00C23377">
        <w:rPr>
          <w:noProof/>
          <w:lang w:val="fr-FR"/>
        </w:rPr>
        <w:t>Ces projets ont fait l’objet d’une évaluation indépendante</w:t>
      </w:r>
      <w:r w:rsidR="007A3F99" w:rsidRPr="00DD03D6">
        <w:rPr>
          <w:noProof/>
          <w:lang w:val="fr-FR"/>
        </w:rPr>
        <w:t>.</w:t>
      </w:r>
    </w:p>
    <w:p w:rsidR="007A3F99" w:rsidRPr="00DD03D6" w:rsidRDefault="00DE6041" w:rsidP="00DE6041">
      <w:pPr>
        <w:pStyle w:val="H23G"/>
        <w:ind w:firstLine="0"/>
        <w:rPr>
          <w:noProof/>
          <w:lang w:val="fr-FR"/>
        </w:rPr>
      </w:pPr>
      <w:r>
        <w:rPr>
          <w:noProof/>
          <w:lang w:val="fr-FR"/>
        </w:rPr>
        <w:t>Regroupement familial</w:t>
      </w:r>
      <w:r w:rsidR="007A3F99" w:rsidRPr="00DD03D6">
        <w:rPr>
          <w:noProof/>
          <w:lang w:val="fr-FR"/>
        </w:rPr>
        <w:t xml:space="preserve"> </w:t>
      </w:r>
      <w:r w:rsidR="002A1CB1" w:rsidRPr="00DD03D6">
        <w:rPr>
          <w:noProof/>
          <w:lang w:val="fr-FR"/>
        </w:rPr>
        <w:t>(</w:t>
      </w:r>
      <w:r>
        <w:rPr>
          <w:noProof/>
          <w:lang w:val="fr-FR"/>
        </w:rPr>
        <w:t xml:space="preserve">voir le chapitre </w:t>
      </w:r>
      <w:r w:rsidR="007A3F99" w:rsidRPr="00DD03D6">
        <w:rPr>
          <w:noProof/>
          <w:lang w:val="fr-FR"/>
        </w:rPr>
        <w:t>5)</w:t>
      </w:r>
    </w:p>
    <w:p w:rsidR="007A3F99" w:rsidRPr="00DE6041" w:rsidRDefault="00DE6041" w:rsidP="008A5703">
      <w:pPr>
        <w:pStyle w:val="SingleTxtG"/>
        <w:numPr>
          <w:ilvl w:val="0"/>
          <w:numId w:val="3"/>
        </w:numPr>
        <w:ind w:left="1134" w:firstLine="0"/>
        <w:rPr>
          <w:noProof/>
          <w:lang w:val="fr-FR"/>
        </w:rPr>
      </w:pPr>
      <w:r w:rsidRPr="00DE6041">
        <w:rPr>
          <w:b/>
          <w:bCs/>
          <w:lang w:val="fr-FR"/>
        </w:rPr>
        <w:t>Le Co</w:t>
      </w:r>
      <w:r w:rsidR="00EB3C1F">
        <w:rPr>
          <w:b/>
          <w:bCs/>
          <w:lang w:val="fr-FR"/>
        </w:rPr>
        <w:t>mité recommande à l’État partie </w:t>
      </w:r>
      <w:r w:rsidR="007A3F99" w:rsidRPr="00DE6041">
        <w:rPr>
          <w:b/>
          <w:noProof/>
          <w:lang w:val="fr-FR"/>
        </w:rPr>
        <w:t>:</w:t>
      </w:r>
    </w:p>
    <w:p w:rsidR="007A3F99" w:rsidRPr="00DE6041" w:rsidRDefault="007A3F99" w:rsidP="00F843B5">
      <w:pPr>
        <w:pStyle w:val="SingleTxtG"/>
        <w:ind w:firstLine="567"/>
        <w:rPr>
          <w:b/>
          <w:noProof/>
          <w:lang w:val="fr-FR"/>
        </w:rPr>
      </w:pPr>
      <w:r w:rsidRPr="00DE6041">
        <w:rPr>
          <w:b/>
          <w:noProof/>
          <w:lang w:val="fr-FR"/>
        </w:rPr>
        <w:t>a)</w:t>
      </w:r>
      <w:r w:rsidRPr="00DE6041">
        <w:rPr>
          <w:b/>
          <w:noProof/>
          <w:lang w:val="fr-FR"/>
        </w:rPr>
        <w:tab/>
      </w:r>
      <w:r w:rsidR="00DE6041" w:rsidRPr="00DE6041">
        <w:rPr>
          <w:b/>
          <w:bCs/>
          <w:lang w:val="fr-FR"/>
        </w:rPr>
        <w:t>D’envisager de revoir la définition de la fami</w:t>
      </w:r>
      <w:r w:rsidR="00EB3C1F">
        <w:rPr>
          <w:b/>
          <w:bCs/>
          <w:lang w:val="fr-FR"/>
        </w:rPr>
        <w:t xml:space="preserve">lle dans la loi de 1996 sur les </w:t>
      </w:r>
      <w:r w:rsidR="00DE6041" w:rsidRPr="00DE6041">
        <w:rPr>
          <w:b/>
          <w:bCs/>
          <w:lang w:val="fr-FR"/>
        </w:rPr>
        <w:t>réfugiés, de manière qu’elle cadre mieux avec la réalité que recouvre aujourd’hui ce</w:t>
      </w:r>
      <w:r w:rsidR="00EB3C1F">
        <w:rPr>
          <w:b/>
          <w:bCs/>
          <w:lang w:val="fr-FR"/>
        </w:rPr>
        <w:t xml:space="preserve"> </w:t>
      </w:r>
      <w:r w:rsidR="00DE6041" w:rsidRPr="00DE6041">
        <w:rPr>
          <w:b/>
          <w:bCs/>
          <w:lang w:val="fr-FR"/>
        </w:rPr>
        <w:t>concept</w:t>
      </w:r>
      <w:r w:rsidRPr="00DE6041">
        <w:rPr>
          <w:b/>
          <w:noProof/>
          <w:lang w:val="fr-FR"/>
        </w:rPr>
        <w:t>;</w:t>
      </w:r>
    </w:p>
    <w:p w:rsidR="007A3F99" w:rsidRPr="00DE6041" w:rsidRDefault="007A3F99" w:rsidP="00F843B5">
      <w:pPr>
        <w:pStyle w:val="SingleTxtG"/>
        <w:ind w:firstLine="567"/>
        <w:rPr>
          <w:b/>
          <w:noProof/>
          <w:lang w:val="fr-FR"/>
        </w:rPr>
      </w:pPr>
      <w:r w:rsidRPr="00DE6041">
        <w:rPr>
          <w:b/>
          <w:noProof/>
          <w:lang w:val="fr-FR"/>
        </w:rPr>
        <w:t>b)</w:t>
      </w:r>
      <w:r w:rsidRPr="00DE6041">
        <w:rPr>
          <w:b/>
          <w:noProof/>
          <w:lang w:val="fr-FR"/>
        </w:rPr>
        <w:tab/>
      </w:r>
      <w:r w:rsidR="00DE6041" w:rsidRPr="00DE6041">
        <w:rPr>
          <w:b/>
          <w:lang w:val="fr-FR"/>
        </w:rPr>
        <w:t>D’envisager d’instaurer un cadre juridique pour le regroupement familial dans les situations non prévues par la loi sur les réfugiés; et</w:t>
      </w:r>
      <w:r w:rsidR="00E92D3C">
        <w:rPr>
          <w:b/>
          <w:noProof/>
          <w:lang w:val="fr-FR"/>
        </w:rPr>
        <w:t xml:space="preserve"> </w:t>
      </w:r>
    </w:p>
    <w:p w:rsidR="007A3F99" w:rsidRPr="00DD03D6" w:rsidRDefault="007A3F99" w:rsidP="00F843B5">
      <w:pPr>
        <w:pStyle w:val="SingleTxtG"/>
        <w:ind w:firstLine="567"/>
        <w:rPr>
          <w:b/>
          <w:noProof/>
          <w:lang w:val="fr-FR"/>
        </w:rPr>
      </w:pPr>
      <w:r w:rsidRPr="00DE6041">
        <w:rPr>
          <w:b/>
          <w:noProof/>
          <w:lang w:val="fr-FR"/>
        </w:rPr>
        <w:t>c)</w:t>
      </w:r>
      <w:r w:rsidRPr="00DE6041">
        <w:rPr>
          <w:b/>
          <w:noProof/>
          <w:lang w:val="fr-FR"/>
        </w:rPr>
        <w:tab/>
      </w:r>
      <w:r w:rsidR="00DE6041" w:rsidRPr="00DE6041">
        <w:rPr>
          <w:b/>
          <w:bCs/>
          <w:lang w:val="fr-FR"/>
        </w:rPr>
        <w:t>De veiller à ce que l’intérêt supérieur de l’enfant soit toujours une considération prioritaire lorsqu’une décision concernant un enfant est prise dans le cadre d’une procédure judiciaire ou administrative</w:t>
      </w:r>
      <w:r w:rsidRPr="00DD03D6">
        <w:rPr>
          <w:b/>
          <w:noProof/>
          <w:lang w:val="fr-FR"/>
        </w:rPr>
        <w:t>.</w:t>
      </w:r>
    </w:p>
    <w:p w:rsidR="007A3F99" w:rsidRPr="00DD03D6" w:rsidRDefault="00DE6041" w:rsidP="0076329E">
      <w:pPr>
        <w:pStyle w:val="SingleTxtG"/>
        <w:numPr>
          <w:ilvl w:val="0"/>
          <w:numId w:val="3"/>
        </w:numPr>
        <w:ind w:left="1134" w:firstLine="0"/>
        <w:rPr>
          <w:noProof/>
          <w:lang w:val="fr-FR"/>
        </w:rPr>
      </w:pPr>
      <w:r>
        <w:rPr>
          <w:noProof/>
          <w:lang w:val="fr-FR"/>
        </w:rPr>
        <w:t xml:space="preserve">La </w:t>
      </w:r>
      <w:r w:rsidR="007A3F99" w:rsidRPr="00DD03D6">
        <w:rPr>
          <w:noProof/>
          <w:lang w:val="fr-FR"/>
        </w:rPr>
        <w:t xml:space="preserve">question </w:t>
      </w:r>
      <w:r>
        <w:rPr>
          <w:noProof/>
          <w:lang w:val="fr-FR"/>
        </w:rPr>
        <w:t xml:space="preserve">de l’élargissement de la </w:t>
      </w:r>
      <w:r w:rsidR="007A3F99" w:rsidRPr="00DD03D6">
        <w:rPr>
          <w:noProof/>
          <w:lang w:val="fr-FR"/>
        </w:rPr>
        <w:t>d</w:t>
      </w:r>
      <w:r>
        <w:rPr>
          <w:noProof/>
          <w:lang w:val="fr-FR"/>
        </w:rPr>
        <w:t>é</w:t>
      </w:r>
      <w:r w:rsidR="007A3F99" w:rsidRPr="00DD03D6">
        <w:rPr>
          <w:noProof/>
          <w:lang w:val="fr-FR"/>
        </w:rPr>
        <w:t xml:space="preserve">finition </w:t>
      </w:r>
      <w:r>
        <w:rPr>
          <w:noProof/>
          <w:lang w:val="fr-FR"/>
        </w:rPr>
        <w:t xml:space="preserve">du regroupement familial en ce qui concerne les personnes auxquelles a été accordé le statut de réfugié peut être étudiée dans le </w:t>
      </w:r>
      <w:r w:rsidR="007A3F99" w:rsidRPr="00DD03D6">
        <w:rPr>
          <w:noProof/>
          <w:lang w:val="fr-FR"/>
        </w:rPr>
        <w:t>context</w:t>
      </w:r>
      <w:r>
        <w:rPr>
          <w:noProof/>
          <w:lang w:val="fr-FR"/>
        </w:rPr>
        <w:t>e</w:t>
      </w:r>
      <w:r w:rsidR="007A3F99" w:rsidRPr="00DD03D6">
        <w:rPr>
          <w:noProof/>
          <w:lang w:val="fr-FR"/>
        </w:rPr>
        <w:t xml:space="preserve"> </w:t>
      </w:r>
      <w:r>
        <w:rPr>
          <w:noProof/>
          <w:lang w:val="fr-FR"/>
        </w:rPr>
        <w:t>de la refonte de la législation irlandaise sur l’</w:t>
      </w:r>
      <w:r w:rsidR="007A3F99" w:rsidRPr="00DD03D6">
        <w:rPr>
          <w:noProof/>
          <w:lang w:val="fr-FR"/>
        </w:rPr>
        <w:t>immigration</w:t>
      </w:r>
      <w:r>
        <w:rPr>
          <w:noProof/>
          <w:lang w:val="fr-FR"/>
        </w:rPr>
        <w:t xml:space="preserve">, en particulier </w:t>
      </w:r>
      <w:r w:rsidR="00C50B54">
        <w:rPr>
          <w:noProof/>
          <w:lang w:val="fr-FR"/>
        </w:rPr>
        <w:t>le projet de</w:t>
      </w:r>
      <w:r w:rsidR="000D7BEC">
        <w:rPr>
          <w:noProof/>
          <w:lang w:val="fr-FR"/>
        </w:rPr>
        <w:t xml:space="preserve"> loi de 2010 sur l’immigration et la sécurité de ré</w:t>
      </w:r>
      <w:r w:rsidR="007A3F99" w:rsidRPr="00DD03D6">
        <w:rPr>
          <w:noProof/>
          <w:lang w:val="fr-FR"/>
        </w:rPr>
        <w:t xml:space="preserve">sidence. </w:t>
      </w:r>
      <w:r w:rsidR="000D7BEC">
        <w:rPr>
          <w:noProof/>
          <w:lang w:val="fr-FR"/>
        </w:rPr>
        <w:t>Le Mini</w:t>
      </w:r>
      <w:r w:rsidR="000C6649">
        <w:rPr>
          <w:noProof/>
          <w:lang w:val="fr-FR"/>
        </w:rPr>
        <w:t>s</w:t>
      </w:r>
      <w:r w:rsidR="000D7BEC">
        <w:rPr>
          <w:noProof/>
          <w:lang w:val="fr-FR"/>
        </w:rPr>
        <w:t>tre de la j</w:t>
      </w:r>
      <w:r w:rsidR="007A3F99" w:rsidRPr="00DD03D6">
        <w:rPr>
          <w:noProof/>
          <w:lang w:val="fr-FR"/>
        </w:rPr>
        <w:t xml:space="preserve">ustice </w:t>
      </w:r>
      <w:r w:rsidR="000D7BEC">
        <w:rPr>
          <w:noProof/>
          <w:lang w:val="fr-FR"/>
        </w:rPr>
        <w:t xml:space="preserve">et de l’égalité a fait part de son </w:t>
      </w:r>
      <w:r w:rsidR="007A3F99" w:rsidRPr="00DD03D6">
        <w:rPr>
          <w:noProof/>
          <w:lang w:val="fr-FR"/>
        </w:rPr>
        <w:t xml:space="preserve">intention </w:t>
      </w:r>
      <w:r w:rsidR="000D7BEC">
        <w:rPr>
          <w:noProof/>
          <w:lang w:val="fr-FR"/>
        </w:rPr>
        <w:t xml:space="preserve">de </w:t>
      </w:r>
      <w:r w:rsidR="007A3F99" w:rsidRPr="00DD03D6">
        <w:rPr>
          <w:noProof/>
          <w:lang w:val="fr-FR"/>
        </w:rPr>
        <w:t>republi</w:t>
      </w:r>
      <w:r w:rsidR="000D7BEC">
        <w:rPr>
          <w:noProof/>
          <w:lang w:val="fr-FR"/>
        </w:rPr>
        <w:t>er cette loi lorsqu’elle aurait été modifiée</w:t>
      </w:r>
      <w:r w:rsidR="007A3F99" w:rsidRPr="00DD03D6">
        <w:rPr>
          <w:noProof/>
          <w:lang w:val="fr-FR"/>
        </w:rPr>
        <w:t xml:space="preserve">. </w:t>
      </w:r>
      <w:r w:rsidR="000D7BEC">
        <w:rPr>
          <w:noProof/>
          <w:lang w:val="fr-FR"/>
        </w:rPr>
        <w:t xml:space="preserve">Sans préjuger du résultat de </w:t>
      </w:r>
      <w:r w:rsidR="0035031E">
        <w:rPr>
          <w:noProof/>
          <w:lang w:val="fr-FR"/>
        </w:rPr>
        <w:t>cet</w:t>
      </w:r>
      <w:r w:rsidR="000D7BEC">
        <w:rPr>
          <w:noProof/>
          <w:lang w:val="fr-FR"/>
        </w:rPr>
        <w:t xml:space="preserve"> examen, il convient de garder à l’esprit que </w:t>
      </w:r>
      <w:r w:rsidR="0035031E">
        <w:rPr>
          <w:noProof/>
          <w:lang w:val="fr-FR"/>
        </w:rPr>
        <w:t>toute personne peut soumettre une demande pour venir en Irlande et fournir tous renseignements à l’appui de sa demande</w:t>
      </w:r>
      <w:r w:rsidR="007A3F99" w:rsidRPr="00DD03D6">
        <w:rPr>
          <w:noProof/>
          <w:lang w:val="fr-FR"/>
        </w:rPr>
        <w:t xml:space="preserve">. </w:t>
      </w:r>
      <w:r w:rsidR="0035031E">
        <w:rPr>
          <w:noProof/>
          <w:lang w:val="fr-FR"/>
        </w:rPr>
        <w:t>Cette demande peut s’appuyer, entre autres, sur le lien existant entre cette personne et un réfugié</w:t>
      </w:r>
      <w:r w:rsidR="007A3F99" w:rsidRPr="00DD03D6">
        <w:rPr>
          <w:noProof/>
          <w:lang w:val="fr-FR"/>
        </w:rPr>
        <w:t>. I</w:t>
      </w:r>
      <w:r w:rsidR="0035031E">
        <w:rPr>
          <w:noProof/>
          <w:lang w:val="fr-FR"/>
        </w:rPr>
        <w:t>l convient de noter que lorsque le regroupement familial est accordé de plein droit</w:t>
      </w:r>
      <w:r w:rsidR="000C6649">
        <w:rPr>
          <w:noProof/>
          <w:lang w:val="fr-FR"/>
        </w:rPr>
        <w:t>, même si ce droit est conditionnel, il y a inévitablement un équilibre à trouver s’agissant de définir la famille qui satisfait aux conditions requises</w:t>
      </w:r>
      <w:r w:rsidR="007A3F99" w:rsidRPr="00DD03D6">
        <w:rPr>
          <w:noProof/>
          <w:lang w:val="fr-FR"/>
        </w:rPr>
        <w:t xml:space="preserve">. </w:t>
      </w:r>
      <w:r w:rsidR="000C6649">
        <w:rPr>
          <w:noProof/>
          <w:lang w:val="fr-FR"/>
        </w:rPr>
        <w:t>E</w:t>
      </w:r>
      <w:r w:rsidR="007A3F99" w:rsidRPr="00DD03D6">
        <w:rPr>
          <w:noProof/>
          <w:lang w:val="fr-FR"/>
        </w:rPr>
        <w:t xml:space="preserve">n </w:t>
      </w:r>
      <w:r w:rsidR="000C6649">
        <w:rPr>
          <w:noProof/>
          <w:lang w:val="fr-FR"/>
        </w:rPr>
        <w:t>d’autres termes, plus le droit au regroupement est automatique, plus étroit est le lien familial requis</w:t>
      </w:r>
      <w:r w:rsidR="007A3F99" w:rsidRPr="00DD03D6">
        <w:rPr>
          <w:noProof/>
          <w:lang w:val="fr-FR"/>
        </w:rPr>
        <w:t>.</w:t>
      </w:r>
    </w:p>
    <w:p w:rsidR="007A3F99" w:rsidRPr="00DD03D6" w:rsidRDefault="009545C1" w:rsidP="0076329E">
      <w:pPr>
        <w:pStyle w:val="SingleTxtG"/>
        <w:numPr>
          <w:ilvl w:val="0"/>
          <w:numId w:val="3"/>
        </w:numPr>
        <w:ind w:left="1134" w:firstLine="0"/>
        <w:rPr>
          <w:noProof/>
          <w:lang w:val="fr-FR"/>
        </w:rPr>
      </w:pPr>
      <w:r>
        <w:rPr>
          <w:noProof/>
          <w:lang w:val="fr-FR"/>
        </w:rPr>
        <w:lastRenderedPageBreak/>
        <w:t>On a entrepris d’examiner la question du regroupement familial ne concernant pas les réfugiés et, en particulier, de définir d’une manière plus transparente le type de résultat que l’on pourrait raisonnablement attendre d’une demande de regroupement familial</w:t>
      </w:r>
      <w:r w:rsidR="007A3F99" w:rsidRPr="00DD03D6">
        <w:rPr>
          <w:noProof/>
          <w:lang w:val="fr-FR"/>
        </w:rPr>
        <w:t>.</w:t>
      </w:r>
    </w:p>
    <w:p w:rsidR="007A3F99" w:rsidRPr="00DD03D6" w:rsidRDefault="006F1E17" w:rsidP="008A5703">
      <w:pPr>
        <w:pStyle w:val="SingleTxtG"/>
        <w:numPr>
          <w:ilvl w:val="0"/>
          <w:numId w:val="3"/>
        </w:numPr>
        <w:ind w:left="1134" w:firstLine="0"/>
        <w:rPr>
          <w:b/>
          <w:bCs/>
          <w:noProof/>
          <w:lang w:val="fr-FR"/>
        </w:rPr>
      </w:pPr>
      <w:r>
        <w:rPr>
          <w:noProof/>
          <w:lang w:val="fr-FR"/>
        </w:rPr>
        <w:t xml:space="preserve">La question de l’intérêt supérieur de l’enfant est également étudiée dans le </w:t>
      </w:r>
      <w:r w:rsidR="007A3F99" w:rsidRPr="00DD03D6">
        <w:rPr>
          <w:noProof/>
          <w:lang w:val="fr-FR"/>
        </w:rPr>
        <w:t>context</w:t>
      </w:r>
      <w:r>
        <w:rPr>
          <w:noProof/>
          <w:lang w:val="fr-FR"/>
        </w:rPr>
        <w:t>e</w:t>
      </w:r>
      <w:r w:rsidR="007A3F99" w:rsidRPr="00DD03D6">
        <w:rPr>
          <w:noProof/>
          <w:lang w:val="fr-FR"/>
        </w:rPr>
        <w:t xml:space="preserve"> </w:t>
      </w:r>
      <w:r w:rsidR="00C50B54">
        <w:rPr>
          <w:noProof/>
          <w:lang w:val="fr-FR"/>
        </w:rPr>
        <w:t xml:space="preserve">de l’examen du projet de </w:t>
      </w:r>
      <w:r>
        <w:rPr>
          <w:noProof/>
          <w:lang w:val="fr-FR"/>
        </w:rPr>
        <w:t>loi sur l’immigration et la sécurité de ré</w:t>
      </w:r>
      <w:r w:rsidRPr="00DD03D6">
        <w:rPr>
          <w:noProof/>
          <w:lang w:val="fr-FR"/>
        </w:rPr>
        <w:t xml:space="preserve">sidence </w:t>
      </w:r>
      <w:r w:rsidR="004B1931">
        <w:rPr>
          <w:noProof/>
          <w:lang w:val="fr-FR"/>
        </w:rPr>
        <w:t>susvisé</w:t>
      </w:r>
      <w:r w:rsidR="007A3F99" w:rsidRPr="00DD03D6">
        <w:rPr>
          <w:noProof/>
          <w:lang w:val="fr-FR"/>
        </w:rPr>
        <w:t>.</w:t>
      </w:r>
    </w:p>
    <w:p w:rsidR="007A3F99" w:rsidRPr="00DD03D6" w:rsidRDefault="001C047F" w:rsidP="001C047F">
      <w:pPr>
        <w:pStyle w:val="H23G"/>
        <w:ind w:firstLine="0"/>
        <w:rPr>
          <w:noProof/>
          <w:lang w:val="fr-FR"/>
        </w:rPr>
      </w:pPr>
      <w:r>
        <w:rPr>
          <w:noProof/>
          <w:lang w:val="fr-FR"/>
        </w:rPr>
        <w:t xml:space="preserve">Protection de remplacement pour les enfants privés de leur milieu familial </w:t>
      </w:r>
      <w:r w:rsidR="002A1CB1" w:rsidRPr="00DD03D6">
        <w:rPr>
          <w:noProof/>
          <w:lang w:val="fr-FR"/>
        </w:rPr>
        <w:t>(</w:t>
      </w:r>
      <w:r>
        <w:rPr>
          <w:noProof/>
          <w:lang w:val="fr-FR"/>
        </w:rPr>
        <w:t xml:space="preserve">voir le </w:t>
      </w:r>
      <w:r w:rsidR="002A1CB1" w:rsidRPr="00DD03D6">
        <w:rPr>
          <w:noProof/>
          <w:lang w:val="fr-FR"/>
        </w:rPr>
        <w:t>chap</w:t>
      </w:r>
      <w:r>
        <w:rPr>
          <w:noProof/>
          <w:lang w:val="fr-FR"/>
        </w:rPr>
        <w:t>itre</w:t>
      </w:r>
      <w:r w:rsidR="00520CB9" w:rsidRPr="00DD03D6">
        <w:rPr>
          <w:noProof/>
          <w:lang w:val="fr-FR"/>
        </w:rPr>
        <w:t> </w:t>
      </w:r>
      <w:r w:rsidR="007A3F99" w:rsidRPr="00DD03D6">
        <w:rPr>
          <w:noProof/>
          <w:lang w:val="fr-FR"/>
        </w:rPr>
        <w:t>5)</w:t>
      </w:r>
    </w:p>
    <w:p w:rsidR="007A3F99" w:rsidRPr="00637AC9" w:rsidRDefault="00637AC9" w:rsidP="008A5703">
      <w:pPr>
        <w:pStyle w:val="SingleTxtG"/>
        <w:numPr>
          <w:ilvl w:val="0"/>
          <w:numId w:val="3"/>
        </w:numPr>
        <w:ind w:left="1134" w:firstLine="0"/>
        <w:rPr>
          <w:b/>
          <w:noProof/>
          <w:lang w:val="fr-FR"/>
        </w:rPr>
      </w:pPr>
      <w:r w:rsidRPr="00637AC9">
        <w:rPr>
          <w:b/>
          <w:lang w:val="fr-FR"/>
        </w:rPr>
        <w:t>Le Comité recommande à l’État partie</w:t>
      </w:r>
      <w:r w:rsidR="00620587">
        <w:rPr>
          <w:b/>
          <w:lang w:val="fr-FR"/>
        </w:rPr>
        <w:t> </w:t>
      </w:r>
      <w:r w:rsidR="007A3F99" w:rsidRPr="00637AC9">
        <w:rPr>
          <w:b/>
          <w:noProof/>
          <w:lang w:val="fr-FR"/>
        </w:rPr>
        <w:t xml:space="preserve">: </w:t>
      </w:r>
    </w:p>
    <w:p w:rsidR="007A3F99" w:rsidRPr="00637AC9" w:rsidRDefault="007A3F99" w:rsidP="00F843B5">
      <w:pPr>
        <w:pStyle w:val="SingleTxtG"/>
        <w:ind w:firstLine="567"/>
        <w:rPr>
          <w:b/>
          <w:noProof/>
          <w:lang w:val="fr-FR"/>
        </w:rPr>
      </w:pPr>
      <w:r w:rsidRPr="00637AC9">
        <w:rPr>
          <w:b/>
          <w:noProof/>
          <w:lang w:val="fr-FR"/>
        </w:rPr>
        <w:t>a)</w:t>
      </w:r>
      <w:r w:rsidRPr="00637AC9">
        <w:rPr>
          <w:b/>
          <w:noProof/>
          <w:lang w:val="fr-FR"/>
        </w:rPr>
        <w:tab/>
      </w:r>
      <w:r w:rsidR="00637AC9" w:rsidRPr="00637AC9">
        <w:rPr>
          <w:b/>
          <w:noProof/>
          <w:lang w:val="fr-FR"/>
        </w:rPr>
        <w:t>De p</w:t>
      </w:r>
      <w:r w:rsidR="00637AC9" w:rsidRPr="00637AC9">
        <w:rPr>
          <w:b/>
          <w:bCs/>
          <w:lang w:val="fr-FR"/>
        </w:rPr>
        <w:t xml:space="preserve">rendre les dispositions nécessaires pour donner à l’Inspection des services sociaux la base légale qui lui permettra de remplir ses fonctions et étendre son mandat à tous les enfants privés de leur milieu familial, quelle que soit la protection dont ils ont besoin; et </w:t>
      </w:r>
    </w:p>
    <w:p w:rsidR="007A3F99" w:rsidRPr="00DD03D6" w:rsidRDefault="007A3F99" w:rsidP="00F843B5">
      <w:pPr>
        <w:pStyle w:val="SingleTxtG"/>
        <w:ind w:firstLine="567"/>
        <w:rPr>
          <w:b/>
          <w:noProof/>
          <w:lang w:val="fr-FR"/>
        </w:rPr>
      </w:pPr>
      <w:r w:rsidRPr="00637AC9">
        <w:rPr>
          <w:b/>
          <w:noProof/>
          <w:lang w:val="fr-FR"/>
        </w:rPr>
        <w:t>b)</w:t>
      </w:r>
      <w:r w:rsidRPr="00637AC9">
        <w:rPr>
          <w:b/>
          <w:noProof/>
          <w:lang w:val="fr-FR"/>
        </w:rPr>
        <w:tab/>
      </w:r>
      <w:r w:rsidR="00637AC9" w:rsidRPr="00637AC9">
        <w:rPr>
          <w:b/>
          <w:noProof/>
          <w:lang w:val="fr-FR"/>
        </w:rPr>
        <w:t>De r</w:t>
      </w:r>
      <w:r w:rsidR="00637AC9" w:rsidRPr="00637AC9">
        <w:rPr>
          <w:b/>
          <w:bCs/>
          <w:noProof/>
          <w:lang w:val="fr-FR"/>
        </w:rPr>
        <w:t xml:space="preserve">edoubler </w:t>
      </w:r>
      <w:r w:rsidR="00637AC9" w:rsidRPr="00637AC9">
        <w:rPr>
          <w:b/>
          <w:bCs/>
          <w:lang w:val="fr-FR"/>
        </w:rPr>
        <w:t>d’efforts pour garantir que les jeunes qui quittent un établissement d’accueil bénéficient d’un service d’aide et de suivi après leur départ</w:t>
      </w:r>
      <w:r w:rsidRPr="00637AC9">
        <w:rPr>
          <w:b/>
          <w:noProof/>
          <w:lang w:val="fr-FR"/>
        </w:rPr>
        <w:t>.</w:t>
      </w:r>
    </w:p>
    <w:p w:rsidR="007A3F99" w:rsidRPr="00DD03D6" w:rsidRDefault="00637AC9" w:rsidP="008A5703">
      <w:pPr>
        <w:pStyle w:val="SingleTxtG"/>
        <w:numPr>
          <w:ilvl w:val="0"/>
          <w:numId w:val="3"/>
        </w:numPr>
        <w:ind w:left="1134" w:firstLine="0"/>
        <w:rPr>
          <w:noProof/>
          <w:lang w:val="fr-FR"/>
        </w:rPr>
      </w:pPr>
      <w:r>
        <w:rPr>
          <w:noProof/>
          <w:lang w:val="fr-FR"/>
        </w:rPr>
        <w:t xml:space="preserve">La loi de 2007 sur la santé a donné une base légale à l’Inspection des services sociaux, qui fait désormais partie intégrante </w:t>
      </w:r>
      <w:r w:rsidR="00D27F1A">
        <w:rPr>
          <w:noProof/>
          <w:lang w:val="fr-FR"/>
        </w:rPr>
        <w:t>du Bureau de l’information sanitaire et de la qualité des services sanitaires</w:t>
      </w:r>
      <w:r w:rsidR="007A3F99" w:rsidRPr="00DD03D6">
        <w:rPr>
          <w:noProof/>
          <w:lang w:val="fr-FR"/>
        </w:rPr>
        <w:t xml:space="preserve">, </w:t>
      </w:r>
      <w:r w:rsidR="00D27F1A">
        <w:rPr>
          <w:noProof/>
          <w:lang w:val="fr-FR"/>
        </w:rPr>
        <w:t>lequel est l’autorité indépendante de régulation des services sanitaires et sociaux</w:t>
      </w:r>
      <w:r w:rsidR="007A3F99" w:rsidRPr="00DD03D6">
        <w:rPr>
          <w:noProof/>
          <w:lang w:val="fr-FR"/>
        </w:rPr>
        <w:t xml:space="preserve">. </w:t>
      </w:r>
      <w:r w:rsidR="00D27F1A">
        <w:rPr>
          <w:noProof/>
          <w:lang w:val="fr-FR"/>
        </w:rPr>
        <w:t xml:space="preserve">Ce Bureau a élaboré des normes concernant l’accueil des enfants en établissement </w:t>
      </w:r>
      <w:r w:rsidR="007A3F99" w:rsidRPr="00DD03D6">
        <w:rPr>
          <w:noProof/>
          <w:lang w:val="fr-FR"/>
        </w:rPr>
        <w:t>(</w:t>
      </w:r>
      <w:r w:rsidR="00D27F1A">
        <w:rPr>
          <w:noProof/>
          <w:lang w:val="fr-FR"/>
        </w:rPr>
        <w:t>Ministère de la santé et de l’enfance</w:t>
      </w:r>
      <w:r w:rsidR="007A3F99" w:rsidRPr="00DD03D6">
        <w:rPr>
          <w:noProof/>
          <w:lang w:val="fr-FR"/>
        </w:rPr>
        <w:t xml:space="preserve">, 2001a), </w:t>
      </w:r>
      <w:r w:rsidR="00D27F1A">
        <w:rPr>
          <w:noProof/>
          <w:lang w:val="fr-FR"/>
        </w:rPr>
        <w:t>le placem</w:t>
      </w:r>
      <w:r w:rsidR="004749EB">
        <w:rPr>
          <w:noProof/>
          <w:lang w:val="fr-FR"/>
        </w:rPr>
        <w:t>e</w:t>
      </w:r>
      <w:r w:rsidR="00D27F1A">
        <w:rPr>
          <w:noProof/>
          <w:lang w:val="fr-FR"/>
        </w:rPr>
        <w:t xml:space="preserve">nt en famille d’accueil </w:t>
      </w:r>
      <w:r w:rsidR="007A3F99" w:rsidRPr="00DD03D6">
        <w:rPr>
          <w:noProof/>
          <w:lang w:val="fr-FR"/>
        </w:rPr>
        <w:t>(</w:t>
      </w:r>
      <w:r w:rsidR="00D27F1A">
        <w:rPr>
          <w:noProof/>
          <w:lang w:val="fr-FR"/>
        </w:rPr>
        <w:t>Ministère de la santé et de l’enfance</w:t>
      </w:r>
      <w:r w:rsidR="007A3F99" w:rsidRPr="00DD03D6">
        <w:rPr>
          <w:noProof/>
          <w:lang w:val="fr-FR"/>
        </w:rPr>
        <w:t xml:space="preserve">, 2003) </w:t>
      </w:r>
      <w:r w:rsidR="00D27F1A">
        <w:rPr>
          <w:noProof/>
          <w:lang w:val="fr-FR"/>
        </w:rPr>
        <w:t xml:space="preserve">et les services de protection de l’enfance </w:t>
      </w:r>
      <w:r w:rsidR="007A3F99" w:rsidRPr="00DD03D6">
        <w:rPr>
          <w:noProof/>
          <w:lang w:val="fr-FR"/>
        </w:rPr>
        <w:t>(</w:t>
      </w:r>
      <w:r w:rsidR="004749EB">
        <w:rPr>
          <w:noProof/>
          <w:lang w:val="fr-FR"/>
        </w:rPr>
        <w:t>Bureau de l’information sanitaire et de la qualité des services sanitaires</w:t>
      </w:r>
      <w:r w:rsidR="007A3F99" w:rsidRPr="00DD03D6">
        <w:rPr>
          <w:noProof/>
          <w:lang w:val="fr-FR"/>
        </w:rPr>
        <w:t xml:space="preserve">, 2012), </w:t>
      </w:r>
      <w:r w:rsidR="004749EB">
        <w:rPr>
          <w:noProof/>
          <w:lang w:val="fr-FR"/>
        </w:rPr>
        <w:t>et s’est vu allouer des ressources supplémentaires pour contrôler la prestation des services au regard de ces normes</w:t>
      </w:r>
      <w:r w:rsidR="007A3F99" w:rsidRPr="00DD03D6">
        <w:rPr>
          <w:noProof/>
          <w:lang w:val="fr-FR"/>
        </w:rPr>
        <w:t>.</w:t>
      </w:r>
    </w:p>
    <w:p w:rsidR="007A3F99" w:rsidRDefault="004749EB" w:rsidP="008A5703">
      <w:pPr>
        <w:pStyle w:val="SingleTxtG"/>
        <w:numPr>
          <w:ilvl w:val="0"/>
          <w:numId w:val="3"/>
        </w:numPr>
        <w:ind w:left="1134" w:firstLine="0"/>
        <w:rPr>
          <w:noProof/>
          <w:lang w:val="fr-FR"/>
        </w:rPr>
      </w:pPr>
      <w:r>
        <w:rPr>
          <w:noProof/>
          <w:lang w:val="fr-FR"/>
        </w:rPr>
        <w:t xml:space="preserve">À la suite d’un </w:t>
      </w:r>
      <w:r w:rsidR="007A3F99" w:rsidRPr="00DD03D6">
        <w:rPr>
          <w:noProof/>
          <w:lang w:val="fr-FR"/>
        </w:rPr>
        <w:t xml:space="preserve">audit </w:t>
      </w:r>
      <w:r>
        <w:rPr>
          <w:noProof/>
          <w:lang w:val="fr-FR"/>
        </w:rPr>
        <w:t>des services et consultations assurés pour les jeunes quittant un établis</w:t>
      </w:r>
      <w:r w:rsidR="008615C7">
        <w:rPr>
          <w:noProof/>
          <w:lang w:val="fr-FR"/>
        </w:rPr>
        <w:t>s</w:t>
      </w:r>
      <w:r>
        <w:rPr>
          <w:noProof/>
          <w:lang w:val="fr-FR"/>
        </w:rPr>
        <w:t xml:space="preserve">ement d’accueil, la Direction des services de santé a mis en place en 2011 les Politique et procédure nationales </w:t>
      </w:r>
      <w:r w:rsidR="00B6089B">
        <w:rPr>
          <w:noProof/>
          <w:lang w:val="fr-FR"/>
        </w:rPr>
        <w:t>relativ</w:t>
      </w:r>
      <w:r>
        <w:rPr>
          <w:noProof/>
          <w:lang w:val="fr-FR"/>
        </w:rPr>
        <w:t>es aux services à fournir aux jeunes quittant un établissement d’accueil </w:t>
      </w:r>
      <w:r w:rsidR="007A3F99" w:rsidRPr="00DD03D6">
        <w:rPr>
          <w:noProof/>
          <w:lang w:val="fr-FR"/>
        </w:rPr>
        <w:t>(</w:t>
      </w:r>
      <w:r>
        <w:rPr>
          <w:noProof/>
          <w:lang w:val="fr-FR"/>
        </w:rPr>
        <w:t>Direction des services de santé</w:t>
      </w:r>
      <w:r w:rsidR="007A3F99" w:rsidRPr="00DD03D6">
        <w:rPr>
          <w:noProof/>
          <w:lang w:val="fr-FR"/>
        </w:rPr>
        <w:t>, 2011a)</w:t>
      </w:r>
      <w:r>
        <w:rPr>
          <w:noProof/>
          <w:lang w:val="fr-FR"/>
        </w:rPr>
        <w:t xml:space="preserve">, dont </w:t>
      </w:r>
      <w:r w:rsidR="00B6089B">
        <w:rPr>
          <w:noProof/>
          <w:lang w:val="fr-FR"/>
        </w:rPr>
        <w:t>l’application à l’échelon national a commencé</w:t>
      </w:r>
      <w:r w:rsidR="007A3F99" w:rsidRPr="00DD03D6">
        <w:rPr>
          <w:noProof/>
          <w:lang w:val="fr-FR"/>
        </w:rPr>
        <w:t>.</w:t>
      </w:r>
    </w:p>
    <w:p w:rsidR="007A3F99" w:rsidRPr="00DD03D6" w:rsidRDefault="00857C94" w:rsidP="00A97798">
      <w:pPr>
        <w:pStyle w:val="H23G"/>
        <w:rPr>
          <w:noProof/>
          <w:lang w:val="fr-FR"/>
        </w:rPr>
      </w:pPr>
      <w:r w:rsidRPr="00DD03D6">
        <w:rPr>
          <w:noProof/>
          <w:lang w:val="fr-FR"/>
        </w:rPr>
        <w:tab/>
      </w:r>
      <w:r w:rsidRPr="00DD03D6">
        <w:rPr>
          <w:noProof/>
          <w:lang w:val="fr-FR"/>
        </w:rPr>
        <w:tab/>
      </w:r>
      <w:r w:rsidR="00520CB9" w:rsidRPr="00DD03D6">
        <w:rPr>
          <w:noProof/>
          <w:lang w:val="fr-FR"/>
        </w:rPr>
        <w:t xml:space="preserve">Adoption </w:t>
      </w:r>
      <w:r w:rsidR="002A1CB1" w:rsidRPr="00DD03D6">
        <w:rPr>
          <w:noProof/>
          <w:lang w:val="fr-FR"/>
        </w:rPr>
        <w:t>(</w:t>
      </w:r>
      <w:r w:rsidR="00B6089B">
        <w:rPr>
          <w:noProof/>
          <w:lang w:val="fr-FR"/>
        </w:rPr>
        <w:t xml:space="preserve">voir le chapitre </w:t>
      </w:r>
      <w:r w:rsidR="007A3F99" w:rsidRPr="00DD03D6">
        <w:rPr>
          <w:noProof/>
          <w:lang w:val="fr-FR"/>
        </w:rPr>
        <w:t>5)</w:t>
      </w:r>
    </w:p>
    <w:p w:rsidR="007A3F99" w:rsidRPr="00DD03D6" w:rsidRDefault="00B6089B" w:rsidP="008A5703">
      <w:pPr>
        <w:pStyle w:val="SingleTxtG"/>
        <w:numPr>
          <w:ilvl w:val="0"/>
          <w:numId w:val="3"/>
        </w:numPr>
        <w:ind w:left="1134" w:firstLine="0"/>
        <w:rPr>
          <w:b/>
          <w:noProof/>
          <w:lang w:val="fr-FR"/>
        </w:rPr>
      </w:pPr>
      <w:r w:rsidRPr="00B6089B">
        <w:rPr>
          <w:b/>
          <w:bCs/>
          <w:lang w:val="fr-FR"/>
        </w:rPr>
        <w:t>Le Comité recommande à l’État partie de redoubler d’efforts pour accélérer l’adoption et la mise en application des réformes législatives nécessaires, pour mettre tous les textes applicables en conformité avec les normes internationales et pour faire en sorte que l’intérêt supérieur de l’enfant soit une considération prioritaire</w:t>
      </w:r>
      <w:r w:rsidR="007A3F99" w:rsidRPr="00DD03D6">
        <w:rPr>
          <w:b/>
          <w:noProof/>
          <w:lang w:val="fr-FR"/>
        </w:rPr>
        <w:t>.</w:t>
      </w:r>
    </w:p>
    <w:p w:rsidR="007A3F99" w:rsidRPr="00DD03D6" w:rsidRDefault="00B6089B" w:rsidP="0005253C">
      <w:pPr>
        <w:pStyle w:val="SingleTxtG"/>
        <w:numPr>
          <w:ilvl w:val="0"/>
          <w:numId w:val="3"/>
        </w:numPr>
        <w:ind w:left="1134" w:firstLine="0"/>
        <w:rPr>
          <w:noProof/>
          <w:lang w:val="fr-FR"/>
        </w:rPr>
      </w:pPr>
      <w:r>
        <w:rPr>
          <w:noProof/>
          <w:lang w:val="fr-FR"/>
        </w:rPr>
        <w:t>La loi de 2010 sur l’a</w:t>
      </w:r>
      <w:r w:rsidR="007A3F99" w:rsidRPr="00DD03D6">
        <w:rPr>
          <w:noProof/>
          <w:lang w:val="fr-FR"/>
        </w:rPr>
        <w:t xml:space="preserve">doption, </w:t>
      </w:r>
      <w:r>
        <w:rPr>
          <w:noProof/>
          <w:lang w:val="fr-FR"/>
        </w:rPr>
        <w:t xml:space="preserve">qui transpose les dispositions de la Convention de La Haye, est entrée en vigueur le </w:t>
      </w:r>
      <w:r w:rsidR="007A3F99" w:rsidRPr="00DD03D6">
        <w:rPr>
          <w:noProof/>
          <w:lang w:val="fr-FR"/>
        </w:rPr>
        <w:t>1</w:t>
      </w:r>
      <w:r w:rsidRPr="00B6089B">
        <w:rPr>
          <w:noProof/>
          <w:vertAlign w:val="superscript"/>
          <w:lang w:val="fr-FR"/>
        </w:rPr>
        <w:t>er</w:t>
      </w:r>
      <w:r>
        <w:rPr>
          <w:noProof/>
          <w:lang w:val="fr-FR"/>
        </w:rPr>
        <w:t xml:space="preserve"> novembre 2010. Sa mise en application a coîncidé avec la création de l’Autorité en matière d’adoption et la </w:t>
      </w:r>
      <w:r w:rsidR="007A3F99" w:rsidRPr="00DD03D6">
        <w:rPr>
          <w:noProof/>
          <w:lang w:val="fr-FR"/>
        </w:rPr>
        <w:t xml:space="preserve">ratification </w:t>
      </w:r>
      <w:r>
        <w:rPr>
          <w:noProof/>
          <w:lang w:val="fr-FR"/>
        </w:rPr>
        <w:t xml:space="preserve">par l’Irlande de la </w:t>
      </w:r>
      <w:r w:rsidRPr="00DD03D6">
        <w:rPr>
          <w:noProof/>
          <w:lang w:val="fr-FR"/>
        </w:rPr>
        <w:t xml:space="preserve">Convention </w:t>
      </w:r>
      <w:r>
        <w:rPr>
          <w:noProof/>
          <w:lang w:val="fr-FR"/>
        </w:rPr>
        <w:t>de La Haye sur la p</w:t>
      </w:r>
      <w:r w:rsidRPr="00DD03D6">
        <w:rPr>
          <w:noProof/>
          <w:lang w:val="fr-FR"/>
        </w:rPr>
        <w:t xml:space="preserve">rotection </w:t>
      </w:r>
      <w:r>
        <w:rPr>
          <w:noProof/>
          <w:lang w:val="fr-FR"/>
        </w:rPr>
        <w:t>des enfants et la c</w:t>
      </w:r>
      <w:r w:rsidRPr="00DD03D6">
        <w:rPr>
          <w:noProof/>
          <w:lang w:val="fr-FR"/>
        </w:rPr>
        <w:t>oop</w:t>
      </w:r>
      <w:r>
        <w:rPr>
          <w:noProof/>
          <w:lang w:val="fr-FR"/>
        </w:rPr>
        <w:t>é</w:t>
      </w:r>
      <w:r w:rsidRPr="00DD03D6">
        <w:rPr>
          <w:noProof/>
          <w:lang w:val="fr-FR"/>
        </w:rPr>
        <w:t xml:space="preserve">ration </w:t>
      </w:r>
      <w:r>
        <w:rPr>
          <w:noProof/>
          <w:lang w:val="fr-FR"/>
        </w:rPr>
        <w:t>e</w:t>
      </w:r>
      <w:r w:rsidRPr="00DD03D6">
        <w:rPr>
          <w:noProof/>
          <w:lang w:val="fr-FR"/>
        </w:rPr>
        <w:t xml:space="preserve">n </w:t>
      </w:r>
      <w:r>
        <w:rPr>
          <w:noProof/>
          <w:lang w:val="fr-FR"/>
        </w:rPr>
        <w:t>matière d’adoption internationale</w:t>
      </w:r>
      <w:r w:rsidR="007A3F99" w:rsidRPr="00DD03D6">
        <w:rPr>
          <w:noProof/>
          <w:lang w:val="fr-FR"/>
        </w:rPr>
        <w:t xml:space="preserve">. </w:t>
      </w:r>
      <w:r>
        <w:rPr>
          <w:noProof/>
          <w:lang w:val="fr-FR"/>
        </w:rPr>
        <w:t xml:space="preserve">Cette loi prévoit un cadre garantissant que les procédures d’adoption appropriées sont respectées et que toutes les </w:t>
      </w:r>
      <w:r w:rsidR="007A3F99" w:rsidRPr="00DD03D6">
        <w:rPr>
          <w:noProof/>
          <w:lang w:val="fr-FR"/>
        </w:rPr>
        <w:t xml:space="preserve">adoptions </w:t>
      </w:r>
      <w:r w:rsidR="002C1A26">
        <w:rPr>
          <w:noProof/>
          <w:lang w:val="fr-FR"/>
        </w:rPr>
        <w:t>tiennent compte de l’intérêt supérieur de l’enfant</w:t>
      </w:r>
      <w:r w:rsidR="007A3F99" w:rsidRPr="00DD03D6">
        <w:rPr>
          <w:noProof/>
          <w:lang w:val="fr-FR"/>
        </w:rPr>
        <w:t>.</w:t>
      </w:r>
    </w:p>
    <w:p w:rsidR="007A3F99" w:rsidRPr="00DD03D6" w:rsidRDefault="002C1A26" w:rsidP="00FC61FE">
      <w:pPr>
        <w:pStyle w:val="SingleTxtG"/>
        <w:numPr>
          <w:ilvl w:val="0"/>
          <w:numId w:val="3"/>
        </w:numPr>
        <w:ind w:left="1134" w:firstLine="0"/>
        <w:rPr>
          <w:noProof/>
          <w:lang w:val="fr-FR"/>
        </w:rPr>
      </w:pPr>
      <w:r>
        <w:rPr>
          <w:noProof/>
          <w:lang w:val="fr-FR"/>
        </w:rPr>
        <w:t xml:space="preserve">À compter de cette date, les </w:t>
      </w:r>
      <w:r w:rsidR="007A3F99" w:rsidRPr="00DD03D6">
        <w:rPr>
          <w:noProof/>
          <w:lang w:val="fr-FR"/>
        </w:rPr>
        <w:t xml:space="preserve">adoptions </w:t>
      </w:r>
      <w:r>
        <w:rPr>
          <w:noProof/>
          <w:lang w:val="fr-FR"/>
        </w:rPr>
        <w:t>internationales peuvent avoir lieu dans le cas où les autres pays concernés ont ratifié la Convention de La Haye ou ont conclu un accord bilatéral avec l’Irlande</w:t>
      </w:r>
      <w:r w:rsidR="007A3F99" w:rsidRPr="00DD03D6">
        <w:rPr>
          <w:noProof/>
          <w:lang w:val="fr-FR"/>
        </w:rPr>
        <w:t xml:space="preserve">. </w:t>
      </w:r>
    </w:p>
    <w:p w:rsidR="007A3F99" w:rsidRPr="00DD03D6" w:rsidRDefault="002C1A26" w:rsidP="008A5703">
      <w:pPr>
        <w:pStyle w:val="SingleTxtG"/>
        <w:numPr>
          <w:ilvl w:val="0"/>
          <w:numId w:val="3"/>
        </w:numPr>
        <w:ind w:left="1134" w:firstLine="0"/>
        <w:rPr>
          <w:noProof/>
          <w:lang w:val="fr-FR"/>
        </w:rPr>
      </w:pPr>
      <w:r>
        <w:rPr>
          <w:noProof/>
          <w:lang w:val="fr-FR"/>
        </w:rPr>
        <w:t xml:space="preserve">L’Autorité en matière d’adoption a entrepris </w:t>
      </w:r>
      <w:r w:rsidR="00D0752A">
        <w:rPr>
          <w:noProof/>
          <w:lang w:val="fr-FR"/>
        </w:rPr>
        <w:t xml:space="preserve">de conclure avec les autres pays ayant ratifié la </w:t>
      </w:r>
      <w:r w:rsidR="00D0752A" w:rsidRPr="00DD03D6">
        <w:rPr>
          <w:noProof/>
          <w:lang w:val="fr-FR"/>
        </w:rPr>
        <w:t xml:space="preserve">Convention </w:t>
      </w:r>
      <w:r w:rsidR="00D0752A">
        <w:rPr>
          <w:noProof/>
          <w:lang w:val="fr-FR"/>
        </w:rPr>
        <w:t xml:space="preserve">de la Haye des ententes </w:t>
      </w:r>
      <w:r w:rsidR="007A3F99" w:rsidRPr="00DD03D6">
        <w:rPr>
          <w:noProof/>
          <w:lang w:val="fr-FR"/>
        </w:rPr>
        <w:t>administrative</w:t>
      </w:r>
      <w:r w:rsidR="00D0752A">
        <w:rPr>
          <w:noProof/>
          <w:lang w:val="fr-FR"/>
        </w:rPr>
        <w:t>s</w:t>
      </w:r>
      <w:r w:rsidR="007A3F99" w:rsidRPr="00DD03D6">
        <w:rPr>
          <w:noProof/>
          <w:lang w:val="fr-FR"/>
        </w:rPr>
        <w:t xml:space="preserve"> </w:t>
      </w:r>
      <w:r w:rsidR="00D0752A">
        <w:rPr>
          <w:noProof/>
          <w:lang w:val="fr-FR"/>
        </w:rPr>
        <w:t xml:space="preserve">en ce qui concerne les </w:t>
      </w:r>
      <w:r w:rsidR="00D0752A">
        <w:rPr>
          <w:noProof/>
          <w:lang w:val="fr-FR"/>
        </w:rPr>
        <w:lastRenderedPageBreak/>
        <w:t>adoptions internationales</w:t>
      </w:r>
      <w:r w:rsidR="007A3F99" w:rsidRPr="00DD03D6">
        <w:rPr>
          <w:noProof/>
          <w:lang w:val="fr-FR"/>
        </w:rPr>
        <w:t xml:space="preserve">, </w:t>
      </w:r>
      <w:r w:rsidR="00D0752A">
        <w:rPr>
          <w:noProof/>
          <w:lang w:val="fr-FR"/>
        </w:rPr>
        <w:t xml:space="preserve">comme le prévoient les articles </w:t>
      </w:r>
      <w:r w:rsidR="007A3F99" w:rsidRPr="00DD03D6">
        <w:rPr>
          <w:noProof/>
          <w:lang w:val="fr-FR"/>
        </w:rPr>
        <w:t xml:space="preserve">71 </w:t>
      </w:r>
      <w:r w:rsidR="00D0752A">
        <w:rPr>
          <w:noProof/>
          <w:lang w:val="fr-FR"/>
        </w:rPr>
        <w:t>et</w:t>
      </w:r>
      <w:r w:rsidR="007A3F99" w:rsidRPr="00DD03D6">
        <w:rPr>
          <w:noProof/>
          <w:lang w:val="fr-FR"/>
        </w:rPr>
        <w:t xml:space="preserve"> 72 </w:t>
      </w:r>
      <w:r w:rsidR="00D0752A">
        <w:rPr>
          <w:noProof/>
          <w:lang w:val="fr-FR"/>
        </w:rPr>
        <w:t>de la loi de 2010 sur l’adoption</w:t>
      </w:r>
      <w:r w:rsidR="007A3F99" w:rsidRPr="00DD03D6">
        <w:rPr>
          <w:noProof/>
          <w:lang w:val="fr-FR"/>
        </w:rPr>
        <w:t xml:space="preserve">. </w:t>
      </w:r>
    </w:p>
    <w:p w:rsidR="007A3F99" w:rsidRPr="00DD03D6" w:rsidRDefault="00D0752A" w:rsidP="00FC61FE">
      <w:pPr>
        <w:pStyle w:val="SingleTxtG"/>
        <w:numPr>
          <w:ilvl w:val="0"/>
          <w:numId w:val="3"/>
        </w:numPr>
        <w:ind w:left="1134" w:firstLine="0"/>
        <w:rPr>
          <w:noProof/>
          <w:lang w:val="fr-FR"/>
        </w:rPr>
      </w:pPr>
      <w:r>
        <w:rPr>
          <w:noProof/>
          <w:lang w:val="fr-FR"/>
        </w:rPr>
        <w:t xml:space="preserve">La </w:t>
      </w:r>
      <w:r w:rsidR="007A3F99" w:rsidRPr="00DD03D6">
        <w:rPr>
          <w:noProof/>
          <w:lang w:val="fr-FR"/>
        </w:rPr>
        <w:t>n</w:t>
      </w:r>
      <w:r>
        <w:rPr>
          <w:noProof/>
          <w:lang w:val="fr-FR"/>
        </w:rPr>
        <w:t>é</w:t>
      </w:r>
      <w:r w:rsidR="007A3F99" w:rsidRPr="00DD03D6">
        <w:rPr>
          <w:noProof/>
          <w:lang w:val="fr-FR"/>
        </w:rPr>
        <w:t>go</w:t>
      </w:r>
      <w:r>
        <w:rPr>
          <w:noProof/>
          <w:lang w:val="fr-FR"/>
        </w:rPr>
        <w:t>c</w:t>
      </w:r>
      <w:r w:rsidR="007A3F99" w:rsidRPr="00DD03D6">
        <w:rPr>
          <w:noProof/>
          <w:lang w:val="fr-FR"/>
        </w:rPr>
        <w:t xml:space="preserve">iation </w:t>
      </w:r>
      <w:r>
        <w:rPr>
          <w:noProof/>
          <w:lang w:val="fr-FR"/>
        </w:rPr>
        <w:t xml:space="preserve">d’accords bilatéraux en matière d’adoption </w:t>
      </w:r>
      <w:r w:rsidR="007A3F99" w:rsidRPr="00DD03D6">
        <w:rPr>
          <w:noProof/>
          <w:lang w:val="fr-FR"/>
        </w:rPr>
        <w:t>inter</w:t>
      </w:r>
      <w:r>
        <w:rPr>
          <w:noProof/>
          <w:lang w:val="fr-FR"/>
        </w:rPr>
        <w:t xml:space="preserve">nationale avec les États qui n’ont pas ratifié la </w:t>
      </w:r>
      <w:r w:rsidR="007A3F99" w:rsidRPr="00DD03D6">
        <w:rPr>
          <w:noProof/>
          <w:lang w:val="fr-FR"/>
        </w:rPr>
        <w:t xml:space="preserve">Convention </w:t>
      </w:r>
      <w:r>
        <w:rPr>
          <w:noProof/>
          <w:lang w:val="fr-FR"/>
        </w:rPr>
        <w:t xml:space="preserve">de La Haye est régie par l’article </w:t>
      </w:r>
      <w:r w:rsidR="007A3F99" w:rsidRPr="00DD03D6">
        <w:rPr>
          <w:noProof/>
          <w:lang w:val="fr-FR"/>
        </w:rPr>
        <w:t xml:space="preserve">73 </w:t>
      </w:r>
      <w:r w:rsidR="00342DF1">
        <w:rPr>
          <w:noProof/>
          <w:lang w:val="fr-FR"/>
        </w:rPr>
        <w:t>de la même loi</w:t>
      </w:r>
      <w:r w:rsidR="007A3F99" w:rsidRPr="00DD03D6">
        <w:rPr>
          <w:noProof/>
          <w:lang w:val="fr-FR"/>
        </w:rPr>
        <w:t xml:space="preserve">. </w:t>
      </w:r>
      <w:r w:rsidR="00342DF1">
        <w:rPr>
          <w:noProof/>
          <w:lang w:val="fr-FR"/>
        </w:rPr>
        <w:t xml:space="preserve">Tous les </w:t>
      </w:r>
      <w:r w:rsidR="007A3F99" w:rsidRPr="00DD03D6">
        <w:rPr>
          <w:noProof/>
          <w:lang w:val="fr-FR"/>
        </w:rPr>
        <w:t xml:space="preserve">arrangements </w:t>
      </w:r>
      <w:r w:rsidR="00342DF1">
        <w:rPr>
          <w:noProof/>
          <w:lang w:val="fr-FR"/>
        </w:rPr>
        <w:t>bilatéraux susceptibles d’être conclus doivent légalement satisfaire aux normes minimales énoncées dans la Convention de La Haye et la politique publique irlandaise applicable à l’adoption</w:t>
      </w:r>
      <w:r w:rsidR="007A3F99" w:rsidRPr="00DD03D6">
        <w:rPr>
          <w:noProof/>
          <w:lang w:val="fr-FR"/>
        </w:rPr>
        <w:t xml:space="preserve">. </w:t>
      </w:r>
      <w:r w:rsidR="00342DF1">
        <w:rPr>
          <w:noProof/>
          <w:lang w:val="fr-FR"/>
        </w:rPr>
        <w:t>Par ailleurs, ils doivent être conclus avec l’assentiment de l’Autorité en matière d’adoption et</w:t>
      </w:r>
      <w:r w:rsidR="007A3F99" w:rsidRPr="00DD03D6">
        <w:rPr>
          <w:noProof/>
          <w:lang w:val="fr-FR"/>
        </w:rPr>
        <w:t xml:space="preserve"> </w:t>
      </w:r>
      <w:r w:rsidR="00342DF1">
        <w:rPr>
          <w:noProof/>
          <w:lang w:val="fr-FR"/>
        </w:rPr>
        <w:t xml:space="preserve">être mis en œuvre par le biais d’agences d’adoption réglementées, et ne doivent pas donner lieu à </w:t>
      </w:r>
      <w:r w:rsidR="00BE7838">
        <w:rPr>
          <w:noProof/>
          <w:lang w:val="fr-FR"/>
        </w:rPr>
        <w:t>un échange d’argent</w:t>
      </w:r>
      <w:r w:rsidR="007A3F99" w:rsidRPr="00DD03D6">
        <w:rPr>
          <w:noProof/>
          <w:lang w:val="fr-FR"/>
        </w:rPr>
        <w:t xml:space="preserve">. </w:t>
      </w:r>
    </w:p>
    <w:p w:rsidR="007A3F99" w:rsidRPr="00DD03D6" w:rsidRDefault="00F13B15" w:rsidP="00FC61FE">
      <w:pPr>
        <w:pStyle w:val="SingleTxtG"/>
        <w:numPr>
          <w:ilvl w:val="0"/>
          <w:numId w:val="3"/>
        </w:numPr>
        <w:ind w:left="1134" w:firstLine="0"/>
        <w:rPr>
          <w:noProof/>
          <w:lang w:val="fr-FR"/>
        </w:rPr>
      </w:pPr>
      <w:r>
        <w:rPr>
          <w:noProof/>
          <w:lang w:val="fr-FR"/>
        </w:rPr>
        <w:t xml:space="preserve">Toutes les </w:t>
      </w:r>
      <w:r w:rsidR="007A3F99" w:rsidRPr="00DD03D6">
        <w:rPr>
          <w:noProof/>
          <w:lang w:val="fr-FR"/>
        </w:rPr>
        <w:t>adoptions</w:t>
      </w:r>
      <w:r>
        <w:rPr>
          <w:noProof/>
          <w:lang w:val="fr-FR"/>
        </w:rPr>
        <w:t>, internationales et nationales,</w:t>
      </w:r>
      <w:r w:rsidR="007A3F99" w:rsidRPr="00DD03D6">
        <w:rPr>
          <w:noProof/>
          <w:lang w:val="fr-FR"/>
        </w:rPr>
        <w:t xml:space="preserve"> </w:t>
      </w:r>
      <w:r>
        <w:rPr>
          <w:noProof/>
          <w:lang w:val="fr-FR"/>
        </w:rPr>
        <w:t>en</w:t>
      </w:r>
      <w:r w:rsidR="007A3F99" w:rsidRPr="00DD03D6">
        <w:rPr>
          <w:noProof/>
          <w:lang w:val="fr-FR"/>
        </w:rPr>
        <w:t>regist</w:t>
      </w:r>
      <w:r>
        <w:rPr>
          <w:noProof/>
          <w:lang w:val="fr-FR"/>
        </w:rPr>
        <w:t>rées en Irlande doivent être conformes aux dispositions de la Convention de La Haye</w:t>
      </w:r>
      <w:r w:rsidR="007A3F99" w:rsidRPr="00DD03D6">
        <w:rPr>
          <w:noProof/>
          <w:lang w:val="fr-FR"/>
        </w:rPr>
        <w:t xml:space="preserve">. </w:t>
      </w:r>
    </w:p>
    <w:p w:rsidR="007A3F99" w:rsidRPr="00DD03D6" w:rsidRDefault="00857C94" w:rsidP="00A97798">
      <w:pPr>
        <w:pStyle w:val="H23G"/>
        <w:rPr>
          <w:noProof/>
          <w:lang w:val="fr-FR"/>
        </w:rPr>
      </w:pPr>
      <w:r w:rsidRPr="00DD03D6">
        <w:rPr>
          <w:noProof/>
          <w:lang w:val="fr-FR"/>
        </w:rPr>
        <w:tab/>
      </w:r>
      <w:r w:rsidRPr="00DD03D6">
        <w:rPr>
          <w:noProof/>
          <w:lang w:val="fr-FR"/>
        </w:rPr>
        <w:tab/>
      </w:r>
      <w:r w:rsidR="007A3F99" w:rsidRPr="00DD03D6">
        <w:rPr>
          <w:noProof/>
          <w:lang w:val="fr-FR"/>
        </w:rPr>
        <w:t xml:space="preserve">Violence, </w:t>
      </w:r>
      <w:r w:rsidR="00F13B15">
        <w:rPr>
          <w:noProof/>
          <w:lang w:val="fr-FR"/>
        </w:rPr>
        <w:t xml:space="preserve">maltraitance et abandon moral </w:t>
      </w:r>
      <w:r w:rsidR="002A1CB1" w:rsidRPr="00DD03D6">
        <w:rPr>
          <w:noProof/>
          <w:lang w:val="fr-FR"/>
        </w:rPr>
        <w:t>(</w:t>
      </w:r>
      <w:r w:rsidR="00F13B15">
        <w:rPr>
          <w:noProof/>
          <w:lang w:val="fr-FR"/>
        </w:rPr>
        <w:t xml:space="preserve">voir le chapitre </w:t>
      </w:r>
      <w:r w:rsidR="007A3F99" w:rsidRPr="00DD03D6">
        <w:rPr>
          <w:noProof/>
          <w:lang w:val="fr-FR"/>
        </w:rPr>
        <w:t>5)</w:t>
      </w:r>
    </w:p>
    <w:p w:rsidR="007A3F99" w:rsidRPr="00167284" w:rsidRDefault="002741DC" w:rsidP="008A5703">
      <w:pPr>
        <w:pStyle w:val="SingleTxtG"/>
        <w:numPr>
          <w:ilvl w:val="0"/>
          <w:numId w:val="3"/>
        </w:numPr>
        <w:ind w:left="1134" w:firstLine="0"/>
        <w:rPr>
          <w:noProof/>
          <w:lang w:val="fr-FR"/>
        </w:rPr>
      </w:pPr>
      <w:r w:rsidRPr="00167284">
        <w:rPr>
          <w:b/>
          <w:bCs/>
          <w:noProof/>
          <w:lang w:val="fr-FR"/>
        </w:rPr>
        <w:t>Compte tenu de l’article 19 de la Convention, le Comité recommande à l’État partie </w:t>
      </w:r>
      <w:r w:rsidR="007A3F99" w:rsidRPr="00167284">
        <w:rPr>
          <w:b/>
          <w:noProof/>
          <w:lang w:val="fr-FR"/>
        </w:rPr>
        <w:t>:</w:t>
      </w:r>
    </w:p>
    <w:p w:rsidR="007A3F99" w:rsidRPr="00167284" w:rsidRDefault="007A3F99" w:rsidP="00F843B5">
      <w:pPr>
        <w:pStyle w:val="SingleTxtG"/>
        <w:ind w:firstLine="567"/>
        <w:rPr>
          <w:b/>
          <w:noProof/>
          <w:lang w:val="fr-FR"/>
        </w:rPr>
      </w:pPr>
      <w:r w:rsidRPr="00167284">
        <w:rPr>
          <w:b/>
          <w:noProof/>
          <w:lang w:val="fr-FR"/>
        </w:rPr>
        <w:t>a)</w:t>
      </w:r>
      <w:r w:rsidRPr="00167284">
        <w:rPr>
          <w:b/>
          <w:noProof/>
          <w:lang w:val="fr-FR"/>
        </w:rPr>
        <w:tab/>
      </w:r>
      <w:r w:rsidR="002741DC" w:rsidRPr="00167284">
        <w:rPr>
          <w:b/>
          <w:noProof/>
          <w:lang w:val="fr-FR"/>
        </w:rPr>
        <w:t>De p</w:t>
      </w:r>
      <w:r w:rsidR="007B3894">
        <w:rPr>
          <w:b/>
          <w:bCs/>
          <w:noProof/>
          <w:lang w:val="fr-FR"/>
        </w:rPr>
        <w:t>oursuivre la révision du document</w:t>
      </w:r>
      <w:r w:rsidR="002741DC" w:rsidRPr="00167284">
        <w:rPr>
          <w:b/>
          <w:bCs/>
          <w:noProof/>
          <w:lang w:val="fr-FR"/>
        </w:rPr>
        <w:t xml:space="preserve"> </w:t>
      </w:r>
      <w:r w:rsidR="007B3894" w:rsidRPr="007B3894">
        <w:rPr>
          <w:b/>
          <w:lang w:val="fr-CH"/>
        </w:rPr>
        <w:t>«</w:t>
      </w:r>
      <w:r w:rsidR="003F1ADB">
        <w:rPr>
          <w:b/>
          <w:lang w:val="fr-CH"/>
        </w:rPr>
        <w:t> </w:t>
      </w:r>
      <w:r w:rsidR="007B3894" w:rsidRPr="007B3894">
        <w:rPr>
          <w:b/>
          <w:lang w:val="fr-CH"/>
        </w:rPr>
        <w:t>Les enfants d’abord: directives nationales pour la protection et le bien-être des enfants</w:t>
      </w:r>
      <w:r w:rsidR="003F1ADB">
        <w:rPr>
          <w:b/>
          <w:lang w:val="fr-CH"/>
        </w:rPr>
        <w:t> </w:t>
      </w:r>
      <w:r w:rsidR="007B3894" w:rsidRPr="007B3894">
        <w:rPr>
          <w:b/>
          <w:lang w:val="fr-CH"/>
        </w:rPr>
        <w:t>»</w:t>
      </w:r>
      <w:r w:rsidR="007B3894">
        <w:rPr>
          <w:lang w:val="fr-CH"/>
        </w:rPr>
        <w:t xml:space="preserve"> </w:t>
      </w:r>
      <w:r w:rsidR="002741DC" w:rsidRPr="00167284">
        <w:rPr>
          <w:b/>
          <w:bCs/>
          <w:noProof/>
          <w:lang w:val="fr-FR"/>
        </w:rPr>
        <w:t>et d’envisager de donner une base légale</w:t>
      </w:r>
      <w:r w:rsidR="007B3894">
        <w:rPr>
          <w:b/>
          <w:bCs/>
          <w:noProof/>
          <w:lang w:val="fr-FR"/>
        </w:rPr>
        <w:t xml:space="preserve"> à ces directives</w:t>
      </w:r>
      <w:r w:rsidR="002741DC" w:rsidRPr="00167284">
        <w:rPr>
          <w:b/>
          <w:bCs/>
          <w:noProof/>
          <w:lang w:val="fr-FR"/>
        </w:rPr>
        <w:t>;</w:t>
      </w:r>
    </w:p>
    <w:p w:rsidR="007A3F99" w:rsidRPr="00167284" w:rsidRDefault="007A3F99" w:rsidP="00F843B5">
      <w:pPr>
        <w:pStyle w:val="SingleTxtG"/>
        <w:ind w:firstLine="567"/>
        <w:rPr>
          <w:b/>
          <w:noProof/>
          <w:lang w:val="fr-FR"/>
        </w:rPr>
      </w:pPr>
      <w:r w:rsidRPr="00167284">
        <w:rPr>
          <w:b/>
          <w:noProof/>
          <w:lang w:val="fr-FR"/>
        </w:rPr>
        <w:t>b)</w:t>
      </w:r>
      <w:r w:rsidRPr="00167284">
        <w:rPr>
          <w:b/>
          <w:noProof/>
          <w:lang w:val="fr-FR"/>
        </w:rPr>
        <w:tab/>
      </w:r>
      <w:r w:rsidR="002741DC" w:rsidRPr="00167284">
        <w:rPr>
          <w:b/>
          <w:noProof/>
          <w:lang w:val="fr-FR"/>
        </w:rPr>
        <w:t>De v</w:t>
      </w:r>
      <w:r w:rsidR="002741DC" w:rsidRPr="00167284">
        <w:rPr>
          <w:b/>
          <w:bCs/>
          <w:noProof/>
          <w:lang w:val="fr-FR"/>
        </w:rPr>
        <w:t>eiller à ce que tous les cas de maltraitance et d’abandon moral signals donnent lieu à une enquête et à des poursuites appropriées, et à ce que les victimes de ces actes aient accès à un service de conseil et d’assistance incluant une aide à la réadaptation physique et à la réinsertion sociale</w:t>
      </w:r>
      <w:r w:rsidRPr="00167284">
        <w:rPr>
          <w:b/>
          <w:noProof/>
          <w:lang w:val="fr-FR"/>
        </w:rPr>
        <w:t>;</w:t>
      </w:r>
    </w:p>
    <w:p w:rsidR="007A3F99" w:rsidRPr="00167284" w:rsidRDefault="007A3F99" w:rsidP="00FC61FE">
      <w:pPr>
        <w:pStyle w:val="SingleTxtG"/>
        <w:ind w:firstLine="567"/>
        <w:rPr>
          <w:b/>
          <w:noProof/>
          <w:lang w:val="fr-FR"/>
        </w:rPr>
      </w:pPr>
      <w:r w:rsidRPr="00167284">
        <w:rPr>
          <w:b/>
          <w:noProof/>
          <w:lang w:val="fr-FR"/>
        </w:rPr>
        <w:t>c)</w:t>
      </w:r>
      <w:r w:rsidRPr="00167284">
        <w:rPr>
          <w:b/>
          <w:noProof/>
          <w:lang w:val="fr-FR"/>
        </w:rPr>
        <w:tab/>
      </w:r>
      <w:r w:rsidR="002741DC" w:rsidRPr="00167284">
        <w:rPr>
          <w:b/>
          <w:noProof/>
          <w:lang w:val="fr-FR"/>
        </w:rPr>
        <w:t>D’é</w:t>
      </w:r>
      <w:r w:rsidR="002741DC" w:rsidRPr="00167284">
        <w:rPr>
          <w:b/>
          <w:bCs/>
          <w:noProof/>
          <w:lang w:val="fr-FR"/>
        </w:rPr>
        <w:t xml:space="preserve">laborer une stratégie exhaustive de prévention de la maltraitance à enfant, en prévoyant notamment des moyens adéquats pour faire face aux cas de maltraitance, d’abandon moral et de violence familiale; </w:t>
      </w:r>
      <w:r w:rsidR="00167284" w:rsidRPr="00167284">
        <w:rPr>
          <w:b/>
          <w:bCs/>
          <w:noProof/>
          <w:lang w:val="fr-FR"/>
        </w:rPr>
        <w:t xml:space="preserve">en </w:t>
      </w:r>
      <w:r w:rsidR="002741DC" w:rsidRPr="00167284">
        <w:rPr>
          <w:b/>
          <w:bCs/>
          <w:noProof/>
          <w:lang w:val="fr-FR"/>
        </w:rPr>
        <w:t>facilit</w:t>
      </w:r>
      <w:r w:rsidR="00167284" w:rsidRPr="00167284">
        <w:rPr>
          <w:b/>
          <w:bCs/>
          <w:noProof/>
          <w:lang w:val="fr-FR"/>
        </w:rPr>
        <w:t xml:space="preserve">ant </w:t>
      </w:r>
      <w:r w:rsidR="002741DC" w:rsidRPr="00167284">
        <w:rPr>
          <w:b/>
          <w:bCs/>
          <w:noProof/>
          <w:lang w:val="fr-FR"/>
        </w:rPr>
        <w:t xml:space="preserve">la coordination aux niveaux local, national et régional, et </w:t>
      </w:r>
      <w:r w:rsidR="00167284" w:rsidRPr="00167284">
        <w:rPr>
          <w:b/>
          <w:bCs/>
          <w:noProof/>
          <w:lang w:val="fr-FR"/>
        </w:rPr>
        <w:t>en conduisant</w:t>
      </w:r>
      <w:r w:rsidR="002741DC" w:rsidRPr="00167284">
        <w:rPr>
          <w:b/>
          <w:bCs/>
          <w:noProof/>
          <w:lang w:val="fr-FR"/>
        </w:rPr>
        <w:t xml:space="preserve"> des activités de sensibilisation, d’information et d’éducation; et </w:t>
      </w:r>
    </w:p>
    <w:p w:rsidR="007A3F99" w:rsidRPr="00167284" w:rsidRDefault="007A3F99" w:rsidP="00FC61FE">
      <w:pPr>
        <w:pStyle w:val="SingleTxtG"/>
        <w:ind w:firstLine="567"/>
        <w:rPr>
          <w:b/>
          <w:noProof/>
          <w:lang w:val="fr-FR"/>
        </w:rPr>
      </w:pPr>
      <w:r w:rsidRPr="00167284">
        <w:rPr>
          <w:b/>
          <w:noProof/>
          <w:lang w:val="fr-FR"/>
        </w:rPr>
        <w:t>d)</w:t>
      </w:r>
      <w:r w:rsidRPr="00167284">
        <w:rPr>
          <w:b/>
          <w:noProof/>
          <w:lang w:val="fr-FR"/>
        </w:rPr>
        <w:tab/>
      </w:r>
      <w:r w:rsidR="002741DC" w:rsidRPr="00167284">
        <w:rPr>
          <w:b/>
          <w:noProof/>
          <w:lang w:val="fr-FR"/>
        </w:rPr>
        <w:t xml:space="preserve">De </w:t>
      </w:r>
      <w:r w:rsidR="00167284" w:rsidRPr="00167284">
        <w:rPr>
          <w:b/>
          <w:noProof/>
          <w:lang w:val="fr-FR"/>
        </w:rPr>
        <w:t>v</w:t>
      </w:r>
      <w:r w:rsidR="00167284" w:rsidRPr="00167284">
        <w:rPr>
          <w:b/>
          <w:bCs/>
          <w:noProof/>
          <w:lang w:val="fr-FR"/>
        </w:rPr>
        <w:t>eiller à ce que toutes les personnes − employées ou bénévoles – qui travaillent avec des enfants soient soumises à une évaluation avant d’être embauchées, et à ce qu’elles reçoivent un appui et une formation appropriés tout au long de leur contrat</w:t>
      </w:r>
      <w:r w:rsidRPr="00167284">
        <w:rPr>
          <w:b/>
          <w:noProof/>
          <w:lang w:val="fr-FR"/>
        </w:rPr>
        <w:t>.</w:t>
      </w:r>
    </w:p>
    <w:p w:rsidR="007A3F99" w:rsidRPr="00DD03D6" w:rsidRDefault="00167284" w:rsidP="00FC61FE">
      <w:pPr>
        <w:pStyle w:val="SingleTxtG"/>
        <w:numPr>
          <w:ilvl w:val="0"/>
          <w:numId w:val="3"/>
        </w:numPr>
        <w:ind w:left="1134" w:firstLine="0"/>
        <w:rPr>
          <w:b/>
          <w:noProof/>
          <w:lang w:val="fr-FR"/>
        </w:rPr>
      </w:pPr>
      <w:r w:rsidRPr="00167284">
        <w:rPr>
          <w:b/>
          <w:bCs/>
          <w:noProof/>
          <w:lang w:val="fr-FR"/>
        </w:rPr>
        <w:t xml:space="preserve">Dans le contexte de l’étude approfondie du Secrétaire général sur la question de la violence contre les enfants, le Comité recommande à l’État partie de s’appuyer sur les résultats de la Consultation régionale pour l’Europe et l’Asie centrale, tenue en Slovénie du 5 au 7 juillet 2005, pour prendre, en partenariat avec la société civile, des mesures visant à assurer la protection de tous les enfants contre toutes les formes de violence physique, psychologique ou sexuelle, et pour promouvoir des initiatives concrètes, assorties de délais le cas échéant, tendant à prévenir cette violence et ces abus </w:t>
      </w:r>
      <w:r w:rsidR="00620587">
        <w:rPr>
          <w:b/>
          <w:bCs/>
          <w:noProof/>
          <w:lang w:val="fr-FR"/>
        </w:rPr>
        <w:t xml:space="preserve">et à y faire face. En outre, le </w:t>
      </w:r>
      <w:r w:rsidRPr="00167284">
        <w:rPr>
          <w:b/>
          <w:bCs/>
          <w:noProof/>
          <w:lang w:val="fr-FR"/>
        </w:rPr>
        <w:t xml:space="preserve">Comité tient à attirer l’attention de l’État partie sur le rapport de l’expert indépendant chargé d’une étude sur la violence contre les enfants </w:t>
      </w:r>
      <w:r w:rsidR="00620587">
        <w:rPr>
          <w:b/>
          <w:bCs/>
          <w:noProof/>
          <w:lang w:val="fr-FR"/>
        </w:rPr>
        <w:t xml:space="preserve">(A/61/299), et à l’encourager à </w:t>
      </w:r>
      <w:r w:rsidRPr="00167284">
        <w:rPr>
          <w:b/>
          <w:bCs/>
          <w:noProof/>
          <w:lang w:val="fr-FR"/>
        </w:rPr>
        <w:t>prendre toutes les mesures appropriées pour donner suite aux recommandations générales et particulières qui sont contenues dans ce rapport</w:t>
      </w:r>
      <w:r w:rsidR="007A3F99" w:rsidRPr="00DD03D6">
        <w:rPr>
          <w:b/>
          <w:noProof/>
          <w:lang w:val="fr-FR"/>
        </w:rPr>
        <w:t>.</w:t>
      </w:r>
    </w:p>
    <w:p w:rsidR="007A3F99" w:rsidRDefault="007B3894" w:rsidP="008A5703">
      <w:pPr>
        <w:pStyle w:val="SingleTxtG"/>
        <w:numPr>
          <w:ilvl w:val="0"/>
          <w:numId w:val="3"/>
        </w:numPr>
        <w:ind w:left="1134" w:firstLine="0"/>
        <w:rPr>
          <w:noProof/>
          <w:lang w:val="fr-FR" w:eastAsia="en-GB"/>
        </w:rPr>
      </w:pPr>
      <w:r>
        <w:rPr>
          <w:noProof/>
          <w:lang w:val="fr-FR" w:eastAsia="en-GB"/>
        </w:rPr>
        <w:t>L’édition révisée</w:t>
      </w:r>
      <w:r w:rsidR="00863BCE">
        <w:rPr>
          <w:noProof/>
          <w:lang w:val="fr-FR" w:eastAsia="en-GB"/>
        </w:rPr>
        <w:t xml:space="preserve"> du document</w:t>
      </w:r>
      <w:r w:rsidR="00E92D3C">
        <w:rPr>
          <w:noProof/>
          <w:lang w:val="fr-FR" w:eastAsia="en-GB"/>
        </w:rPr>
        <w:t xml:space="preserve"> </w:t>
      </w:r>
      <w:r w:rsidRPr="00620587">
        <w:rPr>
          <w:lang w:val="fr-CH"/>
        </w:rPr>
        <w:t>«</w:t>
      </w:r>
      <w:r w:rsidR="00620587" w:rsidRPr="00620587">
        <w:rPr>
          <w:lang w:val="fr-CH"/>
        </w:rPr>
        <w:t> </w:t>
      </w:r>
      <w:r w:rsidRPr="007B3894">
        <w:rPr>
          <w:i/>
          <w:lang w:val="fr-CH"/>
        </w:rPr>
        <w:t>Les enfants d’abord</w:t>
      </w:r>
      <w:r>
        <w:rPr>
          <w:i/>
          <w:lang w:val="fr-CH"/>
        </w:rPr>
        <w:t xml:space="preserve"> </w:t>
      </w:r>
      <w:r w:rsidRPr="007B3894">
        <w:rPr>
          <w:i/>
          <w:lang w:val="fr-CH"/>
        </w:rPr>
        <w:t>: directives nationales pour la protecti</w:t>
      </w:r>
      <w:r>
        <w:rPr>
          <w:i/>
          <w:lang w:val="fr-CH"/>
        </w:rPr>
        <w:t>on et le bien-être des enfants</w:t>
      </w:r>
      <w:r w:rsidR="00620587">
        <w:rPr>
          <w:i/>
          <w:lang w:val="fr-CH"/>
        </w:rPr>
        <w:t> </w:t>
      </w:r>
      <w:r w:rsidRPr="00620587">
        <w:rPr>
          <w:lang w:val="fr-CH"/>
        </w:rPr>
        <w:t>»</w:t>
      </w:r>
      <w:r>
        <w:rPr>
          <w:lang w:val="fr-CH"/>
        </w:rPr>
        <w:t xml:space="preserve"> </w:t>
      </w:r>
      <w:r w:rsidR="007A3F99" w:rsidRPr="00DD03D6">
        <w:rPr>
          <w:noProof/>
          <w:lang w:val="fr-FR" w:eastAsia="en-GB"/>
        </w:rPr>
        <w:t>(</w:t>
      </w:r>
      <w:r>
        <w:rPr>
          <w:noProof/>
          <w:lang w:val="fr-FR" w:eastAsia="en-GB"/>
        </w:rPr>
        <w:t>Ministère de l’enfance et de la jeunesse</w:t>
      </w:r>
      <w:r w:rsidR="007A3F99" w:rsidRPr="00DD03D6">
        <w:rPr>
          <w:noProof/>
          <w:lang w:val="fr-FR" w:eastAsia="en-GB"/>
        </w:rPr>
        <w:t xml:space="preserve">, 2011b) </w:t>
      </w:r>
      <w:r>
        <w:rPr>
          <w:noProof/>
          <w:lang w:val="fr-FR" w:eastAsia="en-GB"/>
        </w:rPr>
        <w:t>a été présentée par l</w:t>
      </w:r>
      <w:r w:rsidR="008615C7">
        <w:rPr>
          <w:noProof/>
          <w:lang w:val="fr-FR" w:eastAsia="en-GB"/>
        </w:rPr>
        <w:t>a</w:t>
      </w:r>
      <w:r>
        <w:rPr>
          <w:noProof/>
          <w:lang w:val="fr-FR" w:eastAsia="en-GB"/>
        </w:rPr>
        <w:t xml:space="preserve"> Ministre de l’enfance et de la jeunesse en juillet </w:t>
      </w:r>
      <w:r w:rsidR="007A3F99" w:rsidRPr="00DD03D6">
        <w:rPr>
          <w:noProof/>
          <w:lang w:val="fr-FR" w:eastAsia="en-GB"/>
        </w:rPr>
        <w:t xml:space="preserve">2011. </w:t>
      </w:r>
      <w:r>
        <w:rPr>
          <w:noProof/>
          <w:lang w:val="fr-FR" w:eastAsia="en-GB"/>
        </w:rPr>
        <w:t xml:space="preserve">Une stratégie complète d’application a été mise en place avec la </w:t>
      </w:r>
      <w:r w:rsidR="007A3F99" w:rsidRPr="00DD03D6">
        <w:rPr>
          <w:noProof/>
          <w:lang w:val="fr-FR" w:eastAsia="en-GB"/>
        </w:rPr>
        <w:t xml:space="preserve">participation </w:t>
      </w:r>
      <w:r>
        <w:rPr>
          <w:noProof/>
          <w:lang w:val="fr-FR" w:eastAsia="en-GB"/>
        </w:rPr>
        <w:t>des principaux secteurs</w:t>
      </w:r>
      <w:r w:rsidR="007A3F99" w:rsidRPr="00DD03D6">
        <w:rPr>
          <w:noProof/>
          <w:lang w:val="fr-FR" w:eastAsia="en-GB"/>
        </w:rPr>
        <w:t xml:space="preserve">. </w:t>
      </w:r>
      <w:r>
        <w:rPr>
          <w:noProof/>
          <w:lang w:val="fr-FR" w:eastAsia="en-GB"/>
        </w:rPr>
        <w:t>On a entrepris d’élaborer une loi qui donnera une base légale aux directives susvisées</w:t>
      </w:r>
      <w:r w:rsidR="007A3F99" w:rsidRPr="00DD03D6">
        <w:rPr>
          <w:noProof/>
          <w:lang w:val="fr-FR" w:eastAsia="en-GB"/>
        </w:rPr>
        <w:t xml:space="preserve">. </w:t>
      </w:r>
      <w:r w:rsidR="004C57BD">
        <w:rPr>
          <w:lang w:val="fr-CH"/>
        </w:rPr>
        <w:t>Les grandes lignes de ce projet de loi ont été publiées</w:t>
      </w:r>
      <w:r w:rsidR="004C57BD" w:rsidRPr="00DD03D6">
        <w:rPr>
          <w:noProof/>
          <w:lang w:val="fr-FR" w:eastAsia="en-GB"/>
        </w:rPr>
        <w:t xml:space="preserve"> </w:t>
      </w:r>
      <w:r w:rsidR="004C57BD">
        <w:rPr>
          <w:noProof/>
          <w:lang w:val="fr-FR" w:eastAsia="en-GB"/>
        </w:rPr>
        <w:t xml:space="preserve">et elles ont été examinées en détail par la </w:t>
      </w:r>
      <w:r w:rsidR="004C57BD">
        <w:rPr>
          <w:noProof/>
          <w:lang w:val="fr-FR" w:eastAsia="en-GB"/>
        </w:rPr>
        <w:lastRenderedPageBreak/>
        <w:t xml:space="preserve">commission parlementaire compétente </w:t>
      </w:r>
      <w:r w:rsidR="007A3F99" w:rsidRPr="00DD03D6">
        <w:rPr>
          <w:noProof/>
          <w:lang w:val="fr-FR" w:eastAsia="en-GB"/>
        </w:rPr>
        <w:t>(</w:t>
      </w:r>
      <w:r w:rsidR="004C57BD">
        <w:rPr>
          <w:noProof/>
          <w:lang w:val="fr-FR" w:eastAsia="en-GB"/>
        </w:rPr>
        <w:t>Commission de la santé et de l’enfance de l’</w:t>
      </w:r>
      <w:r w:rsidR="007A3F99" w:rsidRPr="004C57BD">
        <w:rPr>
          <w:i/>
          <w:noProof/>
          <w:lang w:val="fr-FR" w:eastAsia="en-GB"/>
        </w:rPr>
        <w:t>Oireachtas</w:t>
      </w:r>
      <w:r w:rsidR="007A3F99" w:rsidRPr="00DD03D6">
        <w:rPr>
          <w:noProof/>
          <w:lang w:val="fr-FR" w:eastAsia="en-GB"/>
        </w:rPr>
        <w:t>).</w:t>
      </w:r>
    </w:p>
    <w:p w:rsidR="007A3F99" w:rsidRPr="00DD03D6" w:rsidRDefault="00894D91" w:rsidP="008A5703">
      <w:pPr>
        <w:pStyle w:val="SingleTxtG"/>
        <w:numPr>
          <w:ilvl w:val="0"/>
          <w:numId w:val="3"/>
        </w:numPr>
        <w:ind w:left="1134" w:firstLine="0"/>
        <w:rPr>
          <w:noProof/>
          <w:lang w:val="fr-FR" w:eastAsia="en-GB"/>
        </w:rPr>
      </w:pPr>
      <w:r>
        <w:rPr>
          <w:noProof/>
          <w:lang w:val="fr-FR" w:eastAsia="en-GB"/>
        </w:rPr>
        <w:t xml:space="preserve">À la suite d’un certain nombre d’enquêtes portant sur des cas de maltraitance à enfant, divers moyens et mesures supplémentaires ont été mis en </w:t>
      </w:r>
      <w:r w:rsidR="007A3F99" w:rsidRPr="00DD03D6">
        <w:rPr>
          <w:noProof/>
          <w:lang w:val="fr-FR" w:eastAsia="en-GB"/>
        </w:rPr>
        <w:t xml:space="preserve">place </w:t>
      </w:r>
      <w:r>
        <w:rPr>
          <w:noProof/>
          <w:lang w:val="fr-FR" w:eastAsia="en-GB"/>
        </w:rPr>
        <w:t xml:space="preserve">pour renforcer le système de protection des enfants. Il est ainsi prévu de créer une Agence pour l’enfant et la famille et de recruter </w:t>
      </w:r>
      <w:r w:rsidR="007A3F99" w:rsidRPr="00DD03D6">
        <w:rPr>
          <w:noProof/>
          <w:lang w:val="fr-FR" w:eastAsia="en-GB"/>
        </w:rPr>
        <w:t xml:space="preserve">270 </w:t>
      </w:r>
      <w:r>
        <w:rPr>
          <w:noProof/>
          <w:lang w:val="fr-FR" w:eastAsia="en-GB"/>
        </w:rPr>
        <w:t>travailleurs sociaux supplémentaires</w:t>
      </w:r>
      <w:r w:rsidR="007A3F99" w:rsidRPr="00DD03D6">
        <w:rPr>
          <w:noProof/>
          <w:lang w:val="fr-FR" w:eastAsia="en-GB"/>
        </w:rPr>
        <w:t>.</w:t>
      </w:r>
    </w:p>
    <w:p w:rsidR="007A3F99" w:rsidRPr="00DD03D6" w:rsidRDefault="00894D91" w:rsidP="008A5703">
      <w:pPr>
        <w:pStyle w:val="SingleTxtG"/>
        <w:numPr>
          <w:ilvl w:val="0"/>
          <w:numId w:val="3"/>
        </w:numPr>
        <w:ind w:left="1134" w:firstLine="0"/>
        <w:rPr>
          <w:iCs/>
          <w:noProof/>
          <w:lang w:val="fr-FR" w:eastAsia="en-GB"/>
        </w:rPr>
      </w:pPr>
      <w:r>
        <w:rPr>
          <w:noProof/>
          <w:lang w:val="fr-FR"/>
        </w:rPr>
        <w:t>E</w:t>
      </w:r>
      <w:r w:rsidR="007A3F99" w:rsidRPr="00DD03D6">
        <w:rPr>
          <w:noProof/>
          <w:lang w:val="fr-FR"/>
        </w:rPr>
        <w:t xml:space="preserve">n 2012, </w:t>
      </w:r>
      <w:r>
        <w:rPr>
          <w:noProof/>
          <w:lang w:val="fr-FR"/>
        </w:rPr>
        <w:t xml:space="preserve">le Bureau de l’information sanitaire et de la qualité des services sanitaires a rendu publiques les </w:t>
      </w:r>
      <w:r w:rsidR="007A3F99" w:rsidRPr="00DD03D6">
        <w:rPr>
          <w:i/>
          <w:iCs/>
          <w:noProof/>
          <w:lang w:val="fr-FR"/>
        </w:rPr>
        <w:t>N</w:t>
      </w:r>
      <w:r>
        <w:rPr>
          <w:i/>
          <w:iCs/>
          <w:noProof/>
          <w:lang w:val="fr-FR"/>
        </w:rPr>
        <w:t>ormes n</w:t>
      </w:r>
      <w:r w:rsidR="007A3F99" w:rsidRPr="00DD03D6">
        <w:rPr>
          <w:i/>
          <w:iCs/>
          <w:noProof/>
          <w:lang w:val="fr-FR"/>
        </w:rPr>
        <w:t>ational</w:t>
      </w:r>
      <w:r>
        <w:rPr>
          <w:i/>
          <w:iCs/>
          <w:noProof/>
          <w:lang w:val="fr-FR"/>
        </w:rPr>
        <w:t>es concernant la p</w:t>
      </w:r>
      <w:r w:rsidR="007A3F99" w:rsidRPr="00DD03D6">
        <w:rPr>
          <w:i/>
          <w:iCs/>
          <w:noProof/>
          <w:lang w:val="fr-FR"/>
        </w:rPr>
        <w:t xml:space="preserve">rotection </w:t>
      </w:r>
      <w:r>
        <w:rPr>
          <w:i/>
          <w:iCs/>
          <w:noProof/>
          <w:lang w:val="fr-FR"/>
        </w:rPr>
        <w:t>et le bien-être des enfants</w:t>
      </w:r>
      <w:r w:rsidR="007A3F99" w:rsidRPr="00DD03D6">
        <w:rPr>
          <w:noProof/>
          <w:lang w:val="fr-FR"/>
        </w:rPr>
        <w:t xml:space="preserve">. </w:t>
      </w:r>
      <w:r>
        <w:rPr>
          <w:noProof/>
          <w:lang w:val="fr-FR"/>
        </w:rPr>
        <w:t xml:space="preserve">Ces normes visent à faire en sorte que la sécurité et le bien-être des enfants dans le cadre du système de protection de l’enfance soient protégés et que l’enfant soit au cœur de toutes les </w:t>
      </w:r>
      <w:r w:rsidR="007A3F99" w:rsidRPr="00DD03D6">
        <w:rPr>
          <w:noProof/>
          <w:lang w:val="fr-FR"/>
        </w:rPr>
        <w:t>interventions.</w:t>
      </w:r>
    </w:p>
    <w:p w:rsidR="007A3F99" w:rsidRPr="00DD03D6" w:rsidRDefault="006F2BF2" w:rsidP="007720B4">
      <w:pPr>
        <w:pStyle w:val="SingleTxtG"/>
        <w:numPr>
          <w:ilvl w:val="0"/>
          <w:numId w:val="3"/>
        </w:numPr>
        <w:ind w:left="1134" w:firstLine="0"/>
        <w:rPr>
          <w:noProof/>
          <w:lang w:val="fr-FR" w:eastAsia="en-GB"/>
        </w:rPr>
      </w:pPr>
      <w:r>
        <w:rPr>
          <w:noProof/>
          <w:lang w:val="fr-FR" w:eastAsia="en-GB"/>
        </w:rPr>
        <w:t>La loi de 2</w:t>
      </w:r>
      <w:r w:rsidR="00863BCE">
        <w:rPr>
          <w:noProof/>
          <w:lang w:val="fr-FR" w:eastAsia="en-GB"/>
        </w:rPr>
        <w:t>0</w:t>
      </w:r>
      <w:r>
        <w:rPr>
          <w:noProof/>
          <w:lang w:val="fr-FR" w:eastAsia="en-GB"/>
        </w:rPr>
        <w:t>12 sur le Bureau national de vérification (enfants et personnes v</w:t>
      </w:r>
      <w:r w:rsidR="007A3F99" w:rsidRPr="00DD03D6">
        <w:rPr>
          <w:noProof/>
          <w:lang w:val="fr-FR" w:eastAsia="en-GB"/>
        </w:rPr>
        <w:t>uln</w:t>
      </w:r>
      <w:r>
        <w:rPr>
          <w:noProof/>
          <w:lang w:val="fr-FR" w:eastAsia="en-GB"/>
        </w:rPr>
        <w:t>é</w:t>
      </w:r>
      <w:r w:rsidR="007A3F99" w:rsidRPr="00DD03D6">
        <w:rPr>
          <w:noProof/>
          <w:lang w:val="fr-FR" w:eastAsia="en-GB"/>
        </w:rPr>
        <w:t>rable</w:t>
      </w:r>
      <w:r>
        <w:rPr>
          <w:noProof/>
          <w:lang w:val="fr-FR" w:eastAsia="en-GB"/>
        </w:rPr>
        <w:t>s</w:t>
      </w:r>
      <w:r w:rsidR="007A3F99" w:rsidRPr="00DD03D6">
        <w:rPr>
          <w:noProof/>
          <w:lang w:val="fr-FR" w:eastAsia="en-GB"/>
        </w:rPr>
        <w:t xml:space="preserve">) </w:t>
      </w:r>
      <w:r>
        <w:rPr>
          <w:noProof/>
          <w:lang w:val="fr-FR" w:eastAsia="en-GB"/>
        </w:rPr>
        <w:t>donne une base légale au contrôle des personnes travaillant avec des enfants et/ou des personnes</w:t>
      </w:r>
      <w:r w:rsidR="007A3F99" w:rsidRPr="00DD03D6">
        <w:rPr>
          <w:noProof/>
          <w:lang w:val="fr-FR" w:eastAsia="en-GB"/>
        </w:rPr>
        <w:t xml:space="preserve"> vuln</w:t>
      </w:r>
      <w:r>
        <w:rPr>
          <w:noProof/>
          <w:lang w:val="fr-FR" w:eastAsia="en-GB"/>
        </w:rPr>
        <w:t>é</w:t>
      </w:r>
      <w:r w:rsidR="007A3F99" w:rsidRPr="00DD03D6">
        <w:rPr>
          <w:noProof/>
          <w:lang w:val="fr-FR" w:eastAsia="en-GB"/>
        </w:rPr>
        <w:t>rable</w:t>
      </w:r>
      <w:r>
        <w:rPr>
          <w:noProof/>
          <w:lang w:val="fr-FR" w:eastAsia="en-GB"/>
        </w:rPr>
        <w:t>s</w:t>
      </w:r>
      <w:r w:rsidR="007A3F99" w:rsidRPr="00DD03D6">
        <w:rPr>
          <w:noProof/>
          <w:lang w:val="fr-FR" w:eastAsia="en-GB"/>
        </w:rPr>
        <w:t xml:space="preserve">, </w:t>
      </w:r>
      <w:r>
        <w:rPr>
          <w:noProof/>
          <w:lang w:val="fr-FR" w:eastAsia="en-GB"/>
        </w:rPr>
        <w:t xml:space="preserve">en prévoyant notamment la divulgation d’informations non inscrites au casier judiciaire pouvant faire craindre qu’une personne puisse </w:t>
      </w:r>
      <w:r w:rsidR="00C668C8">
        <w:rPr>
          <w:noProof/>
          <w:lang w:val="fr-FR" w:eastAsia="en-GB"/>
        </w:rPr>
        <w:t>porter préjudice à un enfant ou à une personne vulnérable</w:t>
      </w:r>
      <w:r w:rsidR="007A3F99" w:rsidRPr="00DD03D6">
        <w:rPr>
          <w:noProof/>
          <w:lang w:val="fr-FR" w:eastAsia="en-GB"/>
        </w:rPr>
        <w:t xml:space="preserve">. </w:t>
      </w:r>
    </w:p>
    <w:p w:rsidR="007A3F99" w:rsidRPr="00DD03D6" w:rsidRDefault="007A3F99" w:rsidP="00C668C8">
      <w:pPr>
        <w:pStyle w:val="H23G"/>
        <w:ind w:firstLine="0"/>
        <w:rPr>
          <w:noProof/>
          <w:lang w:val="fr-FR"/>
        </w:rPr>
      </w:pPr>
      <w:r w:rsidRPr="00DD03D6">
        <w:rPr>
          <w:noProof/>
          <w:lang w:val="fr-FR"/>
        </w:rPr>
        <w:t>C</w:t>
      </w:r>
      <w:r w:rsidR="00C668C8">
        <w:rPr>
          <w:noProof/>
          <w:lang w:val="fr-FR"/>
        </w:rPr>
        <w:t>hâtiments c</w:t>
      </w:r>
      <w:r w:rsidRPr="00DD03D6">
        <w:rPr>
          <w:noProof/>
          <w:lang w:val="fr-FR"/>
        </w:rPr>
        <w:t>orpor</w:t>
      </w:r>
      <w:r w:rsidR="00C668C8">
        <w:rPr>
          <w:noProof/>
          <w:lang w:val="fr-FR"/>
        </w:rPr>
        <w:t xml:space="preserve">els </w:t>
      </w:r>
      <w:r w:rsidR="002A1CB1" w:rsidRPr="00DD03D6">
        <w:rPr>
          <w:noProof/>
          <w:lang w:val="fr-FR"/>
        </w:rPr>
        <w:t>(</w:t>
      </w:r>
      <w:r w:rsidR="00C668C8">
        <w:rPr>
          <w:noProof/>
          <w:lang w:val="fr-FR"/>
        </w:rPr>
        <w:t xml:space="preserve">voir le </w:t>
      </w:r>
      <w:r w:rsidR="002A1CB1" w:rsidRPr="00DD03D6">
        <w:rPr>
          <w:noProof/>
          <w:lang w:val="fr-FR"/>
        </w:rPr>
        <w:t>chap</w:t>
      </w:r>
      <w:r w:rsidR="00C668C8">
        <w:rPr>
          <w:noProof/>
          <w:lang w:val="fr-FR"/>
        </w:rPr>
        <w:t>itre</w:t>
      </w:r>
      <w:r w:rsidR="00520CB9" w:rsidRPr="00DD03D6">
        <w:rPr>
          <w:noProof/>
          <w:lang w:val="fr-FR"/>
        </w:rPr>
        <w:t> </w:t>
      </w:r>
      <w:r w:rsidRPr="00DD03D6">
        <w:rPr>
          <w:noProof/>
          <w:lang w:val="fr-FR"/>
        </w:rPr>
        <w:t>4)</w:t>
      </w:r>
    </w:p>
    <w:p w:rsidR="007A3F99" w:rsidRPr="002117E1" w:rsidRDefault="00942A76" w:rsidP="007720B4">
      <w:pPr>
        <w:pStyle w:val="SingleTxtG"/>
        <w:numPr>
          <w:ilvl w:val="0"/>
          <w:numId w:val="3"/>
        </w:numPr>
        <w:ind w:left="1134" w:firstLine="0"/>
        <w:rPr>
          <w:b/>
          <w:noProof/>
          <w:lang w:val="fr-FR"/>
        </w:rPr>
      </w:pPr>
      <w:r w:rsidRPr="002117E1">
        <w:rPr>
          <w:b/>
          <w:bCs/>
          <w:noProof/>
          <w:lang w:val="fr-FR"/>
        </w:rPr>
        <w:t>Le Comité réitère sa recommandation antérieure (CRC/C/15/Add.85, par. 39) et prie instamment l’État partie</w:t>
      </w:r>
      <w:r w:rsidR="00CC57A3">
        <w:rPr>
          <w:b/>
          <w:bCs/>
          <w:noProof/>
          <w:lang w:val="fr-FR"/>
        </w:rPr>
        <w:t> </w:t>
      </w:r>
      <w:r w:rsidR="007A3F99" w:rsidRPr="002117E1">
        <w:rPr>
          <w:b/>
          <w:noProof/>
          <w:lang w:val="fr-FR"/>
        </w:rPr>
        <w:t>:</w:t>
      </w:r>
    </w:p>
    <w:p w:rsidR="007A3F99" w:rsidRPr="002117E1" w:rsidRDefault="007A3F99" w:rsidP="00F843B5">
      <w:pPr>
        <w:pStyle w:val="SingleTxtG"/>
        <w:ind w:firstLine="567"/>
        <w:rPr>
          <w:b/>
          <w:noProof/>
          <w:lang w:val="fr-FR"/>
        </w:rPr>
      </w:pPr>
      <w:r w:rsidRPr="002117E1">
        <w:rPr>
          <w:b/>
          <w:noProof/>
          <w:lang w:val="fr-FR"/>
        </w:rPr>
        <w:t>a)</w:t>
      </w:r>
      <w:r w:rsidRPr="002117E1">
        <w:rPr>
          <w:b/>
          <w:noProof/>
          <w:lang w:val="fr-FR"/>
        </w:rPr>
        <w:tab/>
      </w:r>
      <w:r w:rsidR="00942A76" w:rsidRPr="002117E1">
        <w:rPr>
          <w:b/>
          <w:bCs/>
          <w:noProof/>
          <w:lang w:val="fr-FR"/>
        </w:rPr>
        <w:t>D’interdire expressément toutes les formes de châtiment</w:t>
      </w:r>
      <w:r w:rsidR="002117E1" w:rsidRPr="002117E1">
        <w:rPr>
          <w:b/>
          <w:bCs/>
          <w:noProof/>
          <w:lang w:val="fr-FR"/>
        </w:rPr>
        <w:t>s</w:t>
      </w:r>
      <w:r w:rsidR="00942A76" w:rsidRPr="002117E1">
        <w:rPr>
          <w:b/>
          <w:bCs/>
          <w:noProof/>
          <w:lang w:val="fr-FR"/>
        </w:rPr>
        <w:t xml:space="preserve"> corporel</w:t>
      </w:r>
      <w:r w:rsidR="002117E1" w:rsidRPr="002117E1">
        <w:rPr>
          <w:b/>
          <w:bCs/>
          <w:noProof/>
          <w:lang w:val="fr-FR"/>
        </w:rPr>
        <w:t>s</w:t>
      </w:r>
      <w:r w:rsidR="00942A76" w:rsidRPr="002117E1">
        <w:rPr>
          <w:b/>
          <w:bCs/>
          <w:noProof/>
          <w:lang w:val="fr-FR"/>
        </w:rPr>
        <w:t xml:space="preserve"> dans la famille</w:t>
      </w:r>
      <w:r w:rsidRPr="002117E1">
        <w:rPr>
          <w:b/>
          <w:noProof/>
          <w:lang w:val="fr-FR"/>
        </w:rPr>
        <w:t>;</w:t>
      </w:r>
    </w:p>
    <w:p w:rsidR="007A3F99" w:rsidRPr="002117E1" w:rsidRDefault="007A3F99" w:rsidP="00F843B5">
      <w:pPr>
        <w:pStyle w:val="SingleTxtG"/>
        <w:ind w:firstLine="567"/>
        <w:rPr>
          <w:b/>
          <w:noProof/>
          <w:lang w:val="fr-FR"/>
        </w:rPr>
      </w:pPr>
      <w:r w:rsidRPr="002117E1">
        <w:rPr>
          <w:b/>
          <w:noProof/>
          <w:lang w:val="fr-FR"/>
        </w:rPr>
        <w:t>b)</w:t>
      </w:r>
      <w:r w:rsidRPr="002117E1">
        <w:rPr>
          <w:b/>
          <w:noProof/>
          <w:lang w:val="fr-FR"/>
        </w:rPr>
        <w:tab/>
      </w:r>
      <w:r w:rsidR="00942A76" w:rsidRPr="002117E1">
        <w:rPr>
          <w:b/>
          <w:bCs/>
          <w:noProof/>
          <w:lang w:val="fr-FR"/>
        </w:rPr>
        <w:t>De faire comprendre aux parents ainsi qu’au public en général que les châtiments corporels sont inacceptables, et leur dispenser une éducation à ce sujet</w:t>
      </w:r>
      <w:r w:rsidRPr="002117E1">
        <w:rPr>
          <w:b/>
          <w:noProof/>
          <w:lang w:val="fr-FR"/>
        </w:rPr>
        <w:t>;</w:t>
      </w:r>
    </w:p>
    <w:p w:rsidR="007A3F99" w:rsidRPr="002117E1" w:rsidRDefault="007A3F99" w:rsidP="00F843B5">
      <w:pPr>
        <w:pStyle w:val="SingleTxtG"/>
        <w:ind w:firstLine="567"/>
        <w:rPr>
          <w:b/>
          <w:noProof/>
          <w:lang w:val="fr-FR"/>
        </w:rPr>
      </w:pPr>
      <w:r w:rsidRPr="002117E1">
        <w:rPr>
          <w:b/>
          <w:noProof/>
          <w:lang w:val="fr-FR"/>
        </w:rPr>
        <w:t>c)</w:t>
      </w:r>
      <w:r w:rsidRPr="002117E1">
        <w:rPr>
          <w:b/>
          <w:noProof/>
          <w:lang w:val="fr-FR"/>
        </w:rPr>
        <w:tab/>
      </w:r>
      <w:r w:rsidR="002117E1" w:rsidRPr="002117E1">
        <w:rPr>
          <w:b/>
          <w:bCs/>
          <w:noProof/>
          <w:lang w:val="fr-FR"/>
        </w:rPr>
        <w:t>De promouvoir d’autres moyens de discipline positifs et non violents en remplacement des châtiments corporels; et</w:t>
      </w:r>
      <w:r w:rsidR="002117E1" w:rsidRPr="002117E1">
        <w:rPr>
          <w:b/>
          <w:noProof/>
          <w:lang w:val="fr-FR"/>
        </w:rPr>
        <w:t xml:space="preserve"> </w:t>
      </w:r>
    </w:p>
    <w:p w:rsidR="007A3F99" w:rsidRPr="00DD03D6" w:rsidRDefault="007A3F99" w:rsidP="008E6ED1">
      <w:pPr>
        <w:pStyle w:val="SingleTxtG"/>
        <w:ind w:firstLine="567"/>
        <w:rPr>
          <w:b/>
          <w:noProof/>
          <w:lang w:val="fr-FR"/>
        </w:rPr>
      </w:pPr>
      <w:r w:rsidRPr="002117E1">
        <w:rPr>
          <w:b/>
          <w:noProof/>
          <w:lang w:val="fr-FR"/>
        </w:rPr>
        <w:t>d)</w:t>
      </w:r>
      <w:r w:rsidRPr="002117E1">
        <w:rPr>
          <w:b/>
          <w:noProof/>
          <w:lang w:val="fr-FR"/>
        </w:rPr>
        <w:tab/>
      </w:r>
      <w:r w:rsidR="002117E1" w:rsidRPr="002117E1">
        <w:rPr>
          <w:b/>
          <w:bCs/>
          <w:noProof/>
          <w:lang w:val="fr-FR"/>
        </w:rPr>
        <w:t xml:space="preserve">De tenir compte de l’Observation générale </w:t>
      </w:r>
      <w:r w:rsidR="002117E1" w:rsidRPr="002117E1">
        <w:rPr>
          <w:rFonts w:eastAsia="MS Mincho"/>
          <w:b/>
          <w:bCs/>
          <w:noProof/>
          <w:lang w:val="fr-FR"/>
        </w:rPr>
        <w:t>n</w:t>
      </w:r>
      <w:r w:rsidR="002117E1" w:rsidRPr="002117E1">
        <w:rPr>
          <w:rFonts w:eastAsia="MS Mincho"/>
          <w:b/>
          <w:bCs/>
          <w:noProof/>
          <w:vertAlign w:val="superscript"/>
          <w:lang w:val="fr-FR"/>
        </w:rPr>
        <w:t>o</w:t>
      </w:r>
      <w:r w:rsidR="002117E1" w:rsidRPr="002117E1">
        <w:rPr>
          <w:b/>
          <w:bCs/>
          <w:noProof/>
          <w:lang w:val="fr-FR"/>
        </w:rPr>
        <w:t> 8 du Comité sur le droit de</w:t>
      </w:r>
      <w:r w:rsidR="00CC57A3">
        <w:rPr>
          <w:b/>
          <w:bCs/>
          <w:noProof/>
          <w:lang w:val="fr-FR"/>
        </w:rPr>
        <w:t xml:space="preserve"> </w:t>
      </w:r>
      <w:r w:rsidR="002117E1" w:rsidRPr="002117E1">
        <w:rPr>
          <w:b/>
          <w:bCs/>
          <w:noProof/>
          <w:lang w:val="fr-FR"/>
        </w:rPr>
        <w:t>l’enfant à une protection contre les châtiments corporels et les autres formes cruelles ou</w:t>
      </w:r>
      <w:r w:rsidR="00CC57A3">
        <w:rPr>
          <w:b/>
          <w:bCs/>
          <w:noProof/>
          <w:lang w:val="fr-FR"/>
        </w:rPr>
        <w:t xml:space="preserve"> </w:t>
      </w:r>
      <w:r w:rsidR="002117E1" w:rsidRPr="002117E1">
        <w:rPr>
          <w:b/>
          <w:bCs/>
          <w:noProof/>
          <w:lang w:val="fr-FR"/>
        </w:rPr>
        <w:t>dégradantes de châtiments</w:t>
      </w:r>
      <w:r w:rsidR="002117E1" w:rsidRPr="002117E1">
        <w:rPr>
          <w:b/>
          <w:noProof/>
          <w:lang w:val="fr-FR"/>
        </w:rPr>
        <w:t xml:space="preserve"> </w:t>
      </w:r>
      <w:r w:rsidRPr="002117E1">
        <w:rPr>
          <w:b/>
          <w:noProof/>
          <w:lang w:val="fr-FR"/>
        </w:rPr>
        <w:t>(CRC/GC/2006/8)</w:t>
      </w:r>
      <w:r w:rsidRPr="00DD03D6">
        <w:rPr>
          <w:b/>
          <w:noProof/>
          <w:lang w:val="fr-FR"/>
        </w:rPr>
        <w:t>.</w:t>
      </w:r>
    </w:p>
    <w:p w:rsidR="007A3F99" w:rsidRDefault="00D72240" w:rsidP="00143F20">
      <w:pPr>
        <w:pStyle w:val="SingleTxtG"/>
        <w:numPr>
          <w:ilvl w:val="0"/>
          <w:numId w:val="3"/>
        </w:numPr>
        <w:ind w:left="1134" w:firstLine="0"/>
        <w:rPr>
          <w:noProof/>
          <w:lang w:val="fr-FR"/>
        </w:rPr>
      </w:pPr>
      <w:r>
        <w:rPr>
          <w:noProof/>
          <w:lang w:val="fr-FR"/>
        </w:rPr>
        <w:t>Il importe de préciser qu’aucune loi irlandaise n’autorise expressément la pratique des châtiments corporels dans la famille</w:t>
      </w:r>
      <w:r w:rsidR="007A3F99" w:rsidRPr="00DD03D6">
        <w:rPr>
          <w:noProof/>
          <w:lang w:val="fr-FR"/>
        </w:rPr>
        <w:t xml:space="preserve">. </w:t>
      </w:r>
      <w:r>
        <w:rPr>
          <w:noProof/>
          <w:lang w:val="fr-FR"/>
        </w:rPr>
        <w:t xml:space="preserve">L’article </w:t>
      </w:r>
      <w:r w:rsidR="007A3F99" w:rsidRPr="00DD03D6">
        <w:rPr>
          <w:noProof/>
          <w:lang w:val="fr-FR"/>
        </w:rPr>
        <w:t xml:space="preserve">246 </w:t>
      </w:r>
      <w:r>
        <w:rPr>
          <w:noProof/>
          <w:lang w:val="fr-FR"/>
        </w:rPr>
        <w:t xml:space="preserve">de la loi de </w:t>
      </w:r>
      <w:r w:rsidR="007A3F99" w:rsidRPr="00DD03D6">
        <w:rPr>
          <w:noProof/>
          <w:lang w:val="fr-FR"/>
        </w:rPr>
        <w:t xml:space="preserve">2001 </w:t>
      </w:r>
      <w:r>
        <w:rPr>
          <w:noProof/>
          <w:lang w:val="fr-FR"/>
        </w:rPr>
        <w:t xml:space="preserve">sur les enfants </w:t>
      </w:r>
      <w:r w:rsidR="00CB27A0">
        <w:rPr>
          <w:lang w:val="fr-FR"/>
        </w:rPr>
        <w:t>énonce des mesures juridiques dissuasives claires contre</w:t>
      </w:r>
      <w:r w:rsidR="00C53F5A">
        <w:rPr>
          <w:lang w:val="fr-FR"/>
        </w:rPr>
        <w:t xml:space="preserve"> le recours à des châtiments corporels </w:t>
      </w:r>
      <w:r w:rsidR="007A3F99" w:rsidRPr="00DD03D6">
        <w:rPr>
          <w:noProof/>
          <w:lang w:val="fr-FR"/>
        </w:rPr>
        <w:t>excessi</w:t>
      </w:r>
      <w:r w:rsidR="00C53F5A">
        <w:rPr>
          <w:noProof/>
          <w:lang w:val="fr-FR"/>
        </w:rPr>
        <w:t>fs dans la famille et dans les autres contextes</w:t>
      </w:r>
      <w:r w:rsidR="007A3F99" w:rsidRPr="00DD03D6">
        <w:rPr>
          <w:noProof/>
          <w:lang w:val="fr-FR"/>
        </w:rPr>
        <w:t>.</w:t>
      </w:r>
    </w:p>
    <w:p w:rsidR="007A3F99" w:rsidRPr="00DD03D6" w:rsidRDefault="00C53F5A" w:rsidP="00143F20">
      <w:pPr>
        <w:pStyle w:val="SingleTxtG"/>
        <w:numPr>
          <w:ilvl w:val="0"/>
          <w:numId w:val="3"/>
        </w:numPr>
        <w:ind w:left="1134" w:firstLine="0"/>
        <w:rPr>
          <w:noProof/>
          <w:lang w:val="fr-FR"/>
        </w:rPr>
      </w:pPr>
      <w:r>
        <w:rPr>
          <w:noProof/>
          <w:lang w:val="fr-FR"/>
        </w:rPr>
        <w:t xml:space="preserve">La </w:t>
      </w:r>
      <w:r w:rsidRPr="00C53F5A">
        <w:rPr>
          <w:i/>
          <w:noProof/>
          <w:lang w:val="fr-FR"/>
        </w:rPr>
        <w:t>common law</w:t>
      </w:r>
      <w:r>
        <w:rPr>
          <w:noProof/>
          <w:lang w:val="fr-FR"/>
        </w:rPr>
        <w:t xml:space="preserve"> </w:t>
      </w:r>
      <w:r>
        <w:rPr>
          <w:noProof/>
          <w:color w:val="000000"/>
          <w:lang w:val="fr-FR"/>
        </w:rPr>
        <w:t xml:space="preserve">prévoit bien un </w:t>
      </w:r>
      <w:r w:rsidRPr="00C53F5A">
        <w:rPr>
          <w:noProof/>
          <w:color w:val="000000"/>
          <w:lang w:val="fr-FR"/>
        </w:rPr>
        <w:t>moyen de défense limité tiré du «</w:t>
      </w:r>
      <w:r w:rsidR="001729A6">
        <w:rPr>
          <w:noProof/>
          <w:color w:val="000000"/>
          <w:lang w:val="fr-FR"/>
        </w:rPr>
        <w:t> </w:t>
      </w:r>
      <w:r w:rsidRPr="00C53F5A">
        <w:rPr>
          <w:noProof/>
          <w:color w:val="000000"/>
          <w:lang w:val="fr-FR"/>
        </w:rPr>
        <w:t>châtiment raisonnable</w:t>
      </w:r>
      <w:r w:rsidR="001729A6">
        <w:rPr>
          <w:noProof/>
          <w:color w:val="000000"/>
          <w:lang w:val="fr-FR"/>
        </w:rPr>
        <w:t> </w:t>
      </w:r>
      <w:r w:rsidRPr="00C53F5A">
        <w:rPr>
          <w:noProof/>
          <w:color w:val="000000"/>
          <w:lang w:val="fr-FR"/>
        </w:rPr>
        <w:t>»,</w:t>
      </w:r>
      <w:r w:rsidRPr="00DD03D6">
        <w:rPr>
          <w:noProof/>
          <w:lang w:val="fr-FR"/>
        </w:rPr>
        <w:t xml:space="preserve"> </w:t>
      </w:r>
      <w:r>
        <w:rPr>
          <w:noProof/>
          <w:lang w:val="fr-FR"/>
        </w:rPr>
        <w:t>mais les tribunaux irlandais ont déjà prononcé de lourdes condamnations dans des affaires où des parents avaient agressé leurs enfants ou avaient</w:t>
      </w:r>
      <w:r w:rsidR="00C975E0">
        <w:rPr>
          <w:noProof/>
          <w:lang w:val="fr-FR"/>
        </w:rPr>
        <w:t xml:space="preserve"> eu recours de façon </w:t>
      </w:r>
      <w:r w:rsidR="007A3F99" w:rsidRPr="00DD03D6">
        <w:rPr>
          <w:noProof/>
          <w:lang w:val="fr-FR"/>
        </w:rPr>
        <w:t>excessive o</w:t>
      </w:r>
      <w:r w:rsidR="00C975E0">
        <w:rPr>
          <w:noProof/>
          <w:lang w:val="fr-FR"/>
        </w:rPr>
        <w:t>u</w:t>
      </w:r>
      <w:r w:rsidR="007A3F99" w:rsidRPr="00DD03D6">
        <w:rPr>
          <w:noProof/>
          <w:lang w:val="fr-FR"/>
        </w:rPr>
        <w:t xml:space="preserve"> </w:t>
      </w:r>
      <w:r w:rsidR="00C975E0">
        <w:rPr>
          <w:noProof/>
          <w:lang w:val="fr-FR"/>
        </w:rPr>
        <w:t xml:space="preserve">déraisonnable à la </w:t>
      </w:r>
      <w:r w:rsidR="007A3F99" w:rsidRPr="00DD03D6">
        <w:rPr>
          <w:noProof/>
          <w:lang w:val="fr-FR"/>
        </w:rPr>
        <w:t xml:space="preserve">force </w:t>
      </w:r>
      <w:r w:rsidR="00C975E0">
        <w:rPr>
          <w:noProof/>
          <w:lang w:val="fr-FR"/>
        </w:rPr>
        <w:t>à leur égard</w:t>
      </w:r>
      <w:r w:rsidR="007A3F99" w:rsidRPr="00DD03D6">
        <w:rPr>
          <w:noProof/>
          <w:lang w:val="fr-FR"/>
        </w:rPr>
        <w:t xml:space="preserve">. </w:t>
      </w:r>
    </w:p>
    <w:p w:rsidR="007A3F99" w:rsidRPr="00DD03D6" w:rsidRDefault="007A3F99" w:rsidP="00143F20">
      <w:pPr>
        <w:pStyle w:val="SingleTxtG"/>
        <w:numPr>
          <w:ilvl w:val="0"/>
          <w:numId w:val="3"/>
        </w:numPr>
        <w:ind w:left="1134" w:firstLine="0"/>
        <w:rPr>
          <w:noProof/>
          <w:lang w:val="fr-FR"/>
        </w:rPr>
      </w:pPr>
      <w:r w:rsidRPr="00DD03D6">
        <w:rPr>
          <w:noProof/>
          <w:lang w:val="fr-FR"/>
        </w:rPr>
        <w:t>I</w:t>
      </w:r>
      <w:r w:rsidR="00C975E0">
        <w:rPr>
          <w:noProof/>
          <w:lang w:val="fr-FR"/>
        </w:rPr>
        <w:t xml:space="preserve">l importe de souligner que des progrès considérables ont été faits ces dernières années s’agissant d’éliminer pratiquement toutes les formes de </w:t>
      </w:r>
      <w:r w:rsidRPr="00DD03D6">
        <w:rPr>
          <w:noProof/>
          <w:lang w:val="fr-FR"/>
        </w:rPr>
        <w:t xml:space="preserve">violence </w:t>
      </w:r>
      <w:r w:rsidR="00C975E0">
        <w:rPr>
          <w:noProof/>
          <w:lang w:val="fr-FR"/>
        </w:rPr>
        <w:t>à l’égard des enfants en Irlande et d’</w:t>
      </w:r>
      <w:r w:rsidRPr="00DD03D6">
        <w:rPr>
          <w:noProof/>
          <w:lang w:val="fr-FR"/>
        </w:rPr>
        <w:t>encourag</w:t>
      </w:r>
      <w:r w:rsidR="00C975E0">
        <w:rPr>
          <w:noProof/>
          <w:lang w:val="fr-FR"/>
        </w:rPr>
        <w:t xml:space="preserve">er les </w:t>
      </w:r>
      <w:r w:rsidRPr="00DD03D6">
        <w:rPr>
          <w:noProof/>
          <w:lang w:val="fr-FR"/>
        </w:rPr>
        <w:t xml:space="preserve">parents </w:t>
      </w:r>
      <w:r w:rsidR="00C975E0">
        <w:rPr>
          <w:noProof/>
          <w:lang w:val="fr-FR"/>
        </w:rPr>
        <w:t xml:space="preserve">à utiliser des </w:t>
      </w:r>
      <w:r w:rsidR="00C975E0">
        <w:rPr>
          <w:lang w:val="fr-FR"/>
        </w:rPr>
        <w:t>formes non violentes de discipline dans la famille</w:t>
      </w:r>
      <w:r w:rsidRPr="00DD03D6">
        <w:rPr>
          <w:noProof/>
          <w:lang w:val="fr-FR"/>
        </w:rPr>
        <w:t xml:space="preserve">. </w:t>
      </w:r>
      <w:r w:rsidR="00C975E0">
        <w:rPr>
          <w:noProof/>
          <w:lang w:val="fr-FR"/>
        </w:rPr>
        <w:t xml:space="preserve">D’après les conclusions récentes tirées de l’étude </w:t>
      </w:r>
      <w:r w:rsidRPr="00DD03D6">
        <w:rPr>
          <w:bCs/>
          <w:i/>
          <w:iCs/>
          <w:noProof/>
          <w:lang w:val="fr-FR" w:eastAsia="en-GB"/>
        </w:rPr>
        <w:t>Gr</w:t>
      </w:r>
      <w:r w:rsidR="00C975E0">
        <w:rPr>
          <w:bCs/>
          <w:i/>
          <w:iCs/>
          <w:noProof/>
          <w:lang w:val="fr-FR" w:eastAsia="en-GB"/>
        </w:rPr>
        <w:t>andir en Irlande : étude nationale l</w:t>
      </w:r>
      <w:r w:rsidRPr="00DD03D6">
        <w:rPr>
          <w:bCs/>
          <w:i/>
          <w:iCs/>
          <w:noProof/>
          <w:lang w:val="fr-FR" w:eastAsia="en-GB"/>
        </w:rPr>
        <w:t>ongitudinal</w:t>
      </w:r>
      <w:r w:rsidR="00C975E0">
        <w:rPr>
          <w:bCs/>
          <w:i/>
          <w:iCs/>
          <w:noProof/>
          <w:lang w:val="fr-FR" w:eastAsia="en-GB"/>
        </w:rPr>
        <w:t>e sur les enfants</w:t>
      </w:r>
      <w:r w:rsidR="00C975E0">
        <w:rPr>
          <w:bCs/>
          <w:noProof/>
          <w:lang w:val="fr-FR" w:eastAsia="en-GB"/>
        </w:rPr>
        <w:t xml:space="preserve">, financée par le Ministère de l’enfance et de la jeunesse, près de </w:t>
      </w:r>
      <w:r w:rsidRPr="00DD03D6">
        <w:rPr>
          <w:bCs/>
          <w:noProof/>
          <w:lang w:val="fr-FR" w:eastAsia="en-GB"/>
        </w:rPr>
        <w:t>90</w:t>
      </w:r>
      <w:r w:rsidR="003F1ADB">
        <w:rPr>
          <w:bCs/>
          <w:noProof/>
          <w:lang w:val="fr-FR" w:eastAsia="en-GB"/>
        </w:rPr>
        <w:t> %</w:t>
      </w:r>
      <w:r w:rsidRPr="00DD03D6">
        <w:rPr>
          <w:bCs/>
          <w:noProof/>
          <w:lang w:val="fr-FR" w:eastAsia="en-GB"/>
        </w:rPr>
        <w:t xml:space="preserve"> </w:t>
      </w:r>
      <w:r w:rsidR="00C975E0">
        <w:rPr>
          <w:bCs/>
          <w:noProof/>
          <w:lang w:val="fr-FR" w:eastAsia="en-GB"/>
        </w:rPr>
        <w:t>des</w:t>
      </w:r>
      <w:r w:rsidRPr="00DD03D6">
        <w:rPr>
          <w:bCs/>
          <w:noProof/>
          <w:lang w:val="fr-FR" w:eastAsia="en-GB"/>
        </w:rPr>
        <w:t xml:space="preserve"> parents </w:t>
      </w:r>
      <w:r w:rsidR="00C975E0">
        <w:rPr>
          <w:bCs/>
          <w:noProof/>
          <w:lang w:val="fr-FR" w:eastAsia="en-GB"/>
        </w:rPr>
        <w:t xml:space="preserve">ont indiqué ne recourir jamais </w:t>
      </w:r>
      <w:r w:rsidRPr="00DD03D6">
        <w:rPr>
          <w:bCs/>
          <w:noProof/>
          <w:lang w:val="fr-FR" w:eastAsia="en-GB"/>
        </w:rPr>
        <w:t>(57</w:t>
      </w:r>
      <w:r w:rsidR="003F1ADB">
        <w:rPr>
          <w:bCs/>
          <w:noProof/>
          <w:lang w:val="fr-FR" w:eastAsia="en-GB"/>
        </w:rPr>
        <w:t> %</w:t>
      </w:r>
      <w:r w:rsidR="00C975E0">
        <w:rPr>
          <w:bCs/>
          <w:noProof/>
          <w:lang w:val="fr-FR" w:eastAsia="en-GB"/>
        </w:rPr>
        <w:t xml:space="preserve">) ou </w:t>
      </w:r>
      <w:r w:rsidR="006E1B87">
        <w:rPr>
          <w:bCs/>
          <w:noProof/>
          <w:lang w:val="fr-FR" w:eastAsia="en-GB"/>
        </w:rPr>
        <w:t xml:space="preserve">ne recourir que </w:t>
      </w:r>
      <w:r w:rsidR="00C975E0">
        <w:rPr>
          <w:bCs/>
          <w:noProof/>
          <w:lang w:val="fr-FR" w:eastAsia="en-GB"/>
        </w:rPr>
        <w:t>rarement</w:t>
      </w:r>
      <w:r w:rsidRPr="00DD03D6">
        <w:rPr>
          <w:bCs/>
          <w:noProof/>
          <w:lang w:val="fr-FR" w:eastAsia="en-GB"/>
        </w:rPr>
        <w:t xml:space="preserve"> (32</w:t>
      </w:r>
      <w:r w:rsidR="003F1ADB">
        <w:rPr>
          <w:bCs/>
          <w:noProof/>
          <w:lang w:val="fr-FR" w:eastAsia="en-GB"/>
        </w:rPr>
        <w:t> %</w:t>
      </w:r>
      <w:r w:rsidRPr="00DD03D6">
        <w:rPr>
          <w:bCs/>
          <w:noProof/>
          <w:lang w:val="fr-FR" w:eastAsia="en-GB"/>
        </w:rPr>
        <w:t xml:space="preserve">) </w:t>
      </w:r>
      <w:r w:rsidR="00C975E0">
        <w:rPr>
          <w:bCs/>
          <w:noProof/>
          <w:lang w:val="fr-FR" w:eastAsia="en-GB"/>
        </w:rPr>
        <w:t xml:space="preserve">aux châtiments corporels et physiques </w:t>
      </w:r>
      <w:r w:rsidR="006E1B87">
        <w:rPr>
          <w:bCs/>
          <w:noProof/>
          <w:lang w:val="fr-FR" w:eastAsia="en-GB"/>
        </w:rPr>
        <w:t>pour discipliner leurs enfants</w:t>
      </w:r>
      <w:r w:rsidRPr="00DD03D6">
        <w:rPr>
          <w:bCs/>
          <w:noProof/>
          <w:lang w:val="fr-FR" w:eastAsia="en-GB"/>
        </w:rPr>
        <w:t xml:space="preserve"> (Williams </w:t>
      </w:r>
      <w:r w:rsidRPr="001729A6">
        <w:rPr>
          <w:bCs/>
          <w:i/>
          <w:noProof/>
          <w:lang w:val="fr-FR" w:eastAsia="en-GB"/>
        </w:rPr>
        <w:t>et al</w:t>
      </w:r>
      <w:r w:rsidR="00143F20" w:rsidRPr="001729A6">
        <w:rPr>
          <w:bCs/>
          <w:i/>
          <w:noProof/>
          <w:lang w:val="fr-FR" w:eastAsia="en-GB"/>
        </w:rPr>
        <w:t>.</w:t>
      </w:r>
      <w:r w:rsidRPr="00DD03D6">
        <w:rPr>
          <w:bCs/>
          <w:noProof/>
          <w:lang w:val="fr-FR" w:eastAsia="en-GB"/>
        </w:rPr>
        <w:t>, 2009).</w:t>
      </w:r>
      <w:r w:rsidRPr="00DD03D6">
        <w:rPr>
          <w:b/>
          <w:bCs/>
          <w:noProof/>
          <w:color w:val="000000"/>
          <w:lang w:val="fr-FR" w:eastAsia="en-GB"/>
        </w:rPr>
        <w:t xml:space="preserve"> </w:t>
      </w:r>
      <w:r w:rsidR="006E1B87">
        <w:rPr>
          <w:bCs/>
          <w:noProof/>
          <w:color w:val="000000"/>
          <w:lang w:val="fr-FR" w:eastAsia="en-GB"/>
        </w:rPr>
        <w:t>Un large éventail de cours de parentalité sont dispensés dans tout le pays et d’autres études ont montré que les parents voient dans l’influence de l’éducation sur les styles de parentalité l’un des facteurs du recul des châtiments corporels</w:t>
      </w:r>
      <w:r w:rsidRPr="00DD03D6">
        <w:rPr>
          <w:noProof/>
          <w:lang w:val="fr-FR"/>
        </w:rPr>
        <w:t xml:space="preserve">. </w:t>
      </w:r>
      <w:r w:rsidR="006E1B87">
        <w:rPr>
          <w:noProof/>
          <w:lang w:val="fr-FR"/>
        </w:rPr>
        <w:t>E</w:t>
      </w:r>
      <w:r w:rsidRPr="00DD03D6">
        <w:rPr>
          <w:noProof/>
          <w:lang w:val="fr-FR"/>
        </w:rPr>
        <w:t xml:space="preserve">n </w:t>
      </w:r>
      <w:r w:rsidR="006E1B87">
        <w:rPr>
          <w:noProof/>
          <w:lang w:val="fr-FR"/>
        </w:rPr>
        <w:t xml:space="preserve">outre, </w:t>
      </w:r>
      <w:r w:rsidR="006E1B87">
        <w:rPr>
          <w:bCs/>
          <w:noProof/>
          <w:lang w:val="fr-FR" w:eastAsia="en-GB"/>
        </w:rPr>
        <w:t>le Ministère de l’enfance et de la jeunesse</w:t>
      </w:r>
      <w:r w:rsidR="006E1B87" w:rsidRPr="00DD03D6">
        <w:rPr>
          <w:noProof/>
          <w:lang w:val="fr-FR"/>
        </w:rPr>
        <w:t xml:space="preserve"> </w:t>
      </w:r>
      <w:r w:rsidR="006E1B87">
        <w:rPr>
          <w:noProof/>
          <w:lang w:val="fr-FR"/>
        </w:rPr>
        <w:t xml:space="preserve">va s’employer de </w:t>
      </w:r>
      <w:r w:rsidR="006E1B87">
        <w:rPr>
          <w:noProof/>
          <w:lang w:val="fr-FR"/>
        </w:rPr>
        <w:lastRenderedPageBreak/>
        <w:t>façon suivie à définir les moyens les plus efficaces d’aider les parents par le biais de l’Agence pour l’enfant et la famille</w:t>
      </w:r>
      <w:r w:rsidRPr="00DD03D6">
        <w:rPr>
          <w:noProof/>
          <w:lang w:val="fr-FR"/>
        </w:rPr>
        <w:t>.</w:t>
      </w:r>
    </w:p>
    <w:p w:rsidR="007A3F99" w:rsidRPr="00DD03D6" w:rsidRDefault="006E1B87" w:rsidP="006E1B87">
      <w:pPr>
        <w:pStyle w:val="H23G"/>
        <w:ind w:firstLine="0"/>
        <w:rPr>
          <w:noProof/>
          <w:lang w:val="fr-FR"/>
        </w:rPr>
      </w:pPr>
      <w:r>
        <w:rPr>
          <w:noProof/>
          <w:lang w:val="fr-FR"/>
        </w:rPr>
        <w:t xml:space="preserve">Enfants handicapés </w:t>
      </w:r>
      <w:r w:rsidR="002A1CB1" w:rsidRPr="00DD03D6">
        <w:rPr>
          <w:noProof/>
          <w:lang w:val="fr-FR"/>
        </w:rPr>
        <w:t>(</w:t>
      </w:r>
      <w:r>
        <w:rPr>
          <w:noProof/>
          <w:lang w:val="fr-FR"/>
        </w:rPr>
        <w:t xml:space="preserve">voir le chapitre </w:t>
      </w:r>
      <w:r w:rsidR="007A3F99" w:rsidRPr="00DD03D6">
        <w:rPr>
          <w:noProof/>
          <w:lang w:val="fr-FR"/>
        </w:rPr>
        <w:t>6)</w:t>
      </w:r>
    </w:p>
    <w:p w:rsidR="007A3F99" w:rsidRPr="00323EEF" w:rsidRDefault="0052287E" w:rsidP="00285E50">
      <w:pPr>
        <w:pStyle w:val="SingleTxtG"/>
        <w:numPr>
          <w:ilvl w:val="0"/>
          <w:numId w:val="3"/>
        </w:numPr>
        <w:ind w:left="1134" w:firstLine="0"/>
        <w:rPr>
          <w:noProof/>
          <w:lang w:val="fr-FR"/>
        </w:rPr>
      </w:pPr>
      <w:r w:rsidRPr="00323EEF">
        <w:rPr>
          <w:b/>
          <w:bCs/>
          <w:noProof/>
          <w:lang w:val="fr-FR"/>
        </w:rPr>
        <w:t xml:space="preserve">Le Comité recommande à l’État partie </w:t>
      </w:r>
      <w:r w:rsidR="007A3F99" w:rsidRPr="00323EEF">
        <w:rPr>
          <w:b/>
          <w:noProof/>
          <w:lang w:val="fr-FR"/>
        </w:rPr>
        <w:t>:</w:t>
      </w:r>
    </w:p>
    <w:p w:rsidR="007A3F99" w:rsidRPr="00323EEF" w:rsidRDefault="007A3F99" w:rsidP="00F843B5">
      <w:pPr>
        <w:pStyle w:val="SingleTxtG"/>
        <w:ind w:firstLine="567"/>
        <w:rPr>
          <w:b/>
          <w:noProof/>
          <w:lang w:val="fr-FR"/>
        </w:rPr>
      </w:pPr>
      <w:r w:rsidRPr="00323EEF">
        <w:rPr>
          <w:b/>
          <w:noProof/>
          <w:lang w:val="fr-FR"/>
        </w:rPr>
        <w:t>a)</w:t>
      </w:r>
      <w:r w:rsidRPr="00323EEF">
        <w:rPr>
          <w:b/>
          <w:noProof/>
          <w:lang w:val="fr-FR"/>
        </w:rPr>
        <w:tab/>
      </w:r>
      <w:r w:rsidR="00323EEF" w:rsidRPr="00323EEF">
        <w:rPr>
          <w:b/>
          <w:bCs/>
          <w:noProof/>
          <w:lang w:val="fr-FR"/>
        </w:rPr>
        <w:t xml:space="preserve">D’adopter un cadre juridique global, axé sur les droits, qui permette de répondre aux besoins spécifiques des enfants handicapés, et d’appliquer toutes les dispositions en vigueur qui concernent les enfants handicapés; et </w:t>
      </w:r>
    </w:p>
    <w:p w:rsidR="007A3F99" w:rsidRPr="00DD03D6" w:rsidRDefault="007A3F99" w:rsidP="008E6ED1">
      <w:pPr>
        <w:pStyle w:val="SingleTxtG"/>
        <w:ind w:firstLine="567"/>
        <w:rPr>
          <w:b/>
          <w:noProof/>
          <w:lang w:val="fr-FR"/>
        </w:rPr>
      </w:pPr>
      <w:r w:rsidRPr="00323EEF">
        <w:rPr>
          <w:b/>
          <w:noProof/>
          <w:lang w:val="fr-FR"/>
        </w:rPr>
        <w:t>b)</w:t>
      </w:r>
      <w:r w:rsidRPr="00323EEF">
        <w:rPr>
          <w:b/>
          <w:noProof/>
          <w:lang w:val="fr-FR"/>
        </w:rPr>
        <w:tab/>
      </w:r>
      <w:r w:rsidR="00323EEF" w:rsidRPr="00323EEF">
        <w:rPr>
          <w:b/>
          <w:bCs/>
          <w:noProof/>
          <w:lang w:val="fr-FR"/>
        </w:rPr>
        <w:t xml:space="preserve">De mener, avec la participation des enfants, des campagnes de sensibilisation qui mettent l’accent sur la prévention et l’intégration, sur le soutien et les services offerts aux enfants handicapés, et sur la nécessité de combattre les comportements sociaux négatifs à l’égard des enfants </w:t>
      </w:r>
      <w:r w:rsidR="00323EEF">
        <w:rPr>
          <w:b/>
          <w:bCs/>
          <w:noProof/>
          <w:lang w:val="fr-FR"/>
        </w:rPr>
        <w:t>handicapés</w:t>
      </w:r>
      <w:r w:rsidRPr="00DD03D6">
        <w:rPr>
          <w:b/>
          <w:noProof/>
          <w:lang w:val="fr-FR"/>
        </w:rPr>
        <w:t>.</w:t>
      </w:r>
    </w:p>
    <w:p w:rsidR="007A3F99" w:rsidRPr="00B45BCB" w:rsidRDefault="00B45BCB" w:rsidP="008E6ED1">
      <w:pPr>
        <w:pStyle w:val="SingleTxtG"/>
        <w:numPr>
          <w:ilvl w:val="0"/>
          <w:numId w:val="3"/>
        </w:numPr>
        <w:ind w:left="1134" w:firstLine="0"/>
        <w:rPr>
          <w:noProof/>
          <w:lang w:val="fr-FR"/>
        </w:rPr>
      </w:pPr>
      <w:r w:rsidRPr="00B45BCB">
        <w:rPr>
          <w:b/>
          <w:bCs/>
          <w:noProof/>
          <w:lang w:val="fr-FR"/>
        </w:rPr>
        <w:t xml:space="preserve">Le Comité invite aussi instamment l’État partie à revoir ses politiques et ses pratiques concernant les enfants handicapés en tenant dûment compte des Règles des </w:t>
      </w:r>
      <w:r w:rsidRPr="00B45BCB">
        <w:rPr>
          <w:rFonts w:eastAsia="MS Mincho"/>
          <w:b/>
          <w:bCs/>
          <w:noProof/>
          <w:lang w:val="fr-FR"/>
        </w:rPr>
        <w:t>Nations Unies</w:t>
      </w:r>
      <w:r w:rsidRPr="00B45BCB">
        <w:rPr>
          <w:b/>
          <w:bCs/>
          <w:noProof/>
          <w:lang w:val="fr-FR"/>
        </w:rPr>
        <w:t xml:space="preserve"> pour l’égalisation des chances des handicapés (résolution</w:t>
      </w:r>
      <w:r w:rsidR="002279B5" w:rsidRPr="002279B5">
        <w:rPr>
          <w:b/>
          <w:bCs/>
          <w:noProof/>
          <w:vertAlign w:val="superscript"/>
          <w:lang w:val="fr-FR"/>
        </w:rPr>
        <w:t>o</w:t>
      </w:r>
      <w:r w:rsidR="002279B5">
        <w:rPr>
          <w:b/>
          <w:bCs/>
          <w:noProof/>
          <w:lang w:val="fr-FR"/>
        </w:rPr>
        <w:t> </w:t>
      </w:r>
      <w:r w:rsidRPr="00B45BCB">
        <w:rPr>
          <w:b/>
          <w:bCs/>
          <w:noProof/>
          <w:lang w:val="fr-FR"/>
        </w:rPr>
        <w:t xml:space="preserve">48/96 de l’Assemblée générale) ainsi que des recommandations adoptées par le Comité au cours de la journée de débat général sur les droits des enfants handicapés (voir CRC/C/69). </w:t>
      </w:r>
    </w:p>
    <w:p w:rsidR="007A3F99" w:rsidRPr="00DD03D6" w:rsidRDefault="00B45BCB" w:rsidP="00285E50">
      <w:pPr>
        <w:pStyle w:val="SingleTxtG"/>
        <w:numPr>
          <w:ilvl w:val="0"/>
          <w:numId w:val="3"/>
        </w:numPr>
        <w:ind w:left="1134" w:firstLine="0"/>
        <w:rPr>
          <w:noProof/>
          <w:lang w:val="fr-FR"/>
        </w:rPr>
      </w:pPr>
      <w:r>
        <w:rPr>
          <w:noProof/>
          <w:lang w:val="fr-FR"/>
        </w:rPr>
        <w:t xml:space="preserve">Au cours du recensement de </w:t>
      </w:r>
      <w:r w:rsidR="007A3F99" w:rsidRPr="00DD03D6">
        <w:rPr>
          <w:noProof/>
          <w:lang w:val="fr-FR"/>
        </w:rPr>
        <w:t>2011, 66</w:t>
      </w:r>
      <w:r>
        <w:rPr>
          <w:noProof/>
          <w:lang w:val="fr-FR"/>
        </w:rPr>
        <w:t xml:space="preserve"> </w:t>
      </w:r>
      <w:r w:rsidR="007A3F99" w:rsidRPr="00DD03D6">
        <w:rPr>
          <w:noProof/>
          <w:lang w:val="fr-FR"/>
        </w:rPr>
        <w:t xml:space="preserve">437 </w:t>
      </w:r>
      <w:r>
        <w:rPr>
          <w:noProof/>
          <w:lang w:val="fr-FR"/>
        </w:rPr>
        <w:t>enfants et jeunes jusqu’à l’âge de 17 ans ont été enregistrés comme atteints d’un handicap</w:t>
      </w:r>
      <w:r w:rsidR="007A3F99" w:rsidRPr="00DD03D6">
        <w:rPr>
          <w:noProof/>
          <w:lang w:val="fr-FR"/>
        </w:rPr>
        <w:t>.</w:t>
      </w:r>
    </w:p>
    <w:p w:rsidR="007A3F99" w:rsidRDefault="00105672" w:rsidP="00285E50">
      <w:pPr>
        <w:pStyle w:val="SingleTxtG"/>
        <w:numPr>
          <w:ilvl w:val="0"/>
          <w:numId w:val="3"/>
        </w:numPr>
        <w:ind w:left="1134" w:firstLine="0"/>
        <w:rPr>
          <w:noProof/>
          <w:lang w:val="fr-FR"/>
        </w:rPr>
      </w:pPr>
      <w:r>
        <w:rPr>
          <w:noProof/>
          <w:lang w:val="fr-FR"/>
        </w:rPr>
        <w:t xml:space="preserve">Des crédits budgétaires importants </w:t>
      </w:r>
      <w:r w:rsidR="007A3F99" w:rsidRPr="00DD03D6">
        <w:rPr>
          <w:noProof/>
          <w:lang w:val="fr-FR"/>
        </w:rPr>
        <w:t>(9</w:t>
      </w:r>
      <w:r>
        <w:rPr>
          <w:noProof/>
          <w:lang w:val="fr-FR"/>
        </w:rPr>
        <w:t>,</w:t>
      </w:r>
      <w:r w:rsidR="007A3F99" w:rsidRPr="00DD03D6">
        <w:rPr>
          <w:noProof/>
          <w:lang w:val="fr-FR"/>
        </w:rPr>
        <w:t>8 million</w:t>
      </w:r>
      <w:r>
        <w:rPr>
          <w:noProof/>
          <w:lang w:val="fr-FR"/>
        </w:rPr>
        <w:t>s d’euros en</w:t>
      </w:r>
      <w:r w:rsidR="007A3F99" w:rsidRPr="00DD03D6">
        <w:rPr>
          <w:noProof/>
          <w:lang w:val="fr-FR"/>
        </w:rPr>
        <w:t xml:space="preserve"> </w:t>
      </w:r>
      <w:r>
        <w:rPr>
          <w:noProof/>
          <w:lang w:val="fr-FR"/>
        </w:rPr>
        <w:t>2008</w:t>
      </w:r>
      <w:r w:rsidR="007A3F99" w:rsidRPr="00DD03D6">
        <w:rPr>
          <w:noProof/>
          <w:lang w:val="fr-FR"/>
        </w:rPr>
        <w:t xml:space="preserve"> </w:t>
      </w:r>
      <w:r>
        <w:rPr>
          <w:noProof/>
          <w:lang w:val="fr-FR"/>
        </w:rPr>
        <w:t xml:space="preserve">et 20 millions supplémentaires en </w:t>
      </w:r>
      <w:r w:rsidR="007A3F99" w:rsidRPr="00DD03D6">
        <w:rPr>
          <w:noProof/>
          <w:lang w:val="fr-FR"/>
        </w:rPr>
        <w:t xml:space="preserve">2009) </w:t>
      </w:r>
      <w:r>
        <w:rPr>
          <w:noProof/>
          <w:lang w:val="fr-FR"/>
        </w:rPr>
        <w:t>ont été mis à disposition pour améliorer l’évaluation et la prestation des services de santé et d’éducation dispensés aux enfants ayant des besoins spéciaux</w:t>
      </w:r>
      <w:r w:rsidR="007A3F99" w:rsidRPr="00DD03D6">
        <w:rPr>
          <w:noProof/>
          <w:lang w:val="fr-FR"/>
        </w:rPr>
        <w:t xml:space="preserve">. </w:t>
      </w:r>
    </w:p>
    <w:p w:rsidR="007A3F99" w:rsidRPr="00DD03D6" w:rsidRDefault="00105672" w:rsidP="00285E50">
      <w:pPr>
        <w:pStyle w:val="SingleTxtG"/>
        <w:numPr>
          <w:ilvl w:val="0"/>
          <w:numId w:val="3"/>
        </w:numPr>
        <w:ind w:left="1134" w:firstLine="0"/>
        <w:rPr>
          <w:noProof/>
          <w:lang w:val="fr-FR"/>
        </w:rPr>
      </w:pPr>
      <w:r>
        <w:rPr>
          <w:noProof/>
          <w:lang w:val="fr-FR"/>
        </w:rPr>
        <w:t xml:space="preserve">Le </w:t>
      </w:r>
      <w:r w:rsidR="007A3F99" w:rsidRPr="00DD03D6">
        <w:rPr>
          <w:noProof/>
          <w:lang w:val="fr-FR"/>
        </w:rPr>
        <w:t xml:space="preserve">Programme </w:t>
      </w:r>
      <w:r>
        <w:rPr>
          <w:noProof/>
          <w:lang w:val="fr-FR"/>
        </w:rPr>
        <w:t>national de s</w:t>
      </w:r>
      <w:r w:rsidRPr="00DD03D6">
        <w:rPr>
          <w:noProof/>
          <w:lang w:val="fr-FR"/>
        </w:rPr>
        <w:t xml:space="preserve">ervices </w:t>
      </w:r>
      <w:r>
        <w:rPr>
          <w:noProof/>
          <w:lang w:val="fr-FR"/>
        </w:rPr>
        <w:t xml:space="preserve">évolutifs destinés aux enfants et aux jeunes handicapés </w:t>
      </w:r>
      <w:r w:rsidR="00EA4385">
        <w:rPr>
          <w:noProof/>
          <w:lang w:val="fr-FR"/>
        </w:rPr>
        <w:t xml:space="preserve">(0-18 ans) </w:t>
      </w:r>
      <w:r>
        <w:rPr>
          <w:noProof/>
          <w:lang w:val="fr-FR"/>
        </w:rPr>
        <w:t xml:space="preserve">de la Direction des services de santé </w:t>
      </w:r>
      <w:r w:rsidR="00EA4385">
        <w:rPr>
          <w:noProof/>
          <w:lang w:val="fr-FR"/>
        </w:rPr>
        <w:t xml:space="preserve">existe depuis </w:t>
      </w:r>
      <w:r w:rsidR="007A3F99" w:rsidRPr="00DD03D6">
        <w:rPr>
          <w:noProof/>
          <w:lang w:val="fr-FR"/>
        </w:rPr>
        <w:t xml:space="preserve">2010. </w:t>
      </w:r>
      <w:r w:rsidR="00DB7925">
        <w:rPr>
          <w:noProof/>
          <w:lang w:val="fr-FR"/>
        </w:rPr>
        <w:t xml:space="preserve">Il </w:t>
      </w:r>
      <w:r w:rsidR="00414F34">
        <w:rPr>
          <w:noProof/>
          <w:lang w:val="fr-FR"/>
        </w:rPr>
        <w:t>vise</w:t>
      </w:r>
      <w:r w:rsidR="00DB7925">
        <w:rPr>
          <w:noProof/>
          <w:lang w:val="fr-FR"/>
        </w:rPr>
        <w:t xml:space="preserve"> à</w:t>
      </w:r>
      <w:r w:rsidR="00414F34">
        <w:rPr>
          <w:noProof/>
          <w:lang w:val="fr-FR"/>
        </w:rPr>
        <w:t xml:space="preserve"> clarifier le parcours d’accès aux </w:t>
      </w:r>
      <w:r w:rsidR="007A3F99" w:rsidRPr="00DD03D6">
        <w:rPr>
          <w:noProof/>
          <w:lang w:val="fr-FR"/>
        </w:rPr>
        <w:t xml:space="preserve">services </w:t>
      </w:r>
      <w:r w:rsidR="00414F34">
        <w:rPr>
          <w:noProof/>
          <w:lang w:val="fr-FR"/>
        </w:rPr>
        <w:t>pour tous les enfants handicapés en fonction de leurs besoins, les secteurs de la santé et de l’éducation collaborant pour</w:t>
      </w:r>
      <w:r w:rsidR="00780AF4">
        <w:rPr>
          <w:noProof/>
          <w:lang w:val="fr-FR"/>
        </w:rPr>
        <w:t xml:space="preserve"> aider c</w:t>
      </w:r>
      <w:r w:rsidR="00414F34">
        <w:rPr>
          <w:noProof/>
          <w:lang w:val="fr-FR"/>
        </w:rPr>
        <w:t>es enfants à réaliser tout leur potentiel</w:t>
      </w:r>
      <w:r w:rsidR="007A3F99" w:rsidRPr="00DD03D6">
        <w:rPr>
          <w:noProof/>
          <w:lang w:val="fr-FR"/>
        </w:rPr>
        <w:t xml:space="preserve">. </w:t>
      </w:r>
      <w:r w:rsidR="00D510A1">
        <w:rPr>
          <w:noProof/>
          <w:lang w:val="fr-FR"/>
        </w:rPr>
        <w:t xml:space="preserve">Ce programme se propose notamment de remédier à l’inégalité d’accès aux </w:t>
      </w:r>
      <w:r w:rsidR="007A3F99" w:rsidRPr="00DD03D6">
        <w:rPr>
          <w:noProof/>
          <w:lang w:val="fr-FR"/>
        </w:rPr>
        <w:t xml:space="preserve">services </w:t>
      </w:r>
      <w:r w:rsidR="00D510A1">
        <w:rPr>
          <w:noProof/>
          <w:lang w:val="fr-FR"/>
        </w:rPr>
        <w:t xml:space="preserve">que l’on constate actuellement dans le pays et qui tient à </w:t>
      </w:r>
      <w:r w:rsidR="00780AF4">
        <w:rPr>
          <w:noProof/>
          <w:lang w:val="fr-FR"/>
        </w:rPr>
        <w:t>un développement de ces services</w:t>
      </w:r>
      <w:r w:rsidR="003259F6">
        <w:rPr>
          <w:noProof/>
          <w:lang w:val="fr-FR"/>
        </w:rPr>
        <w:t xml:space="preserve"> qui manque de cohérence</w:t>
      </w:r>
      <w:r w:rsidR="007A3F99" w:rsidRPr="00DD03D6">
        <w:rPr>
          <w:noProof/>
          <w:lang w:val="fr-FR"/>
        </w:rPr>
        <w:t xml:space="preserve">. </w:t>
      </w:r>
    </w:p>
    <w:p w:rsidR="007A3F99" w:rsidRPr="00DD03D6" w:rsidRDefault="00780AF4" w:rsidP="00285E50">
      <w:pPr>
        <w:pStyle w:val="SingleTxtG"/>
        <w:numPr>
          <w:ilvl w:val="0"/>
          <w:numId w:val="3"/>
        </w:numPr>
        <w:ind w:left="1134" w:firstLine="0"/>
        <w:rPr>
          <w:noProof/>
          <w:lang w:val="fr-FR"/>
        </w:rPr>
      </w:pPr>
      <w:r>
        <w:rPr>
          <w:noProof/>
          <w:lang w:val="fr-FR"/>
        </w:rPr>
        <w:t>La Stratégie n</w:t>
      </w:r>
      <w:r w:rsidR="007A3F99" w:rsidRPr="00DD03D6">
        <w:rPr>
          <w:noProof/>
          <w:lang w:val="fr-FR"/>
        </w:rPr>
        <w:t>ational</w:t>
      </w:r>
      <w:r>
        <w:rPr>
          <w:noProof/>
          <w:lang w:val="fr-FR"/>
        </w:rPr>
        <w:t>e en matière de logement pour les personnes handicapées a été présentée en o</w:t>
      </w:r>
      <w:r w:rsidR="007A3F99" w:rsidRPr="00DD03D6">
        <w:rPr>
          <w:noProof/>
          <w:lang w:val="fr-FR"/>
        </w:rPr>
        <w:t>ctob</w:t>
      </w:r>
      <w:r>
        <w:rPr>
          <w:noProof/>
          <w:lang w:val="fr-FR"/>
        </w:rPr>
        <w:t>re</w:t>
      </w:r>
      <w:r w:rsidR="007A3F99" w:rsidRPr="00DD03D6">
        <w:rPr>
          <w:noProof/>
          <w:lang w:val="fr-FR"/>
        </w:rPr>
        <w:t xml:space="preserve"> 2011 (</w:t>
      </w:r>
      <w:r w:rsidR="001226D2" w:rsidRPr="001226D2">
        <w:rPr>
          <w:noProof/>
          <w:lang w:val="fr-FR"/>
        </w:rPr>
        <w:t>Ministère de l’environnement, des communautés et de l’administration locale</w:t>
      </w:r>
      <w:r w:rsidR="007A3F99" w:rsidRPr="00DD03D6">
        <w:rPr>
          <w:noProof/>
          <w:lang w:val="fr-FR"/>
        </w:rPr>
        <w:t xml:space="preserve">, 2011a). </w:t>
      </w:r>
      <w:r w:rsidR="001226D2">
        <w:rPr>
          <w:noProof/>
          <w:lang w:val="fr-FR"/>
        </w:rPr>
        <w:t>On y trouve notamment l’engagement de faire des besoins actuels et futurs des enfants handicapés une considération prioritaire dans le cadre du processus d’attribution des logements aux familles</w:t>
      </w:r>
      <w:r w:rsidR="007A3F99" w:rsidRPr="00DD03D6">
        <w:rPr>
          <w:noProof/>
          <w:lang w:val="fr-FR"/>
        </w:rPr>
        <w:t>.</w:t>
      </w:r>
    </w:p>
    <w:p w:rsidR="007A3F99" w:rsidRPr="00DD03D6" w:rsidRDefault="001226D2" w:rsidP="00F6212B">
      <w:pPr>
        <w:pStyle w:val="SingleTxtG"/>
        <w:numPr>
          <w:ilvl w:val="0"/>
          <w:numId w:val="3"/>
        </w:numPr>
        <w:ind w:left="1134" w:firstLine="0"/>
        <w:rPr>
          <w:noProof/>
          <w:lang w:val="fr-FR"/>
        </w:rPr>
      </w:pPr>
      <w:r>
        <w:rPr>
          <w:noProof/>
          <w:lang w:val="fr-FR"/>
        </w:rPr>
        <w:t>Un projet de normes concernant l’ensemble des services d’accueil et de soins temporaires aux adultes et aux enfants a été élaboré</w:t>
      </w:r>
      <w:r w:rsidR="007A3F99" w:rsidRPr="00DD03D6">
        <w:rPr>
          <w:noProof/>
          <w:lang w:val="fr-FR"/>
        </w:rPr>
        <w:t xml:space="preserve">. </w:t>
      </w:r>
      <w:r>
        <w:rPr>
          <w:noProof/>
          <w:lang w:val="fr-FR"/>
        </w:rPr>
        <w:t>Il est prévu d’organiser une consultation publique sur ces normes avant de les finaliser</w:t>
      </w:r>
      <w:r w:rsidR="007A3F99" w:rsidRPr="00DD03D6">
        <w:rPr>
          <w:noProof/>
          <w:lang w:val="fr-FR"/>
        </w:rPr>
        <w:t xml:space="preserve">. </w:t>
      </w:r>
      <w:r>
        <w:rPr>
          <w:noProof/>
          <w:lang w:val="fr-FR"/>
        </w:rPr>
        <w:t xml:space="preserve">Le Bureau de l’information sanitaire et de la qualité des services sanitaires a indiqué qu’il envisageait d’engager le processus de contrôle au second semestre de </w:t>
      </w:r>
      <w:r w:rsidR="007A3F99" w:rsidRPr="00DD03D6">
        <w:rPr>
          <w:noProof/>
          <w:lang w:val="fr-FR"/>
        </w:rPr>
        <w:t>2013.</w:t>
      </w:r>
    </w:p>
    <w:p w:rsidR="007A3F99" w:rsidRPr="00DD03D6" w:rsidRDefault="001226D2" w:rsidP="00285E50">
      <w:pPr>
        <w:pStyle w:val="SingleTxtG"/>
        <w:numPr>
          <w:ilvl w:val="0"/>
          <w:numId w:val="3"/>
        </w:numPr>
        <w:ind w:left="1134" w:firstLine="0"/>
        <w:rPr>
          <w:noProof/>
          <w:lang w:val="fr-FR"/>
        </w:rPr>
      </w:pPr>
      <w:r>
        <w:rPr>
          <w:noProof/>
          <w:lang w:val="fr-FR"/>
        </w:rPr>
        <w:t>Le Ministère des t</w:t>
      </w:r>
      <w:r w:rsidR="007A3F99" w:rsidRPr="00DD03D6">
        <w:rPr>
          <w:noProof/>
          <w:lang w:val="fr-FR"/>
        </w:rPr>
        <w:t>ranspor</w:t>
      </w:r>
      <w:r>
        <w:rPr>
          <w:noProof/>
          <w:lang w:val="fr-FR"/>
        </w:rPr>
        <w:t>s</w:t>
      </w:r>
      <w:r w:rsidR="007A3F99" w:rsidRPr="00DD03D6">
        <w:rPr>
          <w:noProof/>
          <w:lang w:val="fr-FR"/>
        </w:rPr>
        <w:t xml:space="preserve">t, </w:t>
      </w:r>
      <w:r>
        <w:rPr>
          <w:noProof/>
          <w:lang w:val="fr-FR"/>
        </w:rPr>
        <w:t>du t</w:t>
      </w:r>
      <w:r w:rsidR="007A3F99" w:rsidRPr="00DD03D6">
        <w:rPr>
          <w:noProof/>
          <w:lang w:val="fr-FR"/>
        </w:rPr>
        <w:t>ourism</w:t>
      </w:r>
      <w:r>
        <w:rPr>
          <w:noProof/>
          <w:lang w:val="fr-FR"/>
        </w:rPr>
        <w:t>e et du</w:t>
      </w:r>
      <w:r w:rsidR="007A3F99" w:rsidRPr="00DD03D6">
        <w:rPr>
          <w:noProof/>
          <w:lang w:val="fr-FR"/>
        </w:rPr>
        <w:t xml:space="preserve"> </w:t>
      </w:r>
      <w:r>
        <w:rPr>
          <w:noProof/>
          <w:lang w:val="fr-FR"/>
        </w:rPr>
        <w:t>s</w:t>
      </w:r>
      <w:r w:rsidR="007A3F99" w:rsidRPr="00DD03D6">
        <w:rPr>
          <w:noProof/>
          <w:lang w:val="fr-FR"/>
        </w:rPr>
        <w:t xml:space="preserve">port </w:t>
      </w:r>
      <w:r w:rsidR="002D6A06">
        <w:rPr>
          <w:noProof/>
          <w:lang w:val="fr-FR"/>
        </w:rPr>
        <w:t xml:space="preserve">s’efforce actuellement d’améliorer les moyens de </w:t>
      </w:r>
      <w:r w:rsidR="007A3F99" w:rsidRPr="00DD03D6">
        <w:rPr>
          <w:noProof/>
          <w:lang w:val="fr-FR"/>
        </w:rPr>
        <w:t xml:space="preserve">transport </w:t>
      </w:r>
      <w:r w:rsidR="002D6A06">
        <w:rPr>
          <w:noProof/>
          <w:lang w:val="fr-FR"/>
        </w:rPr>
        <w:t>à la disposition des personnes atteintes d’un handicap moteur ou sensoriel</w:t>
      </w:r>
      <w:r w:rsidR="007A3F99" w:rsidRPr="00DD03D6">
        <w:rPr>
          <w:noProof/>
          <w:lang w:val="fr-FR"/>
        </w:rPr>
        <w:t xml:space="preserve">. </w:t>
      </w:r>
      <w:r w:rsidR="00643DA5">
        <w:rPr>
          <w:noProof/>
          <w:lang w:val="fr-FR"/>
        </w:rPr>
        <w:t xml:space="preserve">On relève dans les zones </w:t>
      </w:r>
      <w:r w:rsidR="007A3F99" w:rsidRPr="00DD03D6">
        <w:rPr>
          <w:noProof/>
          <w:lang w:val="fr-FR"/>
        </w:rPr>
        <w:t>rural</w:t>
      </w:r>
      <w:r w:rsidR="00643DA5">
        <w:rPr>
          <w:noProof/>
          <w:lang w:val="fr-FR"/>
        </w:rPr>
        <w:t xml:space="preserve">es comme les zones urbaines une augmentation sensible du nombre de </w:t>
      </w:r>
      <w:r w:rsidR="00643DA5" w:rsidRPr="00DD03D6">
        <w:rPr>
          <w:noProof/>
          <w:lang w:val="fr-FR"/>
        </w:rPr>
        <w:t>v</w:t>
      </w:r>
      <w:r w:rsidR="00643DA5">
        <w:rPr>
          <w:noProof/>
          <w:lang w:val="fr-FR"/>
        </w:rPr>
        <w:t>é</w:t>
      </w:r>
      <w:r w:rsidR="00643DA5" w:rsidRPr="00DD03D6">
        <w:rPr>
          <w:noProof/>
          <w:lang w:val="fr-FR"/>
        </w:rPr>
        <w:t>hic</w:t>
      </w:r>
      <w:r w:rsidR="00643DA5">
        <w:rPr>
          <w:noProof/>
          <w:lang w:val="fr-FR"/>
        </w:rPr>
        <w:t>u</w:t>
      </w:r>
      <w:r w:rsidR="00643DA5" w:rsidRPr="00DD03D6">
        <w:rPr>
          <w:noProof/>
          <w:lang w:val="fr-FR"/>
        </w:rPr>
        <w:t xml:space="preserve">les </w:t>
      </w:r>
      <w:r w:rsidR="007A3F99" w:rsidRPr="00DD03D6">
        <w:rPr>
          <w:noProof/>
          <w:lang w:val="fr-FR"/>
        </w:rPr>
        <w:t>accessible</w:t>
      </w:r>
      <w:r w:rsidR="00643DA5">
        <w:rPr>
          <w:noProof/>
          <w:lang w:val="fr-FR"/>
        </w:rPr>
        <w:t>s</w:t>
      </w:r>
      <w:r w:rsidR="007A3F99" w:rsidRPr="00DD03D6">
        <w:rPr>
          <w:noProof/>
          <w:lang w:val="fr-FR"/>
        </w:rPr>
        <w:t xml:space="preserve"> </w:t>
      </w:r>
      <w:r w:rsidR="00643DA5">
        <w:rPr>
          <w:noProof/>
          <w:lang w:val="fr-FR"/>
        </w:rPr>
        <w:t>et une amélioration d’une grande partie de l’infrastructure des transports en commun</w:t>
      </w:r>
      <w:r w:rsidR="007A3F99" w:rsidRPr="00DD03D6">
        <w:rPr>
          <w:noProof/>
          <w:lang w:val="fr-FR"/>
        </w:rPr>
        <w:t xml:space="preserve">. </w:t>
      </w:r>
    </w:p>
    <w:p w:rsidR="007A3F99" w:rsidRPr="00DD03D6" w:rsidRDefault="00B45BCB" w:rsidP="00B45BCB">
      <w:pPr>
        <w:pStyle w:val="H23G"/>
        <w:ind w:firstLine="0"/>
        <w:rPr>
          <w:noProof/>
          <w:lang w:val="fr-FR"/>
        </w:rPr>
      </w:pPr>
      <w:r>
        <w:rPr>
          <w:noProof/>
          <w:lang w:val="fr-FR"/>
        </w:rPr>
        <w:lastRenderedPageBreak/>
        <w:t xml:space="preserve">Santé et services de santé </w:t>
      </w:r>
      <w:r w:rsidR="002A1CB1" w:rsidRPr="00DD03D6">
        <w:rPr>
          <w:noProof/>
          <w:lang w:val="fr-FR"/>
        </w:rPr>
        <w:t>(</w:t>
      </w:r>
      <w:r>
        <w:rPr>
          <w:noProof/>
          <w:lang w:val="fr-FR"/>
        </w:rPr>
        <w:t xml:space="preserve">voir le </w:t>
      </w:r>
      <w:r w:rsidR="002A1CB1" w:rsidRPr="00DD03D6">
        <w:rPr>
          <w:noProof/>
          <w:lang w:val="fr-FR"/>
        </w:rPr>
        <w:t>chap</w:t>
      </w:r>
      <w:r>
        <w:rPr>
          <w:noProof/>
          <w:lang w:val="fr-FR"/>
        </w:rPr>
        <w:t>itre</w:t>
      </w:r>
      <w:r w:rsidR="00520CB9" w:rsidRPr="00DD03D6">
        <w:rPr>
          <w:noProof/>
          <w:lang w:val="fr-FR"/>
        </w:rPr>
        <w:t> </w:t>
      </w:r>
      <w:r w:rsidR="007A3F99" w:rsidRPr="00DD03D6">
        <w:rPr>
          <w:noProof/>
          <w:lang w:val="fr-FR"/>
        </w:rPr>
        <w:t>6)</w:t>
      </w:r>
    </w:p>
    <w:p w:rsidR="007A3F99" w:rsidRPr="009F384C" w:rsidRDefault="00643DA5" w:rsidP="00285E50">
      <w:pPr>
        <w:pStyle w:val="SingleTxtG"/>
        <w:numPr>
          <w:ilvl w:val="0"/>
          <w:numId w:val="3"/>
        </w:numPr>
        <w:ind w:left="1134" w:firstLine="0"/>
        <w:rPr>
          <w:noProof/>
          <w:lang w:val="fr-FR"/>
        </w:rPr>
      </w:pPr>
      <w:r w:rsidRPr="009F384C">
        <w:rPr>
          <w:b/>
          <w:bCs/>
          <w:noProof/>
          <w:lang w:val="fr-FR"/>
        </w:rPr>
        <w:t xml:space="preserve">Le Comité recommande à l’État partie </w:t>
      </w:r>
      <w:r w:rsidR="007A3F99" w:rsidRPr="009F384C">
        <w:rPr>
          <w:b/>
          <w:noProof/>
          <w:lang w:val="fr-FR"/>
        </w:rPr>
        <w:t>:</w:t>
      </w:r>
    </w:p>
    <w:p w:rsidR="007A3F99" w:rsidRPr="009F384C" w:rsidRDefault="007A3F99" w:rsidP="00F843B5">
      <w:pPr>
        <w:pStyle w:val="SingleTxtG"/>
        <w:ind w:firstLine="567"/>
        <w:rPr>
          <w:b/>
          <w:noProof/>
          <w:lang w:val="fr-FR"/>
        </w:rPr>
      </w:pPr>
      <w:r w:rsidRPr="009F384C">
        <w:rPr>
          <w:b/>
          <w:noProof/>
          <w:lang w:val="fr-FR"/>
        </w:rPr>
        <w:t>a)</w:t>
      </w:r>
      <w:r w:rsidRPr="009F384C">
        <w:rPr>
          <w:b/>
          <w:noProof/>
          <w:lang w:val="fr-FR"/>
        </w:rPr>
        <w:tab/>
      </w:r>
      <w:r w:rsidR="00643DA5" w:rsidRPr="009F384C">
        <w:rPr>
          <w:b/>
          <w:bCs/>
          <w:noProof/>
          <w:lang w:val="fr-FR"/>
        </w:rPr>
        <w:t>D’adopter une législation complète pour répondre aux besoins sanitaires des enfants</w:t>
      </w:r>
      <w:r w:rsidRPr="009F384C">
        <w:rPr>
          <w:b/>
          <w:noProof/>
          <w:lang w:val="fr-FR"/>
        </w:rPr>
        <w:t>;</w:t>
      </w:r>
    </w:p>
    <w:p w:rsidR="007A3F99" w:rsidRPr="009F384C" w:rsidRDefault="007A3F99" w:rsidP="00F843B5">
      <w:pPr>
        <w:pStyle w:val="SingleTxtG"/>
        <w:ind w:firstLine="567"/>
        <w:rPr>
          <w:b/>
          <w:noProof/>
          <w:lang w:val="fr-FR"/>
        </w:rPr>
      </w:pPr>
      <w:r w:rsidRPr="009F384C">
        <w:rPr>
          <w:b/>
          <w:noProof/>
          <w:lang w:val="fr-FR"/>
        </w:rPr>
        <w:t>b)</w:t>
      </w:r>
      <w:r w:rsidRPr="009F384C">
        <w:rPr>
          <w:b/>
          <w:noProof/>
          <w:lang w:val="fr-FR"/>
        </w:rPr>
        <w:tab/>
      </w:r>
      <w:r w:rsidR="00643DA5" w:rsidRPr="009F384C">
        <w:rPr>
          <w:b/>
          <w:bCs/>
          <w:noProof/>
          <w:lang w:val="fr-FR"/>
        </w:rPr>
        <w:t>De garantir l’accès aux services médicaux dans tout le pays ainsi que la qualité de ces services, en leur allouant des ressources ciblées et en instaurant des directives officielles sur la qualité</w:t>
      </w:r>
      <w:r w:rsidRPr="009F384C">
        <w:rPr>
          <w:b/>
          <w:noProof/>
          <w:lang w:val="fr-FR"/>
        </w:rPr>
        <w:t>;</w:t>
      </w:r>
    </w:p>
    <w:p w:rsidR="007A3F99" w:rsidRPr="009F384C" w:rsidRDefault="007A3F99" w:rsidP="008E6ED1">
      <w:pPr>
        <w:pStyle w:val="SingleTxtG"/>
        <w:ind w:firstLine="567"/>
        <w:rPr>
          <w:b/>
          <w:noProof/>
          <w:lang w:val="fr-FR"/>
        </w:rPr>
      </w:pPr>
      <w:r w:rsidRPr="009F384C">
        <w:rPr>
          <w:b/>
          <w:noProof/>
          <w:lang w:val="fr-FR"/>
        </w:rPr>
        <w:t>c)</w:t>
      </w:r>
      <w:r w:rsidRPr="009F384C">
        <w:rPr>
          <w:b/>
          <w:noProof/>
          <w:lang w:val="fr-FR"/>
        </w:rPr>
        <w:tab/>
      </w:r>
      <w:r w:rsidR="00643DA5" w:rsidRPr="009F384C">
        <w:rPr>
          <w:b/>
          <w:bCs/>
          <w:noProof/>
          <w:lang w:val="fr-FR"/>
        </w:rPr>
        <w:t xml:space="preserve">De veiller à ce que les ressources destinées aux services médicaux pour enfants déjà existants soient utilisées de manière stratégique et coordonnée, de façon que tous les acteurs concernés − services publics, collectivités et bénévoles − puissent en bénéficier; et </w:t>
      </w:r>
    </w:p>
    <w:p w:rsidR="007A3F99" w:rsidRPr="009F384C" w:rsidRDefault="007A3F99" w:rsidP="008B07B4">
      <w:pPr>
        <w:pStyle w:val="SingleTxtG"/>
        <w:ind w:firstLine="567"/>
        <w:rPr>
          <w:b/>
          <w:noProof/>
          <w:lang w:val="fr-FR"/>
        </w:rPr>
      </w:pPr>
      <w:r w:rsidRPr="009F384C">
        <w:rPr>
          <w:b/>
          <w:noProof/>
          <w:lang w:val="fr-FR"/>
        </w:rPr>
        <w:t>d)</w:t>
      </w:r>
      <w:r w:rsidRPr="009F384C">
        <w:rPr>
          <w:b/>
          <w:noProof/>
          <w:lang w:val="fr-FR"/>
        </w:rPr>
        <w:tab/>
      </w:r>
      <w:r w:rsidR="00643DA5" w:rsidRPr="009F384C">
        <w:rPr>
          <w:b/>
          <w:bCs/>
          <w:noProof/>
          <w:lang w:val="fr-FR"/>
        </w:rPr>
        <w:t>D’accorder une attention particulière aux besoins des enfants réfugiés et demandeurs d’asile et des enfants de la communauté des gens du voyage, notamment en mettant en œuvre la stratégie nationale en faveur de la santé des gens du voyage</w:t>
      </w:r>
      <w:r w:rsidRPr="009F384C">
        <w:rPr>
          <w:b/>
          <w:noProof/>
          <w:lang w:val="fr-FR"/>
        </w:rPr>
        <w:t>.</w:t>
      </w:r>
    </w:p>
    <w:p w:rsidR="007A3F99" w:rsidRPr="009F384C" w:rsidRDefault="009F384C" w:rsidP="008E6ED1">
      <w:pPr>
        <w:pStyle w:val="SingleTxtG"/>
        <w:numPr>
          <w:ilvl w:val="0"/>
          <w:numId w:val="3"/>
        </w:numPr>
        <w:ind w:left="1134" w:firstLine="0"/>
        <w:rPr>
          <w:b/>
          <w:noProof/>
          <w:lang w:val="fr-FR"/>
        </w:rPr>
      </w:pPr>
      <w:r w:rsidRPr="009F384C">
        <w:rPr>
          <w:b/>
          <w:bCs/>
          <w:noProof/>
          <w:lang w:val="fr-FR"/>
        </w:rPr>
        <w:t xml:space="preserve">Le Comité réitère sa recommandation antérieure (CRC/C/15/Add.85, par. 20 et 38) et recommande à l’État partie </w:t>
      </w:r>
      <w:r w:rsidR="007A3F99" w:rsidRPr="009F384C">
        <w:rPr>
          <w:b/>
          <w:noProof/>
          <w:lang w:val="fr-FR"/>
        </w:rPr>
        <w:t>:</w:t>
      </w:r>
    </w:p>
    <w:p w:rsidR="007A3F99" w:rsidRPr="009F384C" w:rsidRDefault="007A3F99" w:rsidP="008E6ED1">
      <w:pPr>
        <w:pStyle w:val="SingleTxtG"/>
        <w:ind w:firstLine="567"/>
        <w:rPr>
          <w:b/>
          <w:noProof/>
          <w:lang w:val="fr-FR"/>
        </w:rPr>
      </w:pPr>
      <w:r w:rsidRPr="009F384C">
        <w:rPr>
          <w:b/>
          <w:noProof/>
          <w:lang w:val="fr-FR"/>
        </w:rPr>
        <w:t>a)</w:t>
      </w:r>
      <w:r w:rsidRPr="009F384C">
        <w:rPr>
          <w:b/>
          <w:noProof/>
          <w:lang w:val="fr-FR"/>
        </w:rPr>
        <w:tab/>
      </w:r>
      <w:r w:rsidR="009F384C" w:rsidRPr="009F384C">
        <w:rPr>
          <w:b/>
          <w:noProof/>
          <w:lang w:val="fr-FR"/>
        </w:rPr>
        <w:t>De t</w:t>
      </w:r>
      <w:r w:rsidR="009F384C" w:rsidRPr="009F384C">
        <w:rPr>
          <w:b/>
          <w:bCs/>
          <w:noProof/>
          <w:lang w:val="fr-FR"/>
        </w:rPr>
        <w:t>irer parti des conclusions du Groupe d’experts sur la santé mentale désigné en 2003 par le Secrétaire d’État auprès du Ministère de la santé, et donner suite à ses recommandations;</w:t>
      </w:r>
    </w:p>
    <w:p w:rsidR="007A3F99" w:rsidRPr="009F384C" w:rsidRDefault="007A3F99" w:rsidP="00F843B5">
      <w:pPr>
        <w:pStyle w:val="SingleTxtG"/>
        <w:ind w:firstLine="567"/>
        <w:rPr>
          <w:b/>
          <w:noProof/>
          <w:lang w:val="fr-FR"/>
        </w:rPr>
      </w:pPr>
      <w:r w:rsidRPr="009F384C">
        <w:rPr>
          <w:b/>
          <w:noProof/>
          <w:lang w:val="fr-FR"/>
        </w:rPr>
        <w:t>b)</w:t>
      </w:r>
      <w:r w:rsidRPr="009F384C">
        <w:rPr>
          <w:b/>
          <w:noProof/>
          <w:lang w:val="fr-FR"/>
        </w:rPr>
        <w:tab/>
      </w:r>
      <w:r w:rsidR="009F384C" w:rsidRPr="009F384C">
        <w:rPr>
          <w:b/>
          <w:noProof/>
          <w:lang w:val="fr-FR"/>
        </w:rPr>
        <w:t>De m</w:t>
      </w:r>
      <w:r w:rsidR="009F384C" w:rsidRPr="009F384C">
        <w:rPr>
          <w:b/>
          <w:bCs/>
          <w:noProof/>
          <w:lang w:val="fr-FR"/>
        </w:rPr>
        <w:t>ener des campagnes d’information et de sensibilisation pour prévenir la stigmatisation, et de privilégier les programmes d’intervention précoce; et</w:t>
      </w:r>
      <w:r w:rsidR="009F384C" w:rsidRPr="009F384C">
        <w:rPr>
          <w:b/>
          <w:noProof/>
          <w:lang w:val="fr-FR"/>
        </w:rPr>
        <w:t xml:space="preserve"> </w:t>
      </w:r>
    </w:p>
    <w:p w:rsidR="007A3F99" w:rsidRPr="00DD03D6" w:rsidRDefault="007A3F99" w:rsidP="00F843B5">
      <w:pPr>
        <w:pStyle w:val="SingleTxtG"/>
        <w:ind w:firstLine="567"/>
        <w:rPr>
          <w:b/>
          <w:noProof/>
          <w:lang w:val="fr-FR"/>
        </w:rPr>
      </w:pPr>
      <w:r w:rsidRPr="009F384C">
        <w:rPr>
          <w:b/>
          <w:noProof/>
          <w:lang w:val="fr-FR"/>
        </w:rPr>
        <w:t>c)</w:t>
      </w:r>
      <w:r w:rsidRPr="009F384C">
        <w:rPr>
          <w:b/>
          <w:noProof/>
          <w:lang w:val="fr-FR"/>
        </w:rPr>
        <w:tab/>
      </w:r>
      <w:r w:rsidR="009F384C" w:rsidRPr="009F384C">
        <w:rPr>
          <w:b/>
          <w:noProof/>
          <w:lang w:val="fr-FR"/>
        </w:rPr>
        <w:t xml:space="preserve">De </w:t>
      </w:r>
      <w:r w:rsidR="009F384C" w:rsidRPr="009F384C">
        <w:rPr>
          <w:b/>
          <w:bCs/>
          <w:noProof/>
          <w:lang w:val="fr-FR"/>
        </w:rPr>
        <w:t>redoubler d’efforts pour que les enfants qui souffrent de problèmes psychologiques aient accès à des services spécialemen</w:t>
      </w:r>
      <w:r w:rsidR="00A4218F">
        <w:rPr>
          <w:b/>
          <w:bCs/>
          <w:noProof/>
          <w:lang w:val="fr-FR"/>
        </w:rPr>
        <w:t>t conçus pour les mineurs de 18 </w:t>
      </w:r>
      <w:r w:rsidR="009F384C" w:rsidRPr="009F384C">
        <w:rPr>
          <w:b/>
          <w:bCs/>
          <w:noProof/>
          <w:lang w:val="fr-FR"/>
        </w:rPr>
        <w:t>ans</w:t>
      </w:r>
      <w:r w:rsidRPr="009F384C">
        <w:rPr>
          <w:b/>
          <w:noProof/>
          <w:lang w:val="fr-FR"/>
        </w:rPr>
        <w:t>.</w:t>
      </w:r>
    </w:p>
    <w:p w:rsidR="007A3F99" w:rsidRPr="00DD03D6" w:rsidRDefault="009F384C" w:rsidP="00285E50">
      <w:pPr>
        <w:pStyle w:val="SingleTxtG"/>
        <w:numPr>
          <w:ilvl w:val="0"/>
          <w:numId w:val="3"/>
        </w:numPr>
        <w:ind w:left="1134" w:firstLine="0"/>
        <w:rPr>
          <w:b/>
          <w:bCs/>
          <w:noProof/>
          <w:u w:val="single"/>
          <w:lang w:val="fr-FR"/>
        </w:rPr>
      </w:pPr>
      <w:r>
        <w:rPr>
          <w:noProof/>
          <w:lang w:val="fr-FR"/>
        </w:rPr>
        <w:t>La Stratégie relative aux soins de santé primaires</w:t>
      </w:r>
      <w:r w:rsidR="007A3F99" w:rsidRPr="00DD03D6">
        <w:rPr>
          <w:noProof/>
          <w:lang w:val="fr-FR"/>
        </w:rPr>
        <w:t xml:space="preserve">, </w:t>
      </w:r>
      <w:r w:rsidR="007A3F99" w:rsidRPr="00DD03D6">
        <w:rPr>
          <w:i/>
          <w:iCs/>
          <w:noProof/>
          <w:lang w:val="fr-FR"/>
        </w:rPr>
        <w:t>Qualit</w:t>
      </w:r>
      <w:r>
        <w:rPr>
          <w:i/>
          <w:iCs/>
          <w:noProof/>
          <w:lang w:val="fr-FR"/>
        </w:rPr>
        <w:t xml:space="preserve">é et équité </w:t>
      </w:r>
      <w:r w:rsidR="007A3F99" w:rsidRPr="00DD03D6">
        <w:rPr>
          <w:noProof/>
          <w:lang w:val="fr-FR"/>
        </w:rPr>
        <w:t>(</w:t>
      </w:r>
      <w:r>
        <w:rPr>
          <w:noProof/>
          <w:lang w:val="fr-FR"/>
        </w:rPr>
        <w:t>Ministère de la santé et de l’enfance</w:t>
      </w:r>
      <w:r w:rsidR="007A3F99" w:rsidRPr="00DD03D6">
        <w:rPr>
          <w:noProof/>
          <w:lang w:val="fr-FR"/>
        </w:rPr>
        <w:t xml:space="preserve">, 2001b), </w:t>
      </w:r>
      <w:r>
        <w:rPr>
          <w:noProof/>
          <w:lang w:val="fr-FR"/>
        </w:rPr>
        <w:t xml:space="preserve">a pour principal objectif de </w:t>
      </w:r>
      <w:r w:rsidR="0076277B">
        <w:rPr>
          <w:noProof/>
          <w:lang w:val="fr-FR"/>
        </w:rPr>
        <w:t xml:space="preserve">mettre en place au sein de la collectivité des </w:t>
      </w:r>
      <w:r w:rsidR="007A3F99" w:rsidRPr="00DD03D6">
        <w:rPr>
          <w:noProof/>
          <w:lang w:val="fr-FR"/>
        </w:rPr>
        <w:t xml:space="preserve">services </w:t>
      </w:r>
      <w:r w:rsidR="0076277B">
        <w:rPr>
          <w:noProof/>
          <w:lang w:val="fr-FR"/>
        </w:rPr>
        <w:t>qui permettent aux particuliers d’avoir directement accès à des équipes pluridisciplinaires intégrées d’omnipraticiens, de personnel infirmier, de physiothé</w:t>
      </w:r>
      <w:r w:rsidR="007A3F99" w:rsidRPr="00DD03D6">
        <w:rPr>
          <w:noProof/>
          <w:lang w:val="fr-FR"/>
        </w:rPr>
        <w:t>rap</w:t>
      </w:r>
      <w:r w:rsidR="0076277B">
        <w:rPr>
          <w:noProof/>
          <w:lang w:val="fr-FR"/>
        </w:rPr>
        <w:t>eutes</w:t>
      </w:r>
      <w:r w:rsidR="007A3F99" w:rsidRPr="00DD03D6">
        <w:rPr>
          <w:noProof/>
          <w:lang w:val="fr-FR"/>
        </w:rPr>
        <w:t xml:space="preserve">, </w:t>
      </w:r>
      <w:r w:rsidR="0076277B">
        <w:rPr>
          <w:noProof/>
          <w:lang w:val="fr-FR"/>
        </w:rPr>
        <w:t xml:space="preserve">d’ergothérapeutes et d’autres </w:t>
      </w:r>
      <w:r w:rsidR="00B1784A">
        <w:rPr>
          <w:noProof/>
          <w:lang w:val="fr-FR"/>
        </w:rPr>
        <w:t>professionnels de la santé</w:t>
      </w:r>
      <w:r w:rsidR="007A3F99" w:rsidRPr="00DD03D6">
        <w:rPr>
          <w:noProof/>
          <w:lang w:val="fr-FR"/>
        </w:rPr>
        <w:t xml:space="preserve">. </w:t>
      </w:r>
      <w:r w:rsidR="00B1784A">
        <w:rPr>
          <w:noProof/>
          <w:lang w:val="fr-FR"/>
        </w:rPr>
        <w:t>Des services supplémentaires, notamment d’orthophonie</w:t>
      </w:r>
      <w:r w:rsidR="007A3F99" w:rsidRPr="00DD03D6">
        <w:rPr>
          <w:noProof/>
          <w:lang w:val="fr-FR"/>
        </w:rPr>
        <w:t xml:space="preserve">, </w:t>
      </w:r>
      <w:r w:rsidR="00B1784A">
        <w:rPr>
          <w:noProof/>
          <w:lang w:val="fr-FR"/>
        </w:rPr>
        <w:t xml:space="preserve">peuvent être assurés </w:t>
      </w:r>
      <w:r w:rsidR="00E353EA">
        <w:rPr>
          <w:noProof/>
          <w:lang w:val="fr-FR"/>
        </w:rPr>
        <w:t>sur la base de vacations</w:t>
      </w:r>
      <w:r w:rsidR="007A3F99" w:rsidRPr="00DD03D6">
        <w:rPr>
          <w:noProof/>
          <w:lang w:val="fr-FR"/>
        </w:rPr>
        <w:t>.</w:t>
      </w:r>
    </w:p>
    <w:p w:rsidR="007A3F99" w:rsidRPr="00DD03D6" w:rsidRDefault="00860564" w:rsidP="00CE36B2">
      <w:pPr>
        <w:pStyle w:val="SingleTxtG"/>
        <w:numPr>
          <w:ilvl w:val="0"/>
          <w:numId w:val="3"/>
        </w:numPr>
        <w:ind w:left="1134" w:firstLine="0"/>
        <w:rPr>
          <w:noProof/>
          <w:lang w:val="fr-FR"/>
        </w:rPr>
      </w:pPr>
      <w:r>
        <w:rPr>
          <w:noProof/>
          <w:lang w:val="fr-FR"/>
        </w:rPr>
        <w:t>L’application de la stratégie susvisée se poursuit et ce processus devrait prendre quelques années</w:t>
      </w:r>
      <w:r w:rsidR="007A3F99" w:rsidRPr="00DD03D6">
        <w:rPr>
          <w:noProof/>
          <w:lang w:val="fr-FR"/>
        </w:rPr>
        <w:t xml:space="preserve">. </w:t>
      </w:r>
      <w:r>
        <w:rPr>
          <w:noProof/>
          <w:lang w:val="fr-FR"/>
        </w:rPr>
        <w:t>Le développement continu des équipes de soins de santé primaires et la prestation par les omnipraticiens de services en dehors des horaires habituels de travail</w:t>
      </w:r>
      <w:r w:rsidRPr="00DD03D6">
        <w:rPr>
          <w:noProof/>
          <w:lang w:val="fr-FR"/>
        </w:rPr>
        <w:t xml:space="preserve"> </w:t>
      </w:r>
      <w:r>
        <w:rPr>
          <w:noProof/>
          <w:lang w:val="fr-FR"/>
        </w:rPr>
        <w:t>sont indispensables pour faciliter aux particuliers l’accès à des soins à proximité de leur domicile</w:t>
      </w:r>
      <w:r w:rsidR="007A3F99" w:rsidRPr="00DD03D6">
        <w:rPr>
          <w:noProof/>
          <w:lang w:val="fr-FR"/>
        </w:rPr>
        <w:t>.</w:t>
      </w:r>
    </w:p>
    <w:p w:rsidR="00A4218F" w:rsidRDefault="00946D68" w:rsidP="00285E50">
      <w:pPr>
        <w:pStyle w:val="SingleTxtG"/>
        <w:numPr>
          <w:ilvl w:val="0"/>
          <w:numId w:val="3"/>
        </w:numPr>
        <w:ind w:left="1134" w:firstLine="0"/>
        <w:rPr>
          <w:noProof/>
          <w:lang w:val="fr-FR"/>
        </w:rPr>
      </w:pPr>
      <w:r w:rsidRPr="00946D68">
        <w:rPr>
          <w:noProof/>
          <w:color w:val="000000"/>
          <w:lang w:val="fr-FR"/>
        </w:rPr>
        <w:t xml:space="preserve">Le Gouvernement a lancé un vaste programme de réformes dont l’objectif est d’offrir un service de santé à un seul niveau </w:t>
      </w:r>
      <w:r>
        <w:rPr>
          <w:noProof/>
          <w:color w:val="000000"/>
          <w:lang w:val="fr-FR"/>
        </w:rPr>
        <w:t>qui s’appuiera sur l’assurance maladie universelle et dans le cadre duquel l’</w:t>
      </w:r>
      <w:r w:rsidRPr="00946D68">
        <w:rPr>
          <w:noProof/>
          <w:color w:val="000000"/>
          <w:lang w:val="fr-FR"/>
        </w:rPr>
        <w:t xml:space="preserve">accès aux soins </w:t>
      </w:r>
      <w:r>
        <w:rPr>
          <w:noProof/>
          <w:color w:val="000000"/>
          <w:lang w:val="fr-FR"/>
        </w:rPr>
        <w:t xml:space="preserve">sera déterminé </w:t>
      </w:r>
      <w:r w:rsidRPr="00946D68">
        <w:rPr>
          <w:noProof/>
          <w:color w:val="000000"/>
          <w:lang w:val="fr-FR"/>
        </w:rPr>
        <w:t>en fonction des besoins</w:t>
      </w:r>
      <w:r w:rsidR="007A3F99" w:rsidRPr="00DD03D6">
        <w:rPr>
          <w:noProof/>
          <w:lang w:val="fr-FR"/>
        </w:rPr>
        <w:t xml:space="preserve">. </w:t>
      </w:r>
      <w:r>
        <w:rPr>
          <w:noProof/>
          <w:lang w:val="fr-FR"/>
        </w:rPr>
        <w:t>Tout citoyen pourra choisir entre plusieurs assureurs et aura accès à une gamme complète de services curatifs</w:t>
      </w:r>
      <w:r w:rsidR="007A3F99" w:rsidRPr="00DD03D6">
        <w:rPr>
          <w:noProof/>
          <w:lang w:val="fr-FR"/>
        </w:rPr>
        <w:t xml:space="preserve">. </w:t>
      </w:r>
      <w:r>
        <w:rPr>
          <w:noProof/>
          <w:lang w:val="fr-FR"/>
        </w:rPr>
        <w:t xml:space="preserve">Ce </w:t>
      </w:r>
      <w:r w:rsidR="007A3F99" w:rsidRPr="00DD03D6">
        <w:rPr>
          <w:noProof/>
          <w:lang w:val="fr-FR"/>
        </w:rPr>
        <w:t xml:space="preserve">programme </w:t>
      </w:r>
      <w:r>
        <w:rPr>
          <w:noProof/>
          <w:lang w:val="fr-FR"/>
        </w:rPr>
        <w:t xml:space="preserve">repose sur le renforcement des services de soins de santé primaires, </w:t>
      </w:r>
      <w:r w:rsidR="00A6075B">
        <w:rPr>
          <w:noProof/>
          <w:lang w:val="fr-FR"/>
        </w:rPr>
        <w:t>et notamment sur l’élimination de l’obstacle à l’accès aux soins représenté par leur coût.</w:t>
      </w:r>
    </w:p>
    <w:p w:rsidR="007A3F99" w:rsidRPr="00DD03D6" w:rsidRDefault="00A6075B" w:rsidP="00285E50">
      <w:pPr>
        <w:pStyle w:val="SingleTxtG"/>
        <w:numPr>
          <w:ilvl w:val="0"/>
          <w:numId w:val="3"/>
        </w:numPr>
        <w:ind w:left="1134" w:firstLine="0"/>
        <w:rPr>
          <w:noProof/>
          <w:lang w:val="fr-FR"/>
        </w:rPr>
      </w:pPr>
      <w:r>
        <w:rPr>
          <w:noProof/>
          <w:lang w:val="fr-FR"/>
        </w:rPr>
        <w:t xml:space="preserve">Les normes nationales concernant l’amélioration de l’innocuité des soins de santé élaborées par le Bureau de l’information sanitaire et de la qualité des services sanitaires </w:t>
      </w:r>
      <w:r w:rsidR="007A3F99" w:rsidRPr="00DD03D6">
        <w:rPr>
          <w:noProof/>
          <w:lang w:val="fr-FR"/>
        </w:rPr>
        <w:t xml:space="preserve">(2012b) </w:t>
      </w:r>
      <w:r>
        <w:rPr>
          <w:noProof/>
          <w:lang w:val="fr-FR"/>
        </w:rPr>
        <w:t xml:space="preserve">ont été présentées par le Ministre de la santé en juin </w:t>
      </w:r>
      <w:r w:rsidR="007A3F99" w:rsidRPr="00DD03D6">
        <w:rPr>
          <w:noProof/>
          <w:lang w:val="fr-FR"/>
        </w:rPr>
        <w:t xml:space="preserve">2012. </w:t>
      </w:r>
    </w:p>
    <w:p w:rsidR="007A3F99" w:rsidRPr="00DD03D6" w:rsidRDefault="00A6075B" w:rsidP="00EA0007">
      <w:pPr>
        <w:pStyle w:val="SingleTxtG"/>
        <w:numPr>
          <w:ilvl w:val="0"/>
          <w:numId w:val="3"/>
        </w:numPr>
        <w:ind w:left="1134" w:firstLine="0"/>
        <w:rPr>
          <w:noProof/>
          <w:lang w:val="fr-FR"/>
        </w:rPr>
      </w:pPr>
      <w:r>
        <w:rPr>
          <w:noProof/>
          <w:lang w:val="fr-FR"/>
        </w:rPr>
        <w:lastRenderedPageBreak/>
        <w:t>La Stratégie nationale interculturelle en matière de santé</w:t>
      </w:r>
      <w:r w:rsidR="007A3F99" w:rsidRPr="00DD03D6">
        <w:rPr>
          <w:noProof/>
          <w:lang w:val="fr-FR"/>
        </w:rPr>
        <w:t>, 2007-2012 (</w:t>
      </w:r>
      <w:r>
        <w:rPr>
          <w:noProof/>
          <w:lang w:val="fr-FR"/>
        </w:rPr>
        <w:t>Direction des services de santé</w:t>
      </w:r>
      <w:r w:rsidR="007A3F99" w:rsidRPr="00DD03D6">
        <w:rPr>
          <w:noProof/>
          <w:lang w:val="fr-FR"/>
        </w:rPr>
        <w:t xml:space="preserve">, 2008a) </w:t>
      </w:r>
      <w:r>
        <w:rPr>
          <w:noProof/>
          <w:lang w:val="fr-FR"/>
        </w:rPr>
        <w:t>considère la communauté des gens du voy</w:t>
      </w:r>
      <w:r w:rsidR="007A3F99" w:rsidRPr="00DD03D6">
        <w:rPr>
          <w:noProof/>
          <w:lang w:val="fr-FR"/>
        </w:rPr>
        <w:t>a</w:t>
      </w:r>
      <w:r>
        <w:rPr>
          <w:noProof/>
          <w:lang w:val="fr-FR"/>
        </w:rPr>
        <w:t>ge comme un groupe exposé à un risque sanitaire plus élevé, ce qui est en particulier le cas des enfants appartenant à cette communauté</w:t>
      </w:r>
      <w:r w:rsidR="007A3F99" w:rsidRPr="00DD03D6">
        <w:rPr>
          <w:noProof/>
          <w:lang w:val="fr-FR"/>
        </w:rPr>
        <w:t xml:space="preserve">. </w:t>
      </w:r>
      <w:r w:rsidRPr="00A6075B">
        <w:rPr>
          <w:noProof/>
          <w:color w:val="000000"/>
          <w:lang w:val="fr-FR"/>
        </w:rPr>
        <w:t>L’étude sur la santé des gens du voyage en Irlande</w:t>
      </w:r>
      <w:r w:rsidRPr="00487473">
        <w:rPr>
          <w:color w:val="000000"/>
          <w:lang w:val="fr-CH"/>
        </w:rPr>
        <w:t xml:space="preserve"> (</w:t>
      </w:r>
      <w:bookmarkStart w:id="6" w:name="hit3"/>
      <w:bookmarkEnd w:id="6"/>
      <w:r w:rsidR="007A3F99" w:rsidRPr="00DD03D6">
        <w:rPr>
          <w:noProof/>
          <w:lang w:val="fr-FR"/>
        </w:rPr>
        <w:t>All-Ireland Traveller Health Study</w:t>
      </w:r>
      <w:r>
        <w:rPr>
          <w:noProof/>
          <w:lang w:val="fr-FR"/>
        </w:rPr>
        <w:t>)</w:t>
      </w:r>
      <w:r w:rsidR="007A3F99" w:rsidRPr="00DD03D6">
        <w:rPr>
          <w:noProof/>
          <w:lang w:val="fr-FR"/>
        </w:rPr>
        <w:t xml:space="preserve"> </w:t>
      </w:r>
      <w:r>
        <w:rPr>
          <w:noProof/>
          <w:lang w:val="fr-FR"/>
        </w:rPr>
        <w:t xml:space="preserve">a été achevée en </w:t>
      </w:r>
      <w:r w:rsidR="007A3F99" w:rsidRPr="00DD03D6">
        <w:rPr>
          <w:noProof/>
          <w:lang w:val="fr-FR"/>
        </w:rPr>
        <w:t>2010 (</w:t>
      </w:r>
      <w:r>
        <w:rPr>
          <w:noProof/>
          <w:lang w:val="fr-FR"/>
        </w:rPr>
        <w:t xml:space="preserve">voir les </w:t>
      </w:r>
      <w:r w:rsidR="00CE36B2" w:rsidRPr="00DD03D6">
        <w:rPr>
          <w:noProof/>
          <w:lang w:val="fr-FR"/>
        </w:rPr>
        <w:t>p</w:t>
      </w:r>
      <w:r w:rsidR="00796A7C" w:rsidRPr="00DD03D6">
        <w:rPr>
          <w:noProof/>
          <w:lang w:val="fr-FR"/>
        </w:rPr>
        <w:t>ar</w:t>
      </w:r>
      <w:r w:rsidR="0022664C">
        <w:rPr>
          <w:noProof/>
          <w:lang w:val="fr-FR"/>
        </w:rPr>
        <w:t>agraphes</w:t>
      </w:r>
      <w:r w:rsidR="00796A7C" w:rsidRPr="00DD03D6">
        <w:rPr>
          <w:noProof/>
          <w:lang w:val="fr-FR"/>
        </w:rPr>
        <w:t> </w:t>
      </w:r>
      <w:r w:rsidR="00EA0007" w:rsidRPr="00DD03D6">
        <w:rPr>
          <w:noProof/>
          <w:lang w:val="fr-FR"/>
        </w:rPr>
        <w:t>466</w:t>
      </w:r>
      <w:r>
        <w:rPr>
          <w:noProof/>
          <w:lang w:val="fr-FR"/>
        </w:rPr>
        <w:t xml:space="preserve"> à </w:t>
      </w:r>
      <w:r w:rsidR="00EA0007" w:rsidRPr="00DD03D6">
        <w:rPr>
          <w:noProof/>
          <w:lang w:val="fr-FR"/>
        </w:rPr>
        <w:t>469</w:t>
      </w:r>
      <w:r w:rsidR="007A3F99" w:rsidRPr="00DD03D6">
        <w:rPr>
          <w:noProof/>
          <w:lang w:val="fr-FR"/>
        </w:rPr>
        <w:t>).</w:t>
      </w:r>
    </w:p>
    <w:p w:rsidR="00283ED9" w:rsidRPr="00DD03D6" w:rsidRDefault="00C4665B" w:rsidP="00912C16">
      <w:pPr>
        <w:pStyle w:val="SingleTxtG"/>
        <w:numPr>
          <w:ilvl w:val="0"/>
          <w:numId w:val="3"/>
        </w:numPr>
        <w:ind w:left="1134" w:firstLine="0"/>
        <w:rPr>
          <w:noProof/>
          <w:lang w:val="fr-FR"/>
        </w:rPr>
      </w:pPr>
      <w:r>
        <w:rPr>
          <w:noProof/>
          <w:lang w:val="fr-FR"/>
        </w:rPr>
        <w:t>Un certain nombre de faits marquants sont à signaler en ce qui concerne les Services de santé mentale dispensés aux enfants et aux a</w:t>
      </w:r>
      <w:r w:rsidR="00283ED9" w:rsidRPr="00DD03D6">
        <w:rPr>
          <w:noProof/>
          <w:lang w:val="fr-FR"/>
        </w:rPr>
        <w:t>dolescent</w:t>
      </w:r>
      <w:r>
        <w:rPr>
          <w:noProof/>
          <w:lang w:val="fr-FR"/>
        </w:rPr>
        <w:t>s</w:t>
      </w:r>
      <w:r w:rsidR="00283ED9" w:rsidRPr="00DD03D6">
        <w:rPr>
          <w:noProof/>
          <w:lang w:val="fr-FR"/>
        </w:rPr>
        <w:t xml:space="preserve">. </w:t>
      </w:r>
      <w:r w:rsidR="000A6D3A">
        <w:rPr>
          <w:noProof/>
          <w:lang w:val="fr-FR"/>
        </w:rPr>
        <w:t xml:space="preserve">On compte désormais </w:t>
      </w:r>
      <w:r w:rsidR="00BF4627">
        <w:rPr>
          <w:noProof/>
          <w:lang w:val="fr-FR"/>
        </w:rPr>
        <w:t>61 </w:t>
      </w:r>
      <w:r w:rsidR="000A6D3A">
        <w:rPr>
          <w:noProof/>
          <w:lang w:val="fr-FR"/>
        </w:rPr>
        <w:t>équipes pluridisciplinaires dans l’ensemble du pays</w:t>
      </w:r>
      <w:r w:rsidR="00283ED9" w:rsidRPr="00DD03D6">
        <w:rPr>
          <w:noProof/>
          <w:lang w:val="fr-FR"/>
        </w:rPr>
        <w:t xml:space="preserve">, </w:t>
      </w:r>
      <w:r w:rsidR="000A6D3A">
        <w:rPr>
          <w:noProof/>
          <w:lang w:val="fr-FR"/>
        </w:rPr>
        <w:t>la capacité d’accueil des enfants et adol</w:t>
      </w:r>
      <w:r w:rsidR="002527D3">
        <w:rPr>
          <w:noProof/>
          <w:lang w:val="fr-FR"/>
        </w:rPr>
        <w:t>es</w:t>
      </w:r>
      <w:r w:rsidR="000A6D3A">
        <w:rPr>
          <w:noProof/>
          <w:lang w:val="fr-FR"/>
        </w:rPr>
        <w:t xml:space="preserve">cents dans les établissements psychiatriques a presque quadruplé depuis 2007 et un nouvel </w:t>
      </w:r>
      <w:r w:rsidR="002527D3">
        <w:rPr>
          <w:noProof/>
          <w:lang w:val="fr-FR"/>
        </w:rPr>
        <w:t xml:space="preserve">hôpital de jour pour enfants et </w:t>
      </w:r>
      <w:r w:rsidR="00283ED9" w:rsidRPr="00DD03D6">
        <w:rPr>
          <w:noProof/>
          <w:lang w:val="fr-FR"/>
        </w:rPr>
        <w:t>adolescent</w:t>
      </w:r>
      <w:r w:rsidR="002527D3">
        <w:rPr>
          <w:noProof/>
          <w:lang w:val="fr-FR"/>
        </w:rPr>
        <w:t>s</w:t>
      </w:r>
      <w:r w:rsidR="00283ED9" w:rsidRPr="00DD03D6">
        <w:rPr>
          <w:noProof/>
          <w:lang w:val="fr-FR"/>
        </w:rPr>
        <w:t xml:space="preserve"> </w:t>
      </w:r>
      <w:r w:rsidR="002527D3">
        <w:rPr>
          <w:noProof/>
          <w:lang w:val="fr-FR"/>
        </w:rPr>
        <w:t xml:space="preserve">doit ouvrir ses portes à </w:t>
      </w:r>
      <w:r w:rsidR="00283ED9" w:rsidRPr="00DD03D6">
        <w:rPr>
          <w:noProof/>
          <w:lang w:val="fr-FR"/>
        </w:rPr>
        <w:t xml:space="preserve">Dublin. </w:t>
      </w:r>
      <w:r w:rsidR="00141524">
        <w:rPr>
          <w:noProof/>
          <w:lang w:val="fr-FR"/>
        </w:rPr>
        <w:t xml:space="preserve">Il est prévu de construire </w:t>
      </w:r>
      <w:r w:rsidR="00AE23C3">
        <w:rPr>
          <w:noProof/>
          <w:lang w:val="fr-FR"/>
        </w:rPr>
        <w:t>à Dublin un service hospitalier de 22 lits et de créer</w:t>
      </w:r>
      <w:r w:rsidR="00A95818">
        <w:rPr>
          <w:noProof/>
          <w:lang w:val="fr-FR"/>
        </w:rPr>
        <w:t xml:space="preserve"> un </w:t>
      </w:r>
      <w:r w:rsidR="00A95818">
        <w:rPr>
          <w:lang w:val="fr-CH"/>
        </w:rPr>
        <w:t>service d’analyse scientifique des pathologies mentales de l’enfant et de l’adolescent,</w:t>
      </w:r>
      <w:r w:rsidR="00A95818">
        <w:rPr>
          <w:noProof/>
          <w:lang w:val="fr-FR"/>
        </w:rPr>
        <w:t xml:space="preserve"> qui comprendra 10 lits, dans le cadre du projet n</w:t>
      </w:r>
      <w:r w:rsidR="00283ED9" w:rsidRPr="00DD03D6">
        <w:rPr>
          <w:noProof/>
          <w:lang w:val="fr-FR"/>
        </w:rPr>
        <w:t xml:space="preserve">ational </w:t>
      </w:r>
      <w:r w:rsidR="00A95818">
        <w:rPr>
          <w:lang w:val="fr-CH"/>
        </w:rPr>
        <w:t>d’analyse scientifique des pathologies mentales</w:t>
      </w:r>
      <w:r w:rsidR="00283ED9" w:rsidRPr="00DD03D6">
        <w:rPr>
          <w:noProof/>
          <w:lang w:val="fr-FR"/>
        </w:rPr>
        <w:t xml:space="preserve">. </w:t>
      </w:r>
      <w:r w:rsidR="00A95818">
        <w:rPr>
          <w:noProof/>
          <w:lang w:val="fr-FR"/>
        </w:rPr>
        <w:t xml:space="preserve">En 2012, un montant supplémentaire de </w:t>
      </w:r>
      <w:r w:rsidR="00283ED9" w:rsidRPr="00DD03D6">
        <w:rPr>
          <w:noProof/>
          <w:lang w:val="fr-FR"/>
        </w:rPr>
        <w:t>35 million</w:t>
      </w:r>
      <w:r w:rsidR="00A95818">
        <w:rPr>
          <w:noProof/>
          <w:lang w:val="fr-FR"/>
        </w:rPr>
        <w:t xml:space="preserve">s d’euros a été inscrit au budget au titre des services de santé mentale, conformément aux engagements pris </w:t>
      </w:r>
      <w:r w:rsidR="00D928A8">
        <w:rPr>
          <w:noProof/>
          <w:lang w:val="fr-FR"/>
        </w:rPr>
        <w:t xml:space="preserve">par le Gouvernement </w:t>
      </w:r>
      <w:r w:rsidR="00A95818">
        <w:rPr>
          <w:noProof/>
          <w:lang w:val="fr-FR"/>
        </w:rPr>
        <w:t xml:space="preserve">dans </w:t>
      </w:r>
      <w:r w:rsidR="00D928A8">
        <w:rPr>
          <w:noProof/>
          <w:lang w:val="fr-FR"/>
        </w:rPr>
        <w:t xml:space="preserve">son </w:t>
      </w:r>
      <w:r w:rsidR="00433EB8" w:rsidRPr="00DD03D6">
        <w:rPr>
          <w:noProof/>
          <w:lang w:val="fr-FR"/>
        </w:rPr>
        <w:t xml:space="preserve">Programme </w:t>
      </w:r>
      <w:r w:rsidR="00D928A8">
        <w:rPr>
          <w:noProof/>
          <w:lang w:val="fr-FR"/>
        </w:rPr>
        <w:t xml:space="preserve">pour </w:t>
      </w:r>
      <w:r w:rsidR="00283ED9" w:rsidRPr="00DD03D6">
        <w:rPr>
          <w:noProof/>
          <w:lang w:val="fr-FR"/>
        </w:rPr>
        <w:t>2011-2016 (</w:t>
      </w:r>
      <w:r w:rsidR="003544AF">
        <w:rPr>
          <w:noProof/>
          <w:lang w:val="fr-FR"/>
        </w:rPr>
        <w:t xml:space="preserve">Cabinet du </w:t>
      </w:r>
      <w:r w:rsidR="00283ED9" w:rsidRPr="00DD03D6">
        <w:rPr>
          <w:noProof/>
          <w:lang w:val="fr-FR"/>
        </w:rPr>
        <w:t>Taoiseach, 2011).</w:t>
      </w:r>
    </w:p>
    <w:p w:rsidR="00283ED9" w:rsidRPr="00DD03D6" w:rsidRDefault="009D2B80" w:rsidP="009D2B80">
      <w:pPr>
        <w:pStyle w:val="H23G"/>
        <w:ind w:firstLine="0"/>
        <w:rPr>
          <w:noProof/>
          <w:lang w:val="fr-FR"/>
        </w:rPr>
      </w:pPr>
      <w:r>
        <w:rPr>
          <w:noProof/>
          <w:lang w:val="fr-FR"/>
        </w:rPr>
        <w:t>Santé des a</w:t>
      </w:r>
      <w:r w:rsidR="00283ED9" w:rsidRPr="00DD03D6">
        <w:rPr>
          <w:noProof/>
          <w:lang w:val="fr-FR"/>
        </w:rPr>
        <w:t>dolescent</w:t>
      </w:r>
      <w:r>
        <w:rPr>
          <w:noProof/>
          <w:lang w:val="fr-FR"/>
        </w:rPr>
        <w:t>s</w:t>
      </w:r>
      <w:r w:rsidR="00283ED9" w:rsidRPr="00DD03D6">
        <w:rPr>
          <w:noProof/>
          <w:lang w:val="fr-FR"/>
        </w:rPr>
        <w:t xml:space="preserve"> </w:t>
      </w:r>
      <w:r w:rsidR="002A1CB1" w:rsidRPr="00DD03D6">
        <w:rPr>
          <w:noProof/>
          <w:lang w:val="fr-FR"/>
        </w:rPr>
        <w:t>(</w:t>
      </w:r>
      <w:r>
        <w:rPr>
          <w:noProof/>
          <w:lang w:val="fr-FR"/>
        </w:rPr>
        <w:t xml:space="preserve">voir le </w:t>
      </w:r>
      <w:r w:rsidR="002A1CB1" w:rsidRPr="00DD03D6">
        <w:rPr>
          <w:noProof/>
          <w:lang w:val="fr-FR"/>
        </w:rPr>
        <w:t>chap</w:t>
      </w:r>
      <w:r>
        <w:rPr>
          <w:noProof/>
          <w:lang w:val="fr-FR"/>
        </w:rPr>
        <w:t xml:space="preserve">itre </w:t>
      </w:r>
      <w:r w:rsidR="00283ED9" w:rsidRPr="00DD03D6">
        <w:rPr>
          <w:noProof/>
          <w:lang w:val="fr-FR"/>
        </w:rPr>
        <w:t>6)</w:t>
      </w:r>
    </w:p>
    <w:p w:rsidR="00283ED9" w:rsidRPr="009D2B80" w:rsidRDefault="009D2B80" w:rsidP="008E6ED1">
      <w:pPr>
        <w:pStyle w:val="SingleTxtG"/>
        <w:numPr>
          <w:ilvl w:val="0"/>
          <w:numId w:val="3"/>
        </w:numPr>
        <w:ind w:left="1134" w:firstLine="0"/>
        <w:rPr>
          <w:noProof/>
          <w:lang w:val="fr-FR"/>
        </w:rPr>
      </w:pPr>
      <w:r w:rsidRPr="009D2B80">
        <w:rPr>
          <w:b/>
          <w:bCs/>
          <w:noProof/>
          <w:lang w:val="fr-FR"/>
        </w:rPr>
        <w:t>Le Comité recommande à l’État partie de redoubler d’efforts pour lutter contre la</w:t>
      </w:r>
      <w:r w:rsidR="00BF4627">
        <w:rPr>
          <w:b/>
          <w:bCs/>
          <w:noProof/>
          <w:lang w:val="fr-FR"/>
        </w:rPr>
        <w:t xml:space="preserve"> </w:t>
      </w:r>
      <w:r w:rsidRPr="009D2B80">
        <w:rPr>
          <w:b/>
          <w:bCs/>
          <w:noProof/>
          <w:lang w:val="fr-FR"/>
        </w:rPr>
        <w:t>consommation d’alcool chez les enfants, et notamment d’élaborer et de mettre en œuvre une stratégie complète dans ce domaine, en y incluant des activités de sensibilisation et</w:t>
      </w:r>
      <w:r w:rsidR="00BF4627">
        <w:rPr>
          <w:b/>
          <w:bCs/>
          <w:noProof/>
          <w:lang w:val="fr-FR"/>
        </w:rPr>
        <w:t xml:space="preserve"> </w:t>
      </w:r>
      <w:r w:rsidRPr="009D2B80">
        <w:rPr>
          <w:b/>
          <w:bCs/>
          <w:noProof/>
          <w:lang w:val="fr-FR"/>
        </w:rPr>
        <w:t>en</w:t>
      </w:r>
      <w:r w:rsidR="00BF4627">
        <w:rPr>
          <w:b/>
          <w:bCs/>
          <w:noProof/>
          <w:lang w:val="fr-FR"/>
        </w:rPr>
        <w:t xml:space="preserve"> </w:t>
      </w:r>
      <w:r w:rsidRPr="009D2B80">
        <w:rPr>
          <w:b/>
          <w:bCs/>
          <w:noProof/>
          <w:lang w:val="fr-FR"/>
        </w:rPr>
        <w:t>interdisant la consommation d’alcool aux enfants ains</w:t>
      </w:r>
      <w:r w:rsidR="00BF4627">
        <w:rPr>
          <w:b/>
          <w:bCs/>
          <w:noProof/>
          <w:lang w:val="fr-FR"/>
        </w:rPr>
        <w:t xml:space="preserve">i que les publicités visant les </w:t>
      </w:r>
      <w:r w:rsidRPr="009D2B80">
        <w:rPr>
          <w:b/>
          <w:bCs/>
          <w:noProof/>
          <w:lang w:val="fr-FR"/>
        </w:rPr>
        <w:t>enfants</w:t>
      </w:r>
      <w:r w:rsidR="00283ED9" w:rsidRPr="009D2B80">
        <w:rPr>
          <w:b/>
          <w:noProof/>
          <w:lang w:val="fr-FR"/>
        </w:rPr>
        <w:t>.</w:t>
      </w:r>
    </w:p>
    <w:p w:rsidR="00283ED9" w:rsidRPr="00BF4627" w:rsidRDefault="009D2B80" w:rsidP="008E6ED1">
      <w:pPr>
        <w:pStyle w:val="SingleTxtG"/>
        <w:numPr>
          <w:ilvl w:val="0"/>
          <w:numId w:val="3"/>
        </w:numPr>
        <w:ind w:left="1134" w:firstLine="0"/>
        <w:rPr>
          <w:noProof/>
          <w:lang w:val="fr-FR"/>
        </w:rPr>
      </w:pPr>
      <w:r w:rsidRPr="009D2B80">
        <w:rPr>
          <w:b/>
          <w:bCs/>
          <w:noProof/>
          <w:lang w:val="fr-FR"/>
        </w:rPr>
        <w:t>À ce propos, le Comité attire également l’attention de l’État partie sur son Observation</w:t>
      </w:r>
      <w:r w:rsidRPr="009D2B80">
        <w:rPr>
          <w:b/>
          <w:noProof/>
          <w:lang w:val="fr-FR"/>
        </w:rPr>
        <w:t xml:space="preserve"> générale </w:t>
      </w:r>
      <w:r w:rsidRPr="009D2B80">
        <w:rPr>
          <w:rFonts w:eastAsia="MS Mincho"/>
          <w:b/>
          <w:noProof/>
          <w:lang w:val="fr-FR"/>
        </w:rPr>
        <w:t>n</w:t>
      </w:r>
      <w:r w:rsidRPr="009D2B80">
        <w:rPr>
          <w:rFonts w:eastAsia="MS Mincho"/>
          <w:b/>
          <w:noProof/>
          <w:vertAlign w:val="superscript"/>
          <w:lang w:val="fr-FR"/>
        </w:rPr>
        <w:t>o </w:t>
      </w:r>
      <w:r w:rsidRPr="009D2B80">
        <w:rPr>
          <w:b/>
          <w:noProof/>
          <w:lang w:val="fr-FR"/>
        </w:rPr>
        <w:t xml:space="preserve">4 concernant la santé de l’adolescent </w:t>
      </w:r>
      <w:r w:rsidR="00283ED9" w:rsidRPr="009D2B80">
        <w:rPr>
          <w:b/>
          <w:bCs/>
          <w:noProof/>
          <w:lang w:val="fr-FR"/>
        </w:rPr>
        <w:t>(CRC/GC/4/2003).</w:t>
      </w:r>
    </w:p>
    <w:p w:rsidR="00283ED9" w:rsidRPr="009D2B80" w:rsidRDefault="009D2B80" w:rsidP="00283ED9">
      <w:pPr>
        <w:pStyle w:val="SingleTxtG"/>
        <w:numPr>
          <w:ilvl w:val="0"/>
          <w:numId w:val="3"/>
        </w:numPr>
        <w:ind w:left="1134" w:firstLine="0"/>
        <w:rPr>
          <w:noProof/>
          <w:lang w:val="fr-FR"/>
        </w:rPr>
      </w:pPr>
      <w:r w:rsidRPr="009D2B80">
        <w:rPr>
          <w:b/>
          <w:bCs/>
          <w:noProof/>
          <w:lang w:val="fr-FR"/>
        </w:rPr>
        <w:t xml:space="preserve">Le Comité prie instamment l’État partie de mettre en œuvre le nouveau </w:t>
      </w:r>
      <w:r w:rsidRPr="009D2B80">
        <w:rPr>
          <w:b/>
          <w:bCs/>
          <w:noProof/>
          <w:color w:val="000000"/>
          <w:lang w:val="fr-FR"/>
        </w:rPr>
        <w:t xml:space="preserve">plan d’action stratégique décennal de réduction du suicide ainsi que les recommandations du deuxième rapport du </w:t>
      </w:r>
      <w:r w:rsidRPr="009D2B80">
        <w:rPr>
          <w:b/>
          <w:bCs/>
          <w:noProof/>
          <w:lang w:val="fr-FR"/>
        </w:rPr>
        <w:t>Groupe stratégique spécial sur l’alcoolisme</w:t>
      </w:r>
      <w:r w:rsidR="00283ED9" w:rsidRPr="009D2B80">
        <w:rPr>
          <w:b/>
          <w:bCs/>
          <w:noProof/>
          <w:lang w:val="fr-FR"/>
        </w:rPr>
        <w:t>.</w:t>
      </w:r>
    </w:p>
    <w:p w:rsidR="00283ED9" w:rsidRPr="00DD03D6" w:rsidRDefault="009D2B80" w:rsidP="00283ED9">
      <w:pPr>
        <w:pStyle w:val="SingleTxtG"/>
        <w:numPr>
          <w:ilvl w:val="0"/>
          <w:numId w:val="3"/>
        </w:numPr>
        <w:ind w:left="1134" w:firstLine="0"/>
        <w:rPr>
          <w:noProof/>
          <w:lang w:val="fr-FR"/>
        </w:rPr>
      </w:pPr>
      <w:r w:rsidRPr="009D2B80">
        <w:rPr>
          <w:b/>
          <w:bCs/>
          <w:noProof/>
          <w:lang w:val="fr-FR"/>
        </w:rPr>
        <w:t>Le Comité recommande à l’État partie de redoubler d’efforts pour que les adolescents aient davantage accès à des informations et à des services qui répondent spécifiquement à leurs besoins en matière de santé procréative et sexuelle, non seulement dans le cadre scolaire mais également dans leur environn</w:t>
      </w:r>
      <w:r w:rsidR="00A73669">
        <w:rPr>
          <w:b/>
          <w:bCs/>
          <w:noProof/>
          <w:lang w:val="fr-FR"/>
        </w:rPr>
        <w:t xml:space="preserve">ement quotidien, et de mener en </w:t>
      </w:r>
      <w:r w:rsidRPr="009D2B80">
        <w:rPr>
          <w:b/>
          <w:bCs/>
          <w:noProof/>
          <w:lang w:val="fr-FR"/>
        </w:rPr>
        <w:t>outre des campagnes d’information et de sensibilisation</w:t>
      </w:r>
      <w:r w:rsidR="00283ED9" w:rsidRPr="00DD03D6">
        <w:rPr>
          <w:b/>
          <w:bCs/>
          <w:noProof/>
          <w:lang w:val="fr-FR"/>
        </w:rPr>
        <w:t>.</w:t>
      </w:r>
    </w:p>
    <w:p w:rsidR="00283ED9" w:rsidRPr="00DD03D6" w:rsidRDefault="008A45F4" w:rsidP="00081495">
      <w:pPr>
        <w:pStyle w:val="SingleTxtG"/>
        <w:numPr>
          <w:ilvl w:val="0"/>
          <w:numId w:val="3"/>
        </w:numPr>
        <w:ind w:left="1134" w:firstLine="0"/>
        <w:rPr>
          <w:noProof/>
          <w:lang w:val="fr-FR" w:eastAsia="en-IE"/>
        </w:rPr>
      </w:pPr>
      <w:r>
        <w:rPr>
          <w:noProof/>
          <w:lang w:val="fr-FR" w:eastAsia="en-IE"/>
        </w:rPr>
        <w:t>Des c</w:t>
      </w:r>
      <w:r w:rsidR="00283ED9" w:rsidRPr="00DD03D6">
        <w:rPr>
          <w:noProof/>
          <w:lang w:val="fr-FR" w:eastAsia="en-IE"/>
        </w:rPr>
        <w:t xml:space="preserve">odes </w:t>
      </w:r>
      <w:r>
        <w:rPr>
          <w:noProof/>
          <w:lang w:val="fr-FR" w:eastAsia="en-IE"/>
        </w:rPr>
        <w:t xml:space="preserve">de déontologie sur l’insertion d’annonces publicitaires sur des boissons alcoolisées ont été établis en </w:t>
      </w:r>
      <w:r w:rsidR="00283ED9" w:rsidRPr="00DD03D6">
        <w:rPr>
          <w:noProof/>
          <w:lang w:val="fr-FR" w:eastAsia="en-IE"/>
        </w:rPr>
        <w:t xml:space="preserve">2004 </w:t>
      </w:r>
      <w:r>
        <w:rPr>
          <w:noProof/>
          <w:lang w:val="fr-FR" w:eastAsia="en-IE"/>
        </w:rPr>
        <w:t>par le secteur des boissons alcoolisées, le secteur de la publicité et le Ministère de la santé</w:t>
      </w:r>
      <w:r w:rsidR="00283ED9" w:rsidRPr="00DD03D6">
        <w:rPr>
          <w:noProof/>
          <w:lang w:val="fr-FR" w:eastAsia="en-IE"/>
        </w:rPr>
        <w:t xml:space="preserve">, </w:t>
      </w:r>
      <w:r>
        <w:rPr>
          <w:noProof/>
          <w:lang w:val="fr-FR" w:eastAsia="en-IE"/>
        </w:rPr>
        <w:t xml:space="preserve">et ont été renforcés en </w:t>
      </w:r>
      <w:r w:rsidR="00283ED9" w:rsidRPr="00DD03D6">
        <w:rPr>
          <w:noProof/>
          <w:lang w:val="fr-FR" w:eastAsia="en-IE"/>
        </w:rPr>
        <w:t xml:space="preserve">2008. </w:t>
      </w:r>
      <w:r>
        <w:rPr>
          <w:noProof/>
          <w:lang w:val="fr-FR" w:eastAsia="en-IE"/>
        </w:rPr>
        <w:t>Ces codes se proposent de réduire l’exposition des enfants et des jeunes à la promotion des boissons alcoolisées</w:t>
      </w:r>
      <w:r w:rsidR="00283ED9" w:rsidRPr="00DD03D6">
        <w:rPr>
          <w:noProof/>
          <w:lang w:val="fr-FR" w:eastAsia="en-IE"/>
        </w:rPr>
        <w:t xml:space="preserve">. </w:t>
      </w:r>
      <w:r w:rsidR="00615EF4">
        <w:rPr>
          <w:noProof/>
          <w:lang w:val="fr-FR" w:eastAsia="en-IE"/>
        </w:rPr>
        <w:t xml:space="preserve">Des propositions concrètes concernant la lutte contre l’abus d’alcool tirées des </w:t>
      </w:r>
      <w:r w:rsidR="00615EF4">
        <w:rPr>
          <w:noProof/>
          <w:lang w:val="fr-FR"/>
        </w:rPr>
        <w:t>recomma</w:t>
      </w:r>
      <w:r w:rsidR="00283ED9" w:rsidRPr="00DD03D6">
        <w:rPr>
          <w:noProof/>
          <w:lang w:val="fr-FR"/>
        </w:rPr>
        <w:t xml:space="preserve">ndations </w:t>
      </w:r>
      <w:r w:rsidR="00615EF4">
        <w:rPr>
          <w:noProof/>
          <w:lang w:val="fr-FR"/>
        </w:rPr>
        <w:t xml:space="preserve">du </w:t>
      </w:r>
      <w:r w:rsidR="00283ED9" w:rsidRPr="00DD03D6">
        <w:rPr>
          <w:i/>
          <w:iCs/>
          <w:noProof/>
          <w:lang w:val="fr-FR"/>
        </w:rPr>
        <w:t>R</w:t>
      </w:r>
      <w:r w:rsidR="00615EF4">
        <w:rPr>
          <w:i/>
          <w:iCs/>
          <w:noProof/>
          <w:lang w:val="fr-FR"/>
        </w:rPr>
        <w:t>apport du Comité</w:t>
      </w:r>
      <w:r w:rsidR="00E27C4E">
        <w:rPr>
          <w:i/>
          <w:iCs/>
          <w:noProof/>
          <w:lang w:val="fr-FR"/>
        </w:rPr>
        <w:t xml:space="preserve"> de pilotage de la S</w:t>
      </w:r>
      <w:r w:rsidR="00615EF4">
        <w:rPr>
          <w:i/>
          <w:iCs/>
          <w:noProof/>
          <w:lang w:val="fr-FR"/>
        </w:rPr>
        <w:t xml:space="preserve">tratégie </w:t>
      </w:r>
      <w:r w:rsidR="00E27C4E">
        <w:rPr>
          <w:i/>
          <w:iCs/>
          <w:noProof/>
          <w:lang w:val="fr-FR"/>
        </w:rPr>
        <w:t>en matière d</w:t>
      </w:r>
      <w:r w:rsidR="00615EF4">
        <w:rPr>
          <w:i/>
          <w:iCs/>
          <w:noProof/>
          <w:lang w:val="fr-FR"/>
        </w:rPr>
        <w:t>’abus de substance</w:t>
      </w:r>
      <w:r w:rsidR="00177758">
        <w:rPr>
          <w:i/>
          <w:iCs/>
          <w:noProof/>
          <w:lang w:val="fr-FR"/>
        </w:rPr>
        <w:t>s</w:t>
      </w:r>
      <w:r w:rsidR="00615EF4">
        <w:rPr>
          <w:i/>
          <w:iCs/>
          <w:noProof/>
          <w:lang w:val="fr-FR"/>
        </w:rPr>
        <w:t xml:space="preserve"> psychotropes </w:t>
      </w:r>
      <w:r w:rsidR="00283ED9" w:rsidRPr="00DD03D6">
        <w:rPr>
          <w:noProof/>
          <w:lang w:val="fr-FR"/>
        </w:rPr>
        <w:t>(publi</w:t>
      </w:r>
      <w:r w:rsidR="00322319">
        <w:rPr>
          <w:noProof/>
          <w:lang w:val="fr-FR"/>
        </w:rPr>
        <w:t xml:space="preserve">é en février </w:t>
      </w:r>
      <w:r w:rsidR="00283ED9" w:rsidRPr="00DD03D6">
        <w:rPr>
          <w:noProof/>
          <w:lang w:val="fr-FR"/>
        </w:rPr>
        <w:t xml:space="preserve">2012) </w:t>
      </w:r>
      <w:r w:rsidR="00322319">
        <w:rPr>
          <w:noProof/>
          <w:lang w:val="fr-FR"/>
        </w:rPr>
        <w:t>sont en cours de mise au point</w:t>
      </w:r>
      <w:r w:rsidR="00283ED9" w:rsidRPr="00DD03D6">
        <w:rPr>
          <w:noProof/>
          <w:lang w:val="fr-FR" w:eastAsia="en-IE"/>
        </w:rPr>
        <w:t xml:space="preserve">. </w:t>
      </w:r>
      <w:r w:rsidR="00322319">
        <w:rPr>
          <w:noProof/>
          <w:lang w:val="fr-FR" w:eastAsia="en-IE"/>
        </w:rPr>
        <w:t>E</w:t>
      </w:r>
      <w:r w:rsidR="00283ED9" w:rsidRPr="00DD03D6">
        <w:rPr>
          <w:noProof/>
          <w:lang w:val="fr-FR" w:eastAsia="en-IE"/>
        </w:rPr>
        <w:t xml:space="preserve">n </w:t>
      </w:r>
      <w:r w:rsidR="00322319">
        <w:rPr>
          <w:noProof/>
          <w:lang w:val="fr-FR" w:eastAsia="en-IE"/>
        </w:rPr>
        <w:t>outre, le Gouvernement a parrainé la mise en place d’un réseau national de cafés pour les jeunes</w:t>
      </w:r>
      <w:r w:rsidR="005B7352">
        <w:rPr>
          <w:noProof/>
          <w:lang w:val="fr-FR" w:eastAsia="en-IE"/>
        </w:rPr>
        <w:t>,</w:t>
      </w:r>
      <w:r w:rsidR="00322319">
        <w:rPr>
          <w:noProof/>
          <w:lang w:val="fr-FR" w:eastAsia="en-IE"/>
        </w:rPr>
        <w:t xml:space="preserve"> qui fourniront à ces derniers un autre espace de sociabilisation, sans drogue ou alcool celui-là</w:t>
      </w:r>
      <w:r w:rsidR="00283ED9" w:rsidRPr="00DD03D6">
        <w:rPr>
          <w:noProof/>
          <w:lang w:val="fr-FR" w:eastAsia="en-IE"/>
        </w:rPr>
        <w:t xml:space="preserve">. </w:t>
      </w:r>
      <w:r w:rsidR="001B2AC3">
        <w:rPr>
          <w:noProof/>
          <w:lang w:val="fr-FR" w:eastAsia="en-IE"/>
        </w:rPr>
        <w:t>Ces activités seront abordées plus en détail dans la suite du présent rapport</w:t>
      </w:r>
      <w:r w:rsidR="00283ED9" w:rsidRPr="00DD03D6">
        <w:rPr>
          <w:noProof/>
          <w:lang w:val="fr-FR" w:eastAsia="en-IE"/>
        </w:rPr>
        <w:t>.</w:t>
      </w:r>
      <w:r w:rsidR="001B2AC3">
        <w:rPr>
          <w:noProof/>
          <w:lang w:val="fr-FR" w:eastAsia="en-IE"/>
        </w:rPr>
        <w:t xml:space="preserve"> Par ailleurs, le </w:t>
      </w:r>
      <w:r w:rsidR="00D8239B">
        <w:rPr>
          <w:noProof/>
          <w:lang w:val="fr-FR" w:eastAsia="en-IE"/>
        </w:rPr>
        <w:t xml:space="preserve">Cabinet de la </w:t>
      </w:r>
      <w:r w:rsidR="005B7352">
        <w:rPr>
          <w:noProof/>
          <w:lang w:val="fr-FR" w:eastAsia="en-IE"/>
        </w:rPr>
        <w:t>M</w:t>
      </w:r>
      <w:r w:rsidR="00D8239B">
        <w:rPr>
          <w:noProof/>
          <w:lang w:val="fr-FR" w:eastAsia="en-IE"/>
        </w:rPr>
        <w:t>inistre de l’enfance et de la jeunesse</w:t>
      </w:r>
      <w:r w:rsidR="001B2AC3">
        <w:rPr>
          <w:noProof/>
          <w:lang w:val="fr-FR" w:eastAsia="en-IE"/>
        </w:rPr>
        <w:t xml:space="preserve"> a publié en 2008 un rapport intitulé </w:t>
      </w:r>
      <w:r w:rsidR="00283ED9" w:rsidRPr="00DD03D6">
        <w:rPr>
          <w:i/>
          <w:iCs/>
          <w:noProof/>
          <w:lang w:val="fr-FR" w:eastAsia="en-IE"/>
        </w:rPr>
        <w:t>Teenagers</w:t>
      </w:r>
      <w:r w:rsidR="000A2B7B" w:rsidRPr="00DD03D6">
        <w:rPr>
          <w:i/>
          <w:iCs/>
          <w:noProof/>
          <w:lang w:val="fr-FR" w:eastAsia="en-IE"/>
        </w:rPr>
        <w:t>’</w:t>
      </w:r>
      <w:r w:rsidR="00283ED9" w:rsidRPr="00DD03D6">
        <w:rPr>
          <w:i/>
          <w:iCs/>
          <w:noProof/>
          <w:lang w:val="fr-FR" w:eastAsia="en-IE"/>
        </w:rPr>
        <w:t xml:space="preserve"> Views on Solutions to Alcohol Misuse</w:t>
      </w:r>
      <w:r w:rsidR="001B2AC3">
        <w:rPr>
          <w:i/>
          <w:iCs/>
          <w:noProof/>
          <w:lang w:val="fr-FR" w:eastAsia="en-IE"/>
        </w:rPr>
        <w:t xml:space="preserve"> </w:t>
      </w:r>
      <w:r w:rsidR="001B2AC3">
        <w:rPr>
          <w:iCs/>
          <w:noProof/>
          <w:lang w:val="fr-FR" w:eastAsia="en-IE"/>
        </w:rPr>
        <w:t>(L’opinion des adolescents sur les solutions au problème de l’abus d’alcool)</w:t>
      </w:r>
      <w:r w:rsidR="00283ED9" w:rsidRPr="00DD03D6">
        <w:rPr>
          <w:noProof/>
          <w:lang w:val="fr-FR" w:eastAsia="en-IE"/>
        </w:rPr>
        <w:t xml:space="preserve">, </w:t>
      </w:r>
      <w:r w:rsidR="001B2AC3">
        <w:rPr>
          <w:noProof/>
          <w:lang w:val="fr-FR" w:eastAsia="en-IE"/>
        </w:rPr>
        <w:t xml:space="preserve">fruit d’une </w:t>
      </w:r>
      <w:r w:rsidR="00283ED9" w:rsidRPr="00DD03D6">
        <w:rPr>
          <w:noProof/>
          <w:lang w:val="fr-FR" w:eastAsia="en-IE"/>
        </w:rPr>
        <w:t xml:space="preserve">consultation </w:t>
      </w:r>
      <w:r w:rsidR="001B2AC3">
        <w:rPr>
          <w:noProof/>
          <w:lang w:val="fr-FR" w:eastAsia="en-IE"/>
        </w:rPr>
        <w:t xml:space="preserve">nationale menée auprès des jeunes </w:t>
      </w:r>
      <w:r w:rsidR="00283ED9" w:rsidRPr="00DD03D6">
        <w:rPr>
          <w:noProof/>
          <w:lang w:val="fr-FR" w:eastAsia="en-IE"/>
        </w:rPr>
        <w:t>(</w:t>
      </w:r>
      <w:r w:rsidR="00D8239B">
        <w:rPr>
          <w:noProof/>
          <w:lang w:val="fr-FR" w:eastAsia="en-IE"/>
        </w:rPr>
        <w:t xml:space="preserve">Cabinet de la </w:t>
      </w:r>
      <w:r w:rsidR="005B7352">
        <w:rPr>
          <w:noProof/>
          <w:lang w:val="fr-FR" w:eastAsia="en-IE"/>
        </w:rPr>
        <w:t>M</w:t>
      </w:r>
      <w:r w:rsidR="00D8239B">
        <w:rPr>
          <w:noProof/>
          <w:lang w:val="fr-FR" w:eastAsia="en-IE"/>
        </w:rPr>
        <w:t>inistre de l’enfance et de la jeunesse</w:t>
      </w:r>
      <w:r w:rsidR="00283ED9" w:rsidRPr="00DD03D6">
        <w:rPr>
          <w:noProof/>
          <w:lang w:val="fr-FR" w:eastAsia="en-IE"/>
        </w:rPr>
        <w:t>, 2008).</w:t>
      </w:r>
    </w:p>
    <w:p w:rsidR="00283ED9" w:rsidRPr="00DD03D6" w:rsidRDefault="00A04A46" w:rsidP="00283ED9">
      <w:pPr>
        <w:pStyle w:val="SingleTxtG"/>
        <w:numPr>
          <w:ilvl w:val="0"/>
          <w:numId w:val="3"/>
        </w:numPr>
        <w:ind w:left="1134" w:firstLine="0"/>
        <w:rPr>
          <w:noProof/>
          <w:lang w:val="fr-FR"/>
        </w:rPr>
      </w:pPr>
      <w:r>
        <w:rPr>
          <w:noProof/>
          <w:lang w:val="fr-FR"/>
        </w:rPr>
        <w:t>E</w:t>
      </w:r>
      <w:r w:rsidR="00283ED9" w:rsidRPr="00DD03D6">
        <w:rPr>
          <w:noProof/>
          <w:lang w:val="fr-FR"/>
        </w:rPr>
        <w:t xml:space="preserve">n 2005, </w:t>
      </w:r>
      <w:r>
        <w:rPr>
          <w:noProof/>
          <w:lang w:val="fr-FR"/>
        </w:rPr>
        <w:t xml:space="preserve">la stratégie </w:t>
      </w:r>
      <w:r w:rsidR="00283ED9" w:rsidRPr="00DD03D6">
        <w:rPr>
          <w:i/>
          <w:iCs/>
          <w:noProof/>
          <w:lang w:val="fr-FR"/>
        </w:rPr>
        <w:t xml:space="preserve">Reach Out: National Strategy for Action on Suicide Prevention, 2005-2014 </w:t>
      </w:r>
      <w:r>
        <w:rPr>
          <w:iCs/>
          <w:noProof/>
          <w:lang w:val="fr-FR"/>
        </w:rPr>
        <w:t>(Établir un</w:t>
      </w:r>
      <w:r w:rsidR="00E92D3C">
        <w:rPr>
          <w:iCs/>
          <w:noProof/>
          <w:lang w:val="fr-FR"/>
        </w:rPr>
        <w:t xml:space="preserve"> </w:t>
      </w:r>
      <w:r>
        <w:rPr>
          <w:iCs/>
          <w:noProof/>
          <w:lang w:val="fr-FR"/>
        </w:rPr>
        <w:t xml:space="preserve">dialogue : </w:t>
      </w:r>
      <w:r w:rsidR="00A5319B">
        <w:rPr>
          <w:noProof/>
          <w:lang w:val="fr-FR"/>
        </w:rPr>
        <w:t>Stratégie nationale d’action pour la prévention du suicide pour</w:t>
      </w:r>
      <w:r w:rsidR="00A5319B" w:rsidRPr="00DD03D6">
        <w:rPr>
          <w:noProof/>
          <w:lang w:val="fr-FR"/>
        </w:rPr>
        <w:t xml:space="preserve"> 2005-2014</w:t>
      </w:r>
      <w:r>
        <w:rPr>
          <w:iCs/>
          <w:noProof/>
          <w:lang w:val="fr-FR"/>
        </w:rPr>
        <w:t xml:space="preserve">) </w:t>
      </w:r>
      <w:r w:rsidR="00283ED9" w:rsidRPr="00DD03D6">
        <w:rPr>
          <w:noProof/>
          <w:lang w:val="fr-FR"/>
        </w:rPr>
        <w:t>a</w:t>
      </w:r>
      <w:r>
        <w:rPr>
          <w:noProof/>
          <w:lang w:val="fr-FR"/>
        </w:rPr>
        <w:t xml:space="preserve"> été présentée</w:t>
      </w:r>
      <w:r w:rsidR="00283ED9" w:rsidRPr="00DD03D6">
        <w:rPr>
          <w:noProof/>
          <w:lang w:val="fr-FR"/>
        </w:rPr>
        <w:t xml:space="preserve">. </w:t>
      </w:r>
      <w:r>
        <w:rPr>
          <w:noProof/>
          <w:lang w:val="fr-FR"/>
        </w:rPr>
        <w:t xml:space="preserve">Le rapport correspondant a été établi par la Direction des </w:t>
      </w:r>
      <w:r>
        <w:rPr>
          <w:noProof/>
          <w:lang w:val="fr-FR"/>
        </w:rPr>
        <w:lastRenderedPageBreak/>
        <w:t xml:space="preserve">services de santé, le Groupe national d’examen du </w:t>
      </w:r>
      <w:r>
        <w:rPr>
          <w:noProof/>
          <w:color w:val="231F20"/>
          <w:szCs w:val="18"/>
          <w:lang w:val="fr-FR"/>
        </w:rPr>
        <w:t>s</w:t>
      </w:r>
      <w:r w:rsidR="00283ED9" w:rsidRPr="00DD03D6">
        <w:rPr>
          <w:noProof/>
          <w:color w:val="231F20"/>
          <w:szCs w:val="18"/>
          <w:lang w:val="fr-FR"/>
        </w:rPr>
        <w:t xml:space="preserve">uicide </w:t>
      </w:r>
      <w:r w:rsidR="005B7352">
        <w:rPr>
          <w:noProof/>
          <w:color w:val="231F20"/>
          <w:szCs w:val="18"/>
          <w:lang w:val="fr-FR"/>
        </w:rPr>
        <w:t>et la</w:t>
      </w:r>
      <w:r>
        <w:rPr>
          <w:noProof/>
          <w:color w:val="231F20"/>
          <w:szCs w:val="18"/>
          <w:lang w:val="fr-FR"/>
        </w:rPr>
        <w:t xml:space="preserve"> Ministère de la santé et de l’enfance à la suite d’une vaste </w:t>
      </w:r>
      <w:r w:rsidR="00283ED9" w:rsidRPr="00DD03D6">
        <w:rPr>
          <w:noProof/>
          <w:lang w:val="fr-FR"/>
        </w:rPr>
        <w:t xml:space="preserve">consultation </w:t>
      </w:r>
      <w:r>
        <w:rPr>
          <w:noProof/>
          <w:lang w:val="fr-FR"/>
        </w:rPr>
        <w:t xml:space="preserve">menée auprès de toutes les principales </w:t>
      </w:r>
      <w:r w:rsidR="00E83488">
        <w:rPr>
          <w:noProof/>
          <w:lang w:val="fr-FR"/>
        </w:rPr>
        <w:t>acteurs</w:t>
      </w:r>
      <w:r>
        <w:rPr>
          <w:noProof/>
          <w:lang w:val="fr-FR"/>
        </w:rPr>
        <w:t xml:space="preserve">, et notamment le grand </w:t>
      </w:r>
      <w:r w:rsidR="00283ED9" w:rsidRPr="00DD03D6">
        <w:rPr>
          <w:noProof/>
          <w:lang w:val="fr-FR"/>
        </w:rPr>
        <w:t xml:space="preserve">public. </w:t>
      </w:r>
      <w:r>
        <w:rPr>
          <w:noProof/>
          <w:lang w:val="fr-FR"/>
        </w:rPr>
        <w:t xml:space="preserve">Cette </w:t>
      </w:r>
      <w:r w:rsidR="00283ED9" w:rsidRPr="00DD03D6">
        <w:rPr>
          <w:noProof/>
          <w:lang w:val="fr-FR"/>
        </w:rPr>
        <w:t>strat</w:t>
      </w:r>
      <w:r>
        <w:rPr>
          <w:noProof/>
          <w:lang w:val="fr-FR"/>
        </w:rPr>
        <w:t>é</w:t>
      </w:r>
      <w:r w:rsidR="00283ED9" w:rsidRPr="00DD03D6">
        <w:rPr>
          <w:noProof/>
          <w:lang w:val="fr-FR"/>
        </w:rPr>
        <w:t>g</w:t>
      </w:r>
      <w:r>
        <w:rPr>
          <w:noProof/>
          <w:lang w:val="fr-FR"/>
        </w:rPr>
        <w:t xml:space="preserve">ie préconisait une approche multisectorielle de la </w:t>
      </w:r>
      <w:r w:rsidR="00283ED9" w:rsidRPr="00DD03D6">
        <w:rPr>
          <w:noProof/>
          <w:lang w:val="fr-FR"/>
        </w:rPr>
        <w:t>pr</w:t>
      </w:r>
      <w:r>
        <w:rPr>
          <w:noProof/>
          <w:lang w:val="fr-FR"/>
        </w:rPr>
        <w:t>é</w:t>
      </w:r>
      <w:r w:rsidR="00283ED9" w:rsidRPr="00DD03D6">
        <w:rPr>
          <w:noProof/>
          <w:lang w:val="fr-FR"/>
        </w:rPr>
        <w:t xml:space="preserve">vention </w:t>
      </w:r>
      <w:r>
        <w:rPr>
          <w:noProof/>
          <w:lang w:val="fr-FR"/>
        </w:rPr>
        <w:t>des comportements suidicaires</w:t>
      </w:r>
      <w:r w:rsidR="003D16B3">
        <w:rPr>
          <w:noProof/>
          <w:lang w:val="fr-FR"/>
        </w:rPr>
        <w:t>, reposant sur la coopé</w:t>
      </w:r>
      <w:r w:rsidR="00283ED9" w:rsidRPr="00DD03D6">
        <w:rPr>
          <w:noProof/>
          <w:lang w:val="fr-FR"/>
        </w:rPr>
        <w:t xml:space="preserve">ration </w:t>
      </w:r>
      <w:r w:rsidR="003D16B3">
        <w:rPr>
          <w:noProof/>
          <w:lang w:val="fr-FR"/>
        </w:rPr>
        <w:t>entre organismes relevant des secteurs de la santé et de l’éducation, des collectivités et des secteur</w:t>
      </w:r>
      <w:r w:rsidR="005B7352">
        <w:rPr>
          <w:noProof/>
          <w:lang w:val="fr-FR"/>
        </w:rPr>
        <w:t>s</w:t>
      </w:r>
      <w:r w:rsidR="003D16B3">
        <w:rPr>
          <w:noProof/>
          <w:lang w:val="fr-FR"/>
        </w:rPr>
        <w:t xml:space="preserve"> associatif et privé</w:t>
      </w:r>
      <w:r w:rsidR="00283ED9" w:rsidRPr="00DD03D6">
        <w:rPr>
          <w:noProof/>
          <w:lang w:val="fr-FR"/>
        </w:rPr>
        <w:t>.</w:t>
      </w:r>
    </w:p>
    <w:p w:rsidR="00283ED9" w:rsidRDefault="003D16B3" w:rsidP="00E62D34">
      <w:pPr>
        <w:pStyle w:val="SingleTxtG"/>
        <w:numPr>
          <w:ilvl w:val="0"/>
          <w:numId w:val="3"/>
        </w:numPr>
        <w:ind w:left="1134" w:firstLine="0"/>
        <w:rPr>
          <w:noProof/>
          <w:lang w:val="fr-FR"/>
        </w:rPr>
      </w:pPr>
      <w:r>
        <w:rPr>
          <w:noProof/>
          <w:lang w:val="fr-FR"/>
        </w:rPr>
        <w:t xml:space="preserve">Cette </w:t>
      </w:r>
      <w:r w:rsidR="00283ED9" w:rsidRPr="00DD03D6">
        <w:rPr>
          <w:noProof/>
          <w:lang w:val="fr-FR"/>
        </w:rPr>
        <w:t>strat</w:t>
      </w:r>
      <w:r>
        <w:rPr>
          <w:noProof/>
          <w:lang w:val="fr-FR"/>
        </w:rPr>
        <w:t>é</w:t>
      </w:r>
      <w:r w:rsidR="00283ED9" w:rsidRPr="00DD03D6">
        <w:rPr>
          <w:noProof/>
          <w:lang w:val="fr-FR"/>
        </w:rPr>
        <w:t>g</w:t>
      </w:r>
      <w:r>
        <w:rPr>
          <w:noProof/>
          <w:lang w:val="fr-FR"/>
        </w:rPr>
        <w:t>ie est supervisée par l’Office n</w:t>
      </w:r>
      <w:r w:rsidR="00283ED9" w:rsidRPr="00DD03D6">
        <w:rPr>
          <w:noProof/>
          <w:lang w:val="fr-FR"/>
        </w:rPr>
        <w:t xml:space="preserve">ational </w:t>
      </w:r>
      <w:r>
        <w:rPr>
          <w:noProof/>
          <w:lang w:val="fr-FR"/>
        </w:rPr>
        <w:t>de prévention du s</w:t>
      </w:r>
      <w:r w:rsidR="00283ED9" w:rsidRPr="00DD03D6">
        <w:rPr>
          <w:noProof/>
          <w:lang w:val="fr-FR"/>
        </w:rPr>
        <w:t xml:space="preserve">uicide. </w:t>
      </w:r>
      <w:r>
        <w:rPr>
          <w:noProof/>
          <w:lang w:val="fr-FR"/>
        </w:rPr>
        <w:t xml:space="preserve">Cet Office </w:t>
      </w:r>
      <w:r w:rsidR="00174137">
        <w:rPr>
          <w:noProof/>
          <w:lang w:val="fr-FR"/>
        </w:rPr>
        <w:t>assure une formation, réalise des études sur le suicide, formule d</w:t>
      </w:r>
      <w:r w:rsidR="00283ED9" w:rsidRPr="00DD03D6">
        <w:rPr>
          <w:noProof/>
          <w:lang w:val="fr-FR"/>
        </w:rPr>
        <w:t>es strat</w:t>
      </w:r>
      <w:r w:rsidR="00174137">
        <w:rPr>
          <w:noProof/>
          <w:lang w:val="fr-FR"/>
        </w:rPr>
        <w:t>é</w:t>
      </w:r>
      <w:r w:rsidR="00283ED9" w:rsidRPr="00DD03D6">
        <w:rPr>
          <w:noProof/>
          <w:lang w:val="fr-FR"/>
        </w:rPr>
        <w:t xml:space="preserve">gies </w:t>
      </w:r>
      <w:r w:rsidR="00174137">
        <w:rPr>
          <w:noProof/>
          <w:lang w:val="fr-FR"/>
        </w:rPr>
        <w:t xml:space="preserve">de réduction du phénomène et finance les </w:t>
      </w:r>
      <w:r w:rsidR="00283ED9" w:rsidRPr="00DD03D6">
        <w:rPr>
          <w:noProof/>
          <w:lang w:val="fr-FR"/>
        </w:rPr>
        <w:t xml:space="preserve">organisations </w:t>
      </w:r>
      <w:r w:rsidR="00174137">
        <w:rPr>
          <w:noProof/>
          <w:lang w:val="fr-FR"/>
        </w:rPr>
        <w:t xml:space="preserve">qui s’emploient à lutter contre le </w:t>
      </w:r>
      <w:r w:rsidR="00283ED9" w:rsidRPr="00DD03D6">
        <w:rPr>
          <w:noProof/>
          <w:lang w:val="fr-FR"/>
        </w:rPr>
        <w:t xml:space="preserve">suicide </w:t>
      </w:r>
      <w:r w:rsidR="00174137">
        <w:rPr>
          <w:noProof/>
          <w:lang w:val="fr-FR"/>
        </w:rPr>
        <w:t>et à le prévenir</w:t>
      </w:r>
      <w:r w:rsidR="00283ED9" w:rsidRPr="00DD03D6">
        <w:rPr>
          <w:noProof/>
          <w:lang w:val="fr-FR"/>
        </w:rPr>
        <w:t xml:space="preserve">, </w:t>
      </w:r>
      <w:r w:rsidR="00174137">
        <w:rPr>
          <w:noProof/>
          <w:lang w:val="fr-FR"/>
        </w:rPr>
        <w:t>notamment celles qui travaillent avec les jeunes</w:t>
      </w:r>
      <w:r w:rsidR="00283ED9" w:rsidRPr="00DD03D6">
        <w:rPr>
          <w:noProof/>
          <w:lang w:val="fr-FR"/>
        </w:rPr>
        <w:t>.</w:t>
      </w:r>
    </w:p>
    <w:p w:rsidR="00283ED9" w:rsidRPr="00DD03D6" w:rsidRDefault="00D85B9B" w:rsidP="00E62D34">
      <w:pPr>
        <w:pStyle w:val="SingleTxtG"/>
        <w:numPr>
          <w:ilvl w:val="0"/>
          <w:numId w:val="3"/>
        </w:numPr>
        <w:ind w:left="1134" w:firstLine="0"/>
        <w:rPr>
          <w:noProof/>
          <w:lang w:val="fr-FR"/>
        </w:rPr>
      </w:pPr>
      <w:r>
        <w:rPr>
          <w:noProof/>
          <w:lang w:val="fr-FR"/>
        </w:rPr>
        <w:t xml:space="preserve">Un comité directeur a été créé en mai </w:t>
      </w:r>
      <w:r w:rsidR="00283ED9" w:rsidRPr="00DD03D6">
        <w:rPr>
          <w:noProof/>
          <w:lang w:val="fr-FR"/>
        </w:rPr>
        <w:t xml:space="preserve">2012 </w:t>
      </w:r>
      <w:r>
        <w:rPr>
          <w:noProof/>
          <w:lang w:val="fr-FR"/>
        </w:rPr>
        <w:t>par le Ministère de la santé afin de superviser l’élaboration d’une stratégie nationale relative à la santé sexuelle, qui sera, une fois achevée, présentée au Gouvernement</w:t>
      </w:r>
      <w:r w:rsidR="00283ED9" w:rsidRPr="00DD03D6">
        <w:rPr>
          <w:noProof/>
          <w:lang w:val="fr-FR"/>
        </w:rPr>
        <w:t xml:space="preserve">. </w:t>
      </w:r>
      <w:r>
        <w:rPr>
          <w:noProof/>
          <w:lang w:val="fr-FR"/>
        </w:rPr>
        <w:t>Membre de ce comité directeur, le Ministère de l’enfance et de la jeunesse apportera une contribution directe à cette stratégie, notamment les informations recueillies durant la consultation menée auprès des jeunes</w:t>
      </w:r>
      <w:r w:rsidR="00283ED9" w:rsidRPr="00DD03D6">
        <w:rPr>
          <w:noProof/>
          <w:lang w:val="fr-FR"/>
        </w:rPr>
        <w:t xml:space="preserve">. </w:t>
      </w:r>
      <w:r>
        <w:rPr>
          <w:noProof/>
          <w:lang w:val="fr-FR"/>
        </w:rPr>
        <w:t xml:space="preserve">Cette </w:t>
      </w:r>
      <w:r w:rsidR="00283ED9" w:rsidRPr="00DD03D6">
        <w:rPr>
          <w:noProof/>
          <w:lang w:val="fr-FR"/>
        </w:rPr>
        <w:t>strat</w:t>
      </w:r>
      <w:r>
        <w:rPr>
          <w:noProof/>
          <w:lang w:val="fr-FR"/>
        </w:rPr>
        <w:t>égie formulera l’orientation stratégique à imprimer à la prestation de services de santé sexuelle</w:t>
      </w:r>
      <w:r w:rsidR="00283ED9" w:rsidRPr="00DD03D6">
        <w:rPr>
          <w:noProof/>
          <w:lang w:val="fr-FR"/>
        </w:rPr>
        <w:t xml:space="preserve">, </w:t>
      </w:r>
      <w:r>
        <w:rPr>
          <w:noProof/>
          <w:lang w:val="fr-FR"/>
        </w:rPr>
        <w:t xml:space="preserve">mettra l’accent sur l’amélioration de la santé et du bien-être sexuels et abordera les questions </w:t>
      </w:r>
      <w:r w:rsidR="005A088C">
        <w:rPr>
          <w:noProof/>
          <w:lang w:val="fr-FR"/>
        </w:rPr>
        <w:t xml:space="preserve">suivantes : </w:t>
      </w:r>
      <w:r w:rsidR="00283ED9" w:rsidRPr="00DD03D6">
        <w:rPr>
          <w:noProof/>
          <w:lang w:val="fr-FR"/>
        </w:rPr>
        <w:t xml:space="preserve">surveillance, </w:t>
      </w:r>
      <w:r>
        <w:rPr>
          <w:noProof/>
          <w:lang w:val="fr-FR"/>
        </w:rPr>
        <w:t xml:space="preserve">dépistage, traitement et </w:t>
      </w:r>
      <w:r w:rsidR="00283ED9" w:rsidRPr="00DD03D6">
        <w:rPr>
          <w:noProof/>
          <w:lang w:val="fr-FR"/>
        </w:rPr>
        <w:t>pr</w:t>
      </w:r>
      <w:r>
        <w:rPr>
          <w:noProof/>
          <w:lang w:val="fr-FR"/>
        </w:rPr>
        <w:t>é</w:t>
      </w:r>
      <w:r w:rsidR="00283ED9" w:rsidRPr="00DD03D6">
        <w:rPr>
          <w:noProof/>
          <w:lang w:val="fr-FR"/>
        </w:rPr>
        <w:t xml:space="preserve">vention </w:t>
      </w:r>
      <w:r>
        <w:rPr>
          <w:noProof/>
          <w:lang w:val="fr-FR"/>
        </w:rPr>
        <w:t>de l’infection à VIH et des autres IST</w:t>
      </w:r>
      <w:r w:rsidR="00283ED9" w:rsidRPr="00DD03D6">
        <w:rPr>
          <w:noProof/>
          <w:lang w:val="fr-FR"/>
        </w:rPr>
        <w:t xml:space="preserve">, </w:t>
      </w:r>
      <w:r w:rsidR="007A1B89">
        <w:rPr>
          <w:noProof/>
          <w:lang w:val="fr-FR"/>
        </w:rPr>
        <w:t xml:space="preserve">grossesses non désirées et éducation </w:t>
      </w:r>
      <w:r w:rsidR="005A088C">
        <w:rPr>
          <w:noProof/>
          <w:lang w:val="fr-FR"/>
        </w:rPr>
        <w:t>en matière de santé sexuelle et promotion de la santé sexuelle</w:t>
      </w:r>
      <w:r w:rsidR="00283ED9" w:rsidRPr="00DD03D6">
        <w:rPr>
          <w:noProof/>
          <w:lang w:val="fr-FR"/>
        </w:rPr>
        <w:t xml:space="preserve">. </w:t>
      </w:r>
      <w:r w:rsidR="005A088C">
        <w:rPr>
          <w:noProof/>
          <w:lang w:val="fr-FR"/>
        </w:rPr>
        <w:t xml:space="preserve">Elle sera conforme au cadre </w:t>
      </w:r>
      <w:r w:rsidR="005B7352">
        <w:rPr>
          <w:noProof/>
          <w:lang w:val="fr-FR"/>
        </w:rPr>
        <w:t>directeur</w:t>
      </w:r>
      <w:r w:rsidR="005A088C">
        <w:rPr>
          <w:noProof/>
          <w:lang w:val="fr-FR"/>
        </w:rPr>
        <w:t xml:space="preserve"> de santé publique à venir</w:t>
      </w:r>
      <w:r w:rsidR="00283ED9" w:rsidRPr="00DD03D6">
        <w:rPr>
          <w:noProof/>
          <w:lang w:val="fr-FR"/>
        </w:rPr>
        <w:t>.</w:t>
      </w:r>
    </w:p>
    <w:p w:rsidR="00283ED9" w:rsidRPr="00DD03D6" w:rsidRDefault="005A088C" w:rsidP="00E62D34">
      <w:pPr>
        <w:pStyle w:val="SingleTxtG"/>
        <w:numPr>
          <w:ilvl w:val="0"/>
          <w:numId w:val="3"/>
        </w:numPr>
        <w:ind w:left="1134" w:firstLine="0"/>
        <w:rPr>
          <w:noProof/>
          <w:lang w:val="fr-FR" w:eastAsia="en-IE"/>
        </w:rPr>
      </w:pPr>
      <w:r>
        <w:rPr>
          <w:noProof/>
          <w:lang w:val="fr-FR"/>
        </w:rPr>
        <w:t xml:space="preserve">Le Programme pour les femmes enceintes en difficulté de la Direction des services de santé finance divers programmes de santé sexuelle ciblant différents groupes, notamment les </w:t>
      </w:r>
      <w:r w:rsidR="00283ED9" w:rsidRPr="00DD03D6">
        <w:rPr>
          <w:noProof/>
          <w:lang w:val="fr-FR"/>
        </w:rPr>
        <w:t xml:space="preserve">adolescents. </w:t>
      </w:r>
      <w:r>
        <w:rPr>
          <w:noProof/>
          <w:lang w:val="fr-FR"/>
        </w:rPr>
        <w:t xml:space="preserve">Il collabore avec les </w:t>
      </w:r>
      <w:r w:rsidR="000E7252">
        <w:rPr>
          <w:noProof/>
          <w:lang w:val="fr-FR"/>
        </w:rPr>
        <w:t xml:space="preserve">organisations à vocation éducative et les </w:t>
      </w:r>
      <w:r w:rsidR="00283ED9" w:rsidRPr="00DD03D6">
        <w:rPr>
          <w:noProof/>
          <w:lang w:val="fr-FR"/>
        </w:rPr>
        <w:t>organisation</w:t>
      </w:r>
      <w:r w:rsidR="000E7252">
        <w:rPr>
          <w:noProof/>
          <w:lang w:val="fr-FR"/>
        </w:rPr>
        <w:t>s travaillant avec la jeune</w:t>
      </w:r>
      <w:r w:rsidR="00283ED9" w:rsidRPr="00DD03D6">
        <w:rPr>
          <w:noProof/>
          <w:lang w:val="fr-FR"/>
        </w:rPr>
        <w:t>s</w:t>
      </w:r>
      <w:r w:rsidR="000E7252">
        <w:rPr>
          <w:noProof/>
          <w:lang w:val="fr-FR"/>
        </w:rPr>
        <w:t>se</w:t>
      </w:r>
      <w:r w:rsidR="00283ED9" w:rsidRPr="00DD03D6">
        <w:rPr>
          <w:noProof/>
          <w:lang w:val="fr-FR"/>
        </w:rPr>
        <w:t xml:space="preserve">, </w:t>
      </w:r>
      <w:r w:rsidR="000E7252">
        <w:rPr>
          <w:noProof/>
          <w:lang w:val="fr-FR"/>
        </w:rPr>
        <w:t xml:space="preserve">et </w:t>
      </w:r>
      <w:r w:rsidR="004525B5">
        <w:rPr>
          <w:noProof/>
          <w:lang w:val="fr-FR"/>
        </w:rPr>
        <w:t xml:space="preserve">a </w:t>
      </w:r>
      <w:r w:rsidR="000E7252">
        <w:rPr>
          <w:noProof/>
          <w:lang w:val="fr-FR"/>
        </w:rPr>
        <w:t xml:space="preserve">lancé un site Web </w:t>
      </w:r>
      <w:r w:rsidR="00283ED9" w:rsidRPr="00DD03D6">
        <w:rPr>
          <w:noProof/>
          <w:lang w:val="fr-FR" w:eastAsia="en-IE"/>
        </w:rPr>
        <w:t>(</w:t>
      </w:r>
      <w:hyperlink r:id="rId11" w:history="1">
        <w:r w:rsidR="00283ED9" w:rsidRPr="00DD03D6">
          <w:rPr>
            <w:rStyle w:val="Lienhypertexte"/>
            <w:noProof/>
            <w:color w:val="0066FF"/>
            <w:u w:val="single"/>
            <w:lang w:val="fr-FR" w:eastAsia="en-IE"/>
          </w:rPr>
          <w:t>www.b4udecide.ie</w:t>
        </w:r>
      </w:hyperlink>
      <w:r w:rsidR="00283ED9" w:rsidRPr="00DD03D6">
        <w:rPr>
          <w:noProof/>
          <w:lang w:val="fr-FR" w:eastAsia="en-IE"/>
        </w:rPr>
        <w:t xml:space="preserve">) </w:t>
      </w:r>
      <w:r w:rsidR="000E7252">
        <w:rPr>
          <w:noProof/>
          <w:lang w:val="fr-FR" w:eastAsia="en-IE"/>
        </w:rPr>
        <w:t xml:space="preserve">pour présenter des </w:t>
      </w:r>
      <w:r w:rsidR="00283ED9" w:rsidRPr="00DD03D6">
        <w:rPr>
          <w:noProof/>
          <w:lang w:val="fr-FR" w:eastAsia="en-IE"/>
        </w:rPr>
        <w:t>information</w:t>
      </w:r>
      <w:r w:rsidR="000E7252">
        <w:rPr>
          <w:noProof/>
          <w:lang w:val="fr-FR" w:eastAsia="en-IE"/>
        </w:rPr>
        <w:t>s</w:t>
      </w:r>
      <w:r w:rsidR="00283ED9" w:rsidRPr="00DD03D6">
        <w:rPr>
          <w:noProof/>
          <w:lang w:val="fr-FR" w:eastAsia="en-IE"/>
        </w:rPr>
        <w:t xml:space="preserve"> </w:t>
      </w:r>
      <w:r w:rsidR="000E7252">
        <w:rPr>
          <w:noProof/>
          <w:lang w:val="fr-FR" w:eastAsia="en-IE"/>
        </w:rPr>
        <w:t xml:space="preserve">sur la santé sexuelle à l’intention des jeunes, des </w:t>
      </w:r>
      <w:r w:rsidR="00283ED9" w:rsidRPr="00DD03D6">
        <w:rPr>
          <w:noProof/>
          <w:lang w:val="fr-FR" w:eastAsia="en-IE"/>
        </w:rPr>
        <w:t xml:space="preserve">parents </w:t>
      </w:r>
      <w:r w:rsidR="000E7252">
        <w:rPr>
          <w:noProof/>
          <w:lang w:val="fr-FR" w:eastAsia="en-IE"/>
        </w:rPr>
        <w:t xml:space="preserve">et des </w:t>
      </w:r>
      <w:r w:rsidR="00283ED9" w:rsidRPr="00DD03D6">
        <w:rPr>
          <w:noProof/>
          <w:lang w:val="fr-FR" w:eastAsia="en-IE"/>
        </w:rPr>
        <w:t>profession</w:t>
      </w:r>
      <w:r w:rsidR="000E7252">
        <w:rPr>
          <w:noProof/>
          <w:lang w:val="fr-FR" w:eastAsia="en-IE"/>
        </w:rPr>
        <w:t>ne</w:t>
      </w:r>
      <w:r w:rsidR="00283ED9" w:rsidRPr="00DD03D6">
        <w:rPr>
          <w:noProof/>
          <w:lang w:val="fr-FR" w:eastAsia="en-IE"/>
        </w:rPr>
        <w:t xml:space="preserve">ls. </w:t>
      </w:r>
      <w:r w:rsidR="000E7252">
        <w:rPr>
          <w:noProof/>
          <w:lang w:val="fr-FR" w:eastAsia="en-IE"/>
        </w:rPr>
        <w:t xml:space="preserve">Les activités entreprises dans le cadre de ce Programme portent essentiellement sur les thèmes suivants : </w:t>
      </w:r>
      <w:r w:rsidR="00283ED9" w:rsidRPr="00DD03D6">
        <w:rPr>
          <w:noProof/>
          <w:lang w:val="fr-FR" w:eastAsia="en-IE"/>
        </w:rPr>
        <w:t>collaborati</w:t>
      </w:r>
      <w:r w:rsidR="000E7252">
        <w:rPr>
          <w:noProof/>
          <w:lang w:val="fr-FR" w:eastAsia="en-IE"/>
        </w:rPr>
        <w:t>on avec le Ministère de l’éducation et de la formation et le Conseil n</w:t>
      </w:r>
      <w:r w:rsidR="00283ED9" w:rsidRPr="00DD03D6">
        <w:rPr>
          <w:noProof/>
          <w:lang w:val="fr-FR" w:eastAsia="en-IE"/>
        </w:rPr>
        <w:t xml:space="preserve">ational </w:t>
      </w:r>
      <w:r w:rsidR="000E7252">
        <w:rPr>
          <w:noProof/>
          <w:lang w:val="fr-FR" w:eastAsia="en-IE"/>
        </w:rPr>
        <w:t xml:space="preserve">de la jeunesse d’Irlande pour mener à bien l’exécution du programme </w:t>
      </w:r>
      <w:r w:rsidR="001768ED" w:rsidRPr="001768ED">
        <w:rPr>
          <w:noProof/>
          <w:lang w:val="fr-FR" w:eastAsia="en-IE"/>
        </w:rPr>
        <w:t>d’</w:t>
      </w:r>
      <w:r w:rsidR="001768ED" w:rsidRPr="001768ED">
        <w:rPr>
          <w:noProof/>
          <w:color w:val="000000"/>
          <w:lang w:val="fr-FR"/>
        </w:rPr>
        <w:t xml:space="preserve">éducation </w:t>
      </w:r>
      <w:r w:rsidR="001768ED" w:rsidRPr="001768ED">
        <w:rPr>
          <w:noProof/>
          <w:lang w:val="fr-FR"/>
        </w:rPr>
        <w:t>aux relations et à la sexualité</w:t>
      </w:r>
      <w:r w:rsidR="001768ED">
        <w:rPr>
          <w:noProof/>
          <w:lang w:val="fr-FR" w:eastAsia="en-IE"/>
        </w:rPr>
        <w:t xml:space="preserve"> </w:t>
      </w:r>
      <w:r w:rsidR="002676F7">
        <w:rPr>
          <w:noProof/>
          <w:lang w:val="fr-FR" w:eastAsia="en-IE"/>
        </w:rPr>
        <w:t xml:space="preserve">en milieu scolaire et </w:t>
      </w:r>
      <w:r w:rsidR="00C30FA4">
        <w:rPr>
          <w:noProof/>
          <w:lang w:val="fr-FR" w:eastAsia="en-IE"/>
        </w:rPr>
        <w:t>dans le cadre</w:t>
      </w:r>
      <w:r w:rsidR="002676F7">
        <w:rPr>
          <w:noProof/>
          <w:lang w:val="fr-FR" w:eastAsia="en-IE"/>
        </w:rPr>
        <w:t xml:space="preserve"> de travail des jeunes</w:t>
      </w:r>
      <w:r w:rsidR="00283ED9" w:rsidRPr="00DD03D6">
        <w:rPr>
          <w:noProof/>
          <w:lang w:val="fr-FR" w:eastAsia="en-IE"/>
        </w:rPr>
        <w:t>;</w:t>
      </w:r>
      <w:r w:rsidR="00C30FA4">
        <w:rPr>
          <w:noProof/>
          <w:lang w:val="fr-FR" w:eastAsia="en-IE"/>
        </w:rPr>
        <w:t xml:space="preserve"> élaboration, </w:t>
      </w:r>
      <w:r w:rsidR="00283ED9" w:rsidRPr="00DD03D6">
        <w:rPr>
          <w:noProof/>
          <w:lang w:val="fr-FR" w:eastAsia="en-IE"/>
        </w:rPr>
        <w:t xml:space="preserve">promotion </w:t>
      </w:r>
      <w:r w:rsidR="00C30FA4">
        <w:rPr>
          <w:noProof/>
          <w:lang w:val="fr-FR" w:eastAsia="en-IE"/>
        </w:rPr>
        <w:t>et</w:t>
      </w:r>
      <w:r w:rsidR="00283ED9" w:rsidRPr="00DD03D6">
        <w:rPr>
          <w:noProof/>
          <w:lang w:val="fr-FR" w:eastAsia="en-IE"/>
        </w:rPr>
        <w:t xml:space="preserve"> distribution </w:t>
      </w:r>
      <w:r w:rsidR="00C30FA4">
        <w:rPr>
          <w:noProof/>
          <w:lang w:val="fr-FR" w:eastAsia="en-IE"/>
        </w:rPr>
        <w:t xml:space="preserve">d’outils permettant aux jeunes et aux </w:t>
      </w:r>
      <w:r w:rsidR="00283ED9" w:rsidRPr="00DD03D6">
        <w:rPr>
          <w:noProof/>
          <w:lang w:val="fr-FR" w:eastAsia="en-IE"/>
        </w:rPr>
        <w:t xml:space="preserve">parents </w:t>
      </w:r>
      <w:r w:rsidR="004525B5">
        <w:rPr>
          <w:noProof/>
          <w:lang w:val="fr-FR" w:eastAsia="en-IE"/>
        </w:rPr>
        <w:t>d’instaurer</w:t>
      </w:r>
      <w:r w:rsidR="00C30FA4">
        <w:rPr>
          <w:noProof/>
          <w:lang w:val="fr-FR" w:eastAsia="en-IE"/>
        </w:rPr>
        <w:t xml:space="preserve"> une bonne </w:t>
      </w:r>
      <w:r w:rsidR="00283ED9" w:rsidRPr="00DD03D6">
        <w:rPr>
          <w:noProof/>
          <w:lang w:val="fr-FR" w:eastAsia="en-IE"/>
        </w:rPr>
        <w:t xml:space="preserve">communication </w:t>
      </w:r>
      <w:r w:rsidR="00C30FA4">
        <w:rPr>
          <w:noProof/>
          <w:lang w:val="fr-FR" w:eastAsia="en-IE"/>
        </w:rPr>
        <w:t>sur la sexualité</w:t>
      </w:r>
      <w:r w:rsidR="00283ED9" w:rsidRPr="00DD03D6">
        <w:rPr>
          <w:noProof/>
          <w:lang w:val="fr-FR" w:eastAsia="en-IE"/>
        </w:rPr>
        <w:t xml:space="preserve">; </w:t>
      </w:r>
      <w:r w:rsidR="00C30FA4">
        <w:rPr>
          <w:noProof/>
          <w:lang w:val="fr-FR" w:eastAsia="en-IE"/>
        </w:rPr>
        <w:t>formation à dispenser à diverses organisations de jeunes, à charge pour elle</w:t>
      </w:r>
      <w:r w:rsidR="004525B5">
        <w:rPr>
          <w:noProof/>
          <w:lang w:val="fr-FR" w:eastAsia="en-IE"/>
        </w:rPr>
        <w:t>s</w:t>
      </w:r>
      <w:r w:rsidR="00C30FA4">
        <w:rPr>
          <w:noProof/>
          <w:lang w:val="fr-FR" w:eastAsia="en-IE"/>
        </w:rPr>
        <w:t xml:space="preserve"> de dispenser une éducation</w:t>
      </w:r>
      <w:r w:rsidR="001768ED">
        <w:rPr>
          <w:noProof/>
          <w:lang w:val="fr-FR" w:eastAsia="en-IE"/>
        </w:rPr>
        <w:t xml:space="preserve"> aux relations et à la sexualité à des groupes cibles clés</w:t>
      </w:r>
      <w:r w:rsidR="00283ED9" w:rsidRPr="00DD03D6">
        <w:rPr>
          <w:noProof/>
          <w:lang w:val="fr-FR" w:eastAsia="en-IE"/>
        </w:rPr>
        <w:t xml:space="preserve">; </w:t>
      </w:r>
      <w:r w:rsidR="001768ED">
        <w:rPr>
          <w:noProof/>
          <w:lang w:val="fr-FR" w:eastAsia="en-IE"/>
        </w:rPr>
        <w:t>et collaboration avec les services travaillant avec les jeunes et financement de ces services afin de faire en sorte qu’ils se dotent d’un volet éducation aux relations et à la sexualité</w:t>
      </w:r>
      <w:r w:rsidR="00283ED9" w:rsidRPr="00DD03D6">
        <w:rPr>
          <w:noProof/>
          <w:lang w:val="fr-FR" w:eastAsia="en-IE"/>
        </w:rPr>
        <w:t xml:space="preserve">, </w:t>
      </w:r>
      <w:r w:rsidR="001768ED">
        <w:rPr>
          <w:noProof/>
          <w:lang w:val="fr-FR" w:eastAsia="en-IE"/>
        </w:rPr>
        <w:t xml:space="preserve">notamment dans le cas des </w:t>
      </w:r>
      <w:r w:rsidR="00283ED9" w:rsidRPr="00DD03D6">
        <w:rPr>
          <w:noProof/>
          <w:lang w:val="fr-FR" w:eastAsia="en-IE"/>
        </w:rPr>
        <w:t xml:space="preserve">services </w:t>
      </w:r>
      <w:r w:rsidR="001768ED">
        <w:rPr>
          <w:noProof/>
          <w:lang w:val="fr-FR" w:eastAsia="en-IE"/>
        </w:rPr>
        <w:t xml:space="preserve">s’occupant de groupes difficiles à atteindre </w:t>
      </w:r>
      <w:r w:rsidR="004525B5">
        <w:rPr>
          <w:noProof/>
          <w:lang w:val="fr-FR" w:eastAsia="en-IE"/>
        </w:rPr>
        <w:t>dans un contexte communautaire</w:t>
      </w:r>
      <w:r w:rsidR="00283ED9" w:rsidRPr="00DD03D6">
        <w:rPr>
          <w:noProof/>
          <w:lang w:val="fr-FR" w:eastAsia="en-IE"/>
        </w:rPr>
        <w:t>.</w:t>
      </w:r>
    </w:p>
    <w:p w:rsidR="00283ED9" w:rsidRPr="00DD03D6" w:rsidRDefault="004525B5" w:rsidP="004525B5">
      <w:pPr>
        <w:pStyle w:val="H23G"/>
        <w:ind w:firstLine="0"/>
        <w:rPr>
          <w:noProof/>
          <w:lang w:val="fr-FR"/>
        </w:rPr>
      </w:pPr>
      <w:r>
        <w:rPr>
          <w:noProof/>
          <w:lang w:val="fr-FR"/>
        </w:rPr>
        <w:t xml:space="preserve">Pratiques traditionnelles préjudiciables </w:t>
      </w:r>
      <w:r w:rsidR="002A1CB1" w:rsidRPr="00DD03D6">
        <w:rPr>
          <w:noProof/>
          <w:lang w:val="fr-FR"/>
        </w:rPr>
        <w:t>(</w:t>
      </w:r>
      <w:r>
        <w:rPr>
          <w:noProof/>
          <w:lang w:val="fr-FR"/>
        </w:rPr>
        <w:t xml:space="preserve">voir le chapitre </w:t>
      </w:r>
      <w:r w:rsidR="00283ED9" w:rsidRPr="00DD03D6">
        <w:rPr>
          <w:noProof/>
          <w:lang w:val="fr-FR"/>
        </w:rPr>
        <w:t>6)</w:t>
      </w:r>
    </w:p>
    <w:p w:rsidR="00283ED9" w:rsidRPr="00DC6DBF" w:rsidRDefault="00DC6DBF" w:rsidP="00971A0C">
      <w:pPr>
        <w:pStyle w:val="SingleTxtG"/>
        <w:numPr>
          <w:ilvl w:val="0"/>
          <w:numId w:val="3"/>
        </w:numPr>
        <w:ind w:left="1134" w:firstLine="0"/>
        <w:rPr>
          <w:noProof/>
          <w:lang w:val="fr-FR"/>
        </w:rPr>
      </w:pPr>
      <w:r w:rsidRPr="00DC6DBF">
        <w:rPr>
          <w:b/>
          <w:noProof/>
          <w:lang w:val="fr-FR"/>
        </w:rPr>
        <w:t>Le Comité prie instamment l’État partie de redoubler d’efforts pour mettre fin à</w:t>
      </w:r>
      <w:r w:rsidR="002F20C7">
        <w:rPr>
          <w:b/>
          <w:noProof/>
          <w:lang w:val="fr-FR"/>
        </w:rPr>
        <w:t xml:space="preserve"> </w:t>
      </w:r>
      <w:r w:rsidRPr="00DC6DBF">
        <w:rPr>
          <w:b/>
          <w:noProof/>
          <w:lang w:val="fr-FR"/>
        </w:rPr>
        <w:t>la</w:t>
      </w:r>
      <w:r w:rsidR="002F20C7">
        <w:rPr>
          <w:b/>
          <w:noProof/>
          <w:lang w:val="fr-FR"/>
        </w:rPr>
        <w:t xml:space="preserve"> </w:t>
      </w:r>
      <w:r w:rsidRPr="00DC6DBF">
        <w:rPr>
          <w:b/>
          <w:noProof/>
          <w:lang w:val="fr-FR"/>
        </w:rPr>
        <w:t>pratique des mutilations génitales féminines, par exemple en la rendant illégale, en prévoyant d’établir la compétence extraterritoriale des tribunaux à l’égard de ces actes, et</w:t>
      </w:r>
      <w:r w:rsidR="002F20C7">
        <w:rPr>
          <w:b/>
          <w:noProof/>
          <w:lang w:val="fr-FR"/>
        </w:rPr>
        <w:t xml:space="preserve"> </w:t>
      </w:r>
      <w:r w:rsidRPr="00DC6DBF">
        <w:rPr>
          <w:b/>
          <w:noProof/>
          <w:lang w:val="fr-FR"/>
        </w:rPr>
        <w:t>en mettant en œuvre des programmes ciblés pour sensibiliser toutes les couches de la</w:t>
      </w:r>
      <w:r w:rsidR="002F20C7">
        <w:rPr>
          <w:b/>
          <w:noProof/>
          <w:lang w:val="fr-FR"/>
        </w:rPr>
        <w:t xml:space="preserve"> </w:t>
      </w:r>
      <w:r w:rsidRPr="00DC6DBF">
        <w:rPr>
          <w:b/>
          <w:noProof/>
          <w:lang w:val="fr-FR"/>
        </w:rPr>
        <w:t>population aux conséquences extrêmement préjudiciables de cette pratique. Le Comité recommande à</w:t>
      </w:r>
      <w:r w:rsidRPr="00DC6DBF">
        <w:rPr>
          <w:bCs/>
          <w:noProof/>
          <w:lang w:val="fr-FR"/>
        </w:rPr>
        <w:t xml:space="preserve"> </w:t>
      </w:r>
      <w:r w:rsidRPr="00DC6DBF">
        <w:rPr>
          <w:b/>
          <w:noProof/>
          <w:lang w:val="fr-FR"/>
        </w:rPr>
        <w:t>l’État partie de mobiliser et d’impliquer dans la prévention des mutilations génitales féminines tous les partenaires concernés au niveau local, notamment les enseignants, les sages-femmes, les praticiens de la médecine traditionnelle, les dirigeants religieux et les chefs de communauté. Le Comité attire également l’attention de l’État partie sur les</w:t>
      </w:r>
      <w:r w:rsidRPr="00DC6DBF">
        <w:rPr>
          <w:bCs/>
          <w:noProof/>
          <w:lang w:val="fr-FR"/>
        </w:rPr>
        <w:t xml:space="preserve"> </w:t>
      </w:r>
      <w:r w:rsidRPr="00DC6DBF">
        <w:rPr>
          <w:b/>
          <w:bCs/>
          <w:noProof/>
          <w:lang w:val="fr-FR"/>
        </w:rPr>
        <w:t>recommandations qu’il a adoptées lors de la journée de débat général sur la</w:t>
      </w:r>
      <w:r w:rsidR="002F20C7">
        <w:rPr>
          <w:b/>
          <w:bCs/>
          <w:noProof/>
          <w:lang w:val="fr-FR"/>
        </w:rPr>
        <w:t xml:space="preserve"> </w:t>
      </w:r>
      <w:r w:rsidRPr="00DC6DBF">
        <w:rPr>
          <w:b/>
          <w:bCs/>
          <w:noProof/>
          <w:lang w:val="fr-FR"/>
        </w:rPr>
        <w:t>fillette (CRC/C/38).</w:t>
      </w:r>
    </w:p>
    <w:p w:rsidR="00283ED9" w:rsidRPr="00DD03D6" w:rsidRDefault="00DB6568" w:rsidP="009D2532">
      <w:pPr>
        <w:pStyle w:val="SingleTxtG"/>
        <w:numPr>
          <w:ilvl w:val="0"/>
          <w:numId w:val="3"/>
        </w:numPr>
        <w:ind w:left="1134" w:firstLine="0"/>
        <w:rPr>
          <w:noProof/>
          <w:lang w:val="fr-FR"/>
        </w:rPr>
      </w:pPr>
      <w:r>
        <w:rPr>
          <w:noProof/>
          <w:lang w:val="fr-FR"/>
        </w:rPr>
        <w:lastRenderedPageBreak/>
        <w:t xml:space="preserve">Le </w:t>
      </w:r>
      <w:r w:rsidR="00283ED9" w:rsidRPr="00DD03D6">
        <w:rPr>
          <w:noProof/>
          <w:lang w:val="fr-FR"/>
        </w:rPr>
        <w:t xml:space="preserve">2 </w:t>
      </w:r>
      <w:r>
        <w:rPr>
          <w:noProof/>
          <w:lang w:val="fr-FR"/>
        </w:rPr>
        <w:t>av</w:t>
      </w:r>
      <w:r w:rsidR="00283ED9" w:rsidRPr="00DD03D6">
        <w:rPr>
          <w:noProof/>
          <w:lang w:val="fr-FR"/>
        </w:rPr>
        <w:t xml:space="preserve">ril 2012, </w:t>
      </w:r>
      <w:r>
        <w:rPr>
          <w:noProof/>
          <w:lang w:val="fr-FR"/>
        </w:rPr>
        <w:t xml:space="preserve">le </w:t>
      </w:r>
      <w:r w:rsidR="00283ED9" w:rsidRPr="00DD03D6">
        <w:rPr>
          <w:noProof/>
          <w:lang w:val="fr-FR"/>
        </w:rPr>
        <w:t>Pr</w:t>
      </w:r>
      <w:r>
        <w:rPr>
          <w:noProof/>
          <w:lang w:val="fr-FR"/>
        </w:rPr>
        <w:t>é</w:t>
      </w:r>
      <w:r w:rsidR="00283ED9" w:rsidRPr="00DD03D6">
        <w:rPr>
          <w:noProof/>
          <w:lang w:val="fr-FR"/>
        </w:rPr>
        <w:t xml:space="preserve">sident </w:t>
      </w:r>
      <w:r>
        <w:rPr>
          <w:noProof/>
          <w:lang w:val="fr-FR"/>
        </w:rPr>
        <w:t xml:space="preserve">a promulgué la loi de 2011 sur la justice pénale </w:t>
      </w:r>
      <w:r w:rsidR="00283ED9" w:rsidRPr="00DD03D6">
        <w:rPr>
          <w:noProof/>
          <w:lang w:val="fr-FR"/>
        </w:rPr>
        <w:t>(</w:t>
      </w:r>
      <w:r>
        <w:rPr>
          <w:noProof/>
          <w:lang w:val="fr-FR"/>
        </w:rPr>
        <w:t>m</w:t>
      </w:r>
      <w:r w:rsidR="00283ED9" w:rsidRPr="00DD03D6">
        <w:rPr>
          <w:noProof/>
          <w:lang w:val="fr-FR"/>
        </w:rPr>
        <w:t>utilation</w:t>
      </w:r>
      <w:r>
        <w:rPr>
          <w:noProof/>
          <w:lang w:val="fr-FR"/>
        </w:rPr>
        <w:t>s génitales féminines</w:t>
      </w:r>
      <w:r w:rsidR="00283ED9" w:rsidRPr="00DD03D6">
        <w:rPr>
          <w:noProof/>
          <w:lang w:val="fr-FR"/>
        </w:rPr>
        <w:t xml:space="preserve">). </w:t>
      </w:r>
      <w:r>
        <w:rPr>
          <w:noProof/>
          <w:lang w:val="fr-FR"/>
        </w:rPr>
        <w:t xml:space="preserve">Cette loi, qui s’applique depuis le </w:t>
      </w:r>
      <w:r w:rsidR="00283ED9" w:rsidRPr="00DD03D6">
        <w:rPr>
          <w:noProof/>
          <w:lang w:val="fr-FR"/>
        </w:rPr>
        <w:t xml:space="preserve">20 </w:t>
      </w:r>
      <w:r>
        <w:rPr>
          <w:noProof/>
          <w:lang w:val="fr-FR"/>
        </w:rPr>
        <w:t>s</w:t>
      </w:r>
      <w:r w:rsidR="00283ED9" w:rsidRPr="00DD03D6">
        <w:rPr>
          <w:noProof/>
          <w:lang w:val="fr-FR"/>
        </w:rPr>
        <w:t>eptemb</w:t>
      </w:r>
      <w:r>
        <w:rPr>
          <w:noProof/>
          <w:lang w:val="fr-FR"/>
        </w:rPr>
        <w:t>re</w:t>
      </w:r>
      <w:r w:rsidR="00283ED9" w:rsidRPr="00DD03D6">
        <w:rPr>
          <w:noProof/>
          <w:lang w:val="fr-FR"/>
        </w:rPr>
        <w:t xml:space="preserve"> 2012</w:t>
      </w:r>
      <w:r>
        <w:rPr>
          <w:noProof/>
          <w:lang w:val="fr-FR"/>
        </w:rPr>
        <w:t>, interdit expressément les m</w:t>
      </w:r>
      <w:r w:rsidRPr="00DD03D6">
        <w:rPr>
          <w:noProof/>
          <w:lang w:val="fr-FR"/>
        </w:rPr>
        <w:t>utilation</w:t>
      </w:r>
      <w:r>
        <w:rPr>
          <w:noProof/>
          <w:lang w:val="fr-FR"/>
        </w:rPr>
        <w:t>s génitales féminines</w:t>
      </w:r>
      <w:r w:rsidRPr="00DD03D6">
        <w:rPr>
          <w:noProof/>
          <w:lang w:val="fr-FR"/>
        </w:rPr>
        <w:t xml:space="preserve"> </w:t>
      </w:r>
      <w:r w:rsidR="00283ED9" w:rsidRPr="00DD03D6">
        <w:rPr>
          <w:noProof/>
          <w:lang w:val="fr-FR"/>
        </w:rPr>
        <w:t>(</w:t>
      </w:r>
      <w:r>
        <w:rPr>
          <w:noProof/>
          <w:lang w:val="fr-FR"/>
        </w:rPr>
        <w:t>MGF</w:t>
      </w:r>
      <w:r w:rsidR="00283ED9" w:rsidRPr="00DD03D6">
        <w:rPr>
          <w:noProof/>
          <w:lang w:val="fr-FR"/>
        </w:rPr>
        <w:t xml:space="preserve">) </w:t>
      </w:r>
      <w:r w:rsidR="005946B2">
        <w:rPr>
          <w:noProof/>
          <w:lang w:val="fr-FR"/>
        </w:rPr>
        <w:t>et sanctionne les infractions connexes</w:t>
      </w:r>
      <w:r w:rsidR="00283ED9" w:rsidRPr="00DD03D6">
        <w:rPr>
          <w:noProof/>
          <w:lang w:val="fr-FR"/>
        </w:rPr>
        <w:t xml:space="preserve">, </w:t>
      </w:r>
      <w:r w:rsidR="005946B2">
        <w:rPr>
          <w:noProof/>
          <w:lang w:val="fr-FR"/>
        </w:rPr>
        <w:t>dont certaines mettent en jeu la compétence extraterritoriale</w:t>
      </w:r>
      <w:r w:rsidR="00283ED9" w:rsidRPr="00DD03D6">
        <w:rPr>
          <w:noProof/>
          <w:lang w:val="fr-FR"/>
        </w:rPr>
        <w:t xml:space="preserve">. </w:t>
      </w:r>
      <w:r w:rsidR="005946B2">
        <w:rPr>
          <w:noProof/>
          <w:lang w:val="fr-FR"/>
        </w:rPr>
        <w:t>Elle érige également en infraction pénale le fait de faire sortir une fille du pays pour lui faire subir une MGF</w:t>
      </w:r>
      <w:r w:rsidR="00283ED9" w:rsidRPr="00DD03D6">
        <w:rPr>
          <w:noProof/>
          <w:lang w:val="fr-FR"/>
        </w:rPr>
        <w:t xml:space="preserve">. </w:t>
      </w:r>
      <w:r w:rsidR="005946B2">
        <w:rPr>
          <w:noProof/>
          <w:lang w:val="fr-FR"/>
        </w:rPr>
        <w:t xml:space="preserve">Adoptant une perspective fondée sur les droits fondamentaux, cette loi dispose que le droit de </w:t>
      </w:r>
      <w:r w:rsidR="008919CB">
        <w:rPr>
          <w:noProof/>
          <w:lang w:val="fr-FR"/>
        </w:rPr>
        <w:t>mettre ses traditions et convictions culturelles en pratique ne peut être invoqué pour justifier les MGF, qui sont internationalement considérées comme une forme de violence sexiste</w:t>
      </w:r>
      <w:r w:rsidR="00283ED9" w:rsidRPr="00DD03D6">
        <w:rPr>
          <w:noProof/>
          <w:lang w:val="fr-FR"/>
        </w:rPr>
        <w:t xml:space="preserve">. </w:t>
      </w:r>
      <w:r w:rsidR="008919CB">
        <w:rPr>
          <w:noProof/>
          <w:lang w:val="fr-FR"/>
        </w:rPr>
        <w:t>Les coutumes et les rites ne peuvent pas être un moyen de défense en justice, non plus que le consentement de la fille/femme ou de ses parents/tuteurs</w:t>
      </w:r>
      <w:r w:rsidR="00283ED9" w:rsidRPr="00DD03D6">
        <w:rPr>
          <w:noProof/>
          <w:lang w:val="fr-FR"/>
        </w:rPr>
        <w:t xml:space="preserve">. </w:t>
      </w:r>
      <w:r w:rsidR="008919CB">
        <w:rPr>
          <w:noProof/>
          <w:lang w:val="fr-FR"/>
        </w:rPr>
        <w:t>Cette infraction est passible d’une peine d’emprisonne</w:t>
      </w:r>
      <w:r w:rsidR="002F20C7">
        <w:rPr>
          <w:noProof/>
          <w:lang w:val="fr-FR"/>
        </w:rPr>
        <w:t>ment d’une durée maximale de 14 </w:t>
      </w:r>
      <w:r w:rsidR="008919CB">
        <w:rPr>
          <w:noProof/>
          <w:lang w:val="fr-FR"/>
        </w:rPr>
        <w:t>ans et/ou d’une amende</w:t>
      </w:r>
      <w:r w:rsidR="00283ED9" w:rsidRPr="00DD03D6">
        <w:rPr>
          <w:noProof/>
          <w:lang w:val="fr-FR"/>
        </w:rPr>
        <w:t xml:space="preserve">; </w:t>
      </w:r>
      <w:r w:rsidR="00F2188B">
        <w:rPr>
          <w:noProof/>
          <w:lang w:val="fr-FR"/>
        </w:rPr>
        <w:t>s</w:t>
      </w:r>
      <w:r w:rsidR="00F2188B" w:rsidRPr="00F2188B">
        <w:rPr>
          <w:noProof/>
          <w:lang w:val="fr-FR"/>
        </w:rPr>
        <w:t>ur déclaration de culpabilité par procédure sommaire</w:t>
      </w:r>
      <w:r w:rsidR="00283ED9" w:rsidRPr="00DD03D6">
        <w:rPr>
          <w:noProof/>
          <w:lang w:val="fr-FR"/>
        </w:rPr>
        <w:t xml:space="preserve">, </w:t>
      </w:r>
      <w:r w:rsidR="00F2188B">
        <w:rPr>
          <w:noProof/>
          <w:lang w:val="fr-FR"/>
        </w:rPr>
        <w:t xml:space="preserve">son auteur est passible d’une amende d’un montant maximal de </w:t>
      </w:r>
      <w:r w:rsidR="00283ED9" w:rsidRPr="00DD03D6">
        <w:rPr>
          <w:noProof/>
          <w:lang w:val="fr-FR"/>
        </w:rPr>
        <w:t>5</w:t>
      </w:r>
      <w:r w:rsidR="002F20C7">
        <w:rPr>
          <w:noProof/>
          <w:lang w:val="fr-FR"/>
        </w:rPr>
        <w:t> </w:t>
      </w:r>
      <w:r w:rsidR="00283ED9" w:rsidRPr="00DD03D6">
        <w:rPr>
          <w:noProof/>
          <w:lang w:val="fr-FR"/>
        </w:rPr>
        <w:t xml:space="preserve">000 </w:t>
      </w:r>
      <w:r w:rsidR="00F2188B">
        <w:rPr>
          <w:noProof/>
          <w:lang w:val="fr-FR"/>
        </w:rPr>
        <w:t>euros et</w:t>
      </w:r>
      <w:r w:rsidR="00283ED9" w:rsidRPr="00DD03D6">
        <w:rPr>
          <w:noProof/>
          <w:lang w:val="fr-FR"/>
        </w:rPr>
        <w:t>/o</w:t>
      </w:r>
      <w:r w:rsidR="00F2188B">
        <w:rPr>
          <w:noProof/>
          <w:lang w:val="fr-FR"/>
        </w:rPr>
        <w:t>u</w:t>
      </w:r>
      <w:r w:rsidR="00283ED9" w:rsidRPr="00DD03D6">
        <w:rPr>
          <w:noProof/>
          <w:lang w:val="fr-FR"/>
        </w:rPr>
        <w:t xml:space="preserve"> </w:t>
      </w:r>
      <w:r w:rsidR="00F2188B">
        <w:rPr>
          <w:noProof/>
          <w:lang w:val="fr-FR"/>
        </w:rPr>
        <w:t xml:space="preserve">d’une peine d’emprisonnement d’une durée maximale de </w:t>
      </w:r>
      <w:r w:rsidR="00283ED9" w:rsidRPr="00DD03D6">
        <w:rPr>
          <w:noProof/>
          <w:lang w:val="fr-FR"/>
        </w:rPr>
        <w:t>12 mo</w:t>
      </w:r>
      <w:r w:rsidR="00F2188B">
        <w:rPr>
          <w:noProof/>
          <w:lang w:val="fr-FR"/>
        </w:rPr>
        <w:t>is</w:t>
      </w:r>
      <w:r w:rsidR="00283ED9" w:rsidRPr="00DD03D6">
        <w:rPr>
          <w:noProof/>
          <w:lang w:val="fr-FR"/>
        </w:rPr>
        <w:t>, o</w:t>
      </w:r>
      <w:r w:rsidR="00F2188B">
        <w:rPr>
          <w:noProof/>
          <w:lang w:val="fr-FR"/>
        </w:rPr>
        <w:t>u des deux</w:t>
      </w:r>
      <w:r w:rsidR="00283ED9" w:rsidRPr="00DD03D6">
        <w:rPr>
          <w:noProof/>
          <w:lang w:val="fr-FR"/>
        </w:rPr>
        <w:t>.</w:t>
      </w:r>
    </w:p>
    <w:p w:rsidR="00283ED9" w:rsidRPr="00DD03D6" w:rsidRDefault="00F2188B" w:rsidP="00F2188B">
      <w:pPr>
        <w:pStyle w:val="H23G"/>
        <w:ind w:firstLine="0"/>
        <w:rPr>
          <w:noProof/>
          <w:lang w:val="fr-FR"/>
        </w:rPr>
      </w:pPr>
      <w:r>
        <w:rPr>
          <w:noProof/>
          <w:lang w:val="fr-FR"/>
        </w:rPr>
        <w:t xml:space="preserve">Niveau de vie </w:t>
      </w:r>
      <w:r w:rsidR="002A1CB1" w:rsidRPr="00DD03D6">
        <w:rPr>
          <w:noProof/>
          <w:lang w:val="fr-FR"/>
        </w:rPr>
        <w:t>(</w:t>
      </w:r>
      <w:r>
        <w:rPr>
          <w:noProof/>
          <w:lang w:val="fr-FR"/>
        </w:rPr>
        <w:t xml:space="preserve">voir le chapitre </w:t>
      </w:r>
      <w:r w:rsidR="00283ED9" w:rsidRPr="00DD03D6">
        <w:rPr>
          <w:noProof/>
          <w:lang w:val="fr-FR"/>
        </w:rPr>
        <w:t>6)</w:t>
      </w:r>
    </w:p>
    <w:p w:rsidR="00283ED9" w:rsidRPr="00056F9F" w:rsidRDefault="00056F9F" w:rsidP="00E62D34">
      <w:pPr>
        <w:pStyle w:val="SingleTxtG"/>
        <w:numPr>
          <w:ilvl w:val="0"/>
          <w:numId w:val="3"/>
        </w:numPr>
        <w:ind w:left="1134" w:firstLine="0"/>
        <w:rPr>
          <w:noProof/>
          <w:lang w:val="fr-FR"/>
        </w:rPr>
      </w:pPr>
      <w:r w:rsidRPr="00056F9F">
        <w:rPr>
          <w:b/>
          <w:bCs/>
          <w:noProof/>
          <w:lang w:val="fr-FR"/>
        </w:rPr>
        <w:t>Le Comité recommande à</w:t>
      </w:r>
      <w:r w:rsidR="002F20C7">
        <w:rPr>
          <w:b/>
          <w:bCs/>
          <w:noProof/>
          <w:lang w:val="fr-FR"/>
        </w:rPr>
        <w:t xml:space="preserve"> l’État partie </w:t>
      </w:r>
      <w:r w:rsidR="00283ED9" w:rsidRPr="00056F9F">
        <w:rPr>
          <w:b/>
          <w:noProof/>
          <w:lang w:val="fr-FR"/>
        </w:rPr>
        <w:t>:</w:t>
      </w:r>
    </w:p>
    <w:p w:rsidR="00283ED9" w:rsidRPr="00056F9F" w:rsidRDefault="00283ED9" w:rsidP="00396B1A">
      <w:pPr>
        <w:pStyle w:val="SingleTxtG"/>
        <w:ind w:firstLine="567"/>
        <w:rPr>
          <w:b/>
          <w:noProof/>
          <w:lang w:val="fr-FR"/>
        </w:rPr>
      </w:pPr>
      <w:r w:rsidRPr="00056F9F">
        <w:rPr>
          <w:b/>
          <w:noProof/>
          <w:lang w:val="fr-FR"/>
        </w:rPr>
        <w:t>a)</w:t>
      </w:r>
      <w:r w:rsidRPr="00056F9F">
        <w:rPr>
          <w:b/>
          <w:noProof/>
          <w:lang w:val="fr-FR"/>
        </w:rPr>
        <w:tab/>
      </w:r>
      <w:r w:rsidR="00056F9F" w:rsidRPr="00056F9F">
        <w:rPr>
          <w:b/>
          <w:noProof/>
          <w:lang w:val="fr-FR"/>
        </w:rPr>
        <w:t>De mettre véritablement en œuvre la stratégie nationale de lutte contre la pauvreté et de renforcer son aide aux familles économiquement faibles, e</w:t>
      </w:r>
      <w:r w:rsidR="002F20C7">
        <w:rPr>
          <w:b/>
          <w:noProof/>
          <w:lang w:val="fr-FR"/>
        </w:rPr>
        <w:t xml:space="preserve">n vue de réduire la pauvreté et </w:t>
      </w:r>
      <w:r w:rsidR="00056F9F" w:rsidRPr="00056F9F">
        <w:rPr>
          <w:b/>
          <w:noProof/>
          <w:lang w:val="fr-FR"/>
        </w:rPr>
        <w:t>de protéger les enfants contre les effets dommageables des difficultés économiques sur leur développement</w:t>
      </w:r>
      <w:r w:rsidRPr="00056F9F">
        <w:rPr>
          <w:b/>
          <w:noProof/>
          <w:lang w:val="fr-FR"/>
        </w:rPr>
        <w:t>;</w:t>
      </w:r>
    </w:p>
    <w:p w:rsidR="00283ED9" w:rsidRPr="00056F9F" w:rsidRDefault="00283ED9" w:rsidP="00396B1A">
      <w:pPr>
        <w:pStyle w:val="SingleTxtG"/>
        <w:ind w:firstLine="567"/>
        <w:rPr>
          <w:b/>
          <w:noProof/>
          <w:lang w:val="fr-FR"/>
        </w:rPr>
      </w:pPr>
      <w:r w:rsidRPr="00056F9F">
        <w:rPr>
          <w:b/>
          <w:noProof/>
          <w:lang w:val="fr-FR"/>
        </w:rPr>
        <w:t>b)</w:t>
      </w:r>
      <w:r w:rsidRPr="00056F9F">
        <w:rPr>
          <w:b/>
          <w:noProof/>
          <w:lang w:val="fr-FR"/>
        </w:rPr>
        <w:tab/>
      </w:r>
      <w:r w:rsidR="00056F9F" w:rsidRPr="00056F9F">
        <w:rPr>
          <w:b/>
          <w:noProof/>
          <w:lang w:val="fr-FR"/>
        </w:rPr>
        <w:t>D’i</w:t>
      </w:r>
      <w:r w:rsidR="00056F9F" w:rsidRPr="00056F9F">
        <w:rPr>
          <w:b/>
          <w:bCs/>
          <w:noProof/>
          <w:lang w:val="fr-FR"/>
        </w:rPr>
        <w:t>ntroduire, en complément des allocations familiales auxquelles toutes les familles ont droit, une allocation supplémentaire ciblée pour les familles les plus pauvres</w:t>
      </w:r>
      <w:r w:rsidRPr="00056F9F">
        <w:rPr>
          <w:b/>
          <w:noProof/>
          <w:lang w:val="fr-FR"/>
        </w:rPr>
        <w:t>;</w:t>
      </w:r>
    </w:p>
    <w:p w:rsidR="00283ED9" w:rsidRPr="00056F9F" w:rsidRDefault="00283ED9" w:rsidP="00396B1A">
      <w:pPr>
        <w:pStyle w:val="SingleTxtG"/>
        <w:ind w:firstLine="567"/>
        <w:rPr>
          <w:b/>
          <w:noProof/>
          <w:lang w:val="fr-FR"/>
        </w:rPr>
      </w:pPr>
      <w:r w:rsidRPr="00056F9F">
        <w:rPr>
          <w:b/>
          <w:noProof/>
          <w:lang w:val="fr-FR"/>
        </w:rPr>
        <w:t>c)</w:t>
      </w:r>
      <w:r w:rsidRPr="00056F9F">
        <w:rPr>
          <w:b/>
          <w:noProof/>
          <w:lang w:val="fr-FR"/>
        </w:rPr>
        <w:tab/>
      </w:r>
      <w:r w:rsidR="00056F9F" w:rsidRPr="00056F9F">
        <w:rPr>
          <w:b/>
          <w:noProof/>
          <w:lang w:val="fr-FR"/>
        </w:rPr>
        <w:t>De m</w:t>
      </w:r>
      <w:r w:rsidR="00056F9F" w:rsidRPr="00056F9F">
        <w:rPr>
          <w:b/>
          <w:bCs/>
          <w:noProof/>
          <w:lang w:val="fr-FR"/>
        </w:rPr>
        <w:t xml:space="preserve">ettre pleinement en œuvre les politiques et les stratégies existantes et d’augmenter les crédits budgétaires et les subventions accordés aux services tels que garde d’enfants, soins médicaux et </w:t>
      </w:r>
      <w:r w:rsidR="00EE6632">
        <w:rPr>
          <w:b/>
          <w:bCs/>
          <w:noProof/>
          <w:lang w:val="fr-FR"/>
        </w:rPr>
        <w:t>lo</w:t>
      </w:r>
      <w:r w:rsidR="00056F9F" w:rsidRPr="00056F9F">
        <w:rPr>
          <w:b/>
          <w:bCs/>
          <w:noProof/>
          <w:lang w:val="fr-FR"/>
        </w:rPr>
        <w:t xml:space="preserve">gement destinés aux familles avec des enfants particulièrement vulnérables; et </w:t>
      </w:r>
    </w:p>
    <w:p w:rsidR="00283ED9" w:rsidRPr="00DD03D6" w:rsidRDefault="00283ED9" w:rsidP="00396B1A">
      <w:pPr>
        <w:pStyle w:val="SingleTxtG"/>
        <w:ind w:firstLine="567"/>
        <w:rPr>
          <w:b/>
          <w:noProof/>
          <w:lang w:val="fr-FR"/>
        </w:rPr>
      </w:pPr>
      <w:r w:rsidRPr="00056F9F">
        <w:rPr>
          <w:b/>
          <w:noProof/>
          <w:lang w:val="fr-FR"/>
        </w:rPr>
        <w:t>d)</w:t>
      </w:r>
      <w:r w:rsidRPr="00056F9F">
        <w:rPr>
          <w:b/>
          <w:noProof/>
          <w:lang w:val="fr-FR"/>
        </w:rPr>
        <w:tab/>
      </w:r>
      <w:r w:rsidR="00056F9F" w:rsidRPr="00056F9F">
        <w:rPr>
          <w:b/>
          <w:noProof/>
          <w:lang w:val="fr-FR"/>
        </w:rPr>
        <w:t>D’i</w:t>
      </w:r>
      <w:r w:rsidR="00056F9F" w:rsidRPr="00056F9F">
        <w:rPr>
          <w:b/>
          <w:bCs/>
          <w:noProof/>
          <w:lang w:val="fr-FR"/>
        </w:rPr>
        <w:t>nvestir davantage dans des logements sociaux accessibles aux familles à faible revenu</w:t>
      </w:r>
      <w:r w:rsidRPr="00DD03D6">
        <w:rPr>
          <w:b/>
          <w:noProof/>
          <w:lang w:val="fr-FR"/>
        </w:rPr>
        <w:t>.</w:t>
      </w:r>
    </w:p>
    <w:p w:rsidR="00283ED9" w:rsidRPr="00DD03D6" w:rsidRDefault="00056F9F" w:rsidP="00E62D34">
      <w:pPr>
        <w:pStyle w:val="SingleTxtG"/>
        <w:numPr>
          <w:ilvl w:val="0"/>
          <w:numId w:val="3"/>
        </w:numPr>
        <w:ind w:left="1134" w:firstLine="0"/>
        <w:rPr>
          <w:noProof/>
          <w:lang w:val="fr-FR"/>
        </w:rPr>
      </w:pPr>
      <w:r>
        <w:rPr>
          <w:noProof/>
          <w:lang w:val="fr-FR"/>
        </w:rPr>
        <w:t>La lutte contre la pauvreté des enfants est une priorité pour le Gouvernement</w:t>
      </w:r>
      <w:r w:rsidR="00283ED9" w:rsidRPr="00DD03D6">
        <w:rPr>
          <w:noProof/>
          <w:lang w:val="fr-FR"/>
        </w:rPr>
        <w:t xml:space="preserve">. </w:t>
      </w:r>
      <w:r>
        <w:rPr>
          <w:noProof/>
          <w:lang w:val="fr-FR"/>
        </w:rPr>
        <w:t xml:space="preserve">Quatre des objectifs de haut niveau définis dans </w:t>
      </w:r>
      <w:r w:rsidR="00BF5E91">
        <w:rPr>
          <w:noProof/>
          <w:lang w:val="fr-FR"/>
        </w:rPr>
        <w:t>le Plan d’action national pour l’intégration sociale</w:t>
      </w:r>
      <w:r w:rsidR="00283ED9" w:rsidRPr="00DD03D6">
        <w:rPr>
          <w:noProof/>
          <w:lang w:val="fr-FR"/>
        </w:rPr>
        <w:t xml:space="preserve">, 2007-2016 </w:t>
      </w:r>
      <w:r w:rsidR="00BF5E91">
        <w:rPr>
          <w:noProof/>
          <w:lang w:val="fr-FR"/>
        </w:rPr>
        <w:t xml:space="preserve">concernent les enfants; c’est également le cas de </w:t>
      </w:r>
      <w:r w:rsidR="00283ED9" w:rsidRPr="00DD03D6">
        <w:rPr>
          <w:noProof/>
          <w:lang w:val="fr-FR"/>
        </w:rPr>
        <w:t xml:space="preserve">45 </w:t>
      </w:r>
      <w:r w:rsidR="00BF5E91">
        <w:rPr>
          <w:noProof/>
          <w:lang w:val="fr-FR"/>
        </w:rPr>
        <w:t xml:space="preserve">de ses </w:t>
      </w:r>
      <w:r w:rsidR="004350FD">
        <w:rPr>
          <w:noProof/>
          <w:lang w:val="fr-FR"/>
        </w:rPr>
        <w:t>objectifs chiffrés</w:t>
      </w:r>
      <w:r w:rsidR="00283ED9" w:rsidRPr="00DD03D6">
        <w:rPr>
          <w:noProof/>
          <w:lang w:val="fr-FR"/>
        </w:rPr>
        <w:t xml:space="preserve">. </w:t>
      </w:r>
      <w:r w:rsidR="004350FD">
        <w:rPr>
          <w:noProof/>
          <w:lang w:val="fr-FR"/>
        </w:rPr>
        <w:t xml:space="preserve">Dans son </w:t>
      </w:r>
      <w:r w:rsidR="00283ED9" w:rsidRPr="00DD03D6">
        <w:rPr>
          <w:noProof/>
          <w:lang w:val="fr-FR"/>
        </w:rPr>
        <w:t xml:space="preserve">Programme </w:t>
      </w:r>
      <w:r w:rsidR="004350FD">
        <w:rPr>
          <w:noProof/>
          <w:lang w:val="fr-FR"/>
        </w:rPr>
        <w:t xml:space="preserve">pour </w:t>
      </w:r>
      <w:r w:rsidR="00283ED9" w:rsidRPr="00DD03D6">
        <w:rPr>
          <w:noProof/>
          <w:lang w:val="fr-FR"/>
        </w:rPr>
        <w:t>2011-2016</w:t>
      </w:r>
      <w:r w:rsidR="004350FD">
        <w:rPr>
          <w:noProof/>
          <w:lang w:val="fr-FR"/>
        </w:rPr>
        <w:t xml:space="preserve">, le Gouvernement formule par ailleurs des engagements en matière de lutte contre la pauvreté des enfants </w:t>
      </w:r>
      <w:r w:rsidR="00283ED9" w:rsidRPr="00DD03D6">
        <w:rPr>
          <w:noProof/>
          <w:lang w:val="fr-FR"/>
        </w:rPr>
        <w:t>.</w:t>
      </w:r>
    </w:p>
    <w:p w:rsidR="00283ED9" w:rsidRPr="00DD03D6" w:rsidRDefault="004350FD" w:rsidP="00E62D34">
      <w:pPr>
        <w:pStyle w:val="SingleTxtG"/>
        <w:numPr>
          <w:ilvl w:val="0"/>
          <w:numId w:val="3"/>
        </w:numPr>
        <w:ind w:left="1134" w:firstLine="0"/>
        <w:rPr>
          <w:noProof/>
          <w:lang w:val="fr-FR"/>
        </w:rPr>
      </w:pPr>
      <w:r>
        <w:rPr>
          <w:noProof/>
          <w:lang w:val="fr-FR"/>
        </w:rPr>
        <w:t xml:space="preserve">L’évolution récente de la pauvreté a conduit à réexaminer l’objectif national en la matière, à la suite de quoi </w:t>
      </w:r>
      <w:r w:rsidR="003610C4">
        <w:rPr>
          <w:noProof/>
          <w:lang w:val="fr-FR"/>
        </w:rPr>
        <w:t>un nouveau sous-objectif de réduction de la pauvreté des enfants a été recommandeé</w:t>
      </w:r>
      <w:r w:rsidR="00283ED9" w:rsidRPr="00DD03D6">
        <w:rPr>
          <w:noProof/>
          <w:lang w:val="fr-FR"/>
        </w:rPr>
        <w:t xml:space="preserve">. </w:t>
      </w:r>
      <w:r w:rsidR="003610C4">
        <w:rPr>
          <w:noProof/>
          <w:lang w:val="fr-FR"/>
        </w:rPr>
        <w:t>Il consistera probablement à réduire les écarts de taux de pauvreté entre les enfants et les</w:t>
      </w:r>
      <w:r w:rsidR="00283ED9" w:rsidRPr="00DD03D6">
        <w:rPr>
          <w:noProof/>
          <w:lang w:val="fr-FR"/>
        </w:rPr>
        <w:t xml:space="preserve"> adult</w:t>
      </w:r>
      <w:r w:rsidR="003610C4">
        <w:rPr>
          <w:noProof/>
          <w:lang w:val="fr-FR"/>
        </w:rPr>
        <w:t>e</w:t>
      </w:r>
      <w:r w:rsidR="00283ED9" w:rsidRPr="00DD03D6">
        <w:rPr>
          <w:noProof/>
          <w:lang w:val="fr-FR"/>
        </w:rPr>
        <w:t xml:space="preserve">s. </w:t>
      </w:r>
    </w:p>
    <w:p w:rsidR="00283ED9" w:rsidRPr="00DD03D6" w:rsidRDefault="003610C4" w:rsidP="0079415E">
      <w:pPr>
        <w:pStyle w:val="SingleTxtG"/>
        <w:numPr>
          <w:ilvl w:val="0"/>
          <w:numId w:val="3"/>
        </w:numPr>
        <w:ind w:left="1134" w:firstLine="0"/>
        <w:rPr>
          <w:noProof/>
          <w:lang w:val="fr-FR"/>
        </w:rPr>
      </w:pPr>
      <w:r>
        <w:rPr>
          <w:noProof/>
          <w:lang w:val="fr-FR"/>
        </w:rPr>
        <w:t>L’</w:t>
      </w:r>
      <w:r w:rsidR="00283ED9" w:rsidRPr="00DD03D6">
        <w:rPr>
          <w:noProof/>
          <w:lang w:val="fr-FR"/>
        </w:rPr>
        <w:t xml:space="preserve">UNICEF </w:t>
      </w:r>
      <w:r>
        <w:rPr>
          <w:noProof/>
          <w:lang w:val="fr-FR"/>
        </w:rPr>
        <w:t>établit régulièrement des fiches sur la pauvreté et le bien-être des enfants</w:t>
      </w:r>
      <w:r w:rsidR="00283ED9" w:rsidRPr="00DD03D6">
        <w:rPr>
          <w:noProof/>
          <w:lang w:val="fr-FR"/>
        </w:rPr>
        <w:t xml:space="preserve">. </w:t>
      </w:r>
      <w:r w:rsidR="002D44BE">
        <w:rPr>
          <w:noProof/>
          <w:lang w:val="fr-FR"/>
        </w:rPr>
        <w:t xml:space="preserve">La fiche la plus récente, établie en </w:t>
      </w:r>
      <w:r w:rsidR="00283ED9" w:rsidRPr="00DD03D6">
        <w:rPr>
          <w:noProof/>
          <w:lang w:val="fr-FR"/>
        </w:rPr>
        <w:t xml:space="preserve">2010, </w:t>
      </w:r>
      <w:r w:rsidR="002D44BE">
        <w:rPr>
          <w:noProof/>
          <w:lang w:val="fr-FR"/>
        </w:rPr>
        <w:t xml:space="preserve">classe </w:t>
      </w:r>
      <w:r w:rsidR="00283ED9" w:rsidRPr="00DD03D6">
        <w:rPr>
          <w:noProof/>
          <w:lang w:val="fr-FR"/>
        </w:rPr>
        <w:t xml:space="preserve">24 </w:t>
      </w:r>
      <w:r w:rsidR="002D44BE">
        <w:rPr>
          <w:noProof/>
          <w:lang w:val="fr-FR"/>
        </w:rPr>
        <w:t xml:space="preserve">pays membres de l’OCDE selon les résultats obtenus eu égard à trois </w:t>
      </w:r>
      <w:r w:rsidR="00283ED9" w:rsidRPr="00DD03D6">
        <w:rPr>
          <w:noProof/>
          <w:lang w:val="fr-FR"/>
        </w:rPr>
        <w:t xml:space="preserve">dimensions </w:t>
      </w:r>
      <w:r w:rsidR="002D44BE">
        <w:rPr>
          <w:noProof/>
          <w:lang w:val="fr-FR"/>
        </w:rPr>
        <w:t>de l’inégalité en matière de bien-être des enfants, à savoir le bien-être sur les plans matériel</w:t>
      </w:r>
      <w:r w:rsidR="00283ED9" w:rsidRPr="00DD03D6">
        <w:rPr>
          <w:noProof/>
          <w:lang w:val="fr-FR"/>
        </w:rPr>
        <w:t xml:space="preserve">, </w:t>
      </w:r>
      <w:r w:rsidR="002D44BE">
        <w:rPr>
          <w:noProof/>
          <w:lang w:val="fr-FR"/>
        </w:rPr>
        <w:t>é</w:t>
      </w:r>
      <w:r w:rsidR="00283ED9" w:rsidRPr="00DD03D6">
        <w:rPr>
          <w:noProof/>
          <w:lang w:val="fr-FR"/>
        </w:rPr>
        <w:t>ducati</w:t>
      </w:r>
      <w:r w:rsidR="002D44BE">
        <w:rPr>
          <w:noProof/>
          <w:lang w:val="fr-FR"/>
        </w:rPr>
        <w:t>f et sanitaire</w:t>
      </w:r>
      <w:r w:rsidR="00283ED9" w:rsidRPr="00DD03D6">
        <w:rPr>
          <w:noProof/>
          <w:lang w:val="fr-FR"/>
        </w:rPr>
        <w:t xml:space="preserve">. </w:t>
      </w:r>
      <w:r w:rsidR="002D44BE">
        <w:rPr>
          <w:noProof/>
          <w:lang w:val="fr-FR"/>
        </w:rPr>
        <w:t xml:space="preserve">L’Irlande a obtenu </w:t>
      </w:r>
      <w:r w:rsidR="002D44BE">
        <w:rPr>
          <w:noProof/>
          <w:lang w:val="fr-FR"/>
        </w:rPr>
        <w:lastRenderedPageBreak/>
        <w:t xml:space="preserve">une note de </w:t>
      </w:r>
      <w:r w:rsidR="00283ED9" w:rsidRPr="00DD03D6">
        <w:rPr>
          <w:noProof/>
          <w:lang w:val="fr-FR"/>
        </w:rPr>
        <w:t xml:space="preserve">7 </w:t>
      </w:r>
      <w:r w:rsidR="002D44BE">
        <w:rPr>
          <w:noProof/>
          <w:lang w:val="fr-FR"/>
        </w:rPr>
        <w:t xml:space="preserve">sur </w:t>
      </w:r>
      <w:r w:rsidR="00283ED9" w:rsidRPr="00DD03D6">
        <w:rPr>
          <w:noProof/>
          <w:lang w:val="fr-FR"/>
        </w:rPr>
        <w:t>8</w:t>
      </w:r>
      <w:r w:rsidR="002D44BE">
        <w:rPr>
          <w:noProof/>
          <w:lang w:val="fr-FR"/>
        </w:rPr>
        <w:t xml:space="preserve"> pour ses résultats globaux en matière d’inégalité</w:t>
      </w:r>
      <w:r w:rsidR="00283ED9" w:rsidRPr="00DD03D6">
        <w:rPr>
          <w:rStyle w:val="Appelnotedebasdep"/>
          <w:noProof/>
          <w:lang w:val="fr-FR"/>
        </w:rPr>
        <w:footnoteReference w:id="6"/>
      </w:r>
      <w:r w:rsidR="002D44BE">
        <w:rPr>
          <w:noProof/>
          <w:lang w:val="fr-FR"/>
        </w:rPr>
        <w:t>.</w:t>
      </w:r>
      <w:r w:rsidR="00283ED9" w:rsidRPr="00DD03D6">
        <w:rPr>
          <w:noProof/>
          <w:lang w:val="fr-FR"/>
        </w:rPr>
        <w:t xml:space="preserve"> </w:t>
      </w:r>
      <w:r w:rsidR="00162AA9">
        <w:rPr>
          <w:noProof/>
          <w:lang w:val="fr-FR"/>
        </w:rPr>
        <w:t xml:space="preserve">Elle se place ainsi au </w:t>
      </w:r>
      <w:r w:rsidR="002F20C7">
        <w:rPr>
          <w:noProof/>
          <w:lang w:val="fr-FR"/>
        </w:rPr>
        <w:t>deuxième</w:t>
      </w:r>
      <w:r w:rsidR="00162AA9">
        <w:rPr>
          <w:noProof/>
          <w:lang w:val="fr-FR"/>
        </w:rPr>
        <w:t xml:space="preserve"> rang avec l’Islande, la Norvège et la Suède</w:t>
      </w:r>
      <w:r w:rsidR="00283ED9" w:rsidRPr="00DD03D6">
        <w:rPr>
          <w:noProof/>
          <w:lang w:val="fr-FR"/>
        </w:rPr>
        <w:t>.</w:t>
      </w:r>
    </w:p>
    <w:p w:rsidR="00283ED9" w:rsidRDefault="00162AA9" w:rsidP="00E62D34">
      <w:pPr>
        <w:pStyle w:val="SingleTxtG"/>
        <w:numPr>
          <w:ilvl w:val="0"/>
          <w:numId w:val="3"/>
        </w:numPr>
        <w:ind w:left="1134" w:firstLine="0"/>
        <w:rPr>
          <w:noProof/>
          <w:lang w:val="fr-FR"/>
        </w:rPr>
      </w:pPr>
      <w:r>
        <w:rPr>
          <w:noProof/>
          <w:lang w:val="fr-FR"/>
        </w:rPr>
        <w:t xml:space="preserve">Selon la nouvelle approche décrite par le Gouvernement dans son </w:t>
      </w:r>
      <w:r w:rsidR="00283ED9" w:rsidRPr="00DD03D6">
        <w:rPr>
          <w:noProof/>
          <w:lang w:val="fr-FR"/>
        </w:rPr>
        <w:t xml:space="preserve">Programme </w:t>
      </w:r>
      <w:r>
        <w:rPr>
          <w:noProof/>
          <w:lang w:val="fr-FR"/>
        </w:rPr>
        <w:t xml:space="preserve">pour </w:t>
      </w:r>
      <w:r w:rsidR="00283ED9" w:rsidRPr="00DD03D6">
        <w:rPr>
          <w:noProof/>
          <w:lang w:val="fr-FR"/>
        </w:rPr>
        <w:t xml:space="preserve">2011-2016, </w:t>
      </w:r>
      <w:r>
        <w:rPr>
          <w:noProof/>
          <w:lang w:val="fr-FR"/>
        </w:rPr>
        <w:t xml:space="preserve">il est prévu de </w:t>
      </w:r>
      <w:r>
        <w:rPr>
          <w:lang w:val="fr-FR"/>
        </w:rPr>
        <w:t xml:space="preserve">rompre les cycles le plus profondément ancrés de la pauvreté </w:t>
      </w:r>
      <w:r w:rsidR="00367766">
        <w:rPr>
          <w:lang w:val="fr-FR"/>
        </w:rPr>
        <w:t>infantile</w:t>
      </w:r>
      <w:r>
        <w:rPr>
          <w:lang w:val="fr-FR"/>
        </w:rPr>
        <w:t>,</w:t>
      </w:r>
      <w:r w:rsidRPr="00DD03D6">
        <w:rPr>
          <w:noProof/>
          <w:lang w:val="fr-FR"/>
        </w:rPr>
        <w:t xml:space="preserve"> </w:t>
      </w:r>
      <w:r>
        <w:rPr>
          <w:noProof/>
          <w:lang w:val="fr-FR"/>
        </w:rPr>
        <w:t>encore que les effets potentiellement dommageables de la récession économique rendent le contexte particulièrement difficile.</w:t>
      </w:r>
    </w:p>
    <w:p w:rsidR="00283ED9" w:rsidRPr="00DD03D6" w:rsidRDefault="00EE6632" w:rsidP="0079415E">
      <w:pPr>
        <w:pStyle w:val="SingleTxtG"/>
        <w:numPr>
          <w:ilvl w:val="0"/>
          <w:numId w:val="3"/>
        </w:numPr>
        <w:ind w:left="1134" w:firstLine="0"/>
        <w:rPr>
          <w:noProof/>
          <w:lang w:val="fr-FR"/>
        </w:rPr>
      </w:pPr>
      <w:r>
        <w:rPr>
          <w:noProof/>
          <w:lang w:val="fr-FR"/>
        </w:rPr>
        <w:t>Du fait de la nécessité d’abaisser le niveau structurel des dépenses publiques, les taux des allocations familiales auxquelles toutes les familles ont droit ont été réduits dans les b</w:t>
      </w:r>
      <w:r w:rsidR="00283ED9" w:rsidRPr="00DD03D6">
        <w:rPr>
          <w:noProof/>
          <w:lang w:val="fr-FR"/>
        </w:rPr>
        <w:t xml:space="preserve">udgets 2010 </w:t>
      </w:r>
      <w:r>
        <w:rPr>
          <w:noProof/>
          <w:lang w:val="fr-FR"/>
        </w:rPr>
        <w:t>et</w:t>
      </w:r>
      <w:r w:rsidR="00283ED9" w:rsidRPr="00DD03D6">
        <w:rPr>
          <w:noProof/>
          <w:lang w:val="fr-FR"/>
        </w:rPr>
        <w:t xml:space="preserve"> 2011. </w:t>
      </w:r>
      <w:r>
        <w:rPr>
          <w:noProof/>
          <w:lang w:val="fr-FR"/>
        </w:rPr>
        <w:t>Le b</w:t>
      </w:r>
      <w:r w:rsidR="00283ED9" w:rsidRPr="00DD03D6">
        <w:rPr>
          <w:noProof/>
          <w:lang w:val="fr-FR"/>
        </w:rPr>
        <w:t xml:space="preserve">udget 2012 </w:t>
      </w:r>
      <w:r>
        <w:rPr>
          <w:noProof/>
          <w:lang w:val="fr-FR"/>
        </w:rPr>
        <w:t xml:space="preserve">a maintenu le taux de l’allocation pour le premier et le deuxième enfant à </w:t>
      </w:r>
      <w:r w:rsidR="00283ED9" w:rsidRPr="00DD03D6">
        <w:rPr>
          <w:noProof/>
          <w:lang w:val="fr-FR"/>
        </w:rPr>
        <w:t xml:space="preserve">140 </w:t>
      </w:r>
      <w:r>
        <w:rPr>
          <w:noProof/>
          <w:lang w:val="fr-FR"/>
        </w:rPr>
        <w:t xml:space="preserve">euros par mois et prévu, à compter de 2013, d’uniformiser le taux mensuel de </w:t>
      </w:r>
      <w:r w:rsidR="00283ED9" w:rsidRPr="00DD03D6">
        <w:rPr>
          <w:noProof/>
          <w:lang w:val="fr-FR"/>
        </w:rPr>
        <w:t xml:space="preserve">140 </w:t>
      </w:r>
      <w:r w:rsidR="00697642">
        <w:rPr>
          <w:noProof/>
          <w:lang w:val="fr-FR"/>
        </w:rPr>
        <w:t>euros pour le troisième enf</w:t>
      </w:r>
      <w:r>
        <w:rPr>
          <w:noProof/>
          <w:lang w:val="fr-FR"/>
        </w:rPr>
        <w:t>ant et les enfants suivants</w:t>
      </w:r>
      <w:r w:rsidR="00283ED9" w:rsidRPr="00DD03D6">
        <w:rPr>
          <w:noProof/>
          <w:lang w:val="fr-FR"/>
        </w:rPr>
        <w:t xml:space="preserve">. </w:t>
      </w:r>
      <w:r>
        <w:rPr>
          <w:noProof/>
          <w:lang w:val="fr-FR"/>
        </w:rPr>
        <w:t>Le b</w:t>
      </w:r>
      <w:r w:rsidR="00283ED9" w:rsidRPr="00DD03D6">
        <w:rPr>
          <w:noProof/>
          <w:lang w:val="fr-FR"/>
        </w:rPr>
        <w:t xml:space="preserve">udget 2013 </w:t>
      </w:r>
      <w:r>
        <w:rPr>
          <w:noProof/>
          <w:lang w:val="fr-FR"/>
        </w:rPr>
        <w:t xml:space="preserve">a ramené le taux mensuel de l’allocation pour le premier et le deuxième enfant à </w:t>
      </w:r>
      <w:r w:rsidR="00283ED9" w:rsidRPr="00DD03D6">
        <w:rPr>
          <w:noProof/>
          <w:lang w:val="fr-FR"/>
        </w:rPr>
        <w:t xml:space="preserve">130 </w:t>
      </w:r>
      <w:r>
        <w:rPr>
          <w:noProof/>
          <w:lang w:val="fr-FR"/>
        </w:rPr>
        <w:t>euros</w:t>
      </w:r>
      <w:r w:rsidR="00283ED9" w:rsidRPr="00DD03D6">
        <w:rPr>
          <w:noProof/>
          <w:lang w:val="fr-FR"/>
        </w:rPr>
        <w:t xml:space="preserve">. </w:t>
      </w:r>
      <w:r>
        <w:rPr>
          <w:noProof/>
          <w:lang w:val="fr-FR"/>
        </w:rPr>
        <w:t xml:space="preserve">Il a également uniformisé le taux pour le troisième enfant </w:t>
      </w:r>
      <w:r w:rsidR="006B7A31">
        <w:rPr>
          <w:noProof/>
          <w:lang w:val="fr-FR"/>
        </w:rPr>
        <w:t xml:space="preserve">à </w:t>
      </w:r>
      <w:r w:rsidR="00283ED9" w:rsidRPr="00DD03D6">
        <w:rPr>
          <w:noProof/>
          <w:lang w:val="fr-FR"/>
        </w:rPr>
        <w:t xml:space="preserve">130 </w:t>
      </w:r>
      <w:r>
        <w:rPr>
          <w:noProof/>
          <w:lang w:val="fr-FR"/>
        </w:rPr>
        <w:t>euros par mois</w:t>
      </w:r>
      <w:r w:rsidR="00283ED9" w:rsidRPr="00DD03D6">
        <w:rPr>
          <w:noProof/>
          <w:lang w:val="fr-FR"/>
        </w:rPr>
        <w:t xml:space="preserve">, </w:t>
      </w:r>
      <w:r>
        <w:rPr>
          <w:noProof/>
          <w:lang w:val="fr-FR"/>
        </w:rPr>
        <w:t xml:space="preserve">tandis que le taux pour le quatrième enfant et tout enfant suivant sera fixé à 140 euros par mois pendant l’année 2013 avant qu’une uniformisation complète à 130 euros par mois n’intervienne à compter de </w:t>
      </w:r>
      <w:r w:rsidR="00283ED9" w:rsidRPr="00DD03D6">
        <w:rPr>
          <w:noProof/>
          <w:lang w:val="fr-FR"/>
        </w:rPr>
        <w:t xml:space="preserve">2014. </w:t>
      </w:r>
      <w:r>
        <w:rPr>
          <w:noProof/>
          <w:lang w:val="fr-FR"/>
        </w:rPr>
        <w:t>Par ailleurs, le b</w:t>
      </w:r>
      <w:r w:rsidR="00283ED9" w:rsidRPr="00DD03D6">
        <w:rPr>
          <w:noProof/>
          <w:lang w:val="fr-FR"/>
        </w:rPr>
        <w:t xml:space="preserve">udget 2013 </w:t>
      </w:r>
      <w:r>
        <w:rPr>
          <w:noProof/>
          <w:lang w:val="fr-FR"/>
        </w:rPr>
        <w:t xml:space="preserve">a affecté une partie des économies réalisées grâce à la réduction des allocations familiales à </w:t>
      </w:r>
      <w:r w:rsidR="005915EC">
        <w:rPr>
          <w:noProof/>
          <w:lang w:val="fr-FR"/>
        </w:rPr>
        <w:t>un nouveau programme (</w:t>
      </w:r>
      <w:r w:rsidR="00283ED9" w:rsidRPr="005915EC">
        <w:rPr>
          <w:i/>
          <w:noProof/>
          <w:lang w:val="fr-FR"/>
        </w:rPr>
        <w:t>Children Plus Initiative</w:t>
      </w:r>
      <w:r w:rsidR="005915EC">
        <w:rPr>
          <w:noProof/>
          <w:lang w:val="fr-FR"/>
        </w:rPr>
        <w:t>)</w:t>
      </w:r>
      <w:r w:rsidR="00283ED9" w:rsidRPr="00DD03D6">
        <w:rPr>
          <w:noProof/>
          <w:lang w:val="fr-FR"/>
        </w:rPr>
        <w:t xml:space="preserve"> </w:t>
      </w:r>
      <w:r w:rsidR="005915EC">
        <w:rPr>
          <w:noProof/>
          <w:lang w:val="fr-FR"/>
        </w:rPr>
        <w:t xml:space="preserve">qui cible les familles à faible revenu et comprend </w:t>
      </w:r>
      <w:r w:rsidR="00547E87">
        <w:rPr>
          <w:noProof/>
          <w:lang w:val="fr-FR"/>
        </w:rPr>
        <w:t xml:space="preserve">l’adoption d’une démarche de proximité en matière de lutte contre la pauvreté des enfants, </w:t>
      </w:r>
      <w:r w:rsidR="006B7A31">
        <w:rPr>
          <w:noProof/>
          <w:lang w:val="fr-FR"/>
        </w:rPr>
        <w:t>l’accueil extrascolair</w:t>
      </w:r>
      <w:r w:rsidR="00547E87">
        <w:rPr>
          <w:noProof/>
          <w:lang w:val="fr-FR"/>
        </w:rPr>
        <w:t xml:space="preserve">e </w:t>
      </w:r>
      <w:r w:rsidR="006B7A31">
        <w:rPr>
          <w:noProof/>
          <w:lang w:val="fr-FR"/>
        </w:rPr>
        <w:t xml:space="preserve">des </w:t>
      </w:r>
      <w:r w:rsidR="00547E87">
        <w:rPr>
          <w:noProof/>
          <w:lang w:val="fr-FR"/>
        </w:rPr>
        <w:t>enfant</w:t>
      </w:r>
      <w:r w:rsidR="006B7A31">
        <w:rPr>
          <w:noProof/>
          <w:lang w:val="fr-FR"/>
        </w:rPr>
        <w:t>s et un financement supplémentaire au titre des repas scolaires</w:t>
      </w:r>
      <w:r w:rsidR="00283ED9" w:rsidRPr="00DD03D6">
        <w:rPr>
          <w:noProof/>
          <w:lang w:val="fr-FR"/>
        </w:rPr>
        <w:t>.</w:t>
      </w:r>
    </w:p>
    <w:p w:rsidR="00283ED9" w:rsidRPr="00DD03D6" w:rsidRDefault="006B7A31" w:rsidP="00E62D34">
      <w:pPr>
        <w:pStyle w:val="SingleTxtG"/>
        <w:numPr>
          <w:ilvl w:val="0"/>
          <w:numId w:val="3"/>
        </w:numPr>
        <w:ind w:left="1134" w:firstLine="0"/>
        <w:rPr>
          <w:noProof/>
          <w:lang w:val="fr-FR"/>
        </w:rPr>
      </w:pPr>
      <w:r>
        <w:rPr>
          <w:noProof/>
          <w:lang w:val="fr-FR"/>
        </w:rPr>
        <w:t>E</w:t>
      </w:r>
      <w:r w:rsidR="00283ED9" w:rsidRPr="00DD03D6">
        <w:rPr>
          <w:noProof/>
          <w:lang w:val="fr-FR"/>
        </w:rPr>
        <w:t xml:space="preserve">n 2011, </w:t>
      </w:r>
      <w:r w:rsidR="00BB2909">
        <w:rPr>
          <w:noProof/>
          <w:lang w:val="fr-FR"/>
        </w:rPr>
        <w:t xml:space="preserve">le pays comptait </w:t>
      </w:r>
      <w:r w:rsidR="00283ED9" w:rsidRPr="00DD03D6">
        <w:rPr>
          <w:noProof/>
          <w:lang w:val="fr-FR"/>
        </w:rPr>
        <w:t>43</w:t>
      </w:r>
      <w:r w:rsidR="00413CF6">
        <w:rPr>
          <w:noProof/>
          <w:lang w:val="fr-FR"/>
        </w:rPr>
        <w:t> </w:t>
      </w:r>
      <w:r w:rsidR="00283ED9" w:rsidRPr="00DD03D6">
        <w:rPr>
          <w:noProof/>
          <w:lang w:val="fr-FR"/>
        </w:rPr>
        <w:t xml:space="preserve">578 </w:t>
      </w:r>
      <w:r w:rsidR="00BB2909">
        <w:rPr>
          <w:noProof/>
          <w:lang w:val="fr-FR"/>
        </w:rPr>
        <w:t>ménages avec enfants ayant besoin d’un logement social</w:t>
      </w:r>
      <w:r w:rsidR="00283ED9" w:rsidRPr="00DD03D6">
        <w:rPr>
          <w:noProof/>
          <w:lang w:val="fr-FR"/>
        </w:rPr>
        <w:t xml:space="preserve">. </w:t>
      </w:r>
      <w:r w:rsidR="00BB2909">
        <w:rPr>
          <w:noProof/>
          <w:lang w:val="fr-FR"/>
        </w:rPr>
        <w:t>La prochaine évaluation des besoins en matière de logement doit être effectuée par les autorités locales en av</w:t>
      </w:r>
      <w:r w:rsidR="00283ED9" w:rsidRPr="00DD03D6">
        <w:rPr>
          <w:noProof/>
          <w:lang w:val="fr-FR"/>
        </w:rPr>
        <w:t xml:space="preserve">ril 2013. </w:t>
      </w:r>
      <w:r w:rsidR="00BB2909">
        <w:rPr>
          <w:noProof/>
          <w:lang w:val="fr-FR"/>
        </w:rPr>
        <w:t xml:space="preserve">Elle permettra de recueillir des renseignements sur les besoins spécifiques en matière de logement et la taille et la composition des ménages </w:t>
      </w:r>
      <w:r w:rsidR="00283ED9" w:rsidRPr="00DD03D6">
        <w:rPr>
          <w:noProof/>
          <w:lang w:val="fr-FR"/>
        </w:rPr>
        <w:t>(</w:t>
      </w:r>
      <w:r w:rsidR="00BB2909">
        <w:rPr>
          <w:noProof/>
          <w:lang w:val="fr-FR"/>
        </w:rPr>
        <w:t>nombre et âge des enfants, notamment</w:t>
      </w:r>
      <w:r w:rsidR="00283ED9" w:rsidRPr="00DD03D6">
        <w:rPr>
          <w:noProof/>
          <w:lang w:val="fr-FR"/>
        </w:rPr>
        <w:t xml:space="preserve">). </w:t>
      </w:r>
      <w:r w:rsidR="00BB2909">
        <w:rPr>
          <w:noProof/>
          <w:lang w:val="fr-FR"/>
        </w:rPr>
        <w:t>Ces renseignements seront utilisés par les autorités lorsqu’elles élaboreront leurs programmes de logements sociaux</w:t>
      </w:r>
      <w:r w:rsidR="00283ED9" w:rsidRPr="00DD03D6">
        <w:rPr>
          <w:noProof/>
          <w:lang w:val="fr-FR"/>
        </w:rPr>
        <w:t>.</w:t>
      </w:r>
    </w:p>
    <w:p w:rsidR="00283ED9" w:rsidRPr="00DD03D6" w:rsidRDefault="00BB2909" w:rsidP="0079415E">
      <w:pPr>
        <w:pStyle w:val="SingleTxtG"/>
        <w:numPr>
          <w:ilvl w:val="0"/>
          <w:numId w:val="3"/>
        </w:numPr>
        <w:ind w:left="1134" w:firstLine="0"/>
        <w:rPr>
          <w:noProof/>
          <w:lang w:val="fr-FR"/>
        </w:rPr>
      </w:pPr>
      <w:r>
        <w:rPr>
          <w:noProof/>
          <w:lang w:val="fr-FR"/>
        </w:rPr>
        <w:t>Le Programme de subventions aux garderies d’enfants communautaires a été mis en place en septembre</w:t>
      </w:r>
      <w:r w:rsidR="00283ED9" w:rsidRPr="00DD03D6">
        <w:rPr>
          <w:noProof/>
          <w:lang w:val="fr-FR"/>
        </w:rPr>
        <w:t xml:space="preserve"> 2010, </w:t>
      </w:r>
      <w:r>
        <w:rPr>
          <w:noProof/>
          <w:lang w:val="fr-FR"/>
        </w:rPr>
        <w:t xml:space="preserve">en remplacement </w:t>
      </w:r>
      <w:r w:rsidR="005C25B3">
        <w:rPr>
          <w:noProof/>
          <w:lang w:val="fr-FR"/>
        </w:rPr>
        <w:t xml:space="preserve">d’un programme auquel il correspondait largement et qui existait depuis janvier </w:t>
      </w:r>
      <w:r w:rsidR="00283ED9" w:rsidRPr="00DD03D6">
        <w:rPr>
          <w:noProof/>
          <w:lang w:val="fr-FR"/>
        </w:rPr>
        <w:t xml:space="preserve">2008. </w:t>
      </w:r>
      <w:r w:rsidR="005C25B3">
        <w:rPr>
          <w:noProof/>
          <w:lang w:val="fr-FR"/>
        </w:rPr>
        <w:t>Le nouveau p</w:t>
      </w:r>
      <w:r w:rsidR="00283ED9" w:rsidRPr="00DD03D6">
        <w:rPr>
          <w:noProof/>
          <w:lang w:val="fr-FR"/>
        </w:rPr>
        <w:t>rogramme sub</w:t>
      </w:r>
      <w:r w:rsidR="005C25B3">
        <w:rPr>
          <w:noProof/>
          <w:lang w:val="fr-FR"/>
        </w:rPr>
        <w:t>ventionne les dépenses de garde d’enfant</w:t>
      </w:r>
      <w:r w:rsidR="00697642">
        <w:rPr>
          <w:noProof/>
          <w:lang w:val="fr-FR"/>
        </w:rPr>
        <w:t>s</w:t>
      </w:r>
      <w:r w:rsidR="005C25B3">
        <w:rPr>
          <w:noProof/>
          <w:lang w:val="fr-FR"/>
        </w:rPr>
        <w:t xml:space="preserve"> pour les parents à faible revenu</w:t>
      </w:r>
      <w:r w:rsidR="00283ED9" w:rsidRPr="00DD03D6">
        <w:rPr>
          <w:noProof/>
          <w:lang w:val="fr-FR"/>
        </w:rPr>
        <w:t xml:space="preserve">. </w:t>
      </w:r>
      <w:r w:rsidR="005C25B3">
        <w:rPr>
          <w:noProof/>
          <w:lang w:val="fr-FR"/>
        </w:rPr>
        <w:t xml:space="preserve">Il verse des subventions aux services communautaires de garde d’enfants pour leur permettre de facturer des frais de garderie </w:t>
      </w:r>
      <w:r w:rsidR="002D5D72">
        <w:rPr>
          <w:noProof/>
          <w:lang w:val="fr-FR"/>
        </w:rPr>
        <w:t xml:space="preserve">réduits aux </w:t>
      </w:r>
      <w:r w:rsidR="00283ED9" w:rsidRPr="00DD03D6">
        <w:rPr>
          <w:noProof/>
          <w:lang w:val="fr-FR"/>
        </w:rPr>
        <w:t xml:space="preserve">parents </w:t>
      </w:r>
      <w:r w:rsidR="002D5D72">
        <w:rPr>
          <w:noProof/>
          <w:lang w:val="fr-FR"/>
        </w:rPr>
        <w:t xml:space="preserve">qui perçoivent </w:t>
      </w:r>
      <w:r w:rsidR="00283ED9" w:rsidRPr="00DD03D6">
        <w:rPr>
          <w:noProof/>
          <w:lang w:val="fr-FR"/>
        </w:rPr>
        <w:t>(</w:t>
      </w:r>
      <w:r w:rsidR="002D5D72">
        <w:rPr>
          <w:noProof/>
          <w:lang w:val="fr-FR"/>
        </w:rPr>
        <w:t>la plupart</w:t>
      </w:r>
      <w:r w:rsidR="00283ED9" w:rsidRPr="00DD03D6">
        <w:rPr>
          <w:noProof/>
          <w:lang w:val="fr-FR"/>
        </w:rPr>
        <w:t xml:space="preserve">) </w:t>
      </w:r>
      <w:r w:rsidR="002D5D72">
        <w:rPr>
          <w:noProof/>
          <w:lang w:val="fr-FR"/>
        </w:rPr>
        <w:t>des prestations sociales</w:t>
      </w:r>
      <w:r w:rsidR="009B4FDC">
        <w:rPr>
          <w:noProof/>
          <w:lang w:val="fr-FR"/>
        </w:rPr>
        <w:t xml:space="preserve"> et</w:t>
      </w:r>
      <w:r w:rsidR="00283ED9" w:rsidRPr="00DD03D6">
        <w:rPr>
          <w:noProof/>
          <w:lang w:val="fr-FR"/>
        </w:rPr>
        <w:t xml:space="preserve"> </w:t>
      </w:r>
      <w:r w:rsidR="009B4FDC">
        <w:rPr>
          <w:noProof/>
          <w:lang w:val="fr-FR"/>
        </w:rPr>
        <w:t xml:space="preserve">le complément familial ou </w:t>
      </w:r>
      <w:r w:rsidR="00395F49">
        <w:rPr>
          <w:noProof/>
          <w:lang w:val="fr-FR"/>
        </w:rPr>
        <w:t>sont détenteurs d’une carte médicale ou d’une carte de consultation chez un médecin généraliste</w:t>
      </w:r>
      <w:r w:rsidR="00283ED9" w:rsidRPr="00DD03D6">
        <w:rPr>
          <w:noProof/>
          <w:lang w:val="fr-FR"/>
        </w:rPr>
        <w:t>.</w:t>
      </w:r>
    </w:p>
    <w:p w:rsidR="00283ED9" w:rsidRPr="00DD03D6" w:rsidRDefault="00780219" w:rsidP="00E62D34">
      <w:pPr>
        <w:pStyle w:val="SingleTxtG"/>
        <w:numPr>
          <w:ilvl w:val="0"/>
          <w:numId w:val="3"/>
        </w:numPr>
        <w:ind w:left="1134" w:firstLine="0"/>
        <w:rPr>
          <w:noProof/>
          <w:lang w:val="fr-FR"/>
        </w:rPr>
      </w:pPr>
      <w:r>
        <w:rPr>
          <w:noProof/>
          <w:lang w:val="fr-FR"/>
        </w:rPr>
        <w:t>Le Programme de garde d’enfants à l’appui d’une formation a été mis en place en septembre</w:t>
      </w:r>
      <w:r w:rsidR="00283ED9" w:rsidRPr="00DD03D6">
        <w:rPr>
          <w:noProof/>
          <w:lang w:val="fr-FR"/>
        </w:rPr>
        <w:t xml:space="preserve"> 2010</w:t>
      </w:r>
      <w:r w:rsidR="00640900">
        <w:rPr>
          <w:noProof/>
          <w:lang w:val="fr-FR"/>
        </w:rPr>
        <w:t>; il fournit des places de garderie subventionnées aux parents qui suivent certains programmes</w:t>
      </w:r>
      <w:r w:rsidR="00283ED9" w:rsidRPr="00DD03D6">
        <w:rPr>
          <w:noProof/>
          <w:lang w:val="fr-FR"/>
        </w:rPr>
        <w:t xml:space="preserve"> </w:t>
      </w:r>
      <w:r w:rsidR="00640900">
        <w:rPr>
          <w:noProof/>
          <w:lang w:val="fr-FR"/>
        </w:rPr>
        <w:t xml:space="preserve">de formation </w:t>
      </w:r>
      <w:r w:rsidR="00556A08">
        <w:rPr>
          <w:noProof/>
          <w:lang w:val="fr-FR"/>
        </w:rPr>
        <w:t>du Service national irlandais de formation</w:t>
      </w:r>
      <w:r w:rsidR="00556A08" w:rsidRPr="00DD03D6">
        <w:rPr>
          <w:noProof/>
          <w:lang w:val="fr-FR"/>
        </w:rPr>
        <w:t xml:space="preserve"> </w:t>
      </w:r>
      <w:r w:rsidR="00556A08">
        <w:rPr>
          <w:noProof/>
          <w:lang w:val="fr-FR"/>
        </w:rPr>
        <w:t>ou d</w:t>
      </w:r>
      <w:r w:rsidR="00697642">
        <w:rPr>
          <w:noProof/>
          <w:lang w:val="fr-FR"/>
        </w:rPr>
        <w:t>es</w:t>
      </w:r>
      <w:r w:rsidR="00283ED9" w:rsidRPr="00DD03D6">
        <w:rPr>
          <w:noProof/>
          <w:lang w:val="fr-FR"/>
        </w:rPr>
        <w:t xml:space="preserve"> </w:t>
      </w:r>
      <w:r w:rsidR="00697642">
        <w:rPr>
          <w:noProof/>
          <w:lang w:val="fr-FR"/>
        </w:rPr>
        <w:t>c</w:t>
      </w:r>
      <w:r w:rsidR="00B01EE4">
        <w:rPr>
          <w:noProof/>
          <w:lang w:val="fr-FR"/>
        </w:rPr>
        <w:t>omité</w:t>
      </w:r>
      <w:r w:rsidR="00697642">
        <w:rPr>
          <w:noProof/>
          <w:lang w:val="fr-FR"/>
        </w:rPr>
        <w:t>s</w:t>
      </w:r>
      <w:r w:rsidR="00B01EE4">
        <w:rPr>
          <w:noProof/>
          <w:lang w:val="fr-FR"/>
        </w:rPr>
        <w:t xml:space="preserve"> p</w:t>
      </w:r>
      <w:r w:rsidR="00D765A1">
        <w:rPr>
          <w:noProof/>
          <w:lang w:val="fr-FR"/>
        </w:rPr>
        <w:t>ou</w:t>
      </w:r>
      <w:r w:rsidR="00B01EE4">
        <w:rPr>
          <w:noProof/>
          <w:lang w:val="fr-FR"/>
        </w:rPr>
        <w:t>r l’enseignement professionnel</w:t>
      </w:r>
      <w:r w:rsidR="00283ED9" w:rsidRPr="00DD03D6">
        <w:rPr>
          <w:noProof/>
          <w:lang w:val="fr-FR"/>
        </w:rPr>
        <w:t>.</w:t>
      </w:r>
    </w:p>
    <w:p w:rsidR="00283ED9" w:rsidRPr="00DD03D6" w:rsidRDefault="00B01EE4" w:rsidP="00E62D34">
      <w:pPr>
        <w:pStyle w:val="SingleTxtG"/>
        <w:numPr>
          <w:ilvl w:val="0"/>
          <w:numId w:val="3"/>
        </w:numPr>
        <w:ind w:left="1134" w:firstLine="0"/>
        <w:rPr>
          <w:noProof/>
          <w:lang w:val="fr-FR"/>
        </w:rPr>
      </w:pPr>
      <w:r>
        <w:rPr>
          <w:noProof/>
          <w:lang w:val="fr-FR"/>
        </w:rPr>
        <w:t xml:space="preserve">Ces </w:t>
      </w:r>
      <w:r w:rsidR="00283ED9" w:rsidRPr="00DD03D6">
        <w:rPr>
          <w:noProof/>
          <w:lang w:val="fr-FR"/>
        </w:rPr>
        <w:t xml:space="preserve">programmes </w:t>
      </w:r>
      <w:r>
        <w:rPr>
          <w:noProof/>
          <w:lang w:val="fr-FR"/>
        </w:rPr>
        <w:t xml:space="preserve">de garde d’enfants fournissent un soutien ciblé aux </w:t>
      </w:r>
      <w:r w:rsidR="00283ED9" w:rsidRPr="00DD03D6">
        <w:rPr>
          <w:noProof/>
          <w:lang w:val="fr-FR"/>
        </w:rPr>
        <w:t xml:space="preserve">parents </w:t>
      </w:r>
      <w:r w:rsidR="00ED5B0F">
        <w:rPr>
          <w:noProof/>
          <w:lang w:val="fr-FR"/>
        </w:rPr>
        <w:t>qui ont besoin</w:t>
      </w:r>
      <w:r>
        <w:rPr>
          <w:noProof/>
          <w:lang w:val="fr-FR"/>
        </w:rPr>
        <w:t xml:space="preserve"> d’un service de garde d’enfants et qui </w:t>
      </w:r>
      <w:r w:rsidR="00ED5B0F">
        <w:rPr>
          <w:noProof/>
          <w:lang w:val="fr-FR"/>
        </w:rPr>
        <w:t>occupent des emplois à faible revenu, sont à la recherche d’un emploi ou bénéficient d’un soutien pour suivre un enseignement ou une formation</w:t>
      </w:r>
      <w:r w:rsidR="00283ED9" w:rsidRPr="00DD03D6">
        <w:rPr>
          <w:noProof/>
          <w:lang w:val="fr-FR"/>
        </w:rPr>
        <w:t>.</w:t>
      </w:r>
    </w:p>
    <w:p w:rsidR="00283ED9" w:rsidRPr="00DD03D6" w:rsidRDefault="00D765A1" w:rsidP="00111EE3">
      <w:pPr>
        <w:pStyle w:val="SingleTxtG"/>
        <w:numPr>
          <w:ilvl w:val="0"/>
          <w:numId w:val="3"/>
        </w:numPr>
        <w:ind w:left="1134" w:firstLine="0"/>
        <w:rPr>
          <w:noProof/>
          <w:lang w:val="fr-FR"/>
        </w:rPr>
      </w:pPr>
      <w:r>
        <w:rPr>
          <w:noProof/>
          <w:lang w:val="fr-FR"/>
        </w:rPr>
        <w:t xml:space="preserve">Le Programme </w:t>
      </w:r>
      <w:r w:rsidR="00697642">
        <w:rPr>
          <w:noProof/>
          <w:lang w:val="fr-FR"/>
        </w:rPr>
        <w:t>d’accueil</w:t>
      </w:r>
      <w:r>
        <w:rPr>
          <w:noProof/>
          <w:lang w:val="fr-FR"/>
        </w:rPr>
        <w:t xml:space="preserve"> et d’éducation de la petite enfance</w:t>
      </w:r>
      <w:r w:rsidR="00283ED9" w:rsidRPr="00DD03D6">
        <w:rPr>
          <w:noProof/>
          <w:lang w:val="fr-FR"/>
        </w:rPr>
        <w:t xml:space="preserve">, </w:t>
      </w:r>
      <w:r>
        <w:rPr>
          <w:noProof/>
          <w:lang w:val="fr-FR"/>
        </w:rPr>
        <w:t xml:space="preserve">mis en place en janvier </w:t>
      </w:r>
      <w:r w:rsidR="00283ED9" w:rsidRPr="00DD03D6">
        <w:rPr>
          <w:noProof/>
          <w:lang w:val="fr-FR"/>
        </w:rPr>
        <w:t xml:space="preserve">2010, </w:t>
      </w:r>
      <w:r>
        <w:rPr>
          <w:noProof/>
          <w:lang w:val="fr-FR"/>
        </w:rPr>
        <w:t>est</w:t>
      </w:r>
      <w:r w:rsidR="00283ED9" w:rsidRPr="00DD03D6">
        <w:rPr>
          <w:noProof/>
          <w:lang w:val="fr-FR"/>
        </w:rPr>
        <w:t xml:space="preserve"> </w:t>
      </w:r>
      <w:r>
        <w:rPr>
          <w:noProof/>
          <w:lang w:val="fr-FR"/>
        </w:rPr>
        <w:t xml:space="preserve">destiné à fournir à tous les enfants une année d’éducation préscolaire gratuite </w:t>
      </w:r>
      <w:r>
        <w:rPr>
          <w:noProof/>
          <w:lang w:val="fr-FR"/>
        </w:rPr>
        <w:lastRenderedPageBreak/>
        <w:t>pendant la période cruciale pour leur développement qui précède leur entrée à l’école</w:t>
      </w:r>
      <w:r w:rsidR="00283ED9" w:rsidRPr="00DD03D6">
        <w:rPr>
          <w:noProof/>
          <w:lang w:val="fr-FR"/>
        </w:rPr>
        <w:t xml:space="preserve">. </w:t>
      </w:r>
      <w:r>
        <w:rPr>
          <w:noProof/>
          <w:lang w:val="fr-FR"/>
        </w:rPr>
        <w:t>La possibilité pour chaque enfant, indépendamment du revenu ou de la situation de ses parents, de suivre gratuitement une année d’éducation préscolaire lui donne l’égalité d’accès à l’éducation préscolaire</w:t>
      </w:r>
      <w:r w:rsidR="00283ED9" w:rsidRPr="00DD03D6">
        <w:rPr>
          <w:noProof/>
          <w:lang w:val="fr-FR"/>
        </w:rPr>
        <w:t>.</w:t>
      </w:r>
    </w:p>
    <w:p w:rsidR="00283ED9" w:rsidRPr="00DD03D6" w:rsidRDefault="00A94505" w:rsidP="00A94505">
      <w:pPr>
        <w:pStyle w:val="H23G"/>
        <w:ind w:firstLine="0"/>
        <w:rPr>
          <w:noProof/>
          <w:lang w:val="fr-FR"/>
        </w:rPr>
      </w:pPr>
      <w:r>
        <w:rPr>
          <w:noProof/>
          <w:lang w:val="fr-FR"/>
        </w:rPr>
        <w:t>É</w:t>
      </w:r>
      <w:r w:rsidR="00283ED9" w:rsidRPr="00DD03D6">
        <w:rPr>
          <w:noProof/>
          <w:lang w:val="fr-FR"/>
        </w:rPr>
        <w:t>ducation</w:t>
      </w:r>
      <w:r>
        <w:rPr>
          <w:noProof/>
          <w:lang w:val="fr-FR"/>
        </w:rPr>
        <w:t xml:space="preserve"> et activités récréatives et culturelles </w:t>
      </w:r>
      <w:r w:rsidR="002A1CB1" w:rsidRPr="00DD03D6">
        <w:rPr>
          <w:noProof/>
          <w:lang w:val="fr-FR"/>
        </w:rPr>
        <w:t>(</w:t>
      </w:r>
      <w:r>
        <w:rPr>
          <w:noProof/>
          <w:lang w:val="fr-FR"/>
        </w:rPr>
        <w:t xml:space="preserve">voir le chapitre </w:t>
      </w:r>
      <w:r w:rsidR="00283ED9" w:rsidRPr="00DD03D6">
        <w:rPr>
          <w:noProof/>
          <w:lang w:val="fr-FR"/>
        </w:rPr>
        <w:t>7)</w:t>
      </w:r>
    </w:p>
    <w:p w:rsidR="00283ED9" w:rsidRPr="00A94505" w:rsidRDefault="00A94505" w:rsidP="00E62D34">
      <w:pPr>
        <w:pStyle w:val="SingleTxtG"/>
        <w:numPr>
          <w:ilvl w:val="0"/>
          <w:numId w:val="3"/>
        </w:numPr>
        <w:ind w:left="1134" w:firstLine="0"/>
        <w:rPr>
          <w:noProof/>
          <w:lang w:val="fr-FR"/>
        </w:rPr>
      </w:pPr>
      <w:r w:rsidRPr="00A94505">
        <w:rPr>
          <w:b/>
          <w:bCs/>
          <w:noProof/>
          <w:lang w:val="fr-FR"/>
        </w:rPr>
        <w:t>Le Comité recommande à l’État partie</w:t>
      </w:r>
      <w:r w:rsidR="00A53176">
        <w:rPr>
          <w:b/>
          <w:bCs/>
          <w:noProof/>
          <w:lang w:val="fr-FR"/>
        </w:rPr>
        <w:t> </w:t>
      </w:r>
      <w:r w:rsidR="00283ED9" w:rsidRPr="00A94505">
        <w:rPr>
          <w:b/>
          <w:noProof/>
          <w:lang w:val="fr-FR"/>
        </w:rPr>
        <w:t>:</w:t>
      </w:r>
    </w:p>
    <w:p w:rsidR="00283ED9" w:rsidRPr="00A94505" w:rsidRDefault="00283ED9" w:rsidP="00396B1A">
      <w:pPr>
        <w:pStyle w:val="SingleTxtG"/>
        <w:ind w:firstLine="567"/>
        <w:rPr>
          <w:b/>
          <w:noProof/>
          <w:lang w:val="fr-FR"/>
        </w:rPr>
      </w:pPr>
      <w:r w:rsidRPr="00A94505">
        <w:rPr>
          <w:b/>
          <w:noProof/>
          <w:lang w:val="fr-FR"/>
        </w:rPr>
        <w:t>a)</w:t>
      </w:r>
      <w:r w:rsidRPr="00A94505">
        <w:rPr>
          <w:b/>
          <w:noProof/>
          <w:lang w:val="fr-FR"/>
        </w:rPr>
        <w:tab/>
      </w:r>
      <w:r w:rsidR="00A94505" w:rsidRPr="00A94505">
        <w:rPr>
          <w:b/>
          <w:noProof/>
          <w:lang w:val="fr-FR"/>
        </w:rPr>
        <w:t>De p</w:t>
      </w:r>
      <w:r w:rsidR="00A94505" w:rsidRPr="00A94505">
        <w:rPr>
          <w:b/>
          <w:bCs/>
          <w:noProof/>
          <w:lang w:val="fr-FR"/>
        </w:rPr>
        <w:t>oursuivre ses efforts pour créer un environnement éducatif dans lequel les besoins spécifiques des enfants sont pris en considération, notamment en faisant évaluer ces besoins par des professionnels, en fournissant un appui technique et matériel aux enfants ayant des besoins particuliers, en veillant à ce que les enfants aient le droit d’exprimer à l’école leur opinion sur toutes les questions qui concernent leur bien</w:t>
      </w:r>
      <w:r w:rsidR="00A94505" w:rsidRPr="00A94505">
        <w:rPr>
          <w:b/>
          <w:bCs/>
          <w:noProof/>
          <w:lang w:val="fr-FR"/>
        </w:rPr>
        <w:noBreakHyphen/>
        <w:t>être, et en continuant de réduire le nombre d’élèves par classe de sorte que tous les enfants aient accès à l’éducation sur un pied d’égalité</w:t>
      </w:r>
      <w:r w:rsidRPr="00A94505">
        <w:rPr>
          <w:b/>
          <w:noProof/>
          <w:lang w:val="fr-FR"/>
        </w:rPr>
        <w:t>;</w:t>
      </w:r>
    </w:p>
    <w:p w:rsidR="00283ED9" w:rsidRPr="00A94505" w:rsidRDefault="00283ED9" w:rsidP="00396B1A">
      <w:pPr>
        <w:pStyle w:val="SingleTxtG"/>
        <w:ind w:firstLine="567"/>
        <w:rPr>
          <w:b/>
          <w:noProof/>
          <w:lang w:val="fr-FR"/>
        </w:rPr>
      </w:pPr>
      <w:r w:rsidRPr="00A94505">
        <w:rPr>
          <w:b/>
          <w:noProof/>
          <w:lang w:val="fr-FR"/>
        </w:rPr>
        <w:t>b)</w:t>
      </w:r>
      <w:r w:rsidRPr="00A94505">
        <w:rPr>
          <w:b/>
          <w:noProof/>
          <w:lang w:val="fr-FR"/>
        </w:rPr>
        <w:tab/>
      </w:r>
      <w:r w:rsidR="00A94505" w:rsidRPr="00A94505">
        <w:rPr>
          <w:b/>
          <w:noProof/>
          <w:lang w:val="fr-FR"/>
        </w:rPr>
        <w:t xml:space="preserve">De </w:t>
      </w:r>
      <w:r w:rsidR="00A94505" w:rsidRPr="00A94505">
        <w:rPr>
          <w:b/>
          <w:bCs/>
          <w:noProof/>
          <w:lang w:val="fr-FR"/>
        </w:rPr>
        <w:t>veiller à ce que les crédits budgétaires alloués servent également à rénover ou moderniser les bâtiments scolaires et les installations et le matériel utilisés pour les activités récréatives, ainsi qu’à améliorer l’hygiène dans les écoles</w:t>
      </w:r>
      <w:r w:rsidRPr="00A94505">
        <w:rPr>
          <w:b/>
          <w:noProof/>
          <w:lang w:val="fr-FR"/>
        </w:rPr>
        <w:t>;</w:t>
      </w:r>
    </w:p>
    <w:p w:rsidR="00283ED9" w:rsidRPr="00A94505" w:rsidRDefault="00283ED9" w:rsidP="00396B1A">
      <w:pPr>
        <w:pStyle w:val="SingleTxtG"/>
        <w:ind w:firstLine="567"/>
        <w:rPr>
          <w:b/>
          <w:noProof/>
          <w:lang w:val="fr-FR"/>
        </w:rPr>
      </w:pPr>
      <w:r w:rsidRPr="00A94505">
        <w:rPr>
          <w:b/>
          <w:noProof/>
          <w:lang w:val="fr-FR"/>
        </w:rPr>
        <w:t>c)</w:t>
      </w:r>
      <w:r w:rsidRPr="00A94505">
        <w:rPr>
          <w:b/>
          <w:noProof/>
          <w:lang w:val="fr-FR"/>
        </w:rPr>
        <w:tab/>
      </w:r>
      <w:r w:rsidR="00A94505" w:rsidRPr="00A94505">
        <w:rPr>
          <w:b/>
          <w:noProof/>
          <w:lang w:val="fr-FR"/>
        </w:rPr>
        <w:t xml:space="preserve">De </w:t>
      </w:r>
      <w:r w:rsidR="00A94505" w:rsidRPr="00A94505">
        <w:rPr>
          <w:b/>
          <w:bCs/>
          <w:noProof/>
          <w:lang w:val="fr-FR"/>
        </w:rPr>
        <w:t xml:space="preserve">veiller à ce que les mesures nécessaires soient prises pour lutter contre les brimades à l’école, et pour que les conséquences de ce phénomène soient traitées de manière adaptée, en tenant compte de la sensibilité des enfants; et </w:t>
      </w:r>
    </w:p>
    <w:p w:rsidR="00283ED9" w:rsidRPr="00A94505" w:rsidRDefault="00283ED9" w:rsidP="00396B1A">
      <w:pPr>
        <w:pStyle w:val="SingleTxtG"/>
        <w:ind w:firstLine="567"/>
        <w:rPr>
          <w:b/>
          <w:noProof/>
          <w:lang w:val="fr-FR"/>
        </w:rPr>
      </w:pPr>
      <w:r w:rsidRPr="00A94505">
        <w:rPr>
          <w:b/>
          <w:noProof/>
          <w:lang w:val="fr-FR"/>
        </w:rPr>
        <w:t>d)</w:t>
      </w:r>
      <w:r w:rsidRPr="00A94505">
        <w:rPr>
          <w:b/>
          <w:noProof/>
          <w:lang w:val="fr-FR"/>
        </w:rPr>
        <w:tab/>
      </w:r>
      <w:r w:rsidR="00A94505" w:rsidRPr="00A94505">
        <w:rPr>
          <w:b/>
          <w:noProof/>
          <w:lang w:val="fr-FR"/>
        </w:rPr>
        <w:t xml:space="preserve">De </w:t>
      </w:r>
      <w:r w:rsidR="00A94505" w:rsidRPr="00A94505">
        <w:rPr>
          <w:b/>
          <w:bCs/>
          <w:noProof/>
          <w:lang w:val="fr-FR"/>
        </w:rPr>
        <w:t>publier et diffuser la stratégie éducative pour les gens du voyage et d’entreprendre des activités de formation pour sensibiliser les enseignants aux questions qui concernent cette communauté ainsi qu’à la nécessité d’adopter une approche interculturelle.</w:t>
      </w:r>
    </w:p>
    <w:p w:rsidR="00283ED9" w:rsidRPr="00A94505" w:rsidRDefault="00A94505" w:rsidP="00E62D34">
      <w:pPr>
        <w:pStyle w:val="SingleTxtG"/>
        <w:numPr>
          <w:ilvl w:val="0"/>
          <w:numId w:val="3"/>
        </w:numPr>
        <w:ind w:left="1134" w:firstLine="0"/>
        <w:rPr>
          <w:b/>
          <w:iCs/>
          <w:noProof/>
          <w:lang w:val="fr-FR"/>
        </w:rPr>
      </w:pPr>
      <w:r w:rsidRPr="00A94505">
        <w:rPr>
          <w:b/>
          <w:noProof/>
          <w:lang w:val="fr-FR"/>
        </w:rPr>
        <w:t>Le Comité encourage l’État partie à accorder toute l’attention voulue aux recommandations du Comité pour l’élimination de la discrimination raciale (CERD/C/IRL/CO/2, par. 18), qui l’encourage à favoriser la création d’écoles laïques ou pluriconfessionnelles et à modifier le cadre législatif existant de sorte qu’aucune discrimination ne puisse être exercée en ce qui concerne l’admission des élèves</w:t>
      </w:r>
      <w:r w:rsidR="00283ED9" w:rsidRPr="00A94505">
        <w:rPr>
          <w:b/>
          <w:noProof/>
          <w:lang w:val="fr-FR"/>
        </w:rPr>
        <w:t>.</w:t>
      </w:r>
    </w:p>
    <w:p w:rsidR="00283ED9" w:rsidRPr="00DD03D6" w:rsidRDefault="00627DDE" w:rsidP="00E62D34">
      <w:pPr>
        <w:pStyle w:val="SingleTxtG"/>
        <w:numPr>
          <w:ilvl w:val="0"/>
          <w:numId w:val="3"/>
        </w:numPr>
        <w:ind w:left="1134" w:firstLine="0"/>
        <w:rPr>
          <w:iCs/>
          <w:noProof/>
          <w:lang w:val="fr-FR"/>
        </w:rPr>
      </w:pPr>
      <w:r>
        <w:rPr>
          <w:noProof/>
          <w:lang w:val="fr-FR"/>
        </w:rPr>
        <w:t xml:space="preserve">Dans son </w:t>
      </w:r>
      <w:r w:rsidR="00283ED9" w:rsidRPr="00DD03D6">
        <w:rPr>
          <w:noProof/>
          <w:lang w:val="fr-FR"/>
        </w:rPr>
        <w:t>Programme</w:t>
      </w:r>
      <w:r>
        <w:rPr>
          <w:noProof/>
          <w:lang w:val="fr-FR"/>
        </w:rPr>
        <w:t xml:space="preserve"> en cours, le Gouvernement s’est engagé à publier un plan de mise en œuvre de la loi de 2004 sur l’é</w:t>
      </w:r>
      <w:r w:rsidR="00283ED9" w:rsidRPr="00DD03D6">
        <w:rPr>
          <w:noProof/>
          <w:lang w:val="fr-FR"/>
        </w:rPr>
        <w:t xml:space="preserve">ducation </w:t>
      </w:r>
      <w:r>
        <w:rPr>
          <w:noProof/>
          <w:lang w:val="fr-FR"/>
        </w:rPr>
        <w:t>des personnes ayant des besoins éducatifs spéciaux</w:t>
      </w:r>
      <w:r w:rsidR="00283ED9" w:rsidRPr="00DD03D6">
        <w:rPr>
          <w:noProof/>
          <w:lang w:val="fr-FR"/>
        </w:rPr>
        <w:t xml:space="preserve">. </w:t>
      </w:r>
      <w:r>
        <w:rPr>
          <w:noProof/>
          <w:lang w:val="fr-FR"/>
        </w:rPr>
        <w:t>L’une des priorités consistera à mettre en place un système dans lequel les aides nécessaires suivent un enfant de l’école primaire à l’enseignement secondaire et à renforcer l’intégration des services relatifs aux besoins spéciaux de l’intéressé</w:t>
      </w:r>
      <w:r w:rsidR="00283ED9" w:rsidRPr="00DD03D6">
        <w:rPr>
          <w:noProof/>
          <w:lang w:val="fr-FR"/>
        </w:rPr>
        <w:t xml:space="preserve">. </w:t>
      </w:r>
    </w:p>
    <w:p w:rsidR="00283ED9" w:rsidRPr="00DD03D6" w:rsidRDefault="00627DDE" w:rsidP="00434035">
      <w:pPr>
        <w:pStyle w:val="SingleTxtG"/>
        <w:numPr>
          <w:ilvl w:val="0"/>
          <w:numId w:val="3"/>
        </w:numPr>
        <w:ind w:left="1134" w:firstLine="0"/>
        <w:rPr>
          <w:noProof/>
          <w:lang w:val="fr-FR"/>
        </w:rPr>
      </w:pPr>
      <w:r>
        <w:rPr>
          <w:noProof/>
          <w:lang w:val="fr-FR"/>
        </w:rPr>
        <w:t>Un certain nombre de moyens sont mis à la disposition des écoles pour appuyer l’é</w:t>
      </w:r>
      <w:r w:rsidR="00283ED9" w:rsidRPr="00DD03D6">
        <w:rPr>
          <w:noProof/>
          <w:lang w:val="fr-FR"/>
        </w:rPr>
        <w:t xml:space="preserve">ducation </w:t>
      </w:r>
      <w:r w:rsidR="00B63094">
        <w:rPr>
          <w:noProof/>
          <w:lang w:val="fr-FR"/>
        </w:rPr>
        <w:t>des e</w:t>
      </w:r>
      <w:r>
        <w:rPr>
          <w:noProof/>
          <w:lang w:val="fr-FR"/>
        </w:rPr>
        <w:t>n</w:t>
      </w:r>
      <w:r w:rsidR="00B63094">
        <w:rPr>
          <w:noProof/>
          <w:lang w:val="fr-FR"/>
        </w:rPr>
        <w:t>f</w:t>
      </w:r>
      <w:r>
        <w:rPr>
          <w:noProof/>
          <w:lang w:val="fr-FR"/>
        </w:rPr>
        <w:t>ants ayant des besoins spéciaux</w:t>
      </w:r>
      <w:r w:rsidR="00283ED9" w:rsidRPr="00DD03D6">
        <w:rPr>
          <w:noProof/>
          <w:lang w:val="fr-FR"/>
        </w:rPr>
        <w:t xml:space="preserve">. </w:t>
      </w:r>
      <w:r w:rsidR="00B63094">
        <w:rPr>
          <w:noProof/>
          <w:lang w:val="fr-FR"/>
        </w:rPr>
        <w:t>Il s’agit notamment d’éducateurs spécialisés et d’auxiliaires d’éducation spécialisée (AES)</w:t>
      </w:r>
      <w:r w:rsidR="00283ED9" w:rsidRPr="00DD03D6">
        <w:rPr>
          <w:noProof/>
          <w:lang w:val="fr-FR"/>
        </w:rPr>
        <w:t xml:space="preserve">. </w:t>
      </w:r>
      <w:r w:rsidR="00B63094">
        <w:rPr>
          <w:noProof/>
          <w:lang w:val="fr-FR"/>
        </w:rPr>
        <w:t>E</w:t>
      </w:r>
      <w:r w:rsidR="00283ED9" w:rsidRPr="00DD03D6">
        <w:rPr>
          <w:noProof/>
          <w:lang w:val="fr-FR"/>
        </w:rPr>
        <w:t>n 2006, 8</w:t>
      </w:r>
      <w:r w:rsidR="00B63094">
        <w:rPr>
          <w:noProof/>
          <w:lang w:val="fr-FR"/>
        </w:rPr>
        <w:t xml:space="preserve"> </w:t>
      </w:r>
      <w:r w:rsidR="00283ED9" w:rsidRPr="00DD03D6">
        <w:rPr>
          <w:noProof/>
          <w:lang w:val="fr-FR"/>
        </w:rPr>
        <w:t xml:space="preserve">390 </w:t>
      </w:r>
      <w:r w:rsidR="00B63094">
        <w:rPr>
          <w:noProof/>
          <w:lang w:val="fr-FR"/>
        </w:rPr>
        <w:t>AES apportaient leur soutien aux enfants en milieu scolaire</w:t>
      </w:r>
      <w:r w:rsidR="00283ED9" w:rsidRPr="00DD03D6">
        <w:rPr>
          <w:noProof/>
          <w:lang w:val="fr-FR"/>
        </w:rPr>
        <w:t xml:space="preserve">. </w:t>
      </w:r>
      <w:r w:rsidR="00B63094">
        <w:rPr>
          <w:noProof/>
          <w:lang w:val="fr-FR"/>
        </w:rPr>
        <w:t>E</w:t>
      </w:r>
      <w:r w:rsidR="00283ED9" w:rsidRPr="00DD03D6">
        <w:rPr>
          <w:noProof/>
          <w:lang w:val="fr-FR"/>
        </w:rPr>
        <w:t xml:space="preserve">n 2012, </w:t>
      </w:r>
      <w:r w:rsidR="00B63094">
        <w:rPr>
          <w:noProof/>
          <w:lang w:val="fr-FR"/>
        </w:rPr>
        <w:t xml:space="preserve">le nombre de ces AES est passé à </w:t>
      </w:r>
      <w:r w:rsidR="00283ED9" w:rsidRPr="00DD03D6">
        <w:rPr>
          <w:noProof/>
          <w:lang w:val="fr-FR"/>
        </w:rPr>
        <w:t>10</w:t>
      </w:r>
      <w:r w:rsidR="00A53176">
        <w:rPr>
          <w:noProof/>
          <w:lang w:val="fr-FR"/>
        </w:rPr>
        <w:t> </w:t>
      </w:r>
      <w:r w:rsidR="00283ED9" w:rsidRPr="00DD03D6">
        <w:rPr>
          <w:noProof/>
          <w:lang w:val="fr-FR"/>
        </w:rPr>
        <w:t xml:space="preserve">324, </w:t>
      </w:r>
      <w:r w:rsidR="00B63094">
        <w:rPr>
          <w:noProof/>
          <w:lang w:val="fr-FR"/>
        </w:rPr>
        <w:t xml:space="preserve">dont </w:t>
      </w:r>
      <w:r w:rsidR="00283ED9" w:rsidRPr="00DD03D6">
        <w:rPr>
          <w:noProof/>
          <w:lang w:val="fr-FR"/>
        </w:rPr>
        <w:t>2</w:t>
      </w:r>
      <w:r w:rsidR="00A53176">
        <w:rPr>
          <w:noProof/>
          <w:lang w:val="fr-FR"/>
        </w:rPr>
        <w:t> </w:t>
      </w:r>
      <w:r w:rsidR="00283ED9" w:rsidRPr="00DD03D6">
        <w:rPr>
          <w:noProof/>
          <w:lang w:val="fr-FR"/>
        </w:rPr>
        <w:t xml:space="preserve">000 </w:t>
      </w:r>
      <w:r w:rsidR="00B63094">
        <w:rPr>
          <w:noProof/>
          <w:lang w:val="fr-FR"/>
        </w:rPr>
        <w:t xml:space="preserve">en poste dans les écoles spéciales aidaient </w:t>
      </w:r>
      <w:r w:rsidR="00283ED9" w:rsidRPr="00DD03D6">
        <w:rPr>
          <w:noProof/>
          <w:lang w:val="fr-FR"/>
        </w:rPr>
        <w:t>6</w:t>
      </w:r>
      <w:r w:rsidR="00A53176">
        <w:rPr>
          <w:noProof/>
          <w:lang w:val="fr-FR"/>
        </w:rPr>
        <w:t> </w:t>
      </w:r>
      <w:r w:rsidR="00283ED9" w:rsidRPr="00DD03D6">
        <w:rPr>
          <w:noProof/>
          <w:lang w:val="fr-FR"/>
        </w:rPr>
        <w:t>905</w:t>
      </w:r>
      <w:r w:rsidR="00434035" w:rsidRPr="00DD03D6">
        <w:rPr>
          <w:noProof/>
          <w:lang w:val="fr-FR"/>
        </w:rPr>
        <w:t> </w:t>
      </w:r>
      <w:r w:rsidR="00B63094">
        <w:rPr>
          <w:noProof/>
          <w:lang w:val="fr-FR"/>
        </w:rPr>
        <w:t>élèves</w:t>
      </w:r>
      <w:r w:rsidR="00283ED9" w:rsidRPr="00DD03D6">
        <w:rPr>
          <w:noProof/>
          <w:lang w:val="fr-FR"/>
        </w:rPr>
        <w:t>.</w:t>
      </w:r>
    </w:p>
    <w:p w:rsidR="00283ED9" w:rsidRPr="00A53176" w:rsidRDefault="00B63094" w:rsidP="00111EE3">
      <w:pPr>
        <w:pStyle w:val="SingleTxtG"/>
        <w:numPr>
          <w:ilvl w:val="0"/>
          <w:numId w:val="3"/>
        </w:numPr>
        <w:ind w:left="1134" w:firstLine="0"/>
        <w:rPr>
          <w:i/>
          <w:iCs/>
          <w:noProof/>
          <w:lang w:val="fr-FR"/>
        </w:rPr>
      </w:pPr>
      <w:r>
        <w:rPr>
          <w:noProof/>
          <w:lang w:val="fr-FR"/>
        </w:rPr>
        <w:t>La Stratégie</w:t>
      </w:r>
      <w:r w:rsidR="00E92D3C">
        <w:rPr>
          <w:noProof/>
          <w:lang w:val="fr-FR"/>
        </w:rPr>
        <w:t xml:space="preserve"> </w:t>
      </w:r>
      <w:r>
        <w:rPr>
          <w:noProof/>
          <w:lang w:val="fr-FR"/>
        </w:rPr>
        <w:t xml:space="preserve">interculturelle </w:t>
      </w:r>
      <w:r w:rsidR="00797D74">
        <w:rPr>
          <w:noProof/>
          <w:lang w:val="fr-FR"/>
        </w:rPr>
        <w:t xml:space="preserve">en matière d’éducation </w:t>
      </w:r>
      <w:r>
        <w:rPr>
          <w:noProof/>
          <w:lang w:val="fr-FR"/>
        </w:rPr>
        <w:t xml:space="preserve">pour </w:t>
      </w:r>
      <w:r w:rsidR="00283ED9" w:rsidRPr="00DD03D6">
        <w:rPr>
          <w:noProof/>
          <w:lang w:val="fr-FR"/>
        </w:rPr>
        <w:t xml:space="preserve">2010-2015 </w:t>
      </w:r>
      <w:r>
        <w:rPr>
          <w:noProof/>
          <w:lang w:val="fr-FR"/>
        </w:rPr>
        <w:t>a été présentée en septemb</w:t>
      </w:r>
      <w:r w:rsidR="00283ED9" w:rsidRPr="00DD03D6">
        <w:rPr>
          <w:noProof/>
          <w:lang w:val="fr-FR"/>
        </w:rPr>
        <w:t>r</w:t>
      </w:r>
      <w:r>
        <w:rPr>
          <w:noProof/>
          <w:lang w:val="fr-FR"/>
        </w:rPr>
        <w:t>e</w:t>
      </w:r>
      <w:r w:rsidR="00283ED9" w:rsidRPr="00DD03D6">
        <w:rPr>
          <w:noProof/>
          <w:lang w:val="fr-FR"/>
        </w:rPr>
        <w:t xml:space="preserve"> 2010 </w:t>
      </w:r>
      <w:r>
        <w:rPr>
          <w:noProof/>
          <w:lang w:val="fr-FR"/>
        </w:rPr>
        <w:t>par le Ministère</w:t>
      </w:r>
      <w:r w:rsidR="008B7635">
        <w:rPr>
          <w:noProof/>
          <w:lang w:val="fr-FR"/>
        </w:rPr>
        <w:t xml:space="preserve"> </w:t>
      </w:r>
      <w:r>
        <w:rPr>
          <w:noProof/>
          <w:lang w:val="fr-FR"/>
        </w:rPr>
        <w:t xml:space="preserve">de l’éducation et de la formation et le </w:t>
      </w:r>
      <w:r w:rsidR="008B7635">
        <w:rPr>
          <w:noProof/>
          <w:lang w:val="fr-FR"/>
        </w:rPr>
        <w:t xml:space="preserve">Cabinet </w:t>
      </w:r>
      <w:r>
        <w:rPr>
          <w:noProof/>
          <w:lang w:val="fr-FR"/>
        </w:rPr>
        <w:t>du Ministre de l’i</w:t>
      </w:r>
      <w:r w:rsidR="00283ED9" w:rsidRPr="00DD03D6">
        <w:rPr>
          <w:noProof/>
          <w:lang w:val="fr-FR" w:eastAsia="en-IE"/>
        </w:rPr>
        <w:t>nt</w:t>
      </w:r>
      <w:r>
        <w:rPr>
          <w:noProof/>
          <w:lang w:val="fr-FR" w:eastAsia="en-IE"/>
        </w:rPr>
        <w:t>é</w:t>
      </w:r>
      <w:r w:rsidR="00283ED9" w:rsidRPr="00DD03D6">
        <w:rPr>
          <w:noProof/>
          <w:lang w:val="fr-FR" w:eastAsia="en-IE"/>
        </w:rPr>
        <w:t>gration</w:t>
      </w:r>
      <w:r w:rsidR="00283ED9" w:rsidRPr="00DD03D6">
        <w:rPr>
          <w:noProof/>
          <w:lang w:val="fr-FR"/>
        </w:rPr>
        <w:t xml:space="preserve">. </w:t>
      </w:r>
      <w:r>
        <w:rPr>
          <w:noProof/>
          <w:lang w:val="fr-FR"/>
        </w:rPr>
        <w:t xml:space="preserve">Elle vise à aider à </w:t>
      </w:r>
      <w:r w:rsidR="000F4F3F">
        <w:rPr>
          <w:noProof/>
          <w:lang w:val="fr-FR"/>
        </w:rPr>
        <w:t xml:space="preserve">créer </w:t>
      </w:r>
      <w:r>
        <w:rPr>
          <w:noProof/>
          <w:lang w:val="fr-FR"/>
        </w:rPr>
        <w:t xml:space="preserve">un </w:t>
      </w:r>
      <w:r w:rsidR="000F4F3F">
        <w:rPr>
          <w:noProof/>
          <w:lang w:val="fr-FR"/>
        </w:rPr>
        <w:t>milieu d’apprentissage interculture</w:t>
      </w:r>
      <w:r w:rsidR="00283ED9" w:rsidRPr="00DD03D6">
        <w:rPr>
          <w:noProof/>
          <w:lang w:val="fr-FR"/>
        </w:rPr>
        <w:t>l, int</w:t>
      </w:r>
      <w:r w:rsidR="000F4F3F">
        <w:rPr>
          <w:noProof/>
          <w:lang w:val="fr-FR"/>
        </w:rPr>
        <w:t>é</w:t>
      </w:r>
      <w:r w:rsidR="00283ED9" w:rsidRPr="00DD03D6">
        <w:rPr>
          <w:noProof/>
          <w:lang w:val="fr-FR"/>
        </w:rPr>
        <w:t>gr</w:t>
      </w:r>
      <w:r w:rsidR="000F4F3F">
        <w:rPr>
          <w:noProof/>
          <w:lang w:val="fr-FR"/>
        </w:rPr>
        <w:t>é et accueillant à tous les niveaux d’enseignement, depuis l’école maternelle jusqu’à l’enseignement supérieur</w:t>
      </w:r>
      <w:r w:rsidR="00283ED9" w:rsidRPr="00DD03D6">
        <w:rPr>
          <w:noProof/>
          <w:lang w:val="fr-FR"/>
        </w:rPr>
        <w:t>.</w:t>
      </w:r>
    </w:p>
    <w:p w:rsidR="00283ED9" w:rsidRPr="00DD03D6" w:rsidRDefault="00283ED9" w:rsidP="00E62D34">
      <w:pPr>
        <w:pStyle w:val="SingleTxtG"/>
        <w:numPr>
          <w:ilvl w:val="0"/>
          <w:numId w:val="3"/>
        </w:numPr>
        <w:ind w:left="1134" w:firstLine="0"/>
        <w:rPr>
          <w:noProof/>
          <w:lang w:val="fr-FR"/>
        </w:rPr>
      </w:pPr>
      <w:r w:rsidRPr="00DD03D6">
        <w:rPr>
          <w:noProof/>
          <w:lang w:val="fr-FR" w:eastAsia="en-GB"/>
        </w:rPr>
        <w:t>A</w:t>
      </w:r>
      <w:r w:rsidR="000F4F3F">
        <w:rPr>
          <w:noProof/>
          <w:lang w:val="fr-FR" w:eastAsia="en-GB"/>
        </w:rPr>
        <w:t>u niveau du primaire et du secondaire, un soutien linguistique supplémentaire est prévu pour les élèves dont l’anglais n’est pas la première langue</w:t>
      </w:r>
      <w:r w:rsidRPr="00DD03D6">
        <w:rPr>
          <w:noProof/>
          <w:lang w:val="fr-FR" w:eastAsia="en-GB"/>
        </w:rPr>
        <w:t xml:space="preserve">. </w:t>
      </w:r>
      <w:r w:rsidR="000F4F3F">
        <w:rPr>
          <w:noProof/>
          <w:lang w:val="fr-FR" w:eastAsia="en-GB"/>
        </w:rPr>
        <w:t>E</w:t>
      </w:r>
      <w:r w:rsidRPr="00DD03D6">
        <w:rPr>
          <w:noProof/>
          <w:lang w:val="fr-FR" w:eastAsia="en-GB"/>
        </w:rPr>
        <w:t xml:space="preserve">n 2012, </w:t>
      </w:r>
      <w:r w:rsidR="00BD3DA6">
        <w:rPr>
          <w:noProof/>
          <w:lang w:val="fr-FR" w:eastAsia="en-GB"/>
        </w:rPr>
        <w:t>la fourniture d’un soutien linguistique a été réformée à la faveur d’un regroupement</w:t>
      </w:r>
      <w:r w:rsidR="00EC70A5">
        <w:rPr>
          <w:noProof/>
          <w:lang w:val="fr-FR" w:eastAsia="en-GB"/>
        </w:rPr>
        <w:t>,</w:t>
      </w:r>
      <w:r w:rsidR="00BD3DA6">
        <w:rPr>
          <w:noProof/>
          <w:lang w:val="fr-FR" w:eastAsia="en-GB"/>
        </w:rPr>
        <w:t xml:space="preserve"> </w:t>
      </w:r>
      <w:r w:rsidR="00EC70A5">
        <w:rPr>
          <w:noProof/>
          <w:lang w:val="fr-FR" w:eastAsia="en-GB"/>
        </w:rPr>
        <w:t xml:space="preserve">dans le cadre d’un processus d’attribution simplifié, </w:t>
      </w:r>
      <w:r w:rsidR="00BD3DA6">
        <w:rPr>
          <w:noProof/>
          <w:lang w:val="fr-FR" w:eastAsia="en-GB"/>
        </w:rPr>
        <w:t xml:space="preserve">des ressources </w:t>
      </w:r>
      <w:r w:rsidR="00EC70A5">
        <w:rPr>
          <w:noProof/>
          <w:lang w:val="fr-FR" w:eastAsia="en-GB"/>
        </w:rPr>
        <w:t xml:space="preserve">devant permettre de répondre à un taux </w:t>
      </w:r>
      <w:r w:rsidR="00EC70A5">
        <w:rPr>
          <w:noProof/>
          <w:lang w:val="fr-FR" w:eastAsia="en-GB"/>
        </w:rPr>
        <w:lastRenderedPageBreak/>
        <w:t xml:space="preserve">élevé de besoins éducatifs spéciaux </w:t>
      </w:r>
      <w:r w:rsidR="00BD3DA6">
        <w:rPr>
          <w:noProof/>
          <w:lang w:val="fr-FR" w:eastAsia="en-GB"/>
        </w:rPr>
        <w:t xml:space="preserve">et </w:t>
      </w:r>
      <w:r w:rsidR="00EC70A5">
        <w:rPr>
          <w:noProof/>
          <w:lang w:val="fr-FR" w:eastAsia="en-GB"/>
        </w:rPr>
        <w:t xml:space="preserve">de fournir un </w:t>
      </w:r>
      <w:r w:rsidR="00BD3DA6">
        <w:rPr>
          <w:noProof/>
          <w:lang w:val="fr-FR" w:eastAsia="en-GB"/>
        </w:rPr>
        <w:t xml:space="preserve">soutien linguistique </w:t>
      </w:r>
      <w:r w:rsidR="00EC70A5">
        <w:rPr>
          <w:noProof/>
          <w:lang w:val="fr-FR" w:eastAsia="en-GB"/>
        </w:rPr>
        <w:t>intensif</w:t>
      </w:r>
      <w:r w:rsidRPr="00DD03D6">
        <w:rPr>
          <w:noProof/>
          <w:lang w:val="fr-FR"/>
        </w:rPr>
        <w:t xml:space="preserve">. </w:t>
      </w:r>
      <w:r w:rsidR="00654ECC">
        <w:rPr>
          <w:noProof/>
          <w:lang w:val="fr-FR"/>
        </w:rPr>
        <w:t>Le nouveau dispositif prévoit également des postes d’enseignement permanents supplémentaires pour les écoles à forte proportion d’élèves ayant besoin d’un soutien linguistique</w:t>
      </w:r>
      <w:r w:rsidRPr="00DD03D6">
        <w:rPr>
          <w:noProof/>
          <w:lang w:val="fr-FR"/>
        </w:rPr>
        <w:t xml:space="preserve">. </w:t>
      </w:r>
    </w:p>
    <w:p w:rsidR="00283ED9" w:rsidRPr="00DD03D6" w:rsidRDefault="005A12CC" w:rsidP="00111EE3">
      <w:pPr>
        <w:pStyle w:val="SingleTxtG"/>
        <w:numPr>
          <w:ilvl w:val="0"/>
          <w:numId w:val="3"/>
        </w:numPr>
        <w:ind w:left="1134" w:firstLine="0"/>
        <w:rPr>
          <w:noProof/>
          <w:lang w:val="fr-FR" w:eastAsia="en-GB"/>
        </w:rPr>
      </w:pPr>
      <w:r>
        <w:rPr>
          <w:noProof/>
          <w:lang w:val="fr-FR"/>
        </w:rPr>
        <w:t>L’élimination progressive des écoles réservées aux gens du voyage est l’un des o</w:t>
      </w:r>
      <w:r w:rsidR="00283ED9" w:rsidRPr="00DD03D6">
        <w:rPr>
          <w:noProof/>
          <w:lang w:val="fr-FR"/>
        </w:rPr>
        <w:t>bjecti</w:t>
      </w:r>
      <w:r>
        <w:rPr>
          <w:noProof/>
          <w:lang w:val="fr-FR"/>
        </w:rPr>
        <w:t>f</w:t>
      </w:r>
      <w:r w:rsidR="00283ED9" w:rsidRPr="00DD03D6">
        <w:rPr>
          <w:noProof/>
          <w:lang w:val="fr-FR"/>
        </w:rPr>
        <w:t xml:space="preserve">s </w:t>
      </w:r>
      <w:r>
        <w:rPr>
          <w:noProof/>
          <w:lang w:val="fr-FR"/>
        </w:rPr>
        <w:t xml:space="preserve">du document intitulé </w:t>
      </w:r>
      <w:r w:rsidR="00283ED9" w:rsidRPr="00DD03D6">
        <w:rPr>
          <w:i/>
          <w:iCs/>
          <w:noProof/>
          <w:lang w:val="fr-FR"/>
        </w:rPr>
        <w:t>R</w:t>
      </w:r>
      <w:r>
        <w:rPr>
          <w:i/>
          <w:iCs/>
          <w:noProof/>
          <w:lang w:val="fr-FR"/>
        </w:rPr>
        <w:t>apport et r</w:t>
      </w:r>
      <w:r w:rsidR="00283ED9" w:rsidRPr="00DD03D6">
        <w:rPr>
          <w:i/>
          <w:iCs/>
          <w:noProof/>
          <w:lang w:val="fr-FR"/>
        </w:rPr>
        <w:t>ecomm</w:t>
      </w:r>
      <w:r>
        <w:rPr>
          <w:i/>
          <w:iCs/>
          <w:noProof/>
          <w:lang w:val="fr-FR"/>
        </w:rPr>
        <w:t>a</w:t>
      </w:r>
      <w:r w:rsidR="00283ED9" w:rsidRPr="00DD03D6">
        <w:rPr>
          <w:i/>
          <w:iCs/>
          <w:noProof/>
          <w:lang w:val="fr-FR"/>
        </w:rPr>
        <w:t xml:space="preserve">ndations </w:t>
      </w:r>
      <w:r>
        <w:rPr>
          <w:i/>
          <w:iCs/>
          <w:noProof/>
          <w:lang w:val="fr-FR"/>
        </w:rPr>
        <w:t>pour une stratégie d’éducation pour les gens du voyage</w:t>
      </w:r>
      <w:r w:rsidR="00283ED9" w:rsidRPr="00DD03D6">
        <w:rPr>
          <w:noProof/>
          <w:lang w:val="fr-FR"/>
        </w:rPr>
        <w:t>, publi</w:t>
      </w:r>
      <w:r>
        <w:rPr>
          <w:noProof/>
          <w:lang w:val="fr-FR"/>
        </w:rPr>
        <w:t xml:space="preserve">é par le Gouvernement en </w:t>
      </w:r>
      <w:r w:rsidR="00283ED9" w:rsidRPr="00DD03D6">
        <w:rPr>
          <w:noProof/>
          <w:lang w:val="fr-FR"/>
        </w:rPr>
        <w:t xml:space="preserve">2006. </w:t>
      </w:r>
      <w:r>
        <w:rPr>
          <w:noProof/>
          <w:lang w:val="fr-FR"/>
        </w:rPr>
        <w:t xml:space="preserve">La possibilité pour tous les enfants d’accéder depuis janvier 2010 à l’éducation préscolaire </w:t>
      </w:r>
      <w:r w:rsidR="00283ED9" w:rsidRPr="00DD03D6">
        <w:rPr>
          <w:noProof/>
          <w:lang w:val="fr-FR"/>
        </w:rPr>
        <w:t>(</w:t>
      </w:r>
      <w:r>
        <w:rPr>
          <w:noProof/>
          <w:lang w:val="fr-FR"/>
        </w:rPr>
        <w:t xml:space="preserve">Programme </w:t>
      </w:r>
      <w:r w:rsidR="008B7635">
        <w:rPr>
          <w:noProof/>
          <w:lang w:val="fr-FR"/>
        </w:rPr>
        <w:t>d’accueil</w:t>
      </w:r>
      <w:r>
        <w:rPr>
          <w:noProof/>
          <w:lang w:val="fr-FR"/>
        </w:rPr>
        <w:t xml:space="preserve"> et d’éducation de la petite enfance</w:t>
      </w:r>
      <w:r w:rsidR="00283ED9" w:rsidRPr="00DD03D6">
        <w:rPr>
          <w:noProof/>
          <w:lang w:val="fr-FR"/>
        </w:rPr>
        <w:t>)</w:t>
      </w:r>
      <w:r>
        <w:rPr>
          <w:noProof/>
          <w:lang w:val="fr-FR"/>
        </w:rPr>
        <w:t xml:space="preserve"> et la création concomitante de </w:t>
      </w:r>
      <w:r w:rsidR="00283ED9" w:rsidRPr="00DD03D6">
        <w:rPr>
          <w:noProof/>
          <w:lang w:val="fr-FR"/>
        </w:rPr>
        <w:t xml:space="preserve">places </w:t>
      </w:r>
      <w:r>
        <w:rPr>
          <w:noProof/>
          <w:lang w:val="fr-FR"/>
        </w:rPr>
        <w:t xml:space="preserve">dans les services commerciaux et </w:t>
      </w:r>
      <w:r w:rsidR="00283ED9" w:rsidRPr="00DD03D6">
        <w:rPr>
          <w:noProof/>
          <w:lang w:val="fr-FR"/>
        </w:rPr>
        <w:t>commun</w:t>
      </w:r>
      <w:r>
        <w:rPr>
          <w:noProof/>
          <w:lang w:val="fr-FR"/>
        </w:rPr>
        <w:t>autaires en faveur de tous les enfants permettent désormais aux enfants des gens du voyage et aux autres enfants de fréquenter ensemble l’école mate</w:t>
      </w:r>
      <w:r w:rsidR="00F30A4F">
        <w:rPr>
          <w:noProof/>
          <w:lang w:val="fr-FR"/>
        </w:rPr>
        <w:t>r</w:t>
      </w:r>
      <w:r>
        <w:rPr>
          <w:noProof/>
          <w:lang w:val="fr-FR"/>
        </w:rPr>
        <w:t>nelle</w:t>
      </w:r>
      <w:r w:rsidR="00283ED9" w:rsidRPr="00DD03D6">
        <w:rPr>
          <w:noProof/>
          <w:lang w:val="fr-FR"/>
        </w:rPr>
        <w:t xml:space="preserve">. </w:t>
      </w:r>
      <w:r>
        <w:rPr>
          <w:noProof/>
          <w:lang w:val="fr-FR"/>
        </w:rPr>
        <w:t xml:space="preserve">Les services d’éducation préscolaire ont reçu un appui aux fins de l’intégration des enfants de toutes origines par le biais d’une formation </w:t>
      </w:r>
      <w:r w:rsidR="00F30A4F">
        <w:rPr>
          <w:noProof/>
          <w:lang w:val="fr-FR"/>
        </w:rPr>
        <w:t>agréée</w:t>
      </w:r>
      <w:r w:rsidR="00283ED9" w:rsidRPr="00DD03D6">
        <w:rPr>
          <w:noProof/>
          <w:lang w:val="fr-FR"/>
        </w:rPr>
        <w:t xml:space="preserve"> </w:t>
      </w:r>
      <w:r w:rsidR="00F30A4F">
        <w:rPr>
          <w:noProof/>
          <w:lang w:val="fr-FR"/>
        </w:rPr>
        <w:t>à l’égalité et à la diversité</w:t>
      </w:r>
      <w:r w:rsidR="00283ED9" w:rsidRPr="00DD03D6">
        <w:rPr>
          <w:noProof/>
          <w:lang w:val="fr-FR"/>
        </w:rPr>
        <w:t xml:space="preserve">. </w:t>
      </w:r>
    </w:p>
    <w:p w:rsidR="00283ED9" w:rsidRPr="00DD03D6" w:rsidRDefault="00F30A4F" w:rsidP="00E62D34">
      <w:pPr>
        <w:pStyle w:val="SingleTxtG"/>
        <w:numPr>
          <w:ilvl w:val="0"/>
          <w:numId w:val="3"/>
        </w:numPr>
        <w:ind w:left="1134" w:firstLine="0"/>
        <w:rPr>
          <w:noProof/>
          <w:lang w:val="fr-FR" w:eastAsia="en-GB"/>
        </w:rPr>
      </w:pPr>
      <w:r>
        <w:rPr>
          <w:noProof/>
          <w:lang w:val="fr-FR"/>
        </w:rPr>
        <w:t>E</w:t>
      </w:r>
      <w:r w:rsidR="00283ED9" w:rsidRPr="00DD03D6">
        <w:rPr>
          <w:noProof/>
          <w:lang w:val="fr-FR"/>
        </w:rPr>
        <w:t xml:space="preserve">n </w:t>
      </w:r>
      <w:r>
        <w:rPr>
          <w:noProof/>
          <w:lang w:val="fr-FR"/>
        </w:rPr>
        <w:t xml:space="preserve">outre, le </w:t>
      </w:r>
      <w:r w:rsidRPr="00F30A4F">
        <w:rPr>
          <w:noProof/>
          <w:lang w:val="fr-FR"/>
        </w:rPr>
        <w:t>Conseil national des programmes et de l’évaluation</w:t>
      </w:r>
      <w:r w:rsidR="00283ED9" w:rsidRPr="00DD03D6">
        <w:rPr>
          <w:noProof/>
          <w:lang w:val="fr-FR"/>
        </w:rPr>
        <w:t xml:space="preserve"> </w:t>
      </w:r>
      <w:r>
        <w:rPr>
          <w:noProof/>
          <w:lang w:val="fr-FR"/>
        </w:rPr>
        <w:t xml:space="preserve">a publié des documents intitulés </w:t>
      </w:r>
      <w:r>
        <w:rPr>
          <w:i/>
          <w:noProof/>
          <w:lang w:val="fr-FR"/>
        </w:rPr>
        <w:t xml:space="preserve">Directives concernant l’éducation interculturelle à dispenser dans les écoles primaires </w:t>
      </w:r>
      <w:r w:rsidR="00283ED9" w:rsidRPr="00DD03D6">
        <w:rPr>
          <w:iCs/>
          <w:noProof/>
          <w:lang w:val="fr-FR"/>
        </w:rPr>
        <w:t>(</w:t>
      </w:r>
      <w:r w:rsidR="00283ED9" w:rsidRPr="00DD03D6">
        <w:rPr>
          <w:noProof/>
          <w:lang w:val="fr-FR"/>
        </w:rPr>
        <w:t xml:space="preserve">2005) </w:t>
      </w:r>
      <w:r>
        <w:rPr>
          <w:noProof/>
          <w:lang w:val="fr-FR"/>
        </w:rPr>
        <w:t>et</w:t>
      </w:r>
      <w:r w:rsidR="00283ED9" w:rsidRPr="00DD03D6">
        <w:rPr>
          <w:i/>
          <w:noProof/>
          <w:lang w:val="fr-FR"/>
        </w:rPr>
        <w:t xml:space="preserve"> </w:t>
      </w:r>
      <w:r>
        <w:rPr>
          <w:i/>
          <w:noProof/>
          <w:lang w:val="fr-FR"/>
        </w:rPr>
        <w:t>L’É</w:t>
      </w:r>
      <w:r w:rsidR="00283ED9" w:rsidRPr="00DD03D6">
        <w:rPr>
          <w:i/>
          <w:noProof/>
          <w:lang w:val="fr-FR"/>
        </w:rPr>
        <w:t>ducation in</w:t>
      </w:r>
      <w:r>
        <w:rPr>
          <w:i/>
          <w:noProof/>
          <w:lang w:val="fr-FR"/>
        </w:rPr>
        <w:t>terculturelle dans l’enseignement postprimaire</w:t>
      </w:r>
      <w:r w:rsidR="00283ED9" w:rsidRPr="00DD03D6">
        <w:rPr>
          <w:i/>
          <w:noProof/>
          <w:lang w:val="fr-FR"/>
        </w:rPr>
        <w:t xml:space="preserve"> </w:t>
      </w:r>
      <w:r w:rsidR="00283ED9" w:rsidRPr="00DD03D6">
        <w:rPr>
          <w:noProof/>
          <w:lang w:val="fr-FR"/>
        </w:rPr>
        <w:t xml:space="preserve">(2006) </w:t>
      </w:r>
      <w:r>
        <w:rPr>
          <w:noProof/>
          <w:lang w:val="fr-FR"/>
        </w:rPr>
        <w:t xml:space="preserve">pour aider les établissements à amener leurs élèves </w:t>
      </w:r>
      <w:r w:rsidR="00CC57A3">
        <w:rPr>
          <w:noProof/>
          <w:lang w:val="fr-FR"/>
        </w:rPr>
        <w:t>« </w:t>
      </w:r>
      <w:r>
        <w:rPr>
          <w:noProof/>
          <w:lang w:val="fr-FR"/>
        </w:rPr>
        <w:t>à</w:t>
      </w:r>
      <w:r w:rsidR="00283ED9" w:rsidRPr="00DD03D6">
        <w:rPr>
          <w:noProof/>
          <w:lang w:val="fr-FR"/>
        </w:rPr>
        <w:t xml:space="preserve"> respect</w:t>
      </w:r>
      <w:r>
        <w:rPr>
          <w:noProof/>
          <w:lang w:val="fr-FR"/>
        </w:rPr>
        <w:t>er</w:t>
      </w:r>
      <w:r w:rsidR="00283ED9" w:rsidRPr="00DD03D6">
        <w:rPr>
          <w:noProof/>
          <w:lang w:val="fr-FR"/>
        </w:rPr>
        <w:t xml:space="preserve"> </w:t>
      </w:r>
      <w:r>
        <w:rPr>
          <w:noProof/>
          <w:lang w:val="fr-FR"/>
        </w:rPr>
        <w:t>et célébrer la diversité</w:t>
      </w:r>
      <w:r w:rsidR="00283ED9" w:rsidRPr="00DD03D6">
        <w:rPr>
          <w:noProof/>
          <w:lang w:val="fr-FR"/>
        </w:rPr>
        <w:t xml:space="preserve">, </w:t>
      </w:r>
      <w:r>
        <w:rPr>
          <w:noProof/>
          <w:lang w:val="fr-FR"/>
        </w:rPr>
        <w:t xml:space="preserve">à promouvoir l’égalité et </w:t>
      </w:r>
      <w:r w:rsidR="002E3385">
        <w:rPr>
          <w:noProof/>
          <w:lang w:val="fr-FR"/>
        </w:rPr>
        <w:t xml:space="preserve">à s’élever contre la </w:t>
      </w:r>
      <w:r w:rsidR="00283ED9" w:rsidRPr="00DD03D6">
        <w:rPr>
          <w:noProof/>
          <w:lang w:val="fr-FR"/>
        </w:rPr>
        <w:t>discrimination</w:t>
      </w:r>
      <w:r w:rsidR="00481CAE">
        <w:rPr>
          <w:noProof/>
          <w:lang w:val="fr-FR"/>
        </w:rPr>
        <w:t xml:space="preserve"> injuste</w:t>
      </w:r>
      <w:r w:rsidR="00CC57A3">
        <w:rPr>
          <w:noProof/>
          <w:lang w:val="fr-FR"/>
        </w:rPr>
        <w:t> »</w:t>
      </w:r>
      <w:r w:rsidR="00283ED9" w:rsidRPr="00DD03D6">
        <w:rPr>
          <w:noProof/>
          <w:lang w:val="fr-FR"/>
        </w:rPr>
        <w:t>.</w:t>
      </w:r>
    </w:p>
    <w:p w:rsidR="00283ED9" w:rsidRPr="00DD03D6" w:rsidRDefault="00481CAE" w:rsidP="00AD551B">
      <w:pPr>
        <w:pStyle w:val="SingleTxtG"/>
        <w:numPr>
          <w:ilvl w:val="0"/>
          <w:numId w:val="3"/>
        </w:numPr>
        <w:ind w:left="1134" w:firstLine="0"/>
        <w:rPr>
          <w:noProof/>
          <w:lang w:val="fr-FR"/>
        </w:rPr>
      </w:pPr>
      <w:r>
        <w:rPr>
          <w:noProof/>
          <w:lang w:val="fr-FR"/>
        </w:rPr>
        <w:t xml:space="preserve">Les écoles normales procèdent à une refonte de leurs programmes de formation des </w:t>
      </w:r>
      <w:r w:rsidR="00F70B60">
        <w:rPr>
          <w:noProof/>
          <w:lang w:val="fr-FR"/>
        </w:rPr>
        <w:t>enseignant</w:t>
      </w:r>
      <w:r>
        <w:rPr>
          <w:noProof/>
          <w:lang w:val="fr-FR"/>
        </w:rPr>
        <w:t xml:space="preserve">s à la lumière de faits récents tels que la </w:t>
      </w:r>
      <w:r w:rsidR="00283ED9" w:rsidRPr="00DD03D6">
        <w:rPr>
          <w:noProof/>
          <w:lang w:val="fr-FR"/>
        </w:rPr>
        <w:t xml:space="preserve">publication </w:t>
      </w:r>
      <w:r>
        <w:rPr>
          <w:noProof/>
          <w:lang w:val="fr-FR"/>
        </w:rPr>
        <w:t xml:space="preserve">des documents intitulés </w:t>
      </w:r>
      <w:r w:rsidRPr="00481CAE">
        <w:rPr>
          <w:i/>
          <w:noProof/>
          <w:lang w:val="fr-FR"/>
        </w:rPr>
        <w:t>Stratégie nationale concernant l’amélioration de la lecture, de l’écriture et du calcul chez les enfants et les jeunes, 2011-2020</w:t>
      </w:r>
      <w:r>
        <w:rPr>
          <w:noProof/>
          <w:lang w:val="fr-FR"/>
        </w:rPr>
        <w:t xml:space="preserve"> </w:t>
      </w:r>
      <w:r w:rsidR="00283ED9" w:rsidRPr="00DD03D6">
        <w:rPr>
          <w:noProof/>
          <w:lang w:val="fr-FR"/>
        </w:rPr>
        <w:t>(</w:t>
      </w:r>
      <w:r>
        <w:rPr>
          <w:noProof/>
          <w:lang w:val="fr-FR"/>
        </w:rPr>
        <w:t>Ministère de l’é</w:t>
      </w:r>
      <w:r w:rsidR="00283ED9" w:rsidRPr="00DD03D6">
        <w:rPr>
          <w:noProof/>
          <w:lang w:val="fr-FR"/>
        </w:rPr>
        <w:t xml:space="preserve">ducation </w:t>
      </w:r>
      <w:r>
        <w:rPr>
          <w:noProof/>
          <w:lang w:val="fr-FR"/>
        </w:rPr>
        <w:t>et de la formation</w:t>
      </w:r>
      <w:r w:rsidR="00283ED9" w:rsidRPr="00DD03D6">
        <w:rPr>
          <w:noProof/>
          <w:lang w:val="fr-FR"/>
        </w:rPr>
        <w:t xml:space="preserve">, 2011) </w:t>
      </w:r>
      <w:r>
        <w:rPr>
          <w:noProof/>
          <w:lang w:val="fr-FR"/>
        </w:rPr>
        <w:t xml:space="preserve">et </w:t>
      </w:r>
      <w:r w:rsidR="00E9542B">
        <w:rPr>
          <w:i/>
          <w:noProof/>
          <w:lang w:val="fr-FR"/>
        </w:rPr>
        <w:t>Poli</w:t>
      </w:r>
      <w:r w:rsidR="00F70B60">
        <w:rPr>
          <w:i/>
          <w:noProof/>
          <w:lang w:val="fr-FR"/>
        </w:rPr>
        <w:t>t</w:t>
      </w:r>
      <w:r w:rsidR="00E9542B">
        <w:rPr>
          <w:i/>
          <w:noProof/>
          <w:lang w:val="fr-FR"/>
        </w:rPr>
        <w:t xml:space="preserve">ique du Conseil pédagogique concernant </w:t>
      </w:r>
      <w:r w:rsidR="00F70B60">
        <w:rPr>
          <w:i/>
          <w:noProof/>
          <w:lang w:val="fr-FR"/>
        </w:rPr>
        <w:t xml:space="preserve">le processus graduel de la formation des enseignants </w:t>
      </w:r>
      <w:r w:rsidR="00E9542B">
        <w:rPr>
          <w:noProof/>
          <w:lang w:val="fr-FR"/>
        </w:rPr>
        <w:t>(</w:t>
      </w:r>
      <w:r w:rsidR="00283ED9" w:rsidRPr="00DD03D6">
        <w:rPr>
          <w:i/>
          <w:iCs/>
          <w:noProof/>
          <w:lang w:val="fr-FR"/>
        </w:rPr>
        <w:t>Teaching Council</w:t>
      </w:r>
      <w:r w:rsidR="000A2B7B" w:rsidRPr="00DD03D6">
        <w:rPr>
          <w:i/>
          <w:iCs/>
          <w:noProof/>
          <w:lang w:val="fr-FR"/>
        </w:rPr>
        <w:t>’</w:t>
      </w:r>
      <w:r w:rsidR="00283ED9" w:rsidRPr="00DD03D6">
        <w:rPr>
          <w:i/>
          <w:iCs/>
          <w:noProof/>
          <w:lang w:val="fr-FR"/>
        </w:rPr>
        <w:t>s Policy on the Continuum of Teacher Education</w:t>
      </w:r>
      <w:r w:rsidR="00283ED9" w:rsidRPr="00DD03D6">
        <w:rPr>
          <w:noProof/>
          <w:lang w:val="fr-FR"/>
        </w:rPr>
        <w:t xml:space="preserve"> (2011a)</w:t>
      </w:r>
      <w:r w:rsidR="00E9542B">
        <w:rPr>
          <w:noProof/>
          <w:lang w:val="fr-FR"/>
        </w:rPr>
        <w:t>)</w:t>
      </w:r>
      <w:r w:rsidR="00283ED9" w:rsidRPr="00DD03D6">
        <w:rPr>
          <w:noProof/>
          <w:lang w:val="fr-FR"/>
        </w:rPr>
        <w:t xml:space="preserve">. </w:t>
      </w:r>
      <w:r w:rsidR="00F70B60">
        <w:rPr>
          <w:noProof/>
          <w:lang w:val="fr-FR"/>
        </w:rPr>
        <w:t xml:space="preserve">Le Conseil pédagogique </w:t>
      </w:r>
      <w:r w:rsidR="00283ED9" w:rsidRPr="00DD03D6">
        <w:rPr>
          <w:noProof/>
          <w:lang w:val="fr-FR"/>
        </w:rPr>
        <w:t xml:space="preserve">(2011b) </w:t>
      </w:r>
      <w:r w:rsidR="00F70B60">
        <w:rPr>
          <w:noProof/>
          <w:lang w:val="fr-FR"/>
        </w:rPr>
        <w:t>a également publié un</w:t>
      </w:r>
      <w:r w:rsidR="00283ED9" w:rsidRPr="00DD03D6">
        <w:rPr>
          <w:noProof/>
          <w:lang w:val="fr-FR"/>
        </w:rPr>
        <w:t xml:space="preserve"> document </w:t>
      </w:r>
      <w:r w:rsidR="00F70B60">
        <w:rPr>
          <w:noProof/>
          <w:lang w:val="fr-FR"/>
        </w:rPr>
        <w:t xml:space="preserve">intitulé </w:t>
      </w:r>
      <w:r w:rsidR="00F70B60">
        <w:rPr>
          <w:i/>
          <w:noProof/>
          <w:lang w:val="fr-FR"/>
        </w:rPr>
        <w:t>Forma</w:t>
      </w:r>
      <w:r w:rsidR="00945C40">
        <w:rPr>
          <w:i/>
          <w:noProof/>
          <w:lang w:val="fr-FR"/>
        </w:rPr>
        <w:t>t</w:t>
      </w:r>
      <w:r w:rsidR="00F70B60">
        <w:rPr>
          <w:i/>
          <w:noProof/>
          <w:lang w:val="fr-FR"/>
        </w:rPr>
        <w:t xml:space="preserve">ion initiale des enseignants : critères et directives </w:t>
      </w:r>
      <w:r w:rsidR="00AF74B6">
        <w:rPr>
          <w:i/>
          <w:noProof/>
          <w:lang w:val="fr-FR"/>
        </w:rPr>
        <w:t xml:space="preserve">à l’intention des prestataires de programmes </w:t>
      </w:r>
      <w:r w:rsidR="00AF74B6">
        <w:rPr>
          <w:noProof/>
          <w:lang w:val="fr-FR"/>
        </w:rPr>
        <w:t>(</w:t>
      </w:r>
      <w:r w:rsidR="00283ED9" w:rsidRPr="00DD03D6">
        <w:rPr>
          <w:i/>
          <w:noProof/>
          <w:lang w:val="fr-FR"/>
        </w:rPr>
        <w:t>Initial Teacher Education: Criteria and Guid</w:t>
      </w:r>
      <w:r w:rsidR="00AF74B6">
        <w:rPr>
          <w:i/>
          <w:noProof/>
          <w:lang w:val="fr-FR"/>
        </w:rPr>
        <w:t>elines for Programme Providers</w:t>
      </w:r>
      <w:r w:rsidR="00AF74B6">
        <w:rPr>
          <w:noProof/>
          <w:lang w:val="fr-FR"/>
        </w:rPr>
        <w:t xml:space="preserve">), qui </w:t>
      </w:r>
      <w:r w:rsidR="00B16E90">
        <w:rPr>
          <w:noProof/>
          <w:lang w:val="fr-FR"/>
        </w:rPr>
        <w:t xml:space="preserve">fait de l’éducation </w:t>
      </w:r>
      <w:r w:rsidR="00AD551B" w:rsidRPr="00DD03D6">
        <w:rPr>
          <w:noProof/>
          <w:lang w:val="fr-FR"/>
        </w:rPr>
        <w:t>i</w:t>
      </w:r>
      <w:r w:rsidR="00283ED9" w:rsidRPr="00DD03D6">
        <w:rPr>
          <w:noProof/>
          <w:lang w:val="fr-FR"/>
        </w:rPr>
        <w:t>nclusive (</w:t>
      </w:r>
      <w:r w:rsidR="00B16E90">
        <w:rPr>
          <w:noProof/>
          <w:lang w:val="fr-FR"/>
        </w:rPr>
        <w:t>enseignement spécialisé</w:t>
      </w:r>
      <w:r w:rsidR="00283ED9" w:rsidRPr="00DD03D6">
        <w:rPr>
          <w:noProof/>
          <w:lang w:val="fr-FR"/>
        </w:rPr>
        <w:t xml:space="preserve">, </w:t>
      </w:r>
      <w:r w:rsidR="00AD551B" w:rsidRPr="00DD03D6">
        <w:rPr>
          <w:noProof/>
          <w:lang w:val="fr-FR"/>
        </w:rPr>
        <w:t>m</w:t>
      </w:r>
      <w:r w:rsidR="00283ED9" w:rsidRPr="00DD03D6">
        <w:rPr>
          <w:noProof/>
          <w:lang w:val="fr-FR"/>
        </w:rPr>
        <w:t>ulticulturalism</w:t>
      </w:r>
      <w:r w:rsidR="00B16E90">
        <w:rPr>
          <w:noProof/>
          <w:lang w:val="fr-FR"/>
        </w:rPr>
        <w:t>e</w:t>
      </w:r>
      <w:r w:rsidR="00283ED9" w:rsidRPr="00DD03D6">
        <w:rPr>
          <w:noProof/>
          <w:lang w:val="fr-FR"/>
        </w:rPr>
        <w:t xml:space="preserve"> </w:t>
      </w:r>
      <w:r w:rsidR="00B16E90">
        <w:rPr>
          <w:noProof/>
          <w:lang w:val="fr-FR"/>
        </w:rPr>
        <w:t>et situation défavorisée</w:t>
      </w:r>
      <w:r w:rsidR="00283ED9" w:rsidRPr="00DD03D6">
        <w:rPr>
          <w:noProof/>
          <w:lang w:val="fr-FR"/>
        </w:rPr>
        <w:t xml:space="preserve">) </w:t>
      </w:r>
      <w:r w:rsidR="00B16E90">
        <w:rPr>
          <w:noProof/>
          <w:lang w:val="fr-FR"/>
        </w:rPr>
        <w:t>un élément obligatoire des programmes révisés de formation des enseignants</w:t>
      </w:r>
      <w:r w:rsidR="00283ED9" w:rsidRPr="00DD03D6">
        <w:rPr>
          <w:noProof/>
          <w:lang w:val="fr-FR"/>
        </w:rPr>
        <w:t xml:space="preserve">. </w:t>
      </w:r>
      <w:r w:rsidR="00B16E90">
        <w:rPr>
          <w:noProof/>
          <w:lang w:val="fr-FR"/>
        </w:rPr>
        <w:t xml:space="preserve">Le </w:t>
      </w:r>
      <w:r w:rsidR="00283ED9" w:rsidRPr="00DD03D6">
        <w:rPr>
          <w:noProof/>
          <w:lang w:val="fr-FR"/>
        </w:rPr>
        <w:t>process</w:t>
      </w:r>
      <w:r w:rsidR="00B16E90">
        <w:rPr>
          <w:noProof/>
          <w:lang w:val="fr-FR"/>
        </w:rPr>
        <w:t>us de refonte se poursuit et des programmes d’études détaillés po</w:t>
      </w:r>
      <w:r w:rsidR="00144813">
        <w:rPr>
          <w:noProof/>
          <w:lang w:val="fr-FR"/>
        </w:rPr>
        <w:t>u</w:t>
      </w:r>
      <w:r w:rsidR="00B16E90">
        <w:rPr>
          <w:noProof/>
          <w:lang w:val="fr-FR"/>
        </w:rPr>
        <w:t xml:space="preserve">r les écoles normales </w:t>
      </w:r>
      <w:r w:rsidR="00144813">
        <w:rPr>
          <w:noProof/>
          <w:lang w:val="fr-FR"/>
        </w:rPr>
        <w:t xml:space="preserve">sont prévus pour </w:t>
      </w:r>
      <w:r w:rsidR="00283ED9" w:rsidRPr="00DD03D6">
        <w:rPr>
          <w:noProof/>
          <w:lang w:val="fr-FR"/>
        </w:rPr>
        <w:t>2012/</w:t>
      </w:r>
      <w:r w:rsidR="004F3194">
        <w:rPr>
          <w:noProof/>
          <w:lang w:val="fr-FR"/>
        </w:rPr>
        <w:t>20</w:t>
      </w:r>
      <w:r w:rsidR="00283ED9" w:rsidRPr="00DD03D6">
        <w:rPr>
          <w:noProof/>
          <w:lang w:val="fr-FR"/>
        </w:rPr>
        <w:t xml:space="preserve">13 </w:t>
      </w:r>
      <w:r w:rsidR="00144813">
        <w:rPr>
          <w:noProof/>
          <w:lang w:val="fr-FR"/>
        </w:rPr>
        <w:t xml:space="preserve">pour une licence </w:t>
      </w:r>
      <w:r w:rsidR="00945C40">
        <w:rPr>
          <w:noProof/>
          <w:lang w:val="fr-FR"/>
        </w:rPr>
        <w:t>en é</w:t>
      </w:r>
      <w:r w:rsidR="00283ED9" w:rsidRPr="00DD03D6">
        <w:rPr>
          <w:noProof/>
          <w:lang w:val="fr-FR"/>
        </w:rPr>
        <w:t xml:space="preserve">ducation </w:t>
      </w:r>
      <w:r w:rsidR="00945C40">
        <w:rPr>
          <w:noProof/>
          <w:lang w:val="fr-FR"/>
        </w:rPr>
        <w:t xml:space="preserve">et pour </w:t>
      </w:r>
      <w:r w:rsidR="00283ED9" w:rsidRPr="00DD03D6">
        <w:rPr>
          <w:noProof/>
          <w:lang w:val="fr-FR"/>
        </w:rPr>
        <w:t xml:space="preserve">2014 </w:t>
      </w:r>
      <w:r w:rsidR="00945C40">
        <w:rPr>
          <w:noProof/>
          <w:lang w:val="fr-FR"/>
        </w:rPr>
        <w:t>pour un cours d’études universitaires supérieures révisé</w:t>
      </w:r>
      <w:r w:rsidR="00283ED9" w:rsidRPr="00DD03D6">
        <w:rPr>
          <w:noProof/>
          <w:lang w:val="fr-FR"/>
        </w:rPr>
        <w:t>.</w:t>
      </w:r>
    </w:p>
    <w:p w:rsidR="00283ED9" w:rsidRPr="00DD03D6" w:rsidRDefault="00945C40" w:rsidP="00E62D34">
      <w:pPr>
        <w:pStyle w:val="SingleTxtG"/>
        <w:numPr>
          <w:ilvl w:val="0"/>
          <w:numId w:val="3"/>
        </w:numPr>
        <w:ind w:left="1134" w:firstLine="0"/>
        <w:rPr>
          <w:noProof/>
          <w:lang w:val="fr-FR"/>
        </w:rPr>
      </w:pPr>
      <w:r>
        <w:rPr>
          <w:noProof/>
          <w:lang w:val="fr-FR"/>
        </w:rPr>
        <w:t>E</w:t>
      </w:r>
      <w:r w:rsidR="00283ED9" w:rsidRPr="00DD03D6">
        <w:rPr>
          <w:noProof/>
          <w:lang w:val="fr-FR"/>
        </w:rPr>
        <w:t xml:space="preserve">n 2011, </w:t>
      </w:r>
      <w:r w:rsidR="00BA0395">
        <w:rPr>
          <w:noProof/>
          <w:lang w:val="fr-FR"/>
        </w:rPr>
        <w:t>le Ministre de l’é</w:t>
      </w:r>
      <w:r w:rsidR="00283ED9" w:rsidRPr="00DD03D6">
        <w:rPr>
          <w:noProof/>
          <w:lang w:val="fr-FR"/>
        </w:rPr>
        <w:t xml:space="preserve">ducation </w:t>
      </w:r>
      <w:r w:rsidR="00BA0395">
        <w:rPr>
          <w:noProof/>
          <w:lang w:val="fr-FR"/>
        </w:rPr>
        <w:t xml:space="preserve">et de la formation a annoncé la création du </w:t>
      </w:r>
      <w:r w:rsidR="00283ED9" w:rsidRPr="00DD03D6">
        <w:rPr>
          <w:noProof/>
          <w:lang w:val="fr-FR"/>
        </w:rPr>
        <w:t xml:space="preserve">Forum </w:t>
      </w:r>
      <w:r w:rsidR="00BA0395">
        <w:rPr>
          <w:noProof/>
          <w:lang w:val="fr-FR"/>
        </w:rPr>
        <w:t>sur l</w:t>
      </w:r>
      <w:r w:rsidR="00B42570">
        <w:rPr>
          <w:noProof/>
          <w:lang w:val="fr-FR"/>
        </w:rPr>
        <w:t>e</w:t>
      </w:r>
      <w:r w:rsidR="00BA0395">
        <w:rPr>
          <w:noProof/>
          <w:lang w:val="fr-FR"/>
        </w:rPr>
        <w:t xml:space="preserve"> parrainage et le p</w:t>
      </w:r>
      <w:r w:rsidR="00283ED9" w:rsidRPr="00DD03D6">
        <w:rPr>
          <w:noProof/>
          <w:lang w:val="fr-FR"/>
        </w:rPr>
        <w:t>luralism</w:t>
      </w:r>
      <w:r w:rsidR="00BA0395">
        <w:rPr>
          <w:noProof/>
          <w:lang w:val="fr-FR"/>
        </w:rPr>
        <w:t>e dans l’enseignement primaire</w:t>
      </w:r>
      <w:r w:rsidR="00283ED9" w:rsidRPr="00DD03D6">
        <w:rPr>
          <w:noProof/>
          <w:lang w:val="fr-FR"/>
        </w:rPr>
        <w:t xml:space="preserve">, </w:t>
      </w:r>
      <w:r w:rsidR="00BA0395">
        <w:rPr>
          <w:noProof/>
          <w:lang w:val="fr-FR"/>
        </w:rPr>
        <w:t>et a nommé les membres d’un groupe consultatif indépendant</w:t>
      </w:r>
      <w:r w:rsidR="00283ED9" w:rsidRPr="00DD03D6">
        <w:rPr>
          <w:noProof/>
          <w:lang w:val="fr-FR"/>
        </w:rPr>
        <w:t xml:space="preserve">. </w:t>
      </w:r>
      <w:r w:rsidR="00BA0395">
        <w:rPr>
          <w:noProof/>
          <w:lang w:val="fr-FR"/>
        </w:rPr>
        <w:t xml:space="preserve">Le </w:t>
      </w:r>
      <w:r w:rsidR="00283ED9" w:rsidRPr="00DD03D6">
        <w:rPr>
          <w:i/>
          <w:iCs/>
          <w:noProof/>
          <w:lang w:val="fr-FR"/>
        </w:rPr>
        <w:t>R</w:t>
      </w:r>
      <w:r w:rsidR="00BA0395">
        <w:rPr>
          <w:i/>
          <w:iCs/>
          <w:noProof/>
          <w:lang w:val="fr-FR"/>
        </w:rPr>
        <w:t xml:space="preserve">apport du Groupe consultatif au </w:t>
      </w:r>
      <w:r w:rsidR="00283ED9" w:rsidRPr="00DD03D6">
        <w:rPr>
          <w:i/>
          <w:iCs/>
          <w:noProof/>
          <w:lang w:val="fr-FR"/>
        </w:rPr>
        <w:t xml:space="preserve">Forum </w:t>
      </w:r>
      <w:r w:rsidR="00BA0395">
        <w:rPr>
          <w:i/>
          <w:iCs/>
          <w:noProof/>
          <w:lang w:val="fr-FR"/>
        </w:rPr>
        <w:t>sur le parrainage et le p</w:t>
      </w:r>
      <w:r w:rsidR="00283ED9" w:rsidRPr="00DD03D6">
        <w:rPr>
          <w:i/>
          <w:iCs/>
          <w:noProof/>
          <w:lang w:val="fr-FR"/>
        </w:rPr>
        <w:t>luralism</w:t>
      </w:r>
      <w:r w:rsidR="00BA0395">
        <w:rPr>
          <w:i/>
          <w:iCs/>
          <w:noProof/>
          <w:lang w:val="fr-FR"/>
        </w:rPr>
        <w:t>e</w:t>
      </w:r>
      <w:r w:rsidR="00BA0395">
        <w:rPr>
          <w:noProof/>
          <w:lang w:val="fr-FR"/>
        </w:rPr>
        <w:t xml:space="preserve"> </w:t>
      </w:r>
      <w:r w:rsidR="00283ED9" w:rsidRPr="00DD03D6">
        <w:rPr>
          <w:noProof/>
          <w:lang w:val="fr-FR"/>
        </w:rPr>
        <w:t>a</w:t>
      </w:r>
      <w:r w:rsidR="00BA0395">
        <w:rPr>
          <w:noProof/>
          <w:lang w:val="fr-FR"/>
        </w:rPr>
        <w:t xml:space="preserve"> été publié en av</w:t>
      </w:r>
      <w:r w:rsidR="00283ED9" w:rsidRPr="00DD03D6">
        <w:rPr>
          <w:noProof/>
          <w:lang w:val="fr-FR"/>
        </w:rPr>
        <w:t xml:space="preserve">ril 2012 (Coolahan </w:t>
      </w:r>
      <w:r w:rsidR="00283ED9" w:rsidRPr="00A53176">
        <w:rPr>
          <w:i/>
          <w:noProof/>
          <w:lang w:val="fr-FR"/>
        </w:rPr>
        <w:t>et al</w:t>
      </w:r>
      <w:r w:rsidR="00E50EC5" w:rsidRPr="00A53176">
        <w:rPr>
          <w:i/>
          <w:noProof/>
          <w:lang w:val="fr-FR"/>
        </w:rPr>
        <w:t>.</w:t>
      </w:r>
      <w:r w:rsidR="00283ED9" w:rsidRPr="00DD03D6">
        <w:rPr>
          <w:noProof/>
          <w:lang w:val="fr-FR"/>
        </w:rPr>
        <w:t xml:space="preserve">, 2012); </w:t>
      </w:r>
      <w:r w:rsidR="00BA0395">
        <w:rPr>
          <w:noProof/>
          <w:lang w:val="fr-FR"/>
        </w:rPr>
        <w:t xml:space="preserve">le Ministre a exposé son plan d’action en réponse à ce rapport en juin </w:t>
      </w:r>
      <w:r w:rsidR="00283ED9" w:rsidRPr="00DD03D6">
        <w:rPr>
          <w:noProof/>
          <w:lang w:val="fr-FR"/>
        </w:rPr>
        <w:t xml:space="preserve">2012 </w:t>
      </w:r>
      <w:r w:rsidR="00BA0395">
        <w:rPr>
          <w:noProof/>
          <w:lang w:val="fr-FR"/>
        </w:rPr>
        <w:t>et l’exécution de ce plan est en cours</w:t>
      </w:r>
      <w:r w:rsidR="00283ED9" w:rsidRPr="00DD03D6">
        <w:rPr>
          <w:noProof/>
          <w:lang w:val="fr-FR"/>
        </w:rPr>
        <w:t xml:space="preserve">. </w:t>
      </w:r>
    </w:p>
    <w:p w:rsidR="00283ED9" w:rsidRPr="00DD03D6" w:rsidRDefault="00BA0395" w:rsidP="00E62D34">
      <w:pPr>
        <w:pStyle w:val="SingleTxtG"/>
        <w:numPr>
          <w:ilvl w:val="0"/>
          <w:numId w:val="3"/>
        </w:numPr>
        <w:ind w:left="1134" w:firstLine="0"/>
        <w:rPr>
          <w:noProof/>
          <w:lang w:val="fr-FR"/>
        </w:rPr>
      </w:pPr>
      <w:r>
        <w:rPr>
          <w:noProof/>
          <w:lang w:val="fr-FR"/>
        </w:rPr>
        <w:t>E</w:t>
      </w:r>
      <w:r w:rsidR="00283ED9" w:rsidRPr="00DD03D6">
        <w:rPr>
          <w:noProof/>
          <w:lang w:val="fr-FR"/>
        </w:rPr>
        <w:t xml:space="preserve">n 2010, </w:t>
      </w:r>
      <w:r>
        <w:rPr>
          <w:noProof/>
          <w:lang w:val="fr-FR"/>
        </w:rPr>
        <w:t xml:space="preserve">le document intitulé </w:t>
      </w:r>
      <w:r>
        <w:rPr>
          <w:i/>
          <w:noProof/>
          <w:lang w:val="fr-FR"/>
        </w:rPr>
        <w:t xml:space="preserve">Combattre l’homophobie : Directives à l’intention des jeunes Irlandais </w:t>
      </w:r>
      <w:r>
        <w:rPr>
          <w:noProof/>
          <w:lang w:val="fr-FR"/>
        </w:rPr>
        <w:t>(</w:t>
      </w:r>
      <w:r w:rsidR="00283ED9" w:rsidRPr="00DD03D6">
        <w:rPr>
          <w:i/>
          <w:iCs/>
          <w:noProof/>
          <w:lang w:val="fr-FR"/>
        </w:rPr>
        <w:t>Addressing Homophobia: Guidelines for the Youth Sector in Ireland</w:t>
      </w:r>
      <w:r>
        <w:rPr>
          <w:noProof/>
          <w:lang w:val="fr-FR"/>
        </w:rPr>
        <w:t>) a été publié</w:t>
      </w:r>
      <w:r w:rsidR="00283ED9" w:rsidRPr="00DD03D6">
        <w:rPr>
          <w:noProof/>
          <w:lang w:val="fr-FR"/>
        </w:rPr>
        <w:t xml:space="preserve">. </w:t>
      </w:r>
      <w:r>
        <w:rPr>
          <w:noProof/>
          <w:lang w:val="fr-FR"/>
        </w:rPr>
        <w:t xml:space="preserve">Il avait été élaboré par le </w:t>
      </w:r>
      <w:r w:rsidR="00283ED9" w:rsidRPr="00DD03D6">
        <w:rPr>
          <w:noProof/>
          <w:lang w:val="fr-FR"/>
        </w:rPr>
        <w:t>BeLonG To Youth Service</w:t>
      </w:r>
      <w:r w:rsidR="004F3194">
        <w:rPr>
          <w:noProof/>
          <w:lang w:val="fr-FR"/>
        </w:rPr>
        <w:t xml:space="preserve"> </w:t>
      </w:r>
      <w:r>
        <w:rPr>
          <w:noProof/>
          <w:lang w:val="fr-FR"/>
        </w:rPr>
        <w:t xml:space="preserve">et financé par </w:t>
      </w:r>
      <w:r w:rsidR="002A15F5">
        <w:rPr>
          <w:noProof/>
          <w:lang w:val="fr-FR"/>
        </w:rPr>
        <w:t xml:space="preserve">le </w:t>
      </w:r>
      <w:r w:rsidR="00D8239B">
        <w:rPr>
          <w:noProof/>
          <w:lang w:val="fr-FR"/>
        </w:rPr>
        <w:t xml:space="preserve">Cabinet de la </w:t>
      </w:r>
      <w:r w:rsidR="004F3194">
        <w:rPr>
          <w:noProof/>
          <w:lang w:val="fr-FR"/>
        </w:rPr>
        <w:t>M</w:t>
      </w:r>
      <w:r w:rsidR="00D8239B">
        <w:rPr>
          <w:noProof/>
          <w:lang w:val="fr-FR"/>
        </w:rPr>
        <w:t>inistre de l’enfance et de la jeunesse</w:t>
      </w:r>
      <w:r w:rsidR="002A15F5">
        <w:rPr>
          <w:noProof/>
          <w:lang w:val="fr-FR"/>
        </w:rPr>
        <w:t xml:space="preserve"> </w:t>
      </w:r>
      <w:r w:rsidR="00283ED9" w:rsidRPr="00DD03D6">
        <w:rPr>
          <w:noProof/>
          <w:lang w:val="fr-FR"/>
        </w:rPr>
        <w:t>(</w:t>
      </w:r>
      <w:r w:rsidR="002A15F5">
        <w:rPr>
          <w:noProof/>
          <w:lang w:val="fr-FR"/>
        </w:rPr>
        <w:t>devenu depuis le Ministère de l’enfance et de la jeunesse</w:t>
      </w:r>
      <w:r w:rsidR="00283ED9" w:rsidRPr="00DD03D6">
        <w:rPr>
          <w:noProof/>
          <w:lang w:val="fr-FR"/>
        </w:rPr>
        <w:t>).</w:t>
      </w:r>
    </w:p>
    <w:p w:rsidR="00283ED9" w:rsidRPr="00DD03D6" w:rsidRDefault="00AE1F95" w:rsidP="00F3134A">
      <w:pPr>
        <w:pStyle w:val="SingleTxtG"/>
        <w:numPr>
          <w:ilvl w:val="0"/>
          <w:numId w:val="3"/>
        </w:numPr>
        <w:ind w:left="1134" w:firstLine="0"/>
        <w:rPr>
          <w:noProof/>
          <w:lang w:val="fr-FR"/>
        </w:rPr>
      </w:pPr>
      <w:r>
        <w:rPr>
          <w:noProof/>
          <w:lang w:val="fr-FR"/>
        </w:rPr>
        <w:t xml:space="preserve">Le </w:t>
      </w:r>
      <w:r w:rsidR="00283ED9" w:rsidRPr="00DD03D6">
        <w:rPr>
          <w:noProof/>
          <w:lang w:val="fr-FR"/>
        </w:rPr>
        <w:t xml:space="preserve">17 </w:t>
      </w:r>
      <w:r>
        <w:rPr>
          <w:noProof/>
          <w:lang w:val="fr-FR"/>
        </w:rPr>
        <w:t xml:space="preserve">mai </w:t>
      </w:r>
      <w:r w:rsidR="00283ED9" w:rsidRPr="00DD03D6">
        <w:rPr>
          <w:noProof/>
          <w:lang w:val="fr-FR"/>
        </w:rPr>
        <w:t xml:space="preserve">2012, </w:t>
      </w:r>
      <w:r>
        <w:rPr>
          <w:noProof/>
          <w:lang w:val="fr-FR"/>
        </w:rPr>
        <w:t xml:space="preserve">le </w:t>
      </w:r>
      <w:r w:rsidR="00283ED9" w:rsidRPr="00DD03D6">
        <w:rPr>
          <w:noProof/>
          <w:lang w:val="fr-FR"/>
        </w:rPr>
        <w:t>Minist</w:t>
      </w:r>
      <w:r>
        <w:rPr>
          <w:noProof/>
          <w:lang w:val="fr-FR"/>
        </w:rPr>
        <w:t>re de l’é</w:t>
      </w:r>
      <w:r w:rsidR="00283ED9" w:rsidRPr="00DD03D6">
        <w:rPr>
          <w:noProof/>
          <w:lang w:val="fr-FR"/>
        </w:rPr>
        <w:t xml:space="preserve">ducation </w:t>
      </w:r>
      <w:r>
        <w:rPr>
          <w:noProof/>
          <w:lang w:val="fr-FR"/>
        </w:rPr>
        <w:t>et de la formation et l</w:t>
      </w:r>
      <w:r w:rsidR="004F3194">
        <w:rPr>
          <w:noProof/>
          <w:lang w:val="fr-FR"/>
        </w:rPr>
        <w:t>a</w:t>
      </w:r>
      <w:r>
        <w:rPr>
          <w:noProof/>
          <w:lang w:val="fr-FR"/>
        </w:rPr>
        <w:t xml:space="preserve"> Ministre de l’enfance et de la jeunesse ont accueilli en commun un forum d’une journée contre les brimades à l’école</w:t>
      </w:r>
      <w:r w:rsidR="00283ED9" w:rsidRPr="00DD03D6">
        <w:rPr>
          <w:noProof/>
          <w:lang w:val="fr-FR"/>
        </w:rPr>
        <w:t xml:space="preserve">. </w:t>
      </w:r>
      <w:r>
        <w:rPr>
          <w:noProof/>
          <w:lang w:val="fr-FR"/>
        </w:rPr>
        <w:t xml:space="preserve">Ce </w:t>
      </w:r>
      <w:r w:rsidR="00283ED9" w:rsidRPr="00DD03D6">
        <w:rPr>
          <w:noProof/>
          <w:lang w:val="fr-FR"/>
        </w:rPr>
        <w:t xml:space="preserve">forum </w:t>
      </w:r>
      <w:r>
        <w:rPr>
          <w:noProof/>
          <w:lang w:val="fr-FR"/>
        </w:rPr>
        <w:t>se proposait d’étudier les moyens de faire face à ce problème et les modifications qui pourraien être apportées aux pratiques et politiques existantes dans les écoles afin de permettre à celles-ci de lutter plus efficacement contre ce phénomène</w:t>
      </w:r>
      <w:r w:rsidR="00283ED9" w:rsidRPr="00DD03D6">
        <w:rPr>
          <w:noProof/>
          <w:lang w:val="fr-FR"/>
        </w:rPr>
        <w:t xml:space="preserve">. </w:t>
      </w:r>
      <w:r>
        <w:rPr>
          <w:noProof/>
          <w:lang w:val="fr-FR"/>
        </w:rPr>
        <w:t xml:space="preserve">Le </w:t>
      </w:r>
      <w:r w:rsidR="00E50EC5" w:rsidRPr="00DD03D6">
        <w:rPr>
          <w:noProof/>
          <w:lang w:val="fr-FR"/>
        </w:rPr>
        <w:t>f</w:t>
      </w:r>
      <w:r w:rsidR="00283ED9" w:rsidRPr="00DD03D6">
        <w:rPr>
          <w:noProof/>
          <w:lang w:val="fr-FR"/>
        </w:rPr>
        <w:t xml:space="preserve">orum </w:t>
      </w:r>
      <w:r>
        <w:rPr>
          <w:noProof/>
          <w:lang w:val="fr-FR"/>
        </w:rPr>
        <w:t xml:space="preserve">a réuni plus de </w:t>
      </w:r>
      <w:r w:rsidR="00283ED9" w:rsidRPr="00DD03D6">
        <w:rPr>
          <w:noProof/>
          <w:lang w:val="fr-FR"/>
        </w:rPr>
        <w:t xml:space="preserve">100 </w:t>
      </w:r>
      <w:r w:rsidR="004F3194">
        <w:rPr>
          <w:noProof/>
          <w:lang w:val="fr-FR"/>
        </w:rPr>
        <w:t>acteurs</w:t>
      </w:r>
      <w:r w:rsidR="00283ED9" w:rsidRPr="00DD03D6">
        <w:rPr>
          <w:noProof/>
          <w:lang w:val="fr-FR"/>
        </w:rPr>
        <w:t xml:space="preserve">, </w:t>
      </w:r>
      <w:r>
        <w:rPr>
          <w:noProof/>
          <w:lang w:val="fr-FR"/>
        </w:rPr>
        <w:t xml:space="preserve">notamment des </w:t>
      </w:r>
      <w:r w:rsidR="00283ED9" w:rsidRPr="00DD03D6">
        <w:rPr>
          <w:noProof/>
          <w:lang w:val="fr-FR"/>
        </w:rPr>
        <w:t>repr</w:t>
      </w:r>
      <w:r>
        <w:rPr>
          <w:noProof/>
          <w:lang w:val="fr-FR"/>
        </w:rPr>
        <w:t>é</w:t>
      </w:r>
      <w:r w:rsidR="00283ED9" w:rsidRPr="00DD03D6">
        <w:rPr>
          <w:noProof/>
          <w:lang w:val="fr-FR"/>
        </w:rPr>
        <w:t>senta</w:t>
      </w:r>
      <w:r>
        <w:rPr>
          <w:noProof/>
          <w:lang w:val="fr-FR"/>
        </w:rPr>
        <w:t xml:space="preserve">nts des élèves, des parents et de l’administration scolaire, des syndicats d’enseignants, des groupes de soutien </w:t>
      </w:r>
      <w:r w:rsidR="00E6704C">
        <w:rPr>
          <w:noProof/>
          <w:lang w:val="fr-FR"/>
        </w:rPr>
        <w:t>aux</w:t>
      </w:r>
      <w:r>
        <w:rPr>
          <w:noProof/>
          <w:lang w:val="fr-FR"/>
        </w:rPr>
        <w:t xml:space="preserve"> </w:t>
      </w:r>
      <w:r>
        <w:rPr>
          <w:noProof/>
          <w:lang w:val="fr-FR"/>
        </w:rPr>
        <w:lastRenderedPageBreak/>
        <w:t>victimes de brimades</w:t>
      </w:r>
      <w:r w:rsidR="00283ED9" w:rsidRPr="00DD03D6">
        <w:rPr>
          <w:noProof/>
          <w:lang w:val="fr-FR"/>
        </w:rPr>
        <w:t xml:space="preserve">, </w:t>
      </w:r>
      <w:r w:rsidR="00E6704C">
        <w:rPr>
          <w:noProof/>
          <w:lang w:val="fr-FR"/>
        </w:rPr>
        <w:t>des défenseurs des droits et des spécialistes du problème des brimades</w:t>
      </w:r>
      <w:r w:rsidR="00283ED9" w:rsidRPr="00DD03D6">
        <w:rPr>
          <w:noProof/>
          <w:lang w:val="fr-FR"/>
        </w:rPr>
        <w:t xml:space="preserve">, </w:t>
      </w:r>
      <w:r w:rsidR="00E6704C">
        <w:rPr>
          <w:noProof/>
          <w:lang w:val="fr-FR"/>
        </w:rPr>
        <w:t>et les débats ont été diffusés en direct sur l’Internet</w:t>
      </w:r>
      <w:r w:rsidR="00283ED9" w:rsidRPr="00DD03D6">
        <w:rPr>
          <w:noProof/>
          <w:lang w:val="fr-FR"/>
        </w:rPr>
        <w:t xml:space="preserve">. </w:t>
      </w:r>
      <w:r w:rsidR="00E6704C">
        <w:rPr>
          <w:noProof/>
          <w:lang w:val="fr-FR"/>
        </w:rPr>
        <w:t xml:space="preserve">Dans le cadre du </w:t>
      </w:r>
      <w:r w:rsidR="00F3134A" w:rsidRPr="00DD03D6">
        <w:rPr>
          <w:noProof/>
          <w:lang w:val="fr-FR"/>
        </w:rPr>
        <w:t>f</w:t>
      </w:r>
      <w:r w:rsidR="00283ED9" w:rsidRPr="00DD03D6">
        <w:rPr>
          <w:noProof/>
          <w:lang w:val="fr-FR"/>
        </w:rPr>
        <w:t xml:space="preserve">orum, </w:t>
      </w:r>
      <w:r w:rsidR="00E6704C">
        <w:rPr>
          <w:noProof/>
          <w:lang w:val="fr-FR"/>
        </w:rPr>
        <w:t xml:space="preserve">le Ministre de l’éducation et de la formation a sollicité des contributions sur ce thème et il en a reçu </w:t>
      </w:r>
      <w:r w:rsidR="00283ED9" w:rsidRPr="00DD03D6">
        <w:rPr>
          <w:noProof/>
          <w:lang w:val="fr-FR"/>
        </w:rPr>
        <w:t xml:space="preserve">68. </w:t>
      </w:r>
      <w:r w:rsidR="00E6704C">
        <w:rPr>
          <w:noProof/>
          <w:lang w:val="fr-FR"/>
        </w:rPr>
        <w:t xml:space="preserve">En marge du </w:t>
      </w:r>
      <w:r w:rsidR="00F3134A" w:rsidRPr="00DD03D6">
        <w:rPr>
          <w:noProof/>
          <w:lang w:val="fr-FR"/>
        </w:rPr>
        <w:t>f</w:t>
      </w:r>
      <w:r w:rsidR="00283ED9" w:rsidRPr="00DD03D6">
        <w:rPr>
          <w:noProof/>
          <w:lang w:val="fr-FR"/>
        </w:rPr>
        <w:t xml:space="preserve">orum, </w:t>
      </w:r>
      <w:r w:rsidR="00E6704C">
        <w:rPr>
          <w:noProof/>
          <w:lang w:val="fr-FR"/>
        </w:rPr>
        <w:t xml:space="preserve">le Ministre a créé un Groupe de travail contre les brimades, chargé de lutter contre toutes les brimades, notamment les brimades homophobes, </w:t>
      </w:r>
      <w:r w:rsidR="00312007">
        <w:rPr>
          <w:noProof/>
          <w:lang w:val="fr-FR"/>
        </w:rPr>
        <w:t>le harcèlement en ligne et les brimades racistes</w:t>
      </w:r>
      <w:r w:rsidR="00283ED9" w:rsidRPr="00DD03D6">
        <w:rPr>
          <w:noProof/>
          <w:lang w:val="fr-FR"/>
        </w:rPr>
        <w:t xml:space="preserve">. </w:t>
      </w:r>
      <w:r w:rsidR="00312007">
        <w:rPr>
          <w:noProof/>
          <w:lang w:val="fr-FR"/>
        </w:rPr>
        <w:t>Les résultats et les recomma</w:t>
      </w:r>
      <w:r w:rsidR="00283ED9" w:rsidRPr="00DD03D6">
        <w:rPr>
          <w:noProof/>
          <w:lang w:val="fr-FR"/>
        </w:rPr>
        <w:t xml:space="preserve">ndations </w:t>
      </w:r>
      <w:r w:rsidR="00312007">
        <w:rPr>
          <w:noProof/>
          <w:lang w:val="fr-FR"/>
        </w:rPr>
        <w:t xml:space="preserve">du </w:t>
      </w:r>
      <w:r w:rsidR="00283ED9" w:rsidRPr="00DD03D6">
        <w:rPr>
          <w:noProof/>
          <w:lang w:val="fr-FR"/>
        </w:rPr>
        <w:t>Forum, a</w:t>
      </w:r>
      <w:r w:rsidR="00312007">
        <w:rPr>
          <w:noProof/>
          <w:lang w:val="fr-FR"/>
        </w:rPr>
        <w:t xml:space="preserve">insi que </w:t>
      </w:r>
      <w:r w:rsidR="008338E7">
        <w:rPr>
          <w:noProof/>
          <w:lang w:val="fr-FR"/>
        </w:rPr>
        <w:t>l</w:t>
      </w:r>
      <w:r w:rsidR="00312007">
        <w:rPr>
          <w:noProof/>
          <w:lang w:val="fr-FR"/>
        </w:rPr>
        <w:t xml:space="preserve">es contributions reçues, ont été examinés par le Groupe de travail, qui a publié son rapport intitulé </w:t>
      </w:r>
      <w:r w:rsidR="00283ED9" w:rsidRPr="00DD03D6">
        <w:rPr>
          <w:i/>
          <w:iCs/>
          <w:noProof/>
          <w:lang w:val="fr-FR"/>
        </w:rPr>
        <w:t xml:space="preserve">Plan </w:t>
      </w:r>
      <w:r w:rsidR="00312007">
        <w:rPr>
          <w:i/>
          <w:iCs/>
          <w:noProof/>
          <w:lang w:val="fr-FR"/>
        </w:rPr>
        <w:t xml:space="preserve">d’action contre les brimades </w:t>
      </w:r>
      <w:r w:rsidR="00312007">
        <w:rPr>
          <w:noProof/>
          <w:lang w:val="fr-FR"/>
        </w:rPr>
        <w:t>e</w:t>
      </w:r>
      <w:r w:rsidR="00283ED9" w:rsidRPr="00DD03D6">
        <w:rPr>
          <w:noProof/>
          <w:lang w:val="fr-FR"/>
        </w:rPr>
        <w:t xml:space="preserve">n </w:t>
      </w:r>
      <w:r w:rsidR="00312007">
        <w:rPr>
          <w:noProof/>
          <w:lang w:val="fr-FR"/>
        </w:rPr>
        <w:t xml:space="preserve">février </w:t>
      </w:r>
      <w:r w:rsidR="00283ED9" w:rsidRPr="00DD03D6">
        <w:rPr>
          <w:noProof/>
          <w:lang w:val="fr-FR"/>
        </w:rPr>
        <w:t xml:space="preserve">2013, </w:t>
      </w:r>
      <w:r w:rsidR="00312007">
        <w:rPr>
          <w:noProof/>
          <w:lang w:val="fr-FR"/>
        </w:rPr>
        <w:t>lequel a été présenté par le Ministre de l’é</w:t>
      </w:r>
      <w:r w:rsidR="00283ED9" w:rsidRPr="00DD03D6">
        <w:rPr>
          <w:noProof/>
          <w:lang w:val="fr-FR"/>
        </w:rPr>
        <w:t xml:space="preserve">ducation </w:t>
      </w:r>
      <w:r w:rsidR="00312007">
        <w:rPr>
          <w:noProof/>
          <w:lang w:val="fr-FR"/>
        </w:rPr>
        <w:t>et de la format</w:t>
      </w:r>
      <w:r w:rsidR="004F3194">
        <w:rPr>
          <w:noProof/>
          <w:lang w:val="fr-FR"/>
        </w:rPr>
        <w:t>ion et la</w:t>
      </w:r>
      <w:r w:rsidR="00312007">
        <w:rPr>
          <w:noProof/>
          <w:lang w:val="fr-FR"/>
        </w:rPr>
        <w:t xml:space="preserve"> Ministre de l’enfance et de la jeunesse</w:t>
      </w:r>
      <w:r w:rsidR="00283ED9" w:rsidRPr="00DD03D6">
        <w:rPr>
          <w:noProof/>
          <w:lang w:val="fr-FR"/>
        </w:rPr>
        <w:t xml:space="preserve">. </w:t>
      </w:r>
      <w:r w:rsidR="00312007">
        <w:rPr>
          <w:noProof/>
          <w:lang w:val="fr-FR"/>
        </w:rPr>
        <w:t xml:space="preserve">Le </w:t>
      </w:r>
      <w:r w:rsidR="00283ED9" w:rsidRPr="00DD03D6">
        <w:rPr>
          <w:noProof/>
          <w:lang w:val="fr-FR"/>
        </w:rPr>
        <w:t xml:space="preserve">Plan </w:t>
      </w:r>
      <w:r w:rsidR="00312007">
        <w:rPr>
          <w:noProof/>
          <w:lang w:val="fr-FR"/>
        </w:rPr>
        <w:t xml:space="preserve">d’action </w:t>
      </w:r>
      <w:r w:rsidR="00656C4A">
        <w:rPr>
          <w:noProof/>
          <w:lang w:val="fr-FR"/>
        </w:rPr>
        <w:t xml:space="preserve">comprend </w:t>
      </w:r>
      <w:r w:rsidR="00283ED9" w:rsidRPr="00DD03D6">
        <w:rPr>
          <w:noProof/>
          <w:lang w:val="fr-FR"/>
        </w:rPr>
        <w:t xml:space="preserve">12 </w:t>
      </w:r>
      <w:r w:rsidR="00656C4A">
        <w:rPr>
          <w:noProof/>
          <w:lang w:val="fr-FR"/>
        </w:rPr>
        <w:t>activités qui sont axées sur les aides à fournir aux écoles, la sensibilisation et les recherches futures</w:t>
      </w:r>
      <w:r w:rsidR="00283ED9" w:rsidRPr="00DD03D6">
        <w:rPr>
          <w:noProof/>
          <w:lang w:val="fr-FR"/>
        </w:rPr>
        <w:t xml:space="preserve">. </w:t>
      </w:r>
      <w:r w:rsidR="00656C4A">
        <w:rPr>
          <w:noProof/>
          <w:lang w:val="fr-FR"/>
        </w:rPr>
        <w:t xml:space="preserve">L’exécution de ces activités a commencé, en </w:t>
      </w:r>
      <w:r w:rsidR="00283ED9" w:rsidRPr="00DD03D6">
        <w:rPr>
          <w:noProof/>
          <w:lang w:val="fr-FR"/>
        </w:rPr>
        <w:t xml:space="preserve">consultation </w:t>
      </w:r>
      <w:r w:rsidR="00656C4A">
        <w:rPr>
          <w:noProof/>
          <w:lang w:val="fr-FR"/>
        </w:rPr>
        <w:t>avec les enseignants</w:t>
      </w:r>
      <w:r w:rsidR="00283ED9" w:rsidRPr="00DD03D6">
        <w:rPr>
          <w:noProof/>
          <w:lang w:val="fr-FR"/>
        </w:rPr>
        <w:t xml:space="preserve">, </w:t>
      </w:r>
      <w:r w:rsidR="00656C4A">
        <w:rPr>
          <w:noProof/>
          <w:lang w:val="fr-FR"/>
        </w:rPr>
        <w:t xml:space="preserve">les </w:t>
      </w:r>
      <w:r w:rsidR="00283ED9" w:rsidRPr="00DD03D6">
        <w:rPr>
          <w:noProof/>
          <w:lang w:val="fr-FR"/>
        </w:rPr>
        <w:t xml:space="preserve">parents </w:t>
      </w:r>
      <w:r w:rsidR="00656C4A">
        <w:rPr>
          <w:noProof/>
          <w:lang w:val="fr-FR"/>
        </w:rPr>
        <w:t>et les structures de gestion des établissements d’enseignement primaire et secondaire</w:t>
      </w:r>
      <w:r w:rsidR="00283ED9" w:rsidRPr="00DD03D6">
        <w:rPr>
          <w:noProof/>
          <w:lang w:val="fr-FR" w:eastAsia="en-IE"/>
        </w:rPr>
        <w:t>.</w:t>
      </w:r>
    </w:p>
    <w:p w:rsidR="00283ED9" w:rsidRPr="00DD03D6" w:rsidRDefault="00283ED9" w:rsidP="008338E7">
      <w:pPr>
        <w:pStyle w:val="H23G"/>
        <w:ind w:firstLine="0"/>
        <w:rPr>
          <w:noProof/>
          <w:lang w:val="fr-FR"/>
        </w:rPr>
      </w:pPr>
      <w:r w:rsidRPr="00DD03D6">
        <w:rPr>
          <w:noProof/>
          <w:lang w:val="fr-FR"/>
        </w:rPr>
        <w:t>L</w:t>
      </w:r>
      <w:r w:rsidR="008338E7">
        <w:rPr>
          <w:noProof/>
          <w:lang w:val="fr-FR"/>
        </w:rPr>
        <w:t>oisirs et activités récréatives et culturelles</w:t>
      </w:r>
      <w:r w:rsidRPr="00DD03D6">
        <w:rPr>
          <w:noProof/>
          <w:lang w:val="fr-FR"/>
        </w:rPr>
        <w:t xml:space="preserve"> </w:t>
      </w:r>
      <w:r w:rsidR="002A1CB1" w:rsidRPr="00DD03D6">
        <w:rPr>
          <w:noProof/>
          <w:lang w:val="fr-FR"/>
        </w:rPr>
        <w:t>(</w:t>
      </w:r>
      <w:r w:rsidR="008338E7">
        <w:rPr>
          <w:noProof/>
          <w:lang w:val="fr-FR"/>
        </w:rPr>
        <w:t xml:space="preserve">voir le </w:t>
      </w:r>
      <w:r w:rsidR="002A1CB1" w:rsidRPr="00DD03D6">
        <w:rPr>
          <w:noProof/>
          <w:lang w:val="fr-FR"/>
        </w:rPr>
        <w:t>chap</w:t>
      </w:r>
      <w:r w:rsidR="008338E7">
        <w:rPr>
          <w:noProof/>
          <w:lang w:val="fr-FR"/>
        </w:rPr>
        <w:t>itre</w:t>
      </w:r>
      <w:r w:rsidR="00520CB9" w:rsidRPr="00DD03D6">
        <w:rPr>
          <w:noProof/>
          <w:lang w:val="fr-FR"/>
        </w:rPr>
        <w:t> </w:t>
      </w:r>
      <w:r w:rsidRPr="00DD03D6">
        <w:rPr>
          <w:noProof/>
          <w:lang w:val="fr-FR"/>
        </w:rPr>
        <w:t>7)</w:t>
      </w:r>
    </w:p>
    <w:p w:rsidR="00283ED9" w:rsidRPr="00DD03D6" w:rsidRDefault="008338E7" w:rsidP="00E62D34">
      <w:pPr>
        <w:pStyle w:val="SingleTxtG"/>
        <w:numPr>
          <w:ilvl w:val="0"/>
          <w:numId w:val="3"/>
        </w:numPr>
        <w:ind w:left="1134" w:firstLine="0"/>
        <w:rPr>
          <w:noProof/>
          <w:lang w:val="fr-FR"/>
        </w:rPr>
      </w:pPr>
      <w:r w:rsidRPr="008338E7">
        <w:rPr>
          <w:b/>
          <w:bCs/>
          <w:noProof/>
          <w:lang w:val="fr-FR"/>
        </w:rPr>
        <w:t>Le Comité recommande à l’État partie de privilégier davantage la création d’installations pour les loisirs et les activités récréatives et culturelles des enfants</w:t>
      </w:r>
      <w:r w:rsidR="00283ED9" w:rsidRPr="00DD03D6">
        <w:rPr>
          <w:b/>
          <w:noProof/>
          <w:lang w:val="fr-FR"/>
        </w:rPr>
        <w:t>.</w:t>
      </w:r>
    </w:p>
    <w:p w:rsidR="00283ED9" w:rsidRPr="00DD03D6" w:rsidRDefault="003A14C9" w:rsidP="00F3134A">
      <w:pPr>
        <w:pStyle w:val="SingleTxtG"/>
        <w:numPr>
          <w:ilvl w:val="0"/>
          <w:numId w:val="3"/>
        </w:numPr>
        <w:ind w:left="1134" w:firstLine="0"/>
        <w:rPr>
          <w:noProof/>
          <w:lang w:val="fr-FR"/>
        </w:rPr>
      </w:pPr>
      <w:r>
        <w:rPr>
          <w:iCs/>
          <w:noProof/>
          <w:lang w:val="fr-FR"/>
        </w:rPr>
        <w:t xml:space="preserve">Le document </w:t>
      </w:r>
      <w:r>
        <w:rPr>
          <w:i/>
          <w:iCs/>
          <w:noProof/>
          <w:lang w:val="fr-FR"/>
        </w:rPr>
        <w:t xml:space="preserve">À vos marques, prêts, jouez! : une politique nationale du jeu </w:t>
      </w:r>
      <w:r>
        <w:rPr>
          <w:iCs/>
          <w:noProof/>
          <w:lang w:val="fr-FR"/>
        </w:rPr>
        <w:t>(</w:t>
      </w:r>
      <w:r w:rsidR="00283ED9" w:rsidRPr="00DD03D6">
        <w:rPr>
          <w:i/>
          <w:iCs/>
          <w:noProof/>
          <w:lang w:val="fr-FR"/>
        </w:rPr>
        <w:t>Ready, Steady, Play: A National Play Policy</w:t>
      </w:r>
      <w:r>
        <w:rPr>
          <w:noProof/>
          <w:lang w:val="fr-FR"/>
        </w:rPr>
        <w:t xml:space="preserve">) a été publié en mars </w:t>
      </w:r>
      <w:r w:rsidR="00283ED9" w:rsidRPr="00DD03D6">
        <w:rPr>
          <w:noProof/>
          <w:lang w:val="fr-FR"/>
        </w:rPr>
        <w:t>2004</w:t>
      </w:r>
      <w:r>
        <w:rPr>
          <w:noProof/>
          <w:lang w:val="fr-FR"/>
        </w:rPr>
        <w:t xml:space="preserve">; c’était le premier document de ce type jamais publié dans un pays </w:t>
      </w:r>
      <w:r w:rsidR="00283ED9" w:rsidRPr="00DD03D6">
        <w:rPr>
          <w:noProof/>
          <w:lang w:val="fr-FR"/>
        </w:rPr>
        <w:t>(</w:t>
      </w:r>
      <w:r>
        <w:rPr>
          <w:noProof/>
          <w:lang w:val="fr-FR"/>
        </w:rPr>
        <w:t>Bureau national des enfants</w:t>
      </w:r>
      <w:r w:rsidR="00283ED9" w:rsidRPr="00DD03D6">
        <w:rPr>
          <w:noProof/>
          <w:lang w:val="fr-FR"/>
        </w:rPr>
        <w:t xml:space="preserve">, 2004). </w:t>
      </w:r>
      <w:r>
        <w:rPr>
          <w:noProof/>
          <w:lang w:val="fr-FR"/>
        </w:rPr>
        <w:t xml:space="preserve">Depuis </w:t>
      </w:r>
      <w:r w:rsidR="00283ED9" w:rsidRPr="00DD03D6">
        <w:rPr>
          <w:noProof/>
          <w:lang w:val="fr-FR"/>
        </w:rPr>
        <w:t xml:space="preserve">2005, </w:t>
      </w:r>
      <w:r>
        <w:rPr>
          <w:noProof/>
          <w:lang w:val="fr-FR"/>
        </w:rPr>
        <w:t xml:space="preserve">le Gouvernement a alloué environ </w:t>
      </w:r>
      <w:r w:rsidR="00283ED9" w:rsidRPr="00DD03D6">
        <w:rPr>
          <w:noProof/>
          <w:lang w:val="fr-FR"/>
        </w:rPr>
        <w:t>28</w:t>
      </w:r>
      <w:r>
        <w:rPr>
          <w:noProof/>
          <w:lang w:val="fr-FR"/>
        </w:rPr>
        <w:t>,</w:t>
      </w:r>
      <w:r w:rsidR="00283ED9" w:rsidRPr="00DD03D6">
        <w:rPr>
          <w:noProof/>
          <w:lang w:val="fr-FR"/>
        </w:rPr>
        <w:t>3 million</w:t>
      </w:r>
      <w:r>
        <w:rPr>
          <w:noProof/>
          <w:lang w:val="fr-FR"/>
        </w:rPr>
        <w:t>s d’euros aux autorités locales au titre de la fourniture de terrains de jeu ou de leur amélioration</w:t>
      </w:r>
      <w:r w:rsidR="00283ED9" w:rsidRPr="00DD03D6">
        <w:rPr>
          <w:noProof/>
          <w:lang w:val="fr-FR"/>
        </w:rPr>
        <w:t xml:space="preserve"> </w:t>
      </w:r>
      <w:r>
        <w:rPr>
          <w:noProof/>
          <w:lang w:val="fr-FR"/>
        </w:rPr>
        <w:t xml:space="preserve">dans le cadre de l’application de la politique </w:t>
      </w:r>
      <w:r>
        <w:rPr>
          <w:i/>
          <w:iCs/>
          <w:noProof/>
          <w:lang w:val="fr-FR"/>
        </w:rPr>
        <w:t>À vos marques, prêts, jouez!</w:t>
      </w:r>
      <w:r w:rsidR="00A53176">
        <w:rPr>
          <w:i/>
          <w:iCs/>
          <w:noProof/>
          <w:lang w:val="fr-FR"/>
        </w:rPr>
        <w:t xml:space="preserve"> </w:t>
      </w:r>
      <w:r>
        <w:rPr>
          <w:noProof/>
          <w:lang w:val="fr-FR"/>
        </w:rPr>
        <w:t xml:space="preserve">et du programme </w:t>
      </w:r>
      <w:r w:rsidR="00283ED9" w:rsidRPr="00DD03D6">
        <w:rPr>
          <w:noProof/>
          <w:lang w:val="fr-FR"/>
        </w:rPr>
        <w:t xml:space="preserve">RAPID </w:t>
      </w:r>
      <w:r>
        <w:rPr>
          <w:noProof/>
          <w:lang w:val="fr-FR"/>
        </w:rPr>
        <w:t>en faveur des zones défavorisées</w:t>
      </w:r>
      <w:r w:rsidR="00283ED9" w:rsidRPr="00DD03D6">
        <w:rPr>
          <w:noProof/>
          <w:lang w:val="fr-FR"/>
        </w:rPr>
        <w:t xml:space="preserve">. </w:t>
      </w:r>
      <w:r>
        <w:rPr>
          <w:noProof/>
          <w:lang w:val="fr-FR"/>
        </w:rPr>
        <w:t>E</w:t>
      </w:r>
      <w:r w:rsidR="00283ED9" w:rsidRPr="00DD03D6">
        <w:rPr>
          <w:noProof/>
          <w:lang w:val="fr-FR"/>
        </w:rPr>
        <w:t xml:space="preserve">n </w:t>
      </w:r>
      <w:r>
        <w:rPr>
          <w:noProof/>
          <w:lang w:val="fr-FR"/>
        </w:rPr>
        <w:t xml:space="preserve">outre, le Gouvernement parraine </w:t>
      </w:r>
      <w:r w:rsidR="003A26F7">
        <w:rPr>
          <w:noProof/>
          <w:lang w:val="fr-FR"/>
        </w:rPr>
        <w:t>une journée nationale annuelle consacrée au jeu (sur un thème donné) en coopé</w:t>
      </w:r>
      <w:r w:rsidR="00283ED9" w:rsidRPr="00DD03D6">
        <w:rPr>
          <w:noProof/>
          <w:lang w:val="fr-FR"/>
        </w:rPr>
        <w:t xml:space="preserve">ration </w:t>
      </w:r>
      <w:r w:rsidR="003A26F7">
        <w:rPr>
          <w:noProof/>
          <w:lang w:val="fr-FR"/>
        </w:rPr>
        <w:t xml:space="preserve">avec un réseau </w:t>
      </w:r>
      <w:r w:rsidR="00283ED9" w:rsidRPr="00DD03D6">
        <w:rPr>
          <w:noProof/>
          <w:lang w:val="fr-FR"/>
        </w:rPr>
        <w:t>nation</w:t>
      </w:r>
      <w:r w:rsidR="003A26F7">
        <w:rPr>
          <w:noProof/>
          <w:lang w:val="fr-FR"/>
        </w:rPr>
        <w:t xml:space="preserve">al </w:t>
      </w:r>
      <w:r w:rsidR="006574C0">
        <w:rPr>
          <w:noProof/>
          <w:lang w:val="fr-FR"/>
        </w:rPr>
        <w:t>d’organismes publics locaux et d</w:t>
      </w:r>
      <w:r w:rsidR="005C585F">
        <w:rPr>
          <w:noProof/>
          <w:lang w:val="fr-FR"/>
        </w:rPr>
        <w:t xml:space="preserve">’associations </w:t>
      </w:r>
      <w:r w:rsidR="00283ED9" w:rsidRPr="00DD03D6">
        <w:rPr>
          <w:noProof/>
          <w:lang w:val="fr-FR"/>
        </w:rPr>
        <w:t>local</w:t>
      </w:r>
      <w:r w:rsidR="005C585F">
        <w:rPr>
          <w:noProof/>
          <w:lang w:val="fr-FR"/>
        </w:rPr>
        <w:t>es</w:t>
      </w:r>
      <w:r w:rsidR="00283ED9" w:rsidRPr="00DD03D6">
        <w:rPr>
          <w:noProof/>
          <w:lang w:val="fr-FR"/>
        </w:rPr>
        <w:t xml:space="preserve">. </w:t>
      </w:r>
      <w:r w:rsidR="005C585F">
        <w:rPr>
          <w:noProof/>
          <w:lang w:val="fr-FR"/>
        </w:rPr>
        <w:t xml:space="preserve">Environ </w:t>
      </w:r>
      <w:r w:rsidR="00283ED9" w:rsidRPr="00DD03D6">
        <w:rPr>
          <w:noProof/>
          <w:lang w:val="fr-FR"/>
        </w:rPr>
        <w:t>85</w:t>
      </w:r>
      <w:r w:rsidR="003F1ADB">
        <w:rPr>
          <w:noProof/>
          <w:lang w:val="fr-FR"/>
        </w:rPr>
        <w:t> %</w:t>
      </w:r>
      <w:r w:rsidR="00283ED9" w:rsidRPr="00DD03D6">
        <w:rPr>
          <w:noProof/>
          <w:lang w:val="fr-FR"/>
        </w:rPr>
        <w:t xml:space="preserve"> </w:t>
      </w:r>
      <w:r w:rsidR="005C585F">
        <w:rPr>
          <w:noProof/>
          <w:lang w:val="fr-FR"/>
        </w:rPr>
        <w:t xml:space="preserve">des autorités </w:t>
      </w:r>
      <w:r w:rsidR="00283ED9" w:rsidRPr="00DD03D6">
        <w:rPr>
          <w:noProof/>
          <w:lang w:val="fr-FR"/>
        </w:rPr>
        <w:t>local</w:t>
      </w:r>
      <w:r w:rsidR="005C585F">
        <w:rPr>
          <w:noProof/>
          <w:lang w:val="fr-FR"/>
        </w:rPr>
        <w:t>es</w:t>
      </w:r>
      <w:r w:rsidR="00283ED9" w:rsidRPr="00DD03D6">
        <w:rPr>
          <w:noProof/>
          <w:lang w:val="fr-FR"/>
        </w:rPr>
        <w:t xml:space="preserve"> </w:t>
      </w:r>
      <w:r w:rsidR="005C585F">
        <w:rPr>
          <w:noProof/>
          <w:lang w:val="fr-FR"/>
        </w:rPr>
        <w:t>ont organisé des activités au titre de cette journée en</w:t>
      </w:r>
      <w:r w:rsidR="00283ED9" w:rsidRPr="00DD03D6">
        <w:rPr>
          <w:noProof/>
          <w:lang w:val="fr-FR"/>
        </w:rPr>
        <w:t xml:space="preserve"> 2012, </w:t>
      </w:r>
      <w:r w:rsidR="005C585F">
        <w:rPr>
          <w:noProof/>
          <w:lang w:val="fr-FR"/>
        </w:rPr>
        <w:t xml:space="preserve">ce qui représentait le taux de participation le plus élevé jamais atteint </w:t>
      </w:r>
      <w:r w:rsidR="00283ED9" w:rsidRPr="00DD03D6">
        <w:rPr>
          <w:noProof/>
          <w:lang w:val="fr-FR"/>
        </w:rPr>
        <w:t>(</w:t>
      </w:r>
      <w:r w:rsidR="005C585F">
        <w:rPr>
          <w:noProof/>
          <w:lang w:val="fr-FR"/>
        </w:rPr>
        <w:t xml:space="preserve">voir les </w:t>
      </w:r>
      <w:r w:rsidR="00F3134A" w:rsidRPr="00DD03D6">
        <w:rPr>
          <w:noProof/>
          <w:lang w:val="fr-FR"/>
        </w:rPr>
        <w:t>p</w:t>
      </w:r>
      <w:r w:rsidR="00796A7C" w:rsidRPr="00DD03D6">
        <w:rPr>
          <w:noProof/>
          <w:lang w:val="fr-FR"/>
        </w:rPr>
        <w:t>ar</w:t>
      </w:r>
      <w:r w:rsidR="00386641">
        <w:rPr>
          <w:noProof/>
          <w:lang w:val="fr-FR"/>
        </w:rPr>
        <w:t>agraphes</w:t>
      </w:r>
      <w:r w:rsidR="005C585F">
        <w:rPr>
          <w:noProof/>
          <w:lang w:val="fr-FR"/>
        </w:rPr>
        <w:t xml:space="preserve"> 614 et </w:t>
      </w:r>
      <w:r w:rsidR="00283ED9" w:rsidRPr="00DD03D6">
        <w:rPr>
          <w:noProof/>
          <w:lang w:val="fr-FR"/>
        </w:rPr>
        <w:t>615).</w:t>
      </w:r>
    </w:p>
    <w:p w:rsidR="00283ED9" w:rsidRPr="00DD03D6" w:rsidRDefault="003B2D12" w:rsidP="00D85BE2">
      <w:pPr>
        <w:pStyle w:val="SingleTxtG"/>
        <w:numPr>
          <w:ilvl w:val="0"/>
          <w:numId w:val="3"/>
        </w:numPr>
        <w:ind w:left="1134" w:firstLine="0"/>
        <w:rPr>
          <w:noProof/>
          <w:lang w:val="fr-FR"/>
        </w:rPr>
      </w:pPr>
      <w:r>
        <w:rPr>
          <w:noProof/>
          <w:lang w:val="fr-FR"/>
        </w:rPr>
        <w:t>E</w:t>
      </w:r>
      <w:r w:rsidR="00283ED9" w:rsidRPr="00DD03D6">
        <w:rPr>
          <w:noProof/>
          <w:lang w:val="fr-FR"/>
        </w:rPr>
        <w:t xml:space="preserve">n </w:t>
      </w:r>
      <w:r>
        <w:rPr>
          <w:noProof/>
          <w:lang w:val="fr-FR"/>
        </w:rPr>
        <w:t>s</w:t>
      </w:r>
      <w:r w:rsidR="00283ED9" w:rsidRPr="00DD03D6">
        <w:rPr>
          <w:noProof/>
          <w:lang w:val="fr-FR"/>
        </w:rPr>
        <w:t>eptemb</w:t>
      </w:r>
      <w:r>
        <w:rPr>
          <w:noProof/>
          <w:lang w:val="fr-FR"/>
        </w:rPr>
        <w:t>re</w:t>
      </w:r>
      <w:r w:rsidR="00283ED9" w:rsidRPr="00DD03D6">
        <w:rPr>
          <w:noProof/>
          <w:lang w:val="fr-FR"/>
        </w:rPr>
        <w:t xml:space="preserve"> 2007, </w:t>
      </w:r>
      <w:r>
        <w:rPr>
          <w:noProof/>
          <w:lang w:val="fr-FR"/>
        </w:rPr>
        <w:t xml:space="preserve">la politique </w:t>
      </w:r>
      <w:r>
        <w:rPr>
          <w:i/>
          <w:noProof/>
          <w:lang w:val="fr-FR"/>
        </w:rPr>
        <w:t xml:space="preserve">Espace ados : La politique nationale des loisirs des jeunes </w:t>
      </w:r>
      <w:r>
        <w:rPr>
          <w:noProof/>
          <w:lang w:val="fr-FR"/>
        </w:rPr>
        <w:t>(</w:t>
      </w:r>
      <w:r w:rsidR="00283ED9" w:rsidRPr="00DD03D6">
        <w:rPr>
          <w:i/>
          <w:iCs/>
          <w:noProof/>
          <w:lang w:val="fr-FR"/>
        </w:rPr>
        <w:t>Teenspace: The National Recreation Policy</w:t>
      </w:r>
      <w:r w:rsidR="00283ED9" w:rsidRPr="00DD03D6">
        <w:rPr>
          <w:noProof/>
          <w:lang w:val="fr-FR"/>
        </w:rPr>
        <w:t xml:space="preserve"> </w:t>
      </w:r>
      <w:r w:rsidR="00283ED9" w:rsidRPr="00DD03D6">
        <w:rPr>
          <w:i/>
          <w:iCs/>
          <w:noProof/>
          <w:lang w:val="fr-FR"/>
        </w:rPr>
        <w:t>for Young People</w:t>
      </w:r>
      <w:r>
        <w:rPr>
          <w:noProof/>
          <w:lang w:val="fr-FR"/>
        </w:rPr>
        <w:t xml:space="preserve">) a été présentée </w:t>
      </w:r>
      <w:r w:rsidR="00283ED9" w:rsidRPr="00DD03D6">
        <w:rPr>
          <w:noProof/>
          <w:lang w:val="fr-FR"/>
        </w:rPr>
        <w:t>(</w:t>
      </w:r>
      <w:r w:rsidR="00D8239B">
        <w:rPr>
          <w:noProof/>
          <w:lang w:val="fr-FR"/>
        </w:rPr>
        <w:t xml:space="preserve">Cabinet de la </w:t>
      </w:r>
      <w:r w:rsidR="000015FE">
        <w:rPr>
          <w:noProof/>
          <w:lang w:val="fr-FR"/>
        </w:rPr>
        <w:t>M</w:t>
      </w:r>
      <w:r w:rsidR="00D8239B">
        <w:rPr>
          <w:noProof/>
          <w:lang w:val="fr-FR"/>
        </w:rPr>
        <w:t>inistre de l’enfance et de la jeunesse</w:t>
      </w:r>
      <w:r w:rsidR="00283ED9" w:rsidRPr="00DD03D6">
        <w:rPr>
          <w:noProof/>
          <w:lang w:val="fr-FR"/>
        </w:rPr>
        <w:t xml:space="preserve">, 2007b). </w:t>
      </w:r>
      <w:r>
        <w:rPr>
          <w:noProof/>
          <w:lang w:val="fr-FR"/>
        </w:rPr>
        <w:t xml:space="preserve">Elle porte sur les besoins d’activités récréatives des jeunes âgés de </w:t>
      </w:r>
      <w:r w:rsidR="00283ED9" w:rsidRPr="00DD03D6">
        <w:rPr>
          <w:noProof/>
          <w:lang w:val="fr-FR"/>
        </w:rPr>
        <w:t xml:space="preserve">12 </w:t>
      </w:r>
      <w:r>
        <w:rPr>
          <w:noProof/>
          <w:lang w:val="fr-FR"/>
        </w:rPr>
        <w:t>à</w:t>
      </w:r>
      <w:r w:rsidR="00283ED9" w:rsidRPr="00DD03D6">
        <w:rPr>
          <w:noProof/>
          <w:lang w:val="fr-FR"/>
        </w:rPr>
        <w:t xml:space="preserve"> 17 </w:t>
      </w:r>
      <w:r>
        <w:rPr>
          <w:noProof/>
          <w:lang w:val="fr-FR"/>
        </w:rPr>
        <w:t xml:space="preserve">ans et prévoit un cadre </w:t>
      </w:r>
      <w:r w:rsidR="000015FE">
        <w:rPr>
          <w:noProof/>
          <w:lang w:val="fr-FR"/>
        </w:rPr>
        <w:t>directeur</w:t>
      </w:r>
      <w:r w:rsidR="00283ED9" w:rsidRPr="00DD03D6">
        <w:rPr>
          <w:noProof/>
          <w:lang w:val="fr-FR"/>
        </w:rPr>
        <w:t xml:space="preserve"> </w:t>
      </w:r>
      <w:r>
        <w:rPr>
          <w:noProof/>
          <w:lang w:val="fr-FR"/>
        </w:rPr>
        <w:t xml:space="preserve">pour la </w:t>
      </w:r>
      <w:r w:rsidR="00283ED9" w:rsidRPr="00DD03D6">
        <w:rPr>
          <w:noProof/>
          <w:lang w:val="fr-FR"/>
        </w:rPr>
        <w:t xml:space="preserve">promotion </w:t>
      </w:r>
      <w:r w:rsidR="00CE0DAA">
        <w:rPr>
          <w:noProof/>
          <w:lang w:val="fr-FR"/>
        </w:rPr>
        <w:t>d’une offre ludique concrète s’adressant principalement à ce groupe d’âges. Cette politique a notamment débouché sur l’ouverture de cafés pour les jeunes, qui permettent à ces derniers de se rencontrer dans un milieu sûr et où ils ne peuvent consommer ni drogue ni alcool</w:t>
      </w:r>
      <w:r w:rsidR="00283ED9" w:rsidRPr="00DD03D6">
        <w:rPr>
          <w:noProof/>
          <w:lang w:val="fr-FR"/>
        </w:rPr>
        <w:t xml:space="preserve">. </w:t>
      </w:r>
      <w:r w:rsidR="00CE0DAA">
        <w:rPr>
          <w:noProof/>
          <w:lang w:val="fr-FR"/>
        </w:rPr>
        <w:t xml:space="preserve">On estime qu’entre </w:t>
      </w:r>
      <w:r w:rsidR="00283ED9" w:rsidRPr="00DD03D6">
        <w:rPr>
          <w:noProof/>
          <w:lang w:val="fr-FR"/>
        </w:rPr>
        <w:t xml:space="preserve">75 </w:t>
      </w:r>
      <w:r w:rsidR="00CE0DAA">
        <w:rPr>
          <w:noProof/>
          <w:lang w:val="fr-FR"/>
        </w:rPr>
        <w:t>et</w:t>
      </w:r>
      <w:r w:rsidR="00283ED9" w:rsidRPr="00DD03D6">
        <w:rPr>
          <w:noProof/>
          <w:lang w:val="fr-FR"/>
        </w:rPr>
        <w:t xml:space="preserve"> 100 </w:t>
      </w:r>
      <w:r w:rsidR="00CE0DAA">
        <w:rPr>
          <w:noProof/>
          <w:lang w:val="fr-FR"/>
        </w:rPr>
        <w:t xml:space="preserve">de ces </w:t>
      </w:r>
      <w:r w:rsidR="00283ED9" w:rsidRPr="00DD03D6">
        <w:rPr>
          <w:noProof/>
          <w:lang w:val="fr-FR"/>
        </w:rPr>
        <w:t xml:space="preserve">cafés </w:t>
      </w:r>
      <w:r w:rsidR="00CE0DAA">
        <w:rPr>
          <w:noProof/>
          <w:lang w:val="fr-FR"/>
        </w:rPr>
        <w:t xml:space="preserve">ont ouvert leurs portes entre </w:t>
      </w:r>
      <w:r w:rsidR="00283ED9" w:rsidRPr="00DD03D6">
        <w:rPr>
          <w:noProof/>
          <w:lang w:val="fr-FR"/>
        </w:rPr>
        <w:t xml:space="preserve">2007 </w:t>
      </w:r>
      <w:r w:rsidR="00CE0DAA">
        <w:rPr>
          <w:noProof/>
          <w:lang w:val="fr-FR"/>
        </w:rPr>
        <w:t>et</w:t>
      </w:r>
      <w:r w:rsidR="00283ED9" w:rsidRPr="00DD03D6">
        <w:rPr>
          <w:noProof/>
          <w:lang w:val="fr-FR"/>
        </w:rPr>
        <w:t xml:space="preserve"> 2012. </w:t>
      </w:r>
      <w:r w:rsidR="00CE0DAA">
        <w:rPr>
          <w:noProof/>
          <w:lang w:val="fr-FR"/>
        </w:rPr>
        <w:t xml:space="preserve">Ce rythme s’est accéléré en </w:t>
      </w:r>
      <w:r w:rsidR="00283ED9" w:rsidRPr="00DD03D6">
        <w:rPr>
          <w:noProof/>
          <w:lang w:val="fr-FR"/>
        </w:rPr>
        <w:t xml:space="preserve">2010, </w:t>
      </w:r>
      <w:r w:rsidR="00CE0DAA">
        <w:rPr>
          <w:noProof/>
          <w:lang w:val="fr-FR"/>
        </w:rPr>
        <w:t xml:space="preserve">à la suite de la mise en place </w:t>
      </w:r>
      <w:r w:rsidR="000D670E">
        <w:rPr>
          <w:noProof/>
          <w:lang w:val="fr-FR"/>
        </w:rPr>
        <w:t>d’un pr</w:t>
      </w:r>
      <w:r w:rsidR="00BF74D2">
        <w:rPr>
          <w:noProof/>
          <w:lang w:val="fr-FR"/>
        </w:rPr>
        <w:t>ogr</w:t>
      </w:r>
      <w:r w:rsidR="000D670E">
        <w:rPr>
          <w:noProof/>
          <w:lang w:val="fr-FR"/>
        </w:rPr>
        <w:t xml:space="preserve">amme </w:t>
      </w:r>
      <w:r w:rsidR="00BF74D2">
        <w:rPr>
          <w:noProof/>
          <w:lang w:val="fr-FR"/>
        </w:rPr>
        <w:t xml:space="preserve">national </w:t>
      </w:r>
      <w:r w:rsidR="000D670E">
        <w:rPr>
          <w:noProof/>
          <w:lang w:val="fr-FR"/>
        </w:rPr>
        <w:t xml:space="preserve">de </w:t>
      </w:r>
      <w:r w:rsidR="00BF74D2">
        <w:rPr>
          <w:noProof/>
          <w:lang w:val="fr-FR"/>
        </w:rPr>
        <w:t xml:space="preserve">financement des cafés pour les jeunes par le Gouvernement, qui a entrepris de faire réaliser des </w:t>
      </w:r>
      <w:r w:rsidR="00594C56">
        <w:rPr>
          <w:noProof/>
          <w:lang w:val="fr-FR"/>
        </w:rPr>
        <w:t xml:space="preserve">travaux de recherche professionnels pour étudier les incidences de ces </w:t>
      </w:r>
      <w:r w:rsidR="000015FE">
        <w:rPr>
          <w:noProof/>
          <w:lang w:val="fr-FR"/>
        </w:rPr>
        <w:t>espace</w:t>
      </w:r>
      <w:r w:rsidR="00594C56">
        <w:rPr>
          <w:noProof/>
          <w:lang w:val="fr-FR"/>
        </w:rPr>
        <w:t xml:space="preserve">s sur les communautés urbaines et rurales </w:t>
      </w:r>
      <w:r w:rsidR="00283ED9" w:rsidRPr="00DD03D6">
        <w:rPr>
          <w:noProof/>
          <w:lang w:val="fr-FR"/>
        </w:rPr>
        <w:t>local</w:t>
      </w:r>
      <w:r w:rsidR="00594C56">
        <w:rPr>
          <w:noProof/>
          <w:lang w:val="fr-FR"/>
        </w:rPr>
        <w:t xml:space="preserve">es </w:t>
      </w:r>
      <w:r w:rsidR="00283ED9" w:rsidRPr="00DD03D6">
        <w:rPr>
          <w:noProof/>
          <w:lang w:val="fr-FR"/>
        </w:rPr>
        <w:t>(</w:t>
      </w:r>
      <w:r w:rsidR="00594C56">
        <w:rPr>
          <w:noProof/>
          <w:lang w:val="fr-FR"/>
        </w:rPr>
        <w:t xml:space="preserve">voir les </w:t>
      </w:r>
      <w:r w:rsidR="005F1B79" w:rsidRPr="00DD03D6">
        <w:rPr>
          <w:noProof/>
          <w:lang w:val="fr-FR"/>
        </w:rPr>
        <w:t>p</w:t>
      </w:r>
      <w:r w:rsidR="00594C56">
        <w:rPr>
          <w:noProof/>
          <w:lang w:val="fr-FR"/>
        </w:rPr>
        <w:t>ar</w:t>
      </w:r>
      <w:r w:rsidR="00386641">
        <w:rPr>
          <w:noProof/>
          <w:lang w:val="fr-FR"/>
        </w:rPr>
        <w:t>agraphes</w:t>
      </w:r>
      <w:r w:rsidR="00796A7C" w:rsidRPr="00DD03D6">
        <w:rPr>
          <w:noProof/>
          <w:lang w:val="fr-FR"/>
        </w:rPr>
        <w:t> </w:t>
      </w:r>
      <w:r w:rsidR="00D85BE2" w:rsidRPr="00DD03D6">
        <w:rPr>
          <w:noProof/>
          <w:lang w:val="fr-FR"/>
        </w:rPr>
        <w:t>629</w:t>
      </w:r>
      <w:r w:rsidR="00594C56">
        <w:rPr>
          <w:noProof/>
          <w:lang w:val="fr-FR"/>
        </w:rPr>
        <w:t xml:space="preserve"> à </w:t>
      </w:r>
      <w:r w:rsidR="00D85BE2" w:rsidRPr="00DD03D6">
        <w:rPr>
          <w:noProof/>
          <w:lang w:val="fr-FR"/>
        </w:rPr>
        <w:t>632</w:t>
      </w:r>
      <w:r w:rsidR="00283ED9" w:rsidRPr="00DD03D6">
        <w:rPr>
          <w:noProof/>
          <w:lang w:val="fr-FR"/>
        </w:rPr>
        <w:t>).</w:t>
      </w:r>
    </w:p>
    <w:p w:rsidR="00283ED9" w:rsidRPr="00DD03D6" w:rsidRDefault="00594C56" w:rsidP="00E62D34">
      <w:pPr>
        <w:pStyle w:val="SingleTxtG"/>
        <w:numPr>
          <w:ilvl w:val="0"/>
          <w:numId w:val="3"/>
        </w:numPr>
        <w:ind w:left="1134" w:firstLine="0"/>
        <w:rPr>
          <w:noProof/>
          <w:lang w:val="fr-FR"/>
        </w:rPr>
      </w:pPr>
      <w:r>
        <w:rPr>
          <w:noProof/>
          <w:lang w:val="fr-FR"/>
        </w:rPr>
        <w:t xml:space="preserve">Un certain nombre de </w:t>
      </w:r>
      <w:r w:rsidR="00283ED9" w:rsidRPr="00DD03D6">
        <w:rPr>
          <w:noProof/>
          <w:lang w:val="fr-FR"/>
        </w:rPr>
        <w:t xml:space="preserve">programmes </w:t>
      </w:r>
      <w:r>
        <w:rPr>
          <w:noProof/>
          <w:lang w:val="fr-FR"/>
        </w:rPr>
        <w:t>gérés par le Service de la jeunesse d</w:t>
      </w:r>
      <w:r w:rsidR="000015FE">
        <w:rPr>
          <w:noProof/>
          <w:lang w:val="fr-FR"/>
        </w:rPr>
        <w:t>u</w:t>
      </w:r>
      <w:r>
        <w:rPr>
          <w:noProof/>
          <w:lang w:val="fr-FR"/>
        </w:rPr>
        <w:t xml:space="preserve"> Ministère de l’enfance et de la jeunesse répondent aux besoins sociaux, individuels et d’activités récréatives </w:t>
      </w:r>
      <w:r w:rsidR="00964569">
        <w:rPr>
          <w:noProof/>
          <w:lang w:val="fr-FR"/>
        </w:rPr>
        <w:t>des jeunes</w:t>
      </w:r>
      <w:r w:rsidR="00283ED9" w:rsidRPr="00DD03D6">
        <w:rPr>
          <w:noProof/>
          <w:lang w:val="fr-FR"/>
        </w:rPr>
        <w:t xml:space="preserve">. </w:t>
      </w:r>
      <w:r w:rsidR="00964569">
        <w:rPr>
          <w:noProof/>
          <w:lang w:val="fr-FR"/>
        </w:rPr>
        <w:t>Il s’agit notamment des programmes suivants : Programme de subventions pour les services à la jeunesse</w:t>
      </w:r>
      <w:r w:rsidR="00283ED9" w:rsidRPr="00DD03D6">
        <w:rPr>
          <w:noProof/>
          <w:lang w:val="fr-FR"/>
        </w:rPr>
        <w:t xml:space="preserve">, </w:t>
      </w:r>
      <w:r w:rsidR="00964569">
        <w:rPr>
          <w:noProof/>
          <w:lang w:val="fr-FR"/>
        </w:rPr>
        <w:t>Projets spéciaux pour la jeunesse</w:t>
      </w:r>
      <w:r w:rsidR="00283ED9" w:rsidRPr="00DD03D6">
        <w:rPr>
          <w:noProof/>
          <w:lang w:val="fr-FR"/>
        </w:rPr>
        <w:t xml:space="preserve">, </w:t>
      </w:r>
      <w:r w:rsidR="000D324A">
        <w:rPr>
          <w:noProof/>
          <w:lang w:val="fr-FR"/>
        </w:rPr>
        <w:t>Fonds pour les installations et services destinés à la jeunesse</w:t>
      </w:r>
      <w:r w:rsidR="00283ED9" w:rsidRPr="00DD03D6">
        <w:rPr>
          <w:noProof/>
          <w:lang w:val="fr-FR"/>
        </w:rPr>
        <w:t xml:space="preserve">, </w:t>
      </w:r>
      <w:r w:rsidR="000D324A">
        <w:rPr>
          <w:noProof/>
          <w:lang w:val="fr-FR"/>
        </w:rPr>
        <w:t>Programme de subventions des clubs de jeunes locaux</w:t>
      </w:r>
      <w:r w:rsidR="00283ED9" w:rsidRPr="00DD03D6">
        <w:rPr>
          <w:noProof/>
          <w:lang w:val="fr-FR"/>
        </w:rPr>
        <w:t xml:space="preserve">, </w:t>
      </w:r>
      <w:r w:rsidR="000D324A">
        <w:rPr>
          <w:noProof/>
          <w:lang w:val="fr-FR"/>
        </w:rPr>
        <w:t>Centre d’information pour la jeunesse</w:t>
      </w:r>
      <w:r w:rsidR="00283ED9" w:rsidRPr="00DD03D6">
        <w:rPr>
          <w:noProof/>
          <w:lang w:val="fr-FR"/>
        </w:rPr>
        <w:t>, An Gaisce (</w:t>
      </w:r>
      <w:r w:rsidR="000D324A">
        <w:rPr>
          <w:noProof/>
          <w:lang w:val="fr-FR"/>
        </w:rPr>
        <w:t xml:space="preserve">Le Prix du </w:t>
      </w:r>
      <w:r w:rsidR="00283ED9" w:rsidRPr="00DD03D6">
        <w:rPr>
          <w:noProof/>
          <w:lang w:val="fr-FR"/>
        </w:rPr>
        <w:t>Pr</w:t>
      </w:r>
      <w:r w:rsidR="000D324A">
        <w:rPr>
          <w:noProof/>
          <w:lang w:val="fr-FR"/>
        </w:rPr>
        <w:t>é</w:t>
      </w:r>
      <w:r w:rsidR="00283ED9" w:rsidRPr="00DD03D6">
        <w:rPr>
          <w:noProof/>
          <w:lang w:val="fr-FR"/>
        </w:rPr>
        <w:t xml:space="preserve">sident), Léargas – </w:t>
      </w:r>
      <w:r w:rsidR="000D324A">
        <w:rPr>
          <w:noProof/>
          <w:lang w:val="fr-FR"/>
        </w:rPr>
        <w:t>Le Bureau d’échange</w:t>
      </w:r>
      <w:r w:rsidR="00283ED9" w:rsidRPr="00DD03D6">
        <w:rPr>
          <w:noProof/>
          <w:lang w:val="fr-FR"/>
        </w:rPr>
        <w:t xml:space="preserve">, </w:t>
      </w:r>
      <w:r w:rsidR="000D324A">
        <w:rPr>
          <w:noProof/>
          <w:lang w:val="fr-FR"/>
        </w:rPr>
        <w:t>Programme n</w:t>
      </w:r>
      <w:r w:rsidR="00283ED9" w:rsidRPr="00DD03D6">
        <w:rPr>
          <w:noProof/>
          <w:lang w:val="fr-FR"/>
        </w:rPr>
        <w:t xml:space="preserve">ational </w:t>
      </w:r>
      <w:r w:rsidR="000D324A">
        <w:rPr>
          <w:noProof/>
          <w:lang w:val="fr-FR"/>
        </w:rPr>
        <w:t>relatif à la santé des jeunes et Programme n</w:t>
      </w:r>
      <w:r w:rsidR="00283ED9" w:rsidRPr="00DD03D6">
        <w:rPr>
          <w:noProof/>
          <w:lang w:val="fr-FR"/>
        </w:rPr>
        <w:t xml:space="preserve">ational </w:t>
      </w:r>
      <w:r w:rsidR="000D324A">
        <w:rPr>
          <w:noProof/>
          <w:lang w:val="fr-FR"/>
        </w:rPr>
        <w:t>des arts pour la jeunesse</w:t>
      </w:r>
      <w:r w:rsidR="00283ED9" w:rsidRPr="00DD03D6">
        <w:rPr>
          <w:noProof/>
          <w:lang w:val="fr-FR"/>
        </w:rPr>
        <w:t xml:space="preserve">. </w:t>
      </w:r>
      <w:r w:rsidR="000D324A">
        <w:rPr>
          <w:noProof/>
          <w:lang w:val="fr-FR"/>
        </w:rPr>
        <w:t xml:space="preserve">Certains de ces </w:t>
      </w:r>
      <w:r w:rsidR="00283ED9" w:rsidRPr="00DD03D6">
        <w:rPr>
          <w:noProof/>
          <w:lang w:val="fr-FR"/>
        </w:rPr>
        <w:t xml:space="preserve">programmes </w:t>
      </w:r>
      <w:r w:rsidR="00491537">
        <w:rPr>
          <w:noProof/>
          <w:lang w:val="fr-FR"/>
        </w:rPr>
        <w:t>s’adressent spécifiquement à des jeunes difficiles à atteindre ou défavorisés</w:t>
      </w:r>
      <w:r w:rsidR="00283ED9" w:rsidRPr="00DD03D6">
        <w:rPr>
          <w:noProof/>
          <w:lang w:val="fr-FR"/>
        </w:rPr>
        <w:t xml:space="preserve">. </w:t>
      </w:r>
      <w:r w:rsidR="00491537">
        <w:rPr>
          <w:noProof/>
          <w:lang w:val="fr-FR"/>
        </w:rPr>
        <w:t xml:space="preserve">Le Ministère de l’enfance </w:t>
      </w:r>
      <w:r w:rsidR="00491537">
        <w:rPr>
          <w:noProof/>
          <w:lang w:val="fr-FR"/>
        </w:rPr>
        <w:lastRenderedPageBreak/>
        <w:t>et de la jeunesse supervise l’application par les autorités loca</w:t>
      </w:r>
      <w:r w:rsidR="000015FE">
        <w:rPr>
          <w:noProof/>
          <w:lang w:val="fr-FR"/>
        </w:rPr>
        <w:t>les</w:t>
      </w:r>
      <w:r w:rsidR="00491537">
        <w:rPr>
          <w:noProof/>
          <w:lang w:val="fr-FR"/>
        </w:rPr>
        <w:t xml:space="preserve"> de la politique nationale du jeu et de la politique nationale des loisirs</w:t>
      </w:r>
      <w:r w:rsidR="00283ED9" w:rsidRPr="00DD03D6">
        <w:rPr>
          <w:noProof/>
          <w:lang w:val="fr-FR"/>
        </w:rPr>
        <w:t>.</w:t>
      </w:r>
    </w:p>
    <w:p w:rsidR="00283ED9" w:rsidRPr="00DD03D6" w:rsidRDefault="00491537" w:rsidP="00491537">
      <w:pPr>
        <w:pStyle w:val="H23G"/>
        <w:ind w:firstLine="0"/>
        <w:rPr>
          <w:noProof/>
          <w:lang w:val="fr-FR"/>
        </w:rPr>
      </w:pPr>
      <w:r>
        <w:rPr>
          <w:noProof/>
          <w:lang w:val="fr-FR"/>
        </w:rPr>
        <w:t xml:space="preserve">Mesures de </w:t>
      </w:r>
      <w:r w:rsidR="00283ED9" w:rsidRPr="00DD03D6">
        <w:rPr>
          <w:noProof/>
          <w:lang w:val="fr-FR"/>
        </w:rPr>
        <w:t xml:space="preserve">protection </w:t>
      </w:r>
      <w:r>
        <w:rPr>
          <w:noProof/>
          <w:lang w:val="fr-FR"/>
        </w:rPr>
        <w:t xml:space="preserve">spéciales </w:t>
      </w:r>
      <w:r w:rsidR="002A1CB1" w:rsidRPr="00DD03D6">
        <w:rPr>
          <w:noProof/>
          <w:lang w:val="fr-FR"/>
        </w:rPr>
        <w:t>(</w:t>
      </w:r>
      <w:r>
        <w:rPr>
          <w:noProof/>
          <w:lang w:val="fr-FR"/>
        </w:rPr>
        <w:t xml:space="preserve">voir les chapitres </w:t>
      </w:r>
      <w:r w:rsidR="00283ED9" w:rsidRPr="00DD03D6">
        <w:rPr>
          <w:noProof/>
          <w:lang w:val="fr-FR"/>
        </w:rPr>
        <w:t xml:space="preserve">1, 2, 7 </w:t>
      </w:r>
      <w:r>
        <w:rPr>
          <w:noProof/>
          <w:lang w:val="fr-FR"/>
        </w:rPr>
        <w:t>et</w:t>
      </w:r>
      <w:r w:rsidR="00283ED9" w:rsidRPr="00DD03D6">
        <w:rPr>
          <w:noProof/>
          <w:lang w:val="fr-FR"/>
        </w:rPr>
        <w:t xml:space="preserve"> 8)</w:t>
      </w:r>
    </w:p>
    <w:p w:rsidR="00283ED9" w:rsidRPr="00DD03D6" w:rsidRDefault="00E62D34" w:rsidP="00520CB9">
      <w:pPr>
        <w:pStyle w:val="H23G"/>
        <w:rPr>
          <w:noProof/>
          <w:lang w:val="fr-FR"/>
        </w:rPr>
      </w:pPr>
      <w:r w:rsidRPr="00DD03D6">
        <w:rPr>
          <w:noProof/>
          <w:lang w:val="fr-FR"/>
        </w:rPr>
        <w:tab/>
      </w:r>
      <w:r w:rsidRPr="00DD03D6">
        <w:rPr>
          <w:noProof/>
          <w:lang w:val="fr-FR"/>
        </w:rPr>
        <w:tab/>
      </w:r>
      <w:r w:rsidR="00491537">
        <w:rPr>
          <w:noProof/>
          <w:lang w:val="fr-FR"/>
        </w:rPr>
        <w:t>Enfants réfugiés et demandeurs d’asile</w:t>
      </w:r>
      <w:r w:rsidR="00283ED9" w:rsidRPr="00DD03D6">
        <w:rPr>
          <w:noProof/>
          <w:lang w:val="fr-FR"/>
        </w:rPr>
        <w:t xml:space="preserve"> </w:t>
      </w:r>
    </w:p>
    <w:p w:rsidR="00283ED9" w:rsidRPr="00220B9E" w:rsidRDefault="00491537" w:rsidP="00E62D34">
      <w:pPr>
        <w:pStyle w:val="SingleTxtG"/>
        <w:numPr>
          <w:ilvl w:val="0"/>
          <w:numId w:val="3"/>
        </w:numPr>
        <w:ind w:left="1134" w:firstLine="0"/>
        <w:rPr>
          <w:noProof/>
          <w:lang w:val="fr-FR"/>
        </w:rPr>
      </w:pPr>
      <w:r w:rsidRPr="00220B9E">
        <w:rPr>
          <w:b/>
          <w:noProof/>
          <w:lang w:val="fr-FR"/>
        </w:rPr>
        <w:t>Le Comité recommande à l’État partie de prendre les mesures voulues pour mettre les politiques, les procédures et les pratiques en conformité avec ses obligations internationales, ainsi qu’avec les principes énoncés dans d’autres documents comme la brochure «</w:t>
      </w:r>
      <w:r w:rsidR="003F1ADB">
        <w:rPr>
          <w:b/>
          <w:noProof/>
          <w:lang w:val="fr-FR"/>
        </w:rPr>
        <w:t> </w:t>
      </w:r>
      <w:r w:rsidRPr="00220B9E">
        <w:rPr>
          <w:b/>
          <w:i/>
          <w:iCs/>
          <w:noProof/>
          <w:lang w:val="fr-FR"/>
        </w:rPr>
        <w:t>Separated children in Europe Programme: Statement of Good Practices</w:t>
      </w:r>
      <w:r w:rsidR="003F1ADB">
        <w:rPr>
          <w:b/>
          <w:i/>
          <w:iCs/>
          <w:noProof/>
          <w:lang w:val="fr-FR"/>
        </w:rPr>
        <w:t> </w:t>
      </w:r>
      <w:r w:rsidRPr="00220B9E">
        <w:rPr>
          <w:b/>
          <w:noProof/>
          <w:lang w:val="fr-FR"/>
        </w:rPr>
        <w:t>» élaborée par le Haut</w:t>
      </w:r>
      <w:r w:rsidR="00386641">
        <w:rPr>
          <w:b/>
          <w:noProof/>
          <w:lang w:val="fr-FR"/>
        </w:rPr>
        <w:t>-</w:t>
      </w:r>
      <w:r w:rsidRPr="00220B9E">
        <w:rPr>
          <w:b/>
          <w:noProof/>
          <w:lang w:val="fr-FR"/>
        </w:rPr>
        <w:t>Commissariat pour les réfugiés en collaboration avec l’organisation Save the Children. Le Comité encourage en outre l’État partie à faire en sorte que les enfants aient tous accès aux mêmes services de soutien sur un pied d’égalité, qu’ils se trouvent sous la responsabilité des autorités ou celle de leurs parents.</w:t>
      </w:r>
    </w:p>
    <w:p w:rsidR="00283ED9" w:rsidRPr="00220B9E" w:rsidRDefault="00491537" w:rsidP="00E62D34">
      <w:pPr>
        <w:pStyle w:val="SingleTxtG"/>
        <w:numPr>
          <w:ilvl w:val="0"/>
          <w:numId w:val="3"/>
        </w:numPr>
        <w:ind w:left="1134" w:firstLine="0"/>
        <w:rPr>
          <w:noProof/>
          <w:lang w:val="fr-FR"/>
        </w:rPr>
      </w:pPr>
      <w:r w:rsidRPr="00220B9E">
        <w:rPr>
          <w:b/>
          <w:noProof/>
          <w:lang w:val="fr-FR"/>
        </w:rPr>
        <w:t xml:space="preserve">Le Comité attire également l’attention de l’État partie sur son Observation générale </w:t>
      </w:r>
      <w:r w:rsidRPr="00220B9E">
        <w:rPr>
          <w:rFonts w:eastAsia="MS Mincho"/>
          <w:b/>
          <w:noProof/>
          <w:lang w:val="fr-FR"/>
        </w:rPr>
        <w:t>n</w:t>
      </w:r>
      <w:r w:rsidRPr="00220B9E">
        <w:rPr>
          <w:rFonts w:eastAsia="MS Mincho"/>
          <w:b/>
          <w:noProof/>
          <w:vertAlign w:val="superscript"/>
          <w:lang w:val="fr-FR"/>
        </w:rPr>
        <w:t>o</w:t>
      </w:r>
      <w:r w:rsidRPr="00220B9E">
        <w:rPr>
          <w:rFonts w:eastAsia="MS Mincho"/>
          <w:b/>
          <w:noProof/>
          <w:lang w:val="fr-FR"/>
        </w:rPr>
        <w:t> </w:t>
      </w:r>
      <w:r w:rsidRPr="00220B9E">
        <w:rPr>
          <w:b/>
          <w:noProof/>
          <w:lang w:val="fr-FR"/>
        </w:rPr>
        <w:t xml:space="preserve">6 (2005) sur le traitement des enfants non accompagnés et séparés en dehors de leur pays d’origine </w:t>
      </w:r>
      <w:r w:rsidR="00283ED9" w:rsidRPr="00220B9E">
        <w:rPr>
          <w:b/>
          <w:noProof/>
          <w:lang w:val="fr-FR"/>
        </w:rPr>
        <w:t>(CRC/GC/2005/6).</w:t>
      </w:r>
    </w:p>
    <w:p w:rsidR="00283ED9" w:rsidRPr="00DD03D6" w:rsidRDefault="00AC0D1B" w:rsidP="00E62D34">
      <w:pPr>
        <w:pStyle w:val="SingleTxtG"/>
        <w:numPr>
          <w:ilvl w:val="0"/>
          <w:numId w:val="3"/>
        </w:numPr>
        <w:ind w:left="1134" w:firstLine="0"/>
        <w:rPr>
          <w:noProof/>
          <w:lang w:val="fr-FR" w:eastAsia="en-GB"/>
        </w:rPr>
      </w:pPr>
      <w:r>
        <w:rPr>
          <w:noProof/>
          <w:lang w:val="fr-FR" w:eastAsia="en-GB"/>
        </w:rPr>
        <w:t xml:space="preserve">Le </w:t>
      </w:r>
      <w:r w:rsidRPr="00AC0D1B">
        <w:rPr>
          <w:noProof/>
          <w:color w:val="000000"/>
          <w:lang w:val="fr-FR"/>
        </w:rPr>
        <w:t>Bureau du commissaire aux demandes de statut de réfugié</w:t>
      </w:r>
      <w:r>
        <w:rPr>
          <w:noProof/>
          <w:color w:val="000000"/>
          <w:lang w:val="fr-FR"/>
        </w:rPr>
        <w:t xml:space="preserve"> et le</w:t>
      </w:r>
      <w:r w:rsidR="00283ED9" w:rsidRPr="00DD03D6">
        <w:rPr>
          <w:noProof/>
          <w:lang w:val="fr-FR" w:eastAsia="en-GB"/>
        </w:rPr>
        <w:t xml:space="preserve"> Tribunal </w:t>
      </w:r>
      <w:r>
        <w:rPr>
          <w:noProof/>
          <w:lang w:val="fr-FR" w:eastAsia="en-GB"/>
        </w:rPr>
        <w:t xml:space="preserve">d’appel des réfugiés </w:t>
      </w:r>
      <w:r w:rsidR="00283ED9" w:rsidRPr="00DD03D6">
        <w:rPr>
          <w:noProof/>
          <w:lang w:val="fr-FR" w:eastAsia="en-GB"/>
        </w:rPr>
        <w:t>continue</w:t>
      </w:r>
      <w:r>
        <w:rPr>
          <w:noProof/>
          <w:lang w:val="fr-FR" w:eastAsia="en-GB"/>
        </w:rPr>
        <w:t xml:space="preserve">nt de collaborer avec d’autres organismes pour faire en sorte que toutes les procédures </w:t>
      </w:r>
      <w:r w:rsidR="00C506FA">
        <w:rPr>
          <w:noProof/>
          <w:lang w:val="fr-FR" w:eastAsia="en-GB"/>
        </w:rPr>
        <w:t xml:space="preserve">liées à une demande </w:t>
      </w:r>
      <w:r>
        <w:rPr>
          <w:noProof/>
          <w:lang w:val="fr-FR" w:eastAsia="en-GB"/>
        </w:rPr>
        <w:t>d’asile prennent en considération l’intérêt supérieur de l’enfant</w:t>
      </w:r>
      <w:r w:rsidR="00283ED9" w:rsidRPr="00DD03D6">
        <w:rPr>
          <w:noProof/>
          <w:lang w:val="fr-FR" w:eastAsia="en-GB"/>
        </w:rPr>
        <w:t xml:space="preserve">. </w:t>
      </w:r>
      <w:r>
        <w:rPr>
          <w:noProof/>
          <w:lang w:val="fr-FR" w:eastAsia="en-GB"/>
        </w:rPr>
        <w:t>Des réunions régulières se tiennent avec la Direction des services de santé et le Service d’assistance juridique aux réfugiés afin de traiter les cas des mineurs non accompagnés et de régler les problèmes pratiques qui peuvent se présenter</w:t>
      </w:r>
      <w:r w:rsidR="00283ED9" w:rsidRPr="00DD03D6">
        <w:rPr>
          <w:noProof/>
          <w:lang w:val="fr-FR" w:eastAsia="en-GB"/>
        </w:rPr>
        <w:t>.</w:t>
      </w:r>
    </w:p>
    <w:p w:rsidR="00283ED9" w:rsidRPr="00DD03D6" w:rsidRDefault="00AC0D1B" w:rsidP="00726987">
      <w:pPr>
        <w:pStyle w:val="SingleTxtG"/>
        <w:numPr>
          <w:ilvl w:val="0"/>
          <w:numId w:val="3"/>
        </w:numPr>
        <w:ind w:left="1134" w:firstLine="0"/>
        <w:rPr>
          <w:iCs/>
          <w:noProof/>
          <w:lang w:val="fr-FR" w:eastAsia="en-GB"/>
        </w:rPr>
      </w:pPr>
      <w:r>
        <w:rPr>
          <w:noProof/>
          <w:lang w:val="fr-FR" w:eastAsia="en-GB"/>
        </w:rPr>
        <w:t xml:space="preserve">Des dispositions ont été prises pour obtenir la présence d’un travailleur </w:t>
      </w:r>
      <w:r w:rsidR="00283ED9" w:rsidRPr="00DD03D6">
        <w:rPr>
          <w:noProof/>
          <w:lang w:val="fr-FR" w:eastAsia="en-GB"/>
        </w:rPr>
        <w:t xml:space="preserve">social </w:t>
      </w:r>
      <w:r>
        <w:rPr>
          <w:noProof/>
          <w:lang w:val="fr-FR" w:eastAsia="en-GB"/>
        </w:rPr>
        <w:t xml:space="preserve">au stade de l’entretien dans les affaires de demandeurs d’asile mineurs </w:t>
      </w:r>
      <w:r w:rsidR="00C506FA">
        <w:rPr>
          <w:noProof/>
          <w:lang w:val="fr-FR" w:eastAsia="en-GB"/>
        </w:rPr>
        <w:t>qui atteignent leur dix-huitième anniversaire pendant la procédure d’appel</w:t>
      </w:r>
      <w:r w:rsidR="00283ED9" w:rsidRPr="00DD03D6">
        <w:rPr>
          <w:noProof/>
          <w:lang w:val="fr-FR" w:eastAsia="en-GB"/>
        </w:rPr>
        <w:t xml:space="preserve">. </w:t>
      </w:r>
      <w:r w:rsidR="00C506FA">
        <w:rPr>
          <w:noProof/>
          <w:lang w:val="fr-FR" w:eastAsia="en-GB"/>
        </w:rPr>
        <w:t>Chaque fois que cela est possible</w:t>
      </w:r>
      <w:r w:rsidR="00283ED9" w:rsidRPr="00DD03D6">
        <w:rPr>
          <w:noProof/>
          <w:lang w:val="fr-FR" w:eastAsia="en-GB"/>
        </w:rPr>
        <w:t xml:space="preserve">, </w:t>
      </w:r>
      <w:r w:rsidR="00C506FA">
        <w:rPr>
          <w:noProof/>
          <w:lang w:val="fr-FR" w:eastAsia="en-GB"/>
        </w:rPr>
        <w:t>c’est un membre du tribunal spécialement formé pour s’occuper des enfants séparés qui procédera à leur audition</w:t>
      </w:r>
      <w:r w:rsidR="00283ED9" w:rsidRPr="00DD03D6">
        <w:rPr>
          <w:noProof/>
          <w:lang w:val="fr-FR" w:eastAsia="en-GB"/>
        </w:rPr>
        <w:t>.</w:t>
      </w:r>
    </w:p>
    <w:p w:rsidR="00283ED9" w:rsidRPr="00DD03D6" w:rsidRDefault="00851B63" w:rsidP="00E62D34">
      <w:pPr>
        <w:pStyle w:val="SingleTxtG"/>
        <w:numPr>
          <w:ilvl w:val="0"/>
          <w:numId w:val="3"/>
        </w:numPr>
        <w:ind w:left="1134" w:firstLine="0"/>
        <w:rPr>
          <w:iCs/>
          <w:noProof/>
          <w:lang w:val="fr-FR" w:eastAsia="en-GB"/>
        </w:rPr>
      </w:pPr>
      <w:r>
        <w:rPr>
          <w:noProof/>
          <w:lang w:val="fr-FR"/>
        </w:rPr>
        <w:t xml:space="preserve">En ce qui concerne les </w:t>
      </w:r>
      <w:r w:rsidR="00283ED9" w:rsidRPr="00DD03D6">
        <w:rPr>
          <w:noProof/>
          <w:lang w:val="fr-FR"/>
        </w:rPr>
        <w:t xml:space="preserve">services </w:t>
      </w:r>
      <w:r>
        <w:rPr>
          <w:noProof/>
          <w:lang w:val="fr-FR"/>
        </w:rPr>
        <w:t xml:space="preserve">à fournir aux enfants séparés demandeurs d’asile, la Direction des services de santé applique une politique </w:t>
      </w:r>
      <w:r w:rsidR="003F54EE">
        <w:rPr>
          <w:noProof/>
          <w:lang w:val="fr-FR"/>
        </w:rPr>
        <w:t xml:space="preserve">d’équité des soins et peut confirmer que ces enfants ont accès aux mêmes </w:t>
      </w:r>
      <w:r w:rsidR="00283ED9" w:rsidRPr="00DD03D6">
        <w:rPr>
          <w:noProof/>
          <w:lang w:val="fr-FR"/>
        </w:rPr>
        <w:t xml:space="preserve">services </w:t>
      </w:r>
      <w:r w:rsidR="003F54EE">
        <w:rPr>
          <w:noProof/>
          <w:lang w:val="fr-FR"/>
        </w:rPr>
        <w:t>que les ressortissants irlandais et en bénéficient sur un pied d’égalité avec ces derniers, conformément à la loi de 1991 sur la protection de l’enfance</w:t>
      </w:r>
      <w:r w:rsidR="00283ED9" w:rsidRPr="00DD03D6">
        <w:rPr>
          <w:noProof/>
          <w:lang w:val="fr-FR"/>
        </w:rPr>
        <w:t>.</w:t>
      </w:r>
    </w:p>
    <w:p w:rsidR="00283ED9" w:rsidRPr="00DD03D6" w:rsidRDefault="003F54EE" w:rsidP="00E62D34">
      <w:pPr>
        <w:pStyle w:val="SingleTxtG"/>
        <w:numPr>
          <w:ilvl w:val="0"/>
          <w:numId w:val="3"/>
        </w:numPr>
        <w:ind w:left="1134" w:firstLine="0"/>
        <w:rPr>
          <w:i/>
          <w:noProof/>
          <w:lang w:val="fr-FR"/>
        </w:rPr>
      </w:pPr>
      <w:r>
        <w:rPr>
          <w:noProof/>
          <w:lang w:val="fr-FR" w:eastAsia="en-GB"/>
        </w:rPr>
        <w:t xml:space="preserve">Tous les enfants demandeurs d’asile </w:t>
      </w:r>
      <w:r w:rsidR="002619B5">
        <w:rPr>
          <w:noProof/>
          <w:lang w:val="fr-FR" w:eastAsia="en-GB"/>
        </w:rPr>
        <w:t xml:space="preserve">relevant du système de la </w:t>
      </w:r>
      <w:r w:rsidR="00513EAD">
        <w:rPr>
          <w:noProof/>
          <w:lang w:val="fr-FR" w:eastAsia="en-GB"/>
        </w:rPr>
        <w:t>prestation</w:t>
      </w:r>
      <w:r w:rsidR="002619B5">
        <w:rPr>
          <w:noProof/>
          <w:lang w:val="fr-FR" w:eastAsia="en-GB"/>
        </w:rPr>
        <w:t xml:space="preserve"> directe ont accès aux aides en matière de santé et d’éducation (primaire et postprimaire) dans les mêmes conditions que les ressortissants irlandais</w:t>
      </w:r>
      <w:r w:rsidR="00283ED9" w:rsidRPr="00DD03D6">
        <w:rPr>
          <w:noProof/>
          <w:lang w:val="fr-FR" w:eastAsia="en-GB"/>
        </w:rPr>
        <w:t xml:space="preserve">. </w:t>
      </w:r>
      <w:r w:rsidR="002619B5">
        <w:rPr>
          <w:noProof/>
          <w:lang w:val="fr-FR" w:eastAsia="en-GB"/>
        </w:rPr>
        <w:t>E</w:t>
      </w:r>
      <w:r w:rsidR="00283ED9" w:rsidRPr="00DD03D6">
        <w:rPr>
          <w:noProof/>
          <w:lang w:val="fr-FR" w:eastAsia="en-GB"/>
        </w:rPr>
        <w:t xml:space="preserve">n </w:t>
      </w:r>
      <w:r w:rsidR="002619B5">
        <w:rPr>
          <w:noProof/>
          <w:lang w:val="fr-FR" w:eastAsia="en-GB"/>
        </w:rPr>
        <w:t>outre</w:t>
      </w:r>
      <w:r w:rsidR="00283ED9" w:rsidRPr="00DD03D6">
        <w:rPr>
          <w:noProof/>
          <w:lang w:val="fr-FR" w:eastAsia="en-GB"/>
        </w:rPr>
        <w:t xml:space="preserve">, </w:t>
      </w:r>
      <w:r w:rsidR="002619B5">
        <w:rPr>
          <w:noProof/>
          <w:lang w:val="fr-FR" w:eastAsia="en-GB"/>
        </w:rPr>
        <w:t xml:space="preserve">un certain nombre de mesures de </w:t>
      </w:r>
      <w:r w:rsidR="00283ED9" w:rsidRPr="00DD03D6">
        <w:rPr>
          <w:noProof/>
          <w:lang w:val="fr-FR"/>
        </w:rPr>
        <w:t xml:space="preserve">protection </w:t>
      </w:r>
      <w:r w:rsidR="002619B5">
        <w:rPr>
          <w:noProof/>
          <w:lang w:val="fr-FR"/>
        </w:rPr>
        <w:t>spéciales sont prévues pour les enfants réfugiés et demandeurs d’asile</w:t>
      </w:r>
      <w:r w:rsidR="00283ED9" w:rsidRPr="00DD03D6">
        <w:rPr>
          <w:noProof/>
          <w:lang w:val="fr-FR"/>
        </w:rPr>
        <w:t xml:space="preserve">, </w:t>
      </w:r>
      <w:r w:rsidR="002619B5">
        <w:rPr>
          <w:noProof/>
          <w:lang w:val="fr-FR"/>
        </w:rPr>
        <w:t>comme les prestations énoncées dans la Stratégie d’éducation i</w:t>
      </w:r>
      <w:r w:rsidR="00283ED9" w:rsidRPr="00DD03D6">
        <w:rPr>
          <w:noProof/>
          <w:lang w:val="fr-FR"/>
        </w:rPr>
        <w:t>ntercultur</w:t>
      </w:r>
      <w:r w:rsidR="002619B5">
        <w:rPr>
          <w:noProof/>
          <w:lang w:val="fr-FR"/>
        </w:rPr>
        <w:t>elle</w:t>
      </w:r>
      <w:r w:rsidR="00283ED9" w:rsidRPr="00DD03D6">
        <w:rPr>
          <w:noProof/>
          <w:lang w:val="fr-FR"/>
        </w:rPr>
        <w:t xml:space="preserve">, </w:t>
      </w:r>
      <w:r w:rsidR="002619B5">
        <w:rPr>
          <w:noProof/>
          <w:lang w:val="fr-FR"/>
        </w:rPr>
        <w:t>les prestations d’éducation ciblées pour les mineurs non accompagnés et la formation du personnel des organismes compétents chargé d’interroger et d’examiner les mineurs non accompagnés et accompagnés</w:t>
      </w:r>
      <w:r w:rsidR="00283ED9" w:rsidRPr="00DD03D6">
        <w:rPr>
          <w:noProof/>
          <w:lang w:val="fr-FR"/>
        </w:rPr>
        <w:t>.</w:t>
      </w:r>
    </w:p>
    <w:p w:rsidR="00283ED9" w:rsidRPr="00DD03D6" w:rsidRDefault="00E62D34" w:rsidP="00E62D34">
      <w:pPr>
        <w:pStyle w:val="H23G"/>
        <w:rPr>
          <w:noProof/>
          <w:lang w:val="fr-FR"/>
        </w:rPr>
      </w:pPr>
      <w:r w:rsidRPr="00DD03D6">
        <w:rPr>
          <w:noProof/>
          <w:lang w:val="fr-FR"/>
        </w:rPr>
        <w:tab/>
      </w:r>
      <w:r w:rsidRPr="00DD03D6">
        <w:rPr>
          <w:noProof/>
          <w:lang w:val="fr-FR"/>
        </w:rPr>
        <w:tab/>
      </w:r>
      <w:r w:rsidR="002619B5">
        <w:rPr>
          <w:noProof/>
          <w:lang w:val="fr-FR"/>
        </w:rPr>
        <w:t>Â</w:t>
      </w:r>
      <w:r w:rsidR="00283ED9" w:rsidRPr="00DD03D6">
        <w:rPr>
          <w:noProof/>
          <w:lang w:val="fr-FR"/>
        </w:rPr>
        <w:t xml:space="preserve">ge </w:t>
      </w:r>
      <w:r w:rsidR="002619B5">
        <w:rPr>
          <w:noProof/>
          <w:lang w:val="fr-FR"/>
        </w:rPr>
        <w:t xml:space="preserve">de la </w:t>
      </w:r>
      <w:r w:rsidR="00283ED9" w:rsidRPr="00DD03D6">
        <w:rPr>
          <w:noProof/>
          <w:lang w:val="fr-FR"/>
        </w:rPr>
        <w:t>respons</w:t>
      </w:r>
      <w:r w:rsidR="002619B5">
        <w:rPr>
          <w:noProof/>
          <w:lang w:val="fr-FR"/>
        </w:rPr>
        <w:t>a</w:t>
      </w:r>
      <w:r w:rsidR="00283ED9" w:rsidRPr="00DD03D6">
        <w:rPr>
          <w:noProof/>
          <w:lang w:val="fr-FR"/>
        </w:rPr>
        <w:t>bilit</w:t>
      </w:r>
      <w:r w:rsidR="002619B5">
        <w:rPr>
          <w:noProof/>
          <w:lang w:val="fr-FR"/>
        </w:rPr>
        <w:t>é pénale</w:t>
      </w:r>
    </w:p>
    <w:p w:rsidR="00283ED9" w:rsidRPr="002619B5" w:rsidRDefault="002619B5" w:rsidP="00E62D34">
      <w:pPr>
        <w:pStyle w:val="SingleTxtG"/>
        <w:numPr>
          <w:ilvl w:val="0"/>
          <w:numId w:val="3"/>
        </w:numPr>
        <w:ind w:left="1134" w:firstLine="0"/>
        <w:rPr>
          <w:i/>
          <w:iCs/>
          <w:noProof/>
          <w:lang w:val="fr-FR"/>
        </w:rPr>
      </w:pPr>
      <w:r w:rsidRPr="002619B5">
        <w:rPr>
          <w:b/>
          <w:noProof/>
          <w:lang w:val="fr-FR"/>
        </w:rPr>
        <w:t>Le Comité recommande à l’État partie de rétablir les dispositions concernant l’âge de la responsabilité pénale telles qu’elles figuraient dans la loi de 2001 sur les enfants</w:t>
      </w:r>
      <w:r w:rsidR="00283ED9" w:rsidRPr="002619B5">
        <w:rPr>
          <w:b/>
          <w:noProof/>
          <w:lang w:val="fr-FR"/>
        </w:rPr>
        <w:t>.</w:t>
      </w:r>
    </w:p>
    <w:p w:rsidR="00283ED9" w:rsidRPr="00DD03D6" w:rsidRDefault="002619B5" w:rsidP="00865ECD">
      <w:pPr>
        <w:pStyle w:val="SingleTxtG"/>
        <w:numPr>
          <w:ilvl w:val="0"/>
          <w:numId w:val="3"/>
        </w:numPr>
        <w:ind w:left="1134" w:firstLine="0"/>
        <w:rPr>
          <w:b/>
          <w:bCs/>
          <w:i/>
          <w:iCs/>
          <w:noProof/>
          <w:lang w:val="fr-FR"/>
        </w:rPr>
      </w:pPr>
      <w:r>
        <w:rPr>
          <w:noProof/>
          <w:lang w:val="fr-FR"/>
        </w:rPr>
        <w:lastRenderedPageBreak/>
        <w:t>L’âge de la responsabilité pénale reste fixé à 12 ans en Irlande</w:t>
      </w:r>
      <w:r w:rsidR="00283ED9" w:rsidRPr="00DD03D6">
        <w:rPr>
          <w:noProof/>
          <w:lang w:val="fr-FR"/>
        </w:rPr>
        <w:t xml:space="preserve">. </w:t>
      </w:r>
      <w:r w:rsidR="009E6D28">
        <w:rPr>
          <w:noProof/>
          <w:lang w:val="fr-FR"/>
        </w:rPr>
        <w:t xml:space="preserve">Si des enfants âgés de </w:t>
      </w:r>
      <w:r w:rsidR="00283ED9" w:rsidRPr="00DD03D6">
        <w:rPr>
          <w:noProof/>
          <w:lang w:val="fr-FR"/>
        </w:rPr>
        <w:t xml:space="preserve">10 </w:t>
      </w:r>
      <w:r w:rsidR="009E6D28">
        <w:rPr>
          <w:noProof/>
          <w:lang w:val="fr-FR"/>
        </w:rPr>
        <w:t xml:space="preserve">et </w:t>
      </w:r>
      <w:r w:rsidR="00283ED9" w:rsidRPr="00DD03D6">
        <w:rPr>
          <w:noProof/>
          <w:lang w:val="fr-FR"/>
        </w:rPr>
        <w:t>11</w:t>
      </w:r>
      <w:r w:rsidR="00865ECD" w:rsidRPr="00DD03D6">
        <w:rPr>
          <w:noProof/>
          <w:lang w:val="fr-FR"/>
        </w:rPr>
        <w:t> </w:t>
      </w:r>
      <w:r w:rsidR="009E6D28">
        <w:rPr>
          <w:noProof/>
          <w:lang w:val="fr-FR"/>
        </w:rPr>
        <w:t>ans peuvent être accusés d’une infraction grav</w:t>
      </w:r>
      <w:r w:rsidR="00386641">
        <w:rPr>
          <w:noProof/>
          <w:lang w:val="fr-FR"/>
        </w:rPr>
        <w:t>e, un enfant âgé de moins de 14 </w:t>
      </w:r>
      <w:r w:rsidR="009E6D28">
        <w:rPr>
          <w:noProof/>
          <w:lang w:val="fr-FR"/>
        </w:rPr>
        <w:t xml:space="preserve">ans ne peut être poursuivi qu’avec l’assentiment du </w:t>
      </w:r>
      <w:r w:rsidR="00724CF7">
        <w:rPr>
          <w:noProof/>
          <w:lang w:val="fr-FR"/>
        </w:rPr>
        <w:t>Directeur du ministère public</w:t>
      </w:r>
      <w:r w:rsidR="00283ED9" w:rsidRPr="00DD03D6">
        <w:rPr>
          <w:noProof/>
          <w:lang w:val="fr-FR"/>
        </w:rPr>
        <w:t xml:space="preserve">. </w:t>
      </w:r>
    </w:p>
    <w:p w:rsidR="00283ED9" w:rsidRPr="00DD03D6" w:rsidRDefault="00E62D34" w:rsidP="00E62D34">
      <w:pPr>
        <w:pStyle w:val="H23G"/>
        <w:rPr>
          <w:noProof/>
          <w:lang w:val="fr-FR"/>
        </w:rPr>
      </w:pPr>
      <w:r w:rsidRPr="00DD03D6">
        <w:rPr>
          <w:noProof/>
          <w:lang w:val="fr-FR"/>
        </w:rPr>
        <w:tab/>
      </w:r>
      <w:r w:rsidRPr="00DD03D6">
        <w:rPr>
          <w:noProof/>
          <w:lang w:val="fr-FR"/>
        </w:rPr>
        <w:tab/>
      </w:r>
      <w:r w:rsidR="00283ED9" w:rsidRPr="00DD03D6">
        <w:rPr>
          <w:noProof/>
          <w:lang w:val="fr-FR"/>
        </w:rPr>
        <w:t xml:space="preserve">Administration </w:t>
      </w:r>
      <w:r w:rsidR="00F92E85">
        <w:rPr>
          <w:noProof/>
          <w:lang w:val="fr-FR"/>
        </w:rPr>
        <w:t xml:space="preserve">de la justice pour mineurs </w:t>
      </w:r>
    </w:p>
    <w:p w:rsidR="00283ED9" w:rsidRPr="00F92E85" w:rsidRDefault="00F92E85" w:rsidP="00E62D34">
      <w:pPr>
        <w:pStyle w:val="SingleTxtG"/>
        <w:numPr>
          <w:ilvl w:val="0"/>
          <w:numId w:val="3"/>
        </w:numPr>
        <w:ind w:left="1134" w:firstLine="0"/>
        <w:rPr>
          <w:noProof/>
          <w:lang w:val="fr-FR"/>
        </w:rPr>
      </w:pPr>
      <w:r w:rsidRPr="00F92E85">
        <w:rPr>
          <w:b/>
          <w:noProof/>
          <w:lang w:val="fr-FR"/>
        </w:rPr>
        <w:t>Le Co</w:t>
      </w:r>
      <w:r w:rsidR="00386641">
        <w:rPr>
          <w:b/>
          <w:noProof/>
          <w:lang w:val="fr-FR"/>
        </w:rPr>
        <w:t>mité recommande à l’État partie </w:t>
      </w:r>
      <w:r w:rsidR="00283ED9" w:rsidRPr="00F92E85">
        <w:rPr>
          <w:b/>
          <w:noProof/>
          <w:lang w:val="fr-FR"/>
        </w:rPr>
        <w:t>:</w:t>
      </w:r>
    </w:p>
    <w:p w:rsidR="00283ED9" w:rsidRPr="00F92E85" w:rsidRDefault="00283ED9" w:rsidP="00434035">
      <w:pPr>
        <w:pStyle w:val="SingleTxtG"/>
        <w:ind w:firstLine="567"/>
        <w:rPr>
          <w:b/>
          <w:noProof/>
          <w:lang w:val="fr-FR"/>
        </w:rPr>
      </w:pPr>
      <w:r w:rsidRPr="00F92E85">
        <w:rPr>
          <w:b/>
          <w:noProof/>
          <w:lang w:val="fr-FR"/>
        </w:rPr>
        <w:t>a)</w:t>
      </w:r>
      <w:r w:rsidRPr="00F92E85">
        <w:rPr>
          <w:b/>
          <w:noProof/>
          <w:lang w:val="fr-FR"/>
        </w:rPr>
        <w:tab/>
      </w:r>
      <w:r w:rsidR="00F92E85" w:rsidRPr="00F92E85">
        <w:rPr>
          <w:b/>
          <w:noProof/>
          <w:lang w:val="fr-FR"/>
        </w:rPr>
        <w:t>De donner une base légale au Service de la justice pour mineurs et de charger celui</w:t>
      </w:r>
      <w:r w:rsidR="00386641">
        <w:rPr>
          <w:b/>
          <w:noProof/>
          <w:lang w:val="fr-FR"/>
        </w:rPr>
        <w:t>-</w:t>
      </w:r>
      <w:r w:rsidR="00F92E85" w:rsidRPr="00F92E85">
        <w:rPr>
          <w:b/>
          <w:noProof/>
          <w:lang w:val="fr-FR"/>
        </w:rPr>
        <w:t xml:space="preserve">ci d’élaborer et de mettre en œuvre, à titre prioritaire, une politique relative à la justice pour mineurs qui soit axée sur les enfants et fondée sur les droits, en particulier ceux garantis par la Convention; et </w:t>
      </w:r>
    </w:p>
    <w:p w:rsidR="00283ED9" w:rsidRPr="00F92E85" w:rsidRDefault="00434035" w:rsidP="00434035">
      <w:pPr>
        <w:pStyle w:val="SingleTxtG"/>
        <w:ind w:firstLine="567"/>
        <w:rPr>
          <w:b/>
          <w:noProof/>
          <w:lang w:val="fr-FR"/>
        </w:rPr>
      </w:pPr>
      <w:r w:rsidRPr="00F92E85">
        <w:rPr>
          <w:b/>
          <w:noProof/>
          <w:lang w:val="fr-FR"/>
        </w:rPr>
        <w:t>b)</w:t>
      </w:r>
      <w:r w:rsidRPr="00F92E85">
        <w:rPr>
          <w:b/>
          <w:noProof/>
          <w:lang w:val="fr-FR"/>
        </w:rPr>
        <w:tab/>
      </w:r>
      <w:r w:rsidR="00F92E85" w:rsidRPr="00F92E85">
        <w:rPr>
          <w:b/>
          <w:noProof/>
          <w:lang w:val="fr-FR"/>
        </w:rPr>
        <w:t xml:space="preserve">De veiller à ce que les </w:t>
      </w:r>
      <w:r w:rsidR="00F92E85" w:rsidRPr="00F92E85">
        <w:rPr>
          <w:b/>
          <w:noProof/>
          <w:spacing w:val="-2"/>
          <w:lang w:val="fr-FR"/>
        </w:rPr>
        <w:t>ordonnances relatives aux comportements antisociaux fassent l’objet d’un contrôle rigoureux et qu’elles ne soient envisagées qu’en dernier recours, après que toutes les mesures préventives possibles aient été prises (y compris un traitement extrajudiciaire et des réunions avec la famille).</w:t>
      </w:r>
    </w:p>
    <w:p w:rsidR="00283ED9" w:rsidRPr="00F92E85" w:rsidRDefault="00F92E85" w:rsidP="005D7533">
      <w:pPr>
        <w:pStyle w:val="SingleTxtG"/>
        <w:numPr>
          <w:ilvl w:val="0"/>
          <w:numId w:val="3"/>
        </w:numPr>
        <w:ind w:left="1134" w:firstLine="0"/>
        <w:rPr>
          <w:noProof/>
          <w:lang w:val="fr-FR"/>
        </w:rPr>
      </w:pPr>
      <w:r w:rsidRPr="00F92E85">
        <w:rPr>
          <w:b/>
          <w:bCs/>
          <w:noProof/>
          <w:lang w:val="fr-FR"/>
        </w:rPr>
        <w:t>Le Comité recommande que les enfants qui ont eu un «</w:t>
      </w:r>
      <w:r w:rsidR="00386641">
        <w:rPr>
          <w:b/>
          <w:bCs/>
          <w:noProof/>
          <w:lang w:val="fr-FR"/>
        </w:rPr>
        <w:t> </w:t>
      </w:r>
      <w:r w:rsidRPr="00F92E85">
        <w:rPr>
          <w:b/>
          <w:bCs/>
          <w:noProof/>
          <w:lang w:val="fr-FR"/>
        </w:rPr>
        <w:t>comportement antisocial</w:t>
      </w:r>
      <w:r w:rsidR="00386641">
        <w:rPr>
          <w:b/>
          <w:bCs/>
          <w:noProof/>
          <w:lang w:val="fr-FR"/>
        </w:rPr>
        <w:t> </w:t>
      </w:r>
      <w:r w:rsidRPr="00F92E85">
        <w:rPr>
          <w:b/>
          <w:bCs/>
          <w:noProof/>
          <w:lang w:val="fr-FR"/>
        </w:rPr>
        <w:t>» ne puissent pas relever du programme de déjudiciarisation pour les mineurs de la Garda, et que le fait d’avoir participé à ce programme ne soit jamais assimilé à une condamnation dans des procédures pénales ultérieures. En outre, le Comité prie instamment l’État partie d’introduire d’urgence un ensemble de mesures pour remplacer la privation de liberté de sorte que celle</w:t>
      </w:r>
      <w:r w:rsidRPr="00F92E85">
        <w:rPr>
          <w:b/>
          <w:bCs/>
          <w:noProof/>
          <w:lang w:val="fr-FR"/>
        </w:rPr>
        <w:noBreakHyphen/>
        <w:t xml:space="preserve">ci soit uniquement utilisée en dernier ressort et pour une durée aussi courte que possible. </w:t>
      </w:r>
    </w:p>
    <w:p w:rsidR="00283ED9" w:rsidRPr="00DD03D6" w:rsidRDefault="00F92E85" w:rsidP="00E62D34">
      <w:pPr>
        <w:pStyle w:val="SingleTxtG"/>
        <w:numPr>
          <w:ilvl w:val="0"/>
          <w:numId w:val="3"/>
        </w:numPr>
        <w:ind w:left="1134" w:firstLine="0"/>
        <w:rPr>
          <w:noProof/>
          <w:lang w:val="fr-FR"/>
        </w:rPr>
      </w:pPr>
      <w:r w:rsidRPr="00F92E85">
        <w:rPr>
          <w:b/>
          <w:bCs/>
          <w:noProof/>
          <w:lang w:val="fr-FR"/>
        </w:rPr>
        <w:t>Le Comité recommande à l’État partie de faire son possible pour que le placement en détention soit exclusivement une mesure de dernier ressort. Lorsque cette mesure est jugée inévitable, le Comité recommande que les moins de 18 ans soient détenus dans des établissements pour mineurs. Il encourage l’État partie à faire tout ce qui est en son pouvoir pour que le Médiateur des enfants puisse s’acquitter de ses fonctions d’enquête et d’inspection dans tous les établissements où des enfants sont détenus</w:t>
      </w:r>
      <w:r w:rsidR="00283ED9" w:rsidRPr="00F92E85">
        <w:rPr>
          <w:b/>
          <w:noProof/>
          <w:lang w:val="fr-FR"/>
        </w:rPr>
        <w:t>.</w:t>
      </w:r>
    </w:p>
    <w:p w:rsidR="00283ED9" w:rsidRPr="00DD03D6" w:rsidRDefault="00555FEC" w:rsidP="00726987">
      <w:pPr>
        <w:pStyle w:val="SingleTxtG"/>
        <w:numPr>
          <w:ilvl w:val="0"/>
          <w:numId w:val="3"/>
        </w:numPr>
        <w:ind w:left="1134" w:firstLine="0"/>
        <w:rPr>
          <w:iCs/>
          <w:noProof/>
          <w:lang w:val="fr-FR" w:eastAsia="en-GB"/>
        </w:rPr>
      </w:pPr>
      <w:r>
        <w:rPr>
          <w:noProof/>
          <w:lang w:val="fr-FR"/>
        </w:rPr>
        <w:t>Il n’est pas prévu de donner une base légale autonome au Service de la justice pour mineurs</w:t>
      </w:r>
      <w:r w:rsidR="00283ED9" w:rsidRPr="00DD03D6">
        <w:rPr>
          <w:noProof/>
          <w:lang w:val="fr-FR"/>
        </w:rPr>
        <w:t xml:space="preserve">. </w:t>
      </w:r>
      <w:r>
        <w:rPr>
          <w:noProof/>
          <w:lang w:val="fr-FR"/>
        </w:rPr>
        <w:t xml:space="preserve">Ce Service a été intégré au Ministère de l’enfance et de la jeunesse le </w:t>
      </w:r>
      <w:r w:rsidR="00283ED9" w:rsidRPr="00DD03D6">
        <w:rPr>
          <w:noProof/>
          <w:lang w:val="fr-FR"/>
        </w:rPr>
        <w:t>1</w:t>
      </w:r>
      <w:r w:rsidRPr="00555FEC">
        <w:rPr>
          <w:noProof/>
          <w:vertAlign w:val="superscript"/>
          <w:lang w:val="fr-FR"/>
        </w:rPr>
        <w:t>er</w:t>
      </w:r>
      <w:r>
        <w:rPr>
          <w:noProof/>
          <w:lang w:val="fr-FR"/>
        </w:rPr>
        <w:t xml:space="preserve"> janvier </w:t>
      </w:r>
      <w:r w:rsidR="00283ED9" w:rsidRPr="00DD03D6">
        <w:rPr>
          <w:noProof/>
          <w:lang w:val="fr-FR"/>
        </w:rPr>
        <w:t xml:space="preserve">2012, </w:t>
      </w:r>
      <w:r w:rsidR="00D32038">
        <w:rPr>
          <w:noProof/>
          <w:lang w:val="fr-FR"/>
        </w:rPr>
        <w:t>et certains membres de son personnel lui ont été fournis par le Ministère de la justice et de l’égalité</w:t>
      </w:r>
      <w:r w:rsidR="00283ED9" w:rsidRPr="00DD03D6">
        <w:rPr>
          <w:noProof/>
          <w:lang w:val="fr-FR"/>
        </w:rPr>
        <w:t xml:space="preserve">. </w:t>
      </w:r>
      <w:r w:rsidR="00D32038">
        <w:rPr>
          <w:noProof/>
          <w:lang w:val="fr-FR"/>
        </w:rPr>
        <w:t>L’équipe spéciale sur la future Agence pour l’enfant et la famille a recommandé dans son rapport que les établissements d’éducation surveillée relèvent de la responsabilité de l’Agence</w:t>
      </w:r>
      <w:r w:rsidR="00283ED9" w:rsidRPr="00DD03D6">
        <w:rPr>
          <w:noProof/>
          <w:lang w:val="fr-FR"/>
        </w:rPr>
        <w:t>.</w:t>
      </w:r>
    </w:p>
    <w:p w:rsidR="00283ED9" w:rsidRPr="00DD03D6" w:rsidRDefault="00ED03FA" w:rsidP="00DC0EEE">
      <w:pPr>
        <w:pStyle w:val="SingleTxtG"/>
        <w:numPr>
          <w:ilvl w:val="0"/>
          <w:numId w:val="3"/>
        </w:numPr>
        <w:ind w:left="1134" w:firstLine="0"/>
        <w:rPr>
          <w:iCs/>
          <w:noProof/>
          <w:lang w:val="fr-FR" w:eastAsia="en-GB"/>
        </w:rPr>
      </w:pPr>
      <w:r>
        <w:rPr>
          <w:noProof/>
          <w:lang w:val="fr-FR"/>
        </w:rPr>
        <w:t xml:space="preserve">La réalisation de chacun des cinq </w:t>
      </w:r>
      <w:r w:rsidR="00B72AD0">
        <w:rPr>
          <w:noProof/>
          <w:lang w:val="fr-FR"/>
        </w:rPr>
        <w:t xml:space="preserve">buts </w:t>
      </w:r>
      <w:r>
        <w:rPr>
          <w:noProof/>
          <w:lang w:val="fr-FR"/>
        </w:rPr>
        <w:t xml:space="preserve">de haut niveau de la Stratégie nationale </w:t>
      </w:r>
      <w:r w:rsidR="002949CD">
        <w:rPr>
          <w:noProof/>
          <w:lang w:val="fr-FR"/>
        </w:rPr>
        <w:t>relative à la justice pour mineurs pour</w:t>
      </w:r>
      <w:r w:rsidR="00283ED9" w:rsidRPr="00DD03D6">
        <w:rPr>
          <w:noProof/>
          <w:lang w:val="fr-FR"/>
        </w:rPr>
        <w:t xml:space="preserve"> 2008-2010</w:t>
      </w:r>
      <w:r w:rsidR="002949CD">
        <w:rPr>
          <w:noProof/>
          <w:lang w:val="fr-FR"/>
        </w:rPr>
        <w:t xml:space="preserve"> a progressé</w:t>
      </w:r>
      <w:r w:rsidR="00283ED9" w:rsidRPr="00DD03D6">
        <w:rPr>
          <w:noProof/>
          <w:lang w:val="fr-FR"/>
        </w:rPr>
        <w:t xml:space="preserve">, </w:t>
      </w:r>
      <w:r w:rsidR="002949CD">
        <w:rPr>
          <w:noProof/>
          <w:lang w:val="fr-FR"/>
        </w:rPr>
        <w:t xml:space="preserve">la majorité des </w:t>
      </w:r>
      <w:r w:rsidR="00B72AD0">
        <w:rPr>
          <w:noProof/>
          <w:lang w:val="fr-FR"/>
        </w:rPr>
        <w:t xml:space="preserve">objectifs </w:t>
      </w:r>
      <w:r w:rsidR="002949CD">
        <w:rPr>
          <w:noProof/>
          <w:lang w:val="fr-FR"/>
        </w:rPr>
        <w:t>ayant été atteints</w:t>
      </w:r>
      <w:r w:rsidR="00283ED9" w:rsidRPr="00DD03D6">
        <w:rPr>
          <w:noProof/>
          <w:lang w:val="fr-FR"/>
        </w:rPr>
        <w:t xml:space="preserve">. </w:t>
      </w:r>
      <w:r w:rsidR="002949CD">
        <w:rPr>
          <w:noProof/>
          <w:lang w:val="fr-FR"/>
        </w:rPr>
        <w:t xml:space="preserve">Le Service de la justice pour mineurs a entrepris de formuler une stratégie de suivi sous les auspices du Cadre </w:t>
      </w:r>
      <w:r w:rsidR="00B72AD0">
        <w:rPr>
          <w:noProof/>
          <w:lang w:val="fr-FR"/>
        </w:rPr>
        <w:t xml:space="preserve">directeur </w:t>
      </w:r>
      <w:r w:rsidR="002949CD">
        <w:rPr>
          <w:noProof/>
          <w:lang w:val="fr-FR"/>
        </w:rPr>
        <w:t xml:space="preserve">national relatif à l’enfance et à la jeunesse et </w:t>
      </w:r>
      <w:r w:rsidR="00C62BD9">
        <w:rPr>
          <w:noProof/>
          <w:lang w:val="fr-FR"/>
        </w:rPr>
        <w:t>dans le cadre du projet de stratégie nationale de lutte contre la délinquance que le Ministère de la justice et de l’égalité élabore dans le cadre du livre blanc sur la délinquance</w:t>
      </w:r>
      <w:r w:rsidR="00283ED9" w:rsidRPr="00DD03D6">
        <w:rPr>
          <w:noProof/>
          <w:lang w:val="fr-FR"/>
        </w:rPr>
        <w:t>.</w:t>
      </w:r>
    </w:p>
    <w:p w:rsidR="00283ED9" w:rsidRPr="00DD03D6" w:rsidRDefault="00953138" w:rsidP="00E62D34">
      <w:pPr>
        <w:pStyle w:val="SingleTxtG"/>
        <w:numPr>
          <w:ilvl w:val="0"/>
          <w:numId w:val="3"/>
        </w:numPr>
        <w:ind w:left="1134" w:firstLine="0"/>
        <w:rPr>
          <w:b/>
          <w:bCs/>
          <w:noProof/>
          <w:lang w:val="fr-FR"/>
        </w:rPr>
      </w:pPr>
      <w:r>
        <w:rPr>
          <w:noProof/>
          <w:lang w:val="fr-FR" w:eastAsia="en-GB"/>
        </w:rPr>
        <w:t xml:space="preserve">Le </w:t>
      </w:r>
      <w:r>
        <w:rPr>
          <w:noProof/>
          <w:lang w:val="fr-FR"/>
        </w:rPr>
        <w:t xml:space="preserve">Ministère de la justice et de l’égalité, agissant en consultation avec la </w:t>
      </w:r>
      <w:r w:rsidR="00283ED9" w:rsidRPr="00DD03D6">
        <w:rPr>
          <w:noProof/>
          <w:lang w:val="fr-FR" w:eastAsia="en-GB"/>
        </w:rPr>
        <w:t>Garda Síochána (</w:t>
      </w:r>
      <w:r>
        <w:rPr>
          <w:noProof/>
          <w:lang w:val="fr-FR" w:eastAsia="en-GB"/>
        </w:rPr>
        <w:t>Force de police irlandaise</w:t>
      </w:r>
      <w:r w:rsidR="00283ED9" w:rsidRPr="00DD03D6">
        <w:rPr>
          <w:noProof/>
          <w:lang w:val="fr-FR" w:eastAsia="en-GB"/>
        </w:rPr>
        <w:t>), continue</w:t>
      </w:r>
      <w:r>
        <w:rPr>
          <w:noProof/>
          <w:lang w:val="fr-FR" w:eastAsia="en-GB"/>
        </w:rPr>
        <w:t xml:space="preserve"> de surveiller le recours aux </w:t>
      </w:r>
      <w:r w:rsidRPr="00953138">
        <w:rPr>
          <w:noProof/>
          <w:spacing w:val="-2"/>
          <w:lang w:val="fr-FR"/>
        </w:rPr>
        <w:t>ordonnances relatives aux comportements antisociaux</w:t>
      </w:r>
      <w:r w:rsidR="00283ED9" w:rsidRPr="00DD03D6">
        <w:rPr>
          <w:noProof/>
          <w:lang w:val="fr-FR" w:eastAsia="en-GB"/>
        </w:rPr>
        <w:t xml:space="preserve"> </w:t>
      </w:r>
      <w:r>
        <w:rPr>
          <w:noProof/>
          <w:lang w:val="fr-FR" w:eastAsia="en-GB"/>
        </w:rPr>
        <w:t xml:space="preserve">dans le </w:t>
      </w:r>
      <w:r w:rsidR="00283ED9" w:rsidRPr="00DD03D6">
        <w:rPr>
          <w:noProof/>
          <w:lang w:val="fr-FR" w:eastAsia="en-GB"/>
        </w:rPr>
        <w:t>context</w:t>
      </w:r>
      <w:r>
        <w:rPr>
          <w:noProof/>
          <w:lang w:val="fr-FR" w:eastAsia="en-GB"/>
        </w:rPr>
        <w:t>e</w:t>
      </w:r>
      <w:r w:rsidR="00283ED9" w:rsidRPr="00DD03D6">
        <w:rPr>
          <w:noProof/>
          <w:lang w:val="fr-FR" w:eastAsia="en-GB"/>
        </w:rPr>
        <w:t xml:space="preserve"> </w:t>
      </w:r>
      <w:r>
        <w:rPr>
          <w:noProof/>
          <w:lang w:val="fr-FR" w:eastAsia="en-GB"/>
        </w:rPr>
        <w:t>des diverses mesures et méthodes qui existent pour lutter contre ces comportements au niveau local</w:t>
      </w:r>
      <w:r w:rsidR="00283ED9" w:rsidRPr="00DD03D6">
        <w:rPr>
          <w:noProof/>
          <w:lang w:val="fr-FR" w:eastAsia="en-GB"/>
        </w:rPr>
        <w:t xml:space="preserve">. </w:t>
      </w:r>
      <w:r>
        <w:rPr>
          <w:noProof/>
          <w:lang w:val="fr-FR" w:eastAsia="en-GB"/>
        </w:rPr>
        <w:t>La législation applicable est susceptible d’être révisée en permanence</w:t>
      </w:r>
      <w:r w:rsidR="00283ED9" w:rsidRPr="00DD03D6">
        <w:rPr>
          <w:noProof/>
          <w:lang w:val="fr-FR" w:eastAsia="en-GB"/>
        </w:rPr>
        <w:t>.</w:t>
      </w:r>
      <w:r w:rsidR="006856F5" w:rsidRPr="00DD03D6">
        <w:rPr>
          <w:noProof/>
          <w:lang w:val="fr-FR" w:eastAsia="en-GB"/>
        </w:rPr>
        <w:t xml:space="preserve"> </w:t>
      </w:r>
    </w:p>
    <w:p w:rsidR="00283ED9" w:rsidRPr="00DD03D6" w:rsidRDefault="00953138" w:rsidP="00E62D34">
      <w:pPr>
        <w:pStyle w:val="SingleTxtG"/>
        <w:numPr>
          <w:ilvl w:val="0"/>
          <w:numId w:val="3"/>
        </w:numPr>
        <w:ind w:left="1134" w:firstLine="0"/>
        <w:rPr>
          <w:noProof/>
          <w:lang w:val="fr-FR"/>
        </w:rPr>
      </w:pPr>
      <w:r>
        <w:rPr>
          <w:noProof/>
          <w:lang w:val="fr-FR"/>
        </w:rPr>
        <w:t>L’</w:t>
      </w:r>
      <w:r w:rsidR="00283ED9" w:rsidRPr="00DD03D6">
        <w:rPr>
          <w:noProof/>
          <w:lang w:val="fr-FR"/>
        </w:rPr>
        <w:t>int</w:t>
      </w:r>
      <w:r>
        <w:rPr>
          <w:noProof/>
          <w:lang w:val="fr-FR"/>
        </w:rPr>
        <w:t>é</w:t>
      </w:r>
      <w:r w:rsidR="00283ED9" w:rsidRPr="00DD03D6">
        <w:rPr>
          <w:noProof/>
          <w:lang w:val="fr-FR"/>
        </w:rPr>
        <w:t xml:space="preserve">gration </w:t>
      </w:r>
      <w:r w:rsidR="006E767A">
        <w:rPr>
          <w:noProof/>
          <w:lang w:val="fr-FR"/>
        </w:rPr>
        <w:t>du mécanisme r</w:t>
      </w:r>
      <w:r w:rsidR="00DE58AF">
        <w:rPr>
          <w:noProof/>
          <w:lang w:val="fr-FR"/>
        </w:rPr>
        <w:t>elatif au</w:t>
      </w:r>
      <w:r w:rsidR="002C2731">
        <w:rPr>
          <w:noProof/>
          <w:lang w:val="fr-FR"/>
        </w:rPr>
        <w:t>x</w:t>
      </w:r>
      <w:r w:rsidR="00DE58AF">
        <w:rPr>
          <w:noProof/>
          <w:lang w:val="fr-FR"/>
        </w:rPr>
        <w:t xml:space="preserve"> comportement</w:t>
      </w:r>
      <w:r w:rsidR="002C2731">
        <w:rPr>
          <w:noProof/>
          <w:lang w:val="fr-FR"/>
        </w:rPr>
        <w:t>s</w:t>
      </w:r>
      <w:r w:rsidR="00DE58AF">
        <w:rPr>
          <w:noProof/>
          <w:lang w:val="fr-FR"/>
        </w:rPr>
        <w:t xml:space="preserve"> </w:t>
      </w:r>
      <w:r w:rsidR="002C2731">
        <w:rPr>
          <w:noProof/>
          <w:lang w:val="fr-FR"/>
        </w:rPr>
        <w:t>antisociaux</w:t>
      </w:r>
      <w:r w:rsidR="00283ED9" w:rsidRPr="00DD03D6">
        <w:rPr>
          <w:noProof/>
          <w:lang w:val="fr-FR"/>
        </w:rPr>
        <w:t xml:space="preserve"> </w:t>
      </w:r>
      <w:r w:rsidR="002C2731">
        <w:rPr>
          <w:noProof/>
          <w:lang w:val="fr-FR"/>
        </w:rPr>
        <w:t xml:space="preserve">d’enfants </w:t>
      </w:r>
      <w:r w:rsidR="00DE58AF">
        <w:rPr>
          <w:noProof/>
          <w:lang w:val="fr-FR"/>
        </w:rPr>
        <w:t xml:space="preserve">au programme de déjudiciarisation pour les mineurs de la </w:t>
      </w:r>
      <w:r w:rsidR="00283ED9" w:rsidRPr="00DD03D6">
        <w:rPr>
          <w:noProof/>
          <w:lang w:val="fr-FR"/>
        </w:rPr>
        <w:t xml:space="preserve">Garda </w:t>
      </w:r>
      <w:r w:rsidR="002C2731">
        <w:rPr>
          <w:noProof/>
          <w:lang w:val="fr-FR"/>
        </w:rPr>
        <w:t xml:space="preserve">offre une procédure par paliers efficace pour traiter </w:t>
      </w:r>
      <w:r w:rsidR="00DE58AF">
        <w:rPr>
          <w:noProof/>
          <w:lang w:val="fr-FR"/>
        </w:rPr>
        <w:t xml:space="preserve">ceux qui </w:t>
      </w:r>
      <w:r w:rsidR="002C2731">
        <w:rPr>
          <w:noProof/>
          <w:lang w:val="fr-FR"/>
        </w:rPr>
        <w:t xml:space="preserve">sont lents à changer de </w:t>
      </w:r>
      <w:r w:rsidR="00DE58AF">
        <w:rPr>
          <w:noProof/>
          <w:lang w:val="fr-FR"/>
        </w:rPr>
        <w:t>comportement</w:t>
      </w:r>
      <w:r w:rsidR="00283ED9" w:rsidRPr="00DD03D6">
        <w:rPr>
          <w:noProof/>
          <w:lang w:val="fr-FR"/>
        </w:rPr>
        <w:t xml:space="preserve">. </w:t>
      </w:r>
      <w:r w:rsidR="00DE58AF">
        <w:rPr>
          <w:noProof/>
          <w:lang w:val="fr-FR"/>
        </w:rPr>
        <w:t xml:space="preserve">Les </w:t>
      </w:r>
      <w:r w:rsidR="00283ED9" w:rsidRPr="00DD03D6">
        <w:rPr>
          <w:noProof/>
          <w:lang w:val="fr-FR"/>
        </w:rPr>
        <w:t xml:space="preserve">options </w:t>
      </w:r>
      <w:r w:rsidR="00DE58AF">
        <w:rPr>
          <w:noProof/>
          <w:lang w:val="fr-FR"/>
        </w:rPr>
        <w:t xml:space="preserve">sont les suivantes : </w:t>
      </w:r>
      <w:r w:rsidR="00283ED9" w:rsidRPr="00DD03D6">
        <w:rPr>
          <w:noProof/>
          <w:lang w:val="fr-FR"/>
        </w:rPr>
        <w:t xml:space="preserve">i) </w:t>
      </w:r>
      <w:r w:rsidR="00DE58AF">
        <w:rPr>
          <w:noProof/>
          <w:lang w:val="fr-FR"/>
        </w:rPr>
        <w:t>aucune mesure supplémentaire de la part de la</w:t>
      </w:r>
      <w:r w:rsidR="00283ED9" w:rsidRPr="00DD03D6">
        <w:rPr>
          <w:noProof/>
          <w:lang w:val="fr-FR"/>
        </w:rPr>
        <w:t xml:space="preserve"> police, ii) </w:t>
      </w:r>
      <w:r w:rsidR="00DE58AF">
        <w:rPr>
          <w:noProof/>
          <w:lang w:val="fr-FR"/>
        </w:rPr>
        <w:t xml:space="preserve">un </w:t>
      </w:r>
      <w:r w:rsidR="00DE58AF">
        <w:rPr>
          <w:noProof/>
          <w:lang w:val="fr-FR"/>
        </w:rPr>
        <w:lastRenderedPageBreak/>
        <w:t xml:space="preserve">avertissement </w:t>
      </w:r>
      <w:r w:rsidR="000238C4">
        <w:rPr>
          <w:noProof/>
          <w:lang w:val="fr-FR"/>
        </w:rPr>
        <w:t>informel</w:t>
      </w:r>
      <w:r w:rsidR="00283ED9" w:rsidRPr="00DD03D6">
        <w:rPr>
          <w:noProof/>
          <w:lang w:val="fr-FR"/>
        </w:rPr>
        <w:t xml:space="preserve">, iii) </w:t>
      </w:r>
      <w:r w:rsidR="00DE58AF">
        <w:rPr>
          <w:noProof/>
          <w:lang w:val="fr-FR"/>
        </w:rPr>
        <w:t>un</w:t>
      </w:r>
      <w:r w:rsidR="000238C4">
        <w:rPr>
          <w:noProof/>
          <w:lang w:val="fr-FR"/>
        </w:rPr>
        <w:t>e mise en garde</w:t>
      </w:r>
      <w:r w:rsidR="00DE58AF">
        <w:rPr>
          <w:noProof/>
          <w:lang w:val="fr-FR"/>
        </w:rPr>
        <w:t xml:space="preserve"> </w:t>
      </w:r>
      <w:r w:rsidR="000238C4">
        <w:rPr>
          <w:noProof/>
          <w:lang w:val="fr-FR"/>
        </w:rPr>
        <w:t>formelle</w:t>
      </w:r>
      <w:r w:rsidR="00283ED9" w:rsidRPr="00DD03D6">
        <w:rPr>
          <w:noProof/>
          <w:lang w:val="fr-FR"/>
        </w:rPr>
        <w:t xml:space="preserve">, </w:t>
      </w:r>
      <w:r w:rsidR="000238C4">
        <w:rPr>
          <w:noProof/>
          <w:lang w:val="fr-FR"/>
        </w:rPr>
        <w:t>supervisée</w:t>
      </w:r>
      <w:r w:rsidR="00283ED9" w:rsidRPr="00DD03D6">
        <w:rPr>
          <w:noProof/>
          <w:lang w:val="fr-FR"/>
        </w:rPr>
        <w:t xml:space="preserve"> </w:t>
      </w:r>
      <w:r w:rsidR="00DE58AF">
        <w:rPr>
          <w:noProof/>
          <w:lang w:val="fr-FR"/>
        </w:rPr>
        <w:t xml:space="preserve">par un agent de liaison pour mineur de la </w:t>
      </w:r>
      <w:r w:rsidR="00283ED9" w:rsidRPr="00DD03D6">
        <w:rPr>
          <w:noProof/>
          <w:lang w:val="fr-FR"/>
        </w:rPr>
        <w:t>Garda</w:t>
      </w:r>
      <w:r w:rsidR="009454E2" w:rsidRPr="00DD03D6">
        <w:rPr>
          <w:noProof/>
          <w:lang w:val="fr-FR"/>
        </w:rPr>
        <w:t>,</w:t>
      </w:r>
      <w:r w:rsidR="00283ED9" w:rsidRPr="00DD03D6">
        <w:rPr>
          <w:noProof/>
          <w:lang w:val="fr-FR"/>
        </w:rPr>
        <w:t xml:space="preserve"> </w:t>
      </w:r>
      <w:r w:rsidR="00DE58AF">
        <w:rPr>
          <w:noProof/>
          <w:lang w:val="fr-FR"/>
        </w:rPr>
        <w:t>et</w:t>
      </w:r>
      <w:r w:rsidR="00283ED9" w:rsidRPr="00DD03D6">
        <w:rPr>
          <w:noProof/>
          <w:lang w:val="fr-FR"/>
        </w:rPr>
        <w:t xml:space="preserve"> iv) </w:t>
      </w:r>
      <w:r w:rsidR="00DE58AF">
        <w:rPr>
          <w:noProof/>
          <w:lang w:val="fr-FR"/>
        </w:rPr>
        <w:t>les poursuites pénales</w:t>
      </w:r>
      <w:r w:rsidR="00283ED9" w:rsidRPr="00DD03D6">
        <w:rPr>
          <w:noProof/>
          <w:lang w:val="fr-FR"/>
        </w:rPr>
        <w:t>.</w:t>
      </w:r>
    </w:p>
    <w:p w:rsidR="00283ED9" w:rsidRPr="00DD03D6" w:rsidRDefault="00252AD1" w:rsidP="009454E2">
      <w:pPr>
        <w:pStyle w:val="SingleTxtG"/>
        <w:numPr>
          <w:ilvl w:val="0"/>
          <w:numId w:val="3"/>
        </w:numPr>
        <w:ind w:left="1134" w:firstLine="0"/>
        <w:rPr>
          <w:noProof/>
          <w:lang w:val="fr-FR"/>
        </w:rPr>
      </w:pPr>
      <w:r>
        <w:rPr>
          <w:noProof/>
          <w:lang w:val="fr-FR"/>
        </w:rPr>
        <w:t>En ce qui concerne le fait qu’un juge répressif</w:t>
      </w:r>
      <w:r w:rsidR="00216602">
        <w:rPr>
          <w:noProof/>
          <w:lang w:val="fr-FR"/>
        </w:rPr>
        <w:t xml:space="preserve"> sache </w:t>
      </w:r>
      <w:r>
        <w:rPr>
          <w:noProof/>
          <w:lang w:val="fr-FR"/>
        </w:rPr>
        <w:t xml:space="preserve">qu’un enfant ait pu participer antérieurement à un </w:t>
      </w:r>
      <w:r w:rsidRPr="00252AD1">
        <w:rPr>
          <w:noProof/>
          <w:lang w:val="fr-FR"/>
        </w:rPr>
        <w:t xml:space="preserve">programme de déjudiciarisation </w:t>
      </w:r>
      <w:r w:rsidR="00B72AD0">
        <w:rPr>
          <w:lang w:val="fr-CH"/>
        </w:rPr>
        <w:t>mis en place par la Garda à l’intention des jeunes</w:t>
      </w:r>
      <w:r w:rsidRPr="00252AD1">
        <w:rPr>
          <w:noProof/>
          <w:lang w:val="fr-FR"/>
        </w:rPr>
        <w:t>,</w:t>
      </w:r>
      <w:r w:rsidR="00216602" w:rsidRPr="00487473">
        <w:rPr>
          <w:lang w:val="fr-CH"/>
        </w:rPr>
        <w:t xml:space="preserve"> </w:t>
      </w:r>
      <w:r w:rsidR="00216602">
        <w:rPr>
          <w:noProof/>
          <w:lang w:val="fr-FR"/>
        </w:rPr>
        <w:t xml:space="preserve">l’État estime que cela n’est pas nécessairement incompatible avec les normes </w:t>
      </w:r>
      <w:r w:rsidR="00283ED9" w:rsidRPr="00DD03D6">
        <w:rPr>
          <w:noProof/>
          <w:lang w:val="fr-FR"/>
        </w:rPr>
        <w:t>international</w:t>
      </w:r>
      <w:r w:rsidR="00216602">
        <w:rPr>
          <w:noProof/>
          <w:lang w:val="fr-FR"/>
        </w:rPr>
        <w:t>es</w:t>
      </w:r>
      <w:r w:rsidR="00283ED9" w:rsidRPr="00DD03D6">
        <w:rPr>
          <w:noProof/>
          <w:lang w:val="fr-FR"/>
        </w:rPr>
        <w:t xml:space="preserve">. </w:t>
      </w:r>
      <w:r w:rsidR="00216602">
        <w:rPr>
          <w:noProof/>
          <w:lang w:val="fr-FR"/>
        </w:rPr>
        <w:t>Lorsqu’un tribunal se prononce sur le cas d’un enfant qui a plaidé coupable ou a été déclaré coupable d’une infraction</w:t>
      </w:r>
      <w:r w:rsidR="00283ED9" w:rsidRPr="00DD03D6">
        <w:rPr>
          <w:noProof/>
          <w:lang w:val="fr-FR" w:eastAsia="en-GB"/>
        </w:rPr>
        <w:t xml:space="preserve">, </w:t>
      </w:r>
      <w:r w:rsidR="00216602">
        <w:rPr>
          <w:noProof/>
          <w:lang w:val="fr-FR" w:eastAsia="en-GB"/>
        </w:rPr>
        <w:t>il importe que l’agent de p</w:t>
      </w:r>
      <w:r w:rsidR="00283ED9" w:rsidRPr="00DD03D6">
        <w:rPr>
          <w:noProof/>
          <w:lang w:val="fr-FR" w:eastAsia="en-GB"/>
        </w:rPr>
        <w:t xml:space="preserve">robation, </w:t>
      </w:r>
      <w:r w:rsidR="00216602">
        <w:rPr>
          <w:noProof/>
          <w:lang w:val="fr-FR" w:eastAsia="en-GB"/>
        </w:rPr>
        <w:t>qui établit le rapport préalable au prononcé de la peine</w:t>
      </w:r>
      <w:r w:rsidR="00283ED9" w:rsidRPr="00DD03D6">
        <w:rPr>
          <w:noProof/>
          <w:lang w:val="fr-FR" w:eastAsia="en-GB"/>
        </w:rPr>
        <w:t xml:space="preserve">, </w:t>
      </w:r>
      <w:r w:rsidR="00216602">
        <w:rPr>
          <w:noProof/>
          <w:lang w:val="fr-FR" w:eastAsia="en-GB"/>
        </w:rPr>
        <w:t>et le juge disposent de tous les renseignements pertinents sur les antécédents de l’enfant au moment de prendre en considération son intérêt supérieur</w:t>
      </w:r>
      <w:r w:rsidR="00283ED9" w:rsidRPr="00DD03D6">
        <w:rPr>
          <w:noProof/>
          <w:lang w:val="fr-FR"/>
        </w:rPr>
        <w:t xml:space="preserve">. </w:t>
      </w:r>
      <w:r w:rsidR="00216602">
        <w:rPr>
          <w:noProof/>
          <w:lang w:val="fr-FR"/>
        </w:rPr>
        <w:t>Le principe premier veut que le placement en détention soit une mesure de dernier ressort</w:t>
      </w:r>
      <w:r w:rsidR="00283ED9" w:rsidRPr="00DD03D6">
        <w:rPr>
          <w:noProof/>
          <w:lang w:val="fr-FR"/>
        </w:rPr>
        <w:t>.</w:t>
      </w:r>
      <w:r w:rsidR="00283ED9" w:rsidRPr="00DD03D6">
        <w:rPr>
          <w:b/>
          <w:noProof/>
          <w:lang w:val="fr-FR"/>
        </w:rPr>
        <w:t xml:space="preserve"> </w:t>
      </w:r>
    </w:p>
    <w:p w:rsidR="00283ED9" w:rsidRPr="00DD03D6" w:rsidRDefault="00330A06" w:rsidP="00E62D34">
      <w:pPr>
        <w:pStyle w:val="SingleTxtG"/>
        <w:numPr>
          <w:ilvl w:val="0"/>
          <w:numId w:val="3"/>
        </w:numPr>
        <w:ind w:left="1134" w:firstLine="0"/>
        <w:rPr>
          <w:noProof/>
          <w:lang w:val="fr-FR"/>
        </w:rPr>
      </w:pPr>
      <w:r>
        <w:rPr>
          <w:noProof/>
          <w:lang w:val="fr-FR"/>
        </w:rPr>
        <w:t xml:space="preserve">La loi de 2001 sur les enfants dispose que le placement d’un enfant en </w:t>
      </w:r>
      <w:r w:rsidR="00283ED9" w:rsidRPr="00DD03D6">
        <w:rPr>
          <w:noProof/>
          <w:lang w:val="fr-FR"/>
        </w:rPr>
        <w:t>d</w:t>
      </w:r>
      <w:r>
        <w:rPr>
          <w:noProof/>
          <w:lang w:val="fr-FR"/>
        </w:rPr>
        <w:t>é</w:t>
      </w:r>
      <w:r w:rsidR="00283ED9" w:rsidRPr="00DD03D6">
        <w:rPr>
          <w:noProof/>
          <w:lang w:val="fr-FR"/>
        </w:rPr>
        <w:t xml:space="preserve">tention </w:t>
      </w:r>
      <w:r>
        <w:rPr>
          <w:noProof/>
          <w:lang w:val="fr-FR"/>
        </w:rPr>
        <w:t>ne doit être env</w:t>
      </w:r>
      <w:r w:rsidR="006332E2">
        <w:rPr>
          <w:noProof/>
          <w:lang w:val="fr-FR"/>
        </w:rPr>
        <w:t>isagé</w:t>
      </w:r>
      <w:r>
        <w:rPr>
          <w:noProof/>
          <w:lang w:val="fr-FR"/>
        </w:rPr>
        <w:t xml:space="preserve"> qu’</w:t>
      </w:r>
      <w:r w:rsidR="006332E2">
        <w:rPr>
          <w:noProof/>
          <w:lang w:val="fr-FR"/>
        </w:rPr>
        <w:t>en dernier re</w:t>
      </w:r>
      <w:r w:rsidR="00B72AD0">
        <w:rPr>
          <w:noProof/>
          <w:lang w:val="fr-FR"/>
        </w:rPr>
        <w:t>ssort</w:t>
      </w:r>
      <w:r w:rsidR="00283ED9" w:rsidRPr="00DD03D6">
        <w:rPr>
          <w:noProof/>
          <w:lang w:val="fr-FR"/>
        </w:rPr>
        <w:t xml:space="preserve">. </w:t>
      </w:r>
      <w:r w:rsidR="006332E2">
        <w:rPr>
          <w:noProof/>
          <w:lang w:val="fr-FR"/>
        </w:rPr>
        <w:t xml:space="preserve">On constate une tendance à la baisse du nombre moyen annuel d’enfants détenus à un moment donné, ce nombre ayant été ramené de </w:t>
      </w:r>
      <w:r w:rsidR="00386641">
        <w:rPr>
          <w:noProof/>
          <w:lang w:val="fr-FR"/>
        </w:rPr>
        <w:t>134 </w:t>
      </w:r>
      <w:r w:rsidR="006332E2">
        <w:rPr>
          <w:noProof/>
          <w:lang w:val="fr-FR"/>
        </w:rPr>
        <w:t xml:space="preserve">en </w:t>
      </w:r>
      <w:r w:rsidR="00283ED9" w:rsidRPr="00DD03D6">
        <w:rPr>
          <w:noProof/>
          <w:lang w:val="fr-FR"/>
        </w:rPr>
        <w:t xml:space="preserve">2004 </w:t>
      </w:r>
      <w:r w:rsidR="006332E2">
        <w:rPr>
          <w:noProof/>
          <w:lang w:val="fr-FR"/>
        </w:rPr>
        <w:t xml:space="preserve">à </w:t>
      </w:r>
      <w:r w:rsidR="00283ED9" w:rsidRPr="00DD03D6">
        <w:rPr>
          <w:noProof/>
          <w:lang w:val="fr-FR"/>
        </w:rPr>
        <w:t xml:space="preserve">80 </w:t>
      </w:r>
      <w:r w:rsidR="006332E2">
        <w:rPr>
          <w:noProof/>
          <w:lang w:val="fr-FR"/>
        </w:rPr>
        <w:t>e</w:t>
      </w:r>
      <w:r w:rsidR="00283ED9" w:rsidRPr="00DD03D6">
        <w:rPr>
          <w:noProof/>
          <w:lang w:val="fr-FR"/>
        </w:rPr>
        <w:t>n 2011.</w:t>
      </w:r>
    </w:p>
    <w:p w:rsidR="00283ED9" w:rsidRPr="00DD03D6" w:rsidRDefault="003A6135" w:rsidP="00434035">
      <w:pPr>
        <w:pStyle w:val="SingleTxtG"/>
        <w:numPr>
          <w:ilvl w:val="0"/>
          <w:numId w:val="3"/>
        </w:numPr>
        <w:ind w:left="1134" w:firstLine="0"/>
        <w:rPr>
          <w:noProof/>
          <w:lang w:val="fr-FR"/>
        </w:rPr>
      </w:pPr>
      <w:r>
        <w:rPr>
          <w:noProof/>
          <w:lang w:val="fr-FR"/>
        </w:rPr>
        <w:t xml:space="preserve">Toutes les filles âgées de moins de </w:t>
      </w:r>
      <w:r w:rsidR="00283ED9" w:rsidRPr="00DD03D6">
        <w:rPr>
          <w:noProof/>
          <w:lang w:val="fr-FR"/>
        </w:rPr>
        <w:t xml:space="preserve">18 </w:t>
      </w:r>
      <w:r>
        <w:rPr>
          <w:noProof/>
          <w:lang w:val="fr-FR"/>
        </w:rPr>
        <w:t xml:space="preserve">ans placées </w:t>
      </w:r>
      <w:r w:rsidR="00B72AD0">
        <w:rPr>
          <w:noProof/>
          <w:lang w:val="fr-FR"/>
        </w:rPr>
        <w:t>en détention sont accueillies d</w:t>
      </w:r>
      <w:r>
        <w:rPr>
          <w:noProof/>
          <w:lang w:val="fr-FR"/>
        </w:rPr>
        <w:t>ans les établissements d’éducation surveillée d’Oberstown. Tous les garçons âgés de moins de 17 ans sont également placés à Oberstown</w:t>
      </w:r>
      <w:r w:rsidR="00283ED9" w:rsidRPr="00DD03D6">
        <w:rPr>
          <w:noProof/>
          <w:lang w:val="fr-FR"/>
        </w:rPr>
        <w:t xml:space="preserve">. </w:t>
      </w:r>
      <w:r>
        <w:rPr>
          <w:noProof/>
          <w:lang w:val="fr-FR"/>
        </w:rPr>
        <w:t xml:space="preserve">Le Gouvernement a approuvé un projet de </w:t>
      </w:r>
      <w:r w:rsidR="00283ED9" w:rsidRPr="00DD03D6">
        <w:rPr>
          <w:noProof/>
          <w:lang w:val="fr-FR"/>
        </w:rPr>
        <w:t xml:space="preserve">construction </w:t>
      </w:r>
      <w:r>
        <w:rPr>
          <w:noProof/>
          <w:lang w:val="fr-FR"/>
        </w:rPr>
        <w:t>portant sur le réaménagement du campus d’Oberstown, et les activités de planification et de passation de marchés sont bien avancées</w:t>
      </w:r>
      <w:r w:rsidR="00283ED9" w:rsidRPr="00DD03D6">
        <w:rPr>
          <w:noProof/>
          <w:lang w:val="fr-FR"/>
        </w:rPr>
        <w:t xml:space="preserve">. </w:t>
      </w:r>
      <w:r>
        <w:rPr>
          <w:noProof/>
          <w:lang w:val="fr-FR"/>
        </w:rPr>
        <w:t xml:space="preserve">Ce réaménagement permettra d’accueillir les garçons âgés de 17 ans qui sont actuellement détenus </w:t>
      </w:r>
      <w:r w:rsidR="00B72AD0">
        <w:rPr>
          <w:noProof/>
          <w:lang w:val="fr-FR"/>
        </w:rPr>
        <w:t>à</w:t>
      </w:r>
      <w:r>
        <w:rPr>
          <w:noProof/>
          <w:lang w:val="fr-FR"/>
        </w:rPr>
        <w:t xml:space="preserve"> </w:t>
      </w:r>
      <w:r w:rsidRPr="00ED7ABF">
        <w:rPr>
          <w:color w:val="000000"/>
          <w:lang w:val="fr-FR"/>
        </w:rPr>
        <w:t>l’Institution Saint-Patrick</w:t>
      </w:r>
      <w:r w:rsidR="00283ED9" w:rsidRPr="00DD03D6">
        <w:rPr>
          <w:noProof/>
          <w:lang w:val="fr-FR"/>
        </w:rPr>
        <w:t>.</w:t>
      </w:r>
    </w:p>
    <w:p w:rsidR="00283ED9" w:rsidRPr="00DD03D6" w:rsidRDefault="007F19E4" w:rsidP="00D12A92">
      <w:pPr>
        <w:pStyle w:val="SingleTxtG"/>
        <w:numPr>
          <w:ilvl w:val="0"/>
          <w:numId w:val="3"/>
        </w:numPr>
        <w:ind w:left="1134" w:firstLine="0"/>
        <w:rPr>
          <w:noProof/>
          <w:lang w:val="fr-FR" w:eastAsia="en-GB"/>
        </w:rPr>
      </w:pPr>
      <w:r>
        <w:rPr>
          <w:noProof/>
          <w:lang w:val="fr-FR"/>
        </w:rPr>
        <w:t xml:space="preserve">Les pouvoirs d’investigation du Médiateur des enfants </w:t>
      </w:r>
      <w:r w:rsidR="00283ED9" w:rsidRPr="00DD03D6">
        <w:rPr>
          <w:noProof/>
          <w:lang w:val="fr-FR" w:eastAsia="en-GB"/>
        </w:rPr>
        <w:t>(</w:t>
      </w:r>
      <w:r>
        <w:rPr>
          <w:noProof/>
          <w:lang w:val="fr-FR" w:eastAsia="en-GB"/>
        </w:rPr>
        <w:t>Bureau du Médiateur des enfants</w:t>
      </w:r>
      <w:r w:rsidR="00283ED9" w:rsidRPr="00DD03D6">
        <w:rPr>
          <w:noProof/>
          <w:lang w:val="fr-FR" w:eastAsia="en-GB"/>
        </w:rPr>
        <w:t xml:space="preserve">) </w:t>
      </w:r>
      <w:r>
        <w:rPr>
          <w:noProof/>
          <w:lang w:val="fr-FR" w:eastAsia="en-GB"/>
        </w:rPr>
        <w:t xml:space="preserve">ont été étendus et couvrent désormais les garçons âgés de moins de 18 ans qui sont </w:t>
      </w:r>
      <w:r w:rsidR="00B72AD0">
        <w:rPr>
          <w:noProof/>
          <w:lang w:val="fr-FR"/>
        </w:rPr>
        <w:t>détenus à</w:t>
      </w:r>
      <w:r>
        <w:rPr>
          <w:noProof/>
          <w:lang w:val="fr-FR"/>
        </w:rPr>
        <w:t xml:space="preserve"> </w:t>
      </w:r>
      <w:r w:rsidRPr="00ED7ABF">
        <w:rPr>
          <w:color w:val="000000"/>
          <w:lang w:val="fr-FR"/>
        </w:rPr>
        <w:t>l’Institution Saint-Patrick</w:t>
      </w:r>
      <w:r w:rsidR="00283ED9" w:rsidRPr="00DD03D6">
        <w:rPr>
          <w:noProof/>
          <w:lang w:val="fr-FR" w:eastAsia="en-GB"/>
        </w:rPr>
        <w:t>.</w:t>
      </w:r>
    </w:p>
    <w:p w:rsidR="00283ED9" w:rsidRPr="00DD03D6" w:rsidRDefault="00D12A92" w:rsidP="00D12A92">
      <w:pPr>
        <w:pStyle w:val="H23G"/>
        <w:rPr>
          <w:noProof/>
          <w:lang w:val="fr-FR" w:eastAsia="en-GB"/>
        </w:rPr>
      </w:pPr>
      <w:r w:rsidRPr="00DD03D6">
        <w:rPr>
          <w:noProof/>
          <w:lang w:val="fr-FR" w:eastAsia="en-GB"/>
        </w:rPr>
        <w:tab/>
      </w:r>
      <w:r w:rsidRPr="00DD03D6">
        <w:rPr>
          <w:noProof/>
          <w:lang w:val="fr-FR" w:eastAsia="en-GB"/>
        </w:rPr>
        <w:tab/>
      </w:r>
      <w:r w:rsidR="00E668F4">
        <w:rPr>
          <w:noProof/>
          <w:lang w:val="fr-FR" w:eastAsia="en-GB"/>
        </w:rPr>
        <w:t>E</w:t>
      </w:r>
      <w:r w:rsidR="00283ED9" w:rsidRPr="00DD03D6">
        <w:rPr>
          <w:noProof/>
          <w:lang w:val="fr-FR" w:eastAsia="en-GB"/>
        </w:rPr>
        <w:t xml:space="preserve">xploitation </w:t>
      </w:r>
      <w:r w:rsidR="00E668F4">
        <w:rPr>
          <w:noProof/>
          <w:lang w:val="fr-FR" w:eastAsia="en-GB"/>
        </w:rPr>
        <w:t xml:space="preserve">sexuelle et violence sexuelle </w:t>
      </w:r>
    </w:p>
    <w:p w:rsidR="00283ED9" w:rsidRPr="00DD03D6" w:rsidRDefault="00E668F4" w:rsidP="00D12A92">
      <w:pPr>
        <w:pStyle w:val="SingleTxtG"/>
        <w:numPr>
          <w:ilvl w:val="0"/>
          <w:numId w:val="3"/>
        </w:numPr>
        <w:ind w:left="1134" w:firstLine="0"/>
        <w:rPr>
          <w:b/>
          <w:bCs/>
          <w:noProof/>
          <w:lang w:val="fr-FR"/>
        </w:rPr>
      </w:pPr>
      <w:r w:rsidRPr="00E668F4">
        <w:rPr>
          <w:b/>
          <w:noProof/>
          <w:lang w:val="fr-FR"/>
        </w:rPr>
        <w:t>Le Comité recommande à l’État partie de recueillir des informations sur la prostitution des enfants, la pédopornographie et les autres formes d’exploitation sexuelle et de violence sexuelle visant les enfants, et de faire des travaux de recherche dans ce domaine, en vue de définir des mesures ciblées; il invite l’État partie à lui fournir des renseignements détaillés sur ce point dans son prochain rapport</w:t>
      </w:r>
      <w:r w:rsidRPr="00487473">
        <w:rPr>
          <w:b/>
          <w:lang w:val="fr-CH"/>
        </w:rPr>
        <w:t xml:space="preserve">. </w:t>
      </w:r>
    </w:p>
    <w:p w:rsidR="00283ED9" w:rsidRPr="00DD03D6" w:rsidRDefault="00E668F4" w:rsidP="00D12A92">
      <w:pPr>
        <w:pStyle w:val="SingleTxtG"/>
        <w:numPr>
          <w:ilvl w:val="0"/>
          <w:numId w:val="3"/>
        </w:numPr>
        <w:ind w:left="1134" w:firstLine="0"/>
        <w:rPr>
          <w:noProof/>
          <w:lang w:val="fr-FR"/>
        </w:rPr>
      </w:pPr>
      <w:r>
        <w:rPr>
          <w:noProof/>
          <w:lang w:val="fr-FR"/>
        </w:rPr>
        <w:t>Le Service de la lutte contre la traite des êtres humains du Ministère de la j</w:t>
      </w:r>
      <w:r w:rsidR="00283ED9" w:rsidRPr="00DD03D6">
        <w:rPr>
          <w:noProof/>
          <w:lang w:val="fr-FR"/>
        </w:rPr>
        <w:t xml:space="preserve">ustice </w:t>
      </w:r>
      <w:r>
        <w:rPr>
          <w:noProof/>
          <w:lang w:val="fr-FR"/>
        </w:rPr>
        <w:t xml:space="preserve">et de l’égalité </w:t>
      </w:r>
      <w:r w:rsidR="00DF1693">
        <w:rPr>
          <w:noProof/>
          <w:lang w:val="fr-FR"/>
        </w:rPr>
        <w:t>recueille et publie des données sur les cas présumés de traite des êtres humains, notamment de traite aux fins d’</w:t>
      </w:r>
      <w:r w:rsidR="00283ED9" w:rsidRPr="00DD03D6">
        <w:rPr>
          <w:noProof/>
          <w:lang w:val="fr-FR"/>
        </w:rPr>
        <w:t>exploitation</w:t>
      </w:r>
      <w:r w:rsidR="00DF1693">
        <w:rPr>
          <w:noProof/>
          <w:lang w:val="fr-FR"/>
        </w:rPr>
        <w:t xml:space="preserve"> sexuelle</w:t>
      </w:r>
      <w:r w:rsidR="00283ED9" w:rsidRPr="00DD03D6">
        <w:rPr>
          <w:noProof/>
          <w:lang w:val="fr-FR"/>
        </w:rPr>
        <w:t xml:space="preserve">, </w:t>
      </w:r>
      <w:r w:rsidR="00DF1693">
        <w:rPr>
          <w:noProof/>
          <w:lang w:val="fr-FR"/>
        </w:rPr>
        <w:t>visant des enfants</w:t>
      </w:r>
      <w:r w:rsidR="00283ED9" w:rsidRPr="00DD03D6">
        <w:rPr>
          <w:noProof/>
          <w:lang w:val="fr-FR"/>
        </w:rPr>
        <w:t xml:space="preserve">. </w:t>
      </w:r>
      <w:r w:rsidR="00FC13BE">
        <w:rPr>
          <w:noProof/>
          <w:lang w:val="fr-FR"/>
        </w:rPr>
        <w:t>L</w:t>
      </w:r>
      <w:r w:rsidR="00DF1693">
        <w:rPr>
          <w:noProof/>
          <w:lang w:val="fr-FR"/>
        </w:rPr>
        <w:t xml:space="preserve">es </w:t>
      </w:r>
      <w:r w:rsidR="00283ED9" w:rsidRPr="00DD03D6">
        <w:rPr>
          <w:noProof/>
          <w:lang w:val="fr-FR"/>
        </w:rPr>
        <w:t>information</w:t>
      </w:r>
      <w:r w:rsidR="00DF1693">
        <w:rPr>
          <w:noProof/>
          <w:lang w:val="fr-FR"/>
        </w:rPr>
        <w:t>s</w:t>
      </w:r>
      <w:r w:rsidR="00283ED9" w:rsidRPr="00DD03D6">
        <w:rPr>
          <w:noProof/>
          <w:lang w:val="fr-FR"/>
        </w:rPr>
        <w:t xml:space="preserve"> </w:t>
      </w:r>
      <w:r w:rsidR="00FC13BE">
        <w:rPr>
          <w:noProof/>
          <w:lang w:val="fr-FR"/>
        </w:rPr>
        <w:t xml:space="preserve">correspondantes </w:t>
      </w:r>
      <w:r w:rsidR="00DF1693">
        <w:rPr>
          <w:noProof/>
          <w:lang w:val="fr-FR"/>
        </w:rPr>
        <w:t xml:space="preserve">sont fournies par la </w:t>
      </w:r>
      <w:r w:rsidR="00283ED9" w:rsidRPr="00DD03D6">
        <w:rPr>
          <w:noProof/>
          <w:lang w:val="fr-FR"/>
        </w:rPr>
        <w:t xml:space="preserve">Garda </w:t>
      </w:r>
      <w:r w:rsidR="00DF1693">
        <w:rPr>
          <w:noProof/>
          <w:lang w:val="fr-FR"/>
        </w:rPr>
        <w:t>et les ONG</w:t>
      </w:r>
      <w:r w:rsidR="00283ED9" w:rsidRPr="00DD03D6">
        <w:rPr>
          <w:noProof/>
          <w:lang w:val="fr-FR"/>
        </w:rPr>
        <w:t xml:space="preserve">, </w:t>
      </w:r>
      <w:r w:rsidR="00DF1693">
        <w:rPr>
          <w:noProof/>
          <w:lang w:val="fr-FR"/>
        </w:rPr>
        <w:t>et sont présentées dans les rapports annuel</w:t>
      </w:r>
      <w:r w:rsidR="00FC13BE">
        <w:rPr>
          <w:noProof/>
          <w:lang w:val="fr-FR"/>
        </w:rPr>
        <w:t>s</w:t>
      </w:r>
      <w:r w:rsidR="00DF1693">
        <w:rPr>
          <w:noProof/>
          <w:lang w:val="fr-FR"/>
        </w:rPr>
        <w:t xml:space="preserve"> du Service susvisé, rapports qui sont </w:t>
      </w:r>
      <w:r w:rsidR="00283ED9" w:rsidRPr="00DD03D6">
        <w:rPr>
          <w:noProof/>
          <w:lang w:val="fr-FR"/>
        </w:rPr>
        <w:t>accessible</w:t>
      </w:r>
      <w:r w:rsidR="00DF1693">
        <w:rPr>
          <w:noProof/>
          <w:lang w:val="fr-FR"/>
        </w:rPr>
        <w:t>s</w:t>
      </w:r>
      <w:r w:rsidR="00283ED9" w:rsidRPr="00DD03D6">
        <w:rPr>
          <w:noProof/>
          <w:lang w:val="fr-FR"/>
        </w:rPr>
        <w:t xml:space="preserve"> </w:t>
      </w:r>
      <w:r w:rsidR="00DF1693">
        <w:rPr>
          <w:noProof/>
          <w:lang w:val="fr-FR"/>
        </w:rPr>
        <w:t>en ligne sur le site Web de la lutte contre la traite des êtres humains en Irlande</w:t>
      </w:r>
      <w:r w:rsidR="00283ED9" w:rsidRPr="00DD03D6">
        <w:rPr>
          <w:noProof/>
          <w:lang w:val="fr-FR"/>
        </w:rPr>
        <w:t xml:space="preserve">, </w:t>
      </w:r>
      <w:hyperlink r:id="rId12" w:history="1">
        <w:r w:rsidR="00283ED9" w:rsidRPr="00DD03D6">
          <w:rPr>
            <w:rStyle w:val="Lienhypertexte"/>
            <w:iCs/>
            <w:noProof/>
            <w:lang w:val="fr-FR"/>
          </w:rPr>
          <w:t>www.blueblindfold.gov.ie</w:t>
        </w:r>
      </w:hyperlink>
      <w:r w:rsidR="00283ED9" w:rsidRPr="00DD03D6">
        <w:rPr>
          <w:i/>
          <w:noProof/>
          <w:lang w:val="fr-FR"/>
        </w:rPr>
        <w:t xml:space="preserve">. </w:t>
      </w:r>
      <w:r w:rsidR="00DF1693">
        <w:rPr>
          <w:noProof/>
          <w:lang w:val="fr-FR"/>
        </w:rPr>
        <w:t>Les fonctionnaires et les autres acteurs utilisent ces données pour formuler des politiques et fournir des services dans le domaine de la traite des êtres humains</w:t>
      </w:r>
      <w:r w:rsidR="00283ED9" w:rsidRPr="00DD03D6">
        <w:rPr>
          <w:noProof/>
          <w:lang w:val="fr-FR"/>
        </w:rPr>
        <w:t>.</w:t>
      </w:r>
    </w:p>
    <w:p w:rsidR="00283ED9" w:rsidRPr="00DD03D6" w:rsidRDefault="00FC13BE" w:rsidP="00D12A92">
      <w:pPr>
        <w:pStyle w:val="SingleTxtG"/>
        <w:numPr>
          <w:ilvl w:val="0"/>
          <w:numId w:val="3"/>
        </w:numPr>
        <w:ind w:left="1134" w:firstLine="0"/>
        <w:rPr>
          <w:noProof/>
          <w:lang w:val="fr-FR"/>
        </w:rPr>
      </w:pPr>
      <w:r>
        <w:rPr>
          <w:noProof/>
          <w:lang w:val="fr-FR"/>
        </w:rPr>
        <w:t xml:space="preserve">Le Ministère de l’enfance et de la jeunesse, agissant en collaboration avec le Conseil irlandais pour la recherche en sciences humaines et sociales, finance les travaux de recherche sur la </w:t>
      </w:r>
      <w:r w:rsidRPr="00DD03D6">
        <w:rPr>
          <w:noProof/>
          <w:lang w:val="fr-FR"/>
        </w:rPr>
        <w:t xml:space="preserve">sexualisation </w:t>
      </w:r>
      <w:r>
        <w:rPr>
          <w:noProof/>
          <w:lang w:val="fr-FR"/>
        </w:rPr>
        <w:t xml:space="preserve">et la </w:t>
      </w:r>
      <w:r w:rsidRPr="00DD03D6">
        <w:rPr>
          <w:noProof/>
          <w:lang w:val="fr-FR"/>
        </w:rPr>
        <w:t xml:space="preserve">commercialisation </w:t>
      </w:r>
      <w:r>
        <w:rPr>
          <w:noProof/>
          <w:lang w:val="fr-FR"/>
        </w:rPr>
        <w:t xml:space="preserve">des enfants </w:t>
      </w:r>
      <w:r w:rsidR="0017051D">
        <w:rPr>
          <w:noProof/>
          <w:lang w:val="fr-FR"/>
        </w:rPr>
        <w:t xml:space="preserve">dans le cadre de l’Initiative pour le développement de la recherche </w:t>
      </w:r>
      <w:r w:rsidR="00283ED9" w:rsidRPr="00DD03D6">
        <w:rPr>
          <w:noProof/>
          <w:lang w:val="fr-FR"/>
        </w:rPr>
        <w:t xml:space="preserve">2012. </w:t>
      </w:r>
    </w:p>
    <w:p w:rsidR="00283ED9" w:rsidRPr="00DD03D6" w:rsidRDefault="0011220B" w:rsidP="00D12A92">
      <w:pPr>
        <w:pStyle w:val="SingleTxtG"/>
        <w:numPr>
          <w:ilvl w:val="0"/>
          <w:numId w:val="3"/>
        </w:numPr>
        <w:ind w:left="1134" w:firstLine="0"/>
        <w:rPr>
          <w:noProof/>
          <w:lang w:val="fr-FR"/>
        </w:rPr>
      </w:pPr>
      <w:r>
        <w:rPr>
          <w:noProof/>
          <w:lang w:val="fr-FR"/>
        </w:rPr>
        <w:t>La Direction des services de santé classe et publie chaque année des informations concernant le nombre d’enfants victimes de la violence sexuelle pris en charge et les</w:t>
      </w:r>
      <w:r w:rsidR="00016E10">
        <w:rPr>
          <w:noProof/>
          <w:lang w:val="fr-FR"/>
        </w:rPr>
        <w:t xml:space="preserve"> raisons principales de cette prise en charge dans le document intitulé </w:t>
      </w:r>
      <w:r w:rsidR="00016E10">
        <w:rPr>
          <w:i/>
          <w:noProof/>
          <w:lang w:val="fr-FR"/>
        </w:rPr>
        <w:t xml:space="preserve">Étude sur la qualité des services fournis par la Direction des services de santé aux enfants et aux familles </w:t>
      </w:r>
      <w:r w:rsidR="00016E10">
        <w:rPr>
          <w:noProof/>
          <w:lang w:val="fr-FR"/>
        </w:rPr>
        <w:t>(</w:t>
      </w:r>
      <w:r w:rsidR="00016E10">
        <w:rPr>
          <w:i/>
          <w:noProof/>
          <w:lang w:val="fr-FR"/>
        </w:rPr>
        <w:t>R</w:t>
      </w:r>
      <w:r w:rsidR="00283ED9" w:rsidRPr="00DD03D6">
        <w:rPr>
          <w:i/>
          <w:noProof/>
          <w:lang w:val="fr-FR"/>
        </w:rPr>
        <w:t>eview of</w:t>
      </w:r>
      <w:r w:rsidR="00283ED9" w:rsidRPr="00DD03D6">
        <w:rPr>
          <w:noProof/>
          <w:lang w:val="fr-FR"/>
        </w:rPr>
        <w:t xml:space="preserve"> </w:t>
      </w:r>
      <w:r w:rsidR="00283ED9" w:rsidRPr="00DD03D6">
        <w:rPr>
          <w:i/>
          <w:iCs/>
          <w:noProof/>
          <w:lang w:val="fr-FR"/>
        </w:rPr>
        <w:t>Adequacy of HSE Children and Family Services</w:t>
      </w:r>
      <w:r w:rsidR="00016E10">
        <w:rPr>
          <w:noProof/>
          <w:lang w:val="fr-FR"/>
        </w:rPr>
        <w:t xml:space="preserve">). Les chiffres les plus récents </w:t>
      </w:r>
      <w:r w:rsidR="00016E10">
        <w:rPr>
          <w:noProof/>
          <w:lang w:val="fr-FR"/>
        </w:rPr>
        <w:lastRenderedPageBreak/>
        <w:t xml:space="preserve">concernent l’année </w:t>
      </w:r>
      <w:r w:rsidR="00283ED9" w:rsidRPr="00DD03D6">
        <w:rPr>
          <w:noProof/>
          <w:lang w:val="fr-FR"/>
        </w:rPr>
        <w:t>2010</w:t>
      </w:r>
      <w:r w:rsidR="00283ED9" w:rsidRPr="00DD03D6">
        <w:rPr>
          <w:b/>
          <w:noProof/>
          <w:lang w:val="fr-FR"/>
        </w:rPr>
        <w:t xml:space="preserve">, </w:t>
      </w:r>
      <w:r w:rsidR="00016E10">
        <w:rPr>
          <w:noProof/>
          <w:lang w:val="fr-FR"/>
        </w:rPr>
        <w:t xml:space="preserve">au cours de laquelle </w:t>
      </w:r>
      <w:r w:rsidR="00283ED9" w:rsidRPr="00DD03D6">
        <w:rPr>
          <w:noProof/>
          <w:lang w:val="fr-FR"/>
        </w:rPr>
        <w:t xml:space="preserve">687 </w:t>
      </w:r>
      <w:r w:rsidR="00016E10">
        <w:rPr>
          <w:noProof/>
          <w:lang w:val="fr-FR"/>
        </w:rPr>
        <w:t>enfants ont été pris en charge pour cause de maltraitance</w:t>
      </w:r>
      <w:r w:rsidR="00283ED9" w:rsidRPr="00DD03D6">
        <w:rPr>
          <w:noProof/>
          <w:lang w:val="fr-FR"/>
        </w:rPr>
        <w:t xml:space="preserve">, 63 </w:t>
      </w:r>
      <w:r w:rsidR="00016E10">
        <w:rPr>
          <w:noProof/>
          <w:lang w:val="fr-FR"/>
        </w:rPr>
        <w:t xml:space="preserve">d’entre eux </w:t>
      </w:r>
      <w:r w:rsidR="00283ED9" w:rsidRPr="00DD03D6">
        <w:rPr>
          <w:noProof/>
          <w:lang w:val="fr-FR"/>
        </w:rPr>
        <w:t>(3</w:t>
      </w:r>
      <w:r w:rsidR="003F1ADB">
        <w:rPr>
          <w:noProof/>
          <w:lang w:val="fr-FR"/>
        </w:rPr>
        <w:t> %</w:t>
      </w:r>
      <w:r w:rsidR="00283ED9" w:rsidRPr="00DD03D6">
        <w:rPr>
          <w:noProof/>
          <w:lang w:val="fr-FR"/>
        </w:rPr>
        <w:t xml:space="preserve"> </w:t>
      </w:r>
      <w:r w:rsidR="00016E10">
        <w:rPr>
          <w:noProof/>
          <w:lang w:val="fr-FR"/>
        </w:rPr>
        <w:t xml:space="preserve">du nombre </w:t>
      </w:r>
      <w:r w:rsidR="00283ED9" w:rsidRPr="00DD03D6">
        <w:rPr>
          <w:noProof/>
          <w:lang w:val="fr-FR"/>
        </w:rPr>
        <w:t xml:space="preserve">total </w:t>
      </w:r>
      <w:r w:rsidR="00016E10">
        <w:rPr>
          <w:noProof/>
          <w:lang w:val="fr-FR"/>
        </w:rPr>
        <w:t>d’enfants pris en charge</w:t>
      </w:r>
      <w:r w:rsidR="00283ED9" w:rsidRPr="00DD03D6">
        <w:rPr>
          <w:noProof/>
          <w:lang w:val="fr-FR"/>
        </w:rPr>
        <w:t xml:space="preserve">) </w:t>
      </w:r>
      <w:r w:rsidR="00016E10">
        <w:rPr>
          <w:noProof/>
          <w:lang w:val="fr-FR"/>
        </w:rPr>
        <w:t xml:space="preserve">l’ayant été pour cause de violence sexuelle </w:t>
      </w:r>
      <w:r w:rsidR="00283ED9" w:rsidRPr="00DD03D6">
        <w:rPr>
          <w:noProof/>
          <w:lang w:val="fr-FR"/>
        </w:rPr>
        <w:t>(</w:t>
      </w:r>
      <w:r w:rsidR="00016E10">
        <w:rPr>
          <w:noProof/>
          <w:lang w:val="fr-FR"/>
        </w:rPr>
        <w:t>Direction des services de santé</w:t>
      </w:r>
      <w:r w:rsidR="00283ED9" w:rsidRPr="00DD03D6">
        <w:rPr>
          <w:noProof/>
          <w:lang w:val="fr-FR"/>
        </w:rPr>
        <w:t xml:space="preserve">, 2012a). </w:t>
      </w:r>
      <w:r w:rsidR="00016E10">
        <w:rPr>
          <w:noProof/>
          <w:lang w:val="fr-FR"/>
        </w:rPr>
        <w:t xml:space="preserve">On constate une augmentation du nombre d’enfants pris en charge pour ce motif – ils étaient 24 en </w:t>
      </w:r>
      <w:r w:rsidR="00283ED9" w:rsidRPr="00DD03D6">
        <w:rPr>
          <w:noProof/>
          <w:lang w:val="fr-FR"/>
        </w:rPr>
        <w:t>2006</w:t>
      </w:r>
      <w:r w:rsidR="00016E10">
        <w:rPr>
          <w:noProof/>
          <w:lang w:val="fr-FR"/>
        </w:rPr>
        <w:t xml:space="preserve"> –, mais </w:t>
      </w:r>
      <w:r w:rsidR="00D608F3">
        <w:rPr>
          <w:noProof/>
          <w:lang w:val="fr-FR"/>
        </w:rPr>
        <w:t xml:space="preserve">une baisse de la </w:t>
      </w:r>
      <w:r w:rsidR="00283ED9" w:rsidRPr="00DD03D6">
        <w:rPr>
          <w:noProof/>
          <w:lang w:val="fr-FR"/>
        </w:rPr>
        <w:t xml:space="preserve">proportion </w:t>
      </w:r>
      <w:r w:rsidR="00D608F3">
        <w:rPr>
          <w:noProof/>
          <w:lang w:val="fr-FR"/>
        </w:rPr>
        <w:t xml:space="preserve">des cas de violence sexuelle, qui était de </w:t>
      </w:r>
      <w:r w:rsidR="00283ED9" w:rsidRPr="00DD03D6">
        <w:rPr>
          <w:noProof/>
          <w:lang w:val="fr-FR"/>
        </w:rPr>
        <w:t>5</w:t>
      </w:r>
      <w:r w:rsidR="00D608F3">
        <w:rPr>
          <w:noProof/>
          <w:lang w:val="fr-FR"/>
        </w:rPr>
        <w:t>,</w:t>
      </w:r>
      <w:r w:rsidR="00283ED9" w:rsidRPr="00DD03D6">
        <w:rPr>
          <w:noProof/>
          <w:lang w:val="fr-FR"/>
        </w:rPr>
        <w:t>7</w:t>
      </w:r>
      <w:r w:rsidR="003F1ADB">
        <w:rPr>
          <w:noProof/>
          <w:lang w:val="fr-FR"/>
        </w:rPr>
        <w:t> %</w:t>
      </w:r>
      <w:r w:rsidR="00283ED9" w:rsidRPr="00DD03D6">
        <w:rPr>
          <w:noProof/>
          <w:lang w:val="fr-FR"/>
        </w:rPr>
        <w:t xml:space="preserve"> </w:t>
      </w:r>
      <w:r w:rsidR="00D608F3">
        <w:rPr>
          <w:noProof/>
          <w:lang w:val="fr-FR"/>
        </w:rPr>
        <w:t>e</w:t>
      </w:r>
      <w:r w:rsidR="00283ED9" w:rsidRPr="00DD03D6">
        <w:rPr>
          <w:noProof/>
          <w:lang w:val="fr-FR"/>
        </w:rPr>
        <w:t>n 2006.</w:t>
      </w:r>
    </w:p>
    <w:p w:rsidR="00D12A92" w:rsidRPr="00DD03D6" w:rsidRDefault="00386641" w:rsidP="005D7533">
      <w:pPr>
        <w:pStyle w:val="SingleTxtG"/>
        <w:numPr>
          <w:ilvl w:val="0"/>
          <w:numId w:val="3"/>
        </w:numPr>
        <w:ind w:left="1134" w:firstLine="0"/>
        <w:rPr>
          <w:noProof/>
          <w:lang w:val="fr-FR"/>
        </w:rPr>
      </w:pPr>
      <w:r>
        <w:rPr>
          <w:noProof/>
          <w:lang w:val="fr-FR"/>
        </w:rPr>
        <w:t>En 2011, 2 </w:t>
      </w:r>
      <w:r w:rsidR="00283ED9" w:rsidRPr="00DD03D6">
        <w:rPr>
          <w:noProof/>
          <w:lang w:val="fr-FR"/>
        </w:rPr>
        <w:t xml:space="preserve">248 </w:t>
      </w:r>
      <w:r w:rsidR="00D608F3">
        <w:rPr>
          <w:noProof/>
          <w:lang w:val="fr-FR"/>
        </w:rPr>
        <w:t xml:space="preserve">enfants ont été pris en charge, soit une diminution de </w:t>
      </w:r>
      <w:r w:rsidR="00283ED9" w:rsidRPr="00DD03D6">
        <w:rPr>
          <w:noProof/>
          <w:lang w:val="fr-FR"/>
        </w:rPr>
        <w:t>5</w:t>
      </w:r>
      <w:r w:rsidR="00D608F3">
        <w:rPr>
          <w:noProof/>
          <w:lang w:val="fr-FR"/>
        </w:rPr>
        <w:t>,</w:t>
      </w:r>
      <w:r w:rsidR="00283ED9" w:rsidRPr="00DD03D6">
        <w:rPr>
          <w:noProof/>
          <w:lang w:val="fr-FR"/>
        </w:rPr>
        <w:t>2</w:t>
      </w:r>
      <w:r w:rsidR="003F1ADB">
        <w:rPr>
          <w:noProof/>
          <w:lang w:val="fr-FR"/>
        </w:rPr>
        <w:t> %</w:t>
      </w:r>
      <w:r w:rsidR="00283ED9" w:rsidRPr="00DD03D6">
        <w:rPr>
          <w:noProof/>
          <w:lang w:val="fr-FR"/>
        </w:rPr>
        <w:t xml:space="preserve"> (n</w:t>
      </w:r>
      <w:r>
        <w:rPr>
          <w:noProof/>
          <w:lang w:val="fr-FR"/>
        </w:rPr>
        <w:t> </w:t>
      </w:r>
      <w:r w:rsidR="00283ED9" w:rsidRPr="00DD03D6">
        <w:rPr>
          <w:noProof/>
          <w:lang w:val="fr-FR"/>
        </w:rPr>
        <w:t>=</w:t>
      </w:r>
      <w:r>
        <w:rPr>
          <w:noProof/>
          <w:lang w:val="fr-FR"/>
        </w:rPr>
        <w:t> </w:t>
      </w:r>
      <w:r w:rsidR="00283ED9" w:rsidRPr="00DD03D6">
        <w:rPr>
          <w:noProof/>
          <w:lang w:val="fr-FR"/>
        </w:rPr>
        <w:t xml:space="preserve">124) </w:t>
      </w:r>
      <w:r w:rsidR="00D608F3">
        <w:rPr>
          <w:noProof/>
          <w:lang w:val="fr-FR"/>
        </w:rPr>
        <w:t xml:space="preserve">par rapport au pic de </w:t>
      </w:r>
      <w:r w:rsidR="00283ED9" w:rsidRPr="00DD03D6">
        <w:rPr>
          <w:noProof/>
          <w:lang w:val="fr-FR"/>
        </w:rPr>
        <w:t xml:space="preserve">2009. </w:t>
      </w:r>
      <w:r w:rsidR="00987FC6">
        <w:rPr>
          <w:noProof/>
          <w:lang w:val="fr-FR"/>
        </w:rPr>
        <w:t xml:space="preserve">La raison principale de la prise en charge et le type de prise en charge </w:t>
      </w:r>
      <w:r w:rsidR="008F4152">
        <w:rPr>
          <w:noProof/>
          <w:lang w:val="fr-FR"/>
        </w:rPr>
        <w:t xml:space="preserve">ont été enregistrés </w:t>
      </w:r>
      <w:r w:rsidR="008230BC">
        <w:rPr>
          <w:noProof/>
          <w:lang w:val="fr-FR"/>
        </w:rPr>
        <w:t xml:space="preserve">pour </w:t>
      </w:r>
      <w:r w:rsidR="00283ED9" w:rsidRPr="00DD03D6">
        <w:rPr>
          <w:noProof/>
          <w:lang w:val="fr-FR"/>
        </w:rPr>
        <w:t>2</w:t>
      </w:r>
      <w:r>
        <w:rPr>
          <w:noProof/>
          <w:lang w:val="fr-FR"/>
        </w:rPr>
        <w:t> </w:t>
      </w:r>
      <w:r w:rsidR="00283ED9" w:rsidRPr="00DD03D6">
        <w:rPr>
          <w:noProof/>
          <w:lang w:val="fr-FR"/>
        </w:rPr>
        <w:t xml:space="preserve">218 </w:t>
      </w:r>
      <w:r w:rsidR="008F4152">
        <w:rPr>
          <w:noProof/>
          <w:lang w:val="fr-FR"/>
        </w:rPr>
        <w:t xml:space="preserve">des enfants pris en charge </w:t>
      </w:r>
      <w:r w:rsidR="00283ED9" w:rsidRPr="00DD03D6">
        <w:rPr>
          <w:noProof/>
          <w:lang w:val="fr-FR"/>
        </w:rPr>
        <w:t>(</w:t>
      </w:r>
      <w:r w:rsidR="008F4152">
        <w:rPr>
          <w:noProof/>
          <w:lang w:val="fr-FR"/>
        </w:rPr>
        <w:t>voir t</w:t>
      </w:r>
      <w:r w:rsidR="00520CB9" w:rsidRPr="00DD03D6">
        <w:rPr>
          <w:noProof/>
          <w:lang w:val="fr-FR"/>
        </w:rPr>
        <w:t>able</w:t>
      </w:r>
      <w:r w:rsidR="008F4152">
        <w:rPr>
          <w:noProof/>
          <w:lang w:val="fr-FR"/>
        </w:rPr>
        <w:t>au</w:t>
      </w:r>
      <w:r w:rsidR="00520CB9" w:rsidRPr="00DD03D6">
        <w:rPr>
          <w:noProof/>
          <w:lang w:val="fr-FR"/>
        </w:rPr>
        <w:t> </w:t>
      </w:r>
      <w:r w:rsidR="00283ED9" w:rsidRPr="00DD03D6">
        <w:rPr>
          <w:noProof/>
          <w:lang w:val="fr-FR"/>
        </w:rPr>
        <w:t xml:space="preserve">1). </w:t>
      </w:r>
      <w:r w:rsidR="008F4152">
        <w:rPr>
          <w:noProof/>
          <w:lang w:val="fr-FR"/>
        </w:rPr>
        <w:t xml:space="preserve">Dans environ </w:t>
      </w:r>
      <w:r w:rsidR="00283ED9" w:rsidRPr="00DD03D6">
        <w:rPr>
          <w:noProof/>
          <w:lang w:val="fr-FR"/>
        </w:rPr>
        <w:t>62</w:t>
      </w:r>
      <w:r w:rsidR="003F1ADB">
        <w:rPr>
          <w:noProof/>
          <w:lang w:val="fr-FR"/>
        </w:rPr>
        <w:t> %</w:t>
      </w:r>
      <w:r w:rsidR="00283ED9" w:rsidRPr="00DD03D6">
        <w:rPr>
          <w:noProof/>
          <w:lang w:val="fr-FR"/>
        </w:rPr>
        <w:t xml:space="preserve"> </w:t>
      </w:r>
      <w:r w:rsidR="008F4152">
        <w:rPr>
          <w:noProof/>
          <w:lang w:val="fr-FR"/>
        </w:rPr>
        <w:t xml:space="preserve">des cas </w:t>
      </w:r>
      <w:r w:rsidR="00283ED9" w:rsidRPr="00DD03D6">
        <w:rPr>
          <w:noProof/>
          <w:lang w:val="fr-FR"/>
        </w:rPr>
        <w:t>(n</w:t>
      </w:r>
      <w:r>
        <w:rPr>
          <w:noProof/>
          <w:lang w:val="fr-FR"/>
        </w:rPr>
        <w:t> </w:t>
      </w:r>
      <w:r w:rsidR="00283ED9" w:rsidRPr="00DD03D6">
        <w:rPr>
          <w:noProof/>
          <w:lang w:val="fr-FR"/>
        </w:rPr>
        <w:t>=</w:t>
      </w:r>
      <w:r>
        <w:rPr>
          <w:noProof/>
          <w:lang w:val="fr-FR"/>
        </w:rPr>
        <w:t> </w:t>
      </w:r>
      <w:r w:rsidR="00283ED9" w:rsidRPr="00DD03D6">
        <w:rPr>
          <w:noProof/>
          <w:lang w:val="fr-FR"/>
        </w:rPr>
        <w:t>1,382)</w:t>
      </w:r>
      <w:r w:rsidR="008F4152">
        <w:rPr>
          <w:noProof/>
          <w:lang w:val="fr-FR"/>
        </w:rPr>
        <w:t>, les enfants ont été pris en charge de leur plein gré</w:t>
      </w:r>
      <w:r w:rsidR="00283ED9" w:rsidRPr="00DD03D6">
        <w:rPr>
          <w:noProof/>
          <w:lang w:val="fr-FR"/>
        </w:rPr>
        <w:t xml:space="preserve">. </w:t>
      </w:r>
      <w:r w:rsidR="008F4152">
        <w:rPr>
          <w:noProof/>
          <w:lang w:val="fr-FR"/>
        </w:rPr>
        <w:t xml:space="preserve">Pour </w:t>
      </w:r>
      <w:r w:rsidR="00283ED9" w:rsidRPr="00DD03D6">
        <w:rPr>
          <w:noProof/>
          <w:lang w:val="fr-FR"/>
        </w:rPr>
        <w:t>50</w:t>
      </w:r>
      <w:r w:rsidR="003F1ADB">
        <w:rPr>
          <w:noProof/>
          <w:lang w:val="fr-FR"/>
        </w:rPr>
        <w:t> %</w:t>
      </w:r>
      <w:r w:rsidR="00283ED9" w:rsidRPr="00DD03D6">
        <w:rPr>
          <w:noProof/>
          <w:lang w:val="fr-FR"/>
        </w:rPr>
        <w:t xml:space="preserve"> </w:t>
      </w:r>
      <w:r w:rsidR="008F4152">
        <w:rPr>
          <w:noProof/>
          <w:lang w:val="fr-FR"/>
        </w:rPr>
        <w:t xml:space="preserve">des enfants </w:t>
      </w:r>
      <w:r w:rsidR="00283ED9" w:rsidRPr="00DD03D6">
        <w:rPr>
          <w:noProof/>
          <w:lang w:val="fr-FR"/>
        </w:rPr>
        <w:t>(n</w:t>
      </w:r>
      <w:r>
        <w:rPr>
          <w:noProof/>
          <w:lang w:val="fr-FR"/>
        </w:rPr>
        <w:t> </w:t>
      </w:r>
      <w:r w:rsidR="00283ED9" w:rsidRPr="00DD03D6">
        <w:rPr>
          <w:noProof/>
          <w:lang w:val="fr-FR"/>
        </w:rPr>
        <w:t>=</w:t>
      </w:r>
      <w:r>
        <w:rPr>
          <w:noProof/>
          <w:lang w:val="fr-FR"/>
        </w:rPr>
        <w:t> </w:t>
      </w:r>
      <w:r w:rsidR="00283ED9" w:rsidRPr="00DD03D6">
        <w:rPr>
          <w:noProof/>
          <w:lang w:val="fr-FR"/>
        </w:rPr>
        <w:t xml:space="preserve">1,103), </w:t>
      </w:r>
      <w:r w:rsidR="008F4152">
        <w:rPr>
          <w:noProof/>
          <w:lang w:val="fr-FR"/>
        </w:rPr>
        <w:t>la raison principale tient à des problèmes familiaux</w:t>
      </w:r>
      <w:r w:rsidR="00283ED9" w:rsidRPr="00DD03D6">
        <w:rPr>
          <w:noProof/>
          <w:lang w:val="fr-FR"/>
        </w:rPr>
        <w:t xml:space="preserve">. </w:t>
      </w:r>
      <w:r w:rsidR="008F4152">
        <w:rPr>
          <w:noProof/>
          <w:lang w:val="fr-FR"/>
        </w:rPr>
        <w:t xml:space="preserve">La proportion d’enfants pris en charge pour cause de maltraitance a été plus plus élevée </w:t>
      </w:r>
      <w:r w:rsidR="00283ED9" w:rsidRPr="00DD03D6">
        <w:rPr>
          <w:noProof/>
          <w:lang w:val="fr-FR"/>
        </w:rPr>
        <w:t>(35</w:t>
      </w:r>
      <w:r w:rsidR="003F1ADB">
        <w:rPr>
          <w:noProof/>
          <w:lang w:val="fr-FR"/>
        </w:rPr>
        <w:t> %</w:t>
      </w:r>
      <w:r w:rsidR="00283ED9" w:rsidRPr="00DD03D6">
        <w:rPr>
          <w:noProof/>
          <w:lang w:val="fr-FR"/>
        </w:rPr>
        <w:t>, n</w:t>
      </w:r>
      <w:r>
        <w:rPr>
          <w:noProof/>
          <w:lang w:val="fr-FR"/>
        </w:rPr>
        <w:t> </w:t>
      </w:r>
      <w:r w:rsidR="00283ED9" w:rsidRPr="00DD03D6">
        <w:rPr>
          <w:noProof/>
          <w:lang w:val="fr-FR"/>
        </w:rPr>
        <w:t>=</w:t>
      </w:r>
      <w:r>
        <w:rPr>
          <w:noProof/>
          <w:lang w:val="fr-FR"/>
        </w:rPr>
        <w:t> </w:t>
      </w:r>
      <w:r w:rsidR="00283ED9" w:rsidRPr="00DD03D6">
        <w:rPr>
          <w:noProof/>
          <w:lang w:val="fr-FR"/>
        </w:rPr>
        <w:t xml:space="preserve">772) </w:t>
      </w:r>
      <w:r w:rsidR="008F4152">
        <w:rPr>
          <w:noProof/>
          <w:lang w:val="fr-FR"/>
        </w:rPr>
        <w:t xml:space="preserve">qu’en </w:t>
      </w:r>
      <w:r w:rsidR="00283ED9" w:rsidRPr="00DD03D6">
        <w:rPr>
          <w:noProof/>
          <w:lang w:val="fr-FR"/>
        </w:rPr>
        <w:t>2010 (30</w:t>
      </w:r>
      <w:r w:rsidR="003F1ADB">
        <w:rPr>
          <w:noProof/>
          <w:lang w:val="fr-FR"/>
        </w:rPr>
        <w:t> %</w:t>
      </w:r>
      <w:r w:rsidR="00283ED9" w:rsidRPr="00DD03D6">
        <w:rPr>
          <w:noProof/>
          <w:lang w:val="fr-FR"/>
        </w:rPr>
        <w:t>, n</w:t>
      </w:r>
      <w:r>
        <w:rPr>
          <w:noProof/>
          <w:lang w:val="fr-FR"/>
        </w:rPr>
        <w:t> </w:t>
      </w:r>
      <w:r w:rsidR="00283ED9" w:rsidRPr="00DD03D6">
        <w:rPr>
          <w:noProof/>
          <w:lang w:val="fr-FR"/>
        </w:rPr>
        <w:t>=</w:t>
      </w:r>
      <w:r>
        <w:rPr>
          <w:noProof/>
          <w:lang w:val="fr-FR"/>
        </w:rPr>
        <w:t> </w:t>
      </w:r>
      <w:r w:rsidR="00283ED9" w:rsidRPr="00DD03D6">
        <w:rPr>
          <w:noProof/>
          <w:lang w:val="fr-FR"/>
        </w:rPr>
        <w:t xml:space="preserve">687). </w:t>
      </w:r>
      <w:r w:rsidR="00084343">
        <w:rPr>
          <w:noProof/>
          <w:lang w:val="fr-FR"/>
        </w:rPr>
        <w:t xml:space="preserve">Les catégories présentant les proportions les plus importantes ont été les suivantes : </w:t>
      </w:r>
      <w:r>
        <w:rPr>
          <w:noProof/>
          <w:lang w:val="fr-FR"/>
        </w:rPr>
        <w:t>« </w:t>
      </w:r>
      <w:r w:rsidR="00283ED9" w:rsidRPr="00DD03D6">
        <w:rPr>
          <w:noProof/>
          <w:lang w:val="fr-FR"/>
        </w:rPr>
        <w:t xml:space="preserve">Parent </w:t>
      </w:r>
      <w:r w:rsidR="00084343">
        <w:rPr>
          <w:noProof/>
          <w:lang w:val="fr-FR"/>
        </w:rPr>
        <w:t>incapable de faire face</w:t>
      </w:r>
      <w:r w:rsidR="00283ED9" w:rsidRPr="00DD03D6">
        <w:rPr>
          <w:noProof/>
          <w:lang w:val="fr-FR"/>
        </w:rPr>
        <w:t>/</w:t>
      </w:r>
      <w:r w:rsidR="00084343">
        <w:rPr>
          <w:noProof/>
          <w:lang w:val="fr-FR"/>
        </w:rPr>
        <w:t xml:space="preserve">difficultés familiales liées </w:t>
      </w:r>
      <w:r w:rsidR="008230BC">
        <w:rPr>
          <w:noProof/>
          <w:lang w:val="fr-FR"/>
        </w:rPr>
        <w:t>au logement/finances,</w:t>
      </w:r>
      <w:r w:rsidR="00283ED9" w:rsidRPr="00DD03D6">
        <w:rPr>
          <w:noProof/>
          <w:lang w:val="fr-FR"/>
        </w:rPr>
        <w:t xml:space="preserve"> etc.</w:t>
      </w:r>
      <w:r>
        <w:rPr>
          <w:noProof/>
          <w:lang w:val="fr-FR"/>
        </w:rPr>
        <w:t> »</w:t>
      </w:r>
      <w:r w:rsidR="00283ED9" w:rsidRPr="00DD03D6">
        <w:rPr>
          <w:i/>
          <w:iCs/>
          <w:noProof/>
          <w:lang w:val="fr-FR"/>
        </w:rPr>
        <w:t xml:space="preserve"> </w:t>
      </w:r>
      <w:r w:rsidR="00283ED9" w:rsidRPr="00DD03D6">
        <w:rPr>
          <w:noProof/>
          <w:lang w:val="fr-FR"/>
        </w:rPr>
        <w:t>(22</w:t>
      </w:r>
      <w:r w:rsidR="003F1ADB">
        <w:rPr>
          <w:noProof/>
          <w:lang w:val="fr-FR"/>
        </w:rPr>
        <w:t> %</w:t>
      </w:r>
      <w:r w:rsidR="00283ED9" w:rsidRPr="00DD03D6">
        <w:rPr>
          <w:noProof/>
          <w:lang w:val="fr-FR"/>
        </w:rPr>
        <w:t>, n</w:t>
      </w:r>
      <w:r>
        <w:rPr>
          <w:noProof/>
          <w:lang w:val="fr-FR"/>
        </w:rPr>
        <w:t> </w:t>
      </w:r>
      <w:r w:rsidR="00283ED9" w:rsidRPr="00DD03D6">
        <w:rPr>
          <w:noProof/>
          <w:lang w:val="fr-FR"/>
        </w:rPr>
        <w:t>=</w:t>
      </w:r>
      <w:r>
        <w:rPr>
          <w:noProof/>
          <w:lang w:val="fr-FR"/>
        </w:rPr>
        <w:t> </w:t>
      </w:r>
      <w:r w:rsidR="00283ED9" w:rsidRPr="00DD03D6">
        <w:rPr>
          <w:noProof/>
          <w:lang w:val="fr-FR"/>
        </w:rPr>
        <w:t xml:space="preserve">480), </w:t>
      </w:r>
      <w:r>
        <w:rPr>
          <w:noProof/>
          <w:lang w:val="fr-FR"/>
        </w:rPr>
        <w:t>« </w:t>
      </w:r>
      <w:r w:rsidR="008230BC">
        <w:rPr>
          <w:noProof/>
          <w:lang w:val="fr-FR"/>
        </w:rPr>
        <w:t>Défaut de soins</w:t>
      </w:r>
      <w:r>
        <w:rPr>
          <w:noProof/>
          <w:lang w:val="fr-FR"/>
        </w:rPr>
        <w:t> »</w:t>
      </w:r>
      <w:r w:rsidR="00283ED9" w:rsidRPr="00DD03D6">
        <w:rPr>
          <w:noProof/>
          <w:lang w:val="fr-FR"/>
        </w:rPr>
        <w:t xml:space="preserve"> (22</w:t>
      </w:r>
      <w:r w:rsidR="003F1ADB">
        <w:rPr>
          <w:noProof/>
          <w:lang w:val="fr-FR"/>
        </w:rPr>
        <w:t> %</w:t>
      </w:r>
      <w:r w:rsidR="00283ED9" w:rsidRPr="00DD03D6">
        <w:rPr>
          <w:noProof/>
          <w:lang w:val="fr-FR"/>
        </w:rPr>
        <w:t>, n</w:t>
      </w:r>
      <w:r>
        <w:rPr>
          <w:noProof/>
          <w:lang w:val="fr-FR"/>
        </w:rPr>
        <w:t> </w:t>
      </w:r>
      <w:r w:rsidR="00283ED9" w:rsidRPr="00DD03D6">
        <w:rPr>
          <w:noProof/>
          <w:lang w:val="fr-FR"/>
        </w:rPr>
        <w:t>=</w:t>
      </w:r>
      <w:r>
        <w:rPr>
          <w:noProof/>
          <w:lang w:val="fr-FR"/>
        </w:rPr>
        <w:t> </w:t>
      </w:r>
      <w:r w:rsidR="00283ED9" w:rsidRPr="00DD03D6">
        <w:rPr>
          <w:noProof/>
          <w:lang w:val="fr-FR"/>
        </w:rPr>
        <w:t xml:space="preserve">483) </w:t>
      </w:r>
      <w:r w:rsidR="008230BC">
        <w:rPr>
          <w:noProof/>
          <w:lang w:val="fr-FR"/>
        </w:rPr>
        <w:t>et</w:t>
      </w:r>
      <w:r w:rsidR="00283ED9" w:rsidRPr="00DD03D6">
        <w:rPr>
          <w:noProof/>
          <w:lang w:val="fr-FR"/>
        </w:rPr>
        <w:t xml:space="preserve"> </w:t>
      </w:r>
      <w:r>
        <w:rPr>
          <w:noProof/>
          <w:lang w:val="fr-FR"/>
        </w:rPr>
        <w:t>« </w:t>
      </w:r>
      <w:r w:rsidR="008230BC">
        <w:rPr>
          <w:noProof/>
          <w:lang w:val="fr-FR"/>
        </w:rPr>
        <w:t>Membre de la famille toxicomane/alcoolique</w:t>
      </w:r>
      <w:r>
        <w:rPr>
          <w:noProof/>
          <w:lang w:val="fr-FR"/>
        </w:rPr>
        <w:t> »</w:t>
      </w:r>
      <w:r w:rsidR="00283ED9" w:rsidRPr="00DD03D6">
        <w:rPr>
          <w:i/>
          <w:iCs/>
          <w:noProof/>
          <w:lang w:val="fr-FR"/>
        </w:rPr>
        <w:t xml:space="preserve"> </w:t>
      </w:r>
      <w:r w:rsidR="00283ED9" w:rsidRPr="00DD03D6">
        <w:rPr>
          <w:noProof/>
          <w:lang w:val="fr-FR"/>
        </w:rPr>
        <w:t>(12</w:t>
      </w:r>
      <w:r w:rsidR="003F1ADB">
        <w:rPr>
          <w:noProof/>
          <w:lang w:val="fr-FR"/>
        </w:rPr>
        <w:t> %</w:t>
      </w:r>
      <w:r w:rsidR="00283ED9" w:rsidRPr="00DD03D6">
        <w:rPr>
          <w:noProof/>
          <w:lang w:val="fr-FR"/>
        </w:rPr>
        <w:t>, n</w:t>
      </w:r>
      <w:r>
        <w:rPr>
          <w:noProof/>
          <w:lang w:val="fr-FR"/>
        </w:rPr>
        <w:t> </w:t>
      </w:r>
      <w:r w:rsidR="00283ED9" w:rsidRPr="00DD03D6">
        <w:rPr>
          <w:noProof/>
          <w:lang w:val="fr-FR"/>
        </w:rPr>
        <w:t>=</w:t>
      </w:r>
      <w:r>
        <w:rPr>
          <w:noProof/>
          <w:lang w:val="fr-FR"/>
        </w:rPr>
        <w:t> </w:t>
      </w:r>
      <w:r w:rsidR="00283ED9" w:rsidRPr="00DD03D6">
        <w:rPr>
          <w:noProof/>
          <w:lang w:val="fr-FR"/>
        </w:rPr>
        <w:t xml:space="preserve">262). </w:t>
      </w:r>
      <w:r w:rsidR="008230BC">
        <w:rPr>
          <w:noProof/>
          <w:lang w:val="fr-FR"/>
        </w:rPr>
        <w:t xml:space="preserve">Par rapport à </w:t>
      </w:r>
      <w:r w:rsidR="00283ED9" w:rsidRPr="00DD03D6">
        <w:rPr>
          <w:noProof/>
          <w:lang w:val="fr-FR"/>
        </w:rPr>
        <w:t xml:space="preserve">2010, </w:t>
      </w:r>
      <w:r w:rsidR="008230BC">
        <w:rPr>
          <w:noProof/>
          <w:lang w:val="fr-FR"/>
        </w:rPr>
        <w:t xml:space="preserve">on a relevé en 2011 une augmentation en ce qui concerne les catégories </w:t>
      </w:r>
      <w:r>
        <w:rPr>
          <w:noProof/>
          <w:lang w:val="fr-FR"/>
        </w:rPr>
        <w:t>« </w:t>
      </w:r>
      <w:r w:rsidR="008230BC">
        <w:rPr>
          <w:noProof/>
          <w:lang w:val="fr-FR"/>
        </w:rPr>
        <w:t>Défaut de soins</w:t>
      </w:r>
      <w:r>
        <w:rPr>
          <w:noProof/>
          <w:lang w:val="fr-FR"/>
        </w:rPr>
        <w:t> »</w:t>
      </w:r>
      <w:r w:rsidR="00283ED9" w:rsidRPr="00DD03D6">
        <w:rPr>
          <w:noProof/>
          <w:lang w:val="fr-FR"/>
        </w:rPr>
        <w:t xml:space="preserve"> (2010</w:t>
      </w:r>
      <w:r>
        <w:rPr>
          <w:noProof/>
          <w:lang w:val="fr-FR"/>
        </w:rPr>
        <w:t> </w:t>
      </w:r>
      <w:r w:rsidR="00283ED9" w:rsidRPr="00DD03D6">
        <w:rPr>
          <w:noProof/>
          <w:lang w:val="fr-FR"/>
        </w:rPr>
        <w:t>: 17</w:t>
      </w:r>
      <w:r w:rsidR="003F1ADB">
        <w:rPr>
          <w:noProof/>
          <w:lang w:val="fr-FR"/>
        </w:rPr>
        <w:t> %</w:t>
      </w:r>
      <w:r w:rsidR="00283ED9" w:rsidRPr="00DD03D6">
        <w:rPr>
          <w:noProof/>
          <w:lang w:val="fr-FR"/>
        </w:rPr>
        <w:t>, n</w:t>
      </w:r>
      <w:r>
        <w:rPr>
          <w:noProof/>
          <w:lang w:val="fr-FR"/>
        </w:rPr>
        <w:t> </w:t>
      </w:r>
      <w:r w:rsidR="00283ED9" w:rsidRPr="00DD03D6">
        <w:rPr>
          <w:noProof/>
          <w:lang w:val="fr-FR"/>
        </w:rPr>
        <w:t>=</w:t>
      </w:r>
      <w:r>
        <w:rPr>
          <w:noProof/>
          <w:lang w:val="fr-FR"/>
        </w:rPr>
        <w:t> </w:t>
      </w:r>
      <w:r w:rsidR="00283ED9" w:rsidRPr="00DD03D6">
        <w:rPr>
          <w:noProof/>
          <w:lang w:val="fr-FR"/>
        </w:rPr>
        <w:t xml:space="preserve">398) </w:t>
      </w:r>
      <w:r w:rsidR="008230BC">
        <w:rPr>
          <w:noProof/>
          <w:lang w:val="fr-FR"/>
        </w:rPr>
        <w:t xml:space="preserve">et </w:t>
      </w:r>
      <w:r>
        <w:rPr>
          <w:noProof/>
          <w:lang w:val="fr-FR"/>
        </w:rPr>
        <w:t>« </w:t>
      </w:r>
      <w:r w:rsidR="008230BC">
        <w:rPr>
          <w:noProof/>
          <w:lang w:val="fr-FR"/>
        </w:rPr>
        <w:t>Membre de la famille toxicomane/alcoolique</w:t>
      </w:r>
      <w:r>
        <w:rPr>
          <w:noProof/>
          <w:lang w:val="fr-FR"/>
        </w:rPr>
        <w:t> »</w:t>
      </w:r>
      <w:r w:rsidR="00283ED9" w:rsidRPr="00DD03D6">
        <w:rPr>
          <w:i/>
          <w:iCs/>
          <w:noProof/>
          <w:lang w:val="fr-FR"/>
        </w:rPr>
        <w:t xml:space="preserve"> </w:t>
      </w:r>
      <w:r w:rsidR="00283ED9" w:rsidRPr="00DD03D6">
        <w:rPr>
          <w:noProof/>
          <w:lang w:val="fr-FR"/>
        </w:rPr>
        <w:t>(2010</w:t>
      </w:r>
      <w:r>
        <w:rPr>
          <w:noProof/>
          <w:lang w:val="fr-FR"/>
        </w:rPr>
        <w:t> </w:t>
      </w:r>
      <w:r w:rsidR="00283ED9" w:rsidRPr="00DD03D6">
        <w:rPr>
          <w:noProof/>
          <w:lang w:val="fr-FR"/>
        </w:rPr>
        <w:t>: 10</w:t>
      </w:r>
      <w:r w:rsidR="003F1ADB">
        <w:rPr>
          <w:noProof/>
          <w:lang w:val="fr-FR"/>
        </w:rPr>
        <w:t> %</w:t>
      </w:r>
      <w:r w:rsidR="00283ED9" w:rsidRPr="00DD03D6">
        <w:rPr>
          <w:noProof/>
          <w:lang w:val="fr-FR"/>
        </w:rPr>
        <w:t>, n</w:t>
      </w:r>
      <w:r>
        <w:rPr>
          <w:noProof/>
          <w:lang w:val="fr-FR"/>
        </w:rPr>
        <w:t> </w:t>
      </w:r>
      <w:r w:rsidR="00283ED9" w:rsidRPr="00DD03D6">
        <w:rPr>
          <w:noProof/>
          <w:lang w:val="fr-FR"/>
        </w:rPr>
        <w:t>=</w:t>
      </w:r>
      <w:r>
        <w:rPr>
          <w:noProof/>
          <w:lang w:val="fr-FR"/>
        </w:rPr>
        <w:t> </w:t>
      </w:r>
      <w:r w:rsidR="00283ED9" w:rsidRPr="00DD03D6">
        <w:rPr>
          <w:noProof/>
          <w:lang w:val="fr-FR"/>
        </w:rPr>
        <w:t>231).</w:t>
      </w:r>
    </w:p>
    <w:p w:rsidR="00283ED9" w:rsidRPr="00DD03D6" w:rsidRDefault="00434035" w:rsidP="00434035">
      <w:pPr>
        <w:pStyle w:val="H23G"/>
        <w:rPr>
          <w:noProof/>
          <w:lang w:val="fr-FR"/>
        </w:rPr>
      </w:pPr>
      <w:bookmarkStart w:id="7" w:name="_Toc362485744"/>
      <w:r w:rsidRPr="00DD03D6">
        <w:rPr>
          <w:noProof/>
          <w:lang w:val="fr-FR"/>
        </w:rPr>
        <w:tab/>
      </w:r>
      <w:r w:rsidRPr="00DD03D6">
        <w:rPr>
          <w:noProof/>
          <w:lang w:val="fr-FR"/>
        </w:rPr>
        <w:tab/>
      </w:r>
      <w:r w:rsidRPr="00DD03D6">
        <w:rPr>
          <w:b w:val="0"/>
          <w:bCs/>
          <w:noProof/>
          <w:lang w:val="fr-FR"/>
        </w:rPr>
        <w:t>Table</w:t>
      </w:r>
      <w:r w:rsidR="008230BC">
        <w:rPr>
          <w:b w:val="0"/>
          <w:bCs/>
          <w:noProof/>
          <w:lang w:val="fr-FR"/>
        </w:rPr>
        <w:t>au</w:t>
      </w:r>
      <w:r w:rsidRPr="00DD03D6">
        <w:rPr>
          <w:b w:val="0"/>
          <w:bCs/>
          <w:noProof/>
          <w:lang w:val="fr-FR"/>
        </w:rPr>
        <w:t xml:space="preserve"> 1</w:t>
      </w:r>
      <w:r w:rsidR="00433EB8" w:rsidRPr="00DD03D6">
        <w:rPr>
          <w:noProof/>
          <w:lang w:val="fr-FR"/>
        </w:rPr>
        <w:br/>
      </w:r>
      <w:r w:rsidR="008230BC">
        <w:rPr>
          <w:noProof/>
          <w:lang w:val="fr-FR"/>
        </w:rPr>
        <w:t>Raison principale de la prise en charge, par type de prise en charge</w:t>
      </w:r>
      <w:r w:rsidR="00283ED9" w:rsidRPr="00DD03D6">
        <w:rPr>
          <w:noProof/>
          <w:lang w:val="fr-FR"/>
        </w:rPr>
        <w:t xml:space="preserve"> (2011)</w:t>
      </w:r>
      <w:bookmarkEnd w:id="7"/>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19"/>
        <w:gridCol w:w="851"/>
        <w:gridCol w:w="851"/>
        <w:gridCol w:w="851"/>
        <w:gridCol w:w="851"/>
        <w:gridCol w:w="851"/>
      </w:tblGrid>
      <w:tr w:rsidR="00D12A92" w:rsidRPr="00DD03D6" w:rsidTr="00520CB9">
        <w:trPr>
          <w:trHeight w:val="240"/>
          <w:tblHeader/>
        </w:trPr>
        <w:tc>
          <w:tcPr>
            <w:tcW w:w="3119" w:type="dxa"/>
            <w:vMerge w:val="restart"/>
            <w:tcBorders>
              <w:top w:val="single" w:sz="4" w:space="0" w:color="auto"/>
              <w:bottom w:val="single" w:sz="12" w:space="0" w:color="auto"/>
            </w:tcBorders>
            <w:shd w:val="clear" w:color="auto" w:fill="auto"/>
            <w:vAlign w:val="bottom"/>
          </w:tcPr>
          <w:p w:rsidR="00283ED9" w:rsidRPr="00DD03D6" w:rsidRDefault="008230BC" w:rsidP="00386641">
            <w:pPr>
              <w:suppressAutoHyphens w:val="0"/>
              <w:spacing w:before="60" w:after="60" w:line="240" w:lineRule="auto"/>
              <w:rPr>
                <w:bCs/>
                <w:i/>
                <w:noProof/>
                <w:sz w:val="16"/>
                <w:szCs w:val="16"/>
                <w:lang w:val="fr-FR"/>
              </w:rPr>
            </w:pPr>
            <w:r>
              <w:rPr>
                <w:bCs/>
                <w:i/>
                <w:noProof/>
                <w:sz w:val="16"/>
                <w:szCs w:val="16"/>
                <w:lang w:val="fr-FR"/>
              </w:rPr>
              <w:t>Raison principale de la prise en charge</w:t>
            </w:r>
          </w:p>
        </w:tc>
        <w:tc>
          <w:tcPr>
            <w:tcW w:w="4255" w:type="dxa"/>
            <w:gridSpan w:val="5"/>
            <w:tcBorders>
              <w:top w:val="single" w:sz="4" w:space="0" w:color="auto"/>
              <w:bottom w:val="single" w:sz="4" w:space="0" w:color="auto"/>
            </w:tcBorders>
            <w:shd w:val="clear" w:color="auto" w:fill="auto"/>
            <w:vAlign w:val="bottom"/>
          </w:tcPr>
          <w:p w:rsidR="00283ED9" w:rsidRPr="00DD03D6" w:rsidRDefault="008230BC" w:rsidP="00386641">
            <w:pPr>
              <w:suppressAutoHyphens w:val="0"/>
              <w:spacing w:before="60" w:after="60" w:line="240" w:lineRule="auto"/>
              <w:jc w:val="center"/>
              <w:rPr>
                <w:bCs/>
                <w:i/>
                <w:noProof/>
                <w:sz w:val="16"/>
                <w:szCs w:val="16"/>
                <w:lang w:val="fr-FR"/>
              </w:rPr>
            </w:pPr>
            <w:r>
              <w:rPr>
                <w:bCs/>
                <w:i/>
                <w:noProof/>
                <w:sz w:val="16"/>
                <w:szCs w:val="16"/>
                <w:lang w:val="fr-FR"/>
              </w:rPr>
              <w:t>Type de prise en charge</w:t>
            </w:r>
          </w:p>
        </w:tc>
      </w:tr>
      <w:tr w:rsidR="00D12A92" w:rsidRPr="00DD03D6" w:rsidTr="00434035">
        <w:trPr>
          <w:trHeight w:val="240"/>
          <w:tblHeader/>
        </w:trPr>
        <w:tc>
          <w:tcPr>
            <w:tcW w:w="3119" w:type="dxa"/>
            <w:vMerge/>
            <w:tcBorders>
              <w:top w:val="single" w:sz="12" w:space="0" w:color="auto"/>
              <w:bottom w:val="single" w:sz="12" w:space="0" w:color="auto"/>
            </w:tcBorders>
            <w:shd w:val="clear" w:color="auto" w:fill="auto"/>
            <w:vAlign w:val="bottom"/>
          </w:tcPr>
          <w:p w:rsidR="00283ED9" w:rsidRPr="00DD03D6" w:rsidRDefault="00283ED9" w:rsidP="00386641">
            <w:pPr>
              <w:suppressAutoHyphens w:val="0"/>
              <w:spacing w:before="60" w:after="60" w:line="240" w:lineRule="auto"/>
              <w:rPr>
                <w:bCs/>
                <w:i/>
                <w:noProof/>
                <w:sz w:val="16"/>
                <w:szCs w:val="16"/>
                <w:lang w:val="fr-FR"/>
              </w:rPr>
            </w:pPr>
          </w:p>
        </w:tc>
        <w:tc>
          <w:tcPr>
            <w:tcW w:w="851" w:type="dxa"/>
            <w:tcBorders>
              <w:top w:val="single" w:sz="4" w:space="0" w:color="auto"/>
              <w:bottom w:val="single" w:sz="12" w:space="0" w:color="auto"/>
            </w:tcBorders>
            <w:shd w:val="clear" w:color="auto" w:fill="auto"/>
            <w:vAlign w:val="bottom"/>
          </w:tcPr>
          <w:p w:rsidR="00283ED9" w:rsidRPr="00DD03D6" w:rsidRDefault="00095C6F" w:rsidP="00386641">
            <w:pPr>
              <w:suppressAutoHyphens w:val="0"/>
              <w:spacing w:before="60" w:after="60" w:line="240" w:lineRule="auto"/>
              <w:jc w:val="right"/>
              <w:rPr>
                <w:bCs/>
                <w:i/>
                <w:noProof/>
                <w:sz w:val="16"/>
                <w:szCs w:val="16"/>
                <w:lang w:val="fr-FR"/>
              </w:rPr>
            </w:pPr>
            <w:r>
              <w:rPr>
                <w:bCs/>
                <w:i/>
                <w:noProof/>
                <w:sz w:val="16"/>
                <w:szCs w:val="16"/>
                <w:lang w:val="fr-FR"/>
              </w:rPr>
              <w:t>Ordonnance de référé</w:t>
            </w:r>
          </w:p>
        </w:tc>
        <w:tc>
          <w:tcPr>
            <w:tcW w:w="851" w:type="dxa"/>
            <w:tcBorders>
              <w:top w:val="single" w:sz="4" w:space="0" w:color="auto"/>
              <w:bottom w:val="single" w:sz="12" w:space="0" w:color="auto"/>
            </w:tcBorders>
            <w:shd w:val="clear" w:color="auto" w:fill="auto"/>
            <w:vAlign w:val="bottom"/>
          </w:tcPr>
          <w:p w:rsidR="00283ED9" w:rsidRPr="00DD03D6" w:rsidRDefault="00095C6F" w:rsidP="00386641">
            <w:pPr>
              <w:suppressAutoHyphens w:val="0"/>
              <w:spacing w:before="60" w:after="60" w:line="240" w:lineRule="auto"/>
              <w:jc w:val="right"/>
              <w:rPr>
                <w:bCs/>
                <w:i/>
                <w:noProof/>
                <w:sz w:val="16"/>
                <w:szCs w:val="16"/>
                <w:lang w:val="fr-FR"/>
              </w:rPr>
            </w:pPr>
            <w:r>
              <w:rPr>
                <w:bCs/>
                <w:i/>
                <w:noProof/>
                <w:sz w:val="16"/>
                <w:szCs w:val="16"/>
                <w:lang w:val="fr-FR"/>
              </w:rPr>
              <w:t>Autre ordonnance judiciaire</w:t>
            </w:r>
          </w:p>
        </w:tc>
        <w:tc>
          <w:tcPr>
            <w:tcW w:w="851" w:type="dxa"/>
            <w:tcBorders>
              <w:top w:val="single" w:sz="4" w:space="0" w:color="auto"/>
              <w:bottom w:val="single" w:sz="12" w:space="0" w:color="auto"/>
            </w:tcBorders>
            <w:shd w:val="clear" w:color="auto" w:fill="auto"/>
            <w:vAlign w:val="bottom"/>
          </w:tcPr>
          <w:p w:rsidR="00283ED9" w:rsidRPr="00DD03D6" w:rsidRDefault="00095C6F" w:rsidP="00386641">
            <w:pPr>
              <w:suppressAutoHyphens w:val="0"/>
              <w:spacing w:before="60" w:after="60" w:line="240" w:lineRule="auto"/>
              <w:jc w:val="right"/>
              <w:rPr>
                <w:bCs/>
                <w:i/>
                <w:noProof/>
                <w:sz w:val="16"/>
                <w:szCs w:val="16"/>
                <w:lang w:val="fr-FR"/>
              </w:rPr>
            </w:pPr>
            <w:r>
              <w:rPr>
                <w:bCs/>
                <w:i/>
                <w:noProof/>
                <w:sz w:val="16"/>
                <w:szCs w:val="16"/>
                <w:lang w:val="fr-FR"/>
              </w:rPr>
              <w:t>Prise en charge librement consentie</w:t>
            </w:r>
          </w:p>
        </w:tc>
        <w:tc>
          <w:tcPr>
            <w:tcW w:w="851" w:type="dxa"/>
            <w:tcBorders>
              <w:top w:val="single" w:sz="4" w:space="0" w:color="auto"/>
              <w:bottom w:val="single" w:sz="12" w:space="0" w:color="auto"/>
            </w:tcBorders>
            <w:shd w:val="clear" w:color="auto" w:fill="auto"/>
            <w:vAlign w:val="bottom"/>
          </w:tcPr>
          <w:p w:rsidR="00283ED9" w:rsidRPr="00DD03D6" w:rsidRDefault="00283ED9" w:rsidP="00520CB9">
            <w:pPr>
              <w:pStyle w:val="Titre9"/>
              <w:suppressAutoHyphens w:val="0"/>
              <w:spacing w:before="60" w:after="60" w:line="220" w:lineRule="exact"/>
              <w:jc w:val="right"/>
              <w:rPr>
                <w:i/>
                <w:noProof/>
                <w:sz w:val="16"/>
                <w:szCs w:val="16"/>
                <w:lang w:val="fr-FR"/>
              </w:rPr>
            </w:pPr>
            <w:r w:rsidRPr="00DD03D6">
              <w:rPr>
                <w:i/>
                <w:noProof/>
                <w:sz w:val="16"/>
                <w:szCs w:val="16"/>
                <w:lang w:val="fr-FR"/>
              </w:rPr>
              <w:t>Total</w:t>
            </w:r>
          </w:p>
        </w:tc>
        <w:tc>
          <w:tcPr>
            <w:tcW w:w="851" w:type="dxa"/>
            <w:tcBorders>
              <w:top w:val="single" w:sz="4" w:space="0" w:color="auto"/>
              <w:bottom w:val="single" w:sz="12" w:space="0" w:color="auto"/>
            </w:tcBorders>
            <w:shd w:val="clear" w:color="auto" w:fill="auto"/>
            <w:vAlign w:val="bottom"/>
          </w:tcPr>
          <w:p w:rsidR="00283ED9" w:rsidRPr="00DD03D6" w:rsidRDefault="00283ED9" w:rsidP="00520CB9">
            <w:pPr>
              <w:suppressAutoHyphens w:val="0"/>
              <w:spacing w:before="60" w:after="60" w:line="220" w:lineRule="exact"/>
              <w:jc w:val="right"/>
              <w:rPr>
                <w:bCs/>
                <w:i/>
                <w:noProof/>
                <w:sz w:val="16"/>
                <w:szCs w:val="16"/>
                <w:lang w:val="fr-FR"/>
              </w:rPr>
            </w:pPr>
            <w:r w:rsidRPr="00DD03D6">
              <w:rPr>
                <w:bCs/>
                <w:i/>
                <w:noProof/>
                <w:sz w:val="16"/>
                <w:szCs w:val="16"/>
                <w:lang w:val="fr-FR"/>
              </w:rPr>
              <w:t>%</w:t>
            </w:r>
          </w:p>
        </w:tc>
      </w:tr>
      <w:tr w:rsidR="00D12A92" w:rsidRPr="00DD03D6" w:rsidTr="00434035">
        <w:trPr>
          <w:trHeight w:val="240"/>
        </w:trPr>
        <w:tc>
          <w:tcPr>
            <w:tcW w:w="3119" w:type="dxa"/>
            <w:tcBorders>
              <w:top w:val="single" w:sz="12" w:space="0" w:color="auto"/>
            </w:tcBorders>
            <w:shd w:val="clear" w:color="auto" w:fill="auto"/>
          </w:tcPr>
          <w:p w:rsidR="00283ED9" w:rsidRPr="00DD03D6" w:rsidRDefault="00095C6F" w:rsidP="00095C6F">
            <w:pPr>
              <w:suppressAutoHyphens w:val="0"/>
              <w:spacing w:before="40" w:after="40" w:line="200" w:lineRule="exact"/>
              <w:rPr>
                <w:bCs/>
                <w:noProof/>
                <w:sz w:val="18"/>
                <w:lang w:val="fr-FR"/>
              </w:rPr>
            </w:pPr>
            <w:r>
              <w:rPr>
                <w:bCs/>
                <w:noProof/>
                <w:sz w:val="18"/>
                <w:lang w:val="fr-FR"/>
              </w:rPr>
              <w:t>Maltraitance</w:t>
            </w:r>
          </w:p>
        </w:tc>
        <w:tc>
          <w:tcPr>
            <w:tcW w:w="851" w:type="dxa"/>
            <w:tcBorders>
              <w:top w:val="single" w:sz="12" w:space="0" w:color="auto"/>
            </w:tcBorders>
            <w:shd w:val="clear" w:color="auto" w:fill="auto"/>
            <w:vAlign w:val="bottom"/>
          </w:tcPr>
          <w:p w:rsidR="00283ED9" w:rsidRPr="00DD03D6" w:rsidRDefault="00283ED9" w:rsidP="00520CB9">
            <w:pPr>
              <w:suppressAutoHyphens w:val="0"/>
              <w:spacing w:before="40" w:after="40" w:line="200" w:lineRule="exact"/>
              <w:jc w:val="right"/>
              <w:rPr>
                <w:bCs/>
                <w:noProof/>
                <w:sz w:val="18"/>
                <w:lang w:val="fr-FR"/>
              </w:rPr>
            </w:pPr>
            <w:r w:rsidRPr="00DD03D6">
              <w:rPr>
                <w:bCs/>
                <w:noProof/>
                <w:sz w:val="18"/>
                <w:lang w:val="fr-FR"/>
              </w:rPr>
              <w:t>202</w:t>
            </w:r>
          </w:p>
        </w:tc>
        <w:tc>
          <w:tcPr>
            <w:tcW w:w="851" w:type="dxa"/>
            <w:tcBorders>
              <w:top w:val="single" w:sz="12" w:space="0" w:color="auto"/>
            </w:tcBorders>
            <w:shd w:val="clear" w:color="auto" w:fill="auto"/>
            <w:vAlign w:val="bottom"/>
          </w:tcPr>
          <w:p w:rsidR="00283ED9" w:rsidRPr="00DD03D6" w:rsidRDefault="00283ED9" w:rsidP="00520CB9">
            <w:pPr>
              <w:suppressAutoHyphens w:val="0"/>
              <w:spacing w:before="40" w:after="40" w:line="200" w:lineRule="exact"/>
              <w:jc w:val="right"/>
              <w:rPr>
                <w:bCs/>
                <w:noProof/>
                <w:sz w:val="18"/>
                <w:lang w:val="fr-FR"/>
              </w:rPr>
            </w:pPr>
            <w:r w:rsidRPr="00DD03D6">
              <w:rPr>
                <w:bCs/>
                <w:noProof/>
                <w:sz w:val="18"/>
                <w:lang w:val="fr-FR"/>
              </w:rPr>
              <w:t>265</w:t>
            </w:r>
          </w:p>
        </w:tc>
        <w:tc>
          <w:tcPr>
            <w:tcW w:w="851" w:type="dxa"/>
            <w:tcBorders>
              <w:top w:val="single" w:sz="12" w:space="0" w:color="auto"/>
            </w:tcBorders>
            <w:shd w:val="clear" w:color="auto" w:fill="auto"/>
            <w:vAlign w:val="bottom"/>
          </w:tcPr>
          <w:p w:rsidR="00283ED9" w:rsidRPr="00DD03D6" w:rsidRDefault="00283ED9" w:rsidP="00520CB9">
            <w:pPr>
              <w:suppressAutoHyphens w:val="0"/>
              <w:spacing w:before="40" w:after="40" w:line="200" w:lineRule="exact"/>
              <w:jc w:val="right"/>
              <w:rPr>
                <w:bCs/>
                <w:noProof/>
                <w:sz w:val="18"/>
                <w:lang w:val="fr-FR"/>
              </w:rPr>
            </w:pPr>
            <w:r w:rsidRPr="00DD03D6">
              <w:rPr>
                <w:bCs/>
                <w:noProof/>
                <w:sz w:val="18"/>
                <w:lang w:val="fr-FR"/>
              </w:rPr>
              <w:t>305</w:t>
            </w:r>
          </w:p>
        </w:tc>
        <w:tc>
          <w:tcPr>
            <w:tcW w:w="851" w:type="dxa"/>
            <w:tcBorders>
              <w:top w:val="single" w:sz="12" w:space="0" w:color="auto"/>
            </w:tcBorders>
            <w:shd w:val="clear" w:color="auto" w:fill="auto"/>
            <w:vAlign w:val="bottom"/>
          </w:tcPr>
          <w:p w:rsidR="00283ED9" w:rsidRPr="00DD03D6" w:rsidRDefault="00283ED9" w:rsidP="00520CB9">
            <w:pPr>
              <w:suppressAutoHyphens w:val="0"/>
              <w:spacing w:before="40" w:after="40" w:line="200" w:lineRule="exact"/>
              <w:jc w:val="right"/>
              <w:rPr>
                <w:bCs/>
                <w:noProof/>
                <w:sz w:val="18"/>
                <w:lang w:val="fr-FR"/>
              </w:rPr>
            </w:pPr>
            <w:r w:rsidRPr="00DD03D6">
              <w:rPr>
                <w:bCs/>
                <w:noProof/>
                <w:sz w:val="18"/>
                <w:lang w:val="fr-FR"/>
              </w:rPr>
              <w:t>772</w:t>
            </w:r>
          </w:p>
        </w:tc>
        <w:tc>
          <w:tcPr>
            <w:tcW w:w="851" w:type="dxa"/>
            <w:tcBorders>
              <w:top w:val="single" w:sz="12" w:space="0" w:color="auto"/>
            </w:tcBorders>
            <w:shd w:val="clear" w:color="auto" w:fill="auto"/>
            <w:vAlign w:val="bottom"/>
          </w:tcPr>
          <w:p w:rsidR="00283ED9" w:rsidRPr="00DD03D6" w:rsidRDefault="00283ED9" w:rsidP="00520CB9">
            <w:pPr>
              <w:suppressAutoHyphens w:val="0"/>
              <w:spacing w:before="40" w:after="40" w:line="200" w:lineRule="exact"/>
              <w:jc w:val="right"/>
              <w:rPr>
                <w:bCs/>
                <w:noProof/>
                <w:sz w:val="18"/>
                <w:lang w:val="fr-FR"/>
              </w:rPr>
            </w:pPr>
            <w:r w:rsidRPr="00DD03D6">
              <w:rPr>
                <w:bCs/>
                <w:noProof/>
                <w:sz w:val="18"/>
                <w:lang w:val="fr-FR"/>
              </w:rPr>
              <w:t>35</w:t>
            </w:r>
          </w:p>
        </w:tc>
      </w:tr>
      <w:tr w:rsidR="00D12A92" w:rsidRPr="00DD03D6" w:rsidTr="00434035">
        <w:trPr>
          <w:trHeight w:val="240"/>
        </w:trPr>
        <w:tc>
          <w:tcPr>
            <w:tcW w:w="3119" w:type="dxa"/>
            <w:shd w:val="clear" w:color="auto" w:fill="auto"/>
          </w:tcPr>
          <w:p w:rsidR="00283ED9" w:rsidRPr="00DD03D6" w:rsidRDefault="00095C6F" w:rsidP="00095C6F">
            <w:pPr>
              <w:suppressAutoHyphens w:val="0"/>
              <w:spacing w:before="40" w:after="40" w:line="200" w:lineRule="exact"/>
              <w:ind w:left="113"/>
              <w:rPr>
                <w:noProof/>
                <w:sz w:val="18"/>
                <w:lang w:val="fr-FR"/>
              </w:rPr>
            </w:pPr>
            <w:r>
              <w:rPr>
                <w:noProof/>
                <w:sz w:val="18"/>
                <w:lang w:val="fr-FR"/>
              </w:rPr>
              <w:t>Violence physique</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35</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55</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79</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169</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8</w:t>
            </w:r>
          </w:p>
        </w:tc>
      </w:tr>
      <w:tr w:rsidR="00D12A92" w:rsidRPr="00DD03D6" w:rsidTr="00434035">
        <w:trPr>
          <w:trHeight w:val="240"/>
        </w:trPr>
        <w:tc>
          <w:tcPr>
            <w:tcW w:w="3119" w:type="dxa"/>
            <w:shd w:val="clear" w:color="auto" w:fill="auto"/>
          </w:tcPr>
          <w:p w:rsidR="00283ED9" w:rsidRPr="00DD03D6" w:rsidRDefault="00095C6F" w:rsidP="00095C6F">
            <w:pPr>
              <w:suppressAutoHyphens w:val="0"/>
              <w:spacing w:before="40" w:after="40" w:line="200" w:lineRule="exact"/>
              <w:ind w:left="113"/>
              <w:rPr>
                <w:noProof/>
                <w:sz w:val="18"/>
                <w:lang w:val="fr-FR"/>
              </w:rPr>
            </w:pPr>
            <w:r>
              <w:rPr>
                <w:noProof/>
                <w:sz w:val="18"/>
                <w:lang w:val="fr-FR"/>
              </w:rPr>
              <w:t>Violence</w:t>
            </w:r>
            <w:r w:rsidRPr="00DD03D6">
              <w:rPr>
                <w:noProof/>
                <w:sz w:val="18"/>
                <w:lang w:val="fr-FR"/>
              </w:rPr>
              <w:t xml:space="preserve"> </w:t>
            </w:r>
            <w:r>
              <w:rPr>
                <w:noProof/>
                <w:sz w:val="18"/>
                <w:lang w:val="fr-FR"/>
              </w:rPr>
              <w:t>s</w:t>
            </w:r>
            <w:r w:rsidR="00283ED9" w:rsidRPr="00DD03D6">
              <w:rPr>
                <w:noProof/>
                <w:sz w:val="18"/>
                <w:lang w:val="fr-FR"/>
              </w:rPr>
              <w:t>exu</w:t>
            </w:r>
            <w:r>
              <w:rPr>
                <w:noProof/>
                <w:sz w:val="18"/>
                <w:lang w:val="fr-FR"/>
              </w:rPr>
              <w:t>elle</w:t>
            </w:r>
            <w:r w:rsidR="00283ED9" w:rsidRPr="00DD03D6">
              <w:rPr>
                <w:noProof/>
                <w:sz w:val="18"/>
                <w:lang w:val="fr-FR"/>
              </w:rPr>
              <w:t xml:space="preserve"> </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4</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20</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9</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33</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w:t>
            </w:r>
          </w:p>
        </w:tc>
      </w:tr>
      <w:tr w:rsidR="00D12A92" w:rsidRPr="00DD03D6" w:rsidTr="00434035">
        <w:trPr>
          <w:trHeight w:val="240"/>
        </w:trPr>
        <w:tc>
          <w:tcPr>
            <w:tcW w:w="3119" w:type="dxa"/>
            <w:shd w:val="clear" w:color="auto" w:fill="auto"/>
          </w:tcPr>
          <w:p w:rsidR="00283ED9" w:rsidRPr="00DD03D6" w:rsidRDefault="00095C6F" w:rsidP="00095C6F">
            <w:pPr>
              <w:suppressAutoHyphens w:val="0"/>
              <w:spacing w:before="40" w:after="40" w:line="200" w:lineRule="exact"/>
              <w:ind w:left="113"/>
              <w:rPr>
                <w:noProof/>
                <w:sz w:val="18"/>
                <w:lang w:val="fr-FR"/>
              </w:rPr>
            </w:pPr>
            <w:r>
              <w:rPr>
                <w:noProof/>
                <w:sz w:val="18"/>
                <w:lang w:val="fr-FR"/>
              </w:rPr>
              <w:t xml:space="preserve">Violence affective </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32</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21</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34</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87</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4</w:t>
            </w:r>
          </w:p>
        </w:tc>
      </w:tr>
      <w:tr w:rsidR="00D12A92" w:rsidRPr="00DD03D6" w:rsidTr="00434035">
        <w:trPr>
          <w:trHeight w:val="240"/>
        </w:trPr>
        <w:tc>
          <w:tcPr>
            <w:tcW w:w="3119" w:type="dxa"/>
            <w:shd w:val="clear" w:color="auto" w:fill="auto"/>
          </w:tcPr>
          <w:p w:rsidR="00283ED9" w:rsidRPr="00DD03D6" w:rsidRDefault="00095C6F" w:rsidP="00520CB9">
            <w:pPr>
              <w:suppressAutoHyphens w:val="0"/>
              <w:spacing w:before="40" w:after="40" w:line="200" w:lineRule="exact"/>
              <w:ind w:left="113"/>
              <w:rPr>
                <w:noProof/>
                <w:sz w:val="18"/>
                <w:lang w:val="fr-FR"/>
              </w:rPr>
            </w:pPr>
            <w:r>
              <w:rPr>
                <w:noProof/>
                <w:sz w:val="18"/>
                <w:lang w:val="fr-FR"/>
              </w:rPr>
              <w:t>Défau</w:t>
            </w:r>
            <w:r w:rsidR="00283ED9" w:rsidRPr="00DD03D6">
              <w:rPr>
                <w:noProof/>
                <w:sz w:val="18"/>
                <w:lang w:val="fr-FR"/>
              </w:rPr>
              <w:t>t</w:t>
            </w:r>
            <w:r>
              <w:rPr>
                <w:noProof/>
                <w:sz w:val="18"/>
                <w:lang w:val="fr-FR"/>
              </w:rPr>
              <w:t xml:space="preserve"> de soins</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131</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169</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183</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483</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22</w:t>
            </w:r>
          </w:p>
        </w:tc>
      </w:tr>
      <w:tr w:rsidR="00D12A92" w:rsidRPr="00DD03D6" w:rsidTr="00434035">
        <w:trPr>
          <w:trHeight w:val="240"/>
        </w:trPr>
        <w:tc>
          <w:tcPr>
            <w:tcW w:w="3119" w:type="dxa"/>
            <w:shd w:val="clear" w:color="auto" w:fill="auto"/>
          </w:tcPr>
          <w:p w:rsidR="00283ED9" w:rsidRPr="00DD03D6" w:rsidRDefault="00095C6F" w:rsidP="00095C6F">
            <w:pPr>
              <w:suppressAutoHyphens w:val="0"/>
              <w:spacing w:before="40" w:after="40" w:line="200" w:lineRule="exact"/>
              <w:rPr>
                <w:bCs/>
                <w:noProof/>
                <w:sz w:val="18"/>
                <w:lang w:val="fr-FR"/>
              </w:rPr>
            </w:pPr>
            <w:r>
              <w:rPr>
                <w:bCs/>
                <w:noProof/>
                <w:sz w:val="18"/>
                <w:lang w:val="fr-FR"/>
              </w:rPr>
              <w:t xml:space="preserve">Problèmes de l’enfant </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bCs/>
                <w:noProof/>
                <w:sz w:val="18"/>
                <w:lang w:val="fr-FR"/>
              </w:rPr>
            </w:pPr>
            <w:r w:rsidRPr="00DD03D6">
              <w:rPr>
                <w:bCs/>
                <w:noProof/>
                <w:sz w:val="18"/>
                <w:lang w:val="fr-FR"/>
              </w:rPr>
              <w:t>30</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bCs/>
                <w:noProof/>
                <w:sz w:val="18"/>
                <w:lang w:val="fr-FR"/>
              </w:rPr>
            </w:pPr>
            <w:r w:rsidRPr="00DD03D6">
              <w:rPr>
                <w:bCs/>
                <w:noProof/>
                <w:sz w:val="18"/>
                <w:lang w:val="fr-FR"/>
              </w:rPr>
              <w:t>52</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bCs/>
                <w:noProof/>
                <w:sz w:val="18"/>
                <w:lang w:val="fr-FR"/>
              </w:rPr>
            </w:pPr>
            <w:r w:rsidRPr="00DD03D6">
              <w:rPr>
                <w:bCs/>
                <w:noProof/>
                <w:sz w:val="18"/>
                <w:lang w:val="fr-FR"/>
              </w:rPr>
              <w:t>261</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bCs/>
                <w:noProof/>
                <w:sz w:val="18"/>
                <w:lang w:val="fr-FR"/>
              </w:rPr>
            </w:pPr>
            <w:r w:rsidRPr="00DD03D6">
              <w:rPr>
                <w:bCs/>
                <w:noProof/>
                <w:sz w:val="18"/>
                <w:lang w:val="fr-FR"/>
              </w:rPr>
              <w:t>343</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bCs/>
                <w:noProof/>
                <w:sz w:val="18"/>
                <w:lang w:val="fr-FR"/>
              </w:rPr>
            </w:pPr>
            <w:r w:rsidRPr="00DD03D6">
              <w:rPr>
                <w:bCs/>
                <w:noProof/>
                <w:sz w:val="18"/>
                <w:lang w:val="fr-FR"/>
              </w:rPr>
              <w:t>15</w:t>
            </w:r>
          </w:p>
        </w:tc>
      </w:tr>
      <w:tr w:rsidR="00D12A92" w:rsidRPr="00DD03D6" w:rsidTr="00434035">
        <w:trPr>
          <w:trHeight w:val="240"/>
        </w:trPr>
        <w:tc>
          <w:tcPr>
            <w:tcW w:w="3119" w:type="dxa"/>
            <w:shd w:val="clear" w:color="auto" w:fill="auto"/>
          </w:tcPr>
          <w:p w:rsidR="00283ED9" w:rsidRPr="00DD03D6" w:rsidRDefault="00095C6F" w:rsidP="00E92D3C">
            <w:pPr>
              <w:suppressAutoHyphens w:val="0"/>
              <w:spacing w:before="40" w:after="40" w:line="200" w:lineRule="exact"/>
              <w:ind w:left="113"/>
              <w:rPr>
                <w:noProof/>
                <w:sz w:val="18"/>
                <w:lang w:val="fr-FR"/>
              </w:rPr>
            </w:pPr>
            <w:r>
              <w:rPr>
                <w:noProof/>
                <w:sz w:val="18"/>
                <w:lang w:val="fr-FR"/>
              </w:rPr>
              <w:t>Enfant présentant des troubles affectifs/comportementaux</w:t>
            </w:r>
            <w:r w:rsidR="00E92D3C">
              <w:rPr>
                <w:noProof/>
                <w:sz w:val="18"/>
                <w:lang w:val="fr-FR"/>
              </w:rPr>
              <w:t xml:space="preserve"> </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13</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29</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164</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206</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9</w:t>
            </w:r>
          </w:p>
        </w:tc>
      </w:tr>
      <w:tr w:rsidR="00D12A92" w:rsidRPr="00DD03D6" w:rsidTr="00434035">
        <w:trPr>
          <w:trHeight w:val="240"/>
        </w:trPr>
        <w:tc>
          <w:tcPr>
            <w:tcW w:w="3119" w:type="dxa"/>
            <w:shd w:val="clear" w:color="auto" w:fill="auto"/>
          </w:tcPr>
          <w:p w:rsidR="00283ED9" w:rsidRPr="00DD03D6" w:rsidRDefault="00095C6F" w:rsidP="00095C6F">
            <w:pPr>
              <w:suppressAutoHyphens w:val="0"/>
              <w:spacing w:before="40" w:after="40" w:line="200" w:lineRule="exact"/>
              <w:ind w:left="113"/>
              <w:rPr>
                <w:noProof/>
                <w:sz w:val="18"/>
                <w:lang w:val="fr-FR"/>
              </w:rPr>
            </w:pPr>
            <w:r>
              <w:rPr>
                <w:noProof/>
                <w:sz w:val="18"/>
                <w:lang w:val="fr-FR"/>
              </w:rPr>
              <w:t>Enfant toxicomane</w:t>
            </w:r>
            <w:r w:rsidR="00283ED9" w:rsidRPr="00DD03D6">
              <w:rPr>
                <w:noProof/>
                <w:sz w:val="18"/>
                <w:lang w:val="fr-FR"/>
              </w:rPr>
              <w:t>/alcool</w:t>
            </w:r>
            <w:r>
              <w:rPr>
                <w:noProof/>
                <w:sz w:val="18"/>
                <w:lang w:val="fr-FR"/>
              </w:rPr>
              <w:t>ique</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4</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4</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18</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26</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w:t>
            </w:r>
          </w:p>
        </w:tc>
      </w:tr>
      <w:tr w:rsidR="00D12A92" w:rsidRPr="00DD03D6" w:rsidTr="00434035">
        <w:trPr>
          <w:trHeight w:val="240"/>
        </w:trPr>
        <w:tc>
          <w:tcPr>
            <w:tcW w:w="3119" w:type="dxa"/>
            <w:shd w:val="clear" w:color="auto" w:fill="auto"/>
          </w:tcPr>
          <w:p w:rsidR="00283ED9" w:rsidRPr="00DD03D6" w:rsidRDefault="00095C6F" w:rsidP="00095C6F">
            <w:pPr>
              <w:suppressAutoHyphens w:val="0"/>
              <w:spacing w:before="40" w:after="40" w:line="200" w:lineRule="exact"/>
              <w:ind w:left="113"/>
              <w:rPr>
                <w:noProof/>
                <w:sz w:val="18"/>
                <w:lang w:val="fr-FR"/>
              </w:rPr>
            </w:pPr>
            <w:r>
              <w:rPr>
                <w:noProof/>
                <w:sz w:val="18"/>
                <w:lang w:val="fr-FR"/>
              </w:rPr>
              <w:t>Enfant délinquant</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0</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0</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5</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5</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0</w:t>
            </w:r>
          </w:p>
        </w:tc>
      </w:tr>
      <w:tr w:rsidR="00D12A92" w:rsidRPr="00DD03D6" w:rsidTr="00434035">
        <w:trPr>
          <w:trHeight w:val="240"/>
        </w:trPr>
        <w:tc>
          <w:tcPr>
            <w:tcW w:w="3119" w:type="dxa"/>
            <w:shd w:val="clear" w:color="auto" w:fill="auto"/>
          </w:tcPr>
          <w:p w:rsidR="00283ED9" w:rsidRPr="00DD03D6" w:rsidRDefault="00406349" w:rsidP="00406349">
            <w:pPr>
              <w:suppressAutoHyphens w:val="0"/>
              <w:spacing w:before="40" w:after="40" w:line="200" w:lineRule="exact"/>
              <w:ind w:left="113"/>
              <w:rPr>
                <w:noProof/>
                <w:sz w:val="18"/>
                <w:lang w:val="fr-FR"/>
              </w:rPr>
            </w:pPr>
            <w:r>
              <w:rPr>
                <w:noProof/>
                <w:sz w:val="18"/>
                <w:lang w:val="fr-FR"/>
              </w:rPr>
              <w:t xml:space="preserve">Grossesse </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0</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6</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7</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0</w:t>
            </w:r>
          </w:p>
        </w:tc>
      </w:tr>
      <w:tr w:rsidR="00D12A92" w:rsidRPr="00DD03D6" w:rsidTr="00434035">
        <w:trPr>
          <w:trHeight w:val="240"/>
        </w:trPr>
        <w:tc>
          <w:tcPr>
            <w:tcW w:w="3119" w:type="dxa"/>
            <w:shd w:val="clear" w:color="auto" w:fill="auto"/>
          </w:tcPr>
          <w:p w:rsidR="00283ED9" w:rsidRPr="00DD03D6" w:rsidRDefault="00406349" w:rsidP="00406349">
            <w:pPr>
              <w:suppressAutoHyphens w:val="0"/>
              <w:spacing w:before="40" w:after="40" w:line="200" w:lineRule="exact"/>
              <w:ind w:left="113"/>
              <w:rPr>
                <w:noProof/>
                <w:sz w:val="18"/>
                <w:lang w:val="fr-FR"/>
              </w:rPr>
            </w:pPr>
            <w:r>
              <w:rPr>
                <w:noProof/>
                <w:sz w:val="18"/>
                <w:lang w:val="fr-FR"/>
              </w:rPr>
              <w:t>Maladie physique</w:t>
            </w:r>
            <w:r w:rsidR="00283ED9" w:rsidRPr="00DD03D6">
              <w:rPr>
                <w:noProof/>
                <w:sz w:val="18"/>
                <w:lang w:val="fr-FR"/>
              </w:rPr>
              <w:t>/</w:t>
            </w:r>
            <w:r>
              <w:rPr>
                <w:noProof/>
                <w:sz w:val="18"/>
                <w:lang w:val="fr-FR"/>
              </w:rPr>
              <w:t xml:space="preserve">handicap </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3</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3</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14</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20</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w:t>
            </w:r>
          </w:p>
        </w:tc>
      </w:tr>
      <w:tr w:rsidR="00D12A92" w:rsidRPr="00DD03D6" w:rsidTr="00434035">
        <w:trPr>
          <w:trHeight w:val="240"/>
        </w:trPr>
        <w:tc>
          <w:tcPr>
            <w:tcW w:w="3119" w:type="dxa"/>
            <w:shd w:val="clear" w:color="auto" w:fill="auto"/>
          </w:tcPr>
          <w:p w:rsidR="00283ED9" w:rsidRPr="00DD03D6" w:rsidRDefault="00406349" w:rsidP="00406349">
            <w:pPr>
              <w:suppressAutoHyphens w:val="0"/>
              <w:spacing w:before="40" w:after="40" w:line="200" w:lineRule="exact"/>
              <w:ind w:left="113"/>
              <w:rPr>
                <w:noProof/>
                <w:sz w:val="18"/>
                <w:lang w:val="fr-FR"/>
              </w:rPr>
            </w:pPr>
            <w:r>
              <w:rPr>
                <w:noProof/>
                <w:sz w:val="18"/>
                <w:lang w:val="fr-FR"/>
              </w:rPr>
              <w:t>Troubles mentaux</w:t>
            </w:r>
            <w:r w:rsidR="00283ED9" w:rsidRPr="00DD03D6">
              <w:rPr>
                <w:noProof/>
                <w:sz w:val="18"/>
                <w:lang w:val="fr-FR"/>
              </w:rPr>
              <w:t>/</w:t>
            </w:r>
            <w:r>
              <w:rPr>
                <w:noProof/>
                <w:sz w:val="18"/>
                <w:lang w:val="fr-FR"/>
              </w:rPr>
              <w:t>handicap intellectue</w:t>
            </w:r>
            <w:r w:rsidR="00283ED9" w:rsidRPr="00DD03D6">
              <w:rPr>
                <w:noProof/>
                <w:sz w:val="18"/>
                <w:lang w:val="fr-FR"/>
              </w:rPr>
              <w:t xml:space="preserve">l </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6</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9</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16</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w:t>
            </w:r>
          </w:p>
        </w:tc>
      </w:tr>
      <w:tr w:rsidR="00D12A92" w:rsidRPr="00DD03D6" w:rsidTr="00434035">
        <w:trPr>
          <w:trHeight w:val="240"/>
        </w:trPr>
        <w:tc>
          <w:tcPr>
            <w:tcW w:w="3119" w:type="dxa"/>
            <w:shd w:val="clear" w:color="auto" w:fill="auto"/>
          </w:tcPr>
          <w:p w:rsidR="00283ED9" w:rsidRPr="00DD03D6" w:rsidRDefault="00406349" w:rsidP="00406349">
            <w:pPr>
              <w:suppressAutoHyphens w:val="0"/>
              <w:spacing w:before="40" w:after="40" w:line="200" w:lineRule="exact"/>
              <w:ind w:left="113"/>
              <w:rPr>
                <w:noProof/>
                <w:sz w:val="18"/>
                <w:lang w:val="fr-FR"/>
              </w:rPr>
            </w:pPr>
            <w:r>
              <w:rPr>
                <w:noProof/>
                <w:sz w:val="18"/>
                <w:lang w:val="fr-FR"/>
              </w:rPr>
              <w:t>Autres cas</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9</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9</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45</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63</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3</w:t>
            </w:r>
          </w:p>
        </w:tc>
      </w:tr>
      <w:tr w:rsidR="00D12A92" w:rsidRPr="00DD03D6" w:rsidTr="00434035">
        <w:trPr>
          <w:trHeight w:val="240"/>
        </w:trPr>
        <w:tc>
          <w:tcPr>
            <w:tcW w:w="3119" w:type="dxa"/>
            <w:shd w:val="clear" w:color="auto" w:fill="auto"/>
          </w:tcPr>
          <w:p w:rsidR="00283ED9" w:rsidRPr="00DD03D6" w:rsidRDefault="00406349" w:rsidP="00406349">
            <w:pPr>
              <w:keepNext/>
              <w:suppressAutoHyphens w:val="0"/>
              <w:spacing w:before="40" w:after="40" w:line="200" w:lineRule="exact"/>
              <w:rPr>
                <w:bCs/>
                <w:noProof/>
                <w:sz w:val="18"/>
                <w:lang w:val="fr-FR"/>
              </w:rPr>
            </w:pPr>
            <w:r>
              <w:rPr>
                <w:bCs/>
                <w:noProof/>
                <w:sz w:val="18"/>
                <w:lang w:val="fr-FR"/>
              </w:rPr>
              <w:t xml:space="preserve">Problèmes familiaux </w:t>
            </w:r>
          </w:p>
        </w:tc>
        <w:tc>
          <w:tcPr>
            <w:tcW w:w="851" w:type="dxa"/>
            <w:shd w:val="clear" w:color="auto" w:fill="auto"/>
            <w:vAlign w:val="bottom"/>
          </w:tcPr>
          <w:p w:rsidR="00283ED9" w:rsidRPr="00DD03D6" w:rsidRDefault="00283ED9" w:rsidP="00520CB9">
            <w:pPr>
              <w:keepNext/>
              <w:suppressAutoHyphens w:val="0"/>
              <w:spacing w:before="40" w:after="40" w:line="200" w:lineRule="exact"/>
              <w:jc w:val="right"/>
              <w:rPr>
                <w:bCs/>
                <w:noProof/>
                <w:sz w:val="18"/>
                <w:lang w:val="fr-FR"/>
              </w:rPr>
            </w:pPr>
            <w:r w:rsidRPr="00DD03D6">
              <w:rPr>
                <w:bCs/>
                <w:noProof/>
                <w:sz w:val="18"/>
                <w:lang w:val="fr-FR"/>
              </w:rPr>
              <w:t>108</w:t>
            </w:r>
          </w:p>
        </w:tc>
        <w:tc>
          <w:tcPr>
            <w:tcW w:w="851" w:type="dxa"/>
            <w:shd w:val="clear" w:color="auto" w:fill="auto"/>
            <w:vAlign w:val="bottom"/>
          </w:tcPr>
          <w:p w:rsidR="00283ED9" w:rsidRPr="00DD03D6" w:rsidRDefault="00283ED9" w:rsidP="00520CB9">
            <w:pPr>
              <w:keepNext/>
              <w:suppressAutoHyphens w:val="0"/>
              <w:spacing w:before="40" w:after="40" w:line="200" w:lineRule="exact"/>
              <w:jc w:val="right"/>
              <w:rPr>
                <w:bCs/>
                <w:noProof/>
                <w:sz w:val="18"/>
                <w:lang w:val="fr-FR"/>
              </w:rPr>
            </w:pPr>
            <w:r w:rsidRPr="00DD03D6">
              <w:rPr>
                <w:bCs/>
                <w:noProof/>
                <w:sz w:val="18"/>
                <w:lang w:val="fr-FR"/>
              </w:rPr>
              <w:t>179</w:t>
            </w:r>
          </w:p>
        </w:tc>
        <w:tc>
          <w:tcPr>
            <w:tcW w:w="851" w:type="dxa"/>
            <w:shd w:val="clear" w:color="auto" w:fill="auto"/>
            <w:vAlign w:val="bottom"/>
          </w:tcPr>
          <w:p w:rsidR="00283ED9" w:rsidRPr="00DD03D6" w:rsidRDefault="00283ED9" w:rsidP="00520CB9">
            <w:pPr>
              <w:keepNext/>
              <w:suppressAutoHyphens w:val="0"/>
              <w:spacing w:before="40" w:after="40" w:line="200" w:lineRule="exact"/>
              <w:jc w:val="right"/>
              <w:rPr>
                <w:bCs/>
                <w:noProof/>
                <w:sz w:val="18"/>
                <w:lang w:val="fr-FR"/>
              </w:rPr>
            </w:pPr>
            <w:r w:rsidRPr="00DD03D6">
              <w:rPr>
                <w:bCs/>
                <w:noProof/>
                <w:sz w:val="18"/>
                <w:lang w:val="fr-FR"/>
              </w:rPr>
              <w:t>816</w:t>
            </w:r>
          </w:p>
        </w:tc>
        <w:tc>
          <w:tcPr>
            <w:tcW w:w="851" w:type="dxa"/>
            <w:shd w:val="clear" w:color="auto" w:fill="auto"/>
            <w:vAlign w:val="bottom"/>
          </w:tcPr>
          <w:p w:rsidR="00283ED9" w:rsidRPr="00DD03D6" w:rsidRDefault="00283ED9" w:rsidP="0008623E">
            <w:pPr>
              <w:keepNext/>
              <w:suppressAutoHyphens w:val="0"/>
              <w:spacing w:before="40" w:after="40" w:line="200" w:lineRule="exact"/>
              <w:jc w:val="right"/>
              <w:rPr>
                <w:bCs/>
                <w:noProof/>
                <w:sz w:val="18"/>
                <w:lang w:val="fr-FR"/>
              </w:rPr>
            </w:pPr>
            <w:r w:rsidRPr="00DD03D6">
              <w:rPr>
                <w:bCs/>
                <w:noProof/>
                <w:sz w:val="18"/>
                <w:lang w:val="fr-FR"/>
              </w:rPr>
              <w:t>1</w:t>
            </w:r>
            <w:r w:rsidR="0008623E">
              <w:rPr>
                <w:bCs/>
                <w:noProof/>
                <w:sz w:val="18"/>
                <w:lang w:val="fr-FR"/>
              </w:rPr>
              <w:t xml:space="preserve"> </w:t>
            </w:r>
            <w:r w:rsidRPr="00DD03D6">
              <w:rPr>
                <w:bCs/>
                <w:noProof/>
                <w:sz w:val="18"/>
                <w:lang w:val="fr-FR"/>
              </w:rPr>
              <w:t>103</w:t>
            </w:r>
          </w:p>
        </w:tc>
        <w:tc>
          <w:tcPr>
            <w:tcW w:w="851" w:type="dxa"/>
            <w:shd w:val="clear" w:color="auto" w:fill="auto"/>
            <w:vAlign w:val="bottom"/>
          </w:tcPr>
          <w:p w:rsidR="00283ED9" w:rsidRPr="00DD03D6" w:rsidRDefault="00283ED9" w:rsidP="00520CB9">
            <w:pPr>
              <w:keepNext/>
              <w:suppressAutoHyphens w:val="0"/>
              <w:spacing w:before="40" w:after="40" w:line="200" w:lineRule="exact"/>
              <w:jc w:val="right"/>
              <w:rPr>
                <w:bCs/>
                <w:noProof/>
                <w:sz w:val="18"/>
                <w:lang w:val="fr-FR"/>
              </w:rPr>
            </w:pPr>
            <w:r w:rsidRPr="00DD03D6">
              <w:rPr>
                <w:bCs/>
                <w:noProof/>
                <w:sz w:val="18"/>
                <w:lang w:val="fr-FR"/>
              </w:rPr>
              <w:t>50</w:t>
            </w:r>
          </w:p>
        </w:tc>
      </w:tr>
      <w:tr w:rsidR="00D12A92" w:rsidRPr="00DD03D6" w:rsidTr="00434035">
        <w:trPr>
          <w:trHeight w:val="240"/>
        </w:trPr>
        <w:tc>
          <w:tcPr>
            <w:tcW w:w="3119" w:type="dxa"/>
            <w:shd w:val="clear" w:color="auto" w:fill="auto"/>
          </w:tcPr>
          <w:p w:rsidR="00283ED9" w:rsidRPr="00DD03D6" w:rsidRDefault="00406349" w:rsidP="00386641">
            <w:pPr>
              <w:keepNext/>
              <w:suppressAutoHyphens w:val="0"/>
              <w:spacing w:before="40" w:after="40" w:line="200" w:lineRule="exact"/>
              <w:ind w:left="113"/>
              <w:rPr>
                <w:noProof/>
                <w:sz w:val="18"/>
                <w:lang w:val="fr-FR"/>
              </w:rPr>
            </w:pPr>
            <w:r w:rsidRPr="00406349">
              <w:rPr>
                <w:noProof/>
                <w:sz w:val="18"/>
                <w:szCs w:val="18"/>
                <w:lang w:val="fr-FR"/>
              </w:rPr>
              <w:t>Parent incapable de faire face/difficultés familiales liées au logement/finances, etc</w:t>
            </w:r>
            <w:r w:rsidR="00283ED9" w:rsidRPr="00DD03D6">
              <w:rPr>
                <w:noProof/>
                <w:sz w:val="18"/>
                <w:lang w:val="fr-FR"/>
              </w:rPr>
              <w:t>.</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16</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43</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421</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480</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22</w:t>
            </w:r>
          </w:p>
        </w:tc>
      </w:tr>
      <w:tr w:rsidR="00D12A92" w:rsidRPr="00DD03D6" w:rsidTr="00434035">
        <w:trPr>
          <w:trHeight w:val="240"/>
        </w:trPr>
        <w:tc>
          <w:tcPr>
            <w:tcW w:w="3119" w:type="dxa"/>
            <w:shd w:val="clear" w:color="auto" w:fill="auto"/>
          </w:tcPr>
          <w:p w:rsidR="00283ED9" w:rsidRPr="00DD03D6" w:rsidRDefault="00406349" w:rsidP="00406349">
            <w:pPr>
              <w:suppressAutoHyphens w:val="0"/>
              <w:spacing w:before="40" w:after="40" w:line="200" w:lineRule="exact"/>
              <w:ind w:left="113"/>
              <w:rPr>
                <w:noProof/>
                <w:sz w:val="18"/>
                <w:lang w:val="fr-FR"/>
              </w:rPr>
            </w:pPr>
            <w:r>
              <w:rPr>
                <w:noProof/>
                <w:sz w:val="18"/>
                <w:lang w:val="fr-FR"/>
              </w:rPr>
              <w:t>Membre de la famille toxicomane</w:t>
            </w:r>
            <w:r w:rsidR="00283ED9" w:rsidRPr="00DD03D6">
              <w:rPr>
                <w:noProof/>
                <w:sz w:val="18"/>
                <w:lang w:val="fr-FR"/>
              </w:rPr>
              <w:t>/alcool</w:t>
            </w:r>
            <w:r>
              <w:rPr>
                <w:noProof/>
                <w:sz w:val="18"/>
                <w:lang w:val="fr-FR"/>
              </w:rPr>
              <w:t>ique</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39</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77</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146</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262</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12</w:t>
            </w:r>
          </w:p>
        </w:tc>
      </w:tr>
      <w:tr w:rsidR="00D12A92" w:rsidRPr="00DD03D6" w:rsidTr="00434035">
        <w:trPr>
          <w:trHeight w:val="240"/>
        </w:trPr>
        <w:tc>
          <w:tcPr>
            <w:tcW w:w="3119" w:type="dxa"/>
            <w:shd w:val="clear" w:color="auto" w:fill="auto"/>
          </w:tcPr>
          <w:p w:rsidR="00283ED9" w:rsidRPr="00DD03D6" w:rsidRDefault="00406349" w:rsidP="00406349">
            <w:pPr>
              <w:suppressAutoHyphens w:val="0"/>
              <w:spacing w:before="40" w:after="40" w:line="200" w:lineRule="exact"/>
              <w:ind w:left="113"/>
              <w:rPr>
                <w:noProof/>
                <w:sz w:val="18"/>
                <w:lang w:val="fr-FR"/>
              </w:rPr>
            </w:pPr>
            <w:r>
              <w:rPr>
                <w:noProof/>
                <w:sz w:val="18"/>
                <w:lang w:val="fr-FR"/>
              </w:rPr>
              <w:t>V</w:t>
            </w:r>
            <w:r w:rsidR="00283ED9" w:rsidRPr="00DD03D6">
              <w:rPr>
                <w:noProof/>
                <w:sz w:val="18"/>
                <w:lang w:val="fr-FR"/>
              </w:rPr>
              <w:t>iolence</w:t>
            </w:r>
            <w:r>
              <w:rPr>
                <w:noProof/>
                <w:sz w:val="18"/>
                <w:lang w:val="fr-FR"/>
              </w:rPr>
              <w:t xml:space="preserve"> familiale</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8</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14</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12</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34</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2</w:t>
            </w:r>
          </w:p>
        </w:tc>
      </w:tr>
      <w:tr w:rsidR="00D12A92" w:rsidRPr="00DD03D6" w:rsidTr="00434035">
        <w:trPr>
          <w:trHeight w:val="240"/>
        </w:trPr>
        <w:tc>
          <w:tcPr>
            <w:tcW w:w="3119" w:type="dxa"/>
            <w:shd w:val="clear" w:color="auto" w:fill="auto"/>
          </w:tcPr>
          <w:p w:rsidR="00283ED9" w:rsidRPr="00DD03D6" w:rsidRDefault="00406349" w:rsidP="00E92D3C">
            <w:pPr>
              <w:suppressAutoHyphens w:val="0"/>
              <w:spacing w:before="40" w:after="40" w:line="200" w:lineRule="exact"/>
              <w:ind w:left="113"/>
              <w:rPr>
                <w:noProof/>
                <w:sz w:val="18"/>
                <w:lang w:val="fr-FR"/>
              </w:rPr>
            </w:pPr>
            <w:r>
              <w:rPr>
                <w:noProof/>
                <w:sz w:val="18"/>
                <w:lang w:val="fr-FR"/>
              </w:rPr>
              <w:t>Maladie physique</w:t>
            </w:r>
            <w:r w:rsidRPr="00DD03D6">
              <w:rPr>
                <w:noProof/>
                <w:sz w:val="18"/>
                <w:lang w:val="fr-FR"/>
              </w:rPr>
              <w:t>/</w:t>
            </w:r>
            <w:r>
              <w:rPr>
                <w:noProof/>
                <w:sz w:val="18"/>
                <w:lang w:val="fr-FR"/>
              </w:rPr>
              <w:t>handicap</w:t>
            </w:r>
            <w:r w:rsidR="00E92D3C">
              <w:rPr>
                <w:noProof/>
                <w:sz w:val="18"/>
                <w:lang w:val="fr-FR"/>
              </w:rPr>
              <w:t xml:space="preserve"> </w:t>
            </w:r>
            <w:r>
              <w:rPr>
                <w:noProof/>
                <w:sz w:val="18"/>
                <w:lang w:val="fr-FR"/>
              </w:rPr>
              <w:t xml:space="preserve">d’un autre membre de la famille </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3</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27</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31</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w:t>
            </w:r>
          </w:p>
        </w:tc>
      </w:tr>
      <w:tr w:rsidR="00D12A92" w:rsidRPr="00DD03D6" w:rsidTr="00434035">
        <w:trPr>
          <w:trHeight w:val="240"/>
        </w:trPr>
        <w:tc>
          <w:tcPr>
            <w:tcW w:w="3119" w:type="dxa"/>
            <w:shd w:val="clear" w:color="auto" w:fill="auto"/>
          </w:tcPr>
          <w:p w:rsidR="00283ED9" w:rsidRPr="00DD03D6" w:rsidRDefault="00406349" w:rsidP="00386641">
            <w:pPr>
              <w:keepNext/>
              <w:suppressAutoHyphens w:val="0"/>
              <w:spacing w:before="40" w:after="40" w:line="200" w:lineRule="exact"/>
              <w:ind w:left="113"/>
              <w:rPr>
                <w:noProof/>
                <w:sz w:val="18"/>
                <w:lang w:val="fr-FR"/>
              </w:rPr>
            </w:pPr>
            <w:r>
              <w:rPr>
                <w:noProof/>
                <w:sz w:val="18"/>
                <w:lang w:val="fr-FR"/>
              </w:rPr>
              <w:lastRenderedPageBreak/>
              <w:t>Troubles mentaux</w:t>
            </w:r>
            <w:r w:rsidRPr="00DD03D6">
              <w:rPr>
                <w:noProof/>
                <w:sz w:val="18"/>
                <w:lang w:val="fr-FR"/>
              </w:rPr>
              <w:t>/</w:t>
            </w:r>
            <w:r>
              <w:rPr>
                <w:noProof/>
                <w:sz w:val="18"/>
                <w:lang w:val="fr-FR"/>
              </w:rPr>
              <w:t>handicap intellectue</w:t>
            </w:r>
            <w:r w:rsidRPr="00DD03D6">
              <w:rPr>
                <w:noProof/>
                <w:sz w:val="18"/>
                <w:lang w:val="fr-FR"/>
              </w:rPr>
              <w:t xml:space="preserve">l </w:t>
            </w:r>
            <w:r>
              <w:rPr>
                <w:noProof/>
                <w:sz w:val="18"/>
                <w:lang w:val="fr-FR"/>
              </w:rPr>
              <w:t>d’un autre membre de la famille</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24</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16</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94</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134</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6</w:t>
            </w:r>
          </w:p>
        </w:tc>
      </w:tr>
      <w:tr w:rsidR="00D12A92" w:rsidRPr="00DD03D6" w:rsidTr="00434035">
        <w:trPr>
          <w:trHeight w:val="240"/>
        </w:trPr>
        <w:tc>
          <w:tcPr>
            <w:tcW w:w="3119" w:type="dxa"/>
            <w:shd w:val="clear" w:color="auto" w:fill="auto"/>
          </w:tcPr>
          <w:p w:rsidR="00283ED9" w:rsidRPr="00DD03D6" w:rsidRDefault="00406349" w:rsidP="00406349">
            <w:pPr>
              <w:suppressAutoHyphens w:val="0"/>
              <w:spacing w:before="40" w:after="40" w:line="200" w:lineRule="exact"/>
              <w:ind w:left="113"/>
              <w:rPr>
                <w:noProof/>
                <w:sz w:val="18"/>
                <w:lang w:val="fr-FR"/>
              </w:rPr>
            </w:pPr>
            <w:r>
              <w:rPr>
                <w:noProof/>
                <w:sz w:val="18"/>
                <w:lang w:val="fr-FR"/>
              </w:rPr>
              <w:t xml:space="preserve">Enfants séparés demandeurs d’asile </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0</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5</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4</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9</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0</w:t>
            </w:r>
          </w:p>
        </w:tc>
      </w:tr>
      <w:tr w:rsidR="00D12A92" w:rsidRPr="00DD03D6" w:rsidTr="00434035">
        <w:trPr>
          <w:trHeight w:val="240"/>
        </w:trPr>
        <w:tc>
          <w:tcPr>
            <w:tcW w:w="3119" w:type="dxa"/>
            <w:shd w:val="clear" w:color="auto" w:fill="auto"/>
          </w:tcPr>
          <w:p w:rsidR="00283ED9" w:rsidRPr="00DD03D6" w:rsidRDefault="00406349" w:rsidP="00520CB9">
            <w:pPr>
              <w:suppressAutoHyphens w:val="0"/>
              <w:spacing w:before="40" w:after="40" w:line="200" w:lineRule="exact"/>
              <w:ind w:left="113"/>
              <w:rPr>
                <w:noProof/>
                <w:sz w:val="18"/>
                <w:lang w:val="fr-FR"/>
              </w:rPr>
            </w:pPr>
            <w:r>
              <w:rPr>
                <w:noProof/>
                <w:sz w:val="18"/>
                <w:lang w:val="fr-FR"/>
              </w:rPr>
              <w:t>Autres cas</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18</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23</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112</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153</w:t>
            </w:r>
          </w:p>
        </w:tc>
        <w:tc>
          <w:tcPr>
            <w:tcW w:w="851" w:type="dxa"/>
            <w:shd w:val="clear" w:color="auto" w:fill="auto"/>
            <w:vAlign w:val="bottom"/>
          </w:tcPr>
          <w:p w:rsidR="00283ED9" w:rsidRPr="00DD03D6" w:rsidRDefault="00283ED9" w:rsidP="00520CB9">
            <w:pPr>
              <w:suppressAutoHyphens w:val="0"/>
              <w:spacing w:before="40" w:after="40" w:line="200" w:lineRule="exact"/>
              <w:jc w:val="right"/>
              <w:rPr>
                <w:noProof/>
                <w:sz w:val="18"/>
                <w:lang w:val="fr-FR"/>
              </w:rPr>
            </w:pPr>
            <w:r w:rsidRPr="00DD03D6">
              <w:rPr>
                <w:noProof/>
                <w:sz w:val="18"/>
                <w:lang w:val="fr-FR"/>
              </w:rPr>
              <w:t>7</w:t>
            </w:r>
          </w:p>
        </w:tc>
      </w:tr>
      <w:tr w:rsidR="00D12A92" w:rsidRPr="00DD03D6" w:rsidTr="00434035">
        <w:trPr>
          <w:trHeight w:val="240"/>
        </w:trPr>
        <w:tc>
          <w:tcPr>
            <w:tcW w:w="3119" w:type="dxa"/>
            <w:tcBorders>
              <w:top w:val="single" w:sz="4" w:space="0" w:color="auto"/>
              <w:bottom w:val="single" w:sz="4" w:space="0" w:color="auto"/>
            </w:tcBorders>
            <w:shd w:val="clear" w:color="auto" w:fill="auto"/>
          </w:tcPr>
          <w:p w:rsidR="00283ED9" w:rsidRPr="00DD03D6" w:rsidRDefault="00283ED9" w:rsidP="0054762D">
            <w:pPr>
              <w:pStyle w:val="SIDFootnote"/>
              <w:keepNext w:val="0"/>
              <w:spacing w:before="60" w:after="60" w:line="220" w:lineRule="exact"/>
              <w:ind w:left="284"/>
              <w:rPr>
                <w:rFonts w:ascii="Times New Roman" w:eastAsia="Times New Roman" w:hAnsi="Times New Roman" w:cs="Times New Roman"/>
                <w:b/>
                <w:noProof/>
                <w:kern w:val="0"/>
                <w:szCs w:val="22"/>
                <w:lang w:val="fr-FR" w:eastAsia="en-US"/>
              </w:rPr>
            </w:pPr>
            <w:r w:rsidRPr="00DD03D6">
              <w:rPr>
                <w:rFonts w:ascii="Times New Roman" w:eastAsia="Times New Roman" w:hAnsi="Times New Roman" w:cs="Times New Roman"/>
                <w:b/>
                <w:noProof/>
                <w:kern w:val="0"/>
                <w:szCs w:val="22"/>
                <w:lang w:val="fr-FR" w:eastAsia="en-US"/>
              </w:rPr>
              <w:t>Total</w:t>
            </w:r>
          </w:p>
        </w:tc>
        <w:tc>
          <w:tcPr>
            <w:tcW w:w="851" w:type="dxa"/>
            <w:tcBorders>
              <w:top w:val="single" w:sz="4" w:space="0" w:color="auto"/>
              <w:bottom w:val="single" w:sz="4" w:space="0" w:color="auto"/>
            </w:tcBorders>
            <w:shd w:val="clear" w:color="auto" w:fill="auto"/>
            <w:vAlign w:val="bottom"/>
          </w:tcPr>
          <w:p w:rsidR="00283ED9" w:rsidRPr="00DD03D6" w:rsidRDefault="00283ED9" w:rsidP="0054762D">
            <w:pPr>
              <w:suppressAutoHyphens w:val="0"/>
              <w:spacing w:before="60" w:after="60" w:line="220" w:lineRule="exact"/>
              <w:jc w:val="right"/>
              <w:rPr>
                <w:b/>
                <w:noProof/>
                <w:sz w:val="18"/>
                <w:lang w:val="fr-FR"/>
              </w:rPr>
            </w:pPr>
            <w:r w:rsidRPr="00DD03D6">
              <w:rPr>
                <w:b/>
                <w:noProof/>
                <w:sz w:val="18"/>
                <w:lang w:val="fr-FR"/>
              </w:rPr>
              <w:t>340</w:t>
            </w:r>
          </w:p>
        </w:tc>
        <w:tc>
          <w:tcPr>
            <w:tcW w:w="851" w:type="dxa"/>
            <w:tcBorders>
              <w:top w:val="single" w:sz="4" w:space="0" w:color="auto"/>
              <w:bottom w:val="single" w:sz="4" w:space="0" w:color="auto"/>
            </w:tcBorders>
            <w:shd w:val="clear" w:color="auto" w:fill="auto"/>
            <w:vAlign w:val="bottom"/>
          </w:tcPr>
          <w:p w:rsidR="00283ED9" w:rsidRPr="00DD03D6" w:rsidRDefault="00283ED9" w:rsidP="0054762D">
            <w:pPr>
              <w:suppressAutoHyphens w:val="0"/>
              <w:spacing w:before="60" w:after="60" w:line="220" w:lineRule="exact"/>
              <w:jc w:val="right"/>
              <w:rPr>
                <w:b/>
                <w:noProof/>
                <w:sz w:val="18"/>
                <w:lang w:val="fr-FR"/>
              </w:rPr>
            </w:pPr>
            <w:r w:rsidRPr="00DD03D6">
              <w:rPr>
                <w:b/>
                <w:noProof/>
                <w:sz w:val="18"/>
                <w:lang w:val="fr-FR"/>
              </w:rPr>
              <w:t>496</w:t>
            </w:r>
          </w:p>
        </w:tc>
        <w:tc>
          <w:tcPr>
            <w:tcW w:w="851" w:type="dxa"/>
            <w:tcBorders>
              <w:top w:val="single" w:sz="4" w:space="0" w:color="auto"/>
              <w:bottom w:val="single" w:sz="4" w:space="0" w:color="auto"/>
            </w:tcBorders>
            <w:shd w:val="clear" w:color="auto" w:fill="auto"/>
            <w:vAlign w:val="bottom"/>
          </w:tcPr>
          <w:p w:rsidR="00283ED9" w:rsidRPr="00DD03D6" w:rsidRDefault="00283ED9" w:rsidP="0008623E">
            <w:pPr>
              <w:suppressAutoHyphens w:val="0"/>
              <w:spacing w:before="60" w:after="60" w:line="220" w:lineRule="exact"/>
              <w:jc w:val="right"/>
              <w:rPr>
                <w:b/>
                <w:noProof/>
                <w:sz w:val="18"/>
                <w:lang w:val="fr-FR"/>
              </w:rPr>
            </w:pPr>
            <w:r w:rsidRPr="00DD03D6">
              <w:rPr>
                <w:b/>
                <w:noProof/>
                <w:sz w:val="18"/>
                <w:lang w:val="fr-FR"/>
              </w:rPr>
              <w:t>1</w:t>
            </w:r>
            <w:r w:rsidR="0008623E">
              <w:rPr>
                <w:b/>
                <w:noProof/>
                <w:sz w:val="18"/>
                <w:lang w:val="fr-FR"/>
              </w:rPr>
              <w:t xml:space="preserve"> </w:t>
            </w:r>
            <w:r w:rsidRPr="00DD03D6">
              <w:rPr>
                <w:b/>
                <w:noProof/>
                <w:sz w:val="18"/>
                <w:lang w:val="fr-FR"/>
              </w:rPr>
              <w:t>382</w:t>
            </w:r>
          </w:p>
        </w:tc>
        <w:tc>
          <w:tcPr>
            <w:tcW w:w="851" w:type="dxa"/>
            <w:tcBorders>
              <w:top w:val="single" w:sz="4" w:space="0" w:color="auto"/>
              <w:bottom w:val="single" w:sz="4" w:space="0" w:color="auto"/>
            </w:tcBorders>
            <w:shd w:val="clear" w:color="auto" w:fill="auto"/>
            <w:vAlign w:val="bottom"/>
          </w:tcPr>
          <w:p w:rsidR="00283ED9" w:rsidRPr="00DD03D6" w:rsidRDefault="00283ED9" w:rsidP="0008623E">
            <w:pPr>
              <w:suppressAutoHyphens w:val="0"/>
              <w:spacing w:before="60" w:after="60" w:line="220" w:lineRule="exact"/>
              <w:jc w:val="right"/>
              <w:rPr>
                <w:b/>
                <w:noProof/>
                <w:sz w:val="18"/>
                <w:lang w:val="fr-FR"/>
              </w:rPr>
            </w:pPr>
            <w:r w:rsidRPr="00DD03D6">
              <w:rPr>
                <w:b/>
                <w:noProof/>
                <w:sz w:val="18"/>
                <w:lang w:val="fr-FR"/>
              </w:rPr>
              <w:t>2</w:t>
            </w:r>
            <w:r w:rsidR="0008623E">
              <w:rPr>
                <w:b/>
                <w:noProof/>
                <w:sz w:val="18"/>
                <w:lang w:val="fr-FR"/>
              </w:rPr>
              <w:t xml:space="preserve"> </w:t>
            </w:r>
            <w:r w:rsidRPr="00DD03D6">
              <w:rPr>
                <w:b/>
                <w:noProof/>
                <w:sz w:val="18"/>
                <w:lang w:val="fr-FR"/>
              </w:rPr>
              <w:t>218</w:t>
            </w:r>
          </w:p>
        </w:tc>
        <w:tc>
          <w:tcPr>
            <w:tcW w:w="851" w:type="dxa"/>
            <w:tcBorders>
              <w:top w:val="single" w:sz="4" w:space="0" w:color="auto"/>
              <w:bottom w:val="single" w:sz="4" w:space="0" w:color="auto"/>
            </w:tcBorders>
            <w:shd w:val="clear" w:color="auto" w:fill="auto"/>
            <w:vAlign w:val="bottom"/>
          </w:tcPr>
          <w:p w:rsidR="00283ED9" w:rsidRPr="00DD03D6" w:rsidRDefault="00283ED9" w:rsidP="0054762D">
            <w:pPr>
              <w:suppressAutoHyphens w:val="0"/>
              <w:spacing w:before="60" w:after="60" w:line="220" w:lineRule="exact"/>
              <w:jc w:val="right"/>
              <w:rPr>
                <w:b/>
                <w:noProof/>
                <w:sz w:val="18"/>
                <w:lang w:val="fr-FR"/>
              </w:rPr>
            </w:pPr>
            <w:r w:rsidRPr="00DD03D6">
              <w:rPr>
                <w:b/>
                <w:noProof/>
                <w:sz w:val="18"/>
                <w:lang w:val="fr-FR"/>
              </w:rPr>
              <w:t>100</w:t>
            </w:r>
            <w:r w:rsidR="003F1ADB">
              <w:rPr>
                <w:b/>
                <w:noProof/>
                <w:sz w:val="18"/>
                <w:lang w:val="fr-FR"/>
              </w:rPr>
              <w:t> %</w:t>
            </w:r>
          </w:p>
        </w:tc>
      </w:tr>
      <w:tr w:rsidR="00D12A92" w:rsidRPr="00DD03D6" w:rsidTr="00434035">
        <w:trPr>
          <w:trHeight w:val="240"/>
        </w:trPr>
        <w:tc>
          <w:tcPr>
            <w:tcW w:w="3119" w:type="dxa"/>
            <w:tcBorders>
              <w:top w:val="single" w:sz="4" w:space="0" w:color="auto"/>
            </w:tcBorders>
            <w:shd w:val="clear" w:color="auto" w:fill="auto"/>
          </w:tcPr>
          <w:p w:rsidR="00283ED9" w:rsidRPr="00DD03D6" w:rsidRDefault="00283ED9" w:rsidP="00434035">
            <w:pPr>
              <w:pStyle w:val="SIDFootnote"/>
              <w:keepNext w:val="0"/>
              <w:spacing w:before="40" w:after="40" w:line="220" w:lineRule="exact"/>
              <w:rPr>
                <w:rFonts w:ascii="Times New Roman" w:eastAsia="Times New Roman" w:hAnsi="Times New Roman" w:cs="Times New Roman"/>
                <w:bCs/>
                <w:noProof/>
                <w:kern w:val="0"/>
                <w:szCs w:val="22"/>
                <w:lang w:val="fr-FR" w:eastAsia="en-US"/>
              </w:rPr>
            </w:pPr>
            <w:r w:rsidRPr="00DD03D6">
              <w:rPr>
                <w:rFonts w:ascii="Times New Roman" w:eastAsia="Times New Roman" w:hAnsi="Times New Roman" w:cs="Times New Roman"/>
                <w:bCs/>
                <w:noProof/>
                <w:kern w:val="0"/>
                <w:szCs w:val="22"/>
                <w:lang w:val="fr-FR" w:eastAsia="en-US"/>
              </w:rPr>
              <w:t>%</w:t>
            </w:r>
          </w:p>
        </w:tc>
        <w:tc>
          <w:tcPr>
            <w:tcW w:w="851" w:type="dxa"/>
            <w:tcBorders>
              <w:top w:val="single" w:sz="4" w:space="0" w:color="auto"/>
            </w:tcBorders>
            <w:shd w:val="clear" w:color="auto" w:fill="auto"/>
            <w:vAlign w:val="bottom"/>
          </w:tcPr>
          <w:p w:rsidR="00283ED9" w:rsidRPr="00DD03D6" w:rsidRDefault="00283ED9" w:rsidP="00434035">
            <w:pPr>
              <w:suppressAutoHyphens w:val="0"/>
              <w:spacing w:before="40" w:after="40" w:line="220" w:lineRule="exact"/>
              <w:jc w:val="right"/>
              <w:rPr>
                <w:bCs/>
                <w:noProof/>
                <w:sz w:val="18"/>
                <w:lang w:val="fr-FR"/>
              </w:rPr>
            </w:pPr>
            <w:r w:rsidRPr="00DD03D6">
              <w:rPr>
                <w:bCs/>
                <w:noProof/>
                <w:sz w:val="18"/>
                <w:lang w:val="fr-FR"/>
              </w:rPr>
              <w:t>15</w:t>
            </w:r>
            <w:r w:rsidR="003F1ADB">
              <w:rPr>
                <w:bCs/>
                <w:noProof/>
                <w:sz w:val="18"/>
                <w:lang w:val="fr-FR"/>
              </w:rPr>
              <w:t> %</w:t>
            </w:r>
          </w:p>
        </w:tc>
        <w:tc>
          <w:tcPr>
            <w:tcW w:w="851" w:type="dxa"/>
            <w:tcBorders>
              <w:top w:val="single" w:sz="4" w:space="0" w:color="auto"/>
            </w:tcBorders>
            <w:shd w:val="clear" w:color="auto" w:fill="auto"/>
            <w:vAlign w:val="bottom"/>
          </w:tcPr>
          <w:p w:rsidR="00283ED9" w:rsidRPr="00DD03D6" w:rsidRDefault="00283ED9" w:rsidP="00434035">
            <w:pPr>
              <w:suppressAutoHyphens w:val="0"/>
              <w:spacing w:before="40" w:after="40" w:line="220" w:lineRule="exact"/>
              <w:jc w:val="right"/>
              <w:rPr>
                <w:bCs/>
                <w:noProof/>
                <w:sz w:val="18"/>
                <w:lang w:val="fr-FR"/>
              </w:rPr>
            </w:pPr>
            <w:r w:rsidRPr="00DD03D6">
              <w:rPr>
                <w:bCs/>
                <w:noProof/>
                <w:sz w:val="18"/>
                <w:lang w:val="fr-FR"/>
              </w:rPr>
              <w:t>22</w:t>
            </w:r>
            <w:r w:rsidR="003F1ADB">
              <w:rPr>
                <w:bCs/>
                <w:noProof/>
                <w:sz w:val="18"/>
                <w:lang w:val="fr-FR"/>
              </w:rPr>
              <w:t> %</w:t>
            </w:r>
          </w:p>
        </w:tc>
        <w:tc>
          <w:tcPr>
            <w:tcW w:w="851" w:type="dxa"/>
            <w:tcBorders>
              <w:top w:val="single" w:sz="4" w:space="0" w:color="auto"/>
            </w:tcBorders>
            <w:shd w:val="clear" w:color="auto" w:fill="auto"/>
            <w:vAlign w:val="bottom"/>
          </w:tcPr>
          <w:p w:rsidR="00283ED9" w:rsidRPr="00DD03D6" w:rsidRDefault="00283ED9" w:rsidP="00434035">
            <w:pPr>
              <w:suppressAutoHyphens w:val="0"/>
              <w:spacing w:before="40" w:after="40" w:line="220" w:lineRule="exact"/>
              <w:jc w:val="right"/>
              <w:rPr>
                <w:bCs/>
                <w:noProof/>
                <w:sz w:val="18"/>
                <w:lang w:val="fr-FR"/>
              </w:rPr>
            </w:pPr>
            <w:r w:rsidRPr="00DD03D6">
              <w:rPr>
                <w:bCs/>
                <w:noProof/>
                <w:sz w:val="18"/>
                <w:lang w:val="fr-FR"/>
              </w:rPr>
              <w:t>62</w:t>
            </w:r>
            <w:r w:rsidR="003F1ADB">
              <w:rPr>
                <w:bCs/>
                <w:noProof/>
                <w:sz w:val="18"/>
                <w:lang w:val="fr-FR"/>
              </w:rPr>
              <w:t> %</w:t>
            </w:r>
          </w:p>
        </w:tc>
        <w:tc>
          <w:tcPr>
            <w:tcW w:w="851" w:type="dxa"/>
            <w:tcBorders>
              <w:top w:val="single" w:sz="4" w:space="0" w:color="auto"/>
            </w:tcBorders>
            <w:shd w:val="clear" w:color="auto" w:fill="auto"/>
            <w:vAlign w:val="bottom"/>
          </w:tcPr>
          <w:p w:rsidR="00283ED9" w:rsidRPr="00DD03D6" w:rsidRDefault="00283ED9" w:rsidP="00434035">
            <w:pPr>
              <w:suppressAutoHyphens w:val="0"/>
              <w:spacing w:before="40" w:after="40" w:line="220" w:lineRule="exact"/>
              <w:jc w:val="right"/>
              <w:rPr>
                <w:bCs/>
                <w:noProof/>
                <w:sz w:val="18"/>
                <w:lang w:val="fr-FR"/>
              </w:rPr>
            </w:pPr>
            <w:r w:rsidRPr="00DD03D6">
              <w:rPr>
                <w:bCs/>
                <w:noProof/>
                <w:sz w:val="18"/>
                <w:lang w:val="fr-FR"/>
              </w:rPr>
              <w:t>100</w:t>
            </w:r>
            <w:r w:rsidR="003F1ADB">
              <w:rPr>
                <w:bCs/>
                <w:noProof/>
                <w:sz w:val="18"/>
                <w:lang w:val="fr-FR"/>
              </w:rPr>
              <w:t> %</w:t>
            </w:r>
          </w:p>
        </w:tc>
        <w:tc>
          <w:tcPr>
            <w:tcW w:w="851" w:type="dxa"/>
            <w:tcBorders>
              <w:top w:val="single" w:sz="4" w:space="0" w:color="auto"/>
            </w:tcBorders>
            <w:shd w:val="clear" w:color="auto" w:fill="auto"/>
            <w:vAlign w:val="bottom"/>
          </w:tcPr>
          <w:p w:rsidR="00283ED9" w:rsidRPr="00DD03D6" w:rsidRDefault="00283ED9" w:rsidP="00434035">
            <w:pPr>
              <w:suppressAutoHyphens w:val="0"/>
              <w:spacing w:before="40" w:after="40" w:line="220" w:lineRule="exact"/>
              <w:jc w:val="right"/>
              <w:rPr>
                <w:bCs/>
                <w:noProof/>
                <w:sz w:val="18"/>
                <w:lang w:val="fr-FR"/>
              </w:rPr>
            </w:pPr>
          </w:p>
        </w:tc>
      </w:tr>
    </w:tbl>
    <w:p w:rsidR="00283ED9" w:rsidRPr="00DD03D6" w:rsidRDefault="00283ED9" w:rsidP="00434035">
      <w:pPr>
        <w:pStyle w:val="SingleTxtG"/>
        <w:spacing w:before="120" w:after="240"/>
        <w:ind w:firstLine="170"/>
        <w:rPr>
          <w:noProof/>
          <w:sz w:val="18"/>
          <w:szCs w:val="18"/>
          <w:lang w:val="fr-FR"/>
        </w:rPr>
      </w:pPr>
      <w:r w:rsidRPr="00DD03D6">
        <w:rPr>
          <w:i/>
          <w:iCs/>
          <w:noProof/>
          <w:sz w:val="18"/>
          <w:szCs w:val="18"/>
          <w:lang w:val="fr-FR"/>
        </w:rPr>
        <w:t>Source</w:t>
      </w:r>
      <w:r w:rsidR="00406349">
        <w:rPr>
          <w:i/>
          <w:iCs/>
          <w:noProof/>
          <w:sz w:val="18"/>
          <w:szCs w:val="18"/>
          <w:lang w:val="fr-FR"/>
        </w:rPr>
        <w:t xml:space="preserve"> </w:t>
      </w:r>
      <w:r w:rsidRPr="00DD03D6">
        <w:rPr>
          <w:noProof/>
          <w:sz w:val="18"/>
          <w:szCs w:val="18"/>
          <w:lang w:val="fr-FR"/>
        </w:rPr>
        <w:t xml:space="preserve">: </w:t>
      </w:r>
      <w:r w:rsidR="00406349">
        <w:rPr>
          <w:noProof/>
          <w:sz w:val="18"/>
          <w:szCs w:val="18"/>
          <w:lang w:val="fr-FR"/>
        </w:rPr>
        <w:t>Direction des services de santé</w:t>
      </w:r>
      <w:r w:rsidR="00434035" w:rsidRPr="00DD03D6">
        <w:rPr>
          <w:noProof/>
          <w:sz w:val="18"/>
          <w:szCs w:val="18"/>
          <w:lang w:val="fr-FR"/>
        </w:rPr>
        <w:t>.</w:t>
      </w:r>
    </w:p>
    <w:p w:rsidR="00283ED9" w:rsidRPr="00DD03D6" w:rsidRDefault="00D12A92" w:rsidP="00D12A92">
      <w:pPr>
        <w:pStyle w:val="H23G"/>
        <w:rPr>
          <w:noProof/>
          <w:lang w:val="fr-FR"/>
        </w:rPr>
      </w:pPr>
      <w:r w:rsidRPr="00DD03D6">
        <w:rPr>
          <w:noProof/>
          <w:lang w:val="fr-FR"/>
        </w:rPr>
        <w:tab/>
      </w:r>
      <w:r w:rsidRPr="00DD03D6">
        <w:rPr>
          <w:noProof/>
          <w:lang w:val="fr-FR"/>
        </w:rPr>
        <w:tab/>
      </w:r>
      <w:r w:rsidR="00406349">
        <w:rPr>
          <w:noProof/>
          <w:lang w:val="fr-FR"/>
        </w:rPr>
        <w:t xml:space="preserve">Vente et traite </w:t>
      </w:r>
    </w:p>
    <w:p w:rsidR="00283ED9" w:rsidRPr="00DD03D6" w:rsidRDefault="00406349" w:rsidP="00D12A92">
      <w:pPr>
        <w:pStyle w:val="SingleTxtG"/>
        <w:numPr>
          <w:ilvl w:val="0"/>
          <w:numId w:val="3"/>
        </w:numPr>
        <w:ind w:left="1134" w:firstLine="0"/>
        <w:rPr>
          <w:b/>
          <w:noProof/>
          <w:lang w:val="fr-FR"/>
        </w:rPr>
      </w:pPr>
      <w:r w:rsidRPr="00F24CC2">
        <w:rPr>
          <w:b/>
          <w:noProof/>
          <w:lang w:val="fr-FR"/>
        </w:rPr>
        <w:t>Compte tenu des articles 34 et 35 de la Convention, le Comité fait écho au C</w:t>
      </w:r>
      <w:r w:rsidRPr="00F24CC2">
        <w:rPr>
          <w:b/>
          <w:noProof/>
          <w:szCs w:val="24"/>
          <w:lang w:val="fr-FR"/>
        </w:rPr>
        <w:t>omité pour l’élimination de la discrimination à l’égard des femmes (CEDAW/C/IRL/CO/4</w:t>
      </w:r>
      <w:r w:rsidRPr="00F24CC2">
        <w:rPr>
          <w:b/>
          <w:noProof/>
          <w:szCs w:val="24"/>
          <w:lang w:val="fr-FR"/>
        </w:rPr>
        <w:noBreakHyphen/>
        <w:t>5</w:t>
      </w:r>
      <w:r w:rsidR="00F24CC2" w:rsidRPr="00F24CC2">
        <w:rPr>
          <w:b/>
          <w:noProof/>
          <w:szCs w:val="24"/>
          <w:lang w:val="fr-FR"/>
        </w:rPr>
        <w:t>, 22 juillet 2005</w:t>
      </w:r>
      <w:r w:rsidRPr="00F24CC2">
        <w:rPr>
          <w:b/>
          <w:noProof/>
          <w:szCs w:val="24"/>
          <w:lang w:val="fr-FR"/>
        </w:rPr>
        <w:t>), qui</w:t>
      </w:r>
      <w:r w:rsidR="00386641">
        <w:rPr>
          <w:b/>
          <w:noProof/>
          <w:szCs w:val="24"/>
          <w:lang w:val="fr-FR"/>
        </w:rPr>
        <w:t xml:space="preserve"> </w:t>
      </w:r>
      <w:r w:rsidRPr="00F24CC2">
        <w:rPr>
          <w:b/>
          <w:noProof/>
          <w:szCs w:val="24"/>
          <w:lang w:val="fr-FR"/>
        </w:rPr>
        <w:t>a notamment recommandé à l’État partie d’adopter et de mettre en œuvre une stratégie complète de lutte contre la traite des personnes, et d’introdu</w:t>
      </w:r>
      <w:r w:rsidR="00386641">
        <w:rPr>
          <w:b/>
          <w:noProof/>
          <w:szCs w:val="24"/>
          <w:lang w:val="fr-FR"/>
        </w:rPr>
        <w:t xml:space="preserve">ire des mesures pour assurer la </w:t>
      </w:r>
      <w:r w:rsidRPr="00F24CC2">
        <w:rPr>
          <w:b/>
          <w:noProof/>
          <w:szCs w:val="24"/>
          <w:lang w:val="fr-FR"/>
        </w:rPr>
        <w:t xml:space="preserve">réadaptation physique et psychologique des victimes de la traite, ainsi que leur réinsertion sociale, notamment en leur fournissant des centres d’accueil, des services </w:t>
      </w:r>
      <w:r w:rsidR="00F24CC2" w:rsidRPr="00F24CC2">
        <w:rPr>
          <w:b/>
          <w:noProof/>
          <w:szCs w:val="24"/>
          <w:lang w:val="fr-FR"/>
        </w:rPr>
        <w:t>de soutien</w:t>
      </w:r>
      <w:r w:rsidRPr="00F24CC2">
        <w:rPr>
          <w:b/>
          <w:noProof/>
          <w:szCs w:val="24"/>
          <w:lang w:val="fr-FR"/>
        </w:rPr>
        <w:t xml:space="preserve"> psychologique et des soins médicaux. Le Comité prie l’État partie de fournir dans son prochain rapport de plus amples informations et des données sur la traite des personnes, en particulier en ce qui concerne les enfants</w:t>
      </w:r>
      <w:r w:rsidR="00F24CC2" w:rsidRPr="00487473">
        <w:rPr>
          <w:b/>
          <w:szCs w:val="24"/>
          <w:lang w:val="fr-CH"/>
        </w:rPr>
        <w:t>.</w:t>
      </w:r>
    </w:p>
    <w:p w:rsidR="00283ED9" w:rsidRPr="00DD03D6" w:rsidRDefault="00F24CC2" w:rsidP="00D12A92">
      <w:pPr>
        <w:pStyle w:val="SingleTxtG"/>
        <w:numPr>
          <w:ilvl w:val="0"/>
          <w:numId w:val="3"/>
        </w:numPr>
        <w:ind w:left="1134" w:firstLine="0"/>
        <w:rPr>
          <w:noProof/>
          <w:lang w:val="fr-FR"/>
        </w:rPr>
      </w:pPr>
      <w:r>
        <w:rPr>
          <w:noProof/>
          <w:lang w:val="fr-FR"/>
        </w:rPr>
        <w:t xml:space="preserve">La loi de 2008 </w:t>
      </w:r>
      <w:r w:rsidR="00EC08D5">
        <w:rPr>
          <w:lang w:val="fr-CH"/>
        </w:rPr>
        <w:t>sur le droit pénal (traite des êtres humains) a actualisé la loi sur la traite des enfants</w:t>
      </w:r>
      <w:r w:rsidR="00283ED9" w:rsidRPr="00DD03D6">
        <w:rPr>
          <w:noProof/>
          <w:lang w:val="fr-FR"/>
        </w:rPr>
        <w:t xml:space="preserve">. </w:t>
      </w:r>
      <w:r w:rsidR="00EC08D5">
        <w:rPr>
          <w:noProof/>
          <w:lang w:val="fr-FR"/>
        </w:rPr>
        <w:t xml:space="preserve">Elle prévoit l’emprisonnement à vie pour toute personne reconnue coupable de l’infraction de </w:t>
      </w:r>
      <w:r w:rsidR="00EC08D5">
        <w:rPr>
          <w:lang w:val="fr-CH"/>
        </w:rPr>
        <w:t>traite d’enfant à des fins d’exploitation sexuelle ou d</w:t>
      </w:r>
      <w:r w:rsidR="00052FDD">
        <w:rPr>
          <w:lang w:val="fr-CH"/>
        </w:rPr>
        <w:t>u</w:t>
      </w:r>
      <w:r w:rsidR="00EC08D5">
        <w:rPr>
          <w:lang w:val="fr-CH"/>
        </w:rPr>
        <w:t xml:space="preserve"> travail ou dans le but d’ôter certains organes à un enfant</w:t>
      </w:r>
      <w:r w:rsidR="00283ED9" w:rsidRPr="00DD03D6">
        <w:rPr>
          <w:noProof/>
          <w:lang w:val="fr-FR"/>
        </w:rPr>
        <w:t xml:space="preserve">. </w:t>
      </w:r>
      <w:r w:rsidR="00EC08D5">
        <w:rPr>
          <w:noProof/>
          <w:lang w:val="fr-FR"/>
        </w:rPr>
        <w:t>Elle érige également en infraction pénale la vente et l’achat d’enfants à quelque fin que ce soit, infractions qui sont également passibles d’une peine pouvant aller jusqu’à l’emprisonnement à vie</w:t>
      </w:r>
      <w:r w:rsidR="00283ED9" w:rsidRPr="00DD03D6">
        <w:rPr>
          <w:noProof/>
          <w:lang w:val="fr-FR"/>
        </w:rPr>
        <w:t>.</w:t>
      </w:r>
    </w:p>
    <w:p w:rsidR="00283ED9" w:rsidRDefault="00EC08D5" w:rsidP="00D12A92">
      <w:pPr>
        <w:pStyle w:val="SingleTxtG"/>
        <w:numPr>
          <w:ilvl w:val="0"/>
          <w:numId w:val="3"/>
        </w:numPr>
        <w:ind w:left="1134" w:firstLine="0"/>
        <w:rPr>
          <w:noProof/>
          <w:lang w:val="fr-FR"/>
        </w:rPr>
      </w:pPr>
      <w:r>
        <w:rPr>
          <w:noProof/>
          <w:lang w:val="fr-FR" w:eastAsia="en-GB"/>
        </w:rPr>
        <w:t>E</w:t>
      </w:r>
      <w:r w:rsidR="00283ED9" w:rsidRPr="00DD03D6">
        <w:rPr>
          <w:noProof/>
          <w:lang w:val="fr-FR" w:eastAsia="en-GB"/>
        </w:rPr>
        <w:t xml:space="preserve">n 2009, </w:t>
      </w:r>
      <w:r>
        <w:rPr>
          <w:noProof/>
          <w:lang w:val="fr-FR" w:eastAsia="en-GB"/>
        </w:rPr>
        <w:t>l’</w:t>
      </w:r>
      <w:r w:rsidR="00025B8E">
        <w:rPr>
          <w:noProof/>
          <w:lang w:val="fr-FR" w:eastAsia="en-GB"/>
        </w:rPr>
        <w:t>Irlande a établi son premier rapport sur les victimes potentielles et présumées de la traite des personnes</w:t>
      </w:r>
      <w:r w:rsidR="00283ED9" w:rsidRPr="00DD03D6">
        <w:rPr>
          <w:noProof/>
          <w:lang w:val="fr-FR" w:eastAsia="en-GB"/>
        </w:rPr>
        <w:t xml:space="preserve">. </w:t>
      </w:r>
      <w:r w:rsidR="00025B8E">
        <w:rPr>
          <w:noProof/>
          <w:lang w:val="fr-FR" w:eastAsia="en-GB"/>
        </w:rPr>
        <w:t xml:space="preserve">Il y est indiqué que, sur les </w:t>
      </w:r>
      <w:r w:rsidR="00025B8E">
        <w:rPr>
          <w:noProof/>
          <w:lang w:val="fr-FR"/>
        </w:rPr>
        <w:t>66 cas</w:t>
      </w:r>
      <w:r w:rsidR="00283ED9" w:rsidRPr="00DD03D6">
        <w:rPr>
          <w:noProof/>
          <w:lang w:val="fr-FR"/>
        </w:rPr>
        <w:t xml:space="preserve"> </w:t>
      </w:r>
      <w:r w:rsidR="00025B8E">
        <w:rPr>
          <w:noProof/>
          <w:lang w:val="fr-FR"/>
        </w:rPr>
        <w:t xml:space="preserve">de </w:t>
      </w:r>
      <w:r w:rsidR="00025B8E">
        <w:rPr>
          <w:noProof/>
          <w:lang w:val="fr-FR" w:eastAsia="en-GB"/>
        </w:rPr>
        <w:t>victimes potentielles et présumées de la traite</w:t>
      </w:r>
      <w:r w:rsidR="00025B8E" w:rsidRPr="00DD03D6">
        <w:rPr>
          <w:noProof/>
          <w:lang w:val="fr-FR"/>
        </w:rPr>
        <w:t xml:space="preserve"> </w:t>
      </w:r>
      <w:r w:rsidR="00025B8E">
        <w:rPr>
          <w:noProof/>
          <w:lang w:val="fr-FR"/>
        </w:rPr>
        <w:t xml:space="preserve">qui ont été </w:t>
      </w:r>
      <w:r w:rsidR="00474870">
        <w:rPr>
          <w:noProof/>
          <w:lang w:val="fr-FR"/>
        </w:rPr>
        <w:t>signalés à</w:t>
      </w:r>
      <w:r w:rsidR="00025B8E">
        <w:rPr>
          <w:noProof/>
          <w:lang w:val="fr-FR"/>
        </w:rPr>
        <w:t xml:space="preserve"> la </w:t>
      </w:r>
      <w:r w:rsidR="00283ED9" w:rsidRPr="00DD03D6">
        <w:rPr>
          <w:noProof/>
          <w:lang w:val="fr-FR"/>
        </w:rPr>
        <w:t xml:space="preserve">Garda Síochána, 17 </w:t>
      </w:r>
      <w:r w:rsidR="00025B8E">
        <w:rPr>
          <w:noProof/>
          <w:lang w:val="fr-FR"/>
        </w:rPr>
        <w:t xml:space="preserve">de ces victimes étaient </w:t>
      </w:r>
      <w:r w:rsidR="00283ED9" w:rsidRPr="00DD03D6">
        <w:rPr>
          <w:noProof/>
          <w:lang w:val="fr-FR"/>
        </w:rPr>
        <w:t>min</w:t>
      </w:r>
      <w:r w:rsidR="00025B8E">
        <w:rPr>
          <w:noProof/>
          <w:lang w:val="fr-FR"/>
        </w:rPr>
        <w:t>eu</w:t>
      </w:r>
      <w:r w:rsidR="00283ED9" w:rsidRPr="00DD03D6">
        <w:rPr>
          <w:noProof/>
          <w:lang w:val="fr-FR"/>
        </w:rPr>
        <w:t>r</w:t>
      </w:r>
      <w:r w:rsidR="00025B8E">
        <w:rPr>
          <w:noProof/>
          <w:lang w:val="fr-FR"/>
        </w:rPr>
        <w:t>e</w:t>
      </w:r>
      <w:r w:rsidR="00283ED9" w:rsidRPr="00DD03D6">
        <w:rPr>
          <w:noProof/>
          <w:lang w:val="fr-FR"/>
        </w:rPr>
        <w:t xml:space="preserve">s. </w:t>
      </w:r>
      <w:r w:rsidR="00025B8E">
        <w:rPr>
          <w:noProof/>
          <w:lang w:val="fr-FR"/>
        </w:rPr>
        <w:t xml:space="preserve">Dans le rapport annuel pour </w:t>
      </w:r>
      <w:r w:rsidR="00283ED9" w:rsidRPr="00DD03D6">
        <w:rPr>
          <w:noProof/>
          <w:lang w:val="fr-FR"/>
        </w:rPr>
        <w:t xml:space="preserve">2010, </w:t>
      </w:r>
      <w:r w:rsidR="00025B8E">
        <w:rPr>
          <w:noProof/>
          <w:lang w:val="fr-FR"/>
        </w:rPr>
        <w:t>69 cas</w:t>
      </w:r>
      <w:r w:rsidR="00283ED9" w:rsidRPr="00DD03D6">
        <w:rPr>
          <w:noProof/>
          <w:lang w:val="fr-FR"/>
        </w:rPr>
        <w:t xml:space="preserve"> </w:t>
      </w:r>
      <w:r w:rsidR="00025B8E">
        <w:rPr>
          <w:noProof/>
          <w:lang w:val="fr-FR"/>
        </w:rPr>
        <w:t>présumés de traite des personnes ont été signalés, dont 19 concernaient des mineurs</w:t>
      </w:r>
      <w:r w:rsidR="00283ED9" w:rsidRPr="00DD03D6">
        <w:rPr>
          <w:noProof/>
          <w:lang w:val="fr-FR"/>
        </w:rPr>
        <w:t>.</w:t>
      </w:r>
    </w:p>
    <w:p w:rsidR="00283ED9" w:rsidRPr="00DD03D6" w:rsidRDefault="00025B8E" w:rsidP="00D12A92">
      <w:pPr>
        <w:pStyle w:val="SingleTxtG"/>
        <w:numPr>
          <w:ilvl w:val="0"/>
          <w:numId w:val="3"/>
        </w:numPr>
        <w:ind w:left="1134" w:firstLine="0"/>
        <w:rPr>
          <w:noProof/>
          <w:lang w:val="fr-FR"/>
        </w:rPr>
      </w:pPr>
      <w:r>
        <w:rPr>
          <w:noProof/>
          <w:lang w:val="fr-FR"/>
        </w:rPr>
        <w:t>E</w:t>
      </w:r>
      <w:r w:rsidR="00283ED9" w:rsidRPr="00DD03D6">
        <w:rPr>
          <w:noProof/>
          <w:lang w:val="fr-FR"/>
        </w:rPr>
        <w:t xml:space="preserve">n </w:t>
      </w:r>
      <w:r>
        <w:rPr>
          <w:noProof/>
          <w:lang w:val="fr-FR"/>
        </w:rPr>
        <w:t xml:space="preserve">février </w:t>
      </w:r>
      <w:r w:rsidR="00283ED9" w:rsidRPr="00DD03D6">
        <w:rPr>
          <w:noProof/>
          <w:lang w:val="fr-FR"/>
        </w:rPr>
        <w:t xml:space="preserve">2008, </w:t>
      </w:r>
      <w:r>
        <w:rPr>
          <w:noProof/>
          <w:lang w:val="fr-FR"/>
        </w:rPr>
        <w:t xml:space="preserve">le Service de la lutte contre la traite des êtres humains </w:t>
      </w:r>
      <w:r w:rsidR="00113E72">
        <w:rPr>
          <w:noProof/>
          <w:lang w:val="fr-FR"/>
        </w:rPr>
        <w:t>a été créé au sein du</w:t>
      </w:r>
      <w:r w:rsidR="00283ED9" w:rsidRPr="00DD03D6">
        <w:rPr>
          <w:noProof/>
          <w:lang w:val="fr-FR"/>
        </w:rPr>
        <w:t xml:space="preserve"> </w:t>
      </w:r>
      <w:r w:rsidR="00113E72">
        <w:rPr>
          <w:noProof/>
          <w:lang w:val="fr-FR"/>
        </w:rPr>
        <w:t>Ministère de la j</w:t>
      </w:r>
      <w:r w:rsidR="00283ED9" w:rsidRPr="00DD03D6">
        <w:rPr>
          <w:noProof/>
          <w:lang w:val="fr-FR"/>
        </w:rPr>
        <w:t xml:space="preserve">ustice </w:t>
      </w:r>
      <w:r w:rsidR="00113E72">
        <w:rPr>
          <w:noProof/>
          <w:lang w:val="fr-FR"/>
        </w:rPr>
        <w:t>et de l’ég</w:t>
      </w:r>
      <w:r w:rsidR="00283ED9" w:rsidRPr="00DD03D6">
        <w:rPr>
          <w:noProof/>
          <w:lang w:val="fr-FR"/>
        </w:rPr>
        <w:t>alit</w:t>
      </w:r>
      <w:r w:rsidR="00113E72">
        <w:rPr>
          <w:noProof/>
          <w:lang w:val="fr-FR"/>
        </w:rPr>
        <w:t xml:space="preserve">é et, en </w:t>
      </w:r>
      <w:r w:rsidR="00283ED9" w:rsidRPr="00DD03D6">
        <w:rPr>
          <w:noProof/>
          <w:lang w:val="fr-FR"/>
        </w:rPr>
        <w:t>2009</w:t>
      </w:r>
      <w:r w:rsidR="00113E72">
        <w:rPr>
          <w:noProof/>
          <w:lang w:val="fr-FR"/>
        </w:rPr>
        <w:t>, le Ministre a publié le Plan n</w:t>
      </w:r>
      <w:r w:rsidR="00283ED9" w:rsidRPr="00DD03D6">
        <w:rPr>
          <w:noProof/>
          <w:lang w:val="fr-FR"/>
        </w:rPr>
        <w:t xml:space="preserve">ational </w:t>
      </w:r>
      <w:r w:rsidR="00113E72">
        <w:rPr>
          <w:noProof/>
          <w:lang w:val="fr-FR"/>
        </w:rPr>
        <w:t>d’action préventive et de lutte contre la traite des êtres humains en Irlande pour</w:t>
      </w:r>
      <w:r w:rsidR="00283ED9" w:rsidRPr="00DD03D6">
        <w:rPr>
          <w:noProof/>
          <w:lang w:val="fr-FR"/>
        </w:rPr>
        <w:t xml:space="preserve"> 2009-2012.</w:t>
      </w:r>
    </w:p>
    <w:p w:rsidR="00283ED9" w:rsidRPr="00113E72" w:rsidRDefault="00113E72" w:rsidP="00504C24">
      <w:pPr>
        <w:pStyle w:val="SingleTxtG"/>
        <w:numPr>
          <w:ilvl w:val="0"/>
          <w:numId w:val="3"/>
        </w:numPr>
        <w:ind w:left="1134" w:firstLine="0"/>
        <w:rPr>
          <w:noProof/>
          <w:lang w:val="fr-FR"/>
        </w:rPr>
      </w:pPr>
      <w:r>
        <w:rPr>
          <w:noProof/>
          <w:lang w:val="fr-FR"/>
        </w:rPr>
        <w:t>Par ailleurs, l’I</w:t>
      </w:r>
      <w:r w:rsidR="00283ED9" w:rsidRPr="00DD03D6">
        <w:rPr>
          <w:noProof/>
          <w:lang w:val="fr-FR"/>
        </w:rPr>
        <w:t>rland</w:t>
      </w:r>
      <w:r>
        <w:rPr>
          <w:noProof/>
          <w:lang w:val="fr-FR"/>
        </w:rPr>
        <w:t>e</w:t>
      </w:r>
      <w:r w:rsidR="00283ED9" w:rsidRPr="00DD03D6">
        <w:rPr>
          <w:noProof/>
          <w:lang w:val="fr-FR"/>
        </w:rPr>
        <w:t xml:space="preserve"> </w:t>
      </w:r>
      <w:r>
        <w:rPr>
          <w:noProof/>
          <w:lang w:val="fr-FR"/>
        </w:rPr>
        <w:t xml:space="preserve">a </w:t>
      </w:r>
      <w:r w:rsidR="00283ED9" w:rsidRPr="00DD03D6">
        <w:rPr>
          <w:noProof/>
          <w:lang w:val="fr-FR"/>
        </w:rPr>
        <w:t>ratifi</w:t>
      </w:r>
      <w:r>
        <w:rPr>
          <w:noProof/>
          <w:lang w:val="fr-FR"/>
        </w:rPr>
        <w:t>é la Convention du Conseil de l’</w:t>
      </w:r>
      <w:r w:rsidR="00283ED9" w:rsidRPr="00DD03D6">
        <w:rPr>
          <w:noProof/>
          <w:lang w:val="fr-FR"/>
        </w:rPr>
        <w:t xml:space="preserve">Europe </w:t>
      </w:r>
      <w:r>
        <w:rPr>
          <w:noProof/>
          <w:lang w:val="fr-FR"/>
        </w:rPr>
        <w:t xml:space="preserve">sur la lutte contre la traite des êtres humains, qui est entrée en vigueur dans le pays le </w:t>
      </w:r>
      <w:r w:rsidR="00283ED9" w:rsidRPr="00DD03D6">
        <w:rPr>
          <w:noProof/>
          <w:lang w:val="fr-FR"/>
        </w:rPr>
        <w:t>1</w:t>
      </w:r>
      <w:r w:rsidRPr="00113E72">
        <w:rPr>
          <w:noProof/>
          <w:vertAlign w:val="superscript"/>
          <w:lang w:val="fr-FR"/>
        </w:rPr>
        <w:t>er</w:t>
      </w:r>
      <w:r>
        <w:rPr>
          <w:noProof/>
          <w:lang w:val="fr-FR"/>
        </w:rPr>
        <w:t xml:space="preserve"> n</w:t>
      </w:r>
      <w:r w:rsidR="00283ED9" w:rsidRPr="00DD03D6">
        <w:rPr>
          <w:noProof/>
          <w:lang w:val="fr-FR"/>
        </w:rPr>
        <w:t>ovemb</w:t>
      </w:r>
      <w:r>
        <w:rPr>
          <w:noProof/>
          <w:lang w:val="fr-FR"/>
        </w:rPr>
        <w:t>re</w:t>
      </w:r>
      <w:r w:rsidR="00283ED9" w:rsidRPr="00DD03D6">
        <w:rPr>
          <w:noProof/>
          <w:lang w:val="fr-FR"/>
        </w:rPr>
        <w:t xml:space="preserve"> 2010. </w:t>
      </w:r>
      <w:r>
        <w:rPr>
          <w:noProof/>
          <w:lang w:val="fr-FR"/>
        </w:rPr>
        <w:t>Elle</w:t>
      </w:r>
      <w:r w:rsidR="00283ED9" w:rsidRPr="00DD03D6">
        <w:rPr>
          <w:noProof/>
          <w:lang w:val="fr-FR"/>
        </w:rPr>
        <w:t xml:space="preserve"> </w:t>
      </w:r>
      <w:r>
        <w:rPr>
          <w:noProof/>
          <w:lang w:val="fr-FR"/>
        </w:rPr>
        <w:t xml:space="preserve">a également </w:t>
      </w:r>
      <w:r w:rsidR="00283ED9" w:rsidRPr="00DD03D6">
        <w:rPr>
          <w:noProof/>
          <w:lang w:val="fr-FR"/>
        </w:rPr>
        <w:t>ratifi</w:t>
      </w:r>
      <w:r>
        <w:rPr>
          <w:noProof/>
          <w:lang w:val="fr-FR"/>
        </w:rPr>
        <w:t xml:space="preserve">é le </w:t>
      </w:r>
      <w:r w:rsidRPr="00113E72">
        <w:rPr>
          <w:noProof/>
          <w:lang w:val="fr-FR"/>
        </w:rPr>
        <w:t xml:space="preserve">Protocole additionnel </w:t>
      </w:r>
      <w:r>
        <w:rPr>
          <w:noProof/>
          <w:lang w:val="fr-FR"/>
        </w:rPr>
        <w:t>à la Convention des Nations Unies contre la criminalité transnationale organisée visant à prévenir, réprimer et punir la traite des personnes, en particulier des femmes et des enfants</w:t>
      </w:r>
      <w:r w:rsidR="00283ED9" w:rsidRPr="00113E72">
        <w:rPr>
          <w:noProof/>
          <w:lang w:val="fr-FR"/>
        </w:rPr>
        <w:t xml:space="preserve">, </w:t>
      </w:r>
      <w:r w:rsidR="003055EA">
        <w:rPr>
          <w:noProof/>
          <w:lang w:val="fr-FR"/>
        </w:rPr>
        <w:t>qui est entré</w:t>
      </w:r>
      <w:r>
        <w:rPr>
          <w:noProof/>
          <w:lang w:val="fr-FR"/>
        </w:rPr>
        <w:t xml:space="preserve"> en vigueur dans le pays le </w:t>
      </w:r>
      <w:r w:rsidR="00283ED9" w:rsidRPr="00113E72">
        <w:rPr>
          <w:noProof/>
          <w:lang w:val="fr-FR"/>
        </w:rPr>
        <w:t xml:space="preserve">17 </w:t>
      </w:r>
      <w:r>
        <w:rPr>
          <w:noProof/>
          <w:lang w:val="fr-FR"/>
        </w:rPr>
        <w:t xml:space="preserve">juillet </w:t>
      </w:r>
      <w:r w:rsidR="00283ED9" w:rsidRPr="00113E72">
        <w:rPr>
          <w:noProof/>
          <w:lang w:val="fr-FR"/>
        </w:rPr>
        <w:t xml:space="preserve">2010. </w:t>
      </w:r>
      <w:r w:rsidR="003055EA">
        <w:rPr>
          <w:noProof/>
          <w:lang w:val="fr-FR"/>
        </w:rPr>
        <w:t>Ell</w:t>
      </w:r>
      <w:r>
        <w:rPr>
          <w:noProof/>
          <w:lang w:val="fr-FR"/>
        </w:rPr>
        <w:t>e</w:t>
      </w:r>
      <w:r w:rsidR="00283ED9" w:rsidRPr="00113E72">
        <w:rPr>
          <w:noProof/>
          <w:lang w:val="fr-FR"/>
        </w:rPr>
        <w:t xml:space="preserve"> coop</w:t>
      </w:r>
      <w:r>
        <w:rPr>
          <w:noProof/>
          <w:lang w:val="fr-FR"/>
        </w:rPr>
        <w:t xml:space="preserve">ère avec les forces de police et les organisations d’autres pays et avec les </w:t>
      </w:r>
      <w:r w:rsidR="00283ED9" w:rsidRPr="00113E72">
        <w:rPr>
          <w:noProof/>
          <w:lang w:val="fr-FR"/>
        </w:rPr>
        <w:t xml:space="preserve">organisations </w:t>
      </w:r>
      <w:r>
        <w:rPr>
          <w:noProof/>
          <w:lang w:val="fr-FR"/>
        </w:rPr>
        <w:t>internationales à la lutte contre la traite des personnes.</w:t>
      </w:r>
      <w:r w:rsidR="00283ED9" w:rsidRPr="00113E72">
        <w:rPr>
          <w:noProof/>
          <w:lang w:val="fr-FR"/>
        </w:rPr>
        <w:t xml:space="preserve"> </w:t>
      </w:r>
    </w:p>
    <w:p w:rsidR="00283ED9" w:rsidRPr="00DD03D6" w:rsidRDefault="00315D5B" w:rsidP="00D12A92">
      <w:pPr>
        <w:pStyle w:val="SingleTxtG"/>
        <w:numPr>
          <w:ilvl w:val="0"/>
          <w:numId w:val="3"/>
        </w:numPr>
        <w:ind w:left="1134" w:firstLine="0"/>
        <w:rPr>
          <w:noProof/>
          <w:lang w:val="fr-FR"/>
        </w:rPr>
      </w:pPr>
      <w:r>
        <w:rPr>
          <w:noProof/>
          <w:lang w:val="fr-FR"/>
        </w:rPr>
        <w:t xml:space="preserve">Le mécanisme national d’orientation désigne </w:t>
      </w:r>
      <w:r w:rsidR="00283ED9" w:rsidRPr="00DD03D6">
        <w:rPr>
          <w:noProof/>
          <w:lang w:val="fr-FR"/>
        </w:rPr>
        <w:t xml:space="preserve">i) </w:t>
      </w:r>
      <w:r>
        <w:rPr>
          <w:noProof/>
          <w:lang w:val="fr-FR"/>
        </w:rPr>
        <w:t>le processus d’identification d’une victime présumée de la traite des personnes</w:t>
      </w:r>
      <w:r w:rsidR="00283ED9" w:rsidRPr="00DD03D6">
        <w:rPr>
          <w:noProof/>
          <w:lang w:val="fr-FR"/>
        </w:rPr>
        <w:t xml:space="preserve">; ii) </w:t>
      </w:r>
      <w:r>
        <w:rPr>
          <w:noProof/>
          <w:lang w:val="fr-FR"/>
        </w:rPr>
        <w:t xml:space="preserve">la gamme de services d’assistance et de </w:t>
      </w:r>
      <w:r>
        <w:rPr>
          <w:noProof/>
          <w:lang w:val="fr-FR"/>
        </w:rPr>
        <w:lastRenderedPageBreak/>
        <w:t>soutien mis à la disposition des victimes potentielles et présumées de la traite</w:t>
      </w:r>
      <w:r w:rsidR="00283ED9" w:rsidRPr="00DD03D6">
        <w:rPr>
          <w:noProof/>
          <w:lang w:val="fr-FR"/>
        </w:rPr>
        <w:t xml:space="preserve">; </w:t>
      </w:r>
      <w:r>
        <w:rPr>
          <w:noProof/>
          <w:lang w:val="fr-FR"/>
        </w:rPr>
        <w:t>et</w:t>
      </w:r>
      <w:r w:rsidR="00283ED9" w:rsidRPr="00DD03D6">
        <w:rPr>
          <w:noProof/>
          <w:lang w:val="fr-FR"/>
        </w:rPr>
        <w:t xml:space="preserve"> iii) </w:t>
      </w:r>
      <w:r>
        <w:rPr>
          <w:noProof/>
          <w:lang w:val="fr-FR"/>
        </w:rPr>
        <w:t>les modalités de renvoi ou de demande d’accès des victimes potentielles et présumées à ces services</w:t>
      </w:r>
      <w:r w:rsidR="00283ED9" w:rsidRPr="00DD03D6">
        <w:rPr>
          <w:noProof/>
          <w:lang w:val="fr-FR"/>
        </w:rPr>
        <w:t xml:space="preserve">. </w:t>
      </w:r>
    </w:p>
    <w:p w:rsidR="00283ED9" w:rsidRPr="00DD03D6" w:rsidRDefault="00315D5B" w:rsidP="00D12A92">
      <w:pPr>
        <w:pStyle w:val="SingleTxtG"/>
        <w:numPr>
          <w:ilvl w:val="0"/>
          <w:numId w:val="3"/>
        </w:numPr>
        <w:ind w:left="1134" w:firstLine="0"/>
        <w:rPr>
          <w:noProof/>
          <w:lang w:val="fr-FR"/>
        </w:rPr>
      </w:pPr>
      <w:r>
        <w:rPr>
          <w:noProof/>
          <w:lang w:val="fr-FR"/>
        </w:rPr>
        <w:t xml:space="preserve">La Direction des services de santé fournit une </w:t>
      </w:r>
      <w:r w:rsidR="00283ED9" w:rsidRPr="00DD03D6">
        <w:rPr>
          <w:noProof/>
          <w:lang w:val="fr-FR"/>
        </w:rPr>
        <w:t xml:space="preserve">assistance, </w:t>
      </w:r>
      <w:r>
        <w:rPr>
          <w:noProof/>
          <w:lang w:val="fr-FR"/>
        </w:rPr>
        <w:t xml:space="preserve">un soutien et une </w:t>
      </w:r>
      <w:r w:rsidR="00283ED9" w:rsidRPr="00DD03D6">
        <w:rPr>
          <w:noProof/>
          <w:lang w:val="fr-FR"/>
        </w:rPr>
        <w:t xml:space="preserve">protection </w:t>
      </w:r>
      <w:r>
        <w:rPr>
          <w:noProof/>
          <w:lang w:val="fr-FR"/>
        </w:rPr>
        <w:t xml:space="preserve">aux enfants </w:t>
      </w:r>
      <w:r w:rsidR="00283ED9" w:rsidRPr="00DD03D6">
        <w:rPr>
          <w:noProof/>
          <w:lang w:val="fr-FR"/>
        </w:rPr>
        <w:t>victim</w:t>
      </w:r>
      <w:r>
        <w:rPr>
          <w:noProof/>
          <w:lang w:val="fr-FR"/>
        </w:rPr>
        <w:t>e</w:t>
      </w:r>
      <w:r w:rsidR="00283ED9" w:rsidRPr="00DD03D6">
        <w:rPr>
          <w:noProof/>
          <w:lang w:val="fr-FR"/>
        </w:rPr>
        <w:t xml:space="preserve">s </w:t>
      </w:r>
      <w:r>
        <w:rPr>
          <w:noProof/>
          <w:lang w:val="fr-FR"/>
        </w:rPr>
        <w:t>de la traite en tenant compte de l’intérêt supérieur de chaque enfant sur la base d’une évaluation individuelle, notammen un examen des risques effectué dans chacun des cas signalés</w:t>
      </w:r>
      <w:r w:rsidR="00283ED9" w:rsidRPr="00DD03D6">
        <w:rPr>
          <w:noProof/>
          <w:lang w:val="fr-FR"/>
        </w:rPr>
        <w:t xml:space="preserve">. </w:t>
      </w:r>
      <w:r>
        <w:rPr>
          <w:noProof/>
          <w:lang w:val="fr-FR"/>
        </w:rPr>
        <w:t xml:space="preserve">Il s’agit de répondre aux besoins spécifiques de chaque enfant tels qu’ils apparaissent, </w:t>
      </w:r>
      <w:r w:rsidR="00281706">
        <w:rPr>
          <w:noProof/>
          <w:lang w:val="fr-FR"/>
        </w:rPr>
        <w:t xml:space="preserve">en gardant à l’esprit </w:t>
      </w:r>
      <w:r>
        <w:rPr>
          <w:noProof/>
          <w:lang w:val="fr-FR"/>
        </w:rPr>
        <w:t>sa sécurité et son bien-être à long terme</w:t>
      </w:r>
      <w:r w:rsidR="00281706">
        <w:rPr>
          <w:noProof/>
          <w:lang w:val="fr-FR"/>
        </w:rPr>
        <w:t xml:space="preserve"> et en prenant en considération un très grand nombre de facteurs, notamment l’âge, les aptitudes, la </w:t>
      </w:r>
      <w:r w:rsidR="00283ED9" w:rsidRPr="00DD03D6">
        <w:rPr>
          <w:noProof/>
          <w:lang w:val="fr-FR"/>
        </w:rPr>
        <w:t>r</w:t>
      </w:r>
      <w:r w:rsidR="00281706">
        <w:rPr>
          <w:noProof/>
          <w:lang w:val="fr-FR"/>
        </w:rPr>
        <w:t>é</w:t>
      </w:r>
      <w:r w:rsidR="00283ED9" w:rsidRPr="00DD03D6">
        <w:rPr>
          <w:noProof/>
          <w:lang w:val="fr-FR"/>
        </w:rPr>
        <w:t xml:space="preserve">silience </w:t>
      </w:r>
      <w:r w:rsidR="00281706">
        <w:rPr>
          <w:noProof/>
          <w:lang w:val="fr-FR"/>
        </w:rPr>
        <w:t>et la situation de l’intéressé</w:t>
      </w:r>
      <w:r w:rsidR="00283ED9" w:rsidRPr="00DD03D6">
        <w:rPr>
          <w:noProof/>
          <w:lang w:val="fr-FR"/>
        </w:rPr>
        <w:t>.</w:t>
      </w:r>
    </w:p>
    <w:p w:rsidR="00283ED9" w:rsidRPr="00DD03D6" w:rsidRDefault="00281706" w:rsidP="00281706">
      <w:pPr>
        <w:pStyle w:val="H23G"/>
        <w:ind w:firstLine="0"/>
        <w:rPr>
          <w:noProof/>
          <w:lang w:val="fr-FR"/>
        </w:rPr>
      </w:pPr>
      <w:r>
        <w:rPr>
          <w:noProof/>
          <w:lang w:val="fr-FR"/>
        </w:rPr>
        <w:t xml:space="preserve">Enfants appartenant à une minorité </w:t>
      </w:r>
    </w:p>
    <w:p w:rsidR="00283ED9" w:rsidRPr="00246A34" w:rsidRDefault="00281706" w:rsidP="00D12A92">
      <w:pPr>
        <w:pStyle w:val="SingleTxtG"/>
        <w:numPr>
          <w:ilvl w:val="0"/>
          <w:numId w:val="3"/>
        </w:numPr>
        <w:ind w:left="1134" w:firstLine="0"/>
        <w:rPr>
          <w:b/>
          <w:bCs/>
          <w:noProof/>
          <w:lang w:val="fr-FR"/>
        </w:rPr>
      </w:pPr>
      <w:r w:rsidRPr="00246A34">
        <w:rPr>
          <w:b/>
          <w:bCs/>
          <w:noProof/>
          <w:lang w:val="fr-FR"/>
        </w:rPr>
        <w:t>Le Comité recommande à l’État partie</w:t>
      </w:r>
      <w:r w:rsidR="00BE5B5E">
        <w:rPr>
          <w:b/>
          <w:bCs/>
          <w:noProof/>
          <w:lang w:val="fr-FR"/>
        </w:rPr>
        <w:t> </w:t>
      </w:r>
      <w:r w:rsidR="00283ED9" w:rsidRPr="00246A34">
        <w:rPr>
          <w:b/>
          <w:bCs/>
          <w:noProof/>
          <w:lang w:val="fr-FR"/>
        </w:rPr>
        <w:t>:</w:t>
      </w:r>
    </w:p>
    <w:p w:rsidR="00283ED9" w:rsidRPr="00246A34" w:rsidRDefault="00283ED9" w:rsidP="003926D7">
      <w:pPr>
        <w:pStyle w:val="SingleTxtG"/>
        <w:ind w:firstLine="567"/>
        <w:rPr>
          <w:b/>
          <w:noProof/>
          <w:lang w:val="fr-FR"/>
        </w:rPr>
      </w:pPr>
      <w:r w:rsidRPr="00246A34">
        <w:rPr>
          <w:b/>
          <w:noProof/>
          <w:lang w:val="fr-FR"/>
        </w:rPr>
        <w:t>a)</w:t>
      </w:r>
      <w:r w:rsidRPr="00246A34">
        <w:rPr>
          <w:b/>
          <w:noProof/>
          <w:lang w:val="fr-FR"/>
        </w:rPr>
        <w:tab/>
      </w:r>
      <w:r w:rsidR="00281706" w:rsidRPr="00246A34">
        <w:rPr>
          <w:b/>
          <w:noProof/>
          <w:lang w:val="fr-FR"/>
        </w:rPr>
        <w:t>De p</w:t>
      </w:r>
      <w:r w:rsidR="00281706" w:rsidRPr="00246A34">
        <w:rPr>
          <w:b/>
          <w:bCs/>
          <w:noProof/>
          <w:lang w:val="fr-FR"/>
        </w:rPr>
        <w:t>rendre des mesures concrètes pour favoriser la reconnaissance de la communauté des gens du voyage en tant que groupe ethnique, comme recommandé par le Comité pour l’élimination de la discrimination raciale (CERD/C/IRL/CO/2, par. 20);</w:t>
      </w:r>
    </w:p>
    <w:p w:rsidR="00283ED9" w:rsidRPr="00246A34" w:rsidRDefault="00283ED9" w:rsidP="003926D7">
      <w:pPr>
        <w:pStyle w:val="SingleTxtG"/>
        <w:ind w:firstLine="567"/>
        <w:rPr>
          <w:b/>
          <w:noProof/>
          <w:lang w:val="fr-FR"/>
        </w:rPr>
      </w:pPr>
      <w:r w:rsidRPr="00246A34">
        <w:rPr>
          <w:b/>
          <w:noProof/>
          <w:lang w:val="fr-FR"/>
        </w:rPr>
        <w:t>b)</w:t>
      </w:r>
      <w:r w:rsidRPr="00246A34">
        <w:rPr>
          <w:b/>
          <w:noProof/>
          <w:lang w:val="fr-FR"/>
        </w:rPr>
        <w:tab/>
      </w:r>
      <w:r w:rsidR="00281706" w:rsidRPr="00246A34">
        <w:rPr>
          <w:b/>
          <w:noProof/>
          <w:lang w:val="fr-FR"/>
        </w:rPr>
        <w:t>D’é</w:t>
      </w:r>
      <w:r w:rsidR="00281706" w:rsidRPr="00246A34">
        <w:rPr>
          <w:b/>
          <w:bCs/>
          <w:noProof/>
          <w:lang w:val="fr-FR"/>
        </w:rPr>
        <w:t>tudier ou d’évaluer de manière approfondie les besoins de la communauté des gens du voyage, en particulier ceux des enfants, en matière de santé, de logement et d’éducation, ou d’exploiter les travaux de recherche déjà réalisés dans ce domaine, en vue de</w:t>
      </w:r>
      <w:r w:rsidR="00BE5B5E">
        <w:rPr>
          <w:b/>
          <w:bCs/>
          <w:noProof/>
          <w:lang w:val="fr-FR"/>
        </w:rPr>
        <w:t xml:space="preserve"> </w:t>
      </w:r>
      <w:r w:rsidR="00281706" w:rsidRPr="00246A34">
        <w:rPr>
          <w:b/>
          <w:bCs/>
          <w:noProof/>
          <w:lang w:val="fr-FR"/>
        </w:rPr>
        <w:t>concevoir à partir de ces informations des politiques, des stratégies et des mesures concrètes pour améliorer le bien</w:t>
      </w:r>
      <w:r w:rsidR="00BE5B5E">
        <w:rPr>
          <w:b/>
          <w:bCs/>
          <w:noProof/>
          <w:lang w:val="fr-FR"/>
        </w:rPr>
        <w:t>-</w:t>
      </w:r>
      <w:r w:rsidR="00281706" w:rsidRPr="00246A34">
        <w:rPr>
          <w:b/>
          <w:bCs/>
          <w:noProof/>
          <w:lang w:val="fr-FR"/>
        </w:rPr>
        <w:t>être des enfants</w:t>
      </w:r>
      <w:r w:rsidRPr="00246A34">
        <w:rPr>
          <w:b/>
          <w:noProof/>
          <w:lang w:val="fr-FR"/>
        </w:rPr>
        <w:t>;</w:t>
      </w:r>
    </w:p>
    <w:p w:rsidR="00283ED9" w:rsidRPr="00246A34" w:rsidRDefault="00283ED9" w:rsidP="003926D7">
      <w:pPr>
        <w:pStyle w:val="SingleTxtG"/>
        <w:ind w:firstLine="567"/>
        <w:rPr>
          <w:b/>
          <w:noProof/>
          <w:lang w:val="fr-FR"/>
        </w:rPr>
      </w:pPr>
      <w:r w:rsidRPr="00246A34">
        <w:rPr>
          <w:b/>
          <w:noProof/>
          <w:lang w:val="fr-FR"/>
        </w:rPr>
        <w:t>c)</w:t>
      </w:r>
      <w:r w:rsidRPr="00246A34">
        <w:rPr>
          <w:b/>
          <w:noProof/>
          <w:lang w:val="fr-FR"/>
        </w:rPr>
        <w:tab/>
      </w:r>
      <w:r w:rsidR="00281706" w:rsidRPr="00246A34">
        <w:rPr>
          <w:b/>
          <w:noProof/>
          <w:lang w:val="fr-FR"/>
        </w:rPr>
        <w:t xml:space="preserve">De </w:t>
      </w:r>
      <w:r w:rsidR="00281706" w:rsidRPr="00246A34">
        <w:rPr>
          <w:b/>
          <w:bCs/>
          <w:noProof/>
          <w:lang w:val="fr-FR"/>
        </w:rPr>
        <w:t>mettre en œuvre les recommandations du Groupe spécial sur la communauté des gens du voyage; et</w:t>
      </w:r>
      <w:r w:rsidR="00281706" w:rsidRPr="00246A34">
        <w:rPr>
          <w:b/>
          <w:noProof/>
          <w:lang w:val="fr-FR"/>
        </w:rPr>
        <w:t xml:space="preserve"> </w:t>
      </w:r>
    </w:p>
    <w:p w:rsidR="00283ED9" w:rsidRPr="00246A34" w:rsidRDefault="00283ED9" w:rsidP="003926D7">
      <w:pPr>
        <w:pStyle w:val="SingleTxtG"/>
        <w:ind w:firstLine="567"/>
        <w:rPr>
          <w:b/>
          <w:noProof/>
          <w:lang w:val="fr-FR"/>
        </w:rPr>
      </w:pPr>
      <w:r w:rsidRPr="00246A34">
        <w:rPr>
          <w:b/>
          <w:noProof/>
          <w:lang w:val="fr-FR"/>
        </w:rPr>
        <w:t>d)</w:t>
      </w:r>
      <w:r w:rsidRPr="00246A34">
        <w:rPr>
          <w:b/>
          <w:noProof/>
          <w:lang w:val="fr-FR"/>
        </w:rPr>
        <w:tab/>
      </w:r>
      <w:r w:rsidR="00281706" w:rsidRPr="00246A34">
        <w:rPr>
          <w:b/>
          <w:noProof/>
          <w:lang w:val="fr-FR"/>
        </w:rPr>
        <w:t>De f</w:t>
      </w:r>
      <w:r w:rsidR="00281706" w:rsidRPr="00246A34">
        <w:rPr>
          <w:b/>
          <w:bCs/>
          <w:noProof/>
          <w:lang w:val="fr-FR"/>
        </w:rPr>
        <w:t>ournir dans son prochain rapport des informations détaillées sur les mesures qui auront été prises pour permettre aux enfants de la communauté des gens du voyage</w:t>
      </w:r>
      <w:r w:rsidR="00BE5B5E">
        <w:rPr>
          <w:b/>
          <w:bCs/>
          <w:noProof/>
          <w:lang w:val="fr-FR"/>
        </w:rPr>
        <w:t xml:space="preserve"> </w:t>
      </w:r>
      <w:r w:rsidR="00281706" w:rsidRPr="00246A34">
        <w:rPr>
          <w:b/>
          <w:bCs/>
          <w:noProof/>
          <w:lang w:val="fr-FR"/>
        </w:rPr>
        <w:t>de jouir davantage de leurs droits, en particulier en ce qui concerne l’accès à l’éducation, au logement et aux services médicaux</w:t>
      </w:r>
      <w:r w:rsidRPr="00246A34">
        <w:rPr>
          <w:b/>
          <w:noProof/>
          <w:lang w:val="fr-FR"/>
        </w:rPr>
        <w:t>.</w:t>
      </w:r>
    </w:p>
    <w:p w:rsidR="00283ED9" w:rsidRPr="00DD03D6" w:rsidRDefault="00246A34" w:rsidP="00D12A92">
      <w:pPr>
        <w:pStyle w:val="SingleTxtG"/>
        <w:numPr>
          <w:ilvl w:val="0"/>
          <w:numId w:val="3"/>
        </w:numPr>
        <w:ind w:left="1134" w:firstLine="0"/>
        <w:rPr>
          <w:bCs/>
          <w:noProof/>
          <w:lang w:val="fr-FR"/>
        </w:rPr>
      </w:pPr>
      <w:r w:rsidRPr="00246A34">
        <w:rPr>
          <w:b/>
          <w:bCs/>
          <w:noProof/>
          <w:lang w:val="fr-FR"/>
        </w:rPr>
        <w:t>Le Comité prie l’État partie de</w:t>
      </w:r>
      <w:r w:rsidRPr="00246A34">
        <w:rPr>
          <w:b/>
          <w:bCs/>
          <w:noProof/>
          <w:szCs w:val="24"/>
          <w:lang w:val="fr-FR"/>
        </w:rPr>
        <w:t xml:space="preserve"> fournir dans son prochain rapport de plus amples informations sur les initiatives </w:t>
      </w:r>
      <w:r w:rsidRPr="00246A34">
        <w:rPr>
          <w:b/>
          <w:bCs/>
          <w:noProof/>
          <w:lang w:val="fr-FR"/>
        </w:rPr>
        <w:t>visant à promouvoir la langue et la culture irlandaises et sur les mesures visant à prévenir la marginalisation et l’exclusion sociale des enfants roms</w:t>
      </w:r>
      <w:r w:rsidR="00283ED9" w:rsidRPr="00246A34">
        <w:rPr>
          <w:b/>
          <w:noProof/>
          <w:lang w:val="fr-FR"/>
        </w:rPr>
        <w:t>.</w:t>
      </w:r>
    </w:p>
    <w:p w:rsidR="00283ED9" w:rsidRPr="00DD03D6" w:rsidRDefault="005F43C4" w:rsidP="00D12A92">
      <w:pPr>
        <w:pStyle w:val="SingleTxtG"/>
        <w:numPr>
          <w:ilvl w:val="0"/>
          <w:numId w:val="3"/>
        </w:numPr>
        <w:ind w:left="1134" w:firstLine="0"/>
        <w:rPr>
          <w:noProof/>
          <w:lang w:val="fr-FR"/>
        </w:rPr>
      </w:pPr>
      <w:r>
        <w:rPr>
          <w:noProof/>
          <w:lang w:val="fr-FR"/>
        </w:rPr>
        <w:t>Les membres de la communauté des gens du voyage en Irlande jouissent des mêmes droits civils et politiques garantis par la Constitution que tous les autres citoyens</w:t>
      </w:r>
      <w:r w:rsidR="00283ED9" w:rsidRPr="00DD03D6">
        <w:rPr>
          <w:noProof/>
          <w:lang w:val="fr-FR"/>
        </w:rPr>
        <w:t xml:space="preserve">. </w:t>
      </w:r>
      <w:r>
        <w:rPr>
          <w:noProof/>
          <w:lang w:val="fr-FR"/>
        </w:rPr>
        <w:t xml:space="preserve">Les principales mesures </w:t>
      </w:r>
      <w:r w:rsidR="00283ED9" w:rsidRPr="00DD03D6">
        <w:rPr>
          <w:noProof/>
          <w:lang w:val="fr-FR"/>
        </w:rPr>
        <w:t>antidiscrimination</w:t>
      </w:r>
      <w:r>
        <w:rPr>
          <w:noProof/>
          <w:lang w:val="fr-FR"/>
        </w:rPr>
        <w:t xml:space="preserve"> </w:t>
      </w:r>
      <w:r w:rsidR="00283ED9" w:rsidRPr="00DD03D6">
        <w:rPr>
          <w:noProof/>
          <w:lang w:val="fr-FR"/>
        </w:rPr>
        <w:t xml:space="preserve">– </w:t>
      </w:r>
      <w:r>
        <w:rPr>
          <w:noProof/>
          <w:lang w:val="fr-FR"/>
        </w:rPr>
        <w:t>la loi de 1989 sur l’interdiction de l’i</w:t>
      </w:r>
      <w:r w:rsidR="00283ED9" w:rsidRPr="00DD03D6">
        <w:rPr>
          <w:noProof/>
          <w:lang w:val="fr-FR"/>
        </w:rPr>
        <w:t>ncit</w:t>
      </w:r>
      <w:r>
        <w:rPr>
          <w:noProof/>
          <w:lang w:val="fr-FR"/>
        </w:rPr>
        <w:t>ation à la haine</w:t>
      </w:r>
      <w:r w:rsidR="00283ED9" w:rsidRPr="00DD03D6">
        <w:rPr>
          <w:noProof/>
          <w:lang w:val="fr-FR"/>
        </w:rPr>
        <w:t xml:space="preserve">, </w:t>
      </w:r>
      <w:r>
        <w:rPr>
          <w:noProof/>
          <w:lang w:val="fr-FR"/>
        </w:rPr>
        <w:t>les lois de 1977-2007 sur les licenciements abusifs</w:t>
      </w:r>
      <w:r w:rsidR="00283ED9" w:rsidRPr="00DD03D6">
        <w:rPr>
          <w:noProof/>
          <w:lang w:val="fr-FR"/>
        </w:rPr>
        <w:t xml:space="preserve">, </w:t>
      </w:r>
      <w:r>
        <w:rPr>
          <w:noProof/>
          <w:lang w:val="fr-FR"/>
        </w:rPr>
        <w:t xml:space="preserve">les lois sur l’égalité en matière d’emploi et la loi sur l’égalité de traitement </w:t>
      </w:r>
      <w:r w:rsidR="00283ED9" w:rsidRPr="00DD03D6">
        <w:rPr>
          <w:noProof/>
          <w:lang w:val="fr-FR"/>
        </w:rPr>
        <w:t xml:space="preserve">– </w:t>
      </w:r>
      <w:r w:rsidR="0065492A">
        <w:rPr>
          <w:noProof/>
          <w:lang w:val="fr-FR"/>
        </w:rPr>
        <w:t xml:space="preserve">mentionnent expressément l’appartenance à cette communauté comme </w:t>
      </w:r>
      <w:r w:rsidR="00B94834">
        <w:rPr>
          <w:noProof/>
          <w:lang w:val="fr-FR"/>
        </w:rPr>
        <w:t>sujet</w:t>
      </w:r>
      <w:r w:rsidR="0065492A">
        <w:rPr>
          <w:noProof/>
          <w:lang w:val="fr-FR"/>
        </w:rPr>
        <w:t xml:space="preserve"> d’égalité</w:t>
      </w:r>
      <w:r w:rsidR="00283ED9" w:rsidRPr="00DD03D6">
        <w:rPr>
          <w:noProof/>
          <w:lang w:val="fr-FR"/>
        </w:rPr>
        <w:t xml:space="preserve">. </w:t>
      </w:r>
      <w:r w:rsidR="0065492A">
        <w:rPr>
          <w:noProof/>
          <w:lang w:val="fr-FR"/>
        </w:rPr>
        <w:t xml:space="preserve">La loi de 2004 sur l’égalité, qui a transposé les mesures énoncées dans trois directives de l’UE en matière d’égalité, </w:t>
      </w:r>
      <w:r w:rsidR="00B94834">
        <w:rPr>
          <w:noProof/>
          <w:lang w:val="fr-FR"/>
        </w:rPr>
        <w:t>a appliqué toutes les garanties contenues dans les directives aux neufs sujets figurant dans la législation irlandaise préexistante en matière d’égalité, et notamment celui de l’appartenance à la communauté des gens du voyage</w:t>
      </w:r>
      <w:r w:rsidR="00283ED9" w:rsidRPr="00DD03D6">
        <w:rPr>
          <w:noProof/>
          <w:lang w:val="fr-FR"/>
        </w:rPr>
        <w:t>.</w:t>
      </w:r>
      <w:r w:rsidR="00B94834">
        <w:rPr>
          <w:bCs/>
          <w:noProof/>
          <w:lang w:val="fr-FR"/>
        </w:rPr>
        <w:t xml:space="preserve"> Cette </w:t>
      </w:r>
      <w:r w:rsidR="00283ED9" w:rsidRPr="00DD03D6">
        <w:rPr>
          <w:bCs/>
          <w:noProof/>
          <w:lang w:val="fr-FR"/>
        </w:rPr>
        <w:t>l</w:t>
      </w:r>
      <w:r w:rsidR="00B94834">
        <w:rPr>
          <w:bCs/>
          <w:noProof/>
          <w:lang w:val="fr-FR"/>
        </w:rPr>
        <w:t>é</w:t>
      </w:r>
      <w:r w:rsidR="00283ED9" w:rsidRPr="00DD03D6">
        <w:rPr>
          <w:bCs/>
          <w:noProof/>
          <w:lang w:val="fr-FR"/>
        </w:rPr>
        <w:t xml:space="preserve">gislation </w:t>
      </w:r>
      <w:r w:rsidR="00B94834">
        <w:rPr>
          <w:bCs/>
          <w:noProof/>
          <w:lang w:val="fr-FR"/>
        </w:rPr>
        <w:t xml:space="preserve">protège également les groupes </w:t>
      </w:r>
      <w:r w:rsidR="00283ED9" w:rsidRPr="00DD03D6">
        <w:rPr>
          <w:bCs/>
          <w:noProof/>
          <w:lang w:val="fr-FR"/>
        </w:rPr>
        <w:t>racia</w:t>
      </w:r>
      <w:r w:rsidR="00B94834">
        <w:rPr>
          <w:bCs/>
          <w:noProof/>
          <w:lang w:val="fr-FR"/>
        </w:rPr>
        <w:t>ux et ethniques en tant que sujet</w:t>
      </w:r>
      <w:r w:rsidR="0016409B">
        <w:rPr>
          <w:bCs/>
          <w:noProof/>
          <w:lang w:val="fr-FR"/>
        </w:rPr>
        <w:t>s</w:t>
      </w:r>
      <w:r w:rsidR="00B94834">
        <w:rPr>
          <w:bCs/>
          <w:noProof/>
          <w:lang w:val="fr-FR"/>
        </w:rPr>
        <w:t xml:space="preserve"> spécifique</w:t>
      </w:r>
      <w:r w:rsidR="0016409B">
        <w:rPr>
          <w:bCs/>
          <w:noProof/>
          <w:lang w:val="fr-FR"/>
        </w:rPr>
        <w:t>s</w:t>
      </w:r>
      <w:r w:rsidR="00283ED9" w:rsidRPr="00DD03D6">
        <w:rPr>
          <w:noProof/>
          <w:lang w:val="fr-FR"/>
        </w:rPr>
        <w:t xml:space="preserve">. </w:t>
      </w:r>
    </w:p>
    <w:p w:rsidR="00283ED9" w:rsidRPr="00DD03D6" w:rsidRDefault="00B94834" w:rsidP="00270BE3">
      <w:pPr>
        <w:pStyle w:val="SingleTxtG"/>
        <w:numPr>
          <w:ilvl w:val="0"/>
          <w:numId w:val="3"/>
        </w:numPr>
        <w:ind w:left="1134" w:firstLine="0"/>
        <w:rPr>
          <w:bCs/>
          <w:noProof/>
          <w:lang w:val="fr-FR" w:eastAsia="en-GB"/>
        </w:rPr>
      </w:pPr>
      <w:r>
        <w:rPr>
          <w:noProof/>
          <w:lang w:val="fr-FR" w:eastAsia="en-GB"/>
        </w:rPr>
        <w:t xml:space="preserve">Pendant l’examen, auquel a procédé un groupe de travail du Conseil des droits de l’homme, du rapport soumis par l’Irlande à ce Conseil dans le cadre du processus d’examen périodique universel, une </w:t>
      </w:r>
      <w:r w:rsidR="00283ED9" w:rsidRPr="00DD03D6">
        <w:rPr>
          <w:noProof/>
          <w:lang w:val="fr-FR" w:eastAsia="en-GB"/>
        </w:rPr>
        <w:t>d</w:t>
      </w:r>
      <w:r>
        <w:rPr>
          <w:noProof/>
          <w:lang w:val="fr-FR" w:eastAsia="en-GB"/>
        </w:rPr>
        <w:t>é</w:t>
      </w:r>
      <w:r w:rsidR="00283ED9" w:rsidRPr="00DD03D6">
        <w:rPr>
          <w:noProof/>
          <w:lang w:val="fr-FR" w:eastAsia="en-GB"/>
        </w:rPr>
        <w:t>l</w:t>
      </w:r>
      <w:r>
        <w:rPr>
          <w:noProof/>
          <w:lang w:val="fr-FR" w:eastAsia="en-GB"/>
        </w:rPr>
        <w:t>é</w:t>
      </w:r>
      <w:r w:rsidR="00283ED9" w:rsidRPr="00DD03D6">
        <w:rPr>
          <w:noProof/>
          <w:lang w:val="fr-FR" w:eastAsia="en-GB"/>
        </w:rPr>
        <w:t xml:space="preserve">gation </w:t>
      </w:r>
      <w:r>
        <w:rPr>
          <w:noProof/>
          <w:lang w:val="fr-FR" w:eastAsia="en-GB"/>
        </w:rPr>
        <w:t xml:space="preserve">a expressément </w:t>
      </w:r>
      <w:r w:rsidR="00283ED9" w:rsidRPr="00DD03D6">
        <w:rPr>
          <w:noProof/>
          <w:lang w:val="fr-FR" w:eastAsia="en-GB"/>
        </w:rPr>
        <w:t>recomm</w:t>
      </w:r>
      <w:r>
        <w:rPr>
          <w:noProof/>
          <w:lang w:val="fr-FR" w:eastAsia="en-GB"/>
        </w:rPr>
        <w:t>andé à l’Irlande de reconnaître les gens du voyage en tant que minorité ethnique</w:t>
      </w:r>
      <w:r w:rsidR="00283ED9" w:rsidRPr="00DD03D6">
        <w:rPr>
          <w:noProof/>
          <w:lang w:val="fr-FR" w:eastAsia="en-GB"/>
        </w:rPr>
        <w:t xml:space="preserve">. </w:t>
      </w:r>
      <w:r w:rsidR="00474565">
        <w:rPr>
          <w:noProof/>
          <w:lang w:val="fr-FR" w:eastAsia="en-GB"/>
        </w:rPr>
        <w:t xml:space="preserve">Une </w:t>
      </w:r>
      <w:r w:rsidR="00283ED9" w:rsidRPr="00DD03D6">
        <w:rPr>
          <w:noProof/>
          <w:lang w:val="fr-FR" w:eastAsia="en-GB"/>
        </w:rPr>
        <w:t>conf</w:t>
      </w:r>
      <w:r w:rsidR="00474565">
        <w:rPr>
          <w:noProof/>
          <w:lang w:val="fr-FR" w:eastAsia="en-GB"/>
        </w:rPr>
        <w:t xml:space="preserve">érence organisée par le </w:t>
      </w:r>
      <w:r w:rsidR="00CC78E1">
        <w:rPr>
          <w:noProof/>
          <w:lang w:val="fr-FR" w:eastAsia="en-GB"/>
        </w:rPr>
        <w:t xml:space="preserve">Comité consultatif du Mouvement irlandais des gens du voyage s’est tenue en septembre </w:t>
      </w:r>
      <w:r w:rsidR="00283ED9" w:rsidRPr="00DD03D6">
        <w:rPr>
          <w:noProof/>
          <w:lang w:val="fr-FR" w:eastAsia="en-GB"/>
        </w:rPr>
        <w:t xml:space="preserve">2012 </w:t>
      </w:r>
      <w:r w:rsidR="00CC78E1">
        <w:rPr>
          <w:noProof/>
          <w:lang w:val="fr-FR" w:eastAsia="en-GB"/>
        </w:rPr>
        <w:t xml:space="preserve">pour </w:t>
      </w:r>
      <w:r w:rsidR="00CC78E1">
        <w:rPr>
          <w:noProof/>
          <w:lang w:val="fr-FR" w:eastAsia="en-GB"/>
        </w:rPr>
        <w:lastRenderedPageBreak/>
        <w:t>étudier la question de cette reconnaisance</w:t>
      </w:r>
      <w:r w:rsidR="00283ED9" w:rsidRPr="00DD03D6">
        <w:rPr>
          <w:noProof/>
          <w:lang w:val="fr-FR" w:eastAsia="en-GB"/>
        </w:rPr>
        <w:t xml:space="preserve">. </w:t>
      </w:r>
      <w:r w:rsidR="00CC78E1">
        <w:rPr>
          <w:noProof/>
          <w:lang w:val="fr-FR" w:eastAsia="en-GB"/>
        </w:rPr>
        <w:t>Cette question est actuellement examinée par le Ministère de la justice et de l’égalité</w:t>
      </w:r>
      <w:r w:rsidR="00283ED9" w:rsidRPr="00DD03D6">
        <w:rPr>
          <w:noProof/>
          <w:lang w:val="fr-FR" w:eastAsia="en-GB"/>
        </w:rPr>
        <w:t>.</w:t>
      </w:r>
    </w:p>
    <w:p w:rsidR="002E780C" w:rsidRPr="00DD03D6" w:rsidRDefault="00CC78E1" w:rsidP="00D12A92">
      <w:pPr>
        <w:pStyle w:val="SingleTxtG"/>
        <w:numPr>
          <w:ilvl w:val="0"/>
          <w:numId w:val="3"/>
        </w:numPr>
        <w:ind w:left="1134" w:firstLine="0"/>
        <w:rPr>
          <w:noProof/>
          <w:lang w:val="fr-FR" w:eastAsia="en-GB"/>
        </w:rPr>
      </w:pPr>
      <w:r>
        <w:rPr>
          <w:iCs/>
          <w:noProof/>
          <w:lang w:val="fr-FR" w:eastAsia="en-GB"/>
        </w:rPr>
        <w:t xml:space="preserve">Le </w:t>
      </w:r>
      <w:r w:rsidRPr="00CC78E1">
        <w:rPr>
          <w:i/>
          <w:lang w:val="fr-CH"/>
        </w:rPr>
        <w:t>Rapport et recommandations en vue de l’élaboration d’une stratégie pour l’éducation des gens du voyage</w:t>
      </w:r>
      <w:r w:rsidRPr="00DD03D6">
        <w:rPr>
          <w:iCs/>
          <w:noProof/>
          <w:lang w:val="fr-FR" w:eastAsia="en-GB"/>
        </w:rPr>
        <w:t xml:space="preserve"> </w:t>
      </w:r>
      <w:r w:rsidR="00283ED9" w:rsidRPr="00DD03D6">
        <w:rPr>
          <w:noProof/>
          <w:lang w:val="fr-FR" w:eastAsia="en-GB"/>
        </w:rPr>
        <w:t xml:space="preserve">(2006) </w:t>
      </w:r>
      <w:r>
        <w:rPr>
          <w:noProof/>
          <w:lang w:val="fr-FR" w:eastAsia="en-GB"/>
        </w:rPr>
        <w:t>a été publié pour donner suite aux recomma</w:t>
      </w:r>
      <w:r w:rsidR="00283ED9" w:rsidRPr="00DD03D6">
        <w:rPr>
          <w:noProof/>
          <w:lang w:val="fr-FR" w:eastAsia="en-GB"/>
        </w:rPr>
        <w:t xml:space="preserve">ndations </w:t>
      </w:r>
      <w:r>
        <w:rPr>
          <w:noProof/>
          <w:lang w:val="fr-FR" w:eastAsia="en-GB"/>
        </w:rPr>
        <w:t xml:space="preserve">figurant dans le </w:t>
      </w:r>
      <w:r w:rsidR="00283ED9" w:rsidRPr="00DD03D6">
        <w:rPr>
          <w:i/>
          <w:noProof/>
          <w:lang w:val="fr-FR" w:eastAsia="en-GB"/>
        </w:rPr>
        <w:t>R</w:t>
      </w:r>
      <w:r>
        <w:rPr>
          <w:i/>
          <w:noProof/>
          <w:lang w:val="fr-FR" w:eastAsia="en-GB"/>
        </w:rPr>
        <w:t>apport de l’équipe spéciale sur la communauté des gens du voyage</w:t>
      </w:r>
      <w:r w:rsidR="00283ED9" w:rsidRPr="00DD03D6">
        <w:rPr>
          <w:iCs/>
          <w:noProof/>
          <w:lang w:val="fr-FR" w:eastAsia="en-GB"/>
        </w:rPr>
        <w:t>, publi</w:t>
      </w:r>
      <w:r>
        <w:rPr>
          <w:iCs/>
          <w:noProof/>
          <w:lang w:val="fr-FR" w:eastAsia="en-GB"/>
        </w:rPr>
        <w:t xml:space="preserve">é par le Gouvernement irlandais en </w:t>
      </w:r>
      <w:r w:rsidR="00283ED9" w:rsidRPr="00DD03D6">
        <w:rPr>
          <w:noProof/>
          <w:lang w:val="fr-FR" w:eastAsia="en-GB"/>
        </w:rPr>
        <w:t xml:space="preserve">1995. </w:t>
      </w:r>
      <w:r>
        <w:rPr>
          <w:noProof/>
          <w:lang w:val="fr-FR" w:eastAsia="en-GB"/>
        </w:rPr>
        <w:t>Les mesures spéciales prises pour répondre aux besoins de</w:t>
      </w:r>
      <w:r w:rsidR="0016409B">
        <w:rPr>
          <w:noProof/>
          <w:lang w:val="fr-FR" w:eastAsia="en-GB"/>
        </w:rPr>
        <w:t>s</w:t>
      </w:r>
      <w:r>
        <w:rPr>
          <w:noProof/>
          <w:lang w:val="fr-FR" w:eastAsia="en-GB"/>
        </w:rPr>
        <w:t xml:space="preserve"> enfants appartenant à cette communauté </w:t>
      </w:r>
      <w:r w:rsidR="00283ED9" w:rsidRPr="00DD03D6">
        <w:rPr>
          <w:noProof/>
          <w:lang w:val="fr-FR" w:eastAsia="en-GB"/>
        </w:rPr>
        <w:t xml:space="preserve">– </w:t>
      </w:r>
      <w:r w:rsidR="001C1027">
        <w:rPr>
          <w:noProof/>
          <w:lang w:val="fr-FR" w:eastAsia="en-GB"/>
        </w:rPr>
        <w:t xml:space="preserve">notamment la </w:t>
      </w:r>
      <w:r w:rsidR="00283ED9" w:rsidRPr="00DD03D6">
        <w:rPr>
          <w:i/>
          <w:iCs/>
          <w:noProof/>
          <w:lang w:val="fr-FR" w:eastAsia="en-GB"/>
        </w:rPr>
        <w:t>Strat</w:t>
      </w:r>
      <w:r w:rsidR="001C1027">
        <w:rPr>
          <w:i/>
          <w:iCs/>
          <w:noProof/>
          <w:lang w:val="fr-FR" w:eastAsia="en-GB"/>
        </w:rPr>
        <w:t>é</w:t>
      </w:r>
      <w:r w:rsidR="00283ED9" w:rsidRPr="00DD03D6">
        <w:rPr>
          <w:i/>
          <w:iCs/>
          <w:noProof/>
          <w:lang w:val="fr-FR" w:eastAsia="en-GB"/>
        </w:rPr>
        <w:t>g</w:t>
      </w:r>
      <w:r w:rsidR="001C1027">
        <w:rPr>
          <w:i/>
          <w:iCs/>
          <w:noProof/>
          <w:lang w:val="fr-FR" w:eastAsia="en-GB"/>
        </w:rPr>
        <w:t>ie pour l’éducation des gens du voyage</w:t>
      </w:r>
      <w:r w:rsidR="00283ED9" w:rsidRPr="00DD03D6">
        <w:rPr>
          <w:noProof/>
          <w:lang w:val="fr-FR" w:eastAsia="en-GB"/>
        </w:rPr>
        <w:t xml:space="preserve">, </w:t>
      </w:r>
      <w:r w:rsidR="001C1027">
        <w:rPr>
          <w:noProof/>
          <w:lang w:val="fr-FR" w:eastAsia="en-GB"/>
        </w:rPr>
        <w:t xml:space="preserve">la </w:t>
      </w:r>
      <w:r w:rsidR="001C1027">
        <w:rPr>
          <w:i/>
          <w:iCs/>
          <w:noProof/>
          <w:lang w:val="fr-FR" w:eastAsia="en-GB"/>
        </w:rPr>
        <w:t>Straté</w:t>
      </w:r>
      <w:r w:rsidR="00283ED9" w:rsidRPr="00DD03D6">
        <w:rPr>
          <w:i/>
          <w:iCs/>
          <w:noProof/>
          <w:lang w:val="fr-FR" w:eastAsia="en-GB"/>
        </w:rPr>
        <w:t>g</w:t>
      </w:r>
      <w:r w:rsidR="001C1027">
        <w:rPr>
          <w:i/>
          <w:iCs/>
          <w:noProof/>
          <w:lang w:val="fr-FR" w:eastAsia="en-GB"/>
        </w:rPr>
        <w:t xml:space="preserve">ie pour une éducation interculturelle </w:t>
      </w:r>
      <w:r w:rsidR="001C1027">
        <w:rPr>
          <w:noProof/>
          <w:lang w:val="fr-FR" w:eastAsia="en-GB"/>
        </w:rPr>
        <w:t xml:space="preserve">et la </w:t>
      </w:r>
      <w:r w:rsidR="00A26380">
        <w:rPr>
          <w:i/>
          <w:iCs/>
          <w:noProof/>
          <w:lang w:val="fr-FR" w:eastAsia="en-GB"/>
        </w:rPr>
        <w:t>Straté</w:t>
      </w:r>
      <w:r w:rsidR="00283ED9" w:rsidRPr="00DD03D6">
        <w:rPr>
          <w:i/>
          <w:iCs/>
          <w:noProof/>
          <w:lang w:val="fr-FR" w:eastAsia="en-GB"/>
        </w:rPr>
        <w:t>g</w:t>
      </w:r>
      <w:r w:rsidR="00A26380">
        <w:rPr>
          <w:i/>
          <w:iCs/>
          <w:noProof/>
          <w:lang w:val="fr-FR" w:eastAsia="en-GB"/>
        </w:rPr>
        <w:t>ie pour l’hébergement des gens du voyage</w:t>
      </w:r>
      <w:r w:rsidR="00283ED9" w:rsidRPr="00DD03D6">
        <w:rPr>
          <w:noProof/>
          <w:lang w:val="fr-FR" w:eastAsia="en-GB"/>
        </w:rPr>
        <w:t xml:space="preserve"> – </w:t>
      </w:r>
      <w:r w:rsidR="00A26380">
        <w:rPr>
          <w:noProof/>
          <w:lang w:val="fr-FR" w:eastAsia="en-GB"/>
        </w:rPr>
        <w:t>sont mentionnées dans des sections antérieures du présent rapport et décrites en détail dans les chapitres qui vont suivre</w:t>
      </w:r>
      <w:r w:rsidR="00283ED9" w:rsidRPr="00DD03D6">
        <w:rPr>
          <w:noProof/>
          <w:lang w:val="fr-FR" w:eastAsia="en-GB"/>
        </w:rPr>
        <w:t>.</w:t>
      </w:r>
    </w:p>
    <w:p w:rsidR="00283ED9" w:rsidRPr="00DD03D6" w:rsidRDefault="007856B6" w:rsidP="00D12A92">
      <w:pPr>
        <w:pStyle w:val="SingleTxtG"/>
        <w:numPr>
          <w:ilvl w:val="0"/>
          <w:numId w:val="3"/>
        </w:numPr>
        <w:ind w:left="1134" w:firstLine="0"/>
        <w:rPr>
          <w:noProof/>
          <w:lang w:val="fr-FR" w:eastAsia="en-GB"/>
        </w:rPr>
      </w:pPr>
      <w:r>
        <w:rPr>
          <w:noProof/>
          <w:lang w:val="fr-FR"/>
        </w:rPr>
        <w:t xml:space="preserve">La Stratégie interculturelle nationale </w:t>
      </w:r>
      <w:r w:rsidR="00025E41">
        <w:rPr>
          <w:noProof/>
          <w:lang w:val="fr-FR"/>
        </w:rPr>
        <w:t>en matière de</w:t>
      </w:r>
      <w:r>
        <w:rPr>
          <w:noProof/>
          <w:lang w:val="fr-FR"/>
        </w:rPr>
        <w:t xml:space="preserve"> santé pour </w:t>
      </w:r>
      <w:r w:rsidR="00283ED9" w:rsidRPr="00DD03D6">
        <w:rPr>
          <w:noProof/>
          <w:lang w:val="fr-FR"/>
        </w:rPr>
        <w:t xml:space="preserve">2007-2012 </w:t>
      </w:r>
      <w:r>
        <w:rPr>
          <w:noProof/>
          <w:lang w:val="fr-FR"/>
        </w:rPr>
        <w:t>considère les gens du voyage comme la minorité culturelle la plus ancienne d’Irlande et l’une de celles qui sont le plus exposées au risque de maladie</w:t>
      </w:r>
      <w:r w:rsidR="00283ED9" w:rsidRPr="00DD03D6">
        <w:rPr>
          <w:noProof/>
          <w:lang w:val="fr-FR"/>
        </w:rPr>
        <w:t xml:space="preserve">. </w:t>
      </w:r>
      <w:r>
        <w:rPr>
          <w:noProof/>
          <w:lang w:val="fr-FR"/>
        </w:rPr>
        <w:t>De plus, elle considère que les enfants appartenant à cette communauté sont particulièrement vulnérables face à ce risque</w:t>
      </w:r>
      <w:r w:rsidR="00283ED9" w:rsidRPr="00DD03D6">
        <w:rPr>
          <w:noProof/>
          <w:lang w:val="fr-FR"/>
        </w:rPr>
        <w:t xml:space="preserve">. </w:t>
      </w:r>
      <w:r>
        <w:rPr>
          <w:noProof/>
          <w:lang w:val="fr-FR"/>
        </w:rPr>
        <w:t xml:space="preserve">Il en va de même pour les enfants roms, qui constituent un groupe particulièrement vulnérable, et </w:t>
      </w:r>
      <w:r w:rsidR="0019515D">
        <w:rPr>
          <w:noProof/>
          <w:lang w:val="fr-FR"/>
        </w:rPr>
        <w:t xml:space="preserve">des efforts considérables ont été déployés en ce qui les concerne. Le Service national de l’intégration sociale qui relève de la Direction des services de santé a pu faciliter la nomination d’un </w:t>
      </w:r>
      <w:r w:rsidR="00591C99">
        <w:rPr>
          <w:noProof/>
          <w:lang w:val="fr-FR"/>
        </w:rPr>
        <w:t>agent des services d’approche pour les Roms</w:t>
      </w:r>
      <w:r w:rsidR="00283ED9" w:rsidRPr="00DD03D6">
        <w:rPr>
          <w:noProof/>
          <w:lang w:val="fr-FR"/>
        </w:rPr>
        <w:t xml:space="preserve">, </w:t>
      </w:r>
      <w:r w:rsidR="00591C99">
        <w:rPr>
          <w:noProof/>
          <w:lang w:val="fr-FR"/>
        </w:rPr>
        <w:t>chargé d’établir le lien entre les familles et les services de santé</w:t>
      </w:r>
      <w:r w:rsidR="00283ED9" w:rsidRPr="00DD03D6">
        <w:rPr>
          <w:noProof/>
          <w:lang w:val="fr-FR"/>
        </w:rPr>
        <w:t xml:space="preserve">. </w:t>
      </w:r>
      <w:r w:rsidR="00591C99">
        <w:rPr>
          <w:noProof/>
          <w:lang w:val="fr-FR"/>
        </w:rPr>
        <w:t xml:space="preserve">Une série de </w:t>
      </w:r>
      <w:r w:rsidR="00283ED9" w:rsidRPr="00DD03D6">
        <w:rPr>
          <w:noProof/>
          <w:lang w:val="fr-FR"/>
        </w:rPr>
        <w:t>s</w:t>
      </w:r>
      <w:r w:rsidR="00591C99">
        <w:rPr>
          <w:noProof/>
          <w:lang w:val="fr-FR"/>
        </w:rPr>
        <w:t>é</w:t>
      </w:r>
      <w:r w:rsidR="00283ED9" w:rsidRPr="00DD03D6">
        <w:rPr>
          <w:noProof/>
          <w:lang w:val="fr-FR"/>
        </w:rPr>
        <w:t>mina</w:t>
      </w:r>
      <w:r w:rsidR="00591C99">
        <w:rPr>
          <w:noProof/>
          <w:lang w:val="fr-FR"/>
        </w:rPr>
        <w:t>ire</w:t>
      </w:r>
      <w:r w:rsidR="00283ED9" w:rsidRPr="00DD03D6">
        <w:rPr>
          <w:noProof/>
          <w:lang w:val="fr-FR"/>
        </w:rPr>
        <w:t xml:space="preserve">s </w:t>
      </w:r>
      <w:r w:rsidR="00591C99">
        <w:rPr>
          <w:noProof/>
          <w:lang w:val="fr-FR"/>
        </w:rPr>
        <w:t xml:space="preserve">ont été accueillis conjointement par la Direction des services de santé et </w:t>
      </w:r>
      <w:r w:rsidR="00283ED9" w:rsidRPr="00DD03D6">
        <w:rPr>
          <w:noProof/>
          <w:lang w:val="fr-FR"/>
        </w:rPr>
        <w:t xml:space="preserve">Pavee Point </w:t>
      </w:r>
      <w:r w:rsidR="00591C99">
        <w:rPr>
          <w:noProof/>
          <w:lang w:val="fr-FR"/>
        </w:rPr>
        <w:t xml:space="preserve">pour examiner les problèmes auxquels doivent faire face les membres de ce groupe et les prestataires de services qui </w:t>
      </w:r>
      <w:r w:rsidR="00AD72E1">
        <w:rPr>
          <w:noProof/>
          <w:lang w:val="fr-FR"/>
        </w:rPr>
        <w:t>s’emploient</w:t>
      </w:r>
      <w:r w:rsidR="00E92D3C">
        <w:rPr>
          <w:noProof/>
          <w:lang w:val="fr-FR"/>
        </w:rPr>
        <w:t xml:space="preserve"> </w:t>
      </w:r>
      <w:r w:rsidR="00AD72E1">
        <w:rPr>
          <w:noProof/>
          <w:lang w:val="fr-FR"/>
        </w:rPr>
        <w:t>à répondre à leurs besoins</w:t>
      </w:r>
      <w:r w:rsidR="00283ED9" w:rsidRPr="00DD03D6">
        <w:rPr>
          <w:noProof/>
          <w:lang w:val="fr-FR"/>
        </w:rPr>
        <w:t xml:space="preserve">. </w:t>
      </w:r>
      <w:r w:rsidR="00AD72E1">
        <w:rPr>
          <w:noProof/>
          <w:lang w:val="fr-FR"/>
        </w:rPr>
        <w:t>L’un de ces séminaires était axé sur les questions liées à la protection des enfants et un rapport doit être finalisé sous peu à ce sujet</w:t>
      </w:r>
      <w:r w:rsidR="00283ED9" w:rsidRPr="00DD03D6">
        <w:rPr>
          <w:noProof/>
          <w:lang w:val="fr-FR"/>
        </w:rPr>
        <w:t xml:space="preserve">. </w:t>
      </w:r>
      <w:r w:rsidR="00AD72E1">
        <w:rPr>
          <w:noProof/>
          <w:lang w:val="fr-FR"/>
        </w:rPr>
        <w:t>Il existe une collaboration interinstitutions pour accélérer la réalisation des priorités fixées en matière de protection des enfants vulnérables</w:t>
      </w:r>
      <w:r w:rsidR="00283ED9" w:rsidRPr="00DD03D6">
        <w:rPr>
          <w:noProof/>
          <w:lang w:val="fr-FR"/>
        </w:rPr>
        <w:t xml:space="preserve">, </w:t>
      </w:r>
      <w:r w:rsidR="00AD72E1">
        <w:rPr>
          <w:noProof/>
          <w:lang w:val="fr-FR"/>
        </w:rPr>
        <w:t>notamment ceux qui appartiennent à la communauté des gens du voyage et à la communauté rom</w:t>
      </w:r>
      <w:r w:rsidR="00283ED9" w:rsidRPr="00DD03D6">
        <w:rPr>
          <w:noProof/>
          <w:lang w:val="fr-FR"/>
        </w:rPr>
        <w:t xml:space="preserve">. </w:t>
      </w:r>
      <w:r w:rsidR="00AD72E1">
        <w:rPr>
          <w:noProof/>
          <w:lang w:val="fr-FR"/>
        </w:rPr>
        <w:t>La création au sein du groupe Intégration sociale et protection d’un Comité « Les enfants d’abord » dans lequel les gens du voyage seront r</w:t>
      </w:r>
      <w:r w:rsidR="00D46262">
        <w:rPr>
          <w:noProof/>
          <w:lang w:val="fr-FR"/>
        </w:rPr>
        <w:t>epr</w:t>
      </w:r>
      <w:r w:rsidR="00AD72E1">
        <w:rPr>
          <w:noProof/>
          <w:lang w:val="fr-FR"/>
        </w:rPr>
        <w:t xml:space="preserve">ésentés </w:t>
      </w:r>
      <w:r w:rsidR="00D46262">
        <w:rPr>
          <w:noProof/>
          <w:lang w:val="fr-FR"/>
        </w:rPr>
        <w:t>facilitera la prise en compte des besoins particuliers des enfants de cette communauté</w:t>
      </w:r>
      <w:r w:rsidR="00283ED9" w:rsidRPr="00DD03D6">
        <w:rPr>
          <w:noProof/>
          <w:lang w:val="fr-FR"/>
        </w:rPr>
        <w:t>.</w:t>
      </w:r>
    </w:p>
    <w:p w:rsidR="00283ED9" w:rsidRPr="00DD03D6" w:rsidRDefault="00EA6932" w:rsidP="00D12A92">
      <w:pPr>
        <w:pStyle w:val="SingleTxtG"/>
        <w:numPr>
          <w:ilvl w:val="0"/>
          <w:numId w:val="3"/>
        </w:numPr>
        <w:ind w:left="1134" w:firstLine="0"/>
        <w:rPr>
          <w:noProof/>
          <w:lang w:val="fr-FR"/>
        </w:rPr>
      </w:pPr>
      <w:r>
        <w:rPr>
          <w:noProof/>
          <w:lang w:val="fr-FR"/>
        </w:rPr>
        <w:t>E</w:t>
      </w:r>
      <w:r w:rsidR="00283ED9" w:rsidRPr="00DD03D6">
        <w:rPr>
          <w:noProof/>
          <w:lang w:val="fr-FR"/>
        </w:rPr>
        <w:t xml:space="preserve">n 2010, </w:t>
      </w:r>
      <w:r>
        <w:rPr>
          <w:noProof/>
          <w:lang w:val="fr-FR"/>
        </w:rPr>
        <w:t>le Gouvernement irlandais a publié la</w:t>
      </w:r>
      <w:r w:rsidR="00283ED9" w:rsidRPr="00DD03D6">
        <w:rPr>
          <w:i/>
          <w:noProof/>
          <w:color w:val="000000"/>
          <w:lang w:val="fr-FR"/>
        </w:rPr>
        <w:t xml:space="preserve"> </w:t>
      </w:r>
      <w:r w:rsidR="00283ED9" w:rsidRPr="00DD03D6">
        <w:rPr>
          <w:i/>
          <w:iCs/>
          <w:noProof/>
          <w:color w:val="000000"/>
          <w:lang w:val="fr-FR"/>
        </w:rPr>
        <w:t>Strat</w:t>
      </w:r>
      <w:r>
        <w:rPr>
          <w:i/>
          <w:iCs/>
          <w:noProof/>
          <w:color w:val="000000"/>
          <w:lang w:val="fr-FR"/>
        </w:rPr>
        <w:t>égie bidécennale pour la langue irlandaise pour</w:t>
      </w:r>
      <w:r w:rsidR="00283ED9" w:rsidRPr="00DD03D6">
        <w:rPr>
          <w:i/>
          <w:iCs/>
          <w:noProof/>
          <w:color w:val="000000"/>
          <w:lang w:val="fr-FR"/>
        </w:rPr>
        <w:t xml:space="preserve"> 2010-2030</w:t>
      </w:r>
      <w:r w:rsidR="00283ED9" w:rsidRPr="00DD03D6">
        <w:rPr>
          <w:noProof/>
          <w:lang w:val="fr-FR"/>
        </w:rPr>
        <w:t xml:space="preserve">. </w:t>
      </w:r>
      <w:r>
        <w:rPr>
          <w:noProof/>
          <w:lang w:val="fr-FR"/>
        </w:rPr>
        <w:t xml:space="preserve">Dans son </w:t>
      </w:r>
      <w:r w:rsidR="00283ED9" w:rsidRPr="00DD03D6">
        <w:rPr>
          <w:noProof/>
          <w:lang w:val="fr-FR"/>
        </w:rPr>
        <w:t xml:space="preserve">Programme </w:t>
      </w:r>
      <w:r>
        <w:rPr>
          <w:noProof/>
          <w:lang w:val="fr-FR"/>
        </w:rPr>
        <w:t xml:space="preserve">pour </w:t>
      </w:r>
      <w:r w:rsidR="00283ED9" w:rsidRPr="00DD03D6">
        <w:rPr>
          <w:noProof/>
          <w:lang w:val="fr-FR"/>
        </w:rPr>
        <w:t>2011-2016</w:t>
      </w:r>
      <w:r>
        <w:rPr>
          <w:noProof/>
          <w:lang w:val="fr-FR"/>
        </w:rPr>
        <w:t xml:space="preserve">, le Gouvernement soutient cette </w:t>
      </w:r>
      <w:r w:rsidR="00283ED9" w:rsidRPr="00DD03D6">
        <w:rPr>
          <w:noProof/>
          <w:lang w:val="fr-FR"/>
        </w:rPr>
        <w:t>strat</w:t>
      </w:r>
      <w:r>
        <w:rPr>
          <w:noProof/>
          <w:lang w:val="fr-FR"/>
        </w:rPr>
        <w:t>é</w:t>
      </w:r>
      <w:r w:rsidR="00283ED9" w:rsidRPr="00DD03D6">
        <w:rPr>
          <w:noProof/>
          <w:lang w:val="fr-FR"/>
        </w:rPr>
        <w:t>g</w:t>
      </w:r>
      <w:r>
        <w:rPr>
          <w:noProof/>
          <w:lang w:val="fr-FR"/>
        </w:rPr>
        <w:t xml:space="preserve">ie et s’efforcera d’atteindre les buts et </w:t>
      </w:r>
      <w:r w:rsidR="00AC1230">
        <w:rPr>
          <w:noProof/>
          <w:lang w:val="fr-FR"/>
        </w:rPr>
        <w:t>cibles</w:t>
      </w:r>
      <w:r>
        <w:rPr>
          <w:noProof/>
          <w:lang w:val="fr-FR"/>
        </w:rPr>
        <w:t xml:space="preserve"> qu’elle propose</w:t>
      </w:r>
      <w:r w:rsidR="00283ED9" w:rsidRPr="00DD03D6">
        <w:rPr>
          <w:noProof/>
          <w:lang w:val="fr-FR"/>
        </w:rPr>
        <w:t>.</w:t>
      </w:r>
    </w:p>
    <w:p w:rsidR="00283ED9" w:rsidRPr="00DD03D6" w:rsidRDefault="00EA6932" w:rsidP="00D12A92">
      <w:pPr>
        <w:pStyle w:val="SingleTxtG"/>
        <w:numPr>
          <w:ilvl w:val="0"/>
          <w:numId w:val="3"/>
        </w:numPr>
        <w:ind w:left="1134" w:firstLine="0"/>
        <w:rPr>
          <w:noProof/>
          <w:lang w:val="fr-FR"/>
        </w:rPr>
      </w:pPr>
      <w:r>
        <w:rPr>
          <w:noProof/>
          <w:lang w:val="fr-FR"/>
        </w:rPr>
        <w:t xml:space="preserve">Le nombre d’écoles </w:t>
      </w:r>
      <w:r w:rsidR="000D030A">
        <w:rPr>
          <w:noProof/>
          <w:lang w:val="fr-FR"/>
        </w:rPr>
        <w:t xml:space="preserve">des zones </w:t>
      </w:r>
      <w:r w:rsidR="00283ED9" w:rsidRPr="00DD03D6">
        <w:rPr>
          <w:noProof/>
          <w:lang w:val="fr-FR"/>
        </w:rPr>
        <w:t>Gaeltacht (</w:t>
      </w:r>
      <w:r w:rsidR="000D030A">
        <w:rPr>
          <w:noProof/>
          <w:lang w:val="fr-FR"/>
        </w:rPr>
        <w:t>irlandophones</w:t>
      </w:r>
      <w:r w:rsidR="00283ED9" w:rsidRPr="00DD03D6">
        <w:rPr>
          <w:noProof/>
          <w:lang w:val="fr-FR"/>
        </w:rPr>
        <w:t xml:space="preserve">) </w:t>
      </w:r>
      <w:r w:rsidR="000D030A">
        <w:rPr>
          <w:noProof/>
          <w:lang w:val="fr-FR"/>
        </w:rPr>
        <w:t xml:space="preserve">a chuté de </w:t>
      </w:r>
      <w:r w:rsidR="00283ED9" w:rsidRPr="00DD03D6">
        <w:rPr>
          <w:noProof/>
          <w:lang w:val="fr-FR"/>
        </w:rPr>
        <w:t xml:space="preserve">153 </w:t>
      </w:r>
      <w:r w:rsidR="000D030A">
        <w:rPr>
          <w:noProof/>
          <w:lang w:val="fr-FR"/>
        </w:rPr>
        <w:t xml:space="preserve">à un peu plus de </w:t>
      </w:r>
      <w:r w:rsidR="00283ED9" w:rsidRPr="00DD03D6">
        <w:rPr>
          <w:noProof/>
          <w:lang w:val="fr-FR"/>
        </w:rPr>
        <w:t xml:space="preserve">100, </w:t>
      </w:r>
      <w:r>
        <w:rPr>
          <w:noProof/>
          <w:lang w:val="fr-FR"/>
        </w:rPr>
        <w:t xml:space="preserve">mais </w:t>
      </w:r>
      <w:r w:rsidR="000D030A">
        <w:rPr>
          <w:noProof/>
          <w:lang w:val="fr-FR"/>
        </w:rPr>
        <w:t xml:space="preserve">le nombre des écoles où l’irlandais est la langue d’enseignement en dehors de ces zones est passé de </w:t>
      </w:r>
      <w:r w:rsidR="00283ED9" w:rsidRPr="00DD03D6">
        <w:rPr>
          <w:noProof/>
          <w:lang w:val="fr-FR"/>
        </w:rPr>
        <w:t>20</w:t>
      </w:r>
      <w:r w:rsidR="000D030A">
        <w:rPr>
          <w:noProof/>
          <w:lang w:val="fr-FR"/>
        </w:rPr>
        <w:t xml:space="preserve"> e</w:t>
      </w:r>
      <w:r w:rsidR="00283ED9" w:rsidRPr="00DD03D6">
        <w:rPr>
          <w:noProof/>
          <w:lang w:val="fr-FR"/>
        </w:rPr>
        <w:t xml:space="preserve">n 1975/76 </w:t>
      </w:r>
      <w:r w:rsidR="000D030A">
        <w:rPr>
          <w:noProof/>
          <w:lang w:val="fr-FR"/>
        </w:rPr>
        <w:t>à</w:t>
      </w:r>
      <w:r w:rsidR="00283ED9" w:rsidRPr="00DD03D6">
        <w:rPr>
          <w:noProof/>
          <w:lang w:val="fr-FR"/>
        </w:rPr>
        <w:t xml:space="preserve"> 141 </w:t>
      </w:r>
      <w:r w:rsidR="000D030A">
        <w:rPr>
          <w:noProof/>
          <w:lang w:val="fr-FR"/>
        </w:rPr>
        <w:t xml:space="preserve">en </w:t>
      </w:r>
      <w:r w:rsidR="00283ED9" w:rsidRPr="00DD03D6">
        <w:rPr>
          <w:noProof/>
          <w:lang w:val="fr-FR"/>
        </w:rPr>
        <w:t>2011/12.</w:t>
      </w:r>
    </w:p>
    <w:p w:rsidR="00283ED9" w:rsidRPr="00DD03D6" w:rsidRDefault="00283ED9" w:rsidP="000D030A">
      <w:pPr>
        <w:pStyle w:val="H23G"/>
        <w:ind w:firstLine="0"/>
        <w:rPr>
          <w:noProof/>
          <w:lang w:val="fr-FR" w:eastAsia="en-GB"/>
        </w:rPr>
      </w:pPr>
      <w:r w:rsidRPr="00DD03D6">
        <w:rPr>
          <w:noProof/>
          <w:lang w:val="fr-FR" w:eastAsia="en-GB"/>
        </w:rPr>
        <w:t>Protocol</w:t>
      </w:r>
      <w:r w:rsidR="000D030A">
        <w:rPr>
          <w:noProof/>
          <w:lang w:val="fr-FR" w:eastAsia="en-GB"/>
        </w:rPr>
        <w:t xml:space="preserve">e facultatif à la </w:t>
      </w:r>
      <w:r w:rsidR="009D119F" w:rsidRPr="00DD03D6">
        <w:rPr>
          <w:noProof/>
          <w:lang w:val="fr-FR" w:eastAsia="en-GB"/>
        </w:rPr>
        <w:t xml:space="preserve">Convention </w:t>
      </w:r>
      <w:r w:rsidR="000D030A">
        <w:rPr>
          <w:noProof/>
          <w:lang w:val="fr-FR" w:eastAsia="en-GB"/>
        </w:rPr>
        <w:t xml:space="preserve">relative aux droits de l’enfant concernant l’implication d’enfants dans les conflits armés </w:t>
      </w:r>
    </w:p>
    <w:p w:rsidR="00283ED9" w:rsidRPr="00DD03D6" w:rsidRDefault="000D030A" w:rsidP="009D119F">
      <w:pPr>
        <w:pStyle w:val="SingleTxtG"/>
        <w:numPr>
          <w:ilvl w:val="0"/>
          <w:numId w:val="3"/>
        </w:numPr>
        <w:ind w:left="1134" w:firstLine="0"/>
        <w:rPr>
          <w:b/>
          <w:noProof/>
          <w:lang w:val="fr-FR"/>
        </w:rPr>
      </w:pPr>
      <w:r w:rsidRPr="000D030A">
        <w:rPr>
          <w:b/>
          <w:noProof/>
          <w:szCs w:val="24"/>
          <w:lang w:val="fr-FR"/>
        </w:rPr>
        <w:t>Le Comité se réjouit à l’idée que l’État partie, ainsi qu’il l’a annoncé, lui présentera prochainement son rapport initial sur la mise en application du Protocole facultatif à la</w:t>
      </w:r>
      <w:r w:rsidR="00BE5B5E">
        <w:rPr>
          <w:b/>
          <w:noProof/>
          <w:szCs w:val="24"/>
          <w:lang w:val="fr-FR"/>
        </w:rPr>
        <w:t xml:space="preserve"> </w:t>
      </w:r>
      <w:r w:rsidRPr="000D030A">
        <w:rPr>
          <w:b/>
          <w:noProof/>
          <w:szCs w:val="24"/>
          <w:lang w:val="fr-FR"/>
        </w:rPr>
        <w:t>Convention relative aux droits de l’enfant concernant l’implication d’enfants dans les conflits armés, qui devait être soumis en décembre 2004</w:t>
      </w:r>
      <w:r w:rsidR="00283ED9" w:rsidRPr="00DD03D6">
        <w:rPr>
          <w:b/>
          <w:noProof/>
          <w:lang w:val="fr-FR"/>
        </w:rPr>
        <w:t>.</w:t>
      </w:r>
    </w:p>
    <w:p w:rsidR="00283ED9" w:rsidRPr="00DD03D6" w:rsidRDefault="000F2CEA" w:rsidP="00270BE3">
      <w:pPr>
        <w:pStyle w:val="SingleTxtG"/>
        <w:numPr>
          <w:ilvl w:val="0"/>
          <w:numId w:val="3"/>
        </w:numPr>
        <w:ind w:left="1134" w:firstLine="0"/>
        <w:rPr>
          <w:noProof/>
          <w:lang w:val="fr-FR" w:eastAsia="en-GB"/>
        </w:rPr>
      </w:pPr>
      <w:r>
        <w:rPr>
          <w:noProof/>
          <w:lang w:val="fr-FR" w:eastAsia="en-GB"/>
        </w:rPr>
        <w:t>L’</w:t>
      </w:r>
      <w:r w:rsidR="00283ED9" w:rsidRPr="00DD03D6">
        <w:rPr>
          <w:noProof/>
          <w:lang w:val="fr-FR" w:eastAsia="en-GB"/>
        </w:rPr>
        <w:t>Irland</w:t>
      </w:r>
      <w:r>
        <w:rPr>
          <w:noProof/>
          <w:lang w:val="fr-FR" w:eastAsia="en-GB"/>
        </w:rPr>
        <w:t>e</w:t>
      </w:r>
      <w:r w:rsidR="00283ED9" w:rsidRPr="00DD03D6">
        <w:rPr>
          <w:noProof/>
          <w:lang w:val="fr-FR" w:eastAsia="en-GB"/>
        </w:rPr>
        <w:t xml:space="preserve"> </w:t>
      </w:r>
      <w:r>
        <w:rPr>
          <w:noProof/>
          <w:lang w:val="fr-FR" w:eastAsia="en-GB"/>
        </w:rPr>
        <w:t xml:space="preserve">a soumis son premier rapport sur le </w:t>
      </w:r>
      <w:r w:rsidRPr="00DD03D6">
        <w:rPr>
          <w:noProof/>
          <w:lang w:val="fr-FR" w:eastAsia="en-GB"/>
        </w:rPr>
        <w:t>Protocol</w:t>
      </w:r>
      <w:r>
        <w:rPr>
          <w:noProof/>
          <w:lang w:val="fr-FR" w:eastAsia="en-GB"/>
        </w:rPr>
        <w:t xml:space="preserve">e facultatif à la </w:t>
      </w:r>
      <w:r w:rsidRPr="00DD03D6">
        <w:rPr>
          <w:noProof/>
          <w:lang w:val="fr-FR" w:eastAsia="en-GB"/>
        </w:rPr>
        <w:t xml:space="preserve">Convention </w:t>
      </w:r>
      <w:r>
        <w:rPr>
          <w:noProof/>
          <w:lang w:val="fr-FR" w:eastAsia="en-GB"/>
        </w:rPr>
        <w:t>relative aux droits de l’enfant concernant l’implication d’enfants dans les conflits armés</w:t>
      </w:r>
      <w:r w:rsidRPr="00DD03D6">
        <w:rPr>
          <w:noProof/>
          <w:lang w:val="fr-FR" w:eastAsia="en-GB"/>
        </w:rPr>
        <w:t xml:space="preserve"> </w:t>
      </w:r>
      <w:r>
        <w:rPr>
          <w:noProof/>
          <w:lang w:val="fr-FR" w:eastAsia="en-GB"/>
        </w:rPr>
        <w:t>e</w:t>
      </w:r>
      <w:r w:rsidR="00283ED9" w:rsidRPr="00DD03D6">
        <w:rPr>
          <w:noProof/>
          <w:lang w:val="fr-FR" w:eastAsia="en-GB"/>
        </w:rPr>
        <w:t xml:space="preserve">n </w:t>
      </w:r>
      <w:r>
        <w:rPr>
          <w:noProof/>
          <w:lang w:val="fr-FR" w:eastAsia="en-GB"/>
        </w:rPr>
        <w:t>dé</w:t>
      </w:r>
      <w:r w:rsidR="00283ED9" w:rsidRPr="00DD03D6">
        <w:rPr>
          <w:noProof/>
          <w:lang w:val="fr-FR" w:eastAsia="en-GB"/>
        </w:rPr>
        <w:t>cemb</w:t>
      </w:r>
      <w:r>
        <w:rPr>
          <w:noProof/>
          <w:lang w:val="fr-FR" w:eastAsia="en-GB"/>
        </w:rPr>
        <w:t>re</w:t>
      </w:r>
      <w:r w:rsidR="00283ED9" w:rsidRPr="00DD03D6">
        <w:rPr>
          <w:noProof/>
          <w:lang w:val="fr-FR" w:eastAsia="en-GB"/>
        </w:rPr>
        <w:t xml:space="preserve"> 2006. </w:t>
      </w:r>
    </w:p>
    <w:p w:rsidR="00283ED9" w:rsidRPr="00DD03D6" w:rsidRDefault="000F2CEA" w:rsidP="00D12A92">
      <w:pPr>
        <w:pStyle w:val="SingleTxtG"/>
        <w:numPr>
          <w:ilvl w:val="0"/>
          <w:numId w:val="3"/>
        </w:numPr>
        <w:ind w:left="1134" w:firstLine="0"/>
        <w:rPr>
          <w:noProof/>
          <w:lang w:val="fr-FR" w:eastAsia="en-GB"/>
        </w:rPr>
      </w:pPr>
      <w:r>
        <w:rPr>
          <w:noProof/>
          <w:lang w:val="fr-FR" w:eastAsia="en-GB"/>
        </w:rPr>
        <w:t>Le Ministre de la défense a exposé les grandes lignes d’un projet visant à porter de 17 à 18 ans l’âge minimal du recrutement dans les forces de défense</w:t>
      </w:r>
      <w:r w:rsidR="00283ED9" w:rsidRPr="00DD03D6">
        <w:rPr>
          <w:noProof/>
          <w:lang w:val="fr-FR" w:eastAsia="en-GB"/>
        </w:rPr>
        <w:t>.</w:t>
      </w:r>
      <w:r w:rsidR="00E92D3C">
        <w:rPr>
          <w:noProof/>
          <w:lang w:val="fr-FR" w:eastAsia="en-GB"/>
        </w:rPr>
        <w:t xml:space="preserve"> </w:t>
      </w:r>
      <w:r>
        <w:rPr>
          <w:noProof/>
          <w:lang w:val="fr-FR" w:eastAsia="en-GB"/>
        </w:rPr>
        <w:t xml:space="preserve">L’État présentera au Comité un rapport complet sur le respect des dispositions du Protocole facultatif une fois que le Ministre aura finalisé </w:t>
      </w:r>
      <w:r w:rsidR="001759C7">
        <w:rPr>
          <w:noProof/>
          <w:lang w:val="fr-FR" w:eastAsia="en-GB"/>
        </w:rPr>
        <w:t>les nouvelles dispositions</w:t>
      </w:r>
      <w:r w:rsidR="00283ED9" w:rsidRPr="00DD03D6">
        <w:rPr>
          <w:noProof/>
          <w:lang w:val="fr-FR" w:eastAsia="en-GB"/>
        </w:rPr>
        <w:t xml:space="preserve">. </w:t>
      </w:r>
    </w:p>
    <w:p w:rsidR="00283ED9" w:rsidRPr="00DD03D6" w:rsidRDefault="00D12A92" w:rsidP="009D119F">
      <w:pPr>
        <w:pStyle w:val="H23G"/>
        <w:rPr>
          <w:noProof/>
          <w:lang w:val="fr-FR" w:eastAsia="en-GB"/>
        </w:rPr>
      </w:pPr>
      <w:r w:rsidRPr="00DD03D6">
        <w:rPr>
          <w:noProof/>
          <w:lang w:val="fr-FR" w:eastAsia="en-GB"/>
        </w:rPr>
        <w:lastRenderedPageBreak/>
        <w:tab/>
      </w:r>
      <w:r w:rsidRPr="00DD03D6">
        <w:rPr>
          <w:noProof/>
          <w:lang w:val="fr-FR" w:eastAsia="en-GB"/>
        </w:rPr>
        <w:tab/>
      </w:r>
      <w:r w:rsidR="003F52BE" w:rsidRPr="00DD03D6">
        <w:rPr>
          <w:noProof/>
          <w:lang w:val="fr-FR" w:eastAsia="en-GB"/>
        </w:rPr>
        <w:t>Protocol</w:t>
      </w:r>
      <w:r w:rsidR="003F52BE">
        <w:rPr>
          <w:noProof/>
          <w:lang w:val="fr-FR" w:eastAsia="en-GB"/>
        </w:rPr>
        <w:t xml:space="preserve">e facultatif à la </w:t>
      </w:r>
      <w:r w:rsidR="003F52BE" w:rsidRPr="00DD03D6">
        <w:rPr>
          <w:noProof/>
          <w:lang w:val="fr-FR" w:eastAsia="en-GB"/>
        </w:rPr>
        <w:t xml:space="preserve">Convention </w:t>
      </w:r>
      <w:r w:rsidR="003F52BE">
        <w:rPr>
          <w:noProof/>
          <w:lang w:val="fr-FR" w:eastAsia="en-GB"/>
        </w:rPr>
        <w:t xml:space="preserve">relative aux droits de l’enfant concernant la vente d’enfants, la </w:t>
      </w:r>
      <w:r w:rsidR="009D119F" w:rsidRPr="00DD03D6">
        <w:rPr>
          <w:rStyle w:val="en"/>
          <w:noProof/>
          <w:lang w:val="fr-FR"/>
        </w:rPr>
        <w:t xml:space="preserve">prostitution </w:t>
      </w:r>
      <w:r w:rsidR="003F52BE">
        <w:rPr>
          <w:rStyle w:val="en"/>
          <w:noProof/>
          <w:lang w:val="fr-FR"/>
        </w:rPr>
        <w:t xml:space="preserve">des enfants et la </w:t>
      </w:r>
      <w:r w:rsidR="009D119F" w:rsidRPr="00DD03D6">
        <w:rPr>
          <w:rStyle w:val="en"/>
          <w:noProof/>
          <w:lang w:val="fr-FR"/>
        </w:rPr>
        <w:t>porn</w:t>
      </w:r>
      <w:r w:rsidR="003F52BE">
        <w:rPr>
          <w:rStyle w:val="en"/>
          <w:noProof/>
          <w:lang w:val="fr-FR"/>
        </w:rPr>
        <w:t>ographie mettant en scène des enfants</w:t>
      </w:r>
    </w:p>
    <w:p w:rsidR="00283ED9" w:rsidRPr="00DD03D6" w:rsidRDefault="003F52BE" w:rsidP="009D119F">
      <w:pPr>
        <w:pStyle w:val="SingleTxtG"/>
        <w:numPr>
          <w:ilvl w:val="0"/>
          <w:numId w:val="3"/>
        </w:numPr>
        <w:ind w:left="1134" w:firstLine="0"/>
        <w:rPr>
          <w:noProof/>
          <w:lang w:val="fr-FR"/>
        </w:rPr>
      </w:pPr>
      <w:r w:rsidRPr="003F52BE">
        <w:rPr>
          <w:b/>
          <w:noProof/>
          <w:lang w:val="fr-FR"/>
        </w:rPr>
        <w:t>Le Comité accueille avec satisfaction la signature, en 2000, du Protocole facultatif à la</w:t>
      </w:r>
      <w:r w:rsidR="00BE5B5E">
        <w:rPr>
          <w:b/>
          <w:noProof/>
          <w:lang w:val="fr-FR"/>
        </w:rPr>
        <w:t xml:space="preserve"> </w:t>
      </w:r>
      <w:r w:rsidRPr="003F52BE">
        <w:rPr>
          <w:b/>
          <w:noProof/>
          <w:lang w:val="fr-FR"/>
        </w:rPr>
        <w:t>Convention relative aux droits de l’enfant concernant la vente d’enfants, la prostitution des enfants et la pornographie mettant en scène des enfants, et recommande à l’État partie de ratifier ce protocole ainsi qu’il en a manifesté l’intention</w:t>
      </w:r>
      <w:r w:rsidR="00283ED9" w:rsidRPr="00DD03D6">
        <w:rPr>
          <w:b/>
          <w:noProof/>
          <w:lang w:val="fr-FR"/>
        </w:rPr>
        <w:t>.</w:t>
      </w:r>
    </w:p>
    <w:p w:rsidR="00283ED9" w:rsidRPr="00DD03D6" w:rsidRDefault="003F52BE" w:rsidP="0098192C">
      <w:pPr>
        <w:pStyle w:val="SingleTxtG"/>
        <w:numPr>
          <w:ilvl w:val="0"/>
          <w:numId w:val="3"/>
        </w:numPr>
        <w:ind w:left="1134" w:firstLine="0"/>
        <w:rPr>
          <w:bCs/>
          <w:noProof/>
          <w:lang w:val="fr-FR"/>
        </w:rPr>
      </w:pPr>
      <w:r>
        <w:rPr>
          <w:noProof/>
          <w:lang w:val="fr-FR"/>
        </w:rPr>
        <w:t xml:space="preserve">La Ministre de l’enfance et de la jeunesse a manifesté son intention d’étudier la question de la </w:t>
      </w:r>
      <w:r w:rsidR="00283ED9" w:rsidRPr="00DD03D6">
        <w:rPr>
          <w:noProof/>
          <w:lang w:val="fr-FR"/>
        </w:rPr>
        <w:t xml:space="preserve">ratification </w:t>
      </w:r>
      <w:r>
        <w:rPr>
          <w:noProof/>
          <w:lang w:val="fr-FR"/>
        </w:rPr>
        <w:t>du Protocole facultatif</w:t>
      </w:r>
      <w:r w:rsidRPr="003F52BE">
        <w:rPr>
          <w:noProof/>
          <w:lang w:val="fr-FR"/>
        </w:rPr>
        <w:t xml:space="preserve"> </w:t>
      </w:r>
      <w:r>
        <w:rPr>
          <w:noProof/>
          <w:lang w:val="fr-FR"/>
        </w:rPr>
        <w:t xml:space="preserve">dès que possible, après avoir </w:t>
      </w:r>
      <w:r w:rsidR="00E75F03">
        <w:rPr>
          <w:noProof/>
          <w:lang w:val="fr-FR"/>
        </w:rPr>
        <w:t>examiné de manière exhaustive le contenu de cet instrument avec le Ministre de la j</w:t>
      </w:r>
      <w:r w:rsidR="00283ED9" w:rsidRPr="00DD03D6">
        <w:rPr>
          <w:noProof/>
          <w:lang w:val="fr-FR"/>
        </w:rPr>
        <w:t xml:space="preserve">ustice </w:t>
      </w:r>
      <w:r w:rsidR="00E75F03">
        <w:rPr>
          <w:noProof/>
          <w:lang w:val="fr-FR"/>
        </w:rPr>
        <w:t>et de l’égalité</w:t>
      </w:r>
      <w:r w:rsidR="00283ED9" w:rsidRPr="00DD03D6">
        <w:rPr>
          <w:noProof/>
          <w:lang w:val="fr-FR"/>
        </w:rPr>
        <w:t xml:space="preserve">. </w:t>
      </w:r>
      <w:r w:rsidR="00E75F03">
        <w:rPr>
          <w:noProof/>
          <w:lang w:val="fr-FR"/>
        </w:rPr>
        <w:t xml:space="preserve">La Ministre </w:t>
      </w:r>
      <w:r w:rsidR="00400830">
        <w:rPr>
          <w:noProof/>
          <w:lang w:val="fr-FR"/>
        </w:rPr>
        <w:t xml:space="preserve">a abordé la question de la </w:t>
      </w:r>
      <w:r w:rsidR="00283ED9" w:rsidRPr="00DD03D6">
        <w:rPr>
          <w:noProof/>
          <w:lang w:val="fr-FR"/>
        </w:rPr>
        <w:t xml:space="preserve">ratification </w:t>
      </w:r>
      <w:r w:rsidR="009E1B80">
        <w:rPr>
          <w:noProof/>
          <w:lang w:val="fr-FR"/>
        </w:rPr>
        <w:t xml:space="preserve">de ce </w:t>
      </w:r>
      <w:r w:rsidR="00283ED9" w:rsidRPr="00DD03D6">
        <w:rPr>
          <w:noProof/>
          <w:lang w:val="fr-FR"/>
        </w:rPr>
        <w:t>Protocol</w:t>
      </w:r>
      <w:r w:rsidR="009E1B80">
        <w:rPr>
          <w:noProof/>
          <w:lang w:val="fr-FR"/>
        </w:rPr>
        <w:t>e</w:t>
      </w:r>
      <w:r w:rsidR="00283ED9" w:rsidRPr="00DD03D6">
        <w:rPr>
          <w:noProof/>
          <w:lang w:val="fr-FR"/>
        </w:rPr>
        <w:t xml:space="preserve"> </w:t>
      </w:r>
      <w:r w:rsidR="00AC49D4">
        <w:rPr>
          <w:noProof/>
          <w:lang w:val="fr-FR"/>
        </w:rPr>
        <w:t>avec la Représentante</w:t>
      </w:r>
      <w:r w:rsidR="009E1B80">
        <w:rPr>
          <w:noProof/>
          <w:lang w:val="fr-FR"/>
        </w:rPr>
        <w:t xml:space="preserve"> spéciale du </w:t>
      </w:r>
      <w:r w:rsidR="00D66C8A" w:rsidRPr="00DD03D6">
        <w:rPr>
          <w:noProof/>
          <w:lang w:val="fr-FR"/>
        </w:rPr>
        <w:t>Secr</w:t>
      </w:r>
      <w:r w:rsidR="00D03139">
        <w:rPr>
          <w:noProof/>
          <w:lang w:val="fr-FR"/>
        </w:rPr>
        <w:t xml:space="preserve">étaire général </w:t>
      </w:r>
      <w:r w:rsidR="00256019">
        <w:rPr>
          <w:w w:val="102"/>
          <w:lang w:val="fr-FR"/>
        </w:rPr>
        <w:t>chargée de la question de la violence à l’encontre des enfants</w:t>
      </w:r>
      <w:r w:rsidR="0014156D" w:rsidRPr="00DD03D6">
        <w:rPr>
          <w:noProof/>
          <w:lang w:val="fr-FR"/>
        </w:rPr>
        <w:t xml:space="preserve">, </w:t>
      </w:r>
      <w:r w:rsidR="00283ED9" w:rsidRPr="00DD03D6">
        <w:rPr>
          <w:noProof/>
          <w:lang w:val="fr-FR"/>
        </w:rPr>
        <w:t xml:space="preserve">Martha Santos Pais, </w:t>
      </w:r>
      <w:r w:rsidR="00D03139">
        <w:rPr>
          <w:noProof/>
          <w:lang w:val="fr-FR"/>
        </w:rPr>
        <w:t xml:space="preserve">qu’elle a rencontrée à </w:t>
      </w:r>
      <w:r w:rsidR="00283ED9" w:rsidRPr="00DD03D6">
        <w:rPr>
          <w:noProof/>
          <w:lang w:val="fr-FR"/>
        </w:rPr>
        <w:t xml:space="preserve">Dublin </w:t>
      </w:r>
      <w:r w:rsidR="00D03139">
        <w:rPr>
          <w:noProof/>
          <w:lang w:val="fr-FR"/>
        </w:rPr>
        <w:t xml:space="preserve">le </w:t>
      </w:r>
      <w:r w:rsidR="00283ED9" w:rsidRPr="00DD03D6">
        <w:rPr>
          <w:noProof/>
          <w:lang w:val="fr-FR"/>
        </w:rPr>
        <w:t xml:space="preserve">11 </w:t>
      </w:r>
      <w:r w:rsidR="00D03139">
        <w:rPr>
          <w:noProof/>
          <w:lang w:val="fr-FR"/>
        </w:rPr>
        <w:t xml:space="preserve">juin </w:t>
      </w:r>
      <w:r w:rsidR="00283ED9" w:rsidRPr="00DD03D6">
        <w:rPr>
          <w:noProof/>
          <w:lang w:val="fr-FR"/>
        </w:rPr>
        <w:t xml:space="preserve">2012 </w:t>
      </w:r>
      <w:r w:rsidR="00D03139">
        <w:rPr>
          <w:noProof/>
          <w:lang w:val="fr-FR"/>
        </w:rPr>
        <w:t xml:space="preserve">à l’occasion de la visite officielle </w:t>
      </w:r>
      <w:r w:rsidR="00AC49D4">
        <w:rPr>
          <w:noProof/>
          <w:lang w:val="fr-FR"/>
        </w:rPr>
        <w:t>que celle-ci a effectuée</w:t>
      </w:r>
      <w:r w:rsidR="00D03139">
        <w:rPr>
          <w:noProof/>
          <w:lang w:val="fr-FR"/>
        </w:rPr>
        <w:t xml:space="preserve"> en Irlande</w:t>
      </w:r>
      <w:r w:rsidR="00283ED9" w:rsidRPr="00DD03D6">
        <w:rPr>
          <w:noProof/>
          <w:lang w:val="fr-FR"/>
        </w:rPr>
        <w:t>. I</w:t>
      </w:r>
      <w:r w:rsidR="00256019">
        <w:rPr>
          <w:noProof/>
          <w:lang w:val="fr-FR"/>
        </w:rPr>
        <w:t xml:space="preserve">l a été convenu que la question serait priorisée </w:t>
      </w:r>
      <w:r w:rsidR="00AC49D4">
        <w:rPr>
          <w:noProof/>
          <w:lang w:val="fr-FR"/>
        </w:rPr>
        <w:t xml:space="preserve">après son examen </w:t>
      </w:r>
      <w:r w:rsidR="00256019">
        <w:rPr>
          <w:noProof/>
          <w:lang w:val="fr-FR"/>
        </w:rPr>
        <w:t xml:space="preserve">par la population irlandaise lors du </w:t>
      </w:r>
      <w:r w:rsidR="00AC49D4">
        <w:rPr>
          <w:noProof/>
          <w:lang w:val="fr-FR"/>
        </w:rPr>
        <w:t xml:space="preserve">référendum sur les droits des enfants, tenu en </w:t>
      </w:r>
      <w:r w:rsidR="00283ED9" w:rsidRPr="00DD03D6">
        <w:rPr>
          <w:noProof/>
          <w:lang w:val="fr-FR"/>
        </w:rPr>
        <w:t xml:space="preserve">2012, </w:t>
      </w:r>
      <w:r w:rsidR="00AC49D4">
        <w:rPr>
          <w:noProof/>
          <w:lang w:val="fr-FR"/>
        </w:rPr>
        <w:t>la présentation du prochain rapport de l’État au Comité des droits de l’enfant et la mise en place de la nouvelle Agence pour l’enfant et la famille</w:t>
      </w:r>
      <w:r w:rsidR="00283ED9" w:rsidRPr="00DD03D6">
        <w:rPr>
          <w:noProof/>
          <w:lang w:val="fr-FR"/>
        </w:rPr>
        <w:t>.</w:t>
      </w:r>
    </w:p>
    <w:p w:rsidR="00283ED9" w:rsidRPr="00DD03D6" w:rsidRDefault="00AC49D4" w:rsidP="00D12A92">
      <w:pPr>
        <w:pStyle w:val="SingleTxtG"/>
        <w:numPr>
          <w:ilvl w:val="0"/>
          <w:numId w:val="3"/>
        </w:numPr>
        <w:ind w:left="1134" w:firstLine="0"/>
        <w:rPr>
          <w:noProof/>
          <w:lang w:val="fr-FR"/>
        </w:rPr>
      </w:pPr>
      <w:r>
        <w:rPr>
          <w:noProof/>
          <w:lang w:val="fr-FR"/>
        </w:rPr>
        <w:t>Un grand nombre des dispositions de droit pénal de ce Protocole facultatif à la Convention ont d’ores et déjà été mises en application dans la législation interne en vigueur</w:t>
      </w:r>
      <w:r w:rsidR="00283ED9" w:rsidRPr="00DD03D6">
        <w:rPr>
          <w:noProof/>
          <w:lang w:val="fr-FR"/>
        </w:rPr>
        <w:t xml:space="preserve">. </w:t>
      </w:r>
      <w:r>
        <w:rPr>
          <w:noProof/>
          <w:lang w:val="fr-FR"/>
        </w:rPr>
        <w:t xml:space="preserve">Les propositions de loi que le </w:t>
      </w:r>
      <w:r w:rsidR="00283ED9" w:rsidRPr="00DD03D6">
        <w:rPr>
          <w:noProof/>
          <w:lang w:val="fr-FR"/>
        </w:rPr>
        <w:t>Minist</w:t>
      </w:r>
      <w:r>
        <w:rPr>
          <w:noProof/>
          <w:lang w:val="fr-FR"/>
        </w:rPr>
        <w:t>re de la j</w:t>
      </w:r>
      <w:r w:rsidR="00283ED9" w:rsidRPr="00DD03D6">
        <w:rPr>
          <w:noProof/>
          <w:lang w:val="fr-FR"/>
        </w:rPr>
        <w:t xml:space="preserve">ustice </w:t>
      </w:r>
      <w:r>
        <w:rPr>
          <w:noProof/>
          <w:lang w:val="fr-FR"/>
        </w:rPr>
        <w:t xml:space="preserve">et de l’égalité compte soumettre très prochainement au Gouvernement </w:t>
      </w:r>
      <w:r w:rsidR="00886FED">
        <w:rPr>
          <w:noProof/>
          <w:lang w:val="fr-FR"/>
        </w:rPr>
        <w:t>faciliteront le plein respect des exigences en matière de droit pénal contenues dans le Protocole facultatif et les autres instruments juridiques internationaux connexes</w:t>
      </w:r>
      <w:r w:rsidR="00283ED9" w:rsidRPr="00DD03D6">
        <w:rPr>
          <w:noProof/>
          <w:lang w:val="fr-FR"/>
        </w:rPr>
        <w:t>.</w:t>
      </w:r>
    </w:p>
    <w:p w:rsidR="00283ED9" w:rsidRPr="00DD03D6" w:rsidRDefault="006A68A4" w:rsidP="006A68A4">
      <w:pPr>
        <w:pStyle w:val="H1G"/>
        <w:ind w:firstLine="0"/>
        <w:rPr>
          <w:noProof/>
          <w:lang w:val="fr-FR" w:eastAsia="en-GB"/>
        </w:rPr>
      </w:pPr>
      <w:r>
        <w:rPr>
          <w:noProof/>
          <w:lang w:val="fr-FR" w:eastAsia="en-GB"/>
        </w:rPr>
        <w:t>Suivi et diffusion</w:t>
      </w:r>
      <w:r w:rsidR="00283ED9" w:rsidRPr="00DD03D6">
        <w:rPr>
          <w:noProof/>
          <w:lang w:val="fr-FR" w:eastAsia="en-GB"/>
        </w:rPr>
        <w:t xml:space="preserve"> </w:t>
      </w:r>
      <w:r w:rsidR="002A1CB1" w:rsidRPr="00DD03D6">
        <w:rPr>
          <w:noProof/>
          <w:lang w:val="fr-FR" w:eastAsia="en-GB"/>
        </w:rPr>
        <w:t>(</w:t>
      </w:r>
      <w:r>
        <w:rPr>
          <w:noProof/>
          <w:lang w:val="fr-FR" w:eastAsia="en-GB"/>
        </w:rPr>
        <w:t xml:space="preserve">voir le chapitre </w:t>
      </w:r>
      <w:r w:rsidR="00283ED9" w:rsidRPr="00DD03D6">
        <w:rPr>
          <w:noProof/>
          <w:lang w:val="fr-FR" w:eastAsia="en-GB"/>
        </w:rPr>
        <w:t>1)</w:t>
      </w:r>
    </w:p>
    <w:p w:rsidR="00283ED9" w:rsidRPr="006A68A4" w:rsidRDefault="006A68A4" w:rsidP="00D12A92">
      <w:pPr>
        <w:pStyle w:val="SingleTxtG"/>
        <w:numPr>
          <w:ilvl w:val="0"/>
          <w:numId w:val="3"/>
        </w:numPr>
        <w:ind w:left="1134" w:firstLine="0"/>
        <w:rPr>
          <w:noProof/>
          <w:lang w:val="fr-FR"/>
        </w:rPr>
      </w:pPr>
      <w:r w:rsidRPr="006A68A4">
        <w:rPr>
          <w:b/>
          <w:bCs/>
          <w:noProof/>
          <w:lang w:val="fr-FR"/>
        </w:rPr>
        <w:t>Le Comité recommande à l’État partie de prendre toutes les mesures voulues pour assurer la pleine application des présentes recommandations, notamment en les transmettant aux ministères concernés, à l’</w:t>
      </w:r>
      <w:r w:rsidRPr="006A68A4">
        <w:rPr>
          <w:b/>
          <w:bCs/>
          <w:i/>
          <w:iCs/>
          <w:noProof/>
          <w:lang w:val="fr-FR"/>
        </w:rPr>
        <w:t>Oireachtas</w:t>
      </w:r>
      <w:r w:rsidRPr="006A68A4">
        <w:rPr>
          <w:b/>
          <w:bCs/>
          <w:noProof/>
          <w:lang w:val="fr-FR"/>
        </w:rPr>
        <w:t xml:space="preserve"> (Parlement national) et aux autorités locales compétentes, pour examen et suite à donner</w:t>
      </w:r>
      <w:r w:rsidR="00283ED9" w:rsidRPr="006A68A4">
        <w:rPr>
          <w:b/>
          <w:noProof/>
          <w:lang w:val="fr-FR"/>
        </w:rPr>
        <w:t>.</w:t>
      </w:r>
    </w:p>
    <w:p w:rsidR="00283ED9" w:rsidRPr="00DD03D6" w:rsidRDefault="006A68A4" w:rsidP="00D12A92">
      <w:pPr>
        <w:pStyle w:val="SingleTxtG"/>
        <w:numPr>
          <w:ilvl w:val="0"/>
          <w:numId w:val="3"/>
        </w:numPr>
        <w:ind w:left="1134" w:firstLine="0"/>
        <w:rPr>
          <w:noProof/>
          <w:lang w:val="fr-FR"/>
        </w:rPr>
      </w:pPr>
      <w:r w:rsidRPr="006A68A4">
        <w:rPr>
          <w:b/>
          <w:bCs/>
          <w:noProof/>
          <w:lang w:val="fr-FR"/>
        </w:rPr>
        <w:t>Le Comité recommande en outre à l’État partie de diffuser largement son deuxième rapport périodique et ses réponses écrites à la liste des points à traiter, ainsi que les recommandations y afférentes (observations finales) adoptées par le Comité, notamment (mais non exclusivement) par l’Internet, auprès du grand public, des organisations de la société civile, des groupements de jeunesse et des enfants, de façon à susciter un débat et à faire connaître la Convention, sa mise en œuvre et son suivi</w:t>
      </w:r>
      <w:r w:rsidR="00283ED9" w:rsidRPr="00DD03D6">
        <w:rPr>
          <w:b/>
          <w:noProof/>
          <w:lang w:val="fr-FR"/>
        </w:rPr>
        <w:t>.</w:t>
      </w:r>
    </w:p>
    <w:p w:rsidR="00283ED9" w:rsidRPr="00DD03D6" w:rsidRDefault="006A68A4" w:rsidP="00D12A92">
      <w:pPr>
        <w:pStyle w:val="SingleTxtG"/>
        <w:numPr>
          <w:ilvl w:val="0"/>
          <w:numId w:val="3"/>
        </w:numPr>
        <w:ind w:left="1134" w:firstLine="0"/>
        <w:rPr>
          <w:noProof/>
          <w:lang w:val="fr-FR"/>
        </w:rPr>
      </w:pPr>
      <w:r>
        <w:rPr>
          <w:noProof/>
          <w:lang w:val="fr-FR"/>
        </w:rPr>
        <w:t>La presse écrite, la radio et la télévision rendent largement compte des rapports périodiques, qui sont par ailleurs mis à la disposition de toutes les ONG compétentes par le biais de l’</w:t>
      </w:r>
      <w:r w:rsidR="00283ED9" w:rsidRPr="00DD03D6">
        <w:rPr>
          <w:noProof/>
          <w:lang w:val="fr-FR"/>
        </w:rPr>
        <w:t>Alliance</w:t>
      </w:r>
      <w:r>
        <w:rPr>
          <w:noProof/>
          <w:lang w:val="fr-FR"/>
        </w:rPr>
        <w:t xml:space="preserve"> pour les droits des enfants</w:t>
      </w:r>
      <w:r w:rsidR="00283ED9" w:rsidRPr="00DD03D6">
        <w:rPr>
          <w:noProof/>
          <w:lang w:val="fr-FR"/>
        </w:rPr>
        <w:t xml:space="preserve">. </w:t>
      </w:r>
      <w:r>
        <w:rPr>
          <w:noProof/>
          <w:lang w:val="fr-FR"/>
        </w:rPr>
        <w:t>Ces rapports, ainsi que des exemplaires des observations finales, sont également diffusés sur les sites Web du Gouvernement irlandais par l’intermédiaire du Ministère de l’enfance et de la jeunesse</w:t>
      </w:r>
      <w:r w:rsidR="00283ED9" w:rsidRPr="00DD03D6">
        <w:rPr>
          <w:noProof/>
          <w:lang w:val="fr-FR"/>
        </w:rPr>
        <w:t xml:space="preserve">. </w:t>
      </w:r>
      <w:r>
        <w:rPr>
          <w:noProof/>
          <w:lang w:val="fr-FR"/>
        </w:rPr>
        <w:t xml:space="preserve">Un nombre limité d’exemplaires sont réservés aux élèves et étudiants, aux </w:t>
      </w:r>
      <w:r w:rsidR="00C82C57">
        <w:rPr>
          <w:lang w:val="fr-FR"/>
        </w:rPr>
        <w:t xml:space="preserve">chercheurs dans le domaine des politiques publiques et aux </w:t>
      </w:r>
      <w:r w:rsidR="00C61336">
        <w:rPr>
          <w:noProof/>
          <w:lang w:val="fr-FR"/>
        </w:rPr>
        <w:t>universitaires</w:t>
      </w:r>
      <w:r w:rsidR="00283ED9" w:rsidRPr="00DD03D6">
        <w:rPr>
          <w:noProof/>
          <w:lang w:val="fr-FR"/>
        </w:rPr>
        <w:t xml:space="preserve">, </w:t>
      </w:r>
      <w:r w:rsidR="00C61336">
        <w:rPr>
          <w:noProof/>
          <w:lang w:val="fr-FR"/>
        </w:rPr>
        <w:t xml:space="preserve">ainsi que, sur demande, aux écoles où sont dispensés des modules d’éducation </w:t>
      </w:r>
      <w:r w:rsidR="00295559">
        <w:rPr>
          <w:noProof/>
          <w:lang w:val="fr-FR"/>
        </w:rPr>
        <w:t>aux</w:t>
      </w:r>
      <w:r w:rsidR="00C61336">
        <w:rPr>
          <w:noProof/>
          <w:lang w:val="fr-FR"/>
        </w:rPr>
        <w:t xml:space="preserve"> droits de l’homme</w:t>
      </w:r>
      <w:r w:rsidR="00283ED9" w:rsidRPr="00DD03D6">
        <w:rPr>
          <w:noProof/>
          <w:lang w:val="fr-FR"/>
        </w:rPr>
        <w:t>.</w:t>
      </w:r>
    </w:p>
    <w:p w:rsidR="00283ED9" w:rsidRPr="00DD03D6" w:rsidRDefault="00C61336" w:rsidP="00C61336">
      <w:pPr>
        <w:pStyle w:val="H1G"/>
        <w:ind w:firstLine="0"/>
        <w:rPr>
          <w:noProof/>
          <w:lang w:val="fr-FR"/>
        </w:rPr>
      </w:pPr>
      <w:r>
        <w:rPr>
          <w:noProof/>
          <w:lang w:val="fr-FR"/>
        </w:rPr>
        <w:lastRenderedPageBreak/>
        <w:t xml:space="preserve">Prochain rapport </w:t>
      </w:r>
    </w:p>
    <w:p w:rsidR="00283ED9" w:rsidRPr="00DD03D6" w:rsidRDefault="00C61336" w:rsidP="0091392E">
      <w:pPr>
        <w:pStyle w:val="SingleTxtG"/>
        <w:numPr>
          <w:ilvl w:val="0"/>
          <w:numId w:val="3"/>
        </w:numPr>
        <w:ind w:left="1134" w:firstLine="0"/>
        <w:rPr>
          <w:b/>
          <w:bCs/>
          <w:noProof/>
          <w:lang w:val="fr-FR"/>
        </w:rPr>
      </w:pPr>
      <w:r w:rsidRPr="00C61336">
        <w:rPr>
          <w:b/>
          <w:bCs/>
          <w:noProof/>
          <w:lang w:val="fr-FR"/>
        </w:rPr>
        <w:t>Le Comité invite l’État partie à présenter ses troisièm</w:t>
      </w:r>
      <w:r w:rsidR="00BE5B5E">
        <w:rPr>
          <w:b/>
          <w:bCs/>
          <w:noProof/>
          <w:lang w:val="fr-FR"/>
        </w:rPr>
        <w:t xml:space="preserve">e et quatrième rapports sous la </w:t>
      </w:r>
      <w:r w:rsidRPr="00C61336">
        <w:rPr>
          <w:b/>
          <w:bCs/>
          <w:noProof/>
          <w:lang w:val="fr-FR"/>
        </w:rPr>
        <w:t>forme d’un document de synthès</w:t>
      </w:r>
      <w:r w:rsidR="00BE5B5E">
        <w:rPr>
          <w:b/>
          <w:bCs/>
          <w:noProof/>
          <w:lang w:val="fr-FR"/>
        </w:rPr>
        <w:t>e d’ici au 27 avril 2009 (c’est-</w:t>
      </w:r>
      <w:r w:rsidRPr="00C61336">
        <w:rPr>
          <w:b/>
          <w:bCs/>
          <w:noProof/>
          <w:lang w:val="fr-FR"/>
        </w:rPr>
        <w:t>à</w:t>
      </w:r>
      <w:r w:rsidR="00BE5B5E">
        <w:rPr>
          <w:b/>
          <w:bCs/>
          <w:noProof/>
          <w:lang w:val="fr-FR"/>
        </w:rPr>
        <w:t xml:space="preserve">-dire la date fixée pour le </w:t>
      </w:r>
      <w:r w:rsidRPr="00C61336">
        <w:rPr>
          <w:b/>
          <w:bCs/>
          <w:noProof/>
          <w:lang w:val="fr-FR"/>
        </w:rPr>
        <w:t>quatrième rapport), à titre de mesure exceptionnelle tenant au grand nombre de rapports que le Comité reçoit chaque année. Ce</w:t>
      </w:r>
      <w:r w:rsidR="00BE5B5E">
        <w:rPr>
          <w:b/>
          <w:bCs/>
          <w:noProof/>
          <w:lang w:val="fr-FR"/>
        </w:rPr>
        <w:t xml:space="preserve"> </w:t>
      </w:r>
      <w:r w:rsidRPr="00C61336">
        <w:rPr>
          <w:b/>
          <w:bCs/>
          <w:noProof/>
          <w:lang w:val="fr-FR"/>
        </w:rPr>
        <w:t>document ne devra pas dépasser 120 pages (voir CRC/C/118). Le Comité attend de l’État partie qu’il présente par la suite un rapport tous les cinq ans, comme le prévoit la Convention</w:t>
      </w:r>
      <w:r w:rsidR="00283ED9" w:rsidRPr="00DD03D6">
        <w:rPr>
          <w:b/>
          <w:bCs/>
          <w:noProof/>
          <w:lang w:val="fr-FR"/>
        </w:rPr>
        <w:t>.</w:t>
      </w:r>
    </w:p>
    <w:p w:rsidR="00283ED9" w:rsidRPr="00DD03D6" w:rsidRDefault="00C61336" w:rsidP="007B3831">
      <w:pPr>
        <w:pStyle w:val="SingleTxtG"/>
        <w:numPr>
          <w:ilvl w:val="0"/>
          <w:numId w:val="3"/>
        </w:numPr>
        <w:ind w:left="1134" w:firstLine="0"/>
        <w:rPr>
          <w:noProof/>
          <w:lang w:val="fr-FR"/>
        </w:rPr>
      </w:pPr>
      <w:r>
        <w:rPr>
          <w:noProof/>
          <w:lang w:val="fr-FR"/>
        </w:rPr>
        <w:t>L’État présente ses excuses pour le retard apporté à la soumission de ces rapports et il en a avisé le Comité</w:t>
      </w:r>
      <w:r w:rsidR="00283ED9" w:rsidRPr="00DD03D6">
        <w:rPr>
          <w:noProof/>
          <w:lang w:val="fr-FR"/>
        </w:rPr>
        <w:t xml:space="preserve">. </w:t>
      </w:r>
      <w:r>
        <w:rPr>
          <w:noProof/>
          <w:lang w:val="fr-FR"/>
        </w:rPr>
        <w:t>L’économie irlandais</w:t>
      </w:r>
      <w:r w:rsidR="00AC1230">
        <w:rPr>
          <w:noProof/>
          <w:lang w:val="fr-FR"/>
        </w:rPr>
        <w:t>e</w:t>
      </w:r>
      <w:r>
        <w:rPr>
          <w:noProof/>
          <w:lang w:val="fr-FR"/>
        </w:rPr>
        <w:t xml:space="preserve"> ayant connu, en 2009 et</w:t>
      </w:r>
      <w:r w:rsidR="00C5498E">
        <w:rPr>
          <w:noProof/>
          <w:lang w:val="fr-FR"/>
        </w:rPr>
        <w:t xml:space="preserve"> 2010 en particulier, un ralent</w:t>
      </w:r>
      <w:r>
        <w:rPr>
          <w:noProof/>
          <w:lang w:val="fr-FR"/>
        </w:rPr>
        <w:t>issem</w:t>
      </w:r>
      <w:r w:rsidR="00C5498E">
        <w:rPr>
          <w:noProof/>
          <w:lang w:val="fr-FR"/>
        </w:rPr>
        <w:t>e</w:t>
      </w:r>
      <w:r>
        <w:rPr>
          <w:noProof/>
          <w:lang w:val="fr-FR"/>
        </w:rPr>
        <w:t xml:space="preserve">nt aussi soudain que </w:t>
      </w:r>
      <w:r w:rsidR="00C5498E">
        <w:rPr>
          <w:noProof/>
          <w:lang w:val="fr-FR"/>
        </w:rPr>
        <w:t>spectaculaire, il a été difficile, à la suite de cette période, d’évaluer avec précision</w:t>
      </w:r>
      <w:r w:rsidR="00283ED9" w:rsidRPr="00DD03D6">
        <w:rPr>
          <w:noProof/>
          <w:lang w:val="fr-FR"/>
        </w:rPr>
        <w:t xml:space="preserve"> </w:t>
      </w:r>
      <w:r w:rsidR="00C5498E">
        <w:rPr>
          <w:noProof/>
          <w:lang w:val="fr-FR"/>
        </w:rPr>
        <w:t xml:space="preserve">les répercussions à moyen et à long termes des ajustements pouvant devoir être apportés aux dépenses et </w:t>
      </w:r>
      <w:r w:rsidR="00283ED9" w:rsidRPr="00DD03D6">
        <w:rPr>
          <w:noProof/>
          <w:lang w:val="fr-FR"/>
        </w:rPr>
        <w:t xml:space="preserve">programmes </w:t>
      </w:r>
      <w:r w:rsidR="00C5498E">
        <w:rPr>
          <w:noProof/>
          <w:lang w:val="fr-FR"/>
        </w:rPr>
        <w:t xml:space="preserve">concernant tous les </w:t>
      </w:r>
      <w:r w:rsidR="00283ED9" w:rsidRPr="00DD03D6">
        <w:rPr>
          <w:noProof/>
          <w:lang w:val="fr-FR"/>
        </w:rPr>
        <w:t xml:space="preserve">aspects </w:t>
      </w:r>
      <w:r w:rsidR="00C5498E">
        <w:rPr>
          <w:noProof/>
          <w:lang w:val="fr-FR"/>
        </w:rPr>
        <w:t xml:space="preserve">de la politique du Gouvernement, et il a été nécessaire de laisser s’écouler une période de temps raisonnable pour </w:t>
      </w:r>
      <w:r w:rsidR="00C90004">
        <w:rPr>
          <w:noProof/>
          <w:lang w:val="fr-FR"/>
        </w:rPr>
        <w:t xml:space="preserve">que puisse </w:t>
      </w:r>
      <w:r w:rsidR="00275449">
        <w:rPr>
          <w:noProof/>
          <w:lang w:val="fr-FR"/>
        </w:rPr>
        <w:t>se dégager</w:t>
      </w:r>
      <w:r w:rsidR="00C90004">
        <w:rPr>
          <w:noProof/>
          <w:lang w:val="fr-FR"/>
        </w:rPr>
        <w:t xml:space="preserve"> une image plus précise de la situation en ce qui concerne les </w:t>
      </w:r>
      <w:r w:rsidR="00283ED9" w:rsidRPr="00DD03D6">
        <w:rPr>
          <w:noProof/>
          <w:lang w:val="fr-FR"/>
        </w:rPr>
        <w:t xml:space="preserve">services </w:t>
      </w:r>
      <w:r w:rsidR="00C90004">
        <w:rPr>
          <w:noProof/>
          <w:lang w:val="fr-FR"/>
        </w:rPr>
        <w:t>aux enfants en général et l’incidence sur les budgets interministériels en particulier</w:t>
      </w:r>
      <w:r w:rsidR="00283ED9" w:rsidRPr="00DD03D6">
        <w:rPr>
          <w:noProof/>
          <w:lang w:val="fr-FR"/>
        </w:rPr>
        <w:t xml:space="preserve">. </w:t>
      </w:r>
      <w:r w:rsidR="00275449">
        <w:rPr>
          <w:noProof/>
          <w:lang w:val="fr-FR"/>
        </w:rPr>
        <w:t>Le présent rapport</w:t>
      </w:r>
      <w:r w:rsidR="00283ED9" w:rsidRPr="00DD03D6">
        <w:rPr>
          <w:noProof/>
          <w:lang w:val="fr-FR"/>
        </w:rPr>
        <w:t xml:space="preserve">, </w:t>
      </w:r>
      <w:r w:rsidR="00275449">
        <w:rPr>
          <w:noProof/>
          <w:lang w:val="fr-FR"/>
        </w:rPr>
        <w:t xml:space="preserve">qui porte sur la </w:t>
      </w:r>
      <w:r w:rsidR="00283ED9" w:rsidRPr="00DD03D6">
        <w:rPr>
          <w:noProof/>
          <w:lang w:val="fr-FR"/>
        </w:rPr>
        <w:t>p</w:t>
      </w:r>
      <w:r w:rsidR="00275449">
        <w:rPr>
          <w:noProof/>
          <w:lang w:val="fr-FR"/>
        </w:rPr>
        <w:t>é</w:t>
      </w:r>
      <w:r w:rsidR="00283ED9" w:rsidRPr="00DD03D6">
        <w:rPr>
          <w:noProof/>
          <w:lang w:val="fr-FR"/>
        </w:rPr>
        <w:t>riod</w:t>
      </w:r>
      <w:r w:rsidR="00275449">
        <w:rPr>
          <w:noProof/>
          <w:lang w:val="fr-FR"/>
        </w:rPr>
        <w:t>e</w:t>
      </w:r>
      <w:r w:rsidR="00283ED9" w:rsidRPr="00DD03D6">
        <w:rPr>
          <w:noProof/>
          <w:lang w:val="fr-FR"/>
        </w:rPr>
        <w:t xml:space="preserve"> </w:t>
      </w:r>
      <w:r w:rsidR="00275449">
        <w:rPr>
          <w:noProof/>
          <w:lang w:val="fr-FR"/>
        </w:rPr>
        <w:t xml:space="preserve">allant de </w:t>
      </w:r>
      <w:r w:rsidR="00283ED9" w:rsidRPr="00DD03D6">
        <w:rPr>
          <w:noProof/>
          <w:lang w:val="fr-FR"/>
        </w:rPr>
        <w:t xml:space="preserve">2006 </w:t>
      </w:r>
      <w:r w:rsidR="00275449">
        <w:rPr>
          <w:noProof/>
          <w:lang w:val="fr-FR"/>
        </w:rPr>
        <w:t>à</w:t>
      </w:r>
      <w:r w:rsidR="00283ED9" w:rsidRPr="00DD03D6">
        <w:rPr>
          <w:noProof/>
          <w:lang w:val="fr-FR"/>
        </w:rPr>
        <w:t xml:space="preserve"> 2011, </w:t>
      </w:r>
      <w:r w:rsidR="00275449">
        <w:rPr>
          <w:noProof/>
          <w:lang w:val="fr-FR"/>
        </w:rPr>
        <w:t xml:space="preserve">rend compte des années de croissance économique jusqu’en 2008 et de la période de récession qui a suivi jusqu’en </w:t>
      </w:r>
      <w:r w:rsidR="00283ED9" w:rsidRPr="00DD03D6">
        <w:rPr>
          <w:noProof/>
          <w:lang w:val="fr-FR"/>
        </w:rPr>
        <w:t xml:space="preserve">2011 </w:t>
      </w:r>
      <w:r w:rsidR="00275449">
        <w:rPr>
          <w:noProof/>
          <w:lang w:val="fr-FR"/>
        </w:rPr>
        <w:t>et au-delà</w:t>
      </w:r>
      <w:r w:rsidR="00283ED9" w:rsidRPr="00DD03D6">
        <w:rPr>
          <w:noProof/>
          <w:lang w:val="fr-FR"/>
        </w:rPr>
        <w:t xml:space="preserve">. </w:t>
      </w:r>
      <w:r w:rsidR="00275449">
        <w:rPr>
          <w:noProof/>
          <w:lang w:val="fr-FR"/>
        </w:rPr>
        <w:t>L’État estime donc que ce rapport donne une image plus exacte et fidèle des modalités selon lesquelles la Convention a été appliquée en Irlande ces dernières années</w:t>
      </w:r>
      <w:r w:rsidR="00283ED9" w:rsidRPr="00DD03D6">
        <w:rPr>
          <w:noProof/>
          <w:lang w:val="fr-FR"/>
        </w:rPr>
        <w:t xml:space="preserve">. </w:t>
      </w:r>
      <w:r w:rsidR="00275449">
        <w:rPr>
          <w:noProof/>
          <w:lang w:val="fr-FR"/>
        </w:rPr>
        <w:t xml:space="preserve">Il porte également sur l’évolution des responsabilités </w:t>
      </w:r>
      <w:r w:rsidR="00283ED9" w:rsidRPr="00DD03D6">
        <w:rPr>
          <w:noProof/>
          <w:lang w:val="fr-FR"/>
        </w:rPr>
        <w:t>administrative</w:t>
      </w:r>
      <w:r w:rsidR="00275449">
        <w:rPr>
          <w:noProof/>
          <w:lang w:val="fr-FR"/>
        </w:rPr>
        <w:t>s</w:t>
      </w:r>
      <w:r w:rsidR="00283ED9" w:rsidRPr="00DD03D6">
        <w:rPr>
          <w:noProof/>
          <w:lang w:val="fr-FR"/>
        </w:rPr>
        <w:t xml:space="preserve"> </w:t>
      </w:r>
      <w:r w:rsidR="00275449">
        <w:rPr>
          <w:noProof/>
          <w:lang w:val="fr-FR"/>
        </w:rPr>
        <w:t>induite par la création en 2011 du premier Ministère de l’enfance et de la jeunesse que l’Irlande ait connu</w:t>
      </w:r>
      <w:r w:rsidR="00283ED9" w:rsidRPr="00DD03D6">
        <w:rPr>
          <w:noProof/>
          <w:lang w:val="fr-FR"/>
        </w:rPr>
        <w:t>.</w:t>
      </w:r>
    </w:p>
    <w:p w:rsidR="00283ED9" w:rsidRPr="00DD03D6" w:rsidRDefault="00275449" w:rsidP="00275449">
      <w:pPr>
        <w:pStyle w:val="H1G"/>
        <w:ind w:firstLine="0"/>
        <w:rPr>
          <w:noProof/>
          <w:lang w:val="fr-FR"/>
        </w:rPr>
      </w:pPr>
      <w:r>
        <w:rPr>
          <w:noProof/>
          <w:lang w:val="fr-FR"/>
        </w:rPr>
        <w:t xml:space="preserve">Structure du présent rapport </w:t>
      </w:r>
    </w:p>
    <w:p w:rsidR="00283ED9" w:rsidRPr="00DD03D6" w:rsidRDefault="00275449" w:rsidP="007B3831">
      <w:pPr>
        <w:pStyle w:val="SingleTxtG"/>
        <w:numPr>
          <w:ilvl w:val="0"/>
          <w:numId w:val="3"/>
        </w:numPr>
        <w:ind w:left="1134" w:firstLine="0"/>
        <w:rPr>
          <w:noProof/>
          <w:lang w:val="fr-FR"/>
        </w:rPr>
      </w:pPr>
      <w:r>
        <w:rPr>
          <w:noProof/>
          <w:lang w:val="fr-FR"/>
        </w:rPr>
        <w:t>La suite du présent rapport est présentée confor</w:t>
      </w:r>
      <w:r w:rsidR="00F320D6">
        <w:rPr>
          <w:noProof/>
          <w:lang w:val="fr-FR"/>
        </w:rPr>
        <w:t>mé</w:t>
      </w:r>
      <w:r>
        <w:rPr>
          <w:noProof/>
          <w:lang w:val="fr-FR"/>
        </w:rPr>
        <w:t xml:space="preserve">ment aux directives du Comité des droits de l’enfant concernant la forme et le contenu des rapports périodiques à soumettre par les États parties </w:t>
      </w:r>
      <w:r w:rsidR="00F320D6">
        <w:rPr>
          <w:noProof/>
          <w:lang w:val="fr-FR"/>
        </w:rPr>
        <w:t>en vertu du paragraphe 1 b) de l’a</w:t>
      </w:r>
      <w:r w:rsidR="00796A7C" w:rsidRPr="00DD03D6">
        <w:rPr>
          <w:noProof/>
          <w:lang w:val="fr-FR"/>
        </w:rPr>
        <w:t>rticle </w:t>
      </w:r>
      <w:r w:rsidR="00F320D6">
        <w:rPr>
          <w:noProof/>
          <w:lang w:val="fr-FR"/>
        </w:rPr>
        <w:t xml:space="preserve">44 de la </w:t>
      </w:r>
      <w:r w:rsidR="00283ED9" w:rsidRPr="00DD03D6">
        <w:rPr>
          <w:noProof/>
          <w:lang w:val="fr-FR"/>
        </w:rPr>
        <w:t xml:space="preserve">Convention </w:t>
      </w:r>
      <w:r w:rsidR="00F320D6">
        <w:rPr>
          <w:noProof/>
          <w:lang w:val="fr-FR"/>
        </w:rPr>
        <w:t>relative aux droits de l’enfant</w:t>
      </w:r>
      <w:r w:rsidR="00283ED9" w:rsidRPr="00DD03D6">
        <w:rPr>
          <w:rStyle w:val="Appelnotedebasdep"/>
          <w:noProof/>
          <w:lang w:val="fr-FR"/>
        </w:rPr>
        <w:footnoteReference w:id="7"/>
      </w:r>
      <w:r w:rsidR="00F320D6">
        <w:rPr>
          <w:noProof/>
          <w:lang w:val="fr-FR"/>
        </w:rPr>
        <w:t xml:space="preserve">. Ces directives présentent les titres de chapitre et les intertitres qu’il est demandé aux États </w:t>
      </w:r>
      <w:r w:rsidR="00283ED9" w:rsidRPr="00DD03D6">
        <w:rPr>
          <w:noProof/>
          <w:lang w:val="fr-FR"/>
        </w:rPr>
        <w:t xml:space="preserve">parties </w:t>
      </w:r>
      <w:r w:rsidR="00F320D6">
        <w:rPr>
          <w:noProof/>
          <w:lang w:val="fr-FR"/>
        </w:rPr>
        <w:t>d’utiliser dans les rapports qu’ils présentent</w:t>
      </w:r>
      <w:r w:rsidR="00283ED9" w:rsidRPr="00DD03D6">
        <w:rPr>
          <w:noProof/>
          <w:lang w:val="fr-FR"/>
        </w:rPr>
        <w:t xml:space="preserve">. </w:t>
      </w:r>
      <w:r w:rsidR="00F320D6">
        <w:rPr>
          <w:noProof/>
          <w:lang w:val="fr-FR"/>
        </w:rPr>
        <w:t>Ces titres et intertitres sont reproduits dans les pages suivantes du présent rapport comme ils apparaissent dans les directives du Comité</w:t>
      </w:r>
      <w:r w:rsidR="00283ED9" w:rsidRPr="00DD03D6">
        <w:rPr>
          <w:noProof/>
          <w:lang w:val="fr-FR"/>
        </w:rPr>
        <w:t>.</w:t>
      </w:r>
    </w:p>
    <w:p w:rsidR="00283ED9" w:rsidRPr="00DD03D6" w:rsidRDefault="0091392E" w:rsidP="00FA3D7A">
      <w:pPr>
        <w:pStyle w:val="HChG"/>
        <w:keepNext w:val="0"/>
        <w:keepLines w:val="0"/>
        <w:rPr>
          <w:noProof/>
          <w:lang w:val="fr-FR"/>
        </w:rPr>
      </w:pPr>
      <w:bookmarkStart w:id="8" w:name="_Toc356430839"/>
      <w:r w:rsidRPr="00DD03D6">
        <w:rPr>
          <w:noProof/>
          <w:lang w:val="fr-FR"/>
        </w:rPr>
        <w:tab/>
      </w:r>
      <w:r w:rsidR="00F94730" w:rsidRPr="00DD03D6">
        <w:rPr>
          <w:noProof/>
          <w:lang w:val="fr-FR"/>
        </w:rPr>
        <w:t>I</w:t>
      </w:r>
      <w:r w:rsidR="00283ED9" w:rsidRPr="00DD03D6">
        <w:rPr>
          <w:noProof/>
          <w:lang w:val="fr-FR"/>
        </w:rPr>
        <w:t>.</w:t>
      </w:r>
      <w:r w:rsidR="00283ED9" w:rsidRPr="00DD03D6">
        <w:rPr>
          <w:noProof/>
          <w:lang w:val="fr-FR"/>
        </w:rPr>
        <w:tab/>
      </w:r>
      <w:r w:rsidR="00F320D6">
        <w:rPr>
          <w:noProof/>
          <w:lang w:val="fr-FR"/>
        </w:rPr>
        <w:t xml:space="preserve">Mesures d’application générales </w:t>
      </w:r>
      <w:bookmarkEnd w:id="8"/>
    </w:p>
    <w:p w:rsidR="00283ED9" w:rsidRPr="00DD03D6" w:rsidRDefault="00293475" w:rsidP="00FA3D7A">
      <w:pPr>
        <w:pStyle w:val="SingleTxtG"/>
        <w:numPr>
          <w:ilvl w:val="0"/>
          <w:numId w:val="3"/>
        </w:numPr>
        <w:ind w:left="1134" w:firstLine="0"/>
        <w:rPr>
          <w:noProof/>
          <w:lang w:val="fr-FR"/>
        </w:rPr>
      </w:pPr>
      <w:r>
        <w:rPr>
          <w:noProof/>
          <w:lang w:val="fr-FR"/>
        </w:rPr>
        <w:t>Pour résumer</w:t>
      </w:r>
      <w:r w:rsidR="00283ED9" w:rsidRPr="00DD03D6">
        <w:rPr>
          <w:noProof/>
          <w:lang w:val="fr-FR"/>
        </w:rPr>
        <w:t xml:space="preserve">, </w:t>
      </w:r>
      <w:r>
        <w:rPr>
          <w:noProof/>
          <w:lang w:val="fr-FR"/>
        </w:rPr>
        <w:t>l’</w:t>
      </w:r>
      <w:r w:rsidR="00283ED9" w:rsidRPr="00DD03D6">
        <w:rPr>
          <w:noProof/>
          <w:lang w:val="fr-FR"/>
        </w:rPr>
        <w:t>Irland</w:t>
      </w:r>
      <w:r>
        <w:rPr>
          <w:noProof/>
          <w:lang w:val="fr-FR"/>
        </w:rPr>
        <w:t>e</w:t>
      </w:r>
      <w:r w:rsidR="00283ED9" w:rsidRPr="00DD03D6">
        <w:rPr>
          <w:noProof/>
          <w:lang w:val="fr-FR"/>
        </w:rPr>
        <w:t xml:space="preserve"> </w:t>
      </w:r>
      <w:r>
        <w:rPr>
          <w:noProof/>
          <w:lang w:val="fr-FR"/>
        </w:rPr>
        <w:t xml:space="preserve">a </w:t>
      </w:r>
      <w:r w:rsidR="00283ED9" w:rsidRPr="00DD03D6">
        <w:rPr>
          <w:noProof/>
          <w:lang w:val="fr-FR"/>
        </w:rPr>
        <w:t>ratifi</w:t>
      </w:r>
      <w:r>
        <w:rPr>
          <w:noProof/>
          <w:lang w:val="fr-FR"/>
        </w:rPr>
        <w:t xml:space="preserve">é sans réserve la </w:t>
      </w:r>
      <w:r w:rsidR="0004550B" w:rsidRPr="00DD03D6">
        <w:rPr>
          <w:noProof/>
          <w:lang w:val="fr-FR"/>
        </w:rPr>
        <w:t xml:space="preserve">Convention </w:t>
      </w:r>
      <w:r>
        <w:rPr>
          <w:noProof/>
          <w:lang w:val="fr-FR"/>
        </w:rPr>
        <w:t xml:space="preserve">relative aux droits de l’enfant le </w:t>
      </w:r>
      <w:r w:rsidR="00283ED9" w:rsidRPr="00DD03D6">
        <w:rPr>
          <w:noProof/>
          <w:lang w:val="fr-FR"/>
        </w:rPr>
        <w:t xml:space="preserve">21 </w:t>
      </w:r>
      <w:r>
        <w:rPr>
          <w:noProof/>
          <w:lang w:val="fr-FR"/>
        </w:rPr>
        <w:t>s</w:t>
      </w:r>
      <w:r w:rsidR="00283ED9" w:rsidRPr="00DD03D6">
        <w:rPr>
          <w:noProof/>
          <w:lang w:val="fr-FR"/>
        </w:rPr>
        <w:t>ept</w:t>
      </w:r>
      <w:r w:rsidR="005D7533" w:rsidRPr="00DD03D6">
        <w:rPr>
          <w:noProof/>
          <w:lang w:val="fr-FR"/>
        </w:rPr>
        <w:t>emb</w:t>
      </w:r>
      <w:r>
        <w:rPr>
          <w:noProof/>
          <w:lang w:val="fr-FR"/>
        </w:rPr>
        <w:t>re</w:t>
      </w:r>
      <w:r w:rsidR="005D7533" w:rsidRPr="00DD03D6">
        <w:rPr>
          <w:noProof/>
          <w:lang w:val="fr-FR"/>
        </w:rPr>
        <w:t xml:space="preserve"> 1992. </w:t>
      </w:r>
      <w:r>
        <w:rPr>
          <w:noProof/>
          <w:lang w:val="fr-FR"/>
        </w:rPr>
        <w:t xml:space="preserve">L’Irlande est un État de type </w:t>
      </w:r>
      <w:r w:rsidR="00D77BAC">
        <w:rPr>
          <w:noProof/>
          <w:lang w:val="fr-FR"/>
        </w:rPr>
        <w:t>« </w:t>
      </w:r>
      <w:r w:rsidR="00283ED9" w:rsidRPr="00DD03D6">
        <w:rPr>
          <w:noProof/>
          <w:lang w:val="fr-FR"/>
        </w:rPr>
        <w:t>dualist</w:t>
      </w:r>
      <w:r>
        <w:rPr>
          <w:noProof/>
          <w:lang w:val="fr-FR"/>
        </w:rPr>
        <w:t>e</w:t>
      </w:r>
      <w:r w:rsidR="00D77BAC">
        <w:rPr>
          <w:noProof/>
          <w:lang w:val="fr-FR"/>
        </w:rPr>
        <w:t> »</w:t>
      </w:r>
      <w:r>
        <w:rPr>
          <w:noProof/>
          <w:lang w:val="fr-FR"/>
        </w:rPr>
        <w:t> :</w:t>
      </w:r>
      <w:r w:rsidR="00283ED9" w:rsidRPr="00DD03D6">
        <w:rPr>
          <w:noProof/>
          <w:lang w:val="fr-FR"/>
        </w:rPr>
        <w:t xml:space="preserve"> </w:t>
      </w:r>
      <w:r>
        <w:rPr>
          <w:noProof/>
          <w:lang w:val="fr-FR"/>
        </w:rPr>
        <w:t xml:space="preserve">sa </w:t>
      </w:r>
      <w:r w:rsidR="00283ED9" w:rsidRPr="00DD03D6">
        <w:rPr>
          <w:noProof/>
          <w:lang w:val="fr-FR"/>
        </w:rPr>
        <w:t xml:space="preserve">Constitution </w:t>
      </w:r>
      <w:r>
        <w:rPr>
          <w:noProof/>
          <w:lang w:val="fr-FR"/>
        </w:rPr>
        <w:t>autorise l’État à conclure des accords internationaux, mais dispose également que ces accords ne sont intégrés au droit interne qu’au moyen d’une loi adoptée par l’</w:t>
      </w:r>
      <w:r w:rsidR="00283ED9" w:rsidRPr="00293475">
        <w:rPr>
          <w:i/>
          <w:noProof/>
          <w:lang w:val="fr-FR"/>
        </w:rPr>
        <w:t>Oireachtas</w:t>
      </w:r>
      <w:r w:rsidR="00283ED9" w:rsidRPr="00DD03D6">
        <w:rPr>
          <w:noProof/>
          <w:lang w:val="fr-FR"/>
        </w:rPr>
        <w:t xml:space="preserve">. </w:t>
      </w:r>
      <w:r>
        <w:rPr>
          <w:noProof/>
          <w:lang w:val="fr-FR"/>
        </w:rPr>
        <w:t>Il s’ensuit que si l’</w:t>
      </w:r>
      <w:r w:rsidR="00283ED9" w:rsidRPr="00DD03D6">
        <w:rPr>
          <w:noProof/>
          <w:lang w:val="fr-FR"/>
        </w:rPr>
        <w:t>Irland</w:t>
      </w:r>
      <w:r>
        <w:rPr>
          <w:noProof/>
          <w:lang w:val="fr-FR"/>
        </w:rPr>
        <w:t>e</w:t>
      </w:r>
      <w:r w:rsidR="00283ED9" w:rsidRPr="00DD03D6">
        <w:rPr>
          <w:noProof/>
          <w:lang w:val="fr-FR"/>
        </w:rPr>
        <w:t xml:space="preserve"> </w:t>
      </w:r>
      <w:r>
        <w:rPr>
          <w:noProof/>
          <w:lang w:val="fr-FR"/>
        </w:rPr>
        <w:t xml:space="preserve">a </w:t>
      </w:r>
      <w:r w:rsidR="00283ED9" w:rsidRPr="00DD03D6">
        <w:rPr>
          <w:noProof/>
          <w:lang w:val="fr-FR"/>
        </w:rPr>
        <w:t>ratifi</w:t>
      </w:r>
      <w:r>
        <w:rPr>
          <w:noProof/>
          <w:lang w:val="fr-FR"/>
        </w:rPr>
        <w:t xml:space="preserve">é la </w:t>
      </w:r>
      <w:r w:rsidR="0004550B" w:rsidRPr="00DD03D6">
        <w:rPr>
          <w:noProof/>
          <w:lang w:val="fr-FR"/>
        </w:rPr>
        <w:t>Convention</w:t>
      </w:r>
      <w:r w:rsidR="00283ED9" w:rsidRPr="00DD03D6">
        <w:rPr>
          <w:noProof/>
          <w:lang w:val="fr-FR"/>
        </w:rPr>
        <w:t xml:space="preserve">, </w:t>
      </w:r>
      <w:r>
        <w:rPr>
          <w:noProof/>
          <w:lang w:val="fr-FR"/>
        </w:rPr>
        <w:t>celle-ci n’a pas été automatiquement transposée dans le droit irlandais</w:t>
      </w:r>
      <w:r w:rsidR="00283ED9" w:rsidRPr="00DD03D6">
        <w:rPr>
          <w:noProof/>
          <w:lang w:val="fr-FR"/>
        </w:rPr>
        <w:t>.</w:t>
      </w:r>
    </w:p>
    <w:p w:rsidR="00283ED9" w:rsidRPr="00DD03D6" w:rsidRDefault="0091392E" w:rsidP="007F712C">
      <w:pPr>
        <w:pStyle w:val="H1G"/>
        <w:rPr>
          <w:noProof/>
          <w:lang w:val="fr-FR"/>
        </w:rPr>
      </w:pPr>
      <w:bookmarkStart w:id="9" w:name="_Toc356430840"/>
      <w:r w:rsidRPr="00DD03D6">
        <w:rPr>
          <w:noProof/>
          <w:lang w:val="fr-FR"/>
        </w:rPr>
        <w:lastRenderedPageBreak/>
        <w:tab/>
      </w:r>
      <w:r w:rsidR="00283ED9" w:rsidRPr="00DD03D6">
        <w:rPr>
          <w:noProof/>
          <w:lang w:val="fr-FR"/>
        </w:rPr>
        <w:t>A.</w:t>
      </w:r>
      <w:r w:rsidR="00283ED9" w:rsidRPr="00DD03D6">
        <w:rPr>
          <w:noProof/>
          <w:lang w:val="fr-FR"/>
        </w:rPr>
        <w:tab/>
      </w:r>
      <w:r w:rsidR="007B73D6" w:rsidRPr="00DD03D6">
        <w:rPr>
          <w:noProof/>
          <w:lang w:val="fr-FR"/>
        </w:rPr>
        <w:t>Me</w:t>
      </w:r>
      <w:r w:rsidR="007B73D6">
        <w:rPr>
          <w:noProof/>
          <w:lang w:val="fr-FR"/>
        </w:rPr>
        <w:t xml:space="preserve">sures prises pour harmoniser la législation et les politiques nationales avec les dispositions de la </w:t>
      </w:r>
      <w:r w:rsidR="007B73D6" w:rsidRPr="00DD03D6">
        <w:rPr>
          <w:noProof/>
          <w:lang w:val="fr-FR"/>
        </w:rPr>
        <w:t xml:space="preserve">Convention </w:t>
      </w:r>
      <w:r w:rsidR="007B73D6">
        <w:rPr>
          <w:noProof/>
          <w:lang w:val="fr-FR"/>
        </w:rPr>
        <w:t xml:space="preserve">et des </w:t>
      </w:r>
      <w:r w:rsidR="007B73D6" w:rsidRPr="00DD03D6">
        <w:rPr>
          <w:noProof/>
          <w:lang w:val="fr-FR"/>
        </w:rPr>
        <w:t>Protocol</w:t>
      </w:r>
      <w:r w:rsidR="007B73D6">
        <w:rPr>
          <w:noProof/>
          <w:lang w:val="fr-FR"/>
        </w:rPr>
        <w:t>e</w:t>
      </w:r>
      <w:r w:rsidR="007B73D6" w:rsidRPr="00DD03D6">
        <w:rPr>
          <w:noProof/>
          <w:lang w:val="fr-FR"/>
        </w:rPr>
        <w:t>s</w:t>
      </w:r>
      <w:r w:rsidR="007B73D6">
        <w:rPr>
          <w:noProof/>
          <w:lang w:val="fr-FR"/>
        </w:rPr>
        <w:t xml:space="preserve"> facultatifs</w:t>
      </w:r>
      <w:r w:rsidR="007B73D6" w:rsidRPr="00DD03D6">
        <w:rPr>
          <w:noProof/>
          <w:lang w:val="fr-FR"/>
        </w:rPr>
        <w:t xml:space="preserve"> </w:t>
      </w:r>
      <w:bookmarkEnd w:id="9"/>
      <w:r w:rsidR="007B73D6">
        <w:rPr>
          <w:noProof/>
          <w:lang w:val="fr-FR"/>
        </w:rPr>
        <w:t>s’y rapportant</w:t>
      </w:r>
    </w:p>
    <w:p w:rsidR="00283ED9" w:rsidRPr="00DD03D6" w:rsidRDefault="0091392E" w:rsidP="009D119F">
      <w:pPr>
        <w:pStyle w:val="H23G"/>
        <w:rPr>
          <w:noProof/>
          <w:lang w:val="fr-FR"/>
        </w:rPr>
      </w:pPr>
      <w:r w:rsidRPr="00DD03D6">
        <w:rPr>
          <w:noProof/>
          <w:lang w:val="fr-FR"/>
        </w:rPr>
        <w:tab/>
      </w:r>
      <w:r w:rsidRPr="00DD03D6">
        <w:rPr>
          <w:noProof/>
          <w:lang w:val="fr-FR"/>
        </w:rPr>
        <w:tab/>
      </w:r>
      <w:r w:rsidR="007B73D6">
        <w:rPr>
          <w:noProof/>
          <w:lang w:val="fr-FR"/>
        </w:rPr>
        <w:t xml:space="preserve">Le statut des enfants </w:t>
      </w:r>
      <w:r w:rsidR="004956E3">
        <w:rPr>
          <w:noProof/>
          <w:lang w:val="fr-FR"/>
        </w:rPr>
        <w:t>en tant que détenteurs de droits</w:t>
      </w:r>
    </w:p>
    <w:p w:rsidR="00283ED9" w:rsidRPr="00DD03D6" w:rsidRDefault="007B73D6" w:rsidP="007B3831">
      <w:pPr>
        <w:pStyle w:val="SingleTxtG"/>
        <w:numPr>
          <w:ilvl w:val="0"/>
          <w:numId w:val="3"/>
        </w:numPr>
        <w:ind w:left="1134" w:firstLine="0"/>
        <w:rPr>
          <w:noProof/>
          <w:lang w:val="fr-FR"/>
        </w:rPr>
      </w:pPr>
      <w:r>
        <w:rPr>
          <w:noProof/>
          <w:lang w:val="fr-FR"/>
        </w:rPr>
        <w:t xml:space="preserve">Dans ses observations finales sur le rapport initial et le deuxième rapport périodique de l’Irlande, le Comité des droits de l’enfant a recommandé à l’Irlande de prendre des mesures pour renforcer le statut </w:t>
      </w:r>
      <w:r w:rsidR="004956E3">
        <w:rPr>
          <w:noProof/>
          <w:lang w:val="fr-FR"/>
        </w:rPr>
        <w:t xml:space="preserve">des enfants en tant que </w:t>
      </w:r>
      <w:r>
        <w:rPr>
          <w:noProof/>
          <w:lang w:val="fr-FR"/>
        </w:rPr>
        <w:t>détenteurs de droit</w:t>
      </w:r>
      <w:r w:rsidR="004956E3">
        <w:rPr>
          <w:noProof/>
          <w:lang w:val="fr-FR"/>
        </w:rPr>
        <w:t>s</w:t>
      </w:r>
      <w:r w:rsidR="00283ED9" w:rsidRPr="00DD03D6">
        <w:rPr>
          <w:noProof/>
          <w:lang w:val="fr-FR"/>
        </w:rPr>
        <w:t xml:space="preserve">. </w:t>
      </w:r>
      <w:r w:rsidR="004956E3">
        <w:rPr>
          <w:noProof/>
          <w:lang w:val="fr-FR"/>
        </w:rPr>
        <w:t>E</w:t>
      </w:r>
      <w:r w:rsidR="00283ED9" w:rsidRPr="00DD03D6">
        <w:rPr>
          <w:noProof/>
          <w:lang w:val="fr-FR"/>
        </w:rPr>
        <w:t xml:space="preserve">n </w:t>
      </w:r>
      <w:r w:rsidR="004956E3">
        <w:rPr>
          <w:noProof/>
          <w:lang w:val="fr-FR"/>
        </w:rPr>
        <w:t xml:space="preserve">février </w:t>
      </w:r>
      <w:r w:rsidR="00283ED9" w:rsidRPr="00DD03D6">
        <w:rPr>
          <w:noProof/>
          <w:lang w:val="fr-FR"/>
        </w:rPr>
        <w:t xml:space="preserve">2007, </w:t>
      </w:r>
      <w:r w:rsidR="004956E3">
        <w:rPr>
          <w:noProof/>
          <w:lang w:val="fr-FR"/>
        </w:rPr>
        <w:t xml:space="preserve">le Gouvernement a présenté </w:t>
      </w:r>
      <w:r w:rsidR="002D2CE1">
        <w:rPr>
          <w:noProof/>
          <w:lang w:val="fr-FR"/>
        </w:rPr>
        <w:t xml:space="preserve">au </w:t>
      </w:r>
      <w:r w:rsidR="002D2CE1" w:rsidRPr="00DD03D6">
        <w:rPr>
          <w:noProof/>
          <w:lang w:val="fr-FR"/>
        </w:rPr>
        <w:t xml:space="preserve">Dáil Éireann </w:t>
      </w:r>
      <w:r w:rsidR="002D2CE1">
        <w:rPr>
          <w:noProof/>
          <w:lang w:val="fr-FR"/>
        </w:rPr>
        <w:t xml:space="preserve">(Chambre des députés) le </w:t>
      </w:r>
      <w:r w:rsidR="00C160C0">
        <w:rPr>
          <w:noProof/>
          <w:lang w:val="fr-FR"/>
        </w:rPr>
        <w:t xml:space="preserve">vingt-huitième </w:t>
      </w:r>
      <w:r w:rsidR="002D2CE1">
        <w:rPr>
          <w:noProof/>
          <w:lang w:val="fr-FR"/>
        </w:rPr>
        <w:t xml:space="preserve">projet de loi </w:t>
      </w:r>
      <w:r w:rsidR="00C160C0">
        <w:rPr>
          <w:noProof/>
          <w:lang w:val="fr-FR"/>
        </w:rPr>
        <w:t>(</w:t>
      </w:r>
      <w:r w:rsidR="002D2CE1">
        <w:rPr>
          <w:noProof/>
          <w:lang w:val="fr-FR"/>
        </w:rPr>
        <w:t>2007</w:t>
      </w:r>
      <w:r w:rsidR="00C160C0">
        <w:rPr>
          <w:noProof/>
          <w:lang w:val="fr-FR"/>
        </w:rPr>
        <w:t>)</w:t>
      </w:r>
      <w:r w:rsidR="002D2CE1">
        <w:rPr>
          <w:noProof/>
          <w:lang w:val="fr-FR"/>
        </w:rPr>
        <w:t xml:space="preserve"> portant </w:t>
      </w:r>
      <w:r w:rsidR="00CE5C7A">
        <w:rPr>
          <w:noProof/>
          <w:lang w:val="fr-FR"/>
        </w:rPr>
        <w:t>modification de</w:t>
      </w:r>
      <w:r w:rsidR="002D2CE1">
        <w:rPr>
          <w:noProof/>
          <w:lang w:val="fr-FR"/>
        </w:rPr>
        <w:t xml:space="preserve"> la </w:t>
      </w:r>
      <w:r w:rsidR="00283ED9" w:rsidRPr="00DD03D6">
        <w:rPr>
          <w:noProof/>
          <w:lang w:val="fr-FR"/>
        </w:rPr>
        <w:t xml:space="preserve">Constitution. </w:t>
      </w:r>
      <w:r w:rsidR="002D2CE1">
        <w:rPr>
          <w:noProof/>
          <w:lang w:val="fr-FR"/>
        </w:rPr>
        <w:t xml:space="preserve">Ce projet proposait d’insérer dans la Constitution un nouvel article </w:t>
      </w:r>
      <w:r w:rsidR="00283ED9" w:rsidRPr="00DD03D6">
        <w:rPr>
          <w:noProof/>
          <w:lang w:val="fr-FR"/>
        </w:rPr>
        <w:t>42</w:t>
      </w:r>
      <w:r w:rsidR="002D2CE1">
        <w:rPr>
          <w:noProof/>
          <w:lang w:val="fr-FR"/>
        </w:rPr>
        <w:t xml:space="preserve"> </w:t>
      </w:r>
      <w:r w:rsidR="00283ED9" w:rsidRPr="00DD03D6">
        <w:rPr>
          <w:noProof/>
          <w:lang w:val="fr-FR"/>
        </w:rPr>
        <w:t xml:space="preserve">A) </w:t>
      </w:r>
      <w:r w:rsidR="002D2CE1">
        <w:rPr>
          <w:noProof/>
          <w:lang w:val="fr-FR"/>
        </w:rPr>
        <w:t>consacré aux enfants</w:t>
      </w:r>
      <w:r w:rsidR="00283ED9" w:rsidRPr="00DD03D6">
        <w:rPr>
          <w:noProof/>
          <w:lang w:val="fr-FR"/>
        </w:rPr>
        <w:t xml:space="preserve">. </w:t>
      </w:r>
      <w:r w:rsidR="0044064E">
        <w:rPr>
          <w:noProof/>
          <w:lang w:val="fr-FR"/>
        </w:rPr>
        <w:t xml:space="preserve">Un Comité </w:t>
      </w:r>
      <w:r w:rsidR="00013DEB">
        <w:rPr>
          <w:noProof/>
          <w:lang w:val="fr-FR"/>
        </w:rPr>
        <w:t>conjoint p</w:t>
      </w:r>
      <w:r w:rsidR="0044064E">
        <w:rPr>
          <w:noProof/>
          <w:lang w:val="fr-FR"/>
        </w:rPr>
        <w:t xml:space="preserve">our l’amendement </w:t>
      </w:r>
      <w:r w:rsidR="00013DEB">
        <w:rPr>
          <w:noProof/>
          <w:lang w:val="fr-FR"/>
        </w:rPr>
        <w:t>c</w:t>
      </w:r>
      <w:r w:rsidR="0044064E">
        <w:rPr>
          <w:noProof/>
          <w:lang w:val="fr-FR"/>
        </w:rPr>
        <w:t>onstitution</w:t>
      </w:r>
      <w:r w:rsidR="00013DEB">
        <w:rPr>
          <w:noProof/>
          <w:lang w:val="fr-FR"/>
        </w:rPr>
        <w:t>nel sur</w:t>
      </w:r>
      <w:r w:rsidR="0044064E">
        <w:rPr>
          <w:noProof/>
          <w:lang w:val="fr-FR"/>
        </w:rPr>
        <w:t xml:space="preserve"> les enfants </w:t>
      </w:r>
      <w:r w:rsidR="00283ED9" w:rsidRPr="00DD03D6">
        <w:rPr>
          <w:noProof/>
          <w:lang w:val="fr-FR"/>
        </w:rPr>
        <w:t xml:space="preserve">(JCCAC) </w:t>
      </w:r>
      <w:r w:rsidR="00013DEB">
        <w:rPr>
          <w:noProof/>
          <w:lang w:val="fr-FR"/>
        </w:rPr>
        <w:t xml:space="preserve">a été créé et a présenté son dernier rapport au Gouvernement en février </w:t>
      </w:r>
      <w:r w:rsidR="00283ED9" w:rsidRPr="00DD03D6">
        <w:rPr>
          <w:noProof/>
          <w:lang w:val="fr-FR"/>
        </w:rPr>
        <w:t xml:space="preserve">2010. </w:t>
      </w:r>
      <w:r w:rsidR="00013DEB">
        <w:rPr>
          <w:noProof/>
          <w:lang w:val="fr-FR"/>
        </w:rPr>
        <w:t>Ce rapport traitait des droits des enfants</w:t>
      </w:r>
      <w:r w:rsidR="00E46E3F">
        <w:rPr>
          <w:noProof/>
          <w:lang w:val="fr-FR"/>
        </w:rPr>
        <w:t xml:space="preserve"> garantis par la </w:t>
      </w:r>
      <w:r w:rsidR="00283ED9" w:rsidRPr="00DD03D6">
        <w:rPr>
          <w:noProof/>
          <w:lang w:val="fr-FR"/>
        </w:rPr>
        <w:t xml:space="preserve">Constitution </w:t>
      </w:r>
      <w:r w:rsidR="00E46E3F">
        <w:rPr>
          <w:noProof/>
          <w:lang w:val="fr-FR"/>
        </w:rPr>
        <w:t>et de la législation et de la jurisprudence concernant l’</w:t>
      </w:r>
      <w:r w:rsidR="00283ED9" w:rsidRPr="00DD03D6">
        <w:rPr>
          <w:noProof/>
          <w:lang w:val="fr-FR"/>
        </w:rPr>
        <w:t xml:space="preserve">adoption, </w:t>
      </w:r>
      <w:r w:rsidR="00E46E3F">
        <w:rPr>
          <w:noProof/>
          <w:lang w:val="fr-FR"/>
        </w:rPr>
        <w:t>la tutelle</w:t>
      </w:r>
      <w:r w:rsidR="00283ED9" w:rsidRPr="00DD03D6">
        <w:rPr>
          <w:noProof/>
          <w:lang w:val="fr-FR"/>
        </w:rPr>
        <w:t xml:space="preserve">, </w:t>
      </w:r>
      <w:r w:rsidR="00E46E3F">
        <w:rPr>
          <w:noProof/>
          <w:lang w:val="fr-FR"/>
        </w:rPr>
        <w:t>les modalités de prise en charge</w:t>
      </w:r>
      <w:r w:rsidR="00283ED9" w:rsidRPr="00DD03D6">
        <w:rPr>
          <w:noProof/>
          <w:lang w:val="fr-FR"/>
        </w:rPr>
        <w:t xml:space="preserve">, </w:t>
      </w:r>
      <w:r w:rsidR="00E46E3F">
        <w:rPr>
          <w:noProof/>
          <w:lang w:val="fr-FR"/>
        </w:rPr>
        <w:t>la garde et le droit de visite</w:t>
      </w:r>
      <w:r w:rsidR="00283ED9" w:rsidRPr="00DD03D6">
        <w:rPr>
          <w:noProof/>
          <w:lang w:val="fr-FR"/>
        </w:rPr>
        <w:t xml:space="preserve">. </w:t>
      </w:r>
      <w:r w:rsidR="00E46E3F">
        <w:rPr>
          <w:noProof/>
          <w:lang w:val="fr-FR"/>
        </w:rPr>
        <w:t xml:space="preserve">Un exemplaire du troisième et dernier rapport du </w:t>
      </w:r>
      <w:r w:rsidR="00283ED9" w:rsidRPr="00DD03D6">
        <w:rPr>
          <w:noProof/>
          <w:lang w:val="fr-FR"/>
        </w:rPr>
        <w:t xml:space="preserve">JCCAC </w:t>
      </w:r>
      <w:r w:rsidR="00E46E3F">
        <w:rPr>
          <w:noProof/>
          <w:lang w:val="fr-FR"/>
        </w:rPr>
        <w:t xml:space="preserve">a été présenté au Conseil des ministres en mars </w:t>
      </w:r>
      <w:r w:rsidR="00283ED9" w:rsidRPr="00DD03D6">
        <w:rPr>
          <w:noProof/>
          <w:lang w:val="fr-FR"/>
        </w:rPr>
        <w:t>2010.</w:t>
      </w:r>
    </w:p>
    <w:p w:rsidR="00283ED9" w:rsidRPr="00DD03D6" w:rsidRDefault="00C95BFA" w:rsidP="000E3348">
      <w:pPr>
        <w:pStyle w:val="SingleTxtG"/>
        <w:numPr>
          <w:ilvl w:val="0"/>
          <w:numId w:val="3"/>
        </w:numPr>
        <w:ind w:left="1134" w:firstLine="0"/>
        <w:rPr>
          <w:noProof/>
          <w:lang w:val="fr-FR"/>
        </w:rPr>
      </w:pPr>
      <w:r>
        <w:rPr>
          <w:noProof/>
          <w:lang w:val="fr-FR"/>
        </w:rPr>
        <w:t xml:space="preserve">Dans son </w:t>
      </w:r>
      <w:r w:rsidR="00283ED9" w:rsidRPr="00DD03D6">
        <w:rPr>
          <w:noProof/>
          <w:lang w:val="fr-FR"/>
        </w:rPr>
        <w:t xml:space="preserve">Programme </w:t>
      </w:r>
      <w:r>
        <w:rPr>
          <w:noProof/>
          <w:lang w:val="fr-FR"/>
        </w:rPr>
        <w:t xml:space="preserve">pour </w:t>
      </w:r>
      <w:r w:rsidR="00283ED9" w:rsidRPr="00DD03D6">
        <w:rPr>
          <w:noProof/>
          <w:lang w:val="fr-FR"/>
        </w:rPr>
        <w:t>2011-2016</w:t>
      </w:r>
      <w:r>
        <w:rPr>
          <w:noProof/>
          <w:lang w:val="fr-FR"/>
        </w:rPr>
        <w:t xml:space="preserve">, le Gouvernement a fait de la tenue d’un </w:t>
      </w:r>
      <w:r w:rsidR="00283ED9" w:rsidRPr="00DD03D6">
        <w:rPr>
          <w:noProof/>
          <w:lang w:val="fr-FR"/>
        </w:rPr>
        <w:t>r</w:t>
      </w:r>
      <w:r>
        <w:rPr>
          <w:noProof/>
          <w:lang w:val="fr-FR"/>
        </w:rPr>
        <w:t>é</w:t>
      </w:r>
      <w:r w:rsidR="00283ED9" w:rsidRPr="00DD03D6">
        <w:rPr>
          <w:noProof/>
          <w:lang w:val="fr-FR"/>
        </w:rPr>
        <w:t>f</w:t>
      </w:r>
      <w:r>
        <w:rPr>
          <w:noProof/>
          <w:lang w:val="fr-FR"/>
        </w:rPr>
        <w:t>é</w:t>
      </w:r>
      <w:r w:rsidR="00283ED9" w:rsidRPr="00DD03D6">
        <w:rPr>
          <w:noProof/>
          <w:lang w:val="fr-FR"/>
        </w:rPr>
        <w:t xml:space="preserve">rendum </w:t>
      </w:r>
      <w:r>
        <w:rPr>
          <w:noProof/>
          <w:lang w:val="fr-FR"/>
        </w:rPr>
        <w:t xml:space="preserve">sur les droits des enfants une priorité et indiqué que la formulation devrait correspondre à celle qui avait été proposée par la </w:t>
      </w:r>
      <w:r w:rsidR="00C160C0">
        <w:rPr>
          <w:lang w:val="fr-FR"/>
        </w:rPr>
        <w:t>Commission multipartite de l’</w:t>
      </w:r>
      <w:r w:rsidR="00C160C0" w:rsidRPr="00C160C0">
        <w:rPr>
          <w:i/>
          <w:iCs/>
          <w:lang w:val="is-IS"/>
        </w:rPr>
        <w:t>Oireachtas</w:t>
      </w:r>
      <w:r w:rsidR="00283ED9" w:rsidRPr="00DD03D6">
        <w:rPr>
          <w:noProof/>
          <w:lang w:val="fr-FR"/>
        </w:rPr>
        <w:t xml:space="preserve">. </w:t>
      </w:r>
      <w:r w:rsidR="00C160C0">
        <w:rPr>
          <w:noProof/>
          <w:lang w:val="fr-FR"/>
        </w:rPr>
        <w:t xml:space="preserve">La formulation proposée par le Gouvernement en vue de son approbation par la population dans le cadre d’un référendum a été énoncée dans le trente et unième projet de loi (2012) portant </w:t>
      </w:r>
      <w:r w:rsidR="00CE5C7A">
        <w:rPr>
          <w:noProof/>
          <w:lang w:val="fr-FR"/>
        </w:rPr>
        <w:t>modification de</w:t>
      </w:r>
      <w:r w:rsidR="00C160C0">
        <w:rPr>
          <w:noProof/>
          <w:lang w:val="fr-FR"/>
        </w:rPr>
        <w:t xml:space="preserve"> la </w:t>
      </w:r>
      <w:r w:rsidR="00C160C0" w:rsidRPr="00DD03D6">
        <w:rPr>
          <w:noProof/>
          <w:lang w:val="fr-FR"/>
        </w:rPr>
        <w:t>Constitution</w:t>
      </w:r>
      <w:r w:rsidR="00C160C0">
        <w:rPr>
          <w:noProof/>
          <w:lang w:val="fr-FR"/>
        </w:rPr>
        <w:t xml:space="preserve">, qui a été publié en septembre </w:t>
      </w:r>
      <w:r w:rsidR="00283ED9" w:rsidRPr="00DD03D6">
        <w:rPr>
          <w:noProof/>
          <w:lang w:val="fr-FR"/>
        </w:rPr>
        <w:t xml:space="preserve">2012. </w:t>
      </w:r>
      <w:r w:rsidR="00C160C0">
        <w:rPr>
          <w:noProof/>
          <w:lang w:val="fr-FR"/>
        </w:rPr>
        <w:t xml:space="preserve">Ce projet de loi, qui a été appuyé par l’ensemble des partis, a été adopté sans modification par les Chambres de </w:t>
      </w:r>
      <w:r w:rsidR="00C160C0">
        <w:rPr>
          <w:lang w:val="fr-FR"/>
        </w:rPr>
        <w:t>l’</w:t>
      </w:r>
      <w:r w:rsidR="00C160C0" w:rsidRPr="00C160C0">
        <w:rPr>
          <w:i/>
          <w:iCs/>
          <w:lang w:val="is-IS"/>
        </w:rPr>
        <w:t>Oireachtas</w:t>
      </w:r>
      <w:r w:rsidR="00C160C0" w:rsidRPr="00DD03D6">
        <w:rPr>
          <w:noProof/>
          <w:lang w:val="fr-FR"/>
        </w:rPr>
        <w:t xml:space="preserve"> </w:t>
      </w:r>
      <w:r w:rsidR="00C160C0">
        <w:rPr>
          <w:noProof/>
          <w:lang w:val="fr-FR"/>
        </w:rPr>
        <w:t xml:space="preserve">le </w:t>
      </w:r>
      <w:r w:rsidR="00283ED9" w:rsidRPr="00DD03D6">
        <w:rPr>
          <w:noProof/>
          <w:lang w:val="fr-FR"/>
        </w:rPr>
        <w:t xml:space="preserve">3 </w:t>
      </w:r>
      <w:r w:rsidR="00C160C0">
        <w:rPr>
          <w:noProof/>
          <w:lang w:val="fr-FR"/>
        </w:rPr>
        <w:t>octobre</w:t>
      </w:r>
      <w:r w:rsidR="00283ED9" w:rsidRPr="00DD03D6">
        <w:rPr>
          <w:noProof/>
          <w:lang w:val="fr-FR"/>
        </w:rPr>
        <w:t xml:space="preserve"> 2012. </w:t>
      </w:r>
      <w:r w:rsidR="00C160C0">
        <w:rPr>
          <w:noProof/>
          <w:lang w:val="fr-FR"/>
        </w:rPr>
        <w:t>Le référendum sur les enfants s’est tenu en n</w:t>
      </w:r>
      <w:r w:rsidR="00283ED9" w:rsidRPr="00DD03D6">
        <w:rPr>
          <w:noProof/>
          <w:lang w:val="fr-FR"/>
        </w:rPr>
        <w:t>ovemb</w:t>
      </w:r>
      <w:r w:rsidR="00C160C0">
        <w:rPr>
          <w:noProof/>
          <w:lang w:val="fr-FR"/>
        </w:rPr>
        <w:t>re</w:t>
      </w:r>
      <w:r w:rsidR="00283ED9" w:rsidRPr="00DD03D6">
        <w:rPr>
          <w:noProof/>
          <w:lang w:val="fr-FR"/>
        </w:rPr>
        <w:t xml:space="preserve"> 2012</w:t>
      </w:r>
      <w:r w:rsidR="00C160C0">
        <w:rPr>
          <w:noProof/>
          <w:lang w:val="fr-FR"/>
        </w:rPr>
        <w:t>; le projet d’amendement constitutionnel a obtenu</w:t>
      </w:r>
      <w:r w:rsidR="00283ED9" w:rsidRPr="00DD03D6">
        <w:rPr>
          <w:noProof/>
          <w:lang w:val="fr-FR"/>
        </w:rPr>
        <w:t xml:space="preserve"> </w:t>
      </w:r>
      <w:r w:rsidR="00FA3D7A">
        <w:rPr>
          <w:noProof/>
          <w:lang w:val="fr-FR"/>
        </w:rPr>
        <w:t>la majorité (58</w:t>
      </w:r>
      <w:r w:rsidR="003F1ADB">
        <w:rPr>
          <w:noProof/>
          <w:lang w:val="fr-FR"/>
        </w:rPr>
        <w:t> %</w:t>
      </w:r>
      <w:r w:rsidR="00C160C0">
        <w:rPr>
          <w:noProof/>
          <w:lang w:val="fr-FR"/>
        </w:rPr>
        <w:t>) des voix exprimées</w:t>
      </w:r>
      <w:r w:rsidR="00283ED9" w:rsidRPr="00DD03D6">
        <w:rPr>
          <w:noProof/>
          <w:lang w:val="fr-FR"/>
        </w:rPr>
        <w:t xml:space="preserve">. </w:t>
      </w:r>
      <w:r w:rsidR="00C160C0">
        <w:rPr>
          <w:noProof/>
          <w:lang w:val="fr-FR"/>
        </w:rPr>
        <w:t xml:space="preserve">Toutefois, en vertu de la loi générale sur les référendums, </w:t>
      </w:r>
      <w:r w:rsidR="0096582A">
        <w:rPr>
          <w:noProof/>
          <w:lang w:val="fr-FR"/>
        </w:rPr>
        <w:t xml:space="preserve">la validité des résultats de ce référendum a été contestée devant la </w:t>
      </w:r>
      <w:r w:rsidR="00283ED9" w:rsidRPr="00371E9B">
        <w:rPr>
          <w:i/>
          <w:noProof/>
          <w:lang w:val="fr-FR"/>
        </w:rPr>
        <w:t>High Court</w:t>
      </w:r>
      <w:r w:rsidR="00283ED9" w:rsidRPr="00DD03D6">
        <w:rPr>
          <w:noProof/>
          <w:lang w:val="fr-FR"/>
        </w:rPr>
        <w:t xml:space="preserve">. </w:t>
      </w:r>
      <w:r w:rsidR="00371E9B">
        <w:rPr>
          <w:noProof/>
          <w:lang w:val="fr-FR"/>
        </w:rPr>
        <w:t>La présentation du projet de loi au Président en vue de sa promulgation et de l’entrée en vigueur des modification</w:t>
      </w:r>
      <w:r w:rsidR="00CE5C7A">
        <w:rPr>
          <w:noProof/>
          <w:lang w:val="fr-FR"/>
        </w:rPr>
        <w:t>s</w:t>
      </w:r>
      <w:r w:rsidR="00371E9B">
        <w:rPr>
          <w:noProof/>
          <w:lang w:val="fr-FR"/>
        </w:rPr>
        <w:t xml:space="preserve"> apportées à la Constitution doit attendre que cette juridiction ait statué sur le recours ainsi formé</w:t>
      </w:r>
      <w:r w:rsidR="00283ED9" w:rsidRPr="00DD03D6">
        <w:rPr>
          <w:noProof/>
          <w:lang w:val="fr-FR"/>
        </w:rPr>
        <w:t>.</w:t>
      </w:r>
    </w:p>
    <w:p w:rsidR="00283ED9" w:rsidRPr="00DD03D6" w:rsidRDefault="00DF7EF1" w:rsidP="0091392E">
      <w:pPr>
        <w:pStyle w:val="SingleTxtG"/>
        <w:numPr>
          <w:ilvl w:val="0"/>
          <w:numId w:val="3"/>
        </w:numPr>
        <w:ind w:left="1134" w:firstLine="0"/>
        <w:rPr>
          <w:noProof/>
          <w:lang w:val="fr-FR" w:eastAsia="en-GB"/>
        </w:rPr>
      </w:pPr>
      <w:r>
        <w:rPr>
          <w:noProof/>
          <w:lang w:val="fr-FR" w:eastAsia="en-GB"/>
        </w:rPr>
        <w:t xml:space="preserve">Lors du référendum de novembre, la population s’est exprimée sur les modifications ci-après qu’il était prévu d’apporter à la </w:t>
      </w:r>
      <w:r w:rsidR="00283ED9" w:rsidRPr="00DD03D6">
        <w:rPr>
          <w:noProof/>
          <w:lang w:val="fr-FR" w:eastAsia="en-GB"/>
        </w:rPr>
        <w:t>Constitution</w:t>
      </w:r>
      <w:r>
        <w:rPr>
          <w:noProof/>
          <w:lang w:val="fr-FR" w:eastAsia="en-GB"/>
        </w:rPr>
        <w:t xml:space="preserve"> </w:t>
      </w:r>
      <w:r w:rsidR="00283ED9" w:rsidRPr="00DD03D6">
        <w:rPr>
          <w:noProof/>
          <w:lang w:val="fr-FR" w:eastAsia="en-GB"/>
        </w:rPr>
        <w:t>:</w:t>
      </w:r>
    </w:p>
    <w:p w:rsidR="00283ED9" w:rsidRPr="00DD03D6" w:rsidRDefault="00DF7EF1" w:rsidP="00CF0BB1">
      <w:pPr>
        <w:pStyle w:val="Bullet1G"/>
        <w:tabs>
          <w:tab w:val="clear" w:pos="1701"/>
        </w:tabs>
        <w:ind w:left="1843" w:hanging="142"/>
        <w:rPr>
          <w:noProof/>
          <w:lang w:val="fr-FR"/>
        </w:rPr>
      </w:pPr>
      <w:r>
        <w:rPr>
          <w:noProof/>
          <w:lang w:val="fr-FR"/>
        </w:rPr>
        <w:t>La suppression de l’a</w:t>
      </w:r>
      <w:r w:rsidR="00796A7C" w:rsidRPr="00DD03D6">
        <w:rPr>
          <w:noProof/>
          <w:lang w:val="fr-FR"/>
        </w:rPr>
        <w:t>rticle </w:t>
      </w:r>
      <w:r w:rsidR="00283ED9" w:rsidRPr="00DD03D6">
        <w:rPr>
          <w:noProof/>
          <w:lang w:val="fr-FR"/>
        </w:rPr>
        <w:t>42.5</w:t>
      </w:r>
      <w:r>
        <w:rPr>
          <w:noProof/>
          <w:lang w:val="fr-FR"/>
        </w:rPr>
        <w:t xml:space="preserve"> en vigueur</w:t>
      </w:r>
      <w:r w:rsidR="00283ED9" w:rsidRPr="00DD03D6">
        <w:rPr>
          <w:noProof/>
          <w:lang w:val="fr-FR"/>
        </w:rPr>
        <w:t xml:space="preserve">, </w:t>
      </w:r>
      <w:r>
        <w:rPr>
          <w:noProof/>
          <w:lang w:val="fr-FR"/>
        </w:rPr>
        <w:t xml:space="preserve">ainsi libellé </w:t>
      </w:r>
      <w:r w:rsidR="00283ED9" w:rsidRPr="00DD03D6">
        <w:rPr>
          <w:noProof/>
          <w:lang w:val="fr-FR"/>
        </w:rPr>
        <w:t>:</w:t>
      </w:r>
    </w:p>
    <w:p w:rsidR="00283ED9" w:rsidRPr="00DD03D6" w:rsidRDefault="003F36DD" w:rsidP="00CF0BB1">
      <w:pPr>
        <w:pStyle w:val="SingleTxtG"/>
        <w:tabs>
          <w:tab w:val="left" w:pos="1843"/>
        </w:tabs>
        <w:ind w:left="1843"/>
        <w:rPr>
          <w:noProof/>
          <w:lang w:val="fr-FR" w:eastAsia="en-GB"/>
        </w:rPr>
      </w:pPr>
      <w:r>
        <w:rPr>
          <w:noProof/>
          <w:lang w:val="fr-FR" w:eastAsia="en-GB"/>
        </w:rPr>
        <w:t>« </w:t>
      </w:r>
      <w:r w:rsidR="00DF7EF1">
        <w:rPr>
          <w:noProof/>
          <w:lang w:val="fr-FR" w:eastAsia="en-GB"/>
        </w:rPr>
        <w:t xml:space="preserve">Dans des cas </w:t>
      </w:r>
      <w:r w:rsidR="00283ED9" w:rsidRPr="00DD03D6">
        <w:rPr>
          <w:noProof/>
          <w:lang w:val="fr-FR" w:eastAsia="en-GB"/>
        </w:rPr>
        <w:t>exception</w:t>
      </w:r>
      <w:r w:rsidR="00DF7EF1">
        <w:rPr>
          <w:noProof/>
          <w:lang w:val="fr-FR" w:eastAsia="en-GB"/>
        </w:rPr>
        <w:t>nels</w:t>
      </w:r>
      <w:r w:rsidR="00283ED9" w:rsidRPr="00DD03D6">
        <w:rPr>
          <w:noProof/>
          <w:lang w:val="fr-FR" w:eastAsia="en-GB"/>
        </w:rPr>
        <w:t xml:space="preserve">, </w:t>
      </w:r>
      <w:r w:rsidR="00DF7EF1">
        <w:rPr>
          <w:noProof/>
          <w:lang w:val="fr-FR" w:eastAsia="en-GB"/>
        </w:rPr>
        <w:t xml:space="preserve">lorsque les </w:t>
      </w:r>
      <w:r w:rsidR="00283ED9" w:rsidRPr="00DD03D6">
        <w:rPr>
          <w:noProof/>
          <w:lang w:val="fr-FR" w:eastAsia="en-GB"/>
        </w:rPr>
        <w:t>parents</w:t>
      </w:r>
      <w:r w:rsidR="001C17CB">
        <w:rPr>
          <w:noProof/>
          <w:lang w:val="fr-FR" w:eastAsia="en-GB"/>
        </w:rPr>
        <w:t xml:space="preserve">, pour des raisons </w:t>
      </w:r>
      <w:r w:rsidR="00283ED9" w:rsidRPr="00DD03D6">
        <w:rPr>
          <w:noProof/>
          <w:lang w:val="fr-FR" w:eastAsia="en-GB"/>
        </w:rPr>
        <w:t>physi</w:t>
      </w:r>
      <w:r w:rsidR="001C17CB">
        <w:rPr>
          <w:noProof/>
          <w:lang w:val="fr-FR" w:eastAsia="en-GB"/>
        </w:rPr>
        <w:t xml:space="preserve">ques ou </w:t>
      </w:r>
      <w:r w:rsidR="00283ED9" w:rsidRPr="00DD03D6">
        <w:rPr>
          <w:noProof/>
          <w:lang w:val="fr-FR" w:eastAsia="en-GB"/>
        </w:rPr>
        <w:t>moral</w:t>
      </w:r>
      <w:r w:rsidR="001C17CB">
        <w:rPr>
          <w:noProof/>
          <w:lang w:val="fr-FR" w:eastAsia="en-GB"/>
        </w:rPr>
        <w:t>es, manquent aux devoirs qui leur incombent à l’égard de leurs enfants</w:t>
      </w:r>
      <w:r w:rsidR="00283ED9" w:rsidRPr="00DD03D6">
        <w:rPr>
          <w:noProof/>
          <w:lang w:val="fr-FR" w:eastAsia="en-GB"/>
        </w:rPr>
        <w:t xml:space="preserve">, </w:t>
      </w:r>
      <w:r w:rsidR="00DF7EF1">
        <w:rPr>
          <w:noProof/>
          <w:lang w:val="fr-FR" w:eastAsia="en-GB"/>
        </w:rPr>
        <w:t>l’État</w:t>
      </w:r>
      <w:r w:rsidR="001C17CB">
        <w:rPr>
          <w:noProof/>
          <w:lang w:val="fr-FR" w:eastAsia="en-GB"/>
        </w:rPr>
        <w:t>, agissant</w:t>
      </w:r>
      <w:r w:rsidR="00DF7EF1">
        <w:rPr>
          <w:noProof/>
          <w:lang w:val="fr-FR" w:eastAsia="en-GB"/>
        </w:rPr>
        <w:t xml:space="preserve"> en tant que gardien du bien public, </w:t>
      </w:r>
      <w:r w:rsidR="00502D8A">
        <w:rPr>
          <w:noProof/>
          <w:lang w:val="fr-FR" w:eastAsia="en-GB"/>
        </w:rPr>
        <w:t xml:space="preserve">s’efforce, en </w:t>
      </w:r>
      <w:r w:rsidR="001C17CB">
        <w:rPr>
          <w:noProof/>
          <w:lang w:val="fr-FR" w:eastAsia="en-GB"/>
        </w:rPr>
        <w:t>met</w:t>
      </w:r>
      <w:r w:rsidR="00502D8A">
        <w:rPr>
          <w:noProof/>
          <w:lang w:val="fr-FR" w:eastAsia="en-GB"/>
        </w:rPr>
        <w:t>tant</w:t>
      </w:r>
      <w:r w:rsidR="001C17CB">
        <w:rPr>
          <w:noProof/>
          <w:lang w:val="fr-FR" w:eastAsia="en-GB"/>
        </w:rPr>
        <w:t xml:space="preserve"> en œuvre des moye</w:t>
      </w:r>
      <w:r w:rsidR="00502D8A">
        <w:rPr>
          <w:noProof/>
          <w:lang w:val="fr-FR" w:eastAsia="en-GB"/>
        </w:rPr>
        <w:t xml:space="preserve">ns appropriés, de </w:t>
      </w:r>
      <w:r w:rsidR="001C17CB">
        <w:rPr>
          <w:noProof/>
          <w:lang w:val="fr-FR" w:eastAsia="en-GB"/>
        </w:rPr>
        <w:t xml:space="preserve">se substituer aux </w:t>
      </w:r>
      <w:r w:rsidR="00283ED9" w:rsidRPr="00DD03D6">
        <w:rPr>
          <w:noProof/>
          <w:lang w:val="fr-FR" w:eastAsia="en-GB"/>
        </w:rPr>
        <w:t xml:space="preserve">parents, </w:t>
      </w:r>
      <w:r w:rsidR="001C17CB">
        <w:rPr>
          <w:noProof/>
          <w:lang w:val="fr-FR" w:eastAsia="en-GB"/>
        </w:rPr>
        <w:t xml:space="preserve">en prenant dans chaque cas dûment en considération les droits </w:t>
      </w:r>
      <w:r w:rsidR="00283ED9" w:rsidRPr="00DD03D6">
        <w:rPr>
          <w:noProof/>
          <w:lang w:val="fr-FR" w:eastAsia="en-GB"/>
        </w:rPr>
        <w:t>natur</w:t>
      </w:r>
      <w:r w:rsidR="001C17CB">
        <w:rPr>
          <w:noProof/>
          <w:lang w:val="fr-FR" w:eastAsia="en-GB"/>
        </w:rPr>
        <w:t>e</w:t>
      </w:r>
      <w:r w:rsidR="00283ED9" w:rsidRPr="00DD03D6">
        <w:rPr>
          <w:noProof/>
          <w:lang w:val="fr-FR" w:eastAsia="en-GB"/>
        </w:rPr>
        <w:t>l</w:t>
      </w:r>
      <w:r w:rsidR="001C17CB">
        <w:rPr>
          <w:noProof/>
          <w:lang w:val="fr-FR" w:eastAsia="en-GB"/>
        </w:rPr>
        <w:t>s</w:t>
      </w:r>
      <w:r w:rsidR="00283ED9" w:rsidRPr="00DD03D6">
        <w:rPr>
          <w:noProof/>
          <w:lang w:val="fr-FR" w:eastAsia="en-GB"/>
        </w:rPr>
        <w:t xml:space="preserve"> </w:t>
      </w:r>
      <w:r w:rsidR="001C17CB">
        <w:rPr>
          <w:noProof/>
          <w:lang w:val="fr-FR" w:eastAsia="en-GB"/>
        </w:rPr>
        <w:t>et</w:t>
      </w:r>
      <w:r w:rsidR="00283ED9" w:rsidRPr="00DD03D6">
        <w:rPr>
          <w:noProof/>
          <w:lang w:val="fr-FR" w:eastAsia="en-GB"/>
        </w:rPr>
        <w:t xml:space="preserve"> impre</w:t>
      </w:r>
      <w:r w:rsidR="005D7533" w:rsidRPr="00DD03D6">
        <w:rPr>
          <w:noProof/>
          <w:lang w:val="fr-FR" w:eastAsia="en-GB"/>
        </w:rPr>
        <w:t>scriptible</w:t>
      </w:r>
      <w:r w:rsidR="001C17CB">
        <w:rPr>
          <w:noProof/>
          <w:lang w:val="fr-FR" w:eastAsia="en-GB"/>
        </w:rPr>
        <w:t>s</w:t>
      </w:r>
      <w:r w:rsidR="005D7533" w:rsidRPr="00DD03D6">
        <w:rPr>
          <w:noProof/>
          <w:lang w:val="fr-FR" w:eastAsia="en-GB"/>
        </w:rPr>
        <w:t xml:space="preserve"> </w:t>
      </w:r>
      <w:r w:rsidR="001C17CB">
        <w:rPr>
          <w:noProof/>
          <w:lang w:val="fr-FR" w:eastAsia="en-GB"/>
        </w:rPr>
        <w:t>de l’enfant</w:t>
      </w:r>
      <w:r w:rsidR="005D7533" w:rsidRPr="00DD03D6">
        <w:rPr>
          <w:noProof/>
          <w:lang w:val="fr-FR" w:eastAsia="en-GB"/>
        </w:rPr>
        <w:t>.</w:t>
      </w:r>
      <w:r>
        <w:rPr>
          <w:noProof/>
          <w:lang w:val="fr-FR" w:eastAsia="en-GB"/>
        </w:rPr>
        <w:t> »</w:t>
      </w:r>
    </w:p>
    <w:p w:rsidR="00283ED9" w:rsidRPr="00DD03D6" w:rsidRDefault="001C17CB" w:rsidP="00CF0BB1">
      <w:pPr>
        <w:pStyle w:val="Bullet1G"/>
        <w:tabs>
          <w:tab w:val="clear" w:pos="1701"/>
        </w:tabs>
        <w:ind w:left="1843" w:hanging="142"/>
        <w:rPr>
          <w:noProof/>
          <w:lang w:val="fr-FR"/>
        </w:rPr>
      </w:pPr>
      <w:r>
        <w:rPr>
          <w:noProof/>
          <w:lang w:val="fr-FR"/>
        </w:rPr>
        <w:t>L’</w:t>
      </w:r>
      <w:r w:rsidR="00283ED9" w:rsidRPr="00DD03D6">
        <w:rPr>
          <w:noProof/>
          <w:lang w:val="fr-FR"/>
        </w:rPr>
        <w:t>insertion</w:t>
      </w:r>
      <w:r w:rsidR="005D7533" w:rsidRPr="00DD03D6">
        <w:rPr>
          <w:noProof/>
          <w:lang w:val="fr-FR"/>
        </w:rPr>
        <w:t xml:space="preserve"> </w:t>
      </w:r>
      <w:r>
        <w:rPr>
          <w:noProof/>
          <w:lang w:val="fr-FR"/>
        </w:rPr>
        <w:t>d’un nouvel a</w:t>
      </w:r>
      <w:r w:rsidR="00796A7C" w:rsidRPr="00DD03D6">
        <w:rPr>
          <w:noProof/>
          <w:lang w:val="fr-FR"/>
        </w:rPr>
        <w:t>rticle </w:t>
      </w:r>
      <w:r w:rsidR="005D7533" w:rsidRPr="00DD03D6">
        <w:rPr>
          <w:noProof/>
          <w:lang w:val="fr-FR"/>
        </w:rPr>
        <w:t xml:space="preserve">42A </w:t>
      </w:r>
      <w:r>
        <w:rPr>
          <w:noProof/>
          <w:lang w:val="fr-FR"/>
        </w:rPr>
        <w:t xml:space="preserve">intitulé </w:t>
      </w:r>
      <w:r w:rsidR="003F36DD">
        <w:rPr>
          <w:noProof/>
          <w:lang w:val="fr-FR"/>
        </w:rPr>
        <w:t>« </w:t>
      </w:r>
      <w:r>
        <w:rPr>
          <w:noProof/>
          <w:lang w:val="fr-FR"/>
        </w:rPr>
        <w:t>Enfants</w:t>
      </w:r>
      <w:r w:rsidR="003F36DD">
        <w:rPr>
          <w:noProof/>
          <w:lang w:val="fr-FR"/>
        </w:rPr>
        <w:t> »</w:t>
      </w:r>
      <w:r w:rsidR="00283ED9" w:rsidRPr="00DD03D6">
        <w:rPr>
          <w:noProof/>
          <w:lang w:val="fr-FR"/>
        </w:rPr>
        <w:t xml:space="preserve">, </w:t>
      </w:r>
      <w:r>
        <w:rPr>
          <w:noProof/>
          <w:lang w:val="fr-FR"/>
        </w:rPr>
        <w:t>ainsi libellé</w:t>
      </w:r>
      <w:r w:rsidR="00CF0BB1">
        <w:rPr>
          <w:noProof/>
          <w:lang w:val="fr-FR"/>
        </w:rPr>
        <w:t> </w:t>
      </w:r>
      <w:r w:rsidR="00283ED9" w:rsidRPr="00DD03D6">
        <w:rPr>
          <w:noProof/>
          <w:lang w:val="fr-FR"/>
        </w:rPr>
        <w:t>:</w:t>
      </w:r>
    </w:p>
    <w:p w:rsidR="00283ED9" w:rsidRPr="00DD03D6" w:rsidRDefault="003F36DD" w:rsidP="003F36DD">
      <w:pPr>
        <w:pStyle w:val="SingleTxtG"/>
        <w:ind w:left="2835" w:hanging="567"/>
        <w:rPr>
          <w:noProof/>
          <w:lang w:val="fr-FR"/>
        </w:rPr>
      </w:pPr>
      <w:r>
        <w:rPr>
          <w:noProof/>
          <w:lang w:val="fr-FR"/>
        </w:rPr>
        <w:t>« </w:t>
      </w:r>
      <w:r w:rsidR="00283ED9" w:rsidRPr="00DD03D6">
        <w:rPr>
          <w:noProof/>
          <w:lang w:val="fr-FR"/>
        </w:rPr>
        <w:t>1.</w:t>
      </w:r>
      <w:r w:rsidR="00283ED9" w:rsidRPr="00DD03D6">
        <w:rPr>
          <w:noProof/>
          <w:lang w:val="fr-FR"/>
        </w:rPr>
        <w:tab/>
      </w:r>
      <w:r w:rsidR="001C17CB">
        <w:rPr>
          <w:noProof/>
          <w:lang w:val="fr-FR"/>
        </w:rPr>
        <w:t xml:space="preserve">L’État </w:t>
      </w:r>
      <w:r w:rsidR="00F638A9">
        <w:rPr>
          <w:noProof/>
          <w:lang w:val="fr-FR"/>
        </w:rPr>
        <w:t>reconnaît et proclame les droits nature</w:t>
      </w:r>
      <w:r w:rsidR="00283ED9" w:rsidRPr="00DD03D6">
        <w:rPr>
          <w:noProof/>
          <w:lang w:val="fr-FR"/>
        </w:rPr>
        <w:t>l</w:t>
      </w:r>
      <w:r w:rsidR="00F638A9">
        <w:rPr>
          <w:noProof/>
          <w:lang w:val="fr-FR"/>
        </w:rPr>
        <w:t>s</w:t>
      </w:r>
      <w:r w:rsidR="00283ED9" w:rsidRPr="00DD03D6">
        <w:rPr>
          <w:noProof/>
          <w:lang w:val="fr-FR"/>
        </w:rPr>
        <w:t xml:space="preserve"> </w:t>
      </w:r>
      <w:r w:rsidR="00F638A9">
        <w:rPr>
          <w:noProof/>
          <w:lang w:val="fr-FR"/>
        </w:rPr>
        <w:t>et</w:t>
      </w:r>
      <w:r w:rsidR="00283ED9" w:rsidRPr="00DD03D6">
        <w:rPr>
          <w:noProof/>
          <w:lang w:val="fr-FR"/>
        </w:rPr>
        <w:t xml:space="preserve"> imprescriptible</w:t>
      </w:r>
      <w:r w:rsidR="00F638A9">
        <w:rPr>
          <w:noProof/>
          <w:lang w:val="fr-FR"/>
        </w:rPr>
        <w:t>s</w:t>
      </w:r>
      <w:r w:rsidR="00283ED9" w:rsidRPr="00DD03D6">
        <w:rPr>
          <w:noProof/>
          <w:lang w:val="fr-FR"/>
        </w:rPr>
        <w:t xml:space="preserve"> </w:t>
      </w:r>
      <w:r w:rsidR="00F638A9">
        <w:rPr>
          <w:noProof/>
          <w:lang w:val="fr-FR"/>
        </w:rPr>
        <w:t>de tous les enfants et, dans toute la mesure possible, protège et fait valoir ces droits dans sa législation</w:t>
      </w:r>
      <w:r w:rsidR="00283ED9" w:rsidRPr="00DD03D6">
        <w:rPr>
          <w:noProof/>
          <w:lang w:val="fr-FR"/>
        </w:rPr>
        <w:t>.</w:t>
      </w:r>
    </w:p>
    <w:p w:rsidR="00283ED9" w:rsidRPr="00DD03D6" w:rsidRDefault="002E780C" w:rsidP="003F36DD">
      <w:pPr>
        <w:pStyle w:val="SingleTxtG"/>
        <w:tabs>
          <w:tab w:val="left" w:pos="3261"/>
        </w:tabs>
        <w:ind w:left="2835" w:hanging="567"/>
        <w:rPr>
          <w:noProof/>
          <w:lang w:val="fr-FR"/>
        </w:rPr>
      </w:pPr>
      <w:r w:rsidRPr="00DD03D6">
        <w:rPr>
          <w:noProof/>
          <w:lang w:val="fr-FR"/>
        </w:rPr>
        <w:t>2.</w:t>
      </w:r>
      <w:r w:rsidR="00E93E12" w:rsidRPr="00DD03D6">
        <w:rPr>
          <w:noProof/>
          <w:lang w:val="fr-FR"/>
        </w:rPr>
        <w:tab/>
      </w:r>
      <w:r w:rsidR="00283ED9" w:rsidRPr="00DD03D6">
        <w:rPr>
          <w:noProof/>
          <w:lang w:val="fr-FR"/>
        </w:rPr>
        <w:t>1</w:t>
      </w:r>
      <w:r w:rsidR="0009434A" w:rsidRPr="00DD03D6">
        <w:rPr>
          <w:noProof/>
          <w:lang w:val="fr-FR"/>
        </w:rPr>
        <w:t>.</w:t>
      </w:r>
      <w:r w:rsidR="00283ED9" w:rsidRPr="00DD03D6">
        <w:rPr>
          <w:noProof/>
          <w:lang w:val="fr-FR"/>
        </w:rPr>
        <w:tab/>
      </w:r>
      <w:r w:rsidR="00F638A9">
        <w:rPr>
          <w:noProof/>
          <w:lang w:val="fr-FR" w:eastAsia="en-GB"/>
        </w:rPr>
        <w:t xml:space="preserve">Dans des cas </w:t>
      </w:r>
      <w:r w:rsidR="00F638A9" w:rsidRPr="00DD03D6">
        <w:rPr>
          <w:noProof/>
          <w:lang w:val="fr-FR" w:eastAsia="en-GB"/>
        </w:rPr>
        <w:t>exception</w:t>
      </w:r>
      <w:r w:rsidR="00F638A9">
        <w:rPr>
          <w:noProof/>
          <w:lang w:val="fr-FR" w:eastAsia="en-GB"/>
        </w:rPr>
        <w:t>nels</w:t>
      </w:r>
      <w:r w:rsidR="00F638A9" w:rsidRPr="00DD03D6">
        <w:rPr>
          <w:noProof/>
          <w:lang w:val="fr-FR" w:eastAsia="en-GB"/>
        </w:rPr>
        <w:t xml:space="preserve">, </w:t>
      </w:r>
      <w:r w:rsidR="00F638A9">
        <w:rPr>
          <w:noProof/>
          <w:lang w:val="fr-FR" w:eastAsia="en-GB"/>
        </w:rPr>
        <w:t xml:space="preserve">lorsque les </w:t>
      </w:r>
      <w:r w:rsidR="00F638A9" w:rsidRPr="00DD03D6">
        <w:rPr>
          <w:noProof/>
          <w:lang w:val="fr-FR" w:eastAsia="en-GB"/>
        </w:rPr>
        <w:t>parents</w:t>
      </w:r>
      <w:r w:rsidR="00F638A9">
        <w:rPr>
          <w:noProof/>
          <w:lang w:val="fr-FR" w:eastAsia="en-GB"/>
        </w:rPr>
        <w:t xml:space="preserve">, mariés ou non, manquent aux devoirs qui leur incombent à l’égard de leurs enfants au point que </w:t>
      </w:r>
      <w:r w:rsidR="00155F2B">
        <w:rPr>
          <w:noProof/>
          <w:lang w:val="fr-FR" w:eastAsia="en-GB"/>
        </w:rPr>
        <w:t>la sécurité et le bien-être de l’un de leurs enfants semble devoir en pâtir</w:t>
      </w:r>
      <w:r w:rsidR="00F638A9" w:rsidRPr="00DD03D6">
        <w:rPr>
          <w:noProof/>
          <w:lang w:val="fr-FR" w:eastAsia="en-GB"/>
        </w:rPr>
        <w:t xml:space="preserve">, </w:t>
      </w:r>
      <w:r w:rsidR="00F638A9">
        <w:rPr>
          <w:noProof/>
          <w:lang w:val="fr-FR" w:eastAsia="en-GB"/>
        </w:rPr>
        <w:t>l’État, agissant en tant que gardien du bien public,</w:t>
      </w:r>
      <w:r w:rsidR="003E3A41">
        <w:rPr>
          <w:noProof/>
          <w:lang w:val="fr-FR" w:eastAsia="en-GB"/>
        </w:rPr>
        <w:t xml:space="preserve"> </w:t>
      </w:r>
      <w:r w:rsidR="00187677">
        <w:rPr>
          <w:noProof/>
          <w:lang w:val="fr-FR" w:eastAsia="en-GB"/>
        </w:rPr>
        <w:t>s’e</w:t>
      </w:r>
      <w:r w:rsidR="00502D8A">
        <w:rPr>
          <w:noProof/>
          <w:lang w:val="fr-FR" w:eastAsia="en-GB"/>
        </w:rPr>
        <w:t>fforce</w:t>
      </w:r>
      <w:r w:rsidR="00187677">
        <w:rPr>
          <w:noProof/>
          <w:lang w:val="fr-FR" w:eastAsia="en-GB"/>
        </w:rPr>
        <w:t>, en</w:t>
      </w:r>
      <w:r w:rsidR="00F638A9">
        <w:rPr>
          <w:noProof/>
          <w:lang w:val="fr-FR" w:eastAsia="en-GB"/>
        </w:rPr>
        <w:t xml:space="preserve"> met</w:t>
      </w:r>
      <w:r w:rsidR="00187677">
        <w:rPr>
          <w:noProof/>
          <w:lang w:val="fr-FR" w:eastAsia="en-GB"/>
        </w:rPr>
        <w:t>tant</w:t>
      </w:r>
      <w:r w:rsidR="00F638A9">
        <w:rPr>
          <w:noProof/>
          <w:lang w:val="fr-FR" w:eastAsia="en-GB"/>
        </w:rPr>
        <w:t xml:space="preserve"> en œuvre des moyens </w:t>
      </w:r>
      <w:r w:rsidR="003E3A41">
        <w:rPr>
          <w:noProof/>
          <w:lang w:val="fr-FR" w:eastAsia="en-GB"/>
        </w:rPr>
        <w:t xml:space="preserve">proportionnés prévus par </w:t>
      </w:r>
      <w:r w:rsidR="003E3A41">
        <w:rPr>
          <w:noProof/>
          <w:lang w:val="fr-FR" w:eastAsia="en-GB"/>
        </w:rPr>
        <w:lastRenderedPageBreak/>
        <w:t xml:space="preserve">la loi, </w:t>
      </w:r>
      <w:r w:rsidR="00502D8A">
        <w:rPr>
          <w:noProof/>
          <w:lang w:val="fr-FR" w:eastAsia="en-GB"/>
        </w:rPr>
        <w:t xml:space="preserve">de </w:t>
      </w:r>
      <w:r w:rsidR="00F638A9">
        <w:rPr>
          <w:noProof/>
          <w:lang w:val="fr-FR" w:eastAsia="en-GB"/>
        </w:rPr>
        <w:t xml:space="preserve">se substituer aux </w:t>
      </w:r>
      <w:r w:rsidR="00F638A9" w:rsidRPr="00DD03D6">
        <w:rPr>
          <w:noProof/>
          <w:lang w:val="fr-FR" w:eastAsia="en-GB"/>
        </w:rPr>
        <w:t xml:space="preserve">parents, </w:t>
      </w:r>
      <w:r w:rsidR="00F638A9">
        <w:rPr>
          <w:noProof/>
          <w:lang w:val="fr-FR" w:eastAsia="en-GB"/>
        </w:rPr>
        <w:t xml:space="preserve">en prenant dans chaque cas dûment en considération les droits </w:t>
      </w:r>
      <w:r w:rsidR="00F638A9" w:rsidRPr="00DD03D6">
        <w:rPr>
          <w:noProof/>
          <w:lang w:val="fr-FR" w:eastAsia="en-GB"/>
        </w:rPr>
        <w:t>natur</w:t>
      </w:r>
      <w:r w:rsidR="00F638A9">
        <w:rPr>
          <w:noProof/>
          <w:lang w:val="fr-FR" w:eastAsia="en-GB"/>
        </w:rPr>
        <w:t>e</w:t>
      </w:r>
      <w:r w:rsidR="00F638A9" w:rsidRPr="00DD03D6">
        <w:rPr>
          <w:noProof/>
          <w:lang w:val="fr-FR" w:eastAsia="en-GB"/>
        </w:rPr>
        <w:t>l</w:t>
      </w:r>
      <w:r w:rsidR="00F638A9">
        <w:rPr>
          <w:noProof/>
          <w:lang w:val="fr-FR" w:eastAsia="en-GB"/>
        </w:rPr>
        <w:t>s</w:t>
      </w:r>
      <w:r w:rsidR="00F638A9" w:rsidRPr="00DD03D6">
        <w:rPr>
          <w:noProof/>
          <w:lang w:val="fr-FR" w:eastAsia="en-GB"/>
        </w:rPr>
        <w:t xml:space="preserve"> </w:t>
      </w:r>
      <w:r w:rsidR="00F638A9">
        <w:rPr>
          <w:noProof/>
          <w:lang w:val="fr-FR" w:eastAsia="en-GB"/>
        </w:rPr>
        <w:t>et</w:t>
      </w:r>
      <w:r w:rsidR="00F638A9" w:rsidRPr="00DD03D6">
        <w:rPr>
          <w:noProof/>
          <w:lang w:val="fr-FR" w:eastAsia="en-GB"/>
        </w:rPr>
        <w:t xml:space="preserve"> imprescriptible</w:t>
      </w:r>
      <w:r w:rsidR="00F638A9">
        <w:rPr>
          <w:noProof/>
          <w:lang w:val="fr-FR" w:eastAsia="en-GB"/>
        </w:rPr>
        <w:t>s</w:t>
      </w:r>
      <w:r w:rsidR="00F638A9" w:rsidRPr="00DD03D6">
        <w:rPr>
          <w:noProof/>
          <w:lang w:val="fr-FR" w:eastAsia="en-GB"/>
        </w:rPr>
        <w:t xml:space="preserve"> </w:t>
      </w:r>
      <w:r w:rsidR="00F638A9">
        <w:rPr>
          <w:noProof/>
          <w:lang w:val="fr-FR" w:eastAsia="en-GB"/>
        </w:rPr>
        <w:t>de l’enfant</w:t>
      </w:r>
      <w:r w:rsidR="00283ED9" w:rsidRPr="00DD03D6">
        <w:rPr>
          <w:noProof/>
          <w:lang w:val="fr-FR"/>
        </w:rPr>
        <w:t>.</w:t>
      </w:r>
    </w:p>
    <w:p w:rsidR="00283ED9" w:rsidRPr="00DD03D6" w:rsidRDefault="00283ED9" w:rsidP="003F36DD">
      <w:pPr>
        <w:pStyle w:val="SingleTxtG"/>
        <w:tabs>
          <w:tab w:val="left" w:pos="3261"/>
        </w:tabs>
        <w:ind w:left="2835"/>
        <w:rPr>
          <w:noProof/>
          <w:lang w:val="fr-FR"/>
        </w:rPr>
      </w:pPr>
      <w:r w:rsidRPr="00DD03D6">
        <w:rPr>
          <w:noProof/>
          <w:lang w:val="fr-FR"/>
        </w:rPr>
        <w:t>2</w:t>
      </w:r>
      <w:r w:rsidR="0009434A" w:rsidRPr="00DD03D6">
        <w:rPr>
          <w:noProof/>
          <w:lang w:val="fr-FR"/>
        </w:rPr>
        <w:t>.</w:t>
      </w:r>
      <w:r w:rsidRPr="00DD03D6">
        <w:rPr>
          <w:noProof/>
          <w:lang w:val="fr-FR"/>
        </w:rPr>
        <w:tab/>
      </w:r>
      <w:r w:rsidR="00502D8A">
        <w:rPr>
          <w:noProof/>
          <w:lang w:val="fr-FR"/>
        </w:rPr>
        <w:t>La loi prévoit l’</w:t>
      </w:r>
      <w:r w:rsidRPr="00DD03D6">
        <w:rPr>
          <w:noProof/>
          <w:lang w:val="fr-FR"/>
        </w:rPr>
        <w:t xml:space="preserve">adoption </w:t>
      </w:r>
      <w:r w:rsidR="00502D8A">
        <w:rPr>
          <w:noProof/>
          <w:lang w:val="fr-FR"/>
        </w:rPr>
        <w:t xml:space="preserve">d’un enfant lorsque ses </w:t>
      </w:r>
      <w:r w:rsidRPr="00DD03D6">
        <w:rPr>
          <w:noProof/>
          <w:lang w:val="fr-FR"/>
        </w:rPr>
        <w:t xml:space="preserve">parents </w:t>
      </w:r>
      <w:r w:rsidR="00502D8A">
        <w:rPr>
          <w:noProof/>
          <w:lang w:val="fr-FR"/>
        </w:rPr>
        <w:t>ont manqué, pendant une période de temps qu’elle peut prescrire, aux devoirs qui leur incombaient à l’égard de l’enfant et lorsque l’intérêt supérieur de celui-ci l’exige</w:t>
      </w:r>
      <w:r w:rsidRPr="00DD03D6">
        <w:rPr>
          <w:noProof/>
          <w:lang w:val="fr-FR"/>
        </w:rPr>
        <w:t>.</w:t>
      </w:r>
    </w:p>
    <w:p w:rsidR="00283ED9" w:rsidRPr="00DD03D6" w:rsidRDefault="00283ED9" w:rsidP="003F36DD">
      <w:pPr>
        <w:pStyle w:val="SingleTxtG"/>
        <w:ind w:left="2835" w:hanging="567"/>
        <w:rPr>
          <w:noProof/>
          <w:lang w:val="fr-FR"/>
        </w:rPr>
      </w:pPr>
      <w:r w:rsidRPr="00DD03D6">
        <w:rPr>
          <w:noProof/>
          <w:lang w:val="fr-FR"/>
        </w:rPr>
        <w:t>3.</w:t>
      </w:r>
      <w:r w:rsidRPr="00DD03D6">
        <w:rPr>
          <w:noProof/>
          <w:lang w:val="fr-FR"/>
        </w:rPr>
        <w:tab/>
      </w:r>
      <w:r w:rsidR="00F55391">
        <w:rPr>
          <w:noProof/>
          <w:lang w:val="fr-FR"/>
        </w:rPr>
        <w:t>La loi prévoit le placement librement consenti aux fins d’adoption et l’adoption d’un enfant.</w:t>
      </w:r>
    </w:p>
    <w:p w:rsidR="00283ED9" w:rsidRPr="00DD03D6" w:rsidRDefault="002E780C" w:rsidP="003F36DD">
      <w:pPr>
        <w:pStyle w:val="SingleTxtG"/>
        <w:tabs>
          <w:tab w:val="left" w:pos="2835"/>
          <w:tab w:val="left" w:pos="3261"/>
        </w:tabs>
        <w:ind w:left="1701" w:firstLine="567"/>
        <w:rPr>
          <w:noProof/>
          <w:lang w:val="fr-FR"/>
        </w:rPr>
      </w:pPr>
      <w:r w:rsidRPr="00DD03D6">
        <w:rPr>
          <w:noProof/>
          <w:lang w:val="fr-FR"/>
        </w:rPr>
        <w:t>4.</w:t>
      </w:r>
      <w:r w:rsidR="00CB6ABA" w:rsidRPr="00DD03D6">
        <w:rPr>
          <w:noProof/>
          <w:lang w:val="fr-FR"/>
        </w:rPr>
        <w:tab/>
      </w:r>
      <w:r w:rsidR="00283ED9" w:rsidRPr="00DD03D6">
        <w:rPr>
          <w:noProof/>
          <w:lang w:val="fr-FR"/>
        </w:rPr>
        <w:t>1</w:t>
      </w:r>
      <w:r w:rsidR="0009434A" w:rsidRPr="00DD03D6">
        <w:rPr>
          <w:noProof/>
          <w:lang w:val="fr-FR"/>
        </w:rPr>
        <w:t>.</w:t>
      </w:r>
      <w:r w:rsidR="00283ED9" w:rsidRPr="00DD03D6">
        <w:rPr>
          <w:noProof/>
          <w:lang w:val="fr-FR"/>
        </w:rPr>
        <w:tab/>
      </w:r>
      <w:r w:rsidR="006804F1">
        <w:rPr>
          <w:noProof/>
          <w:lang w:val="fr-FR"/>
        </w:rPr>
        <w:t xml:space="preserve">La loi prévoit que, dans le règlement de toutes les procédures </w:t>
      </w:r>
    </w:p>
    <w:p w:rsidR="00283ED9" w:rsidRPr="00DD03D6" w:rsidRDefault="00283ED9" w:rsidP="003F36DD">
      <w:pPr>
        <w:pStyle w:val="SingleTxtG"/>
        <w:tabs>
          <w:tab w:val="left" w:pos="3544"/>
        </w:tabs>
        <w:ind w:left="3544" w:hanging="283"/>
        <w:rPr>
          <w:noProof/>
          <w:lang w:val="fr-FR"/>
        </w:rPr>
      </w:pPr>
      <w:r w:rsidRPr="00DD03D6">
        <w:rPr>
          <w:noProof/>
          <w:lang w:val="fr-FR"/>
        </w:rPr>
        <w:t>i</w:t>
      </w:r>
      <w:r w:rsidR="0009434A" w:rsidRPr="00DD03D6">
        <w:rPr>
          <w:noProof/>
          <w:lang w:val="fr-FR"/>
        </w:rPr>
        <w:t>.</w:t>
      </w:r>
      <w:r w:rsidRPr="00DD03D6">
        <w:rPr>
          <w:noProof/>
          <w:lang w:val="fr-FR"/>
        </w:rPr>
        <w:tab/>
      </w:r>
      <w:r w:rsidR="006804F1">
        <w:rPr>
          <w:noProof/>
          <w:lang w:val="fr-FR"/>
        </w:rPr>
        <w:t xml:space="preserve">engagées par l’État, en </w:t>
      </w:r>
      <w:r w:rsidR="006804F1">
        <w:rPr>
          <w:noProof/>
          <w:lang w:val="fr-FR" w:eastAsia="en-GB"/>
        </w:rPr>
        <w:t>tant que gardien du bien public</w:t>
      </w:r>
      <w:r w:rsidRPr="00DD03D6">
        <w:rPr>
          <w:noProof/>
          <w:lang w:val="fr-FR"/>
        </w:rPr>
        <w:t xml:space="preserve">, </w:t>
      </w:r>
      <w:r w:rsidR="00864FC1">
        <w:rPr>
          <w:noProof/>
          <w:lang w:val="fr-FR"/>
        </w:rPr>
        <w:t>pour empêcher que la sécurité et le bien-être d’un enfant ne soient compromis</w:t>
      </w:r>
      <w:r w:rsidRPr="00DD03D6">
        <w:rPr>
          <w:noProof/>
          <w:lang w:val="fr-FR"/>
        </w:rPr>
        <w:t>, o</w:t>
      </w:r>
      <w:r w:rsidR="00864FC1">
        <w:rPr>
          <w:noProof/>
          <w:lang w:val="fr-FR"/>
        </w:rPr>
        <w:t>u</w:t>
      </w:r>
    </w:p>
    <w:p w:rsidR="00283ED9" w:rsidRPr="00DD03D6" w:rsidRDefault="00283ED9" w:rsidP="003F36DD">
      <w:pPr>
        <w:pStyle w:val="SingleTxtG"/>
        <w:tabs>
          <w:tab w:val="left" w:pos="3544"/>
        </w:tabs>
        <w:ind w:left="3544" w:hanging="283"/>
        <w:rPr>
          <w:noProof/>
          <w:lang w:val="fr-FR"/>
        </w:rPr>
      </w:pPr>
      <w:r w:rsidRPr="00DD03D6">
        <w:rPr>
          <w:noProof/>
          <w:lang w:val="fr-FR"/>
        </w:rPr>
        <w:t>ii</w:t>
      </w:r>
      <w:r w:rsidR="0009434A" w:rsidRPr="00DD03D6">
        <w:rPr>
          <w:noProof/>
          <w:lang w:val="fr-FR"/>
        </w:rPr>
        <w:t>.</w:t>
      </w:r>
      <w:r w:rsidR="00864FC1">
        <w:rPr>
          <w:noProof/>
          <w:lang w:val="fr-FR"/>
        </w:rPr>
        <w:tab/>
        <w:t>concernant l’</w:t>
      </w:r>
      <w:r w:rsidRPr="00DD03D6">
        <w:rPr>
          <w:noProof/>
          <w:lang w:val="fr-FR"/>
        </w:rPr>
        <w:t xml:space="preserve">adoption, </w:t>
      </w:r>
      <w:r w:rsidR="00864FC1">
        <w:rPr>
          <w:noProof/>
          <w:lang w:val="fr-FR"/>
        </w:rPr>
        <w:t>la tutelle ou la garde d’un enfant, ou le droit de visite le concernant</w:t>
      </w:r>
      <w:r w:rsidRPr="00DD03D6">
        <w:rPr>
          <w:noProof/>
          <w:lang w:val="fr-FR"/>
        </w:rPr>
        <w:t>,</w:t>
      </w:r>
      <w:r w:rsidR="003F36DD">
        <w:rPr>
          <w:noProof/>
          <w:lang w:val="fr-FR"/>
        </w:rPr>
        <w:t xml:space="preserve"> </w:t>
      </w:r>
      <w:r w:rsidR="00864FC1">
        <w:rPr>
          <w:noProof/>
          <w:lang w:val="fr-FR"/>
        </w:rPr>
        <w:t xml:space="preserve">l’intérêt supérieur de l’enfant est la considération </w:t>
      </w:r>
      <w:r w:rsidR="00BB2E74">
        <w:rPr>
          <w:noProof/>
          <w:lang w:val="fr-FR"/>
        </w:rPr>
        <w:t>primordiale</w:t>
      </w:r>
      <w:r w:rsidRPr="00DD03D6">
        <w:rPr>
          <w:noProof/>
          <w:lang w:val="fr-FR"/>
        </w:rPr>
        <w:t>.</w:t>
      </w:r>
    </w:p>
    <w:p w:rsidR="00283ED9" w:rsidRPr="00DD03D6" w:rsidRDefault="00283ED9" w:rsidP="003F36DD">
      <w:pPr>
        <w:pStyle w:val="SingleTxtG"/>
        <w:ind w:left="2835"/>
        <w:rPr>
          <w:noProof/>
          <w:lang w:val="fr-FR"/>
        </w:rPr>
      </w:pPr>
      <w:r w:rsidRPr="00DD03D6">
        <w:rPr>
          <w:noProof/>
          <w:lang w:val="fr-FR"/>
        </w:rPr>
        <w:t>2</w:t>
      </w:r>
      <w:r w:rsidR="0009434A" w:rsidRPr="00DD03D6">
        <w:rPr>
          <w:noProof/>
          <w:lang w:val="fr-FR"/>
        </w:rPr>
        <w:t>.</w:t>
      </w:r>
      <w:r w:rsidRPr="00DD03D6">
        <w:rPr>
          <w:noProof/>
          <w:lang w:val="fr-FR"/>
        </w:rPr>
        <w:tab/>
      </w:r>
      <w:r w:rsidR="00BB2E74">
        <w:rPr>
          <w:noProof/>
          <w:lang w:val="fr-FR"/>
        </w:rPr>
        <w:t xml:space="preserve">La loi veille à ce que, dans toute la mesure possible, dans toutes les procédures visées </w:t>
      </w:r>
      <w:r w:rsidR="00A11C97">
        <w:rPr>
          <w:noProof/>
          <w:lang w:val="fr-FR"/>
        </w:rPr>
        <w:t>dans la</w:t>
      </w:r>
      <w:r w:rsidR="00BB2E74">
        <w:rPr>
          <w:noProof/>
          <w:lang w:val="fr-FR"/>
        </w:rPr>
        <w:t xml:space="preserve"> </w:t>
      </w:r>
      <w:r w:rsidR="00A11C97">
        <w:rPr>
          <w:noProof/>
          <w:lang w:val="fr-FR"/>
        </w:rPr>
        <w:t xml:space="preserve">première partie </w:t>
      </w:r>
      <w:r w:rsidR="00BB2E74">
        <w:rPr>
          <w:noProof/>
          <w:lang w:val="fr-FR"/>
        </w:rPr>
        <w:t xml:space="preserve">du présent paragraphe concernant un enfant qui est </w:t>
      </w:r>
      <w:r w:rsidRPr="00DD03D6">
        <w:rPr>
          <w:noProof/>
          <w:lang w:val="fr-FR"/>
        </w:rPr>
        <w:t xml:space="preserve">capable </w:t>
      </w:r>
      <w:r w:rsidR="00A11C97">
        <w:rPr>
          <w:noProof/>
          <w:lang w:val="fr-FR"/>
        </w:rPr>
        <w:t>de former ses propres opinions, les opinions de l’enfant soient entendues et dûment prises en considération compte tenu de son âge et de son degré de maturité</w:t>
      </w:r>
      <w:r w:rsidR="00CB6ABA" w:rsidRPr="00DD03D6">
        <w:rPr>
          <w:noProof/>
          <w:lang w:val="fr-FR"/>
        </w:rPr>
        <w:t>.</w:t>
      </w:r>
      <w:r w:rsidR="003F36DD">
        <w:rPr>
          <w:noProof/>
          <w:lang w:val="fr-FR"/>
        </w:rPr>
        <w:t> »</w:t>
      </w:r>
    </w:p>
    <w:p w:rsidR="00283ED9" w:rsidRPr="00DD03D6" w:rsidRDefault="0091392E" w:rsidP="009D119F">
      <w:pPr>
        <w:pStyle w:val="H23G"/>
        <w:rPr>
          <w:noProof/>
          <w:lang w:val="fr-FR"/>
        </w:rPr>
      </w:pPr>
      <w:r w:rsidRPr="00DD03D6">
        <w:rPr>
          <w:noProof/>
          <w:lang w:val="fr-FR"/>
        </w:rPr>
        <w:tab/>
      </w:r>
      <w:r w:rsidRPr="00DD03D6">
        <w:rPr>
          <w:noProof/>
          <w:lang w:val="fr-FR"/>
        </w:rPr>
        <w:tab/>
      </w:r>
      <w:r w:rsidR="00A11C97" w:rsidRPr="00DD03D6">
        <w:rPr>
          <w:noProof/>
          <w:lang w:val="fr-FR" w:eastAsia="en-GB"/>
        </w:rPr>
        <w:t>Protocol</w:t>
      </w:r>
      <w:r w:rsidR="00A11C97">
        <w:rPr>
          <w:noProof/>
          <w:lang w:val="fr-FR" w:eastAsia="en-GB"/>
        </w:rPr>
        <w:t xml:space="preserve">e facultatif à la </w:t>
      </w:r>
      <w:r w:rsidR="00A11C97" w:rsidRPr="00DD03D6">
        <w:rPr>
          <w:noProof/>
          <w:lang w:val="fr-FR" w:eastAsia="en-GB"/>
        </w:rPr>
        <w:t xml:space="preserve">Convention </w:t>
      </w:r>
      <w:r w:rsidR="00A11C97">
        <w:rPr>
          <w:noProof/>
          <w:lang w:val="fr-FR" w:eastAsia="en-GB"/>
        </w:rPr>
        <w:t>relative aux droits de l’enfant concernant l’implication d’enfants dans les conflits armés</w:t>
      </w:r>
    </w:p>
    <w:p w:rsidR="00283ED9" w:rsidRPr="00DD03D6" w:rsidRDefault="0069358C" w:rsidP="000E3348">
      <w:pPr>
        <w:pStyle w:val="SingleTxtG"/>
        <w:numPr>
          <w:ilvl w:val="0"/>
          <w:numId w:val="3"/>
        </w:numPr>
        <w:ind w:left="1134" w:firstLine="0"/>
        <w:rPr>
          <w:noProof/>
          <w:lang w:val="fr-FR"/>
        </w:rPr>
      </w:pPr>
      <w:r>
        <w:rPr>
          <w:noProof/>
          <w:lang w:val="fr-FR"/>
        </w:rPr>
        <w:t>L’</w:t>
      </w:r>
      <w:r w:rsidR="00283ED9" w:rsidRPr="00DD03D6">
        <w:rPr>
          <w:noProof/>
          <w:lang w:val="fr-FR"/>
        </w:rPr>
        <w:t>Irland</w:t>
      </w:r>
      <w:r>
        <w:rPr>
          <w:noProof/>
          <w:lang w:val="fr-FR"/>
        </w:rPr>
        <w:t>e</w:t>
      </w:r>
      <w:r w:rsidR="00283ED9" w:rsidRPr="00DD03D6">
        <w:rPr>
          <w:noProof/>
          <w:lang w:val="fr-FR"/>
        </w:rPr>
        <w:t xml:space="preserve"> </w:t>
      </w:r>
      <w:r>
        <w:rPr>
          <w:noProof/>
          <w:lang w:val="fr-FR"/>
        </w:rPr>
        <w:t xml:space="preserve">a </w:t>
      </w:r>
      <w:r w:rsidR="00283ED9" w:rsidRPr="00DD03D6">
        <w:rPr>
          <w:noProof/>
          <w:lang w:val="fr-FR"/>
        </w:rPr>
        <w:t>sign</w:t>
      </w:r>
      <w:r>
        <w:rPr>
          <w:noProof/>
          <w:lang w:val="fr-FR"/>
        </w:rPr>
        <w:t xml:space="preserve">é le </w:t>
      </w:r>
      <w:r w:rsidRPr="00DD03D6">
        <w:rPr>
          <w:noProof/>
          <w:lang w:val="fr-FR" w:eastAsia="en-GB"/>
        </w:rPr>
        <w:t>Protocol</w:t>
      </w:r>
      <w:r>
        <w:rPr>
          <w:noProof/>
          <w:lang w:val="fr-FR" w:eastAsia="en-GB"/>
        </w:rPr>
        <w:t xml:space="preserve">e facultatif à la </w:t>
      </w:r>
      <w:r w:rsidRPr="00DD03D6">
        <w:rPr>
          <w:noProof/>
          <w:lang w:val="fr-FR" w:eastAsia="en-GB"/>
        </w:rPr>
        <w:t xml:space="preserve">Convention </w:t>
      </w:r>
      <w:r>
        <w:rPr>
          <w:noProof/>
          <w:lang w:val="fr-FR" w:eastAsia="en-GB"/>
        </w:rPr>
        <w:t>relative aux droits de l’enfant concernant l’implication d’enfants dans les conflits armés</w:t>
      </w:r>
      <w:r w:rsidRPr="00DD03D6">
        <w:rPr>
          <w:noProof/>
          <w:lang w:val="fr-FR"/>
        </w:rPr>
        <w:t xml:space="preserve"> </w:t>
      </w:r>
      <w:r>
        <w:rPr>
          <w:noProof/>
          <w:lang w:val="fr-FR"/>
        </w:rPr>
        <w:t>e</w:t>
      </w:r>
      <w:r w:rsidR="00283ED9" w:rsidRPr="00DD03D6">
        <w:rPr>
          <w:noProof/>
          <w:lang w:val="fr-FR"/>
        </w:rPr>
        <w:t xml:space="preserve">n </w:t>
      </w:r>
      <w:r>
        <w:rPr>
          <w:noProof/>
          <w:lang w:val="fr-FR"/>
        </w:rPr>
        <w:t>s</w:t>
      </w:r>
      <w:r w:rsidR="00283ED9" w:rsidRPr="00DD03D6">
        <w:rPr>
          <w:noProof/>
          <w:lang w:val="fr-FR"/>
        </w:rPr>
        <w:t>eptemb</w:t>
      </w:r>
      <w:r>
        <w:rPr>
          <w:noProof/>
          <w:lang w:val="fr-FR"/>
        </w:rPr>
        <w:t>re</w:t>
      </w:r>
      <w:r w:rsidR="00283ED9" w:rsidRPr="00DD03D6">
        <w:rPr>
          <w:noProof/>
          <w:lang w:val="fr-FR"/>
        </w:rPr>
        <w:t xml:space="preserve"> 2000 </w:t>
      </w:r>
      <w:r>
        <w:rPr>
          <w:noProof/>
          <w:lang w:val="fr-FR"/>
        </w:rPr>
        <w:t xml:space="preserve">et l’a </w:t>
      </w:r>
      <w:r w:rsidR="00283ED9" w:rsidRPr="00DD03D6">
        <w:rPr>
          <w:noProof/>
          <w:lang w:val="fr-FR"/>
        </w:rPr>
        <w:t>ratifi</w:t>
      </w:r>
      <w:r>
        <w:rPr>
          <w:noProof/>
          <w:lang w:val="fr-FR"/>
        </w:rPr>
        <w:t>é en novemb</w:t>
      </w:r>
      <w:r w:rsidR="00283ED9" w:rsidRPr="00DD03D6">
        <w:rPr>
          <w:noProof/>
          <w:lang w:val="fr-FR"/>
        </w:rPr>
        <w:t>r</w:t>
      </w:r>
      <w:r>
        <w:rPr>
          <w:noProof/>
          <w:lang w:val="fr-FR"/>
        </w:rPr>
        <w:t>e</w:t>
      </w:r>
      <w:r w:rsidR="00283ED9" w:rsidRPr="00DD03D6">
        <w:rPr>
          <w:noProof/>
          <w:lang w:val="fr-FR"/>
        </w:rPr>
        <w:t xml:space="preserve"> 2002. </w:t>
      </w:r>
      <w:r>
        <w:rPr>
          <w:noProof/>
          <w:lang w:val="fr-FR"/>
        </w:rPr>
        <w:t xml:space="preserve">Ce faisant, elle </w:t>
      </w:r>
      <w:r w:rsidR="0051013A">
        <w:rPr>
          <w:noProof/>
          <w:lang w:val="fr-FR"/>
        </w:rPr>
        <w:t>a accepté de prendre toutes les mesures possibles pour que les membres des Forces de défense qui n’ont pas atteint l’âge de 18 ans ne prennent pas une part directe à des hostilités</w:t>
      </w:r>
      <w:r w:rsidR="00283ED9" w:rsidRPr="00DD03D6">
        <w:rPr>
          <w:noProof/>
          <w:lang w:val="fr-FR"/>
        </w:rPr>
        <w:t xml:space="preserve">. </w:t>
      </w:r>
      <w:r w:rsidR="0051013A">
        <w:rPr>
          <w:noProof/>
          <w:lang w:val="fr-FR"/>
        </w:rPr>
        <w:t xml:space="preserve">Depuis </w:t>
      </w:r>
      <w:r w:rsidR="00283ED9" w:rsidRPr="00DD03D6">
        <w:rPr>
          <w:noProof/>
          <w:lang w:val="fr-FR"/>
        </w:rPr>
        <w:t xml:space="preserve">2002, </w:t>
      </w:r>
      <w:r w:rsidR="0051013A">
        <w:rPr>
          <w:noProof/>
          <w:lang w:val="fr-FR"/>
        </w:rPr>
        <w:t>elle respecte pleinement les dispositions de ce Protocole</w:t>
      </w:r>
      <w:r w:rsidR="00283ED9" w:rsidRPr="00DD03D6">
        <w:rPr>
          <w:noProof/>
          <w:lang w:val="fr-FR"/>
        </w:rPr>
        <w:t>.</w:t>
      </w:r>
    </w:p>
    <w:p w:rsidR="00283ED9" w:rsidRPr="00DD03D6" w:rsidRDefault="0051013A" w:rsidP="0091392E">
      <w:pPr>
        <w:pStyle w:val="SingleTxtG"/>
        <w:numPr>
          <w:ilvl w:val="0"/>
          <w:numId w:val="3"/>
        </w:numPr>
        <w:ind w:left="1134" w:firstLine="0"/>
        <w:rPr>
          <w:noProof/>
          <w:lang w:val="fr-FR"/>
        </w:rPr>
      </w:pPr>
      <w:r>
        <w:rPr>
          <w:noProof/>
          <w:lang w:val="fr-FR"/>
        </w:rPr>
        <w:t xml:space="preserve">Si </w:t>
      </w:r>
      <w:r>
        <w:rPr>
          <w:noProof/>
          <w:lang w:val="fr-FR" w:eastAsia="en-GB"/>
        </w:rPr>
        <w:t>l’âge minimal du recrutement dans les Forces de défense</w:t>
      </w:r>
      <w:r w:rsidRPr="00DD03D6">
        <w:rPr>
          <w:noProof/>
          <w:lang w:val="fr-FR"/>
        </w:rPr>
        <w:t xml:space="preserve"> </w:t>
      </w:r>
      <w:r>
        <w:rPr>
          <w:noProof/>
          <w:lang w:val="fr-FR"/>
        </w:rPr>
        <w:t xml:space="preserve">reste fixé à </w:t>
      </w:r>
      <w:r w:rsidR="00283ED9" w:rsidRPr="00DD03D6">
        <w:rPr>
          <w:noProof/>
          <w:lang w:val="fr-FR"/>
        </w:rPr>
        <w:t xml:space="preserve">17 </w:t>
      </w:r>
      <w:r>
        <w:rPr>
          <w:noProof/>
          <w:lang w:val="fr-FR"/>
        </w:rPr>
        <w:t>ans</w:t>
      </w:r>
      <w:r w:rsidR="00283ED9" w:rsidRPr="00DD03D6">
        <w:rPr>
          <w:noProof/>
          <w:lang w:val="fr-FR"/>
        </w:rPr>
        <w:t xml:space="preserve">, </w:t>
      </w:r>
      <w:r>
        <w:rPr>
          <w:noProof/>
          <w:lang w:val="fr-FR"/>
        </w:rPr>
        <w:t xml:space="preserve">il est en fait peu probable qu’un membre de ces Forces </w:t>
      </w:r>
      <w:r w:rsidR="00E46AC0">
        <w:rPr>
          <w:noProof/>
          <w:lang w:val="fr-FR"/>
        </w:rPr>
        <w:t>soit amené à servir dans des opérations militaires</w:t>
      </w:r>
      <w:r w:rsidR="006B5EEA">
        <w:rPr>
          <w:noProof/>
          <w:lang w:val="fr-FR"/>
        </w:rPr>
        <w:t xml:space="preserve"> avant l’âge de 18 ans</w:t>
      </w:r>
      <w:r w:rsidR="00283ED9" w:rsidRPr="00DD03D6">
        <w:rPr>
          <w:noProof/>
          <w:lang w:val="fr-FR"/>
        </w:rPr>
        <w:t xml:space="preserve">, </w:t>
      </w:r>
      <w:r w:rsidR="006B5EEA">
        <w:rPr>
          <w:noProof/>
          <w:lang w:val="fr-FR"/>
        </w:rPr>
        <w:t>vu les exigences de la formation</w:t>
      </w:r>
      <w:r w:rsidR="00283ED9" w:rsidRPr="00DD03D6">
        <w:rPr>
          <w:noProof/>
          <w:lang w:val="fr-FR"/>
        </w:rPr>
        <w:t xml:space="preserve">, etc. </w:t>
      </w:r>
      <w:r w:rsidR="006B5EEA">
        <w:rPr>
          <w:noProof/>
          <w:lang w:val="fr-FR"/>
        </w:rPr>
        <w:t>Au surplus, les membres des Forces armées âgés de moins de 18 ans ne peuvent pas être affectés à des missions à l’étranger</w:t>
      </w:r>
      <w:r w:rsidR="00283ED9" w:rsidRPr="00DD03D6">
        <w:rPr>
          <w:noProof/>
          <w:lang w:val="fr-FR"/>
        </w:rPr>
        <w:t>.</w:t>
      </w:r>
    </w:p>
    <w:p w:rsidR="00283ED9" w:rsidRPr="00DD03D6" w:rsidRDefault="00760D06" w:rsidP="00727BB3">
      <w:pPr>
        <w:pStyle w:val="SingleTxtG"/>
        <w:numPr>
          <w:ilvl w:val="0"/>
          <w:numId w:val="3"/>
        </w:numPr>
        <w:ind w:left="1134" w:firstLine="0"/>
        <w:rPr>
          <w:noProof/>
          <w:lang w:val="fr-FR"/>
        </w:rPr>
      </w:pPr>
      <w:r>
        <w:rPr>
          <w:noProof/>
          <w:lang w:val="fr-FR"/>
        </w:rPr>
        <w:t xml:space="preserve">La question </w:t>
      </w:r>
      <w:r w:rsidR="00FC4802">
        <w:rPr>
          <w:noProof/>
          <w:lang w:val="fr-FR"/>
        </w:rPr>
        <w:t xml:space="preserve">de </w:t>
      </w:r>
      <w:r>
        <w:rPr>
          <w:noProof/>
          <w:lang w:val="fr-FR" w:eastAsia="en-GB"/>
        </w:rPr>
        <w:t>l’âge minimal du recrutement des membres des Forces de défense permanentes a été récemment réexaminée par le Ministère de la défense et les autorités militaires</w:t>
      </w:r>
      <w:r w:rsidR="00283ED9" w:rsidRPr="00DD03D6">
        <w:rPr>
          <w:noProof/>
          <w:lang w:val="fr-FR"/>
        </w:rPr>
        <w:t xml:space="preserve">. </w:t>
      </w:r>
      <w:r>
        <w:rPr>
          <w:noProof/>
          <w:lang w:val="fr-FR"/>
        </w:rPr>
        <w:t>E</w:t>
      </w:r>
      <w:r w:rsidR="00283ED9" w:rsidRPr="00DD03D6">
        <w:rPr>
          <w:noProof/>
          <w:lang w:val="fr-FR"/>
        </w:rPr>
        <w:t xml:space="preserve">n </w:t>
      </w:r>
      <w:r>
        <w:rPr>
          <w:noProof/>
          <w:lang w:val="fr-FR"/>
        </w:rPr>
        <w:t xml:space="preserve">juin </w:t>
      </w:r>
      <w:r w:rsidR="00283ED9" w:rsidRPr="00DD03D6">
        <w:rPr>
          <w:noProof/>
          <w:lang w:val="fr-FR"/>
        </w:rPr>
        <w:t xml:space="preserve">2012, </w:t>
      </w:r>
      <w:r>
        <w:rPr>
          <w:noProof/>
          <w:lang w:val="fr-FR"/>
        </w:rPr>
        <w:t xml:space="preserve">le </w:t>
      </w:r>
      <w:r w:rsidR="00283ED9" w:rsidRPr="00DD03D6">
        <w:rPr>
          <w:noProof/>
          <w:lang w:val="fr-FR"/>
        </w:rPr>
        <w:t>Minist</w:t>
      </w:r>
      <w:r>
        <w:rPr>
          <w:noProof/>
          <w:lang w:val="fr-FR"/>
        </w:rPr>
        <w:t>re de la défense a approuvé</w:t>
      </w:r>
      <w:r w:rsidR="00CF0BB1">
        <w:rPr>
          <w:noProof/>
          <w:lang w:val="fr-FR"/>
        </w:rPr>
        <w:t xml:space="preserve"> le recul de cet âge de 17 à 18 </w:t>
      </w:r>
      <w:r>
        <w:rPr>
          <w:noProof/>
          <w:lang w:val="fr-FR"/>
        </w:rPr>
        <w:t>ans</w:t>
      </w:r>
      <w:r w:rsidR="00283ED9" w:rsidRPr="00DD03D6">
        <w:rPr>
          <w:noProof/>
          <w:lang w:val="fr-FR"/>
        </w:rPr>
        <w:t xml:space="preserve">. </w:t>
      </w:r>
      <w:r>
        <w:rPr>
          <w:noProof/>
          <w:lang w:val="fr-FR"/>
        </w:rPr>
        <w:t>E</w:t>
      </w:r>
      <w:r w:rsidR="00283ED9" w:rsidRPr="00DD03D6">
        <w:rPr>
          <w:noProof/>
          <w:lang w:val="fr-FR"/>
        </w:rPr>
        <w:t xml:space="preserve">n </w:t>
      </w:r>
      <w:r>
        <w:rPr>
          <w:noProof/>
          <w:lang w:val="fr-FR"/>
        </w:rPr>
        <w:t>outre, l’âge minimal pour les nouvelles recrues en apprentissage dans les Forces de défense sera porté à 18 ans</w:t>
      </w:r>
      <w:r w:rsidR="00283ED9" w:rsidRPr="00DD03D6">
        <w:rPr>
          <w:noProof/>
          <w:lang w:val="fr-FR"/>
        </w:rPr>
        <w:t xml:space="preserve">. </w:t>
      </w:r>
      <w:r w:rsidR="00FC4802">
        <w:rPr>
          <w:noProof/>
          <w:lang w:val="fr-FR"/>
        </w:rPr>
        <w:t>Ce changement fera l’objet d’une modification du Règlement des forces de défense pertinent</w:t>
      </w:r>
      <w:r w:rsidR="00283ED9" w:rsidRPr="00DD03D6">
        <w:rPr>
          <w:noProof/>
          <w:lang w:val="fr-FR"/>
        </w:rPr>
        <w:t xml:space="preserve">. </w:t>
      </w:r>
      <w:r w:rsidR="00FC4802">
        <w:rPr>
          <w:noProof/>
          <w:lang w:val="fr-FR"/>
        </w:rPr>
        <w:t>Le projet de modifications réglementaires est à l’examen</w:t>
      </w:r>
      <w:r w:rsidR="00283ED9" w:rsidRPr="00DD03D6">
        <w:rPr>
          <w:noProof/>
          <w:lang w:val="fr-FR"/>
        </w:rPr>
        <w:t>.</w:t>
      </w:r>
    </w:p>
    <w:p w:rsidR="00283ED9" w:rsidRPr="00DD03D6" w:rsidRDefault="002713B0" w:rsidP="0091392E">
      <w:pPr>
        <w:pStyle w:val="SingleTxtG"/>
        <w:numPr>
          <w:ilvl w:val="0"/>
          <w:numId w:val="3"/>
        </w:numPr>
        <w:ind w:left="1134" w:firstLine="0"/>
        <w:rPr>
          <w:noProof/>
          <w:lang w:val="fr-FR"/>
        </w:rPr>
      </w:pPr>
      <w:r>
        <w:rPr>
          <w:noProof/>
          <w:lang w:val="fr-FR"/>
        </w:rPr>
        <w:t>Dans le cas des concours s’adressant aux sous-officiers et hommes de troupe et aux élèves officiers prévus avant le changement de politique</w:t>
      </w:r>
      <w:r w:rsidR="00E346F8">
        <w:rPr>
          <w:noProof/>
          <w:lang w:val="fr-FR"/>
        </w:rPr>
        <w:t>, l’âge minimal de 17 ans</w:t>
      </w:r>
      <w:r w:rsidR="00E92D3C">
        <w:rPr>
          <w:noProof/>
          <w:lang w:val="fr-FR"/>
        </w:rPr>
        <w:t xml:space="preserve"> </w:t>
      </w:r>
      <w:r w:rsidR="00283ED9" w:rsidRPr="00DD03D6">
        <w:rPr>
          <w:noProof/>
          <w:lang w:val="fr-FR"/>
        </w:rPr>
        <w:t>continue</w:t>
      </w:r>
      <w:r w:rsidR="00E346F8">
        <w:rPr>
          <w:noProof/>
          <w:lang w:val="fr-FR"/>
        </w:rPr>
        <w:t>ra de s’appliquer. Toutefois, l’augmentation de l’âge minimal s’appliquera à tous les nouveaux concours annoncés après ce changement</w:t>
      </w:r>
      <w:r w:rsidR="00283ED9" w:rsidRPr="00DD03D6">
        <w:rPr>
          <w:noProof/>
          <w:lang w:val="fr-FR"/>
        </w:rPr>
        <w:t xml:space="preserve">. </w:t>
      </w:r>
      <w:r w:rsidR="00E346F8">
        <w:rPr>
          <w:noProof/>
          <w:lang w:val="fr-FR"/>
        </w:rPr>
        <w:t xml:space="preserve">Il s’ensuit que l’âge minimal d’admission au concours concernant les nouvelles recrues en apprentissage </w:t>
      </w:r>
      <w:r w:rsidR="007B6337">
        <w:rPr>
          <w:noProof/>
          <w:lang w:val="fr-FR"/>
        </w:rPr>
        <w:t>qui a été an</w:t>
      </w:r>
      <w:r w:rsidR="00E346F8">
        <w:rPr>
          <w:noProof/>
          <w:lang w:val="fr-FR"/>
        </w:rPr>
        <w:t>noncé après la date d’approbation du changement d’âge est fixé à 18 ans</w:t>
      </w:r>
      <w:r w:rsidR="00283ED9" w:rsidRPr="00DD03D6">
        <w:rPr>
          <w:noProof/>
          <w:lang w:val="fr-FR"/>
        </w:rPr>
        <w:t>.</w:t>
      </w:r>
    </w:p>
    <w:p w:rsidR="00283ED9" w:rsidRPr="00DD03D6" w:rsidRDefault="00E346F8" w:rsidP="005D7533">
      <w:pPr>
        <w:pStyle w:val="SingleTxtG"/>
        <w:numPr>
          <w:ilvl w:val="0"/>
          <w:numId w:val="3"/>
        </w:numPr>
        <w:ind w:left="1134" w:firstLine="0"/>
        <w:rPr>
          <w:noProof/>
          <w:lang w:val="fr-FR"/>
        </w:rPr>
      </w:pPr>
      <w:r>
        <w:rPr>
          <w:noProof/>
          <w:lang w:val="fr-FR"/>
        </w:rPr>
        <w:lastRenderedPageBreak/>
        <w:t xml:space="preserve">L’âge minimal du recrutement dans les Forces de </w:t>
      </w:r>
      <w:r w:rsidR="007B6337">
        <w:rPr>
          <w:noProof/>
          <w:lang w:val="fr-FR"/>
        </w:rPr>
        <w:t xml:space="preserve">défense de </w:t>
      </w:r>
      <w:r>
        <w:rPr>
          <w:noProof/>
          <w:lang w:val="fr-FR"/>
        </w:rPr>
        <w:t xml:space="preserve">réserve reste fixé à </w:t>
      </w:r>
      <w:r w:rsidR="00283ED9" w:rsidRPr="00DD03D6">
        <w:rPr>
          <w:noProof/>
          <w:lang w:val="fr-FR"/>
        </w:rPr>
        <w:t>17</w:t>
      </w:r>
      <w:r w:rsidR="00CF0BB1">
        <w:rPr>
          <w:noProof/>
          <w:lang w:val="fr-FR"/>
        </w:rPr>
        <w:t> </w:t>
      </w:r>
      <w:r>
        <w:rPr>
          <w:noProof/>
          <w:lang w:val="fr-FR"/>
        </w:rPr>
        <w:t>ans</w:t>
      </w:r>
      <w:r w:rsidR="00283ED9" w:rsidRPr="00DD03D6">
        <w:rPr>
          <w:noProof/>
          <w:lang w:val="fr-FR"/>
        </w:rPr>
        <w:t xml:space="preserve">. </w:t>
      </w:r>
      <w:r>
        <w:rPr>
          <w:noProof/>
          <w:lang w:val="fr-FR"/>
        </w:rPr>
        <w:t xml:space="preserve">La </w:t>
      </w:r>
      <w:r w:rsidR="00283ED9" w:rsidRPr="00DD03D6">
        <w:rPr>
          <w:noProof/>
          <w:lang w:val="fr-FR"/>
        </w:rPr>
        <w:t>R</w:t>
      </w:r>
      <w:r>
        <w:rPr>
          <w:noProof/>
          <w:lang w:val="fr-FR"/>
        </w:rPr>
        <w:t>é</w:t>
      </w:r>
      <w:r w:rsidR="00283ED9" w:rsidRPr="00DD03D6">
        <w:rPr>
          <w:noProof/>
          <w:lang w:val="fr-FR"/>
        </w:rPr>
        <w:t xml:space="preserve">serve </w:t>
      </w:r>
      <w:r>
        <w:rPr>
          <w:noProof/>
          <w:lang w:val="fr-FR"/>
        </w:rPr>
        <w:t>fait actuellement l’objet d’un examen et la question de l’âge minimal approprié pour s’engager dans la Réserve sera examinée dans ce contexte</w:t>
      </w:r>
      <w:r w:rsidR="00283ED9" w:rsidRPr="00DD03D6">
        <w:rPr>
          <w:noProof/>
          <w:lang w:val="fr-FR"/>
        </w:rPr>
        <w:t>. I</w:t>
      </w:r>
      <w:r>
        <w:rPr>
          <w:noProof/>
          <w:lang w:val="fr-FR"/>
        </w:rPr>
        <w:t xml:space="preserve">l convient de noter que les membres de la </w:t>
      </w:r>
      <w:r w:rsidR="00283ED9" w:rsidRPr="00DD03D6">
        <w:rPr>
          <w:noProof/>
          <w:lang w:val="fr-FR"/>
        </w:rPr>
        <w:t>R</w:t>
      </w:r>
      <w:r>
        <w:rPr>
          <w:noProof/>
          <w:lang w:val="fr-FR"/>
        </w:rPr>
        <w:t>é</w:t>
      </w:r>
      <w:r w:rsidR="00283ED9" w:rsidRPr="00DD03D6">
        <w:rPr>
          <w:noProof/>
          <w:lang w:val="fr-FR"/>
        </w:rPr>
        <w:t xml:space="preserve">serve </w:t>
      </w:r>
      <w:r>
        <w:rPr>
          <w:noProof/>
          <w:lang w:val="fr-FR"/>
        </w:rPr>
        <w:t xml:space="preserve">ne sont considérés </w:t>
      </w:r>
      <w:r w:rsidR="007B6337">
        <w:rPr>
          <w:noProof/>
          <w:lang w:val="fr-FR"/>
        </w:rPr>
        <w:t xml:space="preserve">comme étant </w:t>
      </w:r>
      <w:r w:rsidR="007B6337" w:rsidRPr="007B6337">
        <w:rPr>
          <w:noProof/>
          <w:lang w:val="fr-FR"/>
        </w:rPr>
        <w:t xml:space="preserve">formés conformément aux normes minimales requises pour participer à des opérations </w:t>
      </w:r>
      <w:r w:rsidR="007B6337">
        <w:rPr>
          <w:noProof/>
          <w:lang w:val="fr-FR"/>
        </w:rPr>
        <w:t xml:space="preserve">qu’une fois qu’ils ont achevé </w:t>
      </w:r>
      <w:r w:rsidR="007B6337" w:rsidRPr="007B6337">
        <w:rPr>
          <w:noProof/>
          <w:lang w:val="fr-FR"/>
        </w:rPr>
        <w:t>leur cours de «</w:t>
      </w:r>
      <w:r w:rsidR="003F1ADB">
        <w:rPr>
          <w:noProof/>
          <w:lang w:val="fr-FR"/>
        </w:rPr>
        <w:t> </w:t>
      </w:r>
      <w:r w:rsidR="007B6337" w:rsidRPr="007B6337">
        <w:rPr>
          <w:noProof/>
          <w:lang w:val="fr-FR"/>
        </w:rPr>
        <w:t>soldat à trois étoiles</w:t>
      </w:r>
      <w:r w:rsidR="003F1ADB">
        <w:rPr>
          <w:noProof/>
          <w:lang w:val="fr-FR"/>
        </w:rPr>
        <w:t> </w:t>
      </w:r>
      <w:r w:rsidR="007B6337" w:rsidRPr="007B6337">
        <w:rPr>
          <w:noProof/>
          <w:lang w:val="fr-FR"/>
        </w:rPr>
        <w:t xml:space="preserve">», qui est donné pendant la deuxième année de service. Ces nouvelles recrues ne sont donc pas autorisées à prendre part à des opérations avant l’âge de 18 ans au minimum. </w:t>
      </w:r>
      <w:r w:rsidR="007B6337">
        <w:rPr>
          <w:noProof/>
          <w:lang w:val="fr-FR"/>
        </w:rPr>
        <w:t>Par</w:t>
      </w:r>
      <w:r w:rsidR="0006252E">
        <w:rPr>
          <w:noProof/>
          <w:lang w:val="fr-FR"/>
        </w:rPr>
        <w:t xml:space="preserve"> </w:t>
      </w:r>
      <w:r w:rsidR="007B6337">
        <w:rPr>
          <w:noProof/>
          <w:lang w:val="fr-FR"/>
        </w:rPr>
        <w:t>principe,</w:t>
      </w:r>
      <w:r w:rsidR="00E92D3C">
        <w:rPr>
          <w:noProof/>
          <w:lang w:val="fr-FR"/>
        </w:rPr>
        <w:t xml:space="preserve"> </w:t>
      </w:r>
      <w:r w:rsidR="007B6337" w:rsidRPr="007B6337">
        <w:rPr>
          <w:noProof/>
          <w:lang w:val="fr-FR"/>
        </w:rPr>
        <w:t xml:space="preserve">les réservistes </w:t>
      </w:r>
      <w:r w:rsidR="007B6337">
        <w:rPr>
          <w:noProof/>
          <w:lang w:val="fr-FR"/>
        </w:rPr>
        <w:t xml:space="preserve">ne peuvent pas servir dans des opérations militaires avant d’avoir atteint l’âge de 18 ans. De plus, ils </w:t>
      </w:r>
      <w:r w:rsidR="007B6337" w:rsidRPr="007B6337">
        <w:rPr>
          <w:noProof/>
          <w:lang w:val="fr-FR"/>
        </w:rPr>
        <w:t>sont écartés des opérations d’«</w:t>
      </w:r>
      <w:r w:rsidR="003F1ADB">
        <w:rPr>
          <w:noProof/>
          <w:lang w:val="fr-FR"/>
        </w:rPr>
        <w:t> </w:t>
      </w:r>
      <w:r w:rsidR="007B6337" w:rsidRPr="007B6337">
        <w:rPr>
          <w:noProof/>
          <w:lang w:val="fr-FR"/>
        </w:rPr>
        <w:t>Aide au pouvoir civil</w:t>
      </w:r>
      <w:r w:rsidR="003F1ADB">
        <w:rPr>
          <w:noProof/>
          <w:lang w:val="fr-FR"/>
        </w:rPr>
        <w:t xml:space="preserve"> » menées sur le territoire de </w:t>
      </w:r>
      <w:r w:rsidR="007B6337" w:rsidRPr="007B6337">
        <w:rPr>
          <w:noProof/>
          <w:lang w:val="fr-FR"/>
        </w:rPr>
        <w:t>l’Éta</w:t>
      </w:r>
      <w:r w:rsidR="00B756CE">
        <w:rPr>
          <w:noProof/>
          <w:lang w:val="fr-FR"/>
        </w:rPr>
        <w:t>t</w:t>
      </w:r>
      <w:r w:rsidR="007B6337">
        <w:rPr>
          <w:noProof/>
          <w:lang w:val="fr-FR"/>
        </w:rPr>
        <w:t xml:space="preserve"> et </w:t>
      </w:r>
      <w:r w:rsidR="007B6337" w:rsidRPr="007B6337">
        <w:rPr>
          <w:noProof/>
          <w:lang w:val="fr-FR"/>
        </w:rPr>
        <w:t>ne peuvent pas non plus servir à l’étrange</w:t>
      </w:r>
      <w:r w:rsidR="007B6337">
        <w:rPr>
          <w:noProof/>
          <w:lang w:val="fr-FR"/>
        </w:rPr>
        <w:t>r</w:t>
      </w:r>
      <w:r w:rsidR="00283ED9" w:rsidRPr="00DD03D6">
        <w:rPr>
          <w:noProof/>
          <w:lang w:val="fr-FR"/>
        </w:rPr>
        <w:t xml:space="preserve">. </w:t>
      </w:r>
    </w:p>
    <w:p w:rsidR="00283ED9" w:rsidRPr="00DD03D6" w:rsidRDefault="0091392E" w:rsidP="004D2C12">
      <w:pPr>
        <w:pStyle w:val="H23G"/>
        <w:rPr>
          <w:noProof/>
          <w:lang w:val="fr-FR"/>
        </w:rPr>
      </w:pPr>
      <w:r w:rsidRPr="00DD03D6">
        <w:rPr>
          <w:noProof/>
          <w:lang w:val="fr-FR"/>
        </w:rPr>
        <w:tab/>
      </w:r>
      <w:r w:rsidRPr="00DD03D6">
        <w:rPr>
          <w:noProof/>
          <w:lang w:val="fr-FR"/>
        </w:rPr>
        <w:tab/>
      </w:r>
      <w:r w:rsidR="0006252E" w:rsidRPr="00DD03D6">
        <w:rPr>
          <w:noProof/>
          <w:lang w:val="fr-FR" w:eastAsia="en-GB"/>
        </w:rPr>
        <w:t>Protocol</w:t>
      </w:r>
      <w:r w:rsidR="0006252E">
        <w:rPr>
          <w:noProof/>
          <w:lang w:val="fr-FR" w:eastAsia="en-GB"/>
        </w:rPr>
        <w:t xml:space="preserve">e facultatif à la </w:t>
      </w:r>
      <w:r w:rsidR="0006252E" w:rsidRPr="00DD03D6">
        <w:rPr>
          <w:noProof/>
          <w:lang w:val="fr-FR" w:eastAsia="en-GB"/>
        </w:rPr>
        <w:t xml:space="preserve">Convention </w:t>
      </w:r>
      <w:r w:rsidR="0006252E">
        <w:rPr>
          <w:noProof/>
          <w:lang w:val="fr-FR" w:eastAsia="en-GB"/>
        </w:rPr>
        <w:t xml:space="preserve">relative aux droits de l’enfant concernant la vente d’enfants, la </w:t>
      </w:r>
      <w:r w:rsidR="0006252E" w:rsidRPr="00DD03D6">
        <w:rPr>
          <w:rStyle w:val="en"/>
          <w:noProof/>
          <w:lang w:val="fr-FR"/>
        </w:rPr>
        <w:t xml:space="preserve">prostitution </w:t>
      </w:r>
      <w:r w:rsidR="0006252E">
        <w:rPr>
          <w:rStyle w:val="en"/>
          <w:noProof/>
          <w:lang w:val="fr-FR"/>
        </w:rPr>
        <w:t xml:space="preserve">des enfants et la </w:t>
      </w:r>
      <w:r w:rsidR="0006252E" w:rsidRPr="00DD03D6">
        <w:rPr>
          <w:rStyle w:val="en"/>
          <w:noProof/>
          <w:lang w:val="fr-FR"/>
        </w:rPr>
        <w:t>porn</w:t>
      </w:r>
      <w:r w:rsidR="0006252E">
        <w:rPr>
          <w:rStyle w:val="en"/>
          <w:noProof/>
          <w:lang w:val="fr-FR"/>
        </w:rPr>
        <w:t>ographie mettant en scène des enfants</w:t>
      </w:r>
    </w:p>
    <w:p w:rsidR="00283ED9" w:rsidRPr="00DD03D6" w:rsidRDefault="00B756CE" w:rsidP="00727BB3">
      <w:pPr>
        <w:pStyle w:val="SingleTxtG"/>
        <w:numPr>
          <w:ilvl w:val="0"/>
          <w:numId w:val="3"/>
        </w:numPr>
        <w:ind w:left="1134" w:firstLine="0"/>
        <w:rPr>
          <w:noProof/>
          <w:lang w:val="fr-FR"/>
        </w:rPr>
      </w:pPr>
      <w:r>
        <w:rPr>
          <w:noProof/>
          <w:lang w:val="fr-FR" w:eastAsia="en-GB"/>
        </w:rPr>
        <w:t xml:space="preserve">La loi de 2008 sur le droit pénal (traite des êtres humains) a été adoptée le 7 juin </w:t>
      </w:r>
      <w:r w:rsidR="00283ED9" w:rsidRPr="00DD03D6">
        <w:rPr>
          <w:noProof/>
          <w:lang w:val="fr-FR" w:eastAsia="en-GB"/>
        </w:rPr>
        <w:t xml:space="preserve">2008. </w:t>
      </w:r>
      <w:r w:rsidR="00A73688">
        <w:rPr>
          <w:noProof/>
          <w:lang w:val="fr-FR" w:eastAsia="en-GB"/>
        </w:rPr>
        <w:t xml:space="preserve">Elle érige en infraction pénale la traite des êtres humains </w:t>
      </w:r>
      <w:r w:rsidR="00A73688">
        <w:rPr>
          <w:lang w:val="fr-CH"/>
        </w:rPr>
        <w:t>à des fins d’exploitation sexuelle ou d</w:t>
      </w:r>
      <w:r w:rsidR="00E948B0">
        <w:rPr>
          <w:lang w:val="fr-CH"/>
        </w:rPr>
        <w:t>u</w:t>
      </w:r>
      <w:r w:rsidR="00A73688">
        <w:rPr>
          <w:lang w:val="fr-CH"/>
        </w:rPr>
        <w:t xml:space="preserve"> travail ou dans le but d’ôter certains organes à une personne</w:t>
      </w:r>
      <w:r w:rsidR="00A73688" w:rsidRPr="00DD03D6">
        <w:rPr>
          <w:noProof/>
          <w:lang w:val="fr-FR"/>
        </w:rPr>
        <w:t xml:space="preserve">. </w:t>
      </w:r>
      <w:r w:rsidR="00A73688">
        <w:rPr>
          <w:noProof/>
          <w:lang w:val="fr-FR"/>
        </w:rPr>
        <w:t>Elle érige également en infraction pénale la vente ou l’achat d’une personne à quelque fin que ce soit</w:t>
      </w:r>
      <w:r w:rsidR="00283ED9" w:rsidRPr="00DD03D6">
        <w:rPr>
          <w:noProof/>
          <w:lang w:val="fr-FR" w:eastAsia="en-GB"/>
        </w:rPr>
        <w:t xml:space="preserve">. </w:t>
      </w:r>
      <w:r w:rsidR="00A73688">
        <w:rPr>
          <w:noProof/>
          <w:lang w:val="fr-FR" w:eastAsia="en-GB"/>
        </w:rPr>
        <w:t xml:space="preserve">Aux termes de son article </w:t>
      </w:r>
      <w:r w:rsidR="00283ED9" w:rsidRPr="00DD03D6">
        <w:rPr>
          <w:noProof/>
          <w:lang w:val="fr-FR" w:eastAsia="en-GB"/>
        </w:rPr>
        <w:t xml:space="preserve">5, </w:t>
      </w:r>
      <w:r w:rsidR="00A73688">
        <w:rPr>
          <w:noProof/>
          <w:lang w:val="fr-FR" w:eastAsia="en-GB"/>
        </w:rPr>
        <w:t xml:space="preserve">le fait de </w:t>
      </w:r>
      <w:r w:rsidR="00A73688">
        <w:rPr>
          <w:lang w:val="fr-FR"/>
        </w:rPr>
        <w:t>solliciter en connaissance de cause une personne victime de la traite, en quelque lieu que ce soit, à des fins de prostitution constitue une infraction</w:t>
      </w:r>
      <w:r w:rsidR="00283ED9" w:rsidRPr="00DD03D6">
        <w:rPr>
          <w:noProof/>
          <w:lang w:val="fr-FR" w:eastAsia="en-GB"/>
        </w:rPr>
        <w:t xml:space="preserve">. </w:t>
      </w:r>
      <w:r w:rsidR="00A73688">
        <w:rPr>
          <w:noProof/>
          <w:lang w:val="fr-FR" w:eastAsia="en-GB"/>
        </w:rPr>
        <w:t xml:space="preserve">Aux fins de cette loi, un </w:t>
      </w:r>
      <w:r w:rsidR="003F36DD">
        <w:rPr>
          <w:noProof/>
          <w:lang w:val="fr-FR" w:eastAsia="en-GB"/>
        </w:rPr>
        <w:t>« </w:t>
      </w:r>
      <w:r w:rsidR="00A73688">
        <w:rPr>
          <w:noProof/>
          <w:lang w:val="fr-FR" w:eastAsia="en-GB"/>
        </w:rPr>
        <w:t>enfant</w:t>
      </w:r>
      <w:r w:rsidR="003F36DD">
        <w:rPr>
          <w:noProof/>
          <w:lang w:val="fr-FR" w:eastAsia="en-GB"/>
        </w:rPr>
        <w:t> »</w:t>
      </w:r>
      <w:r w:rsidR="00283ED9" w:rsidRPr="00DD03D6">
        <w:rPr>
          <w:noProof/>
          <w:lang w:val="fr-FR" w:eastAsia="en-GB"/>
        </w:rPr>
        <w:t xml:space="preserve"> </w:t>
      </w:r>
      <w:r w:rsidR="00A73688">
        <w:rPr>
          <w:noProof/>
          <w:lang w:val="fr-FR" w:eastAsia="en-GB"/>
        </w:rPr>
        <w:t xml:space="preserve">s’entend d’une </w:t>
      </w:r>
      <w:r w:rsidR="00283ED9" w:rsidRPr="00DD03D6">
        <w:rPr>
          <w:noProof/>
          <w:lang w:val="fr-FR" w:eastAsia="en-GB"/>
        </w:rPr>
        <w:t>person</w:t>
      </w:r>
      <w:r w:rsidR="00A73688">
        <w:rPr>
          <w:noProof/>
          <w:lang w:val="fr-FR" w:eastAsia="en-GB"/>
        </w:rPr>
        <w:t xml:space="preserve">ne âgée de moins de </w:t>
      </w:r>
      <w:r w:rsidR="003F36DD">
        <w:rPr>
          <w:noProof/>
          <w:lang w:val="fr-FR" w:eastAsia="en-GB"/>
        </w:rPr>
        <w:t>18 </w:t>
      </w:r>
      <w:r w:rsidR="00A73688">
        <w:rPr>
          <w:noProof/>
          <w:lang w:val="fr-FR" w:eastAsia="en-GB"/>
        </w:rPr>
        <w:t>ans</w:t>
      </w:r>
      <w:r w:rsidR="00283ED9" w:rsidRPr="00DD03D6">
        <w:rPr>
          <w:noProof/>
          <w:lang w:val="fr-FR" w:eastAsia="en-GB"/>
        </w:rPr>
        <w:t>.</w:t>
      </w:r>
    </w:p>
    <w:p w:rsidR="00283ED9" w:rsidRPr="00DD03D6" w:rsidRDefault="00C50B54" w:rsidP="0091392E">
      <w:pPr>
        <w:pStyle w:val="SingleTxtG"/>
        <w:numPr>
          <w:ilvl w:val="0"/>
          <w:numId w:val="3"/>
        </w:numPr>
        <w:ind w:left="1134" w:firstLine="0"/>
        <w:rPr>
          <w:noProof/>
          <w:lang w:val="fr-FR"/>
        </w:rPr>
      </w:pPr>
      <w:r>
        <w:rPr>
          <w:noProof/>
          <w:lang w:val="fr-FR"/>
        </w:rPr>
        <w:t>Lorsqu’il sera adopté, le projet de loi de 2010 sur l’i</w:t>
      </w:r>
      <w:r w:rsidR="00283ED9" w:rsidRPr="00DD03D6">
        <w:rPr>
          <w:noProof/>
          <w:lang w:val="fr-FR"/>
        </w:rPr>
        <w:t>mmigration</w:t>
      </w:r>
      <w:r>
        <w:rPr>
          <w:noProof/>
          <w:lang w:val="fr-FR"/>
        </w:rPr>
        <w:t xml:space="preserve"> et la sécurité de résidence mettra en place un cadre légal intégré pour l’élaboration et l’application des politiques d’immigration officielles</w:t>
      </w:r>
      <w:r w:rsidR="00283ED9" w:rsidRPr="00DD03D6">
        <w:rPr>
          <w:noProof/>
          <w:lang w:val="fr-FR"/>
        </w:rPr>
        <w:t>. I</w:t>
      </w:r>
      <w:r>
        <w:rPr>
          <w:noProof/>
          <w:lang w:val="fr-FR"/>
        </w:rPr>
        <w:t xml:space="preserve">l prévoit une </w:t>
      </w:r>
      <w:r w:rsidR="00283ED9" w:rsidRPr="00DD03D6">
        <w:rPr>
          <w:noProof/>
          <w:lang w:val="fr-FR"/>
        </w:rPr>
        <w:t>p</w:t>
      </w:r>
      <w:r>
        <w:rPr>
          <w:noProof/>
          <w:lang w:val="fr-FR"/>
        </w:rPr>
        <w:t>é</w:t>
      </w:r>
      <w:r w:rsidR="00283ED9" w:rsidRPr="00DD03D6">
        <w:rPr>
          <w:noProof/>
          <w:lang w:val="fr-FR"/>
        </w:rPr>
        <w:t>riod</w:t>
      </w:r>
      <w:r>
        <w:rPr>
          <w:noProof/>
          <w:lang w:val="fr-FR"/>
        </w:rPr>
        <w:t xml:space="preserve">e de réadaptation et de réflexion de </w:t>
      </w:r>
      <w:r w:rsidR="00283ED9" w:rsidRPr="00DD03D6">
        <w:rPr>
          <w:noProof/>
          <w:lang w:val="fr-FR"/>
        </w:rPr>
        <w:t xml:space="preserve">60 </w:t>
      </w:r>
      <w:r>
        <w:rPr>
          <w:noProof/>
          <w:lang w:val="fr-FR"/>
        </w:rPr>
        <w:t xml:space="preserve">jours dans l’État </w:t>
      </w:r>
      <w:r w:rsidR="00E83550">
        <w:rPr>
          <w:noProof/>
          <w:lang w:val="fr-FR"/>
        </w:rPr>
        <w:t xml:space="preserve">partie </w:t>
      </w:r>
      <w:r>
        <w:rPr>
          <w:noProof/>
          <w:lang w:val="fr-FR"/>
        </w:rPr>
        <w:t xml:space="preserve">pour les adultes victimes présumées de la traite qui demandent l’autorisation d’immigrer, ainsi que l’octroi d’un permis de séjour d’une durée de six mois renouvelable </w:t>
      </w:r>
      <w:r w:rsidR="007E1443">
        <w:rPr>
          <w:noProof/>
          <w:lang w:val="fr-FR"/>
        </w:rPr>
        <w:t xml:space="preserve">à ces personnes pour qu’elles puissent </w:t>
      </w:r>
      <w:r w:rsidR="00283ED9" w:rsidRPr="00DD03D6">
        <w:rPr>
          <w:noProof/>
          <w:lang w:val="fr-FR"/>
        </w:rPr>
        <w:t>continue</w:t>
      </w:r>
      <w:r w:rsidR="007E1443">
        <w:rPr>
          <w:noProof/>
          <w:lang w:val="fr-FR"/>
        </w:rPr>
        <w:t xml:space="preserve">r d’aider la </w:t>
      </w:r>
      <w:r w:rsidR="00283ED9" w:rsidRPr="00DD03D6">
        <w:rPr>
          <w:noProof/>
          <w:lang w:val="fr-FR"/>
        </w:rPr>
        <w:t xml:space="preserve">Garda Síochána </w:t>
      </w:r>
      <w:r w:rsidR="007E1443">
        <w:rPr>
          <w:noProof/>
          <w:lang w:val="fr-FR"/>
        </w:rPr>
        <w:t>ou les autres autorités compétentes dans le cadre de toute enquête ou de toutes poursuites ouverte ou engagées en rapport avec l’infraction de traite présumée</w:t>
      </w:r>
      <w:r w:rsidR="00283ED9" w:rsidRPr="00DD03D6">
        <w:rPr>
          <w:noProof/>
          <w:lang w:val="fr-FR"/>
        </w:rPr>
        <w:t xml:space="preserve">. </w:t>
      </w:r>
      <w:r w:rsidR="007E1443">
        <w:rPr>
          <w:noProof/>
          <w:lang w:val="fr-FR"/>
        </w:rPr>
        <w:t xml:space="preserve">Ce dispositif est actuellement appliqué sur une base </w:t>
      </w:r>
      <w:r w:rsidR="00283ED9" w:rsidRPr="00DD03D6">
        <w:rPr>
          <w:noProof/>
          <w:lang w:val="fr-FR"/>
        </w:rPr>
        <w:t xml:space="preserve">administrative </w:t>
      </w:r>
      <w:r w:rsidR="007E1443">
        <w:rPr>
          <w:noProof/>
          <w:lang w:val="fr-FR"/>
        </w:rPr>
        <w:t xml:space="preserve">et prévoit que, dans le cas d’une personne âgée de moins de 18 ans </w:t>
      </w:r>
      <w:r w:rsidR="00283ED9" w:rsidRPr="00DD03D6">
        <w:rPr>
          <w:noProof/>
          <w:lang w:val="fr-FR"/>
        </w:rPr>
        <w:t>identifi</w:t>
      </w:r>
      <w:r w:rsidR="007E1443">
        <w:rPr>
          <w:noProof/>
          <w:lang w:val="fr-FR"/>
        </w:rPr>
        <w:t>é</w:t>
      </w:r>
      <w:r w:rsidR="00283ED9" w:rsidRPr="00DD03D6">
        <w:rPr>
          <w:noProof/>
          <w:lang w:val="fr-FR"/>
        </w:rPr>
        <w:t>e</w:t>
      </w:r>
      <w:r w:rsidR="007E1443">
        <w:rPr>
          <w:noProof/>
          <w:lang w:val="fr-FR"/>
        </w:rPr>
        <w:t xml:space="preserve"> comme étant une victime présumée de la traite des êtres humains, une période </w:t>
      </w:r>
      <w:r w:rsidR="00283ED9" w:rsidRPr="00DD03D6">
        <w:rPr>
          <w:noProof/>
          <w:lang w:val="fr-FR"/>
        </w:rPr>
        <w:t>d</w:t>
      </w:r>
      <w:r w:rsidR="007E1443">
        <w:rPr>
          <w:noProof/>
          <w:lang w:val="fr-FR"/>
        </w:rPr>
        <w:t>e réadaptation et de réflex</w:t>
      </w:r>
      <w:r w:rsidR="00CF0BB1">
        <w:rPr>
          <w:noProof/>
          <w:lang w:val="fr-FR"/>
        </w:rPr>
        <w:t>ion d’une durée supérieure à 60 </w:t>
      </w:r>
      <w:r w:rsidR="007E1443">
        <w:rPr>
          <w:noProof/>
          <w:lang w:val="fr-FR"/>
        </w:rPr>
        <w:t>jours peut être accordée</w:t>
      </w:r>
      <w:r w:rsidR="00283ED9" w:rsidRPr="00DD03D6">
        <w:rPr>
          <w:noProof/>
          <w:lang w:val="fr-FR"/>
        </w:rPr>
        <w:t xml:space="preserve">. </w:t>
      </w:r>
      <w:r w:rsidR="007E1443">
        <w:rPr>
          <w:noProof/>
          <w:lang w:val="fr-FR"/>
        </w:rPr>
        <w:t xml:space="preserve">Pour </w:t>
      </w:r>
      <w:r w:rsidR="00283ED9" w:rsidRPr="00DD03D6">
        <w:rPr>
          <w:noProof/>
          <w:lang w:val="fr-FR"/>
        </w:rPr>
        <w:t>d</w:t>
      </w:r>
      <w:r w:rsidR="007E1443">
        <w:rPr>
          <w:noProof/>
          <w:lang w:val="fr-FR"/>
        </w:rPr>
        <w:t>é</w:t>
      </w:r>
      <w:r w:rsidR="00283ED9" w:rsidRPr="00DD03D6">
        <w:rPr>
          <w:noProof/>
          <w:lang w:val="fr-FR"/>
        </w:rPr>
        <w:t>termin</w:t>
      </w:r>
      <w:r w:rsidR="007E1443">
        <w:rPr>
          <w:noProof/>
          <w:lang w:val="fr-FR"/>
        </w:rPr>
        <w:t xml:space="preserve">er cette durée, il est tenu compte du fait que l’enfant est confié à la Direction des services de santé ou à un </w:t>
      </w:r>
      <w:r w:rsidR="00283ED9" w:rsidRPr="00DD03D6">
        <w:rPr>
          <w:noProof/>
          <w:lang w:val="fr-FR"/>
        </w:rPr>
        <w:t>parent o</w:t>
      </w:r>
      <w:r w:rsidR="007E1443">
        <w:rPr>
          <w:noProof/>
          <w:lang w:val="fr-FR"/>
        </w:rPr>
        <w:t xml:space="preserve">u tuteur </w:t>
      </w:r>
      <w:r w:rsidR="00283ED9" w:rsidRPr="00DD03D6">
        <w:rPr>
          <w:noProof/>
          <w:lang w:val="fr-FR"/>
        </w:rPr>
        <w:t>l</w:t>
      </w:r>
      <w:r w:rsidR="007E1443">
        <w:rPr>
          <w:noProof/>
          <w:lang w:val="fr-FR"/>
        </w:rPr>
        <w:t>é</w:t>
      </w:r>
      <w:r w:rsidR="00283ED9" w:rsidRPr="00DD03D6">
        <w:rPr>
          <w:noProof/>
          <w:lang w:val="fr-FR"/>
        </w:rPr>
        <w:t xml:space="preserve">gal </w:t>
      </w:r>
      <w:r w:rsidR="007E1443">
        <w:rPr>
          <w:noProof/>
          <w:lang w:val="fr-FR"/>
        </w:rPr>
        <w:t>qui le prend sous sa responsabilité, ainsi que de la situation de son parent ou tuteur légal dans l’État</w:t>
      </w:r>
      <w:r w:rsidR="00E83550">
        <w:rPr>
          <w:noProof/>
          <w:lang w:val="fr-FR"/>
        </w:rPr>
        <w:t xml:space="preserve"> partie</w:t>
      </w:r>
      <w:r w:rsidR="00283ED9" w:rsidRPr="00DD03D6">
        <w:rPr>
          <w:noProof/>
          <w:lang w:val="fr-FR"/>
        </w:rPr>
        <w:t>.</w:t>
      </w:r>
    </w:p>
    <w:p w:rsidR="008342B8" w:rsidRPr="00DD03D6" w:rsidRDefault="008342B8" w:rsidP="004D2C12">
      <w:pPr>
        <w:pStyle w:val="H23G"/>
        <w:rPr>
          <w:noProof/>
          <w:lang w:val="fr-FR"/>
        </w:rPr>
      </w:pPr>
      <w:r w:rsidRPr="00DD03D6">
        <w:rPr>
          <w:noProof/>
          <w:lang w:val="fr-FR"/>
        </w:rPr>
        <w:tab/>
      </w:r>
      <w:r w:rsidRPr="00DD03D6">
        <w:rPr>
          <w:noProof/>
          <w:lang w:val="fr-FR"/>
        </w:rPr>
        <w:tab/>
      </w:r>
      <w:r w:rsidR="004D2C12" w:rsidRPr="00DD03D6">
        <w:rPr>
          <w:noProof/>
          <w:lang w:val="fr-FR"/>
        </w:rPr>
        <w:t>Protocol</w:t>
      </w:r>
      <w:r w:rsidR="00E83550">
        <w:rPr>
          <w:noProof/>
          <w:lang w:val="fr-FR"/>
        </w:rPr>
        <w:t xml:space="preserve">e facultatif à la </w:t>
      </w:r>
      <w:r w:rsidR="004D2C12" w:rsidRPr="00DD03D6">
        <w:rPr>
          <w:noProof/>
          <w:lang w:val="fr-FR"/>
        </w:rPr>
        <w:t xml:space="preserve">Convention </w:t>
      </w:r>
      <w:r w:rsidR="00E83550">
        <w:rPr>
          <w:noProof/>
          <w:lang w:val="fr-FR"/>
        </w:rPr>
        <w:t xml:space="preserve">relative aux droits de l’enfant établissant </w:t>
      </w:r>
      <w:r w:rsidR="00CF0BB1">
        <w:rPr>
          <w:noProof/>
          <w:lang w:val="fr-FR"/>
        </w:rPr>
        <w:br/>
      </w:r>
      <w:r w:rsidR="00E83550">
        <w:rPr>
          <w:noProof/>
          <w:lang w:val="fr-FR"/>
        </w:rPr>
        <w:t xml:space="preserve">une procédure de présentation de communications </w:t>
      </w:r>
    </w:p>
    <w:p w:rsidR="008342B8" w:rsidRPr="00DD03D6" w:rsidRDefault="00E83550" w:rsidP="0004550B">
      <w:pPr>
        <w:pStyle w:val="SingleTxtG"/>
        <w:numPr>
          <w:ilvl w:val="0"/>
          <w:numId w:val="3"/>
        </w:numPr>
        <w:ind w:left="1134" w:firstLine="0"/>
        <w:rPr>
          <w:noProof/>
          <w:lang w:val="fr-FR"/>
        </w:rPr>
      </w:pPr>
      <w:r>
        <w:rPr>
          <w:noProof/>
          <w:lang w:val="fr-FR"/>
        </w:rPr>
        <w:t xml:space="preserve">Le troisième </w:t>
      </w:r>
      <w:r w:rsidR="008342B8" w:rsidRPr="00DD03D6">
        <w:rPr>
          <w:noProof/>
          <w:lang w:val="fr-FR"/>
        </w:rPr>
        <w:t>Protocol</w:t>
      </w:r>
      <w:r>
        <w:rPr>
          <w:noProof/>
          <w:lang w:val="fr-FR"/>
        </w:rPr>
        <w:t>e</w:t>
      </w:r>
      <w:r w:rsidR="008342B8" w:rsidRPr="00DD03D6">
        <w:rPr>
          <w:noProof/>
          <w:lang w:val="fr-FR"/>
        </w:rPr>
        <w:t xml:space="preserve"> </w:t>
      </w:r>
      <w:r>
        <w:rPr>
          <w:noProof/>
          <w:lang w:val="fr-FR"/>
        </w:rPr>
        <w:t xml:space="preserve">facultatif à la </w:t>
      </w:r>
      <w:r w:rsidRPr="00DD03D6">
        <w:rPr>
          <w:noProof/>
          <w:lang w:val="fr-FR"/>
        </w:rPr>
        <w:t xml:space="preserve">Convention </w:t>
      </w:r>
      <w:r>
        <w:rPr>
          <w:noProof/>
          <w:lang w:val="fr-FR"/>
        </w:rPr>
        <w:t>relative aux droits de l’enfant établira une procédure de présentation de communications</w:t>
      </w:r>
      <w:r w:rsidR="008342B8" w:rsidRPr="00DD03D6">
        <w:rPr>
          <w:noProof/>
          <w:lang w:val="fr-FR"/>
        </w:rPr>
        <w:t xml:space="preserve">. </w:t>
      </w:r>
      <w:r>
        <w:rPr>
          <w:noProof/>
          <w:lang w:val="fr-FR"/>
        </w:rPr>
        <w:t>Il complétera le processus de présentation des rapports des États parties prévu par la Convention</w:t>
      </w:r>
      <w:r w:rsidR="008342B8" w:rsidRPr="00DD03D6">
        <w:rPr>
          <w:noProof/>
          <w:lang w:val="fr-FR"/>
        </w:rPr>
        <w:t xml:space="preserve">. </w:t>
      </w:r>
    </w:p>
    <w:p w:rsidR="008342B8" w:rsidRPr="00DD03D6" w:rsidRDefault="00E83550" w:rsidP="008342B8">
      <w:pPr>
        <w:pStyle w:val="SingleTxtG"/>
        <w:numPr>
          <w:ilvl w:val="0"/>
          <w:numId w:val="3"/>
        </w:numPr>
        <w:ind w:left="1134" w:firstLine="0"/>
        <w:rPr>
          <w:noProof/>
          <w:lang w:val="fr-FR"/>
        </w:rPr>
      </w:pPr>
      <w:r>
        <w:rPr>
          <w:noProof/>
          <w:lang w:val="fr-FR"/>
        </w:rPr>
        <w:t xml:space="preserve">Le </w:t>
      </w:r>
      <w:r w:rsidR="008342B8" w:rsidRPr="00DD03D6">
        <w:rPr>
          <w:noProof/>
          <w:lang w:val="fr-FR"/>
        </w:rPr>
        <w:t>Protocol</w:t>
      </w:r>
      <w:r>
        <w:rPr>
          <w:noProof/>
          <w:lang w:val="fr-FR"/>
        </w:rPr>
        <w:t>e</w:t>
      </w:r>
      <w:r w:rsidR="008342B8" w:rsidRPr="00DD03D6">
        <w:rPr>
          <w:noProof/>
          <w:lang w:val="fr-FR"/>
        </w:rPr>
        <w:t xml:space="preserve"> </w:t>
      </w:r>
      <w:r>
        <w:rPr>
          <w:noProof/>
          <w:lang w:val="fr-FR"/>
        </w:rPr>
        <w:t xml:space="preserve">traite d’un domaine d’action </w:t>
      </w:r>
      <w:r w:rsidR="000507C6">
        <w:rPr>
          <w:noProof/>
          <w:lang w:val="fr-FR"/>
        </w:rPr>
        <w:t xml:space="preserve">qui relève principalement de la responsabilié de </w:t>
      </w:r>
      <w:r w:rsidR="00BE37DA">
        <w:rPr>
          <w:noProof/>
          <w:lang w:val="fr-FR"/>
        </w:rPr>
        <w:t>l</w:t>
      </w:r>
      <w:r w:rsidR="000507C6">
        <w:rPr>
          <w:noProof/>
          <w:lang w:val="fr-FR"/>
        </w:rPr>
        <w:t>a</w:t>
      </w:r>
      <w:r w:rsidR="00BE37DA">
        <w:rPr>
          <w:noProof/>
          <w:lang w:val="fr-FR"/>
        </w:rPr>
        <w:t xml:space="preserve"> Ministre de l’enfance et de la jeunesse</w:t>
      </w:r>
      <w:r w:rsidR="008342B8" w:rsidRPr="00DD03D6">
        <w:rPr>
          <w:noProof/>
          <w:lang w:val="fr-FR"/>
        </w:rPr>
        <w:t xml:space="preserve">. </w:t>
      </w:r>
      <w:r w:rsidR="00A7547E">
        <w:rPr>
          <w:noProof/>
          <w:lang w:val="fr-FR"/>
        </w:rPr>
        <w:t xml:space="preserve">Il incombera donc au </w:t>
      </w:r>
      <w:r w:rsidR="00BE37DA">
        <w:rPr>
          <w:noProof/>
          <w:lang w:val="fr-FR"/>
        </w:rPr>
        <w:t xml:space="preserve">Ministère de l’enfance et de la jeunesse </w:t>
      </w:r>
      <w:r w:rsidR="00A7547E">
        <w:rPr>
          <w:noProof/>
          <w:lang w:val="fr-FR"/>
        </w:rPr>
        <w:t xml:space="preserve">de </w:t>
      </w:r>
      <w:r w:rsidR="008342B8" w:rsidRPr="00DD03D6">
        <w:rPr>
          <w:noProof/>
          <w:lang w:val="fr-FR"/>
        </w:rPr>
        <w:t>coord</w:t>
      </w:r>
      <w:r w:rsidR="00A7547E">
        <w:rPr>
          <w:noProof/>
          <w:lang w:val="fr-FR"/>
        </w:rPr>
        <w:t xml:space="preserve">onner l’examen de ce </w:t>
      </w:r>
      <w:r w:rsidR="008342B8" w:rsidRPr="00DD03D6">
        <w:rPr>
          <w:noProof/>
          <w:lang w:val="fr-FR"/>
        </w:rPr>
        <w:t>Protocol</w:t>
      </w:r>
      <w:r w:rsidR="00A7547E">
        <w:rPr>
          <w:noProof/>
          <w:lang w:val="fr-FR"/>
        </w:rPr>
        <w:t>e</w:t>
      </w:r>
      <w:r w:rsidR="008342B8" w:rsidRPr="00DD03D6">
        <w:rPr>
          <w:noProof/>
          <w:lang w:val="fr-FR"/>
        </w:rPr>
        <w:t xml:space="preserve"> </w:t>
      </w:r>
      <w:r w:rsidR="00A7547E">
        <w:rPr>
          <w:noProof/>
          <w:lang w:val="fr-FR"/>
        </w:rPr>
        <w:t>par les ministères et organismes publics compétents et de formuler à l’intention du Gouvernement une recomma</w:t>
      </w:r>
      <w:r w:rsidR="008342B8" w:rsidRPr="00DD03D6">
        <w:rPr>
          <w:noProof/>
          <w:lang w:val="fr-FR"/>
        </w:rPr>
        <w:t xml:space="preserve">ndation </w:t>
      </w:r>
      <w:r w:rsidR="00A7547E">
        <w:rPr>
          <w:noProof/>
          <w:lang w:val="fr-FR"/>
        </w:rPr>
        <w:t>concernant la question de savoir si l’Irlande devrait devenir partie à cet instrument</w:t>
      </w:r>
      <w:r w:rsidR="008342B8" w:rsidRPr="00DD03D6">
        <w:rPr>
          <w:noProof/>
          <w:lang w:val="fr-FR"/>
        </w:rPr>
        <w:t xml:space="preserve">. </w:t>
      </w:r>
      <w:r w:rsidR="00A7547E">
        <w:rPr>
          <w:noProof/>
          <w:lang w:val="fr-FR"/>
        </w:rPr>
        <w:t xml:space="preserve">Dans le cadre de l’élaboration du présent rapport, le Ministère a porté la question de l’adoption du </w:t>
      </w:r>
      <w:r w:rsidR="008342B8" w:rsidRPr="00DD03D6">
        <w:rPr>
          <w:noProof/>
          <w:lang w:val="fr-FR"/>
        </w:rPr>
        <w:t>Protocol</w:t>
      </w:r>
      <w:r w:rsidR="00A7547E">
        <w:rPr>
          <w:noProof/>
          <w:lang w:val="fr-FR"/>
        </w:rPr>
        <w:t>e</w:t>
      </w:r>
      <w:r w:rsidR="008342B8" w:rsidRPr="00DD03D6">
        <w:rPr>
          <w:noProof/>
          <w:lang w:val="fr-FR"/>
        </w:rPr>
        <w:t xml:space="preserve"> </w:t>
      </w:r>
      <w:r w:rsidR="00A7547E">
        <w:rPr>
          <w:noProof/>
          <w:lang w:val="fr-FR"/>
        </w:rPr>
        <w:t>à l’</w:t>
      </w:r>
      <w:r w:rsidR="008342B8" w:rsidRPr="00DD03D6">
        <w:rPr>
          <w:noProof/>
          <w:lang w:val="fr-FR"/>
        </w:rPr>
        <w:t xml:space="preserve">attention </w:t>
      </w:r>
      <w:r w:rsidR="00A7547E">
        <w:rPr>
          <w:noProof/>
          <w:lang w:val="fr-FR"/>
        </w:rPr>
        <w:t>de tous les ministères</w:t>
      </w:r>
      <w:r w:rsidR="008342B8" w:rsidRPr="00DD03D6">
        <w:rPr>
          <w:noProof/>
          <w:lang w:val="fr-FR"/>
        </w:rPr>
        <w:t xml:space="preserve">. </w:t>
      </w:r>
      <w:r w:rsidR="00865034">
        <w:rPr>
          <w:noProof/>
          <w:lang w:val="fr-FR"/>
        </w:rPr>
        <w:t xml:space="preserve">Si l’on parvient à la </w:t>
      </w:r>
      <w:r w:rsidR="008342B8" w:rsidRPr="00DD03D6">
        <w:rPr>
          <w:noProof/>
          <w:lang w:val="fr-FR"/>
        </w:rPr>
        <w:t xml:space="preserve">conclusion </w:t>
      </w:r>
      <w:r w:rsidR="00865034">
        <w:rPr>
          <w:noProof/>
          <w:lang w:val="fr-FR"/>
        </w:rPr>
        <w:t xml:space="preserve">que l’État devrait </w:t>
      </w:r>
      <w:r w:rsidR="001A6F50">
        <w:rPr>
          <w:noProof/>
          <w:lang w:val="fr-FR"/>
        </w:rPr>
        <w:t>devenir partie à cet instrument</w:t>
      </w:r>
      <w:r w:rsidR="008342B8" w:rsidRPr="00DD03D6">
        <w:rPr>
          <w:noProof/>
          <w:lang w:val="fr-FR"/>
        </w:rPr>
        <w:t xml:space="preserve">, </w:t>
      </w:r>
      <w:r w:rsidR="001A6F50">
        <w:rPr>
          <w:noProof/>
          <w:lang w:val="fr-FR"/>
        </w:rPr>
        <w:t xml:space="preserve">le Ministère </w:t>
      </w:r>
      <w:r w:rsidR="009A383E">
        <w:rPr>
          <w:noProof/>
          <w:lang w:val="fr-FR"/>
        </w:rPr>
        <w:t>soumettr</w:t>
      </w:r>
      <w:r w:rsidR="001A6F50">
        <w:rPr>
          <w:noProof/>
          <w:lang w:val="fr-FR"/>
        </w:rPr>
        <w:t xml:space="preserve">a le </w:t>
      </w:r>
      <w:r w:rsidR="001A6F50">
        <w:rPr>
          <w:noProof/>
          <w:lang w:val="fr-FR"/>
        </w:rPr>
        <w:lastRenderedPageBreak/>
        <w:t xml:space="preserve">moment venu </w:t>
      </w:r>
      <w:r w:rsidR="009A383E">
        <w:rPr>
          <w:noProof/>
          <w:lang w:val="fr-FR"/>
        </w:rPr>
        <w:t xml:space="preserve">au Gouvernement un mémoire dans lequel il lui demandera de l’autoriser à prendre les dispositions nécessaires en vue de la signature de ce Protocole au nom de l’Irlande, sous réserve de </w:t>
      </w:r>
      <w:r w:rsidR="005F2FA6">
        <w:rPr>
          <w:noProof/>
          <w:lang w:val="fr-FR"/>
        </w:rPr>
        <w:t xml:space="preserve">sa </w:t>
      </w:r>
      <w:r w:rsidR="009A383E">
        <w:rPr>
          <w:noProof/>
          <w:lang w:val="fr-FR"/>
        </w:rPr>
        <w:t>ratification ultérieure</w:t>
      </w:r>
      <w:r w:rsidR="008342B8" w:rsidRPr="00DD03D6">
        <w:rPr>
          <w:noProof/>
          <w:lang w:val="fr-FR"/>
        </w:rPr>
        <w:t xml:space="preserve">. </w:t>
      </w:r>
      <w:r w:rsidR="009A383E">
        <w:rPr>
          <w:noProof/>
          <w:lang w:val="fr-FR"/>
        </w:rPr>
        <w:t>Le Ministère coopérera à cette fin avec le Ministère des affaires étrangères et du commerce</w:t>
      </w:r>
      <w:r w:rsidR="008342B8" w:rsidRPr="00DD03D6">
        <w:rPr>
          <w:noProof/>
          <w:lang w:val="fr-FR"/>
        </w:rPr>
        <w:t xml:space="preserve">. </w:t>
      </w:r>
      <w:r w:rsidR="009A383E">
        <w:rPr>
          <w:noProof/>
          <w:lang w:val="fr-FR"/>
        </w:rPr>
        <w:t>Afin que tous les ministères compétents puissent procéder à un examen approprié du nouveau Protocole facultatif</w:t>
      </w:r>
      <w:r w:rsidR="008342B8" w:rsidRPr="00DD03D6">
        <w:rPr>
          <w:noProof/>
          <w:lang w:val="fr-FR"/>
        </w:rPr>
        <w:t xml:space="preserve">, </w:t>
      </w:r>
      <w:r w:rsidR="000507C6">
        <w:rPr>
          <w:noProof/>
          <w:lang w:val="fr-FR"/>
        </w:rPr>
        <w:t>la</w:t>
      </w:r>
      <w:r w:rsidR="009A383E">
        <w:rPr>
          <w:noProof/>
          <w:lang w:val="fr-FR"/>
        </w:rPr>
        <w:t xml:space="preserve"> Ministre de l’enfance et de la jeunesse formulera en temps utile une recomma</w:t>
      </w:r>
      <w:r w:rsidR="008342B8" w:rsidRPr="00DD03D6">
        <w:rPr>
          <w:noProof/>
          <w:lang w:val="fr-FR"/>
        </w:rPr>
        <w:t xml:space="preserve">ndation </w:t>
      </w:r>
      <w:r w:rsidR="005F2FA6">
        <w:rPr>
          <w:noProof/>
          <w:lang w:val="fr-FR"/>
        </w:rPr>
        <w:t>à cet effet</w:t>
      </w:r>
      <w:r w:rsidR="008342B8" w:rsidRPr="00DD03D6">
        <w:rPr>
          <w:noProof/>
          <w:lang w:val="fr-FR"/>
        </w:rPr>
        <w:t>.</w:t>
      </w:r>
    </w:p>
    <w:p w:rsidR="008342B8" w:rsidRPr="00DD03D6" w:rsidRDefault="006758CF" w:rsidP="006758CF">
      <w:pPr>
        <w:pStyle w:val="H23G"/>
        <w:ind w:firstLine="0"/>
        <w:rPr>
          <w:noProof/>
          <w:lang w:val="fr-FR"/>
        </w:rPr>
      </w:pPr>
      <w:r>
        <w:rPr>
          <w:noProof/>
          <w:lang w:val="fr-FR"/>
        </w:rPr>
        <w:t xml:space="preserve">Nouvelles mesures législatives adoptées à l’échelon national </w:t>
      </w:r>
    </w:p>
    <w:p w:rsidR="008342B8" w:rsidRPr="00DD03D6" w:rsidRDefault="005158DB" w:rsidP="008342B8">
      <w:pPr>
        <w:pStyle w:val="SingleTxtG"/>
        <w:numPr>
          <w:ilvl w:val="0"/>
          <w:numId w:val="3"/>
        </w:numPr>
        <w:ind w:left="1134" w:firstLine="0"/>
        <w:rPr>
          <w:noProof/>
          <w:lang w:val="fr-FR"/>
        </w:rPr>
      </w:pPr>
      <w:r>
        <w:rPr>
          <w:noProof/>
          <w:lang w:val="fr-FR"/>
        </w:rPr>
        <w:t xml:space="preserve">Outre les dispositions </w:t>
      </w:r>
      <w:r w:rsidR="008342B8" w:rsidRPr="00DD03D6">
        <w:rPr>
          <w:noProof/>
          <w:lang w:val="fr-FR"/>
        </w:rPr>
        <w:t>l</w:t>
      </w:r>
      <w:r>
        <w:rPr>
          <w:noProof/>
          <w:lang w:val="fr-FR"/>
        </w:rPr>
        <w:t>é</w:t>
      </w:r>
      <w:r w:rsidR="008342B8" w:rsidRPr="00DD03D6">
        <w:rPr>
          <w:noProof/>
          <w:lang w:val="fr-FR"/>
        </w:rPr>
        <w:t>gislative</w:t>
      </w:r>
      <w:r>
        <w:rPr>
          <w:noProof/>
          <w:lang w:val="fr-FR"/>
        </w:rPr>
        <w:t>s</w:t>
      </w:r>
      <w:r w:rsidR="008342B8" w:rsidRPr="00DD03D6">
        <w:rPr>
          <w:noProof/>
          <w:lang w:val="fr-FR"/>
        </w:rPr>
        <w:t xml:space="preserve"> </w:t>
      </w:r>
      <w:r>
        <w:rPr>
          <w:noProof/>
          <w:lang w:val="fr-FR"/>
        </w:rPr>
        <w:t xml:space="preserve">mentionnées dans les rapports précédents et celles qui sont présentées plus haut, les modifications législatives ci-après ont été apportées depuis 2006; elles renforcent et protègent encore davantage les droits des enfants en droit irlandais </w:t>
      </w:r>
      <w:r w:rsidR="008342B8" w:rsidRPr="00DD03D6">
        <w:rPr>
          <w:noProof/>
          <w:lang w:val="fr-FR"/>
        </w:rPr>
        <w:t>:</w:t>
      </w:r>
    </w:p>
    <w:p w:rsidR="008342B8" w:rsidRPr="00DD03D6" w:rsidRDefault="0003610D" w:rsidP="00CF0BB1">
      <w:pPr>
        <w:pStyle w:val="Bullet1G"/>
        <w:tabs>
          <w:tab w:val="clear" w:pos="1701"/>
        </w:tabs>
        <w:ind w:left="1843" w:hanging="142"/>
        <w:rPr>
          <w:noProof/>
          <w:lang w:val="fr-FR"/>
        </w:rPr>
      </w:pPr>
      <w:r>
        <w:rPr>
          <w:bCs/>
          <w:noProof/>
          <w:lang w:val="fr-FR"/>
        </w:rPr>
        <w:t xml:space="preserve">La </w:t>
      </w:r>
      <w:r w:rsidR="00F84539">
        <w:rPr>
          <w:b/>
          <w:bCs/>
          <w:noProof/>
          <w:lang w:val="fr-FR"/>
        </w:rPr>
        <w:t>l</w:t>
      </w:r>
      <w:r>
        <w:rPr>
          <w:b/>
          <w:bCs/>
          <w:noProof/>
          <w:lang w:val="fr-FR"/>
        </w:rPr>
        <w:t xml:space="preserve">oi de </w:t>
      </w:r>
      <w:r w:rsidR="008342B8" w:rsidRPr="00DD03D6">
        <w:rPr>
          <w:b/>
          <w:bCs/>
          <w:noProof/>
          <w:lang w:val="fr-FR"/>
        </w:rPr>
        <w:t>2006</w:t>
      </w:r>
      <w:r>
        <w:rPr>
          <w:b/>
          <w:bCs/>
          <w:noProof/>
          <w:lang w:val="fr-FR"/>
        </w:rPr>
        <w:t xml:space="preserve"> sur le droit pénal</w:t>
      </w:r>
      <w:r>
        <w:rPr>
          <w:noProof/>
          <w:lang w:val="fr-FR"/>
        </w:rPr>
        <w:t xml:space="preserve"> </w:t>
      </w:r>
      <w:r w:rsidRPr="0003610D">
        <w:rPr>
          <w:b/>
          <w:noProof/>
          <w:lang w:val="fr-FR"/>
        </w:rPr>
        <w:t>(infractions sexuelles)</w:t>
      </w:r>
      <w:r>
        <w:rPr>
          <w:noProof/>
          <w:lang w:val="fr-FR"/>
        </w:rPr>
        <w:t xml:space="preserve"> a été mise en application en juin </w:t>
      </w:r>
      <w:r w:rsidR="008342B8" w:rsidRPr="00DD03D6">
        <w:rPr>
          <w:noProof/>
          <w:lang w:val="fr-FR"/>
        </w:rPr>
        <w:t xml:space="preserve">2006. </w:t>
      </w:r>
      <w:r>
        <w:rPr>
          <w:noProof/>
          <w:lang w:val="fr-FR"/>
        </w:rPr>
        <w:t>Elle a actualisé les dispositions du droit pénal irlandais concernant</w:t>
      </w:r>
      <w:r w:rsidR="008342B8" w:rsidRPr="00DD03D6">
        <w:rPr>
          <w:noProof/>
          <w:lang w:val="fr-FR"/>
        </w:rPr>
        <w:t xml:space="preserve"> </w:t>
      </w:r>
      <w:r>
        <w:rPr>
          <w:noProof/>
          <w:lang w:val="fr-FR"/>
        </w:rPr>
        <w:t xml:space="preserve">la </w:t>
      </w:r>
      <w:r w:rsidR="008342B8" w:rsidRPr="00DD03D6">
        <w:rPr>
          <w:noProof/>
          <w:lang w:val="fr-FR"/>
        </w:rPr>
        <w:t xml:space="preserve">protection </w:t>
      </w:r>
      <w:r>
        <w:rPr>
          <w:noProof/>
          <w:lang w:val="fr-FR"/>
        </w:rPr>
        <w:t xml:space="preserve">des enfants âgés de moins de </w:t>
      </w:r>
      <w:r w:rsidR="008342B8" w:rsidRPr="00DD03D6">
        <w:rPr>
          <w:noProof/>
          <w:lang w:val="fr-FR"/>
        </w:rPr>
        <w:t xml:space="preserve">17 </w:t>
      </w:r>
      <w:r w:rsidR="00F84539">
        <w:rPr>
          <w:noProof/>
          <w:lang w:val="fr-FR"/>
        </w:rPr>
        <w:t xml:space="preserve">ans </w:t>
      </w:r>
      <w:r>
        <w:rPr>
          <w:noProof/>
          <w:lang w:val="fr-FR"/>
        </w:rPr>
        <w:t>contre la violence et l’exploitation sexuelles</w:t>
      </w:r>
      <w:r w:rsidR="008342B8" w:rsidRPr="00DD03D6">
        <w:rPr>
          <w:noProof/>
          <w:lang w:val="fr-FR"/>
        </w:rPr>
        <w:t xml:space="preserve">. </w:t>
      </w:r>
      <w:r>
        <w:rPr>
          <w:noProof/>
          <w:lang w:val="fr-FR"/>
        </w:rPr>
        <w:t xml:space="preserve">Elle prévoit notamment </w:t>
      </w:r>
      <w:r w:rsidR="00F84539">
        <w:rPr>
          <w:noProof/>
          <w:lang w:val="fr-FR"/>
        </w:rPr>
        <w:t xml:space="preserve">un alourdissement de la peine maximale pour l’incitation à la débauche d’un enfant âgé de 15 ou 16 ans lorsque l’infraction est commise par une </w:t>
      </w:r>
      <w:r w:rsidR="008342B8" w:rsidRPr="00DD03D6">
        <w:rPr>
          <w:noProof/>
          <w:lang w:val="fr-FR"/>
        </w:rPr>
        <w:t>person</w:t>
      </w:r>
      <w:r w:rsidR="00F84539">
        <w:rPr>
          <w:noProof/>
          <w:lang w:val="fr-FR"/>
        </w:rPr>
        <w:t>ne exerçant une</w:t>
      </w:r>
      <w:r w:rsidR="008342B8" w:rsidRPr="00DD03D6">
        <w:rPr>
          <w:noProof/>
          <w:lang w:val="fr-FR"/>
        </w:rPr>
        <w:t xml:space="preserve"> </w:t>
      </w:r>
      <w:r w:rsidR="00F84539">
        <w:rPr>
          <w:noProof/>
          <w:lang w:val="fr-FR"/>
        </w:rPr>
        <w:t>aut</w:t>
      </w:r>
      <w:r w:rsidR="008342B8" w:rsidRPr="00DD03D6">
        <w:rPr>
          <w:noProof/>
          <w:lang w:val="fr-FR"/>
        </w:rPr>
        <w:t>orit</w:t>
      </w:r>
      <w:r w:rsidR="00F84539">
        <w:rPr>
          <w:noProof/>
          <w:lang w:val="fr-FR"/>
        </w:rPr>
        <w:t>é</w:t>
      </w:r>
      <w:r w:rsidR="008342B8" w:rsidRPr="00DD03D6">
        <w:rPr>
          <w:noProof/>
          <w:lang w:val="fr-FR"/>
        </w:rPr>
        <w:t>.</w:t>
      </w:r>
    </w:p>
    <w:p w:rsidR="008342B8" w:rsidRPr="00DD03D6" w:rsidRDefault="0003610D" w:rsidP="00CF0BB1">
      <w:pPr>
        <w:pStyle w:val="Bullet1G"/>
        <w:tabs>
          <w:tab w:val="clear" w:pos="1701"/>
        </w:tabs>
        <w:ind w:left="1843" w:hanging="142"/>
        <w:rPr>
          <w:noProof/>
          <w:lang w:val="fr-FR"/>
        </w:rPr>
      </w:pPr>
      <w:r>
        <w:rPr>
          <w:bCs/>
          <w:noProof/>
          <w:lang w:val="fr-FR"/>
        </w:rPr>
        <w:t>La</w:t>
      </w:r>
      <w:r w:rsidRPr="00DD03D6">
        <w:rPr>
          <w:b/>
          <w:bCs/>
          <w:noProof/>
          <w:lang w:val="fr-FR"/>
        </w:rPr>
        <w:t xml:space="preserve"> </w:t>
      </w:r>
      <w:r w:rsidR="00F84539">
        <w:rPr>
          <w:b/>
          <w:bCs/>
          <w:noProof/>
          <w:lang w:val="fr-FR"/>
        </w:rPr>
        <w:t xml:space="preserve">loi de </w:t>
      </w:r>
      <w:r w:rsidR="008342B8" w:rsidRPr="00DD03D6">
        <w:rPr>
          <w:b/>
          <w:bCs/>
          <w:noProof/>
          <w:lang w:val="fr-FR"/>
        </w:rPr>
        <w:t>2007</w:t>
      </w:r>
      <w:r w:rsidR="008342B8" w:rsidRPr="00DD03D6">
        <w:rPr>
          <w:noProof/>
          <w:lang w:val="fr-FR"/>
        </w:rPr>
        <w:t xml:space="preserve"> </w:t>
      </w:r>
      <w:r w:rsidR="00F84539" w:rsidRPr="00F84539">
        <w:rPr>
          <w:b/>
          <w:noProof/>
          <w:lang w:val="fr-FR"/>
        </w:rPr>
        <w:t>portant modification de la loi</w:t>
      </w:r>
      <w:r w:rsidR="00F84539">
        <w:rPr>
          <w:noProof/>
          <w:lang w:val="fr-FR"/>
        </w:rPr>
        <w:t xml:space="preserve"> </w:t>
      </w:r>
      <w:r w:rsidR="00F84539">
        <w:rPr>
          <w:b/>
          <w:bCs/>
          <w:noProof/>
          <w:lang w:val="fr-FR"/>
        </w:rPr>
        <w:t>sur le droit pénal</w:t>
      </w:r>
      <w:r w:rsidR="00F84539">
        <w:rPr>
          <w:noProof/>
          <w:lang w:val="fr-FR"/>
        </w:rPr>
        <w:t xml:space="preserve"> </w:t>
      </w:r>
      <w:r w:rsidR="00F84539" w:rsidRPr="0003610D">
        <w:rPr>
          <w:b/>
          <w:noProof/>
          <w:lang w:val="fr-FR"/>
        </w:rPr>
        <w:t>(infractions sexuelles)</w:t>
      </w:r>
      <w:r w:rsidR="00F84539">
        <w:rPr>
          <w:noProof/>
          <w:lang w:val="fr-FR"/>
        </w:rPr>
        <w:t xml:space="preserve"> a alourdi les peines prévues par la loi de 2006 pour les tentatives d’infraction </w:t>
      </w:r>
      <w:r w:rsidR="00E62E0D">
        <w:rPr>
          <w:noProof/>
          <w:lang w:val="fr-FR"/>
        </w:rPr>
        <w:t>et actualisé l’infraction consistant à rencontrer un enfant à des fins d’exploitation sexuelle ou à voyager dans cette intention</w:t>
      </w:r>
      <w:r w:rsidR="008342B8" w:rsidRPr="00DD03D6">
        <w:rPr>
          <w:noProof/>
          <w:lang w:val="fr-FR"/>
        </w:rPr>
        <w:t xml:space="preserve">. </w:t>
      </w:r>
    </w:p>
    <w:p w:rsidR="008342B8" w:rsidRPr="00DD03D6" w:rsidRDefault="0003610D" w:rsidP="00CF0BB1">
      <w:pPr>
        <w:pStyle w:val="Bullet1G"/>
        <w:tabs>
          <w:tab w:val="clear" w:pos="1701"/>
        </w:tabs>
        <w:ind w:left="1843" w:hanging="142"/>
        <w:rPr>
          <w:noProof/>
          <w:lang w:val="fr-FR"/>
        </w:rPr>
      </w:pPr>
      <w:r>
        <w:rPr>
          <w:bCs/>
          <w:noProof/>
          <w:lang w:val="fr-FR"/>
        </w:rPr>
        <w:t>La</w:t>
      </w:r>
      <w:r w:rsidRPr="00DD03D6">
        <w:rPr>
          <w:b/>
          <w:bCs/>
          <w:noProof/>
          <w:lang w:val="fr-FR"/>
        </w:rPr>
        <w:t xml:space="preserve"> </w:t>
      </w:r>
      <w:r w:rsidR="00E62E0D">
        <w:rPr>
          <w:b/>
          <w:bCs/>
          <w:noProof/>
          <w:lang w:val="fr-FR"/>
        </w:rPr>
        <w:t xml:space="preserve">loi de </w:t>
      </w:r>
      <w:r w:rsidR="00E62E0D" w:rsidRPr="00DD03D6">
        <w:rPr>
          <w:b/>
          <w:bCs/>
          <w:noProof/>
          <w:lang w:val="fr-FR"/>
        </w:rPr>
        <w:t>2007</w:t>
      </w:r>
      <w:r w:rsidR="00E62E0D" w:rsidRPr="00DD03D6">
        <w:rPr>
          <w:noProof/>
          <w:lang w:val="fr-FR"/>
        </w:rPr>
        <w:t xml:space="preserve"> </w:t>
      </w:r>
      <w:r w:rsidR="00E62E0D" w:rsidRPr="00F84539">
        <w:rPr>
          <w:b/>
          <w:noProof/>
          <w:lang w:val="fr-FR"/>
        </w:rPr>
        <w:t>portant modification de la loi</w:t>
      </w:r>
      <w:r w:rsidR="00E62E0D">
        <w:rPr>
          <w:noProof/>
          <w:lang w:val="fr-FR"/>
        </w:rPr>
        <w:t xml:space="preserve"> </w:t>
      </w:r>
      <w:r w:rsidR="00E62E0D">
        <w:rPr>
          <w:b/>
          <w:bCs/>
          <w:noProof/>
          <w:lang w:val="fr-FR"/>
        </w:rPr>
        <w:t xml:space="preserve">sur la protection de l’enfance </w:t>
      </w:r>
      <w:r w:rsidR="00E62E0D">
        <w:rPr>
          <w:noProof/>
          <w:lang w:val="fr-FR"/>
        </w:rPr>
        <w:t>a modifié la loi de 1991 sur la protection de l’enfance et la loi de 2001 sur les enfants</w:t>
      </w:r>
      <w:r w:rsidR="008342B8" w:rsidRPr="00DD03D6">
        <w:rPr>
          <w:noProof/>
          <w:lang w:val="fr-FR"/>
        </w:rPr>
        <w:t xml:space="preserve">. </w:t>
      </w:r>
      <w:r w:rsidR="00E62E0D">
        <w:rPr>
          <w:noProof/>
          <w:lang w:val="fr-FR"/>
        </w:rPr>
        <w:t>Elle prévoit pour l’essentiel qu’un parent d’accueil ou un membre de la famille qui a pris en charge un enfant pendant un</w:t>
      </w:r>
      <w:r w:rsidR="00CF0BB1">
        <w:rPr>
          <w:noProof/>
          <w:lang w:val="fr-FR"/>
        </w:rPr>
        <w:t>e période ininterrompue de cinq </w:t>
      </w:r>
      <w:r w:rsidR="00E62E0D">
        <w:rPr>
          <w:noProof/>
          <w:lang w:val="fr-FR"/>
        </w:rPr>
        <w:t>ans, l’enfant lui ayant été confié par la Direction des services de santé</w:t>
      </w:r>
      <w:r w:rsidR="00E62E0D" w:rsidRPr="00DD03D6">
        <w:rPr>
          <w:noProof/>
          <w:lang w:val="fr-FR"/>
        </w:rPr>
        <w:t xml:space="preserve">, </w:t>
      </w:r>
      <w:r w:rsidR="00E62E0D">
        <w:rPr>
          <w:noProof/>
          <w:lang w:val="fr-FR"/>
        </w:rPr>
        <w:t>peut demander à un tribunal de rendre une ordonnance d’extension d’autonomie en ce qui concerne la protection de l’enfant</w:t>
      </w:r>
      <w:r w:rsidR="00E62E0D" w:rsidRPr="00DD03D6">
        <w:rPr>
          <w:noProof/>
          <w:lang w:val="fr-FR"/>
        </w:rPr>
        <w:t xml:space="preserve">. </w:t>
      </w:r>
      <w:r w:rsidR="00E62E0D">
        <w:rPr>
          <w:noProof/>
          <w:lang w:val="fr-FR"/>
        </w:rPr>
        <w:t xml:space="preserve">Cette loi a modifié l’article </w:t>
      </w:r>
      <w:r w:rsidR="00E62E0D" w:rsidRPr="00DD03D6">
        <w:rPr>
          <w:noProof/>
          <w:lang w:val="fr-FR"/>
        </w:rPr>
        <w:t xml:space="preserve">77 </w:t>
      </w:r>
      <w:r w:rsidR="00E62E0D">
        <w:rPr>
          <w:noProof/>
          <w:lang w:val="fr-FR"/>
        </w:rPr>
        <w:t>de la loi de 2001 sur les enfants</w:t>
      </w:r>
      <w:r w:rsidR="00E62E0D" w:rsidRPr="00DD03D6">
        <w:rPr>
          <w:noProof/>
          <w:lang w:val="fr-FR"/>
        </w:rPr>
        <w:t xml:space="preserve"> </w:t>
      </w:r>
      <w:r w:rsidR="00E62E0D">
        <w:rPr>
          <w:noProof/>
          <w:lang w:val="fr-FR"/>
        </w:rPr>
        <w:t>pour ce qui est de</w:t>
      </w:r>
      <w:r w:rsidR="000507C6">
        <w:rPr>
          <w:noProof/>
          <w:lang w:val="fr-FR"/>
        </w:rPr>
        <w:t xml:space="preserve">s conférences familiales </w:t>
      </w:r>
      <w:r w:rsidR="00E62E0D">
        <w:rPr>
          <w:noProof/>
          <w:lang w:val="fr-FR"/>
        </w:rPr>
        <w:t>en matière de protection</w:t>
      </w:r>
      <w:r w:rsidR="000507C6">
        <w:rPr>
          <w:noProof/>
          <w:lang w:val="fr-FR"/>
        </w:rPr>
        <w:t>,</w:t>
      </w:r>
      <w:r w:rsidR="00700217">
        <w:rPr>
          <w:b/>
          <w:noProof/>
          <w:lang w:val="fr-FR"/>
        </w:rPr>
        <w:t xml:space="preserve"> </w:t>
      </w:r>
      <w:r w:rsidR="00700217">
        <w:rPr>
          <w:noProof/>
          <w:lang w:val="fr-FR"/>
        </w:rPr>
        <w:t xml:space="preserve">ainsi que </w:t>
      </w:r>
      <w:r w:rsidR="00E62E0D">
        <w:rPr>
          <w:noProof/>
          <w:lang w:val="fr-FR"/>
        </w:rPr>
        <w:t xml:space="preserve">l’article </w:t>
      </w:r>
      <w:r w:rsidR="00E62E0D" w:rsidRPr="00DD03D6">
        <w:rPr>
          <w:noProof/>
          <w:lang w:val="fr-FR"/>
        </w:rPr>
        <w:t xml:space="preserve">29 </w:t>
      </w:r>
      <w:r w:rsidR="00E62E0D">
        <w:rPr>
          <w:noProof/>
          <w:lang w:val="fr-FR"/>
        </w:rPr>
        <w:t>de la loi de 1991sur la protection de l’enfance</w:t>
      </w:r>
      <w:r w:rsidR="00E62E0D" w:rsidRPr="00DD03D6">
        <w:rPr>
          <w:noProof/>
          <w:lang w:val="fr-FR"/>
        </w:rPr>
        <w:t xml:space="preserve">, </w:t>
      </w:r>
      <w:r w:rsidR="00E62E0D">
        <w:rPr>
          <w:noProof/>
          <w:lang w:val="fr-FR"/>
        </w:rPr>
        <w:t>qui dispose que les procédures judiciaires relatives à la protection de l’enfance doivent se tenir à huis clos, en y insérant une disposition autorisant des personnes spécifiées à rendre compte des débats dans des circonstances spécifiées</w:t>
      </w:r>
      <w:r w:rsidR="008342B8" w:rsidRPr="00DD03D6">
        <w:rPr>
          <w:noProof/>
          <w:lang w:val="fr-FR"/>
        </w:rPr>
        <w:t>.</w:t>
      </w:r>
    </w:p>
    <w:p w:rsidR="008342B8" w:rsidRPr="00DD03D6" w:rsidRDefault="0003610D" w:rsidP="00CF0BB1">
      <w:pPr>
        <w:pStyle w:val="Bullet1G"/>
        <w:tabs>
          <w:tab w:val="clear" w:pos="1701"/>
        </w:tabs>
        <w:ind w:left="1843" w:hanging="142"/>
        <w:rPr>
          <w:rStyle w:val="smallcaps"/>
          <w:noProof/>
          <w:lang w:val="fr-FR"/>
        </w:rPr>
      </w:pPr>
      <w:r>
        <w:rPr>
          <w:bCs/>
          <w:noProof/>
          <w:lang w:val="fr-FR"/>
        </w:rPr>
        <w:t>La</w:t>
      </w:r>
      <w:r w:rsidRPr="00DD03D6">
        <w:rPr>
          <w:b/>
          <w:bCs/>
          <w:noProof/>
          <w:lang w:val="fr-FR"/>
        </w:rPr>
        <w:t xml:space="preserve"> </w:t>
      </w:r>
      <w:r w:rsidR="00700217">
        <w:rPr>
          <w:b/>
          <w:bCs/>
          <w:noProof/>
          <w:lang w:val="fr-FR"/>
        </w:rPr>
        <w:t xml:space="preserve">loi de 2007 sur la santé </w:t>
      </w:r>
      <w:r w:rsidR="00700217">
        <w:rPr>
          <w:noProof/>
          <w:lang w:val="fr-FR"/>
        </w:rPr>
        <w:t>a donné une base légale à l’Inspection des services sociaux en tant que Bureau de l’Inspecteur en chef des services sociaux, qui relève du Bureau de l’information sanitaire et de la qualité des services sanitaires</w:t>
      </w:r>
      <w:r w:rsidR="008342B8" w:rsidRPr="00DD03D6">
        <w:rPr>
          <w:rStyle w:val="smallcaps"/>
          <w:noProof/>
          <w:lang w:val="fr-FR"/>
        </w:rPr>
        <w:t xml:space="preserve">. </w:t>
      </w:r>
      <w:r w:rsidR="00700217">
        <w:rPr>
          <w:rStyle w:val="smallcaps"/>
          <w:noProof/>
          <w:lang w:val="fr-FR"/>
        </w:rPr>
        <w:t xml:space="preserve">Cela est conforme aux </w:t>
      </w:r>
      <w:r w:rsidR="00B82FB8" w:rsidRPr="00DD03D6">
        <w:rPr>
          <w:rStyle w:val="smallcaps"/>
          <w:noProof/>
          <w:lang w:val="fr-FR"/>
        </w:rPr>
        <w:t xml:space="preserve">observations </w:t>
      </w:r>
      <w:r w:rsidR="00700217">
        <w:rPr>
          <w:rStyle w:val="smallcaps"/>
          <w:noProof/>
          <w:lang w:val="fr-FR"/>
        </w:rPr>
        <w:t xml:space="preserve">finales du Comité des droits de l’enfant sur le deuxième rapport périodique de l’Irlande </w:t>
      </w:r>
      <w:r w:rsidR="008342B8" w:rsidRPr="00DD03D6">
        <w:rPr>
          <w:rStyle w:val="smallcaps"/>
          <w:noProof/>
          <w:lang w:val="fr-FR"/>
        </w:rPr>
        <w:t>(</w:t>
      </w:r>
      <w:r w:rsidR="00700217">
        <w:rPr>
          <w:rStyle w:val="smallcaps"/>
          <w:noProof/>
          <w:lang w:val="fr-FR"/>
        </w:rPr>
        <w:t>Bureau national des enfants</w:t>
      </w:r>
      <w:r w:rsidR="008342B8" w:rsidRPr="00DD03D6">
        <w:rPr>
          <w:rStyle w:val="smallcaps"/>
          <w:noProof/>
          <w:lang w:val="fr-FR"/>
        </w:rPr>
        <w:t xml:space="preserve">, 2005a). </w:t>
      </w:r>
      <w:r w:rsidR="007F31EC">
        <w:rPr>
          <w:rStyle w:val="smallcaps"/>
          <w:noProof/>
          <w:lang w:val="fr-FR"/>
        </w:rPr>
        <w:t xml:space="preserve">L’Inspection des services sociaux effectue des </w:t>
      </w:r>
      <w:r w:rsidR="008342B8" w:rsidRPr="00DD03D6">
        <w:rPr>
          <w:rStyle w:val="smallcaps"/>
          <w:noProof/>
          <w:lang w:val="fr-FR"/>
        </w:rPr>
        <w:t xml:space="preserve">inspections </w:t>
      </w:r>
      <w:r w:rsidR="007F31EC">
        <w:rPr>
          <w:rStyle w:val="smallcaps"/>
          <w:noProof/>
          <w:lang w:val="fr-FR"/>
        </w:rPr>
        <w:t xml:space="preserve">dans </w:t>
      </w:r>
      <w:r w:rsidR="007F31EC">
        <w:rPr>
          <w:noProof/>
          <w:lang w:val="fr-FR"/>
        </w:rPr>
        <w:t xml:space="preserve">les structures d’accueil pour enfants </w:t>
      </w:r>
      <w:r w:rsidR="007F31EC" w:rsidRPr="00DD03D6">
        <w:rPr>
          <w:noProof/>
          <w:lang w:val="fr-FR"/>
        </w:rPr>
        <w:t>(</w:t>
      </w:r>
      <w:r w:rsidR="007F31EC">
        <w:rPr>
          <w:noProof/>
          <w:lang w:val="fr-FR"/>
        </w:rPr>
        <w:t>c’est-à-dire les structures gérées par la Direction des services de santé, qui a remplacé les bureaux régionaux de la santé</w:t>
      </w:r>
      <w:r w:rsidR="007F31EC" w:rsidRPr="00DD03D6">
        <w:rPr>
          <w:noProof/>
          <w:lang w:val="fr-FR"/>
        </w:rPr>
        <w:t>)</w:t>
      </w:r>
      <w:r w:rsidR="008342B8" w:rsidRPr="00DD03D6">
        <w:rPr>
          <w:rStyle w:val="smallcaps"/>
          <w:noProof/>
          <w:lang w:val="fr-FR"/>
        </w:rPr>
        <w:t xml:space="preserve">, </w:t>
      </w:r>
      <w:r w:rsidR="007F31EC">
        <w:rPr>
          <w:rStyle w:val="smallcaps"/>
          <w:noProof/>
          <w:lang w:val="fr-FR"/>
        </w:rPr>
        <w:t xml:space="preserve">en vertu de </w:t>
      </w:r>
      <w:r w:rsidR="007F31EC">
        <w:rPr>
          <w:noProof/>
          <w:lang w:val="fr-FR"/>
        </w:rPr>
        <w:t xml:space="preserve">l’article </w:t>
      </w:r>
      <w:r w:rsidR="007F31EC" w:rsidRPr="00DD03D6">
        <w:rPr>
          <w:noProof/>
          <w:lang w:val="fr-FR"/>
        </w:rPr>
        <w:t xml:space="preserve">69 </w:t>
      </w:r>
      <w:r w:rsidR="007F31EC">
        <w:rPr>
          <w:noProof/>
          <w:lang w:val="fr-FR"/>
        </w:rPr>
        <w:t>de la loi de 1991sur la protection de l’enfance</w:t>
      </w:r>
      <w:r w:rsidR="008342B8" w:rsidRPr="00DD03D6">
        <w:rPr>
          <w:rStyle w:val="smallcaps"/>
          <w:noProof/>
          <w:lang w:val="fr-FR"/>
        </w:rPr>
        <w:t>.</w:t>
      </w:r>
    </w:p>
    <w:p w:rsidR="008342B8" w:rsidRPr="00DD03D6" w:rsidRDefault="0003610D" w:rsidP="00CF0BB1">
      <w:pPr>
        <w:pStyle w:val="Bullet1G"/>
        <w:tabs>
          <w:tab w:val="clear" w:pos="1701"/>
        </w:tabs>
        <w:ind w:left="1843" w:hanging="142"/>
        <w:rPr>
          <w:noProof/>
          <w:lang w:val="fr-FR" w:eastAsia="en-GB"/>
        </w:rPr>
      </w:pPr>
      <w:r>
        <w:rPr>
          <w:bCs/>
          <w:noProof/>
          <w:lang w:val="fr-FR"/>
        </w:rPr>
        <w:t>La</w:t>
      </w:r>
      <w:r w:rsidRPr="00DD03D6">
        <w:rPr>
          <w:b/>
          <w:bCs/>
          <w:noProof/>
          <w:lang w:val="fr-FR"/>
        </w:rPr>
        <w:t xml:space="preserve"> </w:t>
      </w:r>
      <w:r w:rsidR="007F31EC">
        <w:rPr>
          <w:b/>
          <w:bCs/>
          <w:noProof/>
          <w:lang w:val="fr-FR"/>
        </w:rPr>
        <w:t xml:space="preserve">loi de </w:t>
      </w:r>
      <w:r w:rsidR="008342B8" w:rsidRPr="00DD03D6">
        <w:rPr>
          <w:b/>
          <w:bCs/>
          <w:noProof/>
          <w:lang w:val="fr-FR"/>
        </w:rPr>
        <w:t>2010</w:t>
      </w:r>
      <w:r w:rsidR="007F31EC">
        <w:rPr>
          <w:b/>
          <w:bCs/>
          <w:noProof/>
          <w:lang w:val="fr-FR"/>
        </w:rPr>
        <w:t xml:space="preserve"> sur l’adoption</w:t>
      </w:r>
      <w:r w:rsidR="007F31EC">
        <w:rPr>
          <w:noProof/>
          <w:lang w:val="fr-FR"/>
        </w:rPr>
        <w:t>, qui a transposé les dispositions de la Convention de La Haye</w:t>
      </w:r>
      <w:r w:rsidR="000507C6" w:rsidRPr="000507C6">
        <w:rPr>
          <w:noProof/>
          <w:lang w:val="fr-FR"/>
        </w:rPr>
        <w:t xml:space="preserve"> </w:t>
      </w:r>
      <w:r w:rsidR="000507C6">
        <w:rPr>
          <w:noProof/>
          <w:lang w:val="fr-FR"/>
        </w:rPr>
        <w:t>sur la p</w:t>
      </w:r>
      <w:r w:rsidR="000507C6" w:rsidRPr="00DD03D6">
        <w:rPr>
          <w:noProof/>
          <w:lang w:val="fr-FR"/>
        </w:rPr>
        <w:t xml:space="preserve">rotection </w:t>
      </w:r>
      <w:r w:rsidR="000507C6">
        <w:rPr>
          <w:noProof/>
          <w:lang w:val="fr-FR"/>
        </w:rPr>
        <w:t>des enfants et la c</w:t>
      </w:r>
      <w:r w:rsidR="000507C6" w:rsidRPr="00DD03D6">
        <w:rPr>
          <w:noProof/>
          <w:lang w:val="fr-FR"/>
        </w:rPr>
        <w:t>oop</w:t>
      </w:r>
      <w:r w:rsidR="000507C6">
        <w:rPr>
          <w:noProof/>
          <w:lang w:val="fr-FR"/>
        </w:rPr>
        <w:t>é</w:t>
      </w:r>
      <w:r w:rsidR="000507C6" w:rsidRPr="00DD03D6">
        <w:rPr>
          <w:noProof/>
          <w:lang w:val="fr-FR"/>
        </w:rPr>
        <w:t xml:space="preserve">ration </w:t>
      </w:r>
      <w:r w:rsidR="000507C6">
        <w:rPr>
          <w:noProof/>
          <w:lang w:val="fr-FR"/>
        </w:rPr>
        <w:t>e</w:t>
      </w:r>
      <w:r w:rsidR="000507C6" w:rsidRPr="00DD03D6">
        <w:rPr>
          <w:noProof/>
          <w:lang w:val="fr-FR"/>
        </w:rPr>
        <w:t xml:space="preserve">n </w:t>
      </w:r>
      <w:r w:rsidR="000507C6">
        <w:rPr>
          <w:noProof/>
          <w:lang w:val="fr-FR"/>
        </w:rPr>
        <w:t>matière d’adoption internationale</w:t>
      </w:r>
      <w:r w:rsidR="007F31EC">
        <w:rPr>
          <w:noProof/>
          <w:lang w:val="fr-FR"/>
        </w:rPr>
        <w:t xml:space="preserve">, vise à fournir un cadre qui garantisse que les procédures appropriées ont été respectées et que toutes les </w:t>
      </w:r>
      <w:r w:rsidR="007F31EC" w:rsidRPr="00DD03D6">
        <w:rPr>
          <w:noProof/>
          <w:lang w:val="fr-FR"/>
        </w:rPr>
        <w:t xml:space="preserve">adoptions </w:t>
      </w:r>
      <w:r w:rsidR="007F31EC">
        <w:rPr>
          <w:noProof/>
          <w:lang w:val="fr-FR"/>
        </w:rPr>
        <w:t>correspondent à l’intérêt supérieur de l’enfant</w:t>
      </w:r>
      <w:r w:rsidR="007F31EC" w:rsidRPr="00DD03D6">
        <w:rPr>
          <w:noProof/>
          <w:lang w:val="fr-FR"/>
        </w:rPr>
        <w:t xml:space="preserve">. </w:t>
      </w:r>
      <w:r w:rsidR="007F31EC">
        <w:rPr>
          <w:noProof/>
          <w:lang w:val="fr-FR"/>
        </w:rPr>
        <w:t xml:space="preserve">Elle donne </w:t>
      </w:r>
      <w:r w:rsidR="007F31EC" w:rsidRPr="00DD03D6">
        <w:rPr>
          <w:noProof/>
          <w:lang w:val="fr-FR"/>
        </w:rPr>
        <w:t xml:space="preserve">force </w:t>
      </w:r>
      <w:r w:rsidR="007F31EC">
        <w:rPr>
          <w:noProof/>
          <w:lang w:val="fr-FR"/>
        </w:rPr>
        <w:t xml:space="preserve">de loi à la </w:t>
      </w:r>
      <w:r w:rsidR="007F31EC" w:rsidRPr="00DD03D6">
        <w:rPr>
          <w:noProof/>
          <w:lang w:val="fr-FR"/>
        </w:rPr>
        <w:t xml:space="preserve">Convention </w:t>
      </w:r>
      <w:r w:rsidR="007F31EC">
        <w:rPr>
          <w:noProof/>
          <w:lang w:val="fr-FR"/>
        </w:rPr>
        <w:t>de La Haye</w:t>
      </w:r>
      <w:r w:rsidR="007F31EC" w:rsidRPr="00DD03D6">
        <w:rPr>
          <w:noProof/>
          <w:lang w:val="fr-FR"/>
        </w:rPr>
        <w:t xml:space="preserve">, </w:t>
      </w:r>
      <w:r w:rsidR="007F31EC">
        <w:rPr>
          <w:noProof/>
          <w:lang w:val="fr-FR"/>
        </w:rPr>
        <w:t xml:space="preserve">qui est entrée en vigueur en Irlande le </w:t>
      </w:r>
      <w:r w:rsidR="007F31EC" w:rsidRPr="00DD03D6">
        <w:rPr>
          <w:noProof/>
          <w:lang w:val="fr-FR"/>
        </w:rPr>
        <w:t>1</w:t>
      </w:r>
      <w:r w:rsidR="007F31EC" w:rsidRPr="00654E30">
        <w:rPr>
          <w:noProof/>
          <w:vertAlign w:val="superscript"/>
          <w:lang w:val="fr-FR"/>
        </w:rPr>
        <w:t>er</w:t>
      </w:r>
      <w:r w:rsidR="007F31EC">
        <w:rPr>
          <w:noProof/>
          <w:lang w:val="fr-FR"/>
        </w:rPr>
        <w:t xml:space="preserve"> novembre 2010</w:t>
      </w:r>
      <w:r w:rsidR="008342B8" w:rsidRPr="00DD03D6">
        <w:rPr>
          <w:noProof/>
          <w:lang w:val="fr-FR" w:eastAsia="en-GB"/>
        </w:rPr>
        <w:t>.</w:t>
      </w:r>
    </w:p>
    <w:p w:rsidR="008342B8" w:rsidRPr="00DD03D6" w:rsidRDefault="0003610D" w:rsidP="00CF0BB1">
      <w:pPr>
        <w:pStyle w:val="Bullet1G"/>
        <w:tabs>
          <w:tab w:val="clear" w:pos="1701"/>
        </w:tabs>
        <w:ind w:left="1843" w:hanging="142"/>
        <w:rPr>
          <w:rStyle w:val="smallcaps"/>
          <w:noProof/>
          <w:lang w:val="fr-FR" w:eastAsia="en-GB"/>
        </w:rPr>
      </w:pPr>
      <w:r>
        <w:rPr>
          <w:bCs/>
          <w:noProof/>
          <w:lang w:val="fr-FR"/>
        </w:rPr>
        <w:lastRenderedPageBreak/>
        <w:t>La</w:t>
      </w:r>
      <w:r w:rsidRPr="00DD03D6">
        <w:rPr>
          <w:b/>
          <w:bCs/>
          <w:noProof/>
          <w:lang w:val="fr-FR" w:eastAsia="en-GB"/>
        </w:rPr>
        <w:t xml:space="preserve"> </w:t>
      </w:r>
      <w:r w:rsidR="007F31EC">
        <w:rPr>
          <w:b/>
          <w:bCs/>
          <w:noProof/>
          <w:lang w:val="fr-FR" w:eastAsia="en-GB"/>
        </w:rPr>
        <w:t xml:space="preserve">loi de </w:t>
      </w:r>
      <w:r w:rsidR="008342B8" w:rsidRPr="00DD03D6">
        <w:rPr>
          <w:b/>
          <w:bCs/>
          <w:noProof/>
          <w:lang w:val="fr-FR" w:eastAsia="en-GB"/>
        </w:rPr>
        <w:t>2010</w:t>
      </w:r>
      <w:r w:rsidR="007F31EC">
        <w:rPr>
          <w:b/>
          <w:bCs/>
          <w:noProof/>
          <w:lang w:val="fr-FR" w:eastAsia="en-GB"/>
        </w:rPr>
        <w:t xml:space="preserve"> sur la procédure pénale</w:t>
      </w:r>
      <w:r w:rsidR="008342B8" w:rsidRPr="00DD03D6">
        <w:rPr>
          <w:noProof/>
          <w:lang w:val="fr-FR" w:eastAsia="en-GB"/>
        </w:rPr>
        <w:t xml:space="preserve"> </w:t>
      </w:r>
      <w:r w:rsidR="007F31EC">
        <w:rPr>
          <w:noProof/>
          <w:lang w:val="fr-FR" w:eastAsia="en-GB"/>
        </w:rPr>
        <w:t xml:space="preserve">a modifié la loi sur le témoignage des victimes </w:t>
      </w:r>
      <w:r w:rsidR="001E791B">
        <w:rPr>
          <w:noProof/>
          <w:lang w:val="fr-FR" w:eastAsia="en-GB"/>
        </w:rPr>
        <w:t xml:space="preserve">sur l’impact des infractions </w:t>
      </w:r>
      <w:r w:rsidR="007F31EC">
        <w:rPr>
          <w:noProof/>
          <w:lang w:val="fr-FR" w:eastAsia="en-GB"/>
        </w:rPr>
        <w:t>et contient une disposition particulière concernant les enfants victimes d’infractions</w:t>
      </w:r>
      <w:r w:rsidR="001E791B">
        <w:rPr>
          <w:noProof/>
          <w:lang w:val="fr-FR" w:eastAsia="en-GB"/>
        </w:rPr>
        <w:t>, en vertu de laquelle un enfant qui souhaite déposer devant le tribunal dont émane la sentence au sujet de l’impact de l’infraction peut généralement le faire par liaison télévisuelle directe</w:t>
      </w:r>
      <w:r w:rsidR="008342B8" w:rsidRPr="00DD03D6">
        <w:rPr>
          <w:noProof/>
          <w:lang w:val="fr-FR" w:eastAsia="en-GB"/>
        </w:rPr>
        <w:t xml:space="preserve">. </w:t>
      </w:r>
      <w:r w:rsidR="001E791B">
        <w:rPr>
          <w:noProof/>
          <w:lang w:val="fr-FR" w:eastAsia="en-GB"/>
        </w:rPr>
        <w:t>Dans le cas d’un enfant âgé de moins de 14 ans, l’enfant ou le parent ou tuteur peut déposer</w:t>
      </w:r>
      <w:r w:rsidR="008342B8" w:rsidRPr="00DD03D6">
        <w:rPr>
          <w:noProof/>
          <w:lang w:val="fr-FR" w:eastAsia="en-GB"/>
        </w:rPr>
        <w:t>.</w:t>
      </w:r>
    </w:p>
    <w:p w:rsidR="008342B8" w:rsidRPr="00DD03D6" w:rsidRDefault="0003610D" w:rsidP="00CF0BB1">
      <w:pPr>
        <w:pStyle w:val="Bullet1G"/>
        <w:tabs>
          <w:tab w:val="clear" w:pos="1701"/>
        </w:tabs>
        <w:ind w:left="1843" w:hanging="142"/>
        <w:rPr>
          <w:noProof/>
          <w:lang w:val="fr-FR"/>
        </w:rPr>
      </w:pPr>
      <w:r>
        <w:rPr>
          <w:bCs/>
          <w:noProof/>
          <w:lang w:val="fr-FR"/>
        </w:rPr>
        <w:t>La</w:t>
      </w:r>
      <w:r w:rsidRPr="00DD03D6">
        <w:rPr>
          <w:b/>
          <w:bCs/>
          <w:noProof/>
          <w:lang w:val="fr-FR"/>
        </w:rPr>
        <w:t xml:space="preserve"> </w:t>
      </w:r>
      <w:r w:rsidR="006B05FB" w:rsidRPr="006B05FB">
        <w:rPr>
          <w:b/>
          <w:noProof/>
          <w:lang w:val="fr-FR"/>
        </w:rPr>
        <w:t>loi de 2011 portant modification de la loi sur la protection de l’enfance</w:t>
      </w:r>
      <w:r w:rsidR="006B05FB" w:rsidRPr="00DD03D6">
        <w:rPr>
          <w:noProof/>
          <w:lang w:val="fr-FR"/>
        </w:rPr>
        <w:t xml:space="preserve"> </w:t>
      </w:r>
      <w:r w:rsidR="006B05FB">
        <w:rPr>
          <w:noProof/>
          <w:lang w:val="fr-FR"/>
        </w:rPr>
        <w:t xml:space="preserve">a mis en place un cadre légal permettant à la </w:t>
      </w:r>
      <w:r w:rsidR="006B05FB" w:rsidRPr="00660134">
        <w:rPr>
          <w:i/>
          <w:noProof/>
          <w:lang w:val="fr-FR"/>
        </w:rPr>
        <w:t>High Court</w:t>
      </w:r>
      <w:r w:rsidR="006B05FB" w:rsidRPr="00DD03D6">
        <w:rPr>
          <w:noProof/>
          <w:lang w:val="fr-FR"/>
        </w:rPr>
        <w:t xml:space="preserve"> </w:t>
      </w:r>
      <w:r w:rsidR="006B05FB">
        <w:rPr>
          <w:noProof/>
          <w:lang w:val="fr-FR"/>
        </w:rPr>
        <w:t xml:space="preserve">de connaître d’affaires liées à la protection spéciale sans exercer sa compétence inhérente. Cette loi prévoit l’enregistrement et l’inspection d’unités de protection spéciale par le </w:t>
      </w:r>
      <w:r w:rsidR="006B05FB" w:rsidRPr="00C030A3">
        <w:rPr>
          <w:lang w:val="fr-FR"/>
        </w:rPr>
        <w:t>Bureau de l’information sanitaire et de la qualité des services sanitaires</w:t>
      </w:r>
      <w:r w:rsidR="008342B8" w:rsidRPr="00DD03D6">
        <w:rPr>
          <w:noProof/>
          <w:lang w:val="fr-FR"/>
        </w:rPr>
        <w:t>.</w:t>
      </w:r>
    </w:p>
    <w:p w:rsidR="008342B8" w:rsidRPr="00DD03D6" w:rsidRDefault="0003610D" w:rsidP="00CF0BB1">
      <w:pPr>
        <w:pStyle w:val="Bullet1G"/>
        <w:tabs>
          <w:tab w:val="clear" w:pos="1701"/>
        </w:tabs>
        <w:ind w:left="1843" w:hanging="142"/>
        <w:rPr>
          <w:rStyle w:val="smallcaps"/>
          <w:noProof/>
          <w:lang w:val="fr-FR"/>
        </w:rPr>
      </w:pPr>
      <w:r w:rsidRPr="00CF0BB1">
        <w:rPr>
          <w:noProof/>
          <w:lang w:val="fr-FR"/>
        </w:rPr>
        <w:t>La</w:t>
      </w:r>
      <w:r w:rsidRPr="00DD03D6">
        <w:rPr>
          <w:b/>
          <w:bCs/>
          <w:noProof/>
          <w:lang w:val="fr-FR"/>
        </w:rPr>
        <w:t xml:space="preserve"> </w:t>
      </w:r>
      <w:r w:rsidR="006B05FB" w:rsidRPr="006B05FB">
        <w:rPr>
          <w:b/>
          <w:noProof/>
          <w:lang w:val="fr-FR"/>
        </w:rPr>
        <w:t>loi de 2012 sur la justice pénale (mutilations génitales féminines</w:t>
      </w:r>
      <w:r w:rsidR="006B05FB">
        <w:rPr>
          <w:b/>
          <w:noProof/>
          <w:lang w:val="fr-FR"/>
        </w:rPr>
        <w:t>)</w:t>
      </w:r>
      <w:r w:rsidR="006B05FB" w:rsidRPr="00DD03D6">
        <w:rPr>
          <w:noProof/>
          <w:lang w:val="fr-FR"/>
        </w:rPr>
        <w:t xml:space="preserve"> </w:t>
      </w:r>
      <w:r w:rsidR="006B05FB">
        <w:rPr>
          <w:noProof/>
          <w:lang w:val="fr-FR"/>
        </w:rPr>
        <w:t xml:space="preserve">érige en infraction pénale le fait de faire sortir une fille du pays pour lui faire subir une MGF, rend passible de poursuites toute personne qui pratique cet acte dans un autre pays où les MGF sont illégales sur une femme/fille ayant sa résidence habituelle en Irlande, élimine l’argument du consentement ou des traditions culturelles </w:t>
      </w:r>
      <w:r w:rsidR="0041158E">
        <w:rPr>
          <w:noProof/>
          <w:lang w:val="fr-FR"/>
        </w:rPr>
        <w:t xml:space="preserve">comme moyen de défense, </w:t>
      </w:r>
      <w:r w:rsidR="006B05FB">
        <w:rPr>
          <w:noProof/>
          <w:lang w:val="fr-FR"/>
        </w:rPr>
        <w:t>consid</w:t>
      </w:r>
      <w:r w:rsidR="0041158E">
        <w:rPr>
          <w:noProof/>
          <w:lang w:val="fr-FR"/>
        </w:rPr>
        <w:t xml:space="preserve">ère expressément les MGF </w:t>
      </w:r>
      <w:r w:rsidR="006B05FB">
        <w:rPr>
          <w:noProof/>
          <w:lang w:val="fr-FR"/>
        </w:rPr>
        <w:t xml:space="preserve">comme une </w:t>
      </w:r>
      <w:r w:rsidR="0041158E">
        <w:rPr>
          <w:noProof/>
          <w:lang w:val="fr-FR"/>
        </w:rPr>
        <w:t xml:space="preserve">violation des droits fondamentaux et une </w:t>
      </w:r>
      <w:r w:rsidR="006B05FB">
        <w:rPr>
          <w:noProof/>
          <w:lang w:val="fr-FR"/>
        </w:rPr>
        <w:t>forme de violence sexiste</w:t>
      </w:r>
      <w:r w:rsidR="0041158E">
        <w:rPr>
          <w:noProof/>
          <w:lang w:val="fr-FR"/>
        </w:rPr>
        <w:t xml:space="preserve">, </w:t>
      </w:r>
      <w:r w:rsidR="008342B8" w:rsidRPr="00DD03D6">
        <w:rPr>
          <w:noProof/>
          <w:lang w:val="fr-FR"/>
        </w:rPr>
        <w:t>prot</w:t>
      </w:r>
      <w:r w:rsidR="0041158E">
        <w:rPr>
          <w:noProof/>
          <w:lang w:val="fr-FR"/>
        </w:rPr>
        <w:t xml:space="preserve">ège les </w:t>
      </w:r>
      <w:r w:rsidR="008342B8" w:rsidRPr="00DD03D6">
        <w:rPr>
          <w:noProof/>
          <w:lang w:val="fr-FR"/>
        </w:rPr>
        <w:t>profession</w:t>
      </w:r>
      <w:r w:rsidR="0041158E">
        <w:rPr>
          <w:noProof/>
          <w:lang w:val="fr-FR"/>
        </w:rPr>
        <w:t xml:space="preserve">nels de </w:t>
      </w:r>
      <w:r w:rsidR="000507C6">
        <w:rPr>
          <w:noProof/>
          <w:lang w:val="fr-FR"/>
        </w:rPr>
        <w:t xml:space="preserve">la </w:t>
      </w:r>
      <w:r w:rsidR="0041158E">
        <w:rPr>
          <w:noProof/>
          <w:lang w:val="fr-FR"/>
        </w:rPr>
        <w:t>santé en clarifiant ce que les MGF sont et ce qu’elles ne sont pas, et protège les</w:t>
      </w:r>
      <w:r w:rsidR="000507C6">
        <w:rPr>
          <w:noProof/>
          <w:lang w:val="fr-FR"/>
        </w:rPr>
        <w:t xml:space="preserve"> victimes </w:t>
      </w:r>
      <w:r w:rsidR="0041158E">
        <w:rPr>
          <w:noProof/>
          <w:lang w:val="fr-FR"/>
        </w:rPr>
        <w:t>pendant les procédures judiciaires</w:t>
      </w:r>
      <w:r w:rsidR="008342B8" w:rsidRPr="00DD03D6">
        <w:rPr>
          <w:noProof/>
          <w:lang w:val="fr-FR"/>
        </w:rPr>
        <w:t>.</w:t>
      </w:r>
    </w:p>
    <w:p w:rsidR="008342B8" w:rsidRPr="00DD03D6" w:rsidRDefault="0003610D" w:rsidP="00CF0BB1">
      <w:pPr>
        <w:pStyle w:val="Bullet1G"/>
        <w:tabs>
          <w:tab w:val="clear" w:pos="1701"/>
        </w:tabs>
        <w:ind w:left="1843" w:hanging="142"/>
        <w:rPr>
          <w:noProof/>
          <w:lang w:val="fr-FR" w:eastAsia="en-GB"/>
        </w:rPr>
      </w:pPr>
      <w:r>
        <w:rPr>
          <w:bCs/>
          <w:noProof/>
          <w:lang w:val="fr-FR"/>
        </w:rPr>
        <w:t>La</w:t>
      </w:r>
      <w:r w:rsidRPr="00DD03D6">
        <w:rPr>
          <w:b/>
          <w:bCs/>
          <w:noProof/>
          <w:lang w:val="fr-FR" w:eastAsia="en-GB"/>
        </w:rPr>
        <w:t xml:space="preserve"> </w:t>
      </w:r>
      <w:r w:rsidR="00D4321B" w:rsidRPr="00D4321B">
        <w:rPr>
          <w:b/>
          <w:noProof/>
          <w:lang w:val="fr-FR"/>
        </w:rPr>
        <w:t>loi de 2012 sur la justice pénale (</w:t>
      </w:r>
      <w:r w:rsidR="000507C6">
        <w:rPr>
          <w:b/>
          <w:lang w:val="fr-FR"/>
        </w:rPr>
        <w:t>r</w:t>
      </w:r>
      <w:r w:rsidR="00D4321B" w:rsidRPr="00D4321B">
        <w:rPr>
          <w:b/>
          <w:lang w:val="fr-FR"/>
        </w:rPr>
        <w:t>étention de l’information relative aux infractions commises contre des enfants ou des adultes vulnérables</w:t>
      </w:r>
      <w:r w:rsidR="00D4321B" w:rsidRPr="00D4321B">
        <w:rPr>
          <w:b/>
          <w:noProof/>
          <w:lang w:val="fr-FR"/>
        </w:rPr>
        <w:t>)</w:t>
      </w:r>
      <w:r w:rsidR="00D4321B">
        <w:rPr>
          <w:noProof/>
          <w:lang w:val="fr-FR"/>
        </w:rPr>
        <w:t xml:space="preserve"> </w:t>
      </w:r>
      <w:r w:rsidR="00D4321B">
        <w:rPr>
          <w:bCs/>
          <w:noProof/>
          <w:lang w:val="fr-FR" w:eastAsia="en-GB"/>
        </w:rPr>
        <w:t xml:space="preserve">érige en infraction pénale le fait de ne pas </w:t>
      </w:r>
      <w:r w:rsidR="003B04FF">
        <w:rPr>
          <w:bCs/>
          <w:noProof/>
          <w:lang w:val="fr-FR" w:eastAsia="en-GB"/>
        </w:rPr>
        <w:t xml:space="preserve">communiquer à la </w:t>
      </w:r>
      <w:r w:rsidR="008342B8" w:rsidRPr="00DD03D6">
        <w:rPr>
          <w:noProof/>
          <w:lang w:val="fr-FR" w:eastAsia="en-GB"/>
        </w:rPr>
        <w:t xml:space="preserve">Garda Síochána </w:t>
      </w:r>
      <w:r w:rsidR="003B04FF">
        <w:rPr>
          <w:noProof/>
          <w:lang w:val="fr-FR" w:eastAsia="en-GB"/>
        </w:rPr>
        <w:t>des informations relatives à une infraction pénale grave qui a été commise contre un enfant ou un adulte vulnérable</w:t>
      </w:r>
      <w:r w:rsidR="008342B8" w:rsidRPr="00DD03D6">
        <w:rPr>
          <w:noProof/>
          <w:lang w:val="fr-FR" w:eastAsia="en-GB"/>
        </w:rPr>
        <w:t xml:space="preserve">. </w:t>
      </w:r>
      <w:r w:rsidR="003B04FF">
        <w:rPr>
          <w:noProof/>
          <w:lang w:val="fr-FR" w:eastAsia="en-GB"/>
        </w:rPr>
        <w:t xml:space="preserve">Cette loi a expressément étendu aux enfants et aux autres personnes vulnérables une </w:t>
      </w:r>
      <w:r w:rsidR="008342B8" w:rsidRPr="00DD03D6">
        <w:rPr>
          <w:noProof/>
          <w:lang w:val="fr-FR" w:eastAsia="en-GB"/>
        </w:rPr>
        <w:t xml:space="preserve">protection </w:t>
      </w:r>
      <w:r w:rsidR="003B04FF">
        <w:rPr>
          <w:noProof/>
          <w:lang w:val="fr-FR" w:eastAsia="en-GB"/>
        </w:rPr>
        <w:t>qui existe en droit irlandais depuis la loi de 1998 portant modification de la loi sur les infractions contre l’État</w:t>
      </w:r>
      <w:r w:rsidR="008342B8" w:rsidRPr="00DD03D6">
        <w:rPr>
          <w:noProof/>
          <w:lang w:val="fr-FR" w:eastAsia="en-GB"/>
        </w:rPr>
        <w:t>.</w:t>
      </w:r>
    </w:p>
    <w:p w:rsidR="008342B8" w:rsidRPr="00DD03D6" w:rsidRDefault="0003610D" w:rsidP="00CF0BB1">
      <w:pPr>
        <w:pStyle w:val="Bullet1G"/>
        <w:tabs>
          <w:tab w:val="clear" w:pos="1701"/>
        </w:tabs>
        <w:ind w:left="1843" w:hanging="142"/>
        <w:rPr>
          <w:noProof/>
          <w:lang w:val="fr-FR"/>
        </w:rPr>
      </w:pPr>
      <w:r>
        <w:rPr>
          <w:bCs/>
          <w:noProof/>
          <w:lang w:val="fr-FR"/>
        </w:rPr>
        <w:t>La</w:t>
      </w:r>
      <w:r w:rsidRPr="00DD03D6">
        <w:rPr>
          <w:b/>
          <w:bCs/>
          <w:noProof/>
          <w:lang w:val="fr-FR" w:eastAsia="en-GB"/>
        </w:rPr>
        <w:t xml:space="preserve"> </w:t>
      </w:r>
      <w:r w:rsidR="003B04FF">
        <w:rPr>
          <w:b/>
          <w:iCs/>
          <w:noProof/>
          <w:lang w:val="fr-FR" w:eastAsia="en-GB"/>
        </w:rPr>
        <w:t xml:space="preserve">loi de 2012 sur le </w:t>
      </w:r>
      <w:r w:rsidR="003B04FF" w:rsidRPr="003B04FF">
        <w:rPr>
          <w:b/>
          <w:iCs/>
          <w:noProof/>
          <w:lang w:val="fr-FR" w:eastAsia="en-GB"/>
        </w:rPr>
        <w:t>B</w:t>
      </w:r>
      <w:r w:rsidR="003B04FF" w:rsidRPr="003B04FF">
        <w:rPr>
          <w:b/>
          <w:noProof/>
          <w:lang w:val="fr-FR"/>
        </w:rPr>
        <w:t xml:space="preserve">ureau national </w:t>
      </w:r>
      <w:r w:rsidR="00863BCE">
        <w:rPr>
          <w:b/>
          <w:noProof/>
          <w:lang w:val="fr-FR"/>
        </w:rPr>
        <w:t>de vérification</w:t>
      </w:r>
      <w:r w:rsidR="003B04FF" w:rsidRPr="003B04FF">
        <w:rPr>
          <w:b/>
          <w:iCs/>
          <w:noProof/>
          <w:lang w:val="fr-FR" w:eastAsia="en-GB"/>
        </w:rPr>
        <w:t xml:space="preserve"> </w:t>
      </w:r>
      <w:r w:rsidR="0019346B">
        <w:rPr>
          <w:b/>
          <w:iCs/>
          <w:noProof/>
          <w:lang w:val="fr-FR" w:eastAsia="en-GB"/>
        </w:rPr>
        <w:t xml:space="preserve">des antécédents </w:t>
      </w:r>
      <w:r w:rsidR="003B04FF" w:rsidRPr="003B04FF">
        <w:rPr>
          <w:b/>
          <w:iCs/>
          <w:noProof/>
          <w:lang w:val="fr-FR" w:eastAsia="en-GB"/>
        </w:rPr>
        <w:t>(enfants et personnes vulnérables</w:t>
      </w:r>
      <w:r w:rsidR="003B04FF">
        <w:rPr>
          <w:b/>
          <w:iCs/>
          <w:noProof/>
          <w:lang w:val="fr-FR" w:eastAsia="en-GB"/>
        </w:rPr>
        <w:t>)</w:t>
      </w:r>
      <w:r w:rsidR="003B04FF" w:rsidRPr="003B04FF">
        <w:rPr>
          <w:b/>
          <w:iCs/>
          <w:noProof/>
          <w:lang w:val="fr-FR" w:eastAsia="en-GB"/>
        </w:rPr>
        <w:t xml:space="preserve"> </w:t>
      </w:r>
      <w:r w:rsidR="003B04FF">
        <w:rPr>
          <w:noProof/>
          <w:lang w:val="fr-FR"/>
        </w:rPr>
        <w:t xml:space="preserve">donne une base légale à l’utilisation </w:t>
      </w:r>
      <w:r w:rsidR="000131BB">
        <w:rPr>
          <w:noProof/>
          <w:lang w:val="fr-FR"/>
        </w:rPr>
        <w:t xml:space="preserve">par la Garda des </w:t>
      </w:r>
      <w:r w:rsidR="00294C67">
        <w:rPr>
          <w:noProof/>
          <w:lang w:val="fr-FR"/>
        </w:rPr>
        <w:t xml:space="preserve">casiers </w:t>
      </w:r>
      <w:r w:rsidR="000131BB">
        <w:rPr>
          <w:noProof/>
          <w:lang w:val="fr-FR"/>
        </w:rPr>
        <w:t>judiciaires pour contrôler les an</w:t>
      </w:r>
      <w:r w:rsidR="00294C67">
        <w:rPr>
          <w:noProof/>
          <w:lang w:val="fr-FR"/>
        </w:rPr>
        <w:t>t</w:t>
      </w:r>
      <w:r w:rsidR="000131BB">
        <w:rPr>
          <w:noProof/>
          <w:lang w:val="fr-FR"/>
        </w:rPr>
        <w:t xml:space="preserve">écédents des personnes faisant une demande d’emploi pour travailler avec des enfants ou des adultes </w:t>
      </w:r>
      <w:r w:rsidR="008342B8" w:rsidRPr="00DD03D6">
        <w:rPr>
          <w:noProof/>
          <w:lang w:val="fr-FR"/>
        </w:rPr>
        <w:t>vuln</w:t>
      </w:r>
      <w:r w:rsidR="000131BB">
        <w:rPr>
          <w:noProof/>
          <w:lang w:val="fr-FR"/>
        </w:rPr>
        <w:t>é</w:t>
      </w:r>
      <w:r w:rsidR="008342B8" w:rsidRPr="00DD03D6">
        <w:rPr>
          <w:noProof/>
          <w:lang w:val="fr-FR"/>
        </w:rPr>
        <w:t>rable</w:t>
      </w:r>
      <w:r w:rsidR="000131BB">
        <w:rPr>
          <w:noProof/>
          <w:lang w:val="fr-FR"/>
        </w:rPr>
        <w:t>s</w:t>
      </w:r>
      <w:r w:rsidR="008342B8" w:rsidRPr="00DD03D6">
        <w:rPr>
          <w:noProof/>
          <w:lang w:val="fr-FR"/>
        </w:rPr>
        <w:t xml:space="preserve">. </w:t>
      </w:r>
      <w:r w:rsidR="000131BB">
        <w:rPr>
          <w:noProof/>
          <w:lang w:val="fr-FR"/>
        </w:rPr>
        <w:t xml:space="preserve">Par ailleurs, </w:t>
      </w:r>
      <w:r w:rsidR="00294C67">
        <w:rPr>
          <w:noProof/>
          <w:lang w:val="fr-FR"/>
        </w:rPr>
        <w:t>cette loi</w:t>
      </w:r>
      <w:r w:rsidR="000131BB">
        <w:rPr>
          <w:noProof/>
          <w:lang w:val="fr-FR"/>
        </w:rPr>
        <w:t xml:space="preserve"> </w:t>
      </w:r>
      <w:r w:rsidR="000131BB" w:rsidRPr="00FA02D4">
        <w:rPr>
          <w:lang w:val="fr-CH"/>
        </w:rPr>
        <w:t>prévoit la communication «</w:t>
      </w:r>
      <w:r w:rsidR="00CF0BB1">
        <w:rPr>
          <w:lang w:val="fr-CH"/>
        </w:rPr>
        <w:t> </w:t>
      </w:r>
      <w:r w:rsidR="000131BB">
        <w:rPr>
          <w:lang w:val="fr-CH"/>
        </w:rPr>
        <w:t>d’</w:t>
      </w:r>
      <w:r w:rsidR="000131BB" w:rsidRPr="00FA02D4">
        <w:rPr>
          <w:lang w:val="fr-CH"/>
        </w:rPr>
        <w:t>information</w:t>
      </w:r>
      <w:r w:rsidR="000131BB">
        <w:rPr>
          <w:lang w:val="fr-CH"/>
        </w:rPr>
        <w:t>s</w:t>
      </w:r>
      <w:r w:rsidR="000131BB" w:rsidRPr="00FA02D4">
        <w:rPr>
          <w:lang w:val="fr-CH"/>
        </w:rPr>
        <w:t xml:space="preserve"> circonstancielle</w:t>
      </w:r>
      <w:r w:rsidR="000131BB">
        <w:rPr>
          <w:lang w:val="fr-CH"/>
        </w:rPr>
        <w:t>s</w:t>
      </w:r>
      <w:r w:rsidR="00CF0BB1">
        <w:rPr>
          <w:lang w:val="fr-CH"/>
        </w:rPr>
        <w:t> </w:t>
      </w:r>
      <w:r w:rsidR="000131BB" w:rsidRPr="00FA02D4">
        <w:rPr>
          <w:lang w:val="fr-CH"/>
        </w:rPr>
        <w:t xml:space="preserve">») aux fins de </w:t>
      </w:r>
      <w:r w:rsidR="000131BB">
        <w:rPr>
          <w:lang w:val="fr-CH"/>
        </w:rPr>
        <w:t>contrôle :</w:t>
      </w:r>
      <w:r w:rsidR="000131BB" w:rsidRPr="00FA02D4">
        <w:rPr>
          <w:lang w:val="fr-CH"/>
        </w:rPr>
        <w:t xml:space="preserve"> </w:t>
      </w:r>
      <w:r w:rsidR="000131BB">
        <w:rPr>
          <w:lang w:val="fr-CH"/>
        </w:rPr>
        <w:t>i</w:t>
      </w:r>
      <w:r w:rsidR="000131BB" w:rsidRPr="00FA02D4">
        <w:rPr>
          <w:lang w:val="fr-CH"/>
        </w:rPr>
        <w:t xml:space="preserve">l s’agit d’éléments d’information </w:t>
      </w:r>
      <w:r w:rsidR="000131BB">
        <w:rPr>
          <w:lang w:val="fr-CH"/>
        </w:rPr>
        <w:t xml:space="preserve">autres qu’une condamnation pénale </w:t>
      </w:r>
      <w:r w:rsidR="000131BB" w:rsidRPr="00FA02D4">
        <w:rPr>
          <w:lang w:val="fr-CH"/>
        </w:rPr>
        <w:t xml:space="preserve">qui peuvent donner à penser à une tierce personne de bonne foi que l’intéressé pourrait </w:t>
      </w:r>
      <w:r w:rsidR="00294C67">
        <w:rPr>
          <w:lang w:val="fr-CH"/>
        </w:rPr>
        <w:t>représenter une menace pour</w:t>
      </w:r>
      <w:r w:rsidR="000131BB" w:rsidRPr="00FA02D4">
        <w:rPr>
          <w:lang w:val="fr-CH"/>
        </w:rPr>
        <w:t xml:space="preserve"> un enfant ou un adulte vulnérable</w:t>
      </w:r>
      <w:r w:rsidR="008342B8" w:rsidRPr="00DD03D6">
        <w:rPr>
          <w:iCs/>
          <w:noProof/>
          <w:lang w:val="fr-FR" w:eastAsia="en-GB"/>
        </w:rPr>
        <w:t>.</w:t>
      </w:r>
    </w:p>
    <w:p w:rsidR="008342B8" w:rsidRPr="00DD03D6" w:rsidRDefault="00294C67" w:rsidP="00CB6ABA">
      <w:pPr>
        <w:pStyle w:val="SingleTxtG"/>
        <w:numPr>
          <w:ilvl w:val="0"/>
          <w:numId w:val="3"/>
        </w:numPr>
        <w:ind w:left="1134" w:firstLine="0"/>
        <w:rPr>
          <w:noProof/>
          <w:lang w:val="fr-FR"/>
        </w:rPr>
      </w:pPr>
      <w:r>
        <w:rPr>
          <w:noProof/>
          <w:lang w:val="fr-FR"/>
        </w:rPr>
        <w:t>E</w:t>
      </w:r>
      <w:r w:rsidR="008342B8" w:rsidRPr="00DD03D6">
        <w:rPr>
          <w:noProof/>
          <w:lang w:val="fr-FR"/>
        </w:rPr>
        <w:t xml:space="preserve">n </w:t>
      </w:r>
      <w:r>
        <w:rPr>
          <w:noProof/>
          <w:lang w:val="fr-FR"/>
        </w:rPr>
        <w:t xml:space="preserve">outre, </w:t>
      </w:r>
      <w:r w:rsidR="0020244B">
        <w:rPr>
          <w:noProof/>
          <w:lang w:val="fr-FR"/>
        </w:rPr>
        <w:t xml:space="preserve">le projet de loi ci-après a été publié par le Gouvernement </w:t>
      </w:r>
      <w:r w:rsidR="00DA0664">
        <w:rPr>
          <w:noProof/>
          <w:lang w:val="fr-FR"/>
        </w:rPr>
        <w:t>et le processus législ</w:t>
      </w:r>
      <w:r w:rsidR="00CF0BB1">
        <w:rPr>
          <w:noProof/>
          <w:lang w:val="fr-FR"/>
        </w:rPr>
        <w:t>atif le concernant a été engagé </w:t>
      </w:r>
      <w:r w:rsidR="008342B8" w:rsidRPr="00DD03D6">
        <w:rPr>
          <w:noProof/>
          <w:lang w:val="fr-FR"/>
        </w:rPr>
        <w:t>:</w:t>
      </w:r>
    </w:p>
    <w:p w:rsidR="008342B8" w:rsidRPr="00DD03D6" w:rsidRDefault="0003610D" w:rsidP="00CF0BB1">
      <w:pPr>
        <w:pStyle w:val="Bullet1G"/>
        <w:tabs>
          <w:tab w:val="clear" w:pos="1701"/>
        </w:tabs>
        <w:ind w:left="1843" w:hanging="142"/>
        <w:rPr>
          <w:noProof/>
          <w:lang w:val="fr-FR"/>
        </w:rPr>
      </w:pPr>
      <w:r>
        <w:rPr>
          <w:bCs/>
          <w:noProof/>
          <w:lang w:val="fr-FR"/>
        </w:rPr>
        <w:t xml:space="preserve">Le </w:t>
      </w:r>
      <w:r w:rsidR="00DA0664" w:rsidRPr="00DA0664">
        <w:rPr>
          <w:b/>
          <w:bCs/>
          <w:noProof/>
          <w:lang w:val="fr-FR"/>
        </w:rPr>
        <w:t>projet de loi de 2013 sur les « Les enfants d’abord »</w:t>
      </w:r>
      <w:r w:rsidR="00CF0BB1">
        <w:rPr>
          <w:b/>
          <w:bCs/>
          <w:noProof/>
          <w:lang w:val="fr-FR"/>
        </w:rPr>
        <w:t> </w:t>
      </w:r>
      <w:r w:rsidR="00DA0664">
        <w:rPr>
          <w:bCs/>
          <w:noProof/>
          <w:lang w:val="fr-FR"/>
        </w:rPr>
        <w:t xml:space="preserve">: l’économie et les grandes lignes du projet de loi sur </w:t>
      </w:r>
      <w:r w:rsidR="00DA0664" w:rsidRPr="00DA0664">
        <w:rPr>
          <w:bCs/>
          <w:noProof/>
          <w:lang w:val="fr-FR"/>
        </w:rPr>
        <w:t>« Les enfants d’abord »</w:t>
      </w:r>
      <w:r w:rsidR="00DA0664">
        <w:rPr>
          <w:b/>
          <w:bCs/>
          <w:noProof/>
          <w:lang w:val="fr-FR"/>
        </w:rPr>
        <w:t xml:space="preserve"> </w:t>
      </w:r>
      <w:r w:rsidR="00DA0664">
        <w:rPr>
          <w:lang w:val="fr-CH"/>
        </w:rPr>
        <w:t xml:space="preserve">ont été publiées et renvoyées pour consultation à la </w:t>
      </w:r>
      <w:r w:rsidR="00DA0664">
        <w:rPr>
          <w:noProof/>
          <w:lang w:val="fr-FR" w:eastAsia="en-GB"/>
        </w:rPr>
        <w:t>Commission de la santé et de l’enfance de l’</w:t>
      </w:r>
      <w:r w:rsidR="00DA0664" w:rsidRPr="004C57BD">
        <w:rPr>
          <w:i/>
          <w:noProof/>
          <w:lang w:val="fr-FR" w:eastAsia="en-GB"/>
        </w:rPr>
        <w:t>Oireachtas</w:t>
      </w:r>
      <w:r w:rsidR="00DA0664">
        <w:rPr>
          <w:i/>
          <w:noProof/>
          <w:lang w:val="fr-FR" w:eastAsia="en-GB"/>
        </w:rPr>
        <w:t>.</w:t>
      </w:r>
      <w:r w:rsidR="003F2412">
        <w:rPr>
          <w:i/>
          <w:noProof/>
          <w:lang w:val="fr-FR" w:eastAsia="en-GB"/>
        </w:rPr>
        <w:t xml:space="preserve"> </w:t>
      </w:r>
      <w:r w:rsidR="003F2412">
        <w:rPr>
          <w:noProof/>
          <w:lang w:val="fr-FR" w:eastAsia="en-GB"/>
        </w:rPr>
        <w:t>Dans le cadre de ce projet de loi, il est prévu de faire en sorte que les obligations qui découlent d</w:t>
      </w:r>
      <w:r w:rsidR="0004191E">
        <w:rPr>
          <w:noProof/>
          <w:lang w:val="fr-FR" w:eastAsia="en-GB"/>
        </w:rPr>
        <w:t>u document</w:t>
      </w:r>
      <w:r w:rsidR="003F2412">
        <w:rPr>
          <w:noProof/>
          <w:lang w:val="fr-FR" w:eastAsia="en-GB"/>
        </w:rPr>
        <w:t xml:space="preserve"> </w:t>
      </w:r>
      <w:r w:rsidR="00DA0664" w:rsidRPr="00CF0BB1">
        <w:rPr>
          <w:lang w:val="fr-CH"/>
        </w:rPr>
        <w:t>«</w:t>
      </w:r>
      <w:r w:rsidR="00CF0BB1">
        <w:rPr>
          <w:i/>
          <w:lang w:val="fr-CH"/>
        </w:rPr>
        <w:t> </w:t>
      </w:r>
      <w:r w:rsidR="00DA0664" w:rsidRPr="007B3894">
        <w:rPr>
          <w:i/>
          <w:lang w:val="fr-CH"/>
        </w:rPr>
        <w:t>Les enfants d’abord</w:t>
      </w:r>
      <w:r w:rsidR="00DA0664">
        <w:rPr>
          <w:i/>
          <w:lang w:val="fr-CH"/>
        </w:rPr>
        <w:t xml:space="preserve"> </w:t>
      </w:r>
      <w:r w:rsidR="00DA0664" w:rsidRPr="007B3894">
        <w:rPr>
          <w:i/>
          <w:lang w:val="fr-CH"/>
        </w:rPr>
        <w:t>: directives nationales pour la protecti</w:t>
      </w:r>
      <w:r w:rsidR="00DA0664">
        <w:rPr>
          <w:i/>
          <w:lang w:val="fr-CH"/>
        </w:rPr>
        <w:t>on et le bien-être des enfants</w:t>
      </w:r>
      <w:r w:rsidR="00CF0BB1">
        <w:rPr>
          <w:i/>
          <w:lang w:val="fr-CH"/>
        </w:rPr>
        <w:t> </w:t>
      </w:r>
      <w:r w:rsidR="00DA0664" w:rsidRPr="00CF0BB1">
        <w:rPr>
          <w:lang w:val="fr-CH"/>
        </w:rPr>
        <w:t>»</w:t>
      </w:r>
      <w:r w:rsidR="00DA0664">
        <w:rPr>
          <w:lang w:val="fr-CH"/>
        </w:rPr>
        <w:t xml:space="preserve"> </w:t>
      </w:r>
      <w:r w:rsidR="00DA0664" w:rsidRPr="00DD03D6">
        <w:rPr>
          <w:noProof/>
          <w:lang w:val="fr-FR" w:eastAsia="en-GB"/>
        </w:rPr>
        <w:t>(</w:t>
      </w:r>
      <w:r w:rsidR="00DA0664">
        <w:rPr>
          <w:noProof/>
          <w:lang w:val="fr-FR" w:eastAsia="en-GB"/>
        </w:rPr>
        <w:t>Ministère de l’enfance et de la jeunesse</w:t>
      </w:r>
      <w:r w:rsidR="00DA0664" w:rsidRPr="00DD03D6">
        <w:rPr>
          <w:noProof/>
          <w:lang w:val="fr-FR" w:eastAsia="en-GB"/>
        </w:rPr>
        <w:t xml:space="preserve">, 2011) </w:t>
      </w:r>
      <w:r w:rsidR="003F2412">
        <w:rPr>
          <w:noProof/>
          <w:lang w:val="fr-FR" w:eastAsia="en-GB"/>
        </w:rPr>
        <w:t xml:space="preserve">s’appliquent parallèlement aux obligatioins énoncées </w:t>
      </w:r>
      <w:r w:rsidR="0004191E">
        <w:rPr>
          <w:noProof/>
          <w:lang w:val="fr-FR" w:eastAsia="en-GB"/>
        </w:rPr>
        <w:t xml:space="preserve">dans </w:t>
      </w:r>
      <w:r w:rsidR="003F2412">
        <w:rPr>
          <w:noProof/>
          <w:lang w:val="fr-FR" w:eastAsia="en-GB"/>
        </w:rPr>
        <w:t>le projet de loi</w:t>
      </w:r>
      <w:r w:rsidR="00DA0664" w:rsidRPr="00DD03D6">
        <w:rPr>
          <w:noProof/>
          <w:lang w:val="fr-FR" w:eastAsia="en-GB"/>
        </w:rPr>
        <w:t xml:space="preserve">. </w:t>
      </w:r>
      <w:r w:rsidR="0004191E">
        <w:rPr>
          <w:noProof/>
          <w:lang w:val="fr-FR" w:eastAsia="en-GB"/>
        </w:rPr>
        <w:t>Une fois c</w:t>
      </w:r>
      <w:r w:rsidR="003F2412">
        <w:rPr>
          <w:noProof/>
          <w:lang w:val="fr-FR" w:eastAsia="en-GB"/>
        </w:rPr>
        <w:t xml:space="preserve">e projet adopté, </w:t>
      </w:r>
      <w:r w:rsidR="0004191E">
        <w:rPr>
          <w:noProof/>
          <w:lang w:val="fr-FR" w:eastAsia="en-GB"/>
        </w:rPr>
        <w:t>les principes et directives inscrits dans le document susvisé continueront d’être appliqués et le docu</w:t>
      </w:r>
      <w:r w:rsidR="00AC12D2">
        <w:rPr>
          <w:noProof/>
          <w:lang w:val="fr-FR" w:eastAsia="en-GB"/>
        </w:rPr>
        <w:t>m</w:t>
      </w:r>
      <w:r w:rsidR="0004191E">
        <w:rPr>
          <w:noProof/>
          <w:lang w:val="fr-FR" w:eastAsia="en-GB"/>
        </w:rPr>
        <w:t xml:space="preserve">ent sera dûment pris en considération. La Commission de la santé et de l’enfance a engagé des consultations avec les </w:t>
      </w:r>
      <w:r w:rsidR="008342B8" w:rsidRPr="00DD03D6">
        <w:rPr>
          <w:noProof/>
          <w:lang w:val="fr-FR"/>
        </w:rPr>
        <w:t xml:space="preserve">organisations </w:t>
      </w:r>
      <w:r w:rsidR="0004191E">
        <w:rPr>
          <w:noProof/>
          <w:lang w:val="fr-FR"/>
        </w:rPr>
        <w:t xml:space="preserve">et particuliers travaillant avec et pour les enfants et présenté son rapport détaillé le </w:t>
      </w:r>
      <w:r w:rsidR="008342B8" w:rsidRPr="00DD03D6">
        <w:rPr>
          <w:noProof/>
          <w:lang w:val="fr-FR"/>
        </w:rPr>
        <w:t xml:space="preserve">5 </w:t>
      </w:r>
      <w:r w:rsidR="0004191E">
        <w:rPr>
          <w:noProof/>
          <w:lang w:val="fr-FR"/>
        </w:rPr>
        <w:t xml:space="preserve">juillet </w:t>
      </w:r>
      <w:r w:rsidR="008342B8" w:rsidRPr="00DD03D6">
        <w:rPr>
          <w:noProof/>
          <w:lang w:val="fr-FR"/>
        </w:rPr>
        <w:t xml:space="preserve">2012. </w:t>
      </w:r>
      <w:r w:rsidR="0004191E">
        <w:rPr>
          <w:noProof/>
          <w:lang w:val="fr-FR"/>
        </w:rPr>
        <w:t xml:space="preserve">Le Ministère de l’enfance </w:t>
      </w:r>
      <w:r w:rsidR="0004191E">
        <w:rPr>
          <w:noProof/>
          <w:lang w:val="fr-FR"/>
        </w:rPr>
        <w:lastRenderedPageBreak/>
        <w:t xml:space="preserve">et de la jeunesse examine </w:t>
      </w:r>
      <w:r w:rsidR="002E1BF6">
        <w:rPr>
          <w:noProof/>
          <w:lang w:val="fr-FR"/>
        </w:rPr>
        <w:t>actuellement</w:t>
      </w:r>
      <w:r w:rsidR="0004191E">
        <w:rPr>
          <w:noProof/>
          <w:lang w:val="fr-FR"/>
        </w:rPr>
        <w:t xml:space="preserve"> les importantes questions d’ordre politique, opérationnel et juridique</w:t>
      </w:r>
      <w:r w:rsidR="002E1BF6">
        <w:rPr>
          <w:noProof/>
          <w:lang w:val="fr-FR"/>
        </w:rPr>
        <w:t xml:space="preserve"> qu’ont permis de dégager les vues de la Commission de </w:t>
      </w:r>
      <w:r w:rsidR="002E1BF6">
        <w:rPr>
          <w:noProof/>
          <w:lang w:val="fr-FR" w:eastAsia="en-GB"/>
        </w:rPr>
        <w:t>l’</w:t>
      </w:r>
      <w:r w:rsidR="002E1BF6" w:rsidRPr="004C57BD">
        <w:rPr>
          <w:i/>
          <w:noProof/>
          <w:lang w:val="fr-FR" w:eastAsia="en-GB"/>
        </w:rPr>
        <w:t>Oireachtas</w:t>
      </w:r>
      <w:r w:rsidR="0004191E">
        <w:rPr>
          <w:noProof/>
          <w:lang w:val="fr-FR"/>
        </w:rPr>
        <w:t xml:space="preserve"> </w:t>
      </w:r>
      <w:r w:rsidR="002E1BF6">
        <w:rPr>
          <w:noProof/>
          <w:lang w:val="fr-FR"/>
        </w:rPr>
        <w:t xml:space="preserve">dans le contexte du développement de </w:t>
      </w:r>
      <w:r w:rsidR="002E1BF6">
        <w:rPr>
          <w:bCs/>
          <w:noProof/>
          <w:lang w:val="fr-FR"/>
        </w:rPr>
        <w:t>l’économie et des grandes lignes du projet</w:t>
      </w:r>
      <w:r w:rsidR="002E1BF6" w:rsidRPr="00DD03D6">
        <w:rPr>
          <w:noProof/>
          <w:lang w:val="fr-FR"/>
        </w:rPr>
        <w:t xml:space="preserve"> </w:t>
      </w:r>
      <w:r w:rsidR="002E1BF6">
        <w:rPr>
          <w:noProof/>
          <w:lang w:val="fr-FR"/>
        </w:rPr>
        <w:t>en préalable à l’élaboration de celui-ci</w:t>
      </w:r>
      <w:r w:rsidR="008342B8" w:rsidRPr="00DD03D6">
        <w:rPr>
          <w:noProof/>
          <w:lang w:val="fr-FR"/>
        </w:rPr>
        <w:t>.</w:t>
      </w:r>
    </w:p>
    <w:p w:rsidR="008342B8" w:rsidRPr="00DD03D6" w:rsidRDefault="008342B8" w:rsidP="008342B8">
      <w:pPr>
        <w:pStyle w:val="H23G"/>
        <w:rPr>
          <w:noProof/>
          <w:lang w:val="fr-FR"/>
        </w:rPr>
      </w:pPr>
      <w:r w:rsidRPr="00DD03D6">
        <w:rPr>
          <w:noProof/>
          <w:lang w:val="fr-FR"/>
        </w:rPr>
        <w:tab/>
      </w:r>
      <w:r w:rsidRPr="00DD03D6">
        <w:rPr>
          <w:noProof/>
          <w:lang w:val="fr-FR"/>
        </w:rPr>
        <w:tab/>
      </w:r>
      <w:r w:rsidR="00D44335">
        <w:rPr>
          <w:noProof/>
          <w:lang w:val="fr-FR"/>
        </w:rPr>
        <w:t>Initiatives prises dans le cadre de la politique nationale</w:t>
      </w:r>
    </w:p>
    <w:p w:rsidR="008342B8" w:rsidRPr="00DD03D6" w:rsidRDefault="00D44335" w:rsidP="008342B8">
      <w:pPr>
        <w:pStyle w:val="SingleTxtG"/>
        <w:numPr>
          <w:ilvl w:val="0"/>
          <w:numId w:val="3"/>
        </w:numPr>
        <w:ind w:left="1134" w:firstLine="0"/>
        <w:rPr>
          <w:noProof/>
          <w:lang w:val="fr-FR"/>
        </w:rPr>
      </w:pPr>
      <w:r>
        <w:rPr>
          <w:noProof/>
          <w:lang w:val="fr-FR"/>
        </w:rPr>
        <w:t xml:space="preserve">Un certain nombre d’initiatives </w:t>
      </w:r>
      <w:r w:rsidR="008342B8" w:rsidRPr="00DD03D6">
        <w:rPr>
          <w:noProof/>
          <w:lang w:val="fr-FR"/>
        </w:rPr>
        <w:t>important</w:t>
      </w:r>
      <w:r>
        <w:rPr>
          <w:noProof/>
          <w:lang w:val="fr-FR"/>
        </w:rPr>
        <w:t>es ont été prises dans le cadre de la politique nationale depuis</w:t>
      </w:r>
      <w:r w:rsidR="00E92D3C">
        <w:rPr>
          <w:noProof/>
          <w:lang w:val="fr-FR"/>
        </w:rPr>
        <w:t xml:space="preserve"> </w:t>
      </w:r>
      <w:r>
        <w:rPr>
          <w:noProof/>
          <w:lang w:val="fr-FR"/>
        </w:rPr>
        <w:t>2006</w:t>
      </w:r>
      <w:r w:rsidR="00CF0BB1">
        <w:rPr>
          <w:noProof/>
          <w:lang w:val="fr-FR"/>
        </w:rPr>
        <w:t> </w:t>
      </w:r>
      <w:r w:rsidR="008342B8" w:rsidRPr="00DD03D6">
        <w:rPr>
          <w:noProof/>
          <w:lang w:val="fr-FR"/>
        </w:rPr>
        <w:t>:</w:t>
      </w:r>
    </w:p>
    <w:p w:rsidR="008342B8" w:rsidRPr="00DD03D6" w:rsidRDefault="00D44335" w:rsidP="00CF0BB1">
      <w:pPr>
        <w:pStyle w:val="Bullet1G"/>
        <w:tabs>
          <w:tab w:val="clear" w:pos="1701"/>
        </w:tabs>
        <w:ind w:left="1843" w:hanging="142"/>
        <w:rPr>
          <w:noProof/>
          <w:lang w:val="fr-FR"/>
        </w:rPr>
      </w:pPr>
      <w:r>
        <w:rPr>
          <w:noProof/>
          <w:lang w:val="fr-FR"/>
        </w:rPr>
        <w:t>Vers 2016 : Accord-cadre décennal pour un partenariat social, 2006-2016 (</w:t>
      </w:r>
      <w:r w:rsidR="008342B8" w:rsidRPr="00DD03D6">
        <w:rPr>
          <w:noProof/>
          <w:lang w:val="fr-FR"/>
        </w:rPr>
        <w:t>Towards 2016</w:t>
      </w:r>
      <w:r>
        <w:rPr>
          <w:noProof/>
          <w:lang w:val="fr-FR"/>
        </w:rPr>
        <w:t xml:space="preserve"> </w:t>
      </w:r>
      <w:r w:rsidR="008342B8" w:rsidRPr="00DD03D6">
        <w:rPr>
          <w:noProof/>
          <w:lang w:val="fr-FR"/>
        </w:rPr>
        <w:t>: Ten-year Framework Social Partnership Agreement, 2006-2016</w:t>
      </w:r>
      <w:r>
        <w:rPr>
          <w:noProof/>
          <w:lang w:val="fr-FR"/>
        </w:rPr>
        <w:t>)</w:t>
      </w:r>
      <w:r w:rsidR="008342B8" w:rsidRPr="00DD03D6">
        <w:rPr>
          <w:noProof/>
          <w:lang w:val="fr-FR"/>
        </w:rPr>
        <w:t xml:space="preserve"> (</w:t>
      </w:r>
      <w:r>
        <w:rPr>
          <w:noProof/>
          <w:lang w:val="fr-FR"/>
        </w:rPr>
        <w:t xml:space="preserve">Cabinet du </w:t>
      </w:r>
      <w:r w:rsidRPr="00DD03D6">
        <w:rPr>
          <w:noProof/>
          <w:lang w:val="fr-FR"/>
        </w:rPr>
        <w:t>Taoiseach</w:t>
      </w:r>
      <w:r w:rsidR="008342B8" w:rsidRPr="00DD03D6">
        <w:rPr>
          <w:noProof/>
          <w:lang w:val="fr-FR"/>
        </w:rPr>
        <w:t>, 2007)</w:t>
      </w:r>
      <w:r w:rsidR="00CB6ABA" w:rsidRPr="00DD03D6">
        <w:rPr>
          <w:noProof/>
          <w:lang w:val="fr-FR"/>
        </w:rPr>
        <w:t>;</w:t>
      </w:r>
    </w:p>
    <w:p w:rsidR="008342B8" w:rsidRPr="00DD03D6" w:rsidRDefault="00D44335" w:rsidP="00CF0BB1">
      <w:pPr>
        <w:pStyle w:val="Bullet1G"/>
        <w:tabs>
          <w:tab w:val="clear" w:pos="1701"/>
        </w:tabs>
        <w:ind w:left="1843" w:hanging="142"/>
        <w:rPr>
          <w:noProof/>
          <w:lang w:val="fr-FR"/>
        </w:rPr>
      </w:pPr>
      <w:r>
        <w:rPr>
          <w:noProof/>
          <w:lang w:val="fr-FR"/>
        </w:rPr>
        <w:t>Programme de services destinés aux enfants : Manuel directif (</w:t>
      </w:r>
      <w:r w:rsidR="008342B8" w:rsidRPr="00DD03D6">
        <w:rPr>
          <w:noProof/>
          <w:lang w:val="fr-FR"/>
        </w:rPr>
        <w:t>The Agenda for Children</w:t>
      </w:r>
      <w:r w:rsidR="000A2B7B" w:rsidRPr="00DD03D6">
        <w:rPr>
          <w:noProof/>
          <w:lang w:val="fr-FR"/>
        </w:rPr>
        <w:t>’</w:t>
      </w:r>
      <w:r w:rsidR="008342B8" w:rsidRPr="00DD03D6">
        <w:rPr>
          <w:noProof/>
          <w:lang w:val="fr-FR"/>
        </w:rPr>
        <w:t>s Services: A Policy Handbook</w:t>
      </w:r>
      <w:r>
        <w:rPr>
          <w:noProof/>
          <w:lang w:val="fr-FR"/>
        </w:rPr>
        <w:t>)</w:t>
      </w:r>
      <w:r w:rsidR="008342B8" w:rsidRPr="00DD03D6">
        <w:rPr>
          <w:noProof/>
          <w:lang w:val="fr-FR"/>
        </w:rPr>
        <w:t xml:space="preserve"> (</w:t>
      </w:r>
      <w:r w:rsidR="00D8239B">
        <w:rPr>
          <w:noProof/>
          <w:lang w:val="fr-FR"/>
        </w:rPr>
        <w:t>Cabinet de la ministre de l’enfance et de la jeunesse</w:t>
      </w:r>
      <w:r w:rsidR="008342B8" w:rsidRPr="00DD03D6">
        <w:rPr>
          <w:noProof/>
          <w:lang w:val="fr-FR"/>
        </w:rPr>
        <w:t>, 2007a)</w:t>
      </w:r>
      <w:r w:rsidR="00CB6ABA" w:rsidRPr="00DD03D6">
        <w:rPr>
          <w:noProof/>
          <w:lang w:val="fr-FR"/>
        </w:rPr>
        <w:t>;</w:t>
      </w:r>
    </w:p>
    <w:p w:rsidR="008342B8" w:rsidRPr="00DD03D6" w:rsidRDefault="00D44335" w:rsidP="00CF0BB1">
      <w:pPr>
        <w:pStyle w:val="Bullet1G"/>
        <w:tabs>
          <w:tab w:val="clear" w:pos="1701"/>
        </w:tabs>
        <w:ind w:left="1843" w:hanging="142"/>
        <w:rPr>
          <w:noProof/>
          <w:lang w:val="fr-FR"/>
        </w:rPr>
      </w:pPr>
      <w:r>
        <w:rPr>
          <w:noProof/>
          <w:lang w:val="fr-FR"/>
        </w:rPr>
        <w:t>Plan d’action n</w:t>
      </w:r>
      <w:r w:rsidR="008342B8" w:rsidRPr="00DD03D6">
        <w:rPr>
          <w:noProof/>
          <w:lang w:val="fr-FR"/>
        </w:rPr>
        <w:t xml:space="preserve">ational </w:t>
      </w:r>
      <w:r>
        <w:rPr>
          <w:noProof/>
          <w:lang w:val="fr-FR"/>
        </w:rPr>
        <w:t xml:space="preserve">pour l’intégration sociale, 2007-2016 : Édifier une société </w:t>
      </w:r>
      <w:r w:rsidR="00AF727A">
        <w:rPr>
          <w:noProof/>
          <w:lang w:val="fr-FR"/>
        </w:rPr>
        <w:t>favorisant l’intégration</w:t>
      </w:r>
      <w:r>
        <w:rPr>
          <w:noProof/>
          <w:lang w:val="fr-FR"/>
        </w:rPr>
        <w:t xml:space="preserve"> (</w:t>
      </w:r>
      <w:r w:rsidR="008342B8" w:rsidRPr="00DD03D6">
        <w:rPr>
          <w:noProof/>
          <w:lang w:val="fr-FR"/>
        </w:rPr>
        <w:t>Action Plan for Social Inclusion, 2007-2016: Building an Inclusive Society</w:t>
      </w:r>
      <w:r>
        <w:rPr>
          <w:noProof/>
          <w:lang w:val="fr-FR"/>
        </w:rPr>
        <w:t>)</w:t>
      </w:r>
      <w:r w:rsidR="008342B8" w:rsidRPr="00DD03D6">
        <w:rPr>
          <w:noProof/>
          <w:lang w:val="fr-FR"/>
        </w:rPr>
        <w:t xml:space="preserve"> (Go</w:t>
      </w:r>
      <w:r>
        <w:rPr>
          <w:noProof/>
          <w:lang w:val="fr-FR"/>
        </w:rPr>
        <w:t>uvernement irlandais</w:t>
      </w:r>
      <w:r w:rsidR="008342B8" w:rsidRPr="00DD03D6">
        <w:rPr>
          <w:noProof/>
          <w:lang w:val="fr-FR"/>
        </w:rPr>
        <w:t>, 2007)</w:t>
      </w:r>
      <w:r w:rsidR="00CB6ABA" w:rsidRPr="00DD03D6">
        <w:rPr>
          <w:noProof/>
          <w:lang w:val="fr-FR"/>
        </w:rPr>
        <w:t>;</w:t>
      </w:r>
    </w:p>
    <w:p w:rsidR="008342B8" w:rsidRPr="00DD03D6" w:rsidRDefault="008342B8" w:rsidP="00CF0BB1">
      <w:pPr>
        <w:pStyle w:val="Bullet1G"/>
        <w:tabs>
          <w:tab w:val="clear" w:pos="1701"/>
        </w:tabs>
        <w:ind w:left="1843" w:hanging="142"/>
        <w:rPr>
          <w:noProof/>
          <w:lang w:val="fr-FR"/>
        </w:rPr>
      </w:pPr>
      <w:r w:rsidRPr="00DD03D6">
        <w:rPr>
          <w:noProof/>
          <w:lang w:val="fr-FR"/>
        </w:rPr>
        <w:t>R</w:t>
      </w:r>
      <w:r w:rsidR="00AF727A">
        <w:rPr>
          <w:noProof/>
          <w:lang w:val="fr-FR"/>
        </w:rPr>
        <w:t xml:space="preserve">apport de la </w:t>
      </w:r>
      <w:r w:rsidRPr="00DD03D6">
        <w:rPr>
          <w:noProof/>
          <w:lang w:val="fr-FR"/>
        </w:rPr>
        <w:t xml:space="preserve">Commission </w:t>
      </w:r>
      <w:r w:rsidR="00AF727A">
        <w:rPr>
          <w:noProof/>
          <w:lang w:val="fr-FR"/>
        </w:rPr>
        <w:t xml:space="preserve">d’enquête sur la maltraitance à enfant : Plan de mise en œuvre (Report of the Commission </w:t>
      </w:r>
      <w:r w:rsidRPr="00DD03D6">
        <w:rPr>
          <w:noProof/>
          <w:lang w:val="fr-FR"/>
        </w:rPr>
        <w:t>to Inquire into Child Abuse: Implementation Plan</w:t>
      </w:r>
      <w:r w:rsidR="00AF727A">
        <w:rPr>
          <w:noProof/>
          <w:lang w:val="fr-FR"/>
        </w:rPr>
        <w:t>)</w:t>
      </w:r>
      <w:r w:rsidRPr="00DD03D6">
        <w:rPr>
          <w:noProof/>
          <w:lang w:val="fr-FR"/>
        </w:rPr>
        <w:t xml:space="preserve"> (</w:t>
      </w:r>
      <w:r w:rsidR="00D8239B">
        <w:rPr>
          <w:noProof/>
          <w:lang w:val="fr-FR"/>
        </w:rPr>
        <w:t xml:space="preserve">Cabinet de la </w:t>
      </w:r>
      <w:r w:rsidR="00AC12D2">
        <w:rPr>
          <w:noProof/>
          <w:lang w:val="fr-FR"/>
        </w:rPr>
        <w:t>M</w:t>
      </w:r>
      <w:r w:rsidR="00D8239B">
        <w:rPr>
          <w:noProof/>
          <w:lang w:val="fr-FR"/>
        </w:rPr>
        <w:t>inistre de l’enfance et de la jeunesse</w:t>
      </w:r>
      <w:r w:rsidRPr="00DD03D6">
        <w:rPr>
          <w:noProof/>
          <w:lang w:val="fr-FR"/>
        </w:rPr>
        <w:t>, 2009)</w:t>
      </w:r>
      <w:r w:rsidR="00CB6ABA" w:rsidRPr="00DD03D6">
        <w:rPr>
          <w:noProof/>
          <w:lang w:val="fr-FR"/>
        </w:rPr>
        <w:t>;</w:t>
      </w:r>
    </w:p>
    <w:p w:rsidR="008342B8" w:rsidRPr="00DD03D6" w:rsidRDefault="00AF727A" w:rsidP="00CF0BB1">
      <w:pPr>
        <w:pStyle w:val="Bullet1G"/>
        <w:tabs>
          <w:tab w:val="clear" w:pos="1701"/>
        </w:tabs>
        <w:ind w:left="1843" w:hanging="142"/>
        <w:rPr>
          <w:noProof/>
          <w:lang w:val="fr-FR"/>
        </w:rPr>
      </w:pPr>
      <w:r>
        <w:rPr>
          <w:noProof/>
          <w:lang w:val="fr-FR"/>
        </w:rPr>
        <w:t>Stratégie interculturelle en matière d’éducation</w:t>
      </w:r>
      <w:r w:rsidR="008342B8" w:rsidRPr="00DD03D6">
        <w:rPr>
          <w:noProof/>
          <w:lang w:val="fr-FR"/>
        </w:rPr>
        <w:t>, 2010-2015 (</w:t>
      </w:r>
      <w:r>
        <w:rPr>
          <w:noProof/>
          <w:lang w:val="fr-FR"/>
        </w:rPr>
        <w:t xml:space="preserve">Ministère de l’éducation et de la formation et </w:t>
      </w:r>
      <w:r w:rsidR="00AC12D2">
        <w:rPr>
          <w:noProof/>
          <w:lang w:val="fr-FR"/>
        </w:rPr>
        <w:t>Cabinet</w:t>
      </w:r>
      <w:r>
        <w:rPr>
          <w:noProof/>
          <w:lang w:val="fr-FR"/>
        </w:rPr>
        <w:t xml:space="preserve"> du Ministre de l’intégration</w:t>
      </w:r>
      <w:r w:rsidR="008342B8" w:rsidRPr="00DD03D6">
        <w:rPr>
          <w:noProof/>
          <w:lang w:val="fr-FR"/>
        </w:rPr>
        <w:t>, 2010)</w:t>
      </w:r>
      <w:r w:rsidR="00CB6ABA" w:rsidRPr="00DD03D6">
        <w:rPr>
          <w:noProof/>
          <w:lang w:val="fr-FR"/>
        </w:rPr>
        <w:t>;</w:t>
      </w:r>
    </w:p>
    <w:p w:rsidR="008342B8" w:rsidRPr="00DD03D6" w:rsidRDefault="00B42570" w:rsidP="00CF0BB1">
      <w:pPr>
        <w:pStyle w:val="Bullet1G"/>
        <w:tabs>
          <w:tab w:val="clear" w:pos="1701"/>
        </w:tabs>
        <w:ind w:left="1843" w:hanging="142"/>
        <w:rPr>
          <w:noProof/>
          <w:lang w:val="fr-FR"/>
        </w:rPr>
      </w:pPr>
      <w:r w:rsidRPr="00DD03D6">
        <w:rPr>
          <w:noProof/>
          <w:lang w:val="fr-FR"/>
        </w:rPr>
        <w:t xml:space="preserve">Forum </w:t>
      </w:r>
      <w:r>
        <w:rPr>
          <w:noProof/>
          <w:lang w:val="fr-FR"/>
        </w:rPr>
        <w:t>sur le parrainage et le p</w:t>
      </w:r>
      <w:r w:rsidRPr="00DD03D6">
        <w:rPr>
          <w:noProof/>
          <w:lang w:val="fr-FR"/>
        </w:rPr>
        <w:t>luralism</w:t>
      </w:r>
      <w:r>
        <w:rPr>
          <w:noProof/>
          <w:lang w:val="fr-FR"/>
        </w:rPr>
        <w:t>e dans l</w:t>
      </w:r>
      <w:r w:rsidR="001A19D8">
        <w:rPr>
          <w:noProof/>
          <w:lang w:val="fr-FR"/>
        </w:rPr>
        <w:t xml:space="preserve">e secteur </w:t>
      </w:r>
      <w:r>
        <w:rPr>
          <w:noProof/>
          <w:lang w:val="fr-FR"/>
        </w:rPr>
        <w:t>primaire</w:t>
      </w:r>
      <w:r w:rsidRPr="00DD03D6">
        <w:rPr>
          <w:noProof/>
          <w:lang w:val="fr-FR"/>
        </w:rPr>
        <w:t xml:space="preserve"> </w:t>
      </w:r>
      <w:r w:rsidR="008342B8" w:rsidRPr="00DD03D6">
        <w:rPr>
          <w:noProof/>
          <w:lang w:val="fr-FR"/>
        </w:rPr>
        <w:t xml:space="preserve">(Coolahan </w:t>
      </w:r>
      <w:r w:rsidR="008342B8" w:rsidRPr="00F57F14">
        <w:rPr>
          <w:i/>
          <w:noProof/>
          <w:lang w:val="fr-FR"/>
        </w:rPr>
        <w:t>et al</w:t>
      </w:r>
      <w:r w:rsidR="00FF0E94" w:rsidRPr="00F57F14">
        <w:rPr>
          <w:i/>
          <w:noProof/>
          <w:lang w:val="fr-FR"/>
        </w:rPr>
        <w:t>.</w:t>
      </w:r>
      <w:r w:rsidR="008342B8" w:rsidRPr="00DD03D6">
        <w:rPr>
          <w:noProof/>
          <w:lang w:val="fr-FR"/>
        </w:rPr>
        <w:t>, 2012)</w:t>
      </w:r>
      <w:r w:rsidR="00CB6ABA" w:rsidRPr="00DD03D6">
        <w:rPr>
          <w:noProof/>
          <w:lang w:val="fr-FR"/>
        </w:rPr>
        <w:t>;</w:t>
      </w:r>
    </w:p>
    <w:p w:rsidR="008342B8" w:rsidRPr="00DD03D6" w:rsidRDefault="00B42570" w:rsidP="00CF0BB1">
      <w:pPr>
        <w:pStyle w:val="Bullet1G"/>
        <w:tabs>
          <w:tab w:val="clear" w:pos="1701"/>
        </w:tabs>
        <w:ind w:left="1843" w:hanging="142"/>
        <w:rPr>
          <w:noProof/>
          <w:lang w:val="fr-FR"/>
        </w:rPr>
      </w:pPr>
      <w:r>
        <w:rPr>
          <w:noProof/>
          <w:lang w:val="fr-FR"/>
        </w:rPr>
        <w:t>Lire, écrire et compter pour l’apprentissage et pour la vie : Stratégie nationale concernant l’amélioration de la lecture, de l’écriture et du calcul chez les enfants et les jeunes, 2011-2020 (</w:t>
      </w:r>
      <w:r w:rsidRPr="00DD03D6">
        <w:rPr>
          <w:noProof/>
          <w:lang w:val="fr-FR"/>
        </w:rPr>
        <w:t>Literacy and Numeracy for Learning and Life: The National Strategy to Improve Literacy and Numeracy among Children and Young People, 2011-2020</w:t>
      </w:r>
      <w:r>
        <w:rPr>
          <w:noProof/>
          <w:lang w:val="fr-FR"/>
        </w:rPr>
        <w:t xml:space="preserve">) </w:t>
      </w:r>
      <w:r w:rsidR="008342B8" w:rsidRPr="00DD03D6">
        <w:rPr>
          <w:noProof/>
          <w:lang w:val="fr-FR"/>
        </w:rPr>
        <w:t>(</w:t>
      </w:r>
      <w:r>
        <w:rPr>
          <w:noProof/>
          <w:lang w:val="fr-FR"/>
        </w:rPr>
        <w:t>Ministère de l’éducation et de la formation</w:t>
      </w:r>
      <w:r w:rsidR="008342B8" w:rsidRPr="00DD03D6">
        <w:rPr>
          <w:noProof/>
          <w:lang w:val="fr-FR"/>
        </w:rPr>
        <w:t>, 2011a)</w:t>
      </w:r>
      <w:r w:rsidR="00CB6ABA" w:rsidRPr="00DD03D6">
        <w:rPr>
          <w:noProof/>
          <w:lang w:val="fr-FR"/>
        </w:rPr>
        <w:t>;</w:t>
      </w:r>
    </w:p>
    <w:p w:rsidR="008342B8" w:rsidRPr="00DD03D6" w:rsidRDefault="00B42570" w:rsidP="00CF0BB1">
      <w:pPr>
        <w:pStyle w:val="Bullet1G"/>
        <w:tabs>
          <w:tab w:val="clear" w:pos="1701"/>
        </w:tabs>
        <w:ind w:left="1843" w:hanging="142"/>
        <w:rPr>
          <w:noProof/>
          <w:lang w:val="fr-FR"/>
        </w:rPr>
      </w:pPr>
      <w:r w:rsidRPr="00B42570">
        <w:rPr>
          <w:noProof/>
          <w:lang w:val="fr-FR"/>
        </w:rPr>
        <w:t>Stratégie nationale de recherche et d’élaboration de données sur la vie des enfants, 2011-2016</w:t>
      </w:r>
      <w:r>
        <w:rPr>
          <w:i/>
          <w:noProof/>
          <w:lang w:val="fr-FR"/>
        </w:rPr>
        <w:t xml:space="preserve"> </w:t>
      </w:r>
      <w:r>
        <w:rPr>
          <w:noProof/>
          <w:lang w:val="fr-FR"/>
        </w:rPr>
        <w:t>(</w:t>
      </w:r>
      <w:r w:rsidR="008342B8" w:rsidRPr="00DD03D6">
        <w:rPr>
          <w:noProof/>
          <w:lang w:val="fr-FR"/>
        </w:rPr>
        <w:t>The National Strategy for Research and Data on Children</w:t>
      </w:r>
      <w:r w:rsidR="000A2B7B" w:rsidRPr="00DD03D6">
        <w:rPr>
          <w:noProof/>
          <w:lang w:val="fr-FR"/>
        </w:rPr>
        <w:t>’</w:t>
      </w:r>
      <w:r w:rsidR="008342B8" w:rsidRPr="00DD03D6">
        <w:rPr>
          <w:noProof/>
          <w:lang w:val="fr-FR"/>
        </w:rPr>
        <w:t>s Lives, 2011-2016</w:t>
      </w:r>
      <w:r>
        <w:rPr>
          <w:noProof/>
          <w:lang w:val="fr-FR"/>
        </w:rPr>
        <w:t>)</w:t>
      </w:r>
      <w:r w:rsidR="008342B8" w:rsidRPr="00DD03D6">
        <w:rPr>
          <w:noProof/>
          <w:lang w:val="fr-FR"/>
        </w:rPr>
        <w:t xml:space="preserve"> (</w:t>
      </w:r>
      <w:r>
        <w:rPr>
          <w:noProof/>
          <w:lang w:val="fr-FR"/>
        </w:rPr>
        <w:t>Ministère de l’enfance et de la jeunesse</w:t>
      </w:r>
      <w:r w:rsidR="008342B8" w:rsidRPr="00DD03D6">
        <w:rPr>
          <w:noProof/>
          <w:lang w:val="fr-FR"/>
        </w:rPr>
        <w:t>, 2011a)</w:t>
      </w:r>
      <w:r w:rsidR="00CB6ABA" w:rsidRPr="00DD03D6">
        <w:rPr>
          <w:noProof/>
          <w:lang w:val="fr-FR"/>
        </w:rPr>
        <w:t>;</w:t>
      </w:r>
    </w:p>
    <w:p w:rsidR="008342B8" w:rsidRPr="00DD03D6" w:rsidRDefault="008302DA" w:rsidP="00CF0BB1">
      <w:pPr>
        <w:pStyle w:val="Bullet1G"/>
        <w:tabs>
          <w:tab w:val="clear" w:pos="1701"/>
        </w:tabs>
        <w:ind w:left="1843" w:hanging="142"/>
        <w:rPr>
          <w:noProof/>
          <w:lang w:val="fr-FR"/>
        </w:rPr>
      </w:pPr>
      <w:r>
        <w:rPr>
          <w:noProof/>
          <w:lang w:val="fr-FR"/>
        </w:rPr>
        <w:t>Éléments d’orientation pour l’élaboration de projets de recherche éthiques concernant les enfants (</w:t>
      </w:r>
      <w:r w:rsidR="008342B8" w:rsidRPr="00DD03D6">
        <w:rPr>
          <w:noProof/>
          <w:lang w:val="fr-FR"/>
        </w:rPr>
        <w:t>Guidance for Developing Ethical Research Projects involving Children</w:t>
      </w:r>
      <w:r>
        <w:rPr>
          <w:noProof/>
          <w:lang w:val="fr-FR"/>
        </w:rPr>
        <w:t>)</w:t>
      </w:r>
      <w:r w:rsidR="008342B8" w:rsidRPr="00DD03D6">
        <w:rPr>
          <w:noProof/>
          <w:lang w:val="fr-FR"/>
        </w:rPr>
        <w:t xml:space="preserve"> (</w:t>
      </w:r>
      <w:r>
        <w:rPr>
          <w:noProof/>
          <w:lang w:val="fr-FR"/>
        </w:rPr>
        <w:t>Ministère de l’enfance et de la jeunesse</w:t>
      </w:r>
      <w:r w:rsidR="008342B8" w:rsidRPr="00DD03D6">
        <w:rPr>
          <w:noProof/>
          <w:lang w:val="fr-FR"/>
        </w:rPr>
        <w:t>, 2012b)</w:t>
      </w:r>
      <w:r w:rsidR="00CB6ABA" w:rsidRPr="00DD03D6">
        <w:rPr>
          <w:noProof/>
          <w:lang w:val="fr-FR"/>
        </w:rPr>
        <w:t>;</w:t>
      </w:r>
    </w:p>
    <w:p w:rsidR="008342B8" w:rsidRPr="00DD03D6" w:rsidRDefault="008302DA" w:rsidP="00CF0BB1">
      <w:pPr>
        <w:pStyle w:val="Bullet1G"/>
        <w:tabs>
          <w:tab w:val="clear" w:pos="1701"/>
        </w:tabs>
        <w:ind w:left="1843" w:hanging="142"/>
        <w:rPr>
          <w:noProof/>
          <w:lang w:val="fr-FR"/>
        </w:rPr>
      </w:pPr>
      <w:r>
        <w:rPr>
          <w:noProof/>
          <w:lang w:val="fr-FR"/>
        </w:rPr>
        <w:t>Normes n</w:t>
      </w:r>
      <w:r w:rsidRPr="00DD03D6">
        <w:rPr>
          <w:noProof/>
          <w:lang w:val="fr-FR"/>
        </w:rPr>
        <w:t>ational</w:t>
      </w:r>
      <w:r>
        <w:rPr>
          <w:noProof/>
          <w:lang w:val="fr-FR"/>
        </w:rPr>
        <w:t>es de p</w:t>
      </w:r>
      <w:r w:rsidRPr="00DD03D6">
        <w:rPr>
          <w:noProof/>
          <w:lang w:val="fr-FR"/>
        </w:rPr>
        <w:t xml:space="preserve">rotection </w:t>
      </w:r>
      <w:r>
        <w:rPr>
          <w:noProof/>
          <w:lang w:val="fr-FR"/>
        </w:rPr>
        <w:t>des enfants et d’assistance aux enfants (</w:t>
      </w:r>
      <w:r w:rsidR="008342B8" w:rsidRPr="00DD03D6">
        <w:rPr>
          <w:noProof/>
          <w:lang w:val="fr-FR"/>
        </w:rPr>
        <w:t>National Standards for the Protection and Welfare of Children</w:t>
      </w:r>
      <w:r>
        <w:rPr>
          <w:noProof/>
          <w:lang w:val="fr-FR"/>
        </w:rPr>
        <w:t>)</w:t>
      </w:r>
      <w:r w:rsidR="008342B8" w:rsidRPr="00DD03D6">
        <w:rPr>
          <w:noProof/>
          <w:lang w:val="fr-FR"/>
        </w:rPr>
        <w:t xml:space="preserve"> </w:t>
      </w:r>
      <w:r w:rsidRPr="00DD03D6">
        <w:rPr>
          <w:noProof/>
          <w:lang w:val="fr-FR"/>
        </w:rPr>
        <w:t>(</w:t>
      </w:r>
      <w:r>
        <w:rPr>
          <w:noProof/>
          <w:lang w:val="fr-FR"/>
        </w:rPr>
        <w:t>Bureau de l’information sanitaire et de la qualité des services sanitaires</w:t>
      </w:r>
      <w:r w:rsidR="008342B8" w:rsidRPr="00DD03D6">
        <w:rPr>
          <w:noProof/>
          <w:lang w:val="fr-FR"/>
        </w:rPr>
        <w:t>, 2012a)</w:t>
      </w:r>
      <w:r w:rsidR="00CB6ABA" w:rsidRPr="00DD03D6">
        <w:rPr>
          <w:noProof/>
          <w:lang w:val="fr-FR"/>
        </w:rPr>
        <w:t>.</w:t>
      </w:r>
    </w:p>
    <w:p w:rsidR="008342B8" w:rsidRPr="00DD03D6" w:rsidRDefault="008302DA" w:rsidP="008342B8">
      <w:pPr>
        <w:pStyle w:val="SingleTxtG"/>
        <w:numPr>
          <w:ilvl w:val="0"/>
          <w:numId w:val="3"/>
        </w:numPr>
        <w:ind w:left="1134" w:firstLine="0"/>
        <w:rPr>
          <w:noProof/>
          <w:lang w:val="fr-FR"/>
        </w:rPr>
      </w:pPr>
      <w:r>
        <w:rPr>
          <w:noProof/>
          <w:lang w:val="fr-FR"/>
        </w:rPr>
        <w:t>Le contenu et l’efficacité de ces initiatives et d’autres encore sont examinés dans les sections pertinentes du présent rapport.</w:t>
      </w:r>
    </w:p>
    <w:p w:rsidR="008342B8" w:rsidRPr="00DD03D6" w:rsidRDefault="008342B8" w:rsidP="008342B8">
      <w:pPr>
        <w:pStyle w:val="H1G"/>
        <w:rPr>
          <w:noProof/>
          <w:lang w:val="fr-FR"/>
        </w:rPr>
      </w:pPr>
      <w:bookmarkStart w:id="10" w:name="_Toc356430841"/>
      <w:r w:rsidRPr="00DD03D6">
        <w:rPr>
          <w:noProof/>
          <w:lang w:val="fr-FR"/>
        </w:rPr>
        <w:tab/>
        <w:t>B.</w:t>
      </w:r>
      <w:r w:rsidRPr="00DD03D6">
        <w:rPr>
          <w:noProof/>
          <w:lang w:val="fr-FR"/>
        </w:rPr>
        <w:tab/>
      </w:r>
      <w:r w:rsidR="008302DA">
        <w:rPr>
          <w:noProof/>
          <w:lang w:val="fr-FR"/>
        </w:rPr>
        <w:t xml:space="preserve">Dispositions prises pour </w:t>
      </w:r>
      <w:r w:rsidR="008302DA" w:rsidRPr="00DD03D6">
        <w:rPr>
          <w:noProof/>
          <w:lang w:val="fr-FR"/>
        </w:rPr>
        <w:t>adopt</w:t>
      </w:r>
      <w:r w:rsidR="008302DA">
        <w:rPr>
          <w:noProof/>
          <w:lang w:val="fr-FR"/>
        </w:rPr>
        <w:t xml:space="preserve">er et appliquer une Stratégie nationale globale en faveur des enfants dans le cadre de la </w:t>
      </w:r>
      <w:r w:rsidR="008302DA" w:rsidRPr="00DD03D6">
        <w:rPr>
          <w:noProof/>
          <w:lang w:val="fr-FR"/>
        </w:rPr>
        <w:t xml:space="preserve">Convention </w:t>
      </w:r>
      <w:bookmarkEnd w:id="10"/>
    </w:p>
    <w:p w:rsidR="008342B8" w:rsidRPr="00DD03D6" w:rsidRDefault="00BD751D" w:rsidP="00FF0E94">
      <w:pPr>
        <w:pStyle w:val="SingleTxtG"/>
        <w:numPr>
          <w:ilvl w:val="0"/>
          <w:numId w:val="3"/>
        </w:numPr>
        <w:ind w:left="1134" w:firstLine="0"/>
        <w:rPr>
          <w:noProof/>
          <w:lang w:val="fr-FR"/>
        </w:rPr>
      </w:pPr>
      <w:r>
        <w:rPr>
          <w:noProof/>
          <w:lang w:val="fr-FR"/>
        </w:rPr>
        <w:t xml:space="preserve">La </w:t>
      </w:r>
      <w:r w:rsidRPr="00BD751D">
        <w:rPr>
          <w:noProof/>
          <w:lang w:val="fr-FR"/>
        </w:rPr>
        <w:t>Stratégie nationale en faveur des enfants</w:t>
      </w:r>
      <w:r>
        <w:rPr>
          <w:noProof/>
          <w:lang w:val="fr-FR"/>
        </w:rPr>
        <w:t>, 2000-2010</w:t>
      </w:r>
      <w:r w:rsidRPr="00BD751D">
        <w:rPr>
          <w:noProof/>
          <w:lang w:val="fr-FR"/>
        </w:rPr>
        <w:t> : Nos enfants – Leur vie</w:t>
      </w:r>
      <w:r w:rsidR="00E92D3C">
        <w:rPr>
          <w:i/>
          <w:noProof/>
          <w:lang w:val="fr-FR"/>
        </w:rPr>
        <w:t xml:space="preserve"> </w:t>
      </w:r>
      <w:r>
        <w:rPr>
          <w:noProof/>
          <w:lang w:val="fr-FR"/>
        </w:rPr>
        <w:t>(</w:t>
      </w:r>
      <w:r w:rsidR="008342B8" w:rsidRPr="00DD03D6">
        <w:rPr>
          <w:noProof/>
          <w:lang w:val="fr-FR"/>
        </w:rPr>
        <w:t>National Children</w:t>
      </w:r>
      <w:r w:rsidR="000A2B7B" w:rsidRPr="00DD03D6">
        <w:rPr>
          <w:noProof/>
          <w:lang w:val="fr-FR"/>
        </w:rPr>
        <w:t>’</w:t>
      </w:r>
      <w:r w:rsidR="008342B8" w:rsidRPr="00DD03D6">
        <w:rPr>
          <w:noProof/>
          <w:lang w:val="fr-FR"/>
        </w:rPr>
        <w:t>s Strategy, 2000-2010: Our Children – Their Lives</w:t>
      </w:r>
      <w:r>
        <w:rPr>
          <w:noProof/>
          <w:lang w:val="fr-FR"/>
        </w:rPr>
        <w:t>)</w:t>
      </w:r>
      <w:r w:rsidR="008342B8" w:rsidRPr="00DD03D6">
        <w:rPr>
          <w:noProof/>
          <w:lang w:val="fr-FR"/>
        </w:rPr>
        <w:t xml:space="preserve"> </w:t>
      </w:r>
      <w:r>
        <w:rPr>
          <w:noProof/>
          <w:lang w:val="fr-FR"/>
        </w:rPr>
        <w:t xml:space="preserve">a été une stratégie </w:t>
      </w:r>
      <w:r>
        <w:rPr>
          <w:noProof/>
          <w:lang w:val="fr-FR"/>
        </w:rPr>
        <w:lastRenderedPageBreak/>
        <w:t xml:space="preserve">officielle fondée sur une vaste </w:t>
      </w:r>
      <w:r w:rsidR="008342B8" w:rsidRPr="00DD03D6">
        <w:rPr>
          <w:noProof/>
          <w:lang w:val="fr-FR"/>
        </w:rPr>
        <w:t>consultation</w:t>
      </w:r>
      <w:r>
        <w:rPr>
          <w:noProof/>
          <w:lang w:val="fr-FR"/>
        </w:rPr>
        <w:t xml:space="preserve"> approfondie menée auprès des </w:t>
      </w:r>
      <w:r w:rsidR="008342B8" w:rsidRPr="00DD03D6">
        <w:rPr>
          <w:noProof/>
          <w:lang w:val="fr-FR"/>
        </w:rPr>
        <w:t xml:space="preserve">parents, </w:t>
      </w:r>
      <w:r>
        <w:rPr>
          <w:noProof/>
          <w:lang w:val="fr-FR"/>
        </w:rPr>
        <w:t xml:space="preserve">des enfants, des organismes publics et des ONG qui travaillent avec les enfants, et établie sur la base de la </w:t>
      </w:r>
      <w:r w:rsidR="008342B8" w:rsidRPr="00DD03D6">
        <w:rPr>
          <w:noProof/>
          <w:lang w:val="fr-FR"/>
        </w:rPr>
        <w:t xml:space="preserve">Convention </w:t>
      </w:r>
      <w:r>
        <w:rPr>
          <w:noProof/>
          <w:lang w:val="fr-FR"/>
        </w:rPr>
        <w:t>relative aux droits de l’enfant</w:t>
      </w:r>
      <w:r w:rsidR="008342B8" w:rsidRPr="00DD03D6">
        <w:rPr>
          <w:noProof/>
          <w:lang w:val="fr-FR"/>
        </w:rPr>
        <w:t xml:space="preserve">. </w:t>
      </w:r>
      <w:r>
        <w:rPr>
          <w:noProof/>
          <w:lang w:val="fr-FR"/>
        </w:rPr>
        <w:t>Elle visait principalement à fournir un schéma d’amélioration de la vie des enfants, en particulier de ceux qui sont défavorisés ou ont des besoins atypiques</w:t>
      </w:r>
      <w:r w:rsidR="008342B8" w:rsidRPr="00DD03D6">
        <w:rPr>
          <w:noProof/>
          <w:lang w:val="fr-FR"/>
        </w:rPr>
        <w:t xml:space="preserve">. </w:t>
      </w:r>
      <w:r>
        <w:rPr>
          <w:noProof/>
          <w:lang w:val="fr-FR"/>
        </w:rPr>
        <w:t xml:space="preserve">Cette </w:t>
      </w:r>
      <w:r w:rsidR="008342B8" w:rsidRPr="00DD03D6">
        <w:rPr>
          <w:noProof/>
          <w:lang w:val="fr-FR"/>
        </w:rPr>
        <w:t>strat</w:t>
      </w:r>
      <w:r>
        <w:rPr>
          <w:noProof/>
          <w:lang w:val="fr-FR"/>
        </w:rPr>
        <w:t>é</w:t>
      </w:r>
      <w:r w:rsidR="008342B8" w:rsidRPr="00DD03D6">
        <w:rPr>
          <w:noProof/>
          <w:lang w:val="fr-FR"/>
        </w:rPr>
        <w:t>g</w:t>
      </w:r>
      <w:r>
        <w:rPr>
          <w:noProof/>
          <w:lang w:val="fr-FR"/>
        </w:rPr>
        <w:t>ie a été mise en œuvre sur une période de 10 ans</w:t>
      </w:r>
      <w:r w:rsidR="008342B8" w:rsidRPr="00DD03D6">
        <w:rPr>
          <w:noProof/>
          <w:lang w:val="fr-FR"/>
        </w:rPr>
        <w:t>.</w:t>
      </w:r>
    </w:p>
    <w:p w:rsidR="008342B8" w:rsidRPr="00DD03D6" w:rsidRDefault="006B33F4" w:rsidP="008342B8">
      <w:pPr>
        <w:pStyle w:val="SingleTxtG"/>
        <w:numPr>
          <w:ilvl w:val="0"/>
          <w:numId w:val="3"/>
        </w:numPr>
        <w:ind w:left="1134" w:firstLine="0"/>
        <w:rPr>
          <w:noProof/>
          <w:lang w:val="fr-FR"/>
        </w:rPr>
      </w:pPr>
      <w:r>
        <w:rPr>
          <w:noProof/>
          <w:lang w:val="fr-FR"/>
        </w:rPr>
        <w:t xml:space="preserve">Le Ministère de l’enfance et de la jeunesse </w:t>
      </w:r>
      <w:r w:rsidR="00A3514F">
        <w:rPr>
          <w:noProof/>
          <w:lang w:val="fr-FR"/>
        </w:rPr>
        <w:t>a entrepris d’élaborer une nouvelle stratégie</w:t>
      </w:r>
      <w:r w:rsidR="008342B8" w:rsidRPr="00DD03D6">
        <w:rPr>
          <w:noProof/>
          <w:lang w:val="fr-FR"/>
        </w:rPr>
        <w:t xml:space="preserve">, </w:t>
      </w:r>
      <w:r w:rsidR="00C32912">
        <w:rPr>
          <w:noProof/>
          <w:lang w:val="fr-FR"/>
        </w:rPr>
        <w:t xml:space="preserve">intitulée Cadre </w:t>
      </w:r>
      <w:r w:rsidR="006A0192">
        <w:rPr>
          <w:noProof/>
          <w:lang w:val="fr-FR"/>
        </w:rPr>
        <w:t>directeur</w:t>
      </w:r>
      <w:r w:rsidR="00C32912">
        <w:rPr>
          <w:noProof/>
          <w:lang w:val="fr-FR"/>
        </w:rPr>
        <w:t xml:space="preserve"> national relatif à l’enfance et à la jeunesse</w:t>
      </w:r>
      <w:r w:rsidR="008342B8" w:rsidRPr="00DD03D6">
        <w:rPr>
          <w:noProof/>
          <w:lang w:val="fr-FR"/>
        </w:rPr>
        <w:t xml:space="preserve">. </w:t>
      </w:r>
      <w:r w:rsidR="00C32912">
        <w:rPr>
          <w:noProof/>
          <w:lang w:val="fr-FR"/>
        </w:rPr>
        <w:t>Elle poursuivra la réalisation des objectifs</w:t>
      </w:r>
      <w:r w:rsidR="006A0192">
        <w:rPr>
          <w:noProof/>
          <w:lang w:val="fr-FR"/>
        </w:rPr>
        <w:t xml:space="preserve"> de</w:t>
      </w:r>
      <w:r w:rsidR="00C32912">
        <w:rPr>
          <w:noProof/>
          <w:lang w:val="fr-FR"/>
        </w:rPr>
        <w:t xml:space="preserve"> la première </w:t>
      </w:r>
      <w:r w:rsidR="00C32912" w:rsidRPr="00BD751D">
        <w:rPr>
          <w:noProof/>
          <w:lang w:val="fr-FR"/>
        </w:rPr>
        <w:t>Stratégie nationale en faveur des enfants</w:t>
      </w:r>
      <w:r w:rsidR="00C32912" w:rsidRPr="00DD03D6">
        <w:rPr>
          <w:noProof/>
          <w:lang w:val="fr-FR"/>
        </w:rPr>
        <w:t xml:space="preserve"> </w:t>
      </w:r>
      <w:r w:rsidR="00C32912">
        <w:rPr>
          <w:noProof/>
          <w:lang w:val="fr-FR"/>
        </w:rPr>
        <w:t xml:space="preserve">de l’Irlande, qui consistaient à faire en sorte </w:t>
      </w:r>
      <w:r w:rsidR="008342B8" w:rsidRPr="00DD03D6">
        <w:rPr>
          <w:noProof/>
          <w:lang w:val="fr-FR"/>
        </w:rPr>
        <w:t xml:space="preserve">1) </w:t>
      </w:r>
      <w:r w:rsidR="00C32912">
        <w:rPr>
          <w:noProof/>
          <w:lang w:val="fr-FR"/>
        </w:rPr>
        <w:t>que les enfants puissent se faire entendre au sujet des affaires les concernant</w:t>
      </w:r>
      <w:r w:rsidR="008342B8" w:rsidRPr="00DD03D6">
        <w:rPr>
          <w:noProof/>
          <w:lang w:val="fr-FR"/>
        </w:rPr>
        <w:t xml:space="preserve">, 2) </w:t>
      </w:r>
      <w:r w:rsidR="00C32912">
        <w:rPr>
          <w:noProof/>
          <w:lang w:val="fr-FR"/>
        </w:rPr>
        <w:t xml:space="preserve">que leur vie soit mieux comprise et </w:t>
      </w:r>
      <w:r w:rsidR="008342B8" w:rsidRPr="00DD03D6">
        <w:rPr>
          <w:noProof/>
          <w:lang w:val="fr-FR"/>
        </w:rPr>
        <w:t xml:space="preserve">3) </w:t>
      </w:r>
      <w:r w:rsidR="00C32912">
        <w:rPr>
          <w:noProof/>
          <w:lang w:val="fr-FR"/>
        </w:rPr>
        <w:t xml:space="preserve">qu’ils bénéficient d’aides et de services de qualité pour promouvoir tous les </w:t>
      </w:r>
      <w:r w:rsidR="008342B8" w:rsidRPr="00DD03D6">
        <w:rPr>
          <w:noProof/>
          <w:lang w:val="fr-FR"/>
        </w:rPr>
        <w:t xml:space="preserve">aspects </w:t>
      </w:r>
      <w:r w:rsidR="00C32912">
        <w:rPr>
          <w:noProof/>
          <w:lang w:val="fr-FR"/>
        </w:rPr>
        <w:t xml:space="preserve">de leur </w:t>
      </w:r>
      <w:r w:rsidR="008342B8" w:rsidRPr="00DD03D6">
        <w:rPr>
          <w:noProof/>
          <w:lang w:val="fr-FR"/>
        </w:rPr>
        <w:t>d</w:t>
      </w:r>
      <w:r w:rsidR="00C32912">
        <w:rPr>
          <w:noProof/>
          <w:lang w:val="fr-FR"/>
        </w:rPr>
        <w:t>é</w:t>
      </w:r>
      <w:r w:rsidR="008342B8" w:rsidRPr="00DD03D6">
        <w:rPr>
          <w:noProof/>
          <w:lang w:val="fr-FR"/>
        </w:rPr>
        <w:t>velop</w:t>
      </w:r>
      <w:r w:rsidR="00C32912">
        <w:rPr>
          <w:noProof/>
          <w:lang w:val="fr-FR"/>
        </w:rPr>
        <w:t>pe</w:t>
      </w:r>
      <w:r w:rsidR="008342B8" w:rsidRPr="00DD03D6">
        <w:rPr>
          <w:noProof/>
          <w:lang w:val="fr-FR"/>
        </w:rPr>
        <w:t xml:space="preserve">ment. </w:t>
      </w:r>
      <w:r w:rsidR="00D4370C">
        <w:rPr>
          <w:noProof/>
          <w:lang w:val="fr-FR"/>
        </w:rPr>
        <w:t xml:space="preserve">Le nouveau Cadre </w:t>
      </w:r>
      <w:r w:rsidR="00482FEF">
        <w:rPr>
          <w:noProof/>
          <w:lang w:val="fr-FR"/>
        </w:rPr>
        <w:t>directeur</w:t>
      </w:r>
      <w:r w:rsidR="00D4370C">
        <w:rPr>
          <w:noProof/>
          <w:lang w:val="fr-FR"/>
        </w:rPr>
        <w:t xml:space="preserve"> fournira une approche de l’élaboration des politiques qui tiendra compte d’une manière intégrée de tous les aspects de l’enfance.</w:t>
      </w:r>
      <w:r w:rsidR="008342B8" w:rsidRPr="00DD03D6">
        <w:rPr>
          <w:noProof/>
          <w:lang w:val="fr-FR"/>
        </w:rPr>
        <w:t xml:space="preserve"> I</w:t>
      </w:r>
      <w:r w:rsidR="00D4370C">
        <w:rPr>
          <w:noProof/>
          <w:lang w:val="fr-FR"/>
        </w:rPr>
        <w:t xml:space="preserve">l servira de cadre global à la </w:t>
      </w:r>
      <w:r w:rsidR="00E477D2">
        <w:rPr>
          <w:noProof/>
          <w:lang w:val="fr-FR"/>
        </w:rPr>
        <w:t>conception,</w:t>
      </w:r>
      <w:r w:rsidR="00D4370C">
        <w:rPr>
          <w:noProof/>
          <w:lang w:val="fr-FR"/>
        </w:rPr>
        <w:t xml:space="preserve"> </w:t>
      </w:r>
      <w:r w:rsidR="00E477D2">
        <w:rPr>
          <w:noProof/>
          <w:lang w:val="fr-FR"/>
        </w:rPr>
        <w:t>dans tous les ministèr</w:t>
      </w:r>
      <w:r w:rsidR="00482FEF">
        <w:rPr>
          <w:noProof/>
          <w:lang w:val="fr-FR"/>
        </w:rPr>
        <w:t>e</w:t>
      </w:r>
      <w:r w:rsidR="00E477D2">
        <w:rPr>
          <w:noProof/>
          <w:lang w:val="fr-FR"/>
        </w:rPr>
        <w:t xml:space="preserve">s et organismes publics, </w:t>
      </w:r>
      <w:r w:rsidR="00D4370C">
        <w:rPr>
          <w:noProof/>
          <w:lang w:val="fr-FR"/>
        </w:rPr>
        <w:t xml:space="preserve">de politiques et services </w:t>
      </w:r>
      <w:r w:rsidR="00E477D2">
        <w:rPr>
          <w:noProof/>
          <w:lang w:val="fr-FR"/>
        </w:rPr>
        <w:t xml:space="preserve">visant à améliorer la situation des enfants et des jeunes jusqu’à l’âge de 25 ans, ce qui est </w:t>
      </w:r>
      <w:r w:rsidR="00C44AD5">
        <w:rPr>
          <w:noProof/>
          <w:lang w:val="fr-FR"/>
        </w:rPr>
        <w:t xml:space="preserve">compatible avec </w:t>
      </w:r>
      <w:r w:rsidR="00E477D2">
        <w:rPr>
          <w:noProof/>
          <w:lang w:val="fr-FR"/>
        </w:rPr>
        <w:t>la responsabilité législative du Ministère</w:t>
      </w:r>
      <w:r w:rsidR="008342B8" w:rsidRPr="00DD03D6">
        <w:rPr>
          <w:noProof/>
          <w:lang w:val="fr-FR"/>
        </w:rPr>
        <w:t xml:space="preserve">, </w:t>
      </w:r>
      <w:r w:rsidR="00E477D2">
        <w:rPr>
          <w:noProof/>
          <w:lang w:val="fr-FR"/>
        </w:rPr>
        <w:t>qui porte sur les enfants et les jeunes de cette cohorte d’âge</w:t>
      </w:r>
      <w:r w:rsidR="008342B8" w:rsidRPr="00DD03D6">
        <w:rPr>
          <w:rStyle w:val="Appelnotedebasdep"/>
          <w:noProof/>
          <w:lang w:val="fr-FR"/>
        </w:rPr>
        <w:footnoteReference w:id="8"/>
      </w:r>
      <w:r w:rsidR="00E477D2">
        <w:rPr>
          <w:noProof/>
          <w:lang w:val="fr-FR"/>
        </w:rPr>
        <w:t>.</w:t>
      </w:r>
    </w:p>
    <w:p w:rsidR="008342B8" w:rsidRPr="00DD03D6" w:rsidRDefault="00B2689F" w:rsidP="008342B8">
      <w:pPr>
        <w:pStyle w:val="SingleTxtG"/>
        <w:numPr>
          <w:ilvl w:val="0"/>
          <w:numId w:val="3"/>
        </w:numPr>
        <w:ind w:left="1134" w:firstLine="0"/>
        <w:rPr>
          <w:noProof/>
          <w:lang w:val="fr-FR"/>
        </w:rPr>
      </w:pPr>
      <w:r>
        <w:rPr>
          <w:noProof/>
          <w:lang w:val="fr-FR"/>
        </w:rPr>
        <w:t xml:space="preserve">Le Cadre </w:t>
      </w:r>
      <w:r w:rsidR="00482FEF">
        <w:rPr>
          <w:noProof/>
          <w:lang w:val="fr-FR"/>
        </w:rPr>
        <w:t>directeur</w:t>
      </w:r>
      <w:r>
        <w:rPr>
          <w:noProof/>
          <w:lang w:val="fr-FR"/>
        </w:rPr>
        <w:t xml:space="preserve"> national relatif à l’enfance et à la jeunesse</w:t>
      </w:r>
      <w:r w:rsidRPr="00DD03D6">
        <w:rPr>
          <w:noProof/>
          <w:lang w:val="fr-FR"/>
        </w:rPr>
        <w:t xml:space="preserve"> </w:t>
      </w:r>
      <w:r>
        <w:rPr>
          <w:noProof/>
          <w:lang w:val="fr-FR"/>
        </w:rPr>
        <w:t>attendu est élaboré d’une manière intégrée pour englober la chaîne ininterrompue des moments de la vie –</w:t>
      </w:r>
      <w:r w:rsidR="00E92D3C">
        <w:rPr>
          <w:noProof/>
          <w:lang w:val="fr-FR"/>
        </w:rPr>
        <w:t xml:space="preserve"> </w:t>
      </w:r>
      <w:r>
        <w:rPr>
          <w:noProof/>
          <w:lang w:val="fr-FR"/>
        </w:rPr>
        <w:t>depuis la petite enfance jusqu’au début de l’âge adulte en passant par le milieu de la période de l’enfance et l’</w:t>
      </w:r>
      <w:r w:rsidR="008342B8" w:rsidRPr="00DD03D6">
        <w:rPr>
          <w:noProof/>
          <w:lang w:val="fr-FR"/>
        </w:rPr>
        <w:t>adolescence</w:t>
      </w:r>
      <w:r>
        <w:rPr>
          <w:noProof/>
          <w:lang w:val="fr-FR"/>
        </w:rPr>
        <w:t xml:space="preserve"> </w:t>
      </w:r>
      <w:r w:rsidR="008342B8" w:rsidRPr="00DD03D6">
        <w:rPr>
          <w:noProof/>
          <w:lang w:val="fr-FR"/>
        </w:rPr>
        <w:t xml:space="preserve">– </w:t>
      </w:r>
      <w:r>
        <w:rPr>
          <w:noProof/>
          <w:lang w:val="fr-FR"/>
        </w:rPr>
        <w:t>conformément aux responsabilités du Ministère à l’égard des enfants et des jeunes</w:t>
      </w:r>
      <w:r w:rsidR="008342B8" w:rsidRPr="00DD03D6">
        <w:rPr>
          <w:noProof/>
          <w:lang w:val="fr-FR"/>
        </w:rPr>
        <w:t xml:space="preserve">. </w:t>
      </w:r>
      <w:r w:rsidR="00DB79DD">
        <w:rPr>
          <w:noProof/>
          <w:lang w:val="fr-FR"/>
        </w:rPr>
        <w:t xml:space="preserve">Ce cadre </w:t>
      </w:r>
      <w:r w:rsidR="00482FEF">
        <w:rPr>
          <w:noProof/>
          <w:lang w:val="fr-FR"/>
        </w:rPr>
        <w:t xml:space="preserve">directeur </w:t>
      </w:r>
      <w:r w:rsidR="00DB79DD">
        <w:rPr>
          <w:noProof/>
          <w:lang w:val="fr-FR"/>
        </w:rPr>
        <w:t>de haut niveau facilitera la formulation d’un certain nombre de stratégies plus détaillées en fonction de l’âge, parmi lesquelles une stratégie des premières années, une stratégie pour la jeunesse et une autre stratégie qui portera sur les questions liées au milieu de la période de l’enfance</w:t>
      </w:r>
      <w:r w:rsidR="008342B8" w:rsidRPr="00DD03D6">
        <w:rPr>
          <w:noProof/>
          <w:lang w:val="fr-FR"/>
        </w:rPr>
        <w:t xml:space="preserve">. </w:t>
      </w:r>
    </w:p>
    <w:p w:rsidR="008342B8" w:rsidRPr="00DD03D6" w:rsidRDefault="00DB79DD" w:rsidP="00624FD0">
      <w:pPr>
        <w:pStyle w:val="SingleTxtG"/>
        <w:numPr>
          <w:ilvl w:val="0"/>
          <w:numId w:val="3"/>
        </w:numPr>
        <w:ind w:left="1134" w:firstLine="0"/>
        <w:rPr>
          <w:i/>
          <w:noProof/>
          <w:lang w:val="fr-FR"/>
        </w:rPr>
      </w:pPr>
      <w:r>
        <w:rPr>
          <w:noProof/>
          <w:lang w:val="fr-FR"/>
        </w:rPr>
        <w:t xml:space="preserve">La </w:t>
      </w:r>
      <w:r w:rsidR="008342B8" w:rsidRPr="00DD03D6">
        <w:rPr>
          <w:noProof/>
          <w:lang w:val="fr-FR"/>
        </w:rPr>
        <w:t xml:space="preserve">participation </w:t>
      </w:r>
      <w:r>
        <w:rPr>
          <w:noProof/>
          <w:lang w:val="fr-FR"/>
        </w:rPr>
        <w:t xml:space="preserve">des enfants a été un </w:t>
      </w:r>
      <w:r w:rsidR="008342B8" w:rsidRPr="00DD03D6">
        <w:rPr>
          <w:noProof/>
          <w:lang w:val="fr-FR"/>
        </w:rPr>
        <w:t xml:space="preserve">aspect </w:t>
      </w:r>
      <w:r>
        <w:rPr>
          <w:noProof/>
          <w:lang w:val="fr-FR"/>
        </w:rPr>
        <w:t xml:space="preserve">essentiel de la conception du nouveau Cadre </w:t>
      </w:r>
      <w:r w:rsidR="00482FEF">
        <w:rPr>
          <w:noProof/>
          <w:lang w:val="fr-FR"/>
        </w:rPr>
        <w:t>directeur</w:t>
      </w:r>
      <w:r>
        <w:rPr>
          <w:noProof/>
          <w:lang w:val="fr-FR"/>
        </w:rPr>
        <w:t xml:space="preserve"> national relatif à l’enfance et à la jeunesse </w:t>
      </w:r>
      <w:r w:rsidR="008342B8" w:rsidRPr="00DD03D6">
        <w:rPr>
          <w:noProof/>
          <w:lang w:val="fr-FR"/>
        </w:rPr>
        <w:t>(</w:t>
      </w:r>
      <w:r>
        <w:rPr>
          <w:noProof/>
          <w:lang w:val="fr-FR"/>
        </w:rPr>
        <w:t xml:space="preserve">voir les </w:t>
      </w:r>
      <w:r w:rsidR="00FF0E94" w:rsidRPr="00DD03D6">
        <w:rPr>
          <w:noProof/>
          <w:lang w:val="fr-FR"/>
        </w:rPr>
        <w:t>p</w:t>
      </w:r>
      <w:r w:rsidR="00796A7C" w:rsidRPr="00DD03D6">
        <w:rPr>
          <w:noProof/>
          <w:lang w:val="fr-FR"/>
        </w:rPr>
        <w:t>ar</w:t>
      </w:r>
      <w:r w:rsidR="00CF0BB1">
        <w:rPr>
          <w:noProof/>
          <w:lang w:val="fr-FR"/>
        </w:rPr>
        <w:t>aragraphes</w:t>
      </w:r>
      <w:r w:rsidR="00624FD0" w:rsidRPr="00DD03D6">
        <w:rPr>
          <w:noProof/>
          <w:lang w:val="fr-FR"/>
        </w:rPr>
        <w:t xml:space="preserve"> 247</w:t>
      </w:r>
      <w:r w:rsidR="00CF0BB1">
        <w:rPr>
          <w:noProof/>
          <w:lang w:val="fr-FR"/>
        </w:rPr>
        <w:t xml:space="preserve"> et </w:t>
      </w:r>
      <w:r w:rsidR="00624FD0" w:rsidRPr="00DD03D6">
        <w:rPr>
          <w:noProof/>
          <w:lang w:val="fr-FR"/>
        </w:rPr>
        <w:t>248</w:t>
      </w:r>
      <w:r w:rsidR="008342B8" w:rsidRPr="00DD03D6">
        <w:rPr>
          <w:noProof/>
          <w:lang w:val="fr-FR"/>
        </w:rPr>
        <w:t>).</w:t>
      </w:r>
    </w:p>
    <w:p w:rsidR="008342B8" w:rsidRPr="00DD03D6" w:rsidRDefault="008342B8" w:rsidP="008342B8">
      <w:pPr>
        <w:pStyle w:val="H1G"/>
        <w:rPr>
          <w:noProof/>
          <w:lang w:val="fr-FR"/>
        </w:rPr>
      </w:pPr>
      <w:bookmarkStart w:id="11" w:name="_Toc356430842"/>
      <w:r w:rsidRPr="00DD03D6">
        <w:rPr>
          <w:noProof/>
          <w:lang w:val="fr-FR"/>
        </w:rPr>
        <w:tab/>
        <w:t>C.</w:t>
      </w:r>
      <w:r w:rsidRPr="00DD03D6">
        <w:rPr>
          <w:noProof/>
          <w:lang w:val="fr-FR"/>
        </w:rPr>
        <w:tab/>
      </w:r>
      <w:r w:rsidR="00DB79DD" w:rsidRPr="00DD03D6">
        <w:rPr>
          <w:noProof/>
          <w:lang w:val="fr-FR"/>
        </w:rPr>
        <w:t xml:space="preserve">Coordination </w:t>
      </w:r>
      <w:r w:rsidR="00DB79DD">
        <w:rPr>
          <w:noProof/>
          <w:lang w:val="fr-FR"/>
        </w:rPr>
        <w:t xml:space="preserve">de l’application de la </w:t>
      </w:r>
      <w:r w:rsidR="00DB79DD" w:rsidRPr="00DD03D6">
        <w:rPr>
          <w:noProof/>
          <w:lang w:val="fr-FR"/>
        </w:rPr>
        <w:t xml:space="preserve">Convention </w:t>
      </w:r>
      <w:r w:rsidR="00DB79DD">
        <w:rPr>
          <w:noProof/>
          <w:lang w:val="fr-FR"/>
        </w:rPr>
        <w:t xml:space="preserve">et des </w:t>
      </w:r>
      <w:r w:rsidR="00DB79DD" w:rsidRPr="00DD03D6">
        <w:rPr>
          <w:noProof/>
          <w:lang w:val="fr-FR"/>
        </w:rPr>
        <w:t>Protocol</w:t>
      </w:r>
      <w:r w:rsidR="00DB79DD">
        <w:rPr>
          <w:noProof/>
          <w:lang w:val="fr-FR"/>
        </w:rPr>
        <w:t>e</w:t>
      </w:r>
      <w:r w:rsidR="00DB79DD" w:rsidRPr="00DD03D6">
        <w:rPr>
          <w:noProof/>
          <w:lang w:val="fr-FR"/>
        </w:rPr>
        <w:t>s</w:t>
      </w:r>
      <w:r w:rsidR="00DB79DD">
        <w:rPr>
          <w:noProof/>
          <w:lang w:val="fr-FR"/>
        </w:rPr>
        <w:t xml:space="preserve"> facultatifs s’y rapportant</w:t>
      </w:r>
      <w:r w:rsidR="00DB79DD" w:rsidRPr="00DD03D6">
        <w:rPr>
          <w:noProof/>
          <w:lang w:val="fr-FR"/>
        </w:rPr>
        <w:t xml:space="preserve"> </w:t>
      </w:r>
      <w:bookmarkEnd w:id="11"/>
    </w:p>
    <w:p w:rsidR="008342B8" w:rsidRPr="00DD03D6" w:rsidRDefault="00DB79DD" w:rsidP="00DF0DBE">
      <w:pPr>
        <w:pStyle w:val="SingleTxtG"/>
        <w:numPr>
          <w:ilvl w:val="0"/>
          <w:numId w:val="3"/>
        </w:numPr>
        <w:ind w:left="1134" w:firstLine="0"/>
        <w:rPr>
          <w:noProof/>
          <w:lang w:val="fr-FR"/>
        </w:rPr>
      </w:pPr>
      <w:r>
        <w:rPr>
          <w:noProof/>
          <w:lang w:val="fr-FR"/>
        </w:rPr>
        <w:t xml:space="preserve">La </w:t>
      </w:r>
      <w:r w:rsidR="008342B8" w:rsidRPr="00DD03D6">
        <w:rPr>
          <w:noProof/>
          <w:lang w:val="fr-FR"/>
        </w:rPr>
        <w:t xml:space="preserve">coordination </w:t>
      </w:r>
      <w:r>
        <w:rPr>
          <w:noProof/>
          <w:lang w:val="fr-FR"/>
        </w:rPr>
        <w:t xml:space="preserve">de l’application de la </w:t>
      </w:r>
      <w:r w:rsidR="008342B8" w:rsidRPr="00DD03D6">
        <w:rPr>
          <w:noProof/>
          <w:lang w:val="fr-FR"/>
        </w:rPr>
        <w:t xml:space="preserve">Convention </w:t>
      </w:r>
      <w:r>
        <w:rPr>
          <w:noProof/>
          <w:lang w:val="fr-FR"/>
        </w:rPr>
        <w:t xml:space="preserve">et des </w:t>
      </w:r>
      <w:r w:rsidR="008342B8" w:rsidRPr="00DD03D6">
        <w:rPr>
          <w:noProof/>
          <w:lang w:val="fr-FR"/>
        </w:rPr>
        <w:t>Protocol</w:t>
      </w:r>
      <w:r>
        <w:rPr>
          <w:noProof/>
          <w:lang w:val="fr-FR"/>
        </w:rPr>
        <w:t>e</w:t>
      </w:r>
      <w:r w:rsidR="008342B8" w:rsidRPr="00DD03D6">
        <w:rPr>
          <w:noProof/>
          <w:lang w:val="fr-FR"/>
        </w:rPr>
        <w:t xml:space="preserve">s </w:t>
      </w:r>
      <w:r>
        <w:rPr>
          <w:noProof/>
          <w:lang w:val="fr-FR"/>
        </w:rPr>
        <w:t>facultatifs s’y rapportant incombe au Ministère de l’enfance et de la jeunesse</w:t>
      </w:r>
      <w:r w:rsidR="008342B8" w:rsidRPr="00DD03D6">
        <w:rPr>
          <w:noProof/>
          <w:lang w:val="fr-FR"/>
        </w:rPr>
        <w:t xml:space="preserve">. </w:t>
      </w:r>
      <w:r w:rsidR="00B32747">
        <w:rPr>
          <w:noProof/>
          <w:lang w:val="fr-FR"/>
        </w:rPr>
        <w:t>C</w:t>
      </w:r>
      <w:r w:rsidR="008C7E38">
        <w:rPr>
          <w:noProof/>
          <w:lang w:val="fr-FR"/>
        </w:rPr>
        <w:t xml:space="preserve">réé en juin </w:t>
      </w:r>
      <w:r w:rsidR="00B32747">
        <w:rPr>
          <w:noProof/>
          <w:lang w:val="fr-FR"/>
        </w:rPr>
        <w:t xml:space="preserve">2011 </w:t>
      </w:r>
      <w:r w:rsidR="008C7E38">
        <w:rPr>
          <w:noProof/>
          <w:lang w:val="fr-FR"/>
        </w:rPr>
        <w:t xml:space="preserve">à partir du </w:t>
      </w:r>
      <w:r w:rsidR="00D8239B">
        <w:rPr>
          <w:noProof/>
          <w:lang w:val="fr-FR"/>
        </w:rPr>
        <w:t xml:space="preserve">Cabinet de la </w:t>
      </w:r>
      <w:r w:rsidR="006A531F">
        <w:rPr>
          <w:noProof/>
          <w:lang w:val="fr-FR"/>
        </w:rPr>
        <w:t>M</w:t>
      </w:r>
      <w:r w:rsidR="00D8239B">
        <w:rPr>
          <w:noProof/>
          <w:lang w:val="fr-FR"/>
        </w:rPr>
        <w:t>inistre de l’enfance et de la jeunesse</w:t>
      </w:r>
      <w:r w:rsidR="00B32747">
        <w:rPr>
          <w:noProof/>
          <w:lang w:val="fr-FR"/>
        </w:rPr>
        <w:t>, c</w:t>
      </w:r>
      <w:r w:rsidR="008C7E38">
        <w:rPr>
          <w:noProof/>
          <w:lang w:val="fr-FR"/>
        </w:rPr>
        <w:t>e Ministère assume un certain nombre de fonctions antérieurement remplies par le Ministre de la santé, le Ministre de l’éducation et de la formation, le Ministre de la justice et de l’égal</w:t>
      </w:r>
      <w:r w:rsidR="00945D3E">
        <w:rPr>
          <w:noProof/>
          <w:lang w:val="fr-FR"/>
        </w:rPr>
        <w:t>it</w:t>
      </w:r>
      <w:r w:rsidR="008C7E38">
        <w:rPr>
          <w:noProof/>
          <w:lang w:val="fr-FR"/>
        </w:rPr>
        <w:t xml:space="preserve">é et l’ancien </w:t>
      </w:r>
      <w:r w:rsidR="008C7E38" w:rsidRPr="008C7E38">
        <w:rPr>
          <w:noProof/>
          <w:lang w:val="fr-FR"/>
        </w:rPr>
        <w:t>Ministère de la communauté, des affaires rurales et du Gaeltacht</w:t>
      </w:r>
      <w:r w:rsidR="008C7E38">
        <w:rPr>
          <w:noProof/>
          <w:lang w:val="fr-FR"/>
        </w:rPr>
        <w:t>, et regroupe un certain nombre de domaines clés d’intervention et de prestation de services</w:t>
      </w:r>
      <w:r w:rsidR="00945D3E">
        <w:rPr>
          <w:noProof/>
          <w:lang w:val="fr-FR"/>
        </w:rPr>
        <w:t xml:space="preserve"> en faveur des enfants et des jeunes, y compris le </w:t>
      </w:r>
      <w:r w:rsidR="006A531F">
        <w:rPr>
          <w:noProof/>
          <w:lang w:val="fr-FR"/>
        </w:rPr>
        <w:t>Cabinet de la M</w:t>
      </w:r>
      <w:r w:rsidR="00D8239B">
        <w:rPr>
          <w:noProof/>
          <w:lang w:val="fr-FR"/>
        </w:rPr>
        <w:t>inistre de l’enfance et de la jeunesse</w:t>
      </w:r>
      <w:r w:rsidR="008342B8" w:rsidRPr="00DD03D6">
        <w:rPr>
          <w:noProof/>
          <w:lang w:val="fr-FR"/>
        </w:rPr>
        <w:t xml:space="preserve">, </w:t>
      </w:r>
      <w:r w:rsidR="00945D3E">
        <w:rPr>
          <w:noProof/>
          <w:lang w:val="fr-FR"/>
        </w:rPr>
        <w:t>et</w:t>
      </w:r>
      <w:r w:rsidR="008342B8" w:rsidRPr="00DD03D6">
        <w:rPr>
          <w:noProof/>
          <w:lang w:val="fr-FR"/>
        </w:rPr>
        <w:t xml:space="preserve"> </w:t>
      </w:r>
      <w:r w:rsidR="00945D3E">
        <w:rPr>
          <w:noProof/>
          <w:lang w:val="fr-FR"/>
        </w:rPr>
        <w:t>supervise le Conseil n</w:t>
      </w:r>
      <w:r w:rsidR="008342B8" w:rsidRPr="00DD03D6">
        <w:rPr>
          <w:noProof/>
          <w:lang w:val="fr-FR"/>
        </w:rPr>
        <w:t xml:space="preserve">ational </w:t>
      </w:r>
      <w:r w:rsidR="00945D3E">
        <w:rPr>
          <w:noProof/>
          <w:lang w:val="fr-FR"/>
        </w:rPr>
        <w:t>pour la protection de l’éducation</w:t>
      </w:r>
      <w:r w:rsidR="008342B8" w:rsidRPr="00DD03D6">
        <w:rPr>
          <w:noProof/>
          <w:lang w:val="fr-FR"/>
        </w:rPr>
        <w:t xml:space="preserve">, </w:t>
      </w:r>
      <w:r w:rsidR="00945D3E">
        <w:rPr>
          <w:noProof/>
          <w:lang w:val="fr-FR"/>
        </w:rPr>
        <w:t>l’Agence d’aide aux familles, l’Autorité en matière d’a</w:t>
      </w:r>
      <w:r w:rsidR="008342B8" w:rsidRPr="00DD03D6">
        <w:rPr>
          <w:noProof/>
          <w:lang w:val="fr-FR"/>
        </w:rPr>
        <w:t xml:space="preserve">doption </w:t>
      </w:r>
      <w:r w:rsidR="00945D3E">
        <w:rPr>
          <w:noProof/>
          <w:lang w:val="fr-FR"/>
        </w:rPr>
        <w:t xml:space="preserve">et les établissements d’éducation surveillée </w:t>
      </w:r>
      <w:r w:rsidR="008342B8" w:rsidRPr="00DD03D6">
        <w:rPr>
          <w:noProof/>
          <w:lang w:val="fr-FR"/>
        </w:rPr>
        <w:t>(</w:t>
      </w:r>
      <w:r w:rsidR="00B32747">
        <w:rPr>
          <w:noProof/>
          <w:lang w:val="fr-FR"/>
        </w:rPr>
        <w:t>gérées par le Service de la justice pour mineurs</w:t>
      </w:r>
      <w:r w:rsidR="008342B8" w:rsidRPr="00DD03D6">
        <w:rPr>
          <w:noProof/>
          <w:lang w:val="fr-FR"/>
        </w:rPr>
        <w:t>).</w:t>
      </w:r>
    </w:p>
    <w:p w:rsidR="008342B8" w:rsidRPr="00DD03D6" w:rsidRDefault="005728A4" w:rsidP="00FF0E94">
      <w:pPr>
        <w:pStyle w:val="SingleTxtG"/>
        <w:numPr>
          <w:ilvl w:val="0"/>
          <w:numId w:val="3"/>
        </w:numPr>
        <w:ind w:left="1134" w:firstLine="0"/>
        <w:rPr>
          <w:noProof/>
          <w:lang w:val="fr-FR"/>
        </w:rPr>
      </w:pPr>
      <w:r>
        <w:rPr>
          <w:noProof/>
          <w:lang w:val="fr-FR"/>
        </w:rPr>
        <w:lastRenderedPageBreak/>
        <w:t>La mission du Ministère de l’enfance et de la jeunesse</w:t>
      </w:r>
      <w:r w:rsidRPr="00DD03D6">
        <w:rPr>
          <w:noProof/>
          <w:lang w:val="fr-FR"/>
        </w:rPr>
        <w:t xml:space="preserve"> </w:t>
      </w:r>
      <w:r>
        <w:rPr>
          <w:noProof/>
          <w:lang w:val="fr-FR"/>
        </w:rPr>
        <w:t>englobe un large éventail d’activités relevant de la politique et des services</w:t>
      </w:r>
      <w:r w:rsidR="006A531F">
        <w:rPr>
          <w:noProof/>
          <w:lang w:val="fr-FR"/>
        </w:rPr>
        <w:t xml:space="preserve"> et</w:t>
      </w:r>
      <w:r>
        <w:rPr>
          <w:noProof/>
          <w:lang w:val="fr-FR"/>
        </w:rPr>
        <w:t xml:space="preserve"> tant directes</w:t>
      </w:r>
      <w:r w:rsidR="00E92D3C">
        <w:rPr>
          <w:noProof/>
          <w:lang w:val="fr-FR"/>
        </w:rPr>
        <w:t xml:space="preserve"> </w:t>
      </w:r>
      <w:r>
        <w:rPr>
          <w:noProof/>
          <w:lang w:val="fr-FR"/>
        </w:rPr>
        <w:t>qu’</w:t>
      </w:r>
      <w:r w:rsidR="008342B8" w:rsidRPr="00DD03D6">
        <w:rPr>
          <w:noProof/>
          <w:lang w:val="fr-FR"/>
        </w:rPr>
        <w:t>indirect</w:t>
      </w:r>
      <w:r>
        <w:rPr>
          <w:noProof/>
          <w:lang w:val="fr-FR"/>
        </w:rPr>
        <w:t>es</w:t>
      </w:r>
      <w:r w:rsidR="008342B8" w:rsidRPr="00DD03D6">
        <w:rPr>
          <w:noProof/>
          <w:lang w:val="fr-FR"/>
        </w:rPr>
        <w:t xml:space="preserve"> </w:t>
      </w:r>
      <w:r>
        <w:rPr>
          <w:noProof/>
          <w:lang w:val="fr-FR"/>
        </w:rPr>
        <w:t>en faveur des enfants et des jeunes</w:t>
      </w:r>
      <w:r w:rsidR="0037584E">
        <w:rPr>
          <w:noProof/>
          <w:lang w:val="fr-FR"/>
        </w:rPr>
        <w:t>, dont il sera question dans les sections correspondantes du présent rapport</w:t>
      </w:r>
      <w:r w:rsidR="008342B8" w:rsidRPr="00DD03D6">
        <w:rPr>
          <w:noProof/>
          <w:lang w:val="fr-FR"/>
        </w:rPr>
        <w:t xml:space="preserve">. </w:t>
      </w:r>
      <w:r w:rsidR="0037584E">
        <w:rPr>
          <w:noProof/>
          <w:lang w:val="fr-FR"/>
        </w:rPr>
        <w:t xml:space="preserve">Le mandat de ce ministère, complexe, comporte un certain nombre de volets distincts mais liés entre eux </w:t>
      </w:r>
      <w:r w:rsidR="008342B8" w:rsidRPr="00DD03D6">
        <w:rPr>
          <w:noProof/>
          <w:lang w:val="fr-FR"/>
        </w:rPr>
        <w:t>:</w:t>
      </w:r>
    </w:p>
    <w:p w:rsidR="008342B8" w:rsidRPr="00DD03D6" w:rsidRDefault="0037584E" w:rsidP="00CF0BB1">
      <w:pPr>
        <w:pStyle w:val="Bullet1G"/>
        <w:tabs>
          <w:tab w:val="clear" w:pos="1701"/>
        </w:tabs>
        <w:ind w:left="1843" w:hanging="142"/>
        <w:rPr>
          <w:noProof/>
          <w:lang w:val="fr-FR"/>
        </w:rPr>
      </w:pPr>
      <w:r>
        <w:rPr>
          <w:noProof/>
          <w:lang w:val="fr-FR"/>
        </w:rPr>
        <w:t>La fourniture de divers services universels et ciblés</w:t>
      </w:r>
      <w:r w:rsidR="008342B8" w:rsidRPr="00DD03D6">
        <w:rPr>
          <w:noProof/>
          <w:lang w:val="fr-FR"/>
        </w:rPr>
        <w:t xml:space="preserve">; </w:t>
      </w:r>
    </w:p>
    <w:p w:rsidR="008342B8" w:rsidRPr="00DD03D6" w:rsidRDefault="0037584E" w:rsidP="00CF0BB1">
      <w:pPr>
        <w:pStyle w:val="Bullet1G"/>
        <w:tabs>
          <w:tab w:val="clear" w:pos="1701"/>
        </w:tabs>
        <w:ind w:left="1843" w:hanging="142"/>
        <w:rPr>
          <w:noProof/>
          <w:lang w:val="fr-FR"/>
        </w:rPr>
      </w:pPr>
      <w:r>
        <w:rPr>
          <w:noProof/>
          <w:lang w:val="fr-FR"/>
        </w:rPr>
        <w:t>Le suivi et le contrôle d’un système de prestation de services</w:t>
      </w:r>
      <w:r w:rsidR="008342B8" w:rsidRPr="00DD03D6">
        <w:rPr>
          <w:noProof/>
          <w:lang w:val="fr-FR"/>
        </w:rPr>
        <w:t>;</w:t>
      </w:r>
    </w:p>
    <w:p w:rsidR="008342B8" w:rsidRPr="00DD03D6" w:rsidRDefault="0037584E" w:rsidP="00CF0BB1">
      <w:pPr>
        <w:pStyle w:val="Bullet1G"/>
        <w:tabs>
          <w:tab w:val="clear" w:pos="1701"/>
        </w:tabs>
        <w:ind w:left="1843" w:hanging="142"/>
        <w:rPr>
          <w:noProof/>
          <w:lang w:val="fr-FR"/>
        </w:rPr>
      </w:pPr>
      <w:r>
        <w:rPr>
          <w:noProof/>
          <w:lang w:val="fr-FR"/>
        </w:rPr>
        <w:t xml:space="preserve">L’élaboration de textes législatifs et directifs </w:t>
      </w:r>
      <w:r w:rsidR="009D0683">
        <w:rPr>
          <w:noProof/>
          <w:lang w:val="fr-FR"/>
        </w:rPr>
        <w:t>devant faciliter</w:t>
      </w:r>
      <w:r>
        <w:rPr>
          <w:noProof/>
          <w:lang w:val="fr-FR"/>
        </w:rPr>
        <w:t xml:space="preserve"> la mise en place de mécanismes </w:t>
      </w:r>
      <w:r w:rsidR="009D0683">
        <w:rPr>
          <w:noProof/>
          <w:lang w:val="fr-FR"/>
        </w:rPr>
        <w:t>garantissant la qualité des interventions ciblées à mener en matière de protection des enfants, d’aide aux familles, d’</w:t>
      </w:r>
      <w:r w:rsidR="008342B8" w:rsidRPr="00DD03D6">
        <w:rPr>
          <w:noProof/>
          <w:lang w:val="fr-FR"/>
        </w:rPr>
        <w:t xml:space="preserve">adoption, </w:t>
      </w:r>
      <w:r w:rsidR="009D0683">
        <w:rPr>
          <w:noProof/>
          <w:lang w:val="fr-FR"/>
        </w:rPr>
        <w:t>de scolarisation et de réduction de la délinquance juvénile</w:t>
      </w:r>
      <w:r w:rsidR="008342B8" w:rsidRPr="00DD03D6">
        <w:rPr>
          <w:noProof/>
          <w:lang w:val="fr-FR"/>
        </w:rPr>
        <w:t>;</w:t>
      </w:r>
    </w:p>
    <w:p w:rsidR="008342B8" w:rsidRPr="00DD03D6" w:rsidRDefault="009D0683" w:rsidP="00CF0BB1">
      <w:pPr>
        <w:pStyle w:val="Bullet1G"/>
        <w:tabs>
          <w:tab w:val="clear" w:pos="1701"/>
        </w:tabs>
        <w:ind w:left="1843" w:hanging="142"/>
        <w:rPr>
          <w:noProof/>
          <w:lang w:val="fr-FR"/>
        </w:rPr>
      </w:pPr>
      <w:r>
        <w:rPr>
          <w:noProof/>
          <w:lang w:val="fr-FR"/>
        </w:rPr>
        <w:t>L’</w:t>
      </w:r>
      <w:r w:rsidR="008342B8" w:rsidRPr="00DD03D6">
        <w:rPr>
          <w:noProof/>
          <w:lang w:val="fr-FR"/>
        </w:rPr>
        <w:t xml:space="preserve">harmonisation </w:t>
      </w:r>
      <w:r>
        <w:rPr>
          <w:noProof/>
          <w:lang w:val="fr-FR"/>
        </w:rPr>
        <w:t xml:space="preserve">des politiques et prestations des ministères et organismes publics avec les activités d’un large éventail </w:t>
      </w:r>
      <w:r w:rsidR="006A531F">
        <w:rPr>
          <w:noProof/>
          <w:lang w:val="fr-FR"/>
        </w:rPr>
        <w:t>d’acteurs</w:t>
      </w:r>
      <w:r>
        <w:rPr>
          <w:noProof/>
          <w:lang w:val="fr-FR"/>
        </w:rPr>
        <w:t>, afin d’améliorer la situation des enfants, des jeunes et des familles</w:t>
      </w:r>
      <w:r w:rsidR="008342B8" w:rsidRPr="00DD03D6">
        <w:rPr>
          <w:noProof/>
          <w:lang w:val="fr-FR"/>
        </w:rPr>
        <w:t>.</w:t>
      </w:r>
    </w:p>
    <w:p w:rsidR="008342B8" w:rsidRPr="00DD03D6" w:rsidRDefault="009D0683" w:rsidP="00DF0DBE">
      <w:pPr>
        <w:pStyle w:val="SingleTxtG"/>
        <w:numPr>
          <w:ilvl w:val="0"/>
          <w:numId w:val="3"/>
        </w:numPr>
        <w:ind w:left="1134" w:firstLine="0"/>
        <w:rPr>
          <w:noProof/>
          <w:lang w:val="fr-FR"/>
        </w:rPr>
      </w:pPr>
      <w:r>
        <w:rPr>
          <w:noProof/>
          <w:lang w:val="fr-FR"/>
        </w:rPr>
        <w:t xml:space="preserve">Dans son programme pour </w:t>
      </w:r>
      <w:r w:rsidR="008342B8" w:rsidRPr="00DD03D6">
        <w:rPr>
          <w:noProof/>
          <w:lang w:val="fr-FR"/>
        </w:rPr>
        <w:t>2011-2016</w:t>
      </w:r>
      <w:r>
        <w:rPr>
          <w:noProof/>
          <w:lang w:val="fr-FR"/>
        </w:rPr>
        <w:t xml:space="preserve"> en cours, le Gouvernement </w:t>
      </w:r>
      <w:r w:rsidR="009B7FB3">
        <w:rPr>
          <w:noProof/>
          <w:lang w:val="fr-FR"/>
        </w:rPr>
        <w:t xml:space="preserve">énonce un certain nombre de </w:t>
      </w:r>
      <w:r w:rsidR="004E4884">
        <w:rPr>
          <w:noProof/>
          <w:lang w:val="fr-FR"/>
        </w:rPr>
        <w:t xml:space="preserve">grandes </w:t>
      </w:r>
      <w:r w:rsidR="009B7FB3">
        <w:rPr>
          <w:noProof/>
          <w:lang w:val="fr-FR"/>
        </w:rPr>
        <w:t xml:space="preserve">priorités </w:t>
      </w:r>
      <w:r w:rsidR="004E4884">
        <w:rPr>
          <w:noProof/>
          <w:lang w:val="fr-FR"/>
        </w:rPr>
        <w:t>en ce qui concerne les enfants, lesquelles relèvent désormais de la responsabilité du Ministère de l’enfance et de la jeunesse</w:t>
      </w:r>
      <w:r w:rsidR="008342B8" w:rsidRPr="00DD03D6">
        <w:rPr>
          <w:noProof/>
          <w:lang w:val="fr-FR"/>
        </w:rPr>
        <w:t xml:space="preserve">. </w:t>
      </w:r>
      <w:r w:rsidR="004E4884">
        <w:rPr>
          <w:noProof/>
          <w:lang w:val="fr-FR"/>
        </w:rPr>
        <w:t>Ces priorités sont les suivantes :</w:t>
      </w:r>
      <w:r w:rsidR="008342B8" w:rsidRPr="00DD03D6">
        <w:rPr>
          <w:noProof/>
          <w:lang w:val="fr-FR" w:eastAsia="en-IE"/>
        </w:rPr>
        <w:t xml:space="preserve"> </w:t>
      </w:r>
    </w:p>
    <w:p w:rsidR="008342B8" w:rsidRPr="00DD03D6" w:rsidRDefault="004E4884" w:rsidP="00CF0BB1">
      <w:pPr>
        <w:pStyle w:val="Bullet1G"/>
        <w:tabs>
          <w:tab w:val="clear" w:pos="1701"/>
        </w:tabs>
        <w:ind w:left="1843" w:hanging="142"/>
        <w:rPr>
          <w:noProof/>
          <w:lang w:val="fr-FR"/>
        </w:rPr>
      </w:pPr>
      <w:r>
        <w:rPr>
          <w:noProof/>
          <w:lang w:val="fr-FR"/>
        </w:rPr>
        <w:t xml:space="preserve">Organiser un référendum constitutionnel au sujet des droits des enfants garantis par la </w:t>
      </w:r>
      <w:r w:rsidR="008342B8" w:rsidRPr="00DD03D6">
        <w:rPr>
          <w:noProof/>
          <w:lang w:val="fr-FR"/>
        </w:rPr>
        <w:t>Constitution;</w:t>
      </w:r>
    </w:p>
    <w:p w:rsidR="008342B8" w:rsidRPr="00DD03D6" w:rsidRDefault="004E4884" w:rsidP="00CF0BB1">
      <w:pPr>
        <w:pStyle w:val="Bullet1G"/>
        <w:tabs>
          <w:tab w:val="clear" w:pos="1701"/>
        </w:tabs>
        <w:ind w:left="1843" w:hanging="142"/>
        <w:rPr>
          <w:noProof/>
          <w:lang w:val="fr-FR"/>
        </w:rPr>
      </w:pPr>
      <w:r>
        <w:rPr>
          <w:noProof/>
          <w:lang w:val="fr-FR"/>
        </w:rPr>
        <w:t>Donner une base légale à l’Agence pour l’enfant et la famille</w:t>
      </w:r>
      <w:r w:rsidR="008342B8" w:rsidRPr="00DD03D6">
        <w:rPr>
          <w:noProof/>
          <w:lang w:val="fr-FR"/>
        </w:rPr>
        <w:t xml:space="preserve">, </w:t>
      </w:r>
      <w:r>
        <w:rPr>
          <w:noProof/>
          <w:lang w:val="fr-FR"/>
        </w:rPr>
        <w:t>dans le but de refondre la prestation des services de protection de l’enfance et d’en retirer la responsabilité à la Direction des services de santé</w:t>
      </w:r>
      <w:r w:rsidR="008342B8" w:rsidRPr="00DD03D6">
        <w:rPr>
          <w:noProof/>
          <w:lang w:val="fr-FR"/>
        </w:rPr>
        <w:t>;</w:t>
      </w:r>
    </w:p>
    <w:p w:rsidR="008342B8" w:rsidRPr="00DD03D6" w:rsidRDefault="004E4884" w:rsidP="00CF0BB1">
      <w:pPr>
        <w:pStyle w:val="Bullet1G"/>
        <w:tabs>
          <w:tab w:val="clear" w:pos="1701"/>
        </w:tabs>
        <w:ind w:left="1843" w:hanging="142"/>
        <w:rPr>
          <w:noProof/>
          <w:lang w:val="fr-FR"/>
        </w:rPr>
      </w:pPr>
      <w:r>
        <w:rPr>
          <w:noProof/>
          <w:lang w:val="fr-FR"/>
        </w:rPr>
        <w:t>Donner suite aux recomma</w:t>
      </w:r>
      <w:r w:rsidR="008342B8" w:rsidRPr="00DD03D6">
        <w:rPr>
          <w:noProof/>
          <w:lang w:val="fr-FR"/>
        </w:rPr>
        <w:t xml:space="preserve">ndations </w:t>
      </w:r>
      <w:r>
        <w:rPr>
          <w:noProof/>
          <w:lang w:val="fr-FR"/>
        </w:rPr>
        <w:t xml:space="preserve">du </w:t>
      </w:r>
      <w:r w:rsidR="008342B8" w:rsidRPr="00DD03D6">
        <w:rPr>
          <w:i/>
          <w:noProof/>
          <w:lang w:val="fr-FR"/>
        </w:rPr>
        <w:t>R</w:t>
      </w:r>
      <w:r>
        <w:rPr>
          <w:i/>
          <w:noProof/>
          <w:lang w:val="fr-FR"/>
        </w:rPr>
        <w:t xml:space="preserve">apport de la </w:t>
      </w:r>
      <w:r w:rsidR="008342B8" w:rsidRPr="00DD03D6">
        <w:rPr>
          <w:i/>
          <w:noProof/>
          <w:lang w:val="fr-FR"/>
        </w:rPr>
        <w:t xml:space="preserve">Commission </w:t>
      </w:r>
      <w:r>
        <w:rPr>
          <w:i/>
          <w:noProof/>
          <w:lang w:val="fr-FR"/>
        </w:rPr>
        <w:t>d’enquête sur l</w:t>
      </w:r>
      <w:r w:rsidR="00CC6538">
        <w:rPr>
          <w:i/>
          <w:noProof/>
          <w:lang w:val="fr-FR"/>
        </w:rPr>
        <w:t xml:space="preserve">es sévices </w:t>
      </w:r>
      <w:r>
        <w:rPr>
          <w:i/>
          <w:noProof/>
          <w:lang w:val="fr-FR"/>
        </w:rPr>
        <w:t xml:space="preserve">à enfant </w:t>
      </w:r>
      <w:r w:rsidR="008342B8" w:rsidRPr="00DD03D6">
        <w:rPr>
          <w:i/>
          <w:noProof/>
          <w:lang w:val="fr-FR"/>
        </w:rPr>
        <w:t>2009</w:t>
      </w:r>
      <w:r w:rsidR="008342B8" w:rsidRPr="00DD03D6">
        <w:rPr>
          <w:noProof/>
          <w:lang w:val="fr-FR"/>
        </w:rPr>
        <w:t xml:space="preserve"> (</w:t>
      </w:r>
      <w:r>
        <w:rPr>
          <w:noProof/>
          <w:lang w:val="fr-FR"/>
        </w:rPr>
        <w:t xml:space="preserve">ou Rapport </w:t>
      </w:r>
      <w:r w:rsidR="008342B8" w:rsidRPr="00DD03D6">
        <w:rPr>
          <w:noProof/>
          <w:lang w:val="fr-FR"/>
        </w:rPr>
        <w:t xml:space="preserve">Ryan), </w:t>
      </w:r>
      <w:r>
        <w:rPr>
          <w:noProof/>
          <w:lang w:val="fr-FR"/>
        </w:rPr>
        <w:t xml:space="preserve">notamment en </w:t>
      </w:r>
      <w:r w:rsidR="009D6F65">
        <w:rPr>
          <w:noProof/>
          <w:lang w:val="fr-FR"/>
        </w:rPr>
        <w:t xml:space="preserve">donnant force de loi aux </w:t>
      </w:r>
      <w:r w:rsidR="001E1CAD">
        <w:rPr>
          <w:noProof/>
          <w:lang w:val="fr-FR"/>
        </w:rPr>
        <w:t>d</w:t>
      </w:r>
      <w:r w:rsidR="009D6F65">
        <w:rPr>
          <w:iCs/>
          <w:noProof/>
          <w:lang w:val="fr-FR"/>
        </w:rPr>
        <w:t xml:space="preserve">irectives nationales </w:t>
      </w:r>
      <w:r w:rsidR="001E1CAD">
        <w:rPr>
          <w:iCs/>
          <w:noProof/>
          <w:lang w:val="fr-FR"/>
        </w:rPr>
        <w:t xml:space="preserve">intitulées </w:t>
      </w:r>
      <w:r w:rsidR="001E1CAD" w:rsidRPr="003F1ADB">
        <w:rPr>
          <w:lang w:val="fr-CH"/>
        </w:rPr>
        <w:t>«</w:t>
      </w:r>
      <w:r w:rsidR="003F1ADB">
        <w:rPr>
          <w:i/>
          <w:lang w:val="fr-CH"/>
        </w:rPr>
        <w:t> </w:t>
      </w:r>
      <w:r w:rsidR="001E1CAD" w:rsidRPr="007B3894">
        <w:rPr>
          <w:i/>
          <w:lang w:val="fr-CH"/>
        </w:rPr>
        <w:t>Les enfants d’abord</w:t>
      </w:r>
      <w:r w:rsidR="001E1CAD">
        <w:rPr>
          <w:i/>
          <w:lang w:val="fr-CH"/>
        </w:rPr>
        <w:t xml:space="preserve"> </w:t>
      </w:r>
      <w:r w:rsidR="001E1CAD" w:rsidRPr="007B3894">
        <w:rPr>
          <w:i/>
          <w:lang w:val="fr-CH"/>
        </w:rPr>
        <w:t>: directives nationales pour la protecti</w:t>
      </w:r>
      <w:r w:rsidR="001E1CAD">
        <w:rPr>
          <w:i/>
          <w:lang w:val="fr-CH"/>
        </w:rPr>
        <w:t>on et le bien-être des enfants</w:t>
      </w:r>
      <w:r w:rsidR="003F1ADB">
        <w:rPr>
          <w:i/>
          <w:lang w:val="fr-CH"/>
        </w:rPr>
        <w:t> </w:t>
      </w:r>
      <w:r w:rsidR="001E1CAD" w:rsidRPr="003F1ADB">
        <w:rPr>
          <w:lang w:val="fr-CH"/>
        </w:rPr>
        <w:t>»</w:t>
      </w:r>
      <w:r w:rsidR="001E1CAD">
        <w:rPr>
          <w:iCs/>
          <w:noProof/>
          <w:lang w:val="fr-FR"/>
        </w:rPr>
        <w:t xml:space="preserve"> </w:t>
      </w:r>
      <w:r w:rsidR="009D6F65">
        <w:rPr>
          <w:noProof/>
          <w:lang w:val="fr-FR"/>
        </w:rPr>
        <w:t xml:space="preserve">et en </w:t>
      </w:r>
      <w:r w:rsidR="009D6F65" w:rsidRPr="00DD03D6">
        <w:rPr>
          <w:noProof/>
          <w:lang w:val="fr-FR"/>
        </w:rPr>
        <w:t>l</w:t>
      </w:r>
      <w:r w:rsidR="009D6F65">
        <w:rPr>
          <w:noProof/>
          <w:lang w:val="fr-FR"/>
        </w:rPr>
        <w:t>é</w:t>
      </w:r>
      <w:r w:rsidR="009D6F65" w:rsidRPr="00DD03D6">
        <w:rPr>
          <w:noProof/>
          <w:lang w:val="fr-FR"/>
        </w:rPr>
        <w:t>gi</w:t>
      </w:r>
      <w:r w:rsidR="009D6F65">
        <w:rPr>
          <w:noProof/>
          <w:lang w:val="fr-FR"/>
        </w:rPr>
        <w:t xml:space="preserve">férant en faveur de l’utilisation d’informations </w:t>
      </w:r>
      <w:r w:rsidR="009D6F65" w:rsidRPr="00DD03D6">
        <w:rPr>
          <w:noProof/>
          <w:lang w:val="fr-FR"/>
        </w:rPr>
        <w:t>‘</w:t>
      </w:r>
      <w:r w:rsidR="009D6F65">
        <w:rPr>
          <w:noProof/>
          <w:lang w:val="fr-FR"/>
        </w:rPr>
        <w:t>circonstancielles</w:t>
      </w:r>
      <w:r w:rsidR="009D6F65" w:rsidRPr="00DD03D6">
        <w:rPr>
          <w:noProof/>
          <w:lang w:val="fr-FR"/>
        </w:rPr>
        <w:t>’</w:t>
      </w:r>
      <w:r w:rsidR="008342B8" w:rsidRPr="00DD03D6">
        <w:rPr>
          <w:noProof/>
          <w:lang w:val="fr-FR"/>
        </w:rPr>
        <w:t>;</w:t>
      </w:r>
    </w:p>
    <w:p w:rsidR="008342B8" w:rsidRPr="00DD03D6" w:rsidRDefault="009D6F65" w:rsidP="00CF0BB1">
      <w:pPr>
        <w:pStyle w:val="Bullet1G"/>
        <w:tabs>
          <w:tab w:val="clear" w:pos="1701"/>
        </w:tabs>
        <w:ind w:left="1843" w:hanging="142"/>
        <w:rPr>
          <w:noProof/>
          <w:lang w:val="fr-FR"/>
        </w:rPr>
      </w:pPr>
      <w:r w:rsidRPr="00DD03D6">
        <w:rPr>
          <w:noProof/>
          <w:lang w:val="fr-FR"/>
        </w:rPr>
        <w:t>Maint</w:t>
      </w:r>
      <w:r>
        <w:rPr>
          <w:noProof/>
          <w:lang w:val="fr-FR"/>
        </w:rPr>
        <w:t xml:space="preserve">enir l’année d’éducation préscolaire gratuite </w:t>
      </w:r>
      <w:r w:rsidR="004972FD">
        <w:rPr>
          <w:noProof/>
          <w:lang w:val="fr-FR"/>
        </w:rPr>
        <w:t xml:space="preserve">dans le cadre de la protection et de l’éducation du jeune enfant </w:t>
      </w:r>
      <w:r>
        <w:rPr>
          <w:noProof/>
          <w:lang w:val="fr-FR"/>
        </w:rPr>
        <w:t>et améliorer la qualité de cette éducation dans la mesure des ressources disponibles</w:t>
      </w:r>
      <w:r w:rsidR="008342B8" w:rsidRPr="00DD03D6">
        <w:rPr>
          <w:noProof/>
          <w:lang w:val="fr-FR"/>
        </w:rPr>
        <w:t>;</w:t>
      </w:r>
    </w:p>
    <w:p w:rsidR="008342B8" w:rsidRPr="00DD03D6" w:rsidRDefault="009D6F65" w:rsidP="00CF0BB1">
      <w:pPr>
        <w:pStyle w:val="Bullet1G"/>
        <w:tabs>
          <w:tab w:val="clear" w:pos="1701"/>
        </w:tabs>
        <w:ind w:left="1843" w:hanging="142"/>
        <w:rPr>
          <w:noProof/>
          <w:lang w:val="fr-FR"/>
        </w:rPr>
      </w:pPr>
      <w:r>
        <w:rPr>
          <w:noProof/>
          <w:lang w:val="fr-FR"/>
        </w:rPr>
        <w:t>Adopter une loi destinée à fusionner et à remanier les textes de loi sur l’</w:t>
      </w:r>
      <w:r w:rsidRPr="00DD03D6">
        <w:rPr>
          <w:noProof/>
          <w:lang w:val="fr-FR"/>
        </w:rPr>
        <w:t>adoption</w:t>
      </w:r>
      <w:r w:rsidR="008342B8" w:rsidRPr="00DD03D6">
        <w:rPr>
          <w:noProof/>
          <w:lang w:val="fr-FR"/>
        </w:rPr>
        <w:t>;</w:t>
      </w:r>
    </w:p>
    <w:p w:rsidR="008342B8" w:rsidRPr="00DD03D6" w:rsidRDefault="009D6F65" w:rsidP="00CF0BB1">
      <w:pPr>
        <w:pStyle w:val="Bullet1G"/>
        <w:tabs>
          <w:tab w:val="clear" w:pos="1701"/>
        </w:tabs>
        <w:ind w:left="1843" w:hanging="142"/>
        <w:rPr>
          <w:noProof/>
          <w:lang w:val="fr-FR"/>
        </w:rPr>
      </w:pPr>
      <w:r w:rsidRPr="00DD03D6">
        <w:rPr>
          <w:noProof/>
          <w:lang w:val="fr-FR"/>
        </w:rPr>
        <w:t>Investi</w:t>
      </w:r>
      <w:r>
        <w:rPr>
          <w:noProof/>
          <w:lang w:val="fr-FR"/>
        </w:rPr>
        <w:t>r dans un programme d’éducation de la petite enfance ciblant les enfants défavorisés, en faisant fond sur les structures d’accueil préscolaire existantes pour venir en aide aux familles ayant le plus besoin d’assistance</w:t>
      </w:r>
      <w:r w:rsidR="008342B8" w:rsidRPr="00DD03D6">
        <w:rPr>
          <w:noProof/>
          <w:lang w:val="fr-FR"/>
        </w:rPr>
        <w:t>;</w:t>
      </w:r>
    </w:p>
    <w:p w:rsidR="008342B8" w:rsidRPr="00DD03D6" w:rsidRDefault="009D6F65" w:rsidP="00CF0BB1">
      <w:pPr>
        <w:pStyle w:val="Bullet1G"/>
        <w:tabs>
          <w:tab w:val="clear" w:pos="1701"/>
        </w:tabs>
        <w:ind w:left="1843" w:hanging="142"/>
        <w:rPr>
          <w:noProof/>
          <w:lang w:val="fr-FR"/>
        </w:rPr>
      </w:pPr>
      <w:r>
        <w:rPr>
          <w:noProof/>
          <w:lang w:val="fr-FR"/>
        </w:rPr>
        <w:t xml:space="preserve">Mettre un terme </w:t>
      </w:r>
      <w:r w:rsidRPr="00ED7ABF">
        <w:rPr>
          <w:color w:val="000000"/>
          <w:lang w:val="fr-FR"/>
        </w:rPr>
        <w:t xml:space="preserve">à la </w:t>
      </w:r>
      <w:r>
        <w:rPr>
          <w:color w:val="000000"/>
          <w:lang w:val="fr-FR"/>
        </w:rPr>
        <w:t xml:space="preserve">pratique consistant à placer des enfants en détention </w:t>
      </w:r>
      <w:r w:rsidR="007A250C">
        <w:rPr>
          <w:color w:val="000000"/>
          <w:lang w:val="fr-FR"/>
        </w:rPr>
        <w:t>à</w:t>
      </w:r>
      <w:r w:rsidRPr="00ED7ABF">
        <w:rPr>
          <w:color w:val="000000"/>
          <w:lang w:val="fr-FR"/>
        </w:rPr>
        <w:t xml:space="preserve"> l’Institution Saint-Patrick</w:t>
      </w:r>
      <w:r w:rsidR="008342B8" w:rsidRPr="00DD03D6">
        <w:rPr>
          <w:noProof/>
          <w:lang w:val="fr-FR"/>
        </w:rPr>
        <w:t>.</w:t>
      </w:r>
    </w:p>
    <w:p w:rsidR="008342B8" w:rsidRPr="00DD03D6" w:rsidRDefault="009D6F65" w:rsidP="00433EB8">
      <w:pPr>
        <w:pStyle w:val="SingleTxtG"/>
        <w:numPr>
          <w:ilvl w:val="0"/>
          <w:numId w:val="3"/>
        </w:numPr>
        <w:ind w:left="1134" w:firstLine="0"/>
        <w:rPr>
          <w:noProof/>
          <w:lang w:val="fr-FR" w:eastAsia="en-IE"/>
        </w:rPr>
      </w:pPr>
      <w:r>
        <w:rPr>
          <w:noProof/>
          <w:lang w:val="fr-FR" w:eastAsia="en-IE"/>
        </w:rPr>
        <w:t>Les progrès accomplis dans la réalisation de ces priorités seront indiqués dans les sections pertinentes du présent rapport</w:t>
      </w:r>
      <w:r w:rsidR="008342B8" w:rsidRPr="00DD03D6">
        <w:rPr>
          <w:noProof/>
          <w:lang w:val="fr-FR" w:eastAsia="en-IE"/>
        </w:rPr>
        <w:t xml:space="preserve">. </w:t>
      </w:r>
    </w:p>
    <w:p w:rsidR="008342B8" w:rsidRPr="00DD03D6" w:rsidRDefault="00844648" w:rsidP="00350568">
      <w:pPr>
        <w:pStyle w:val="SingleTxtG"/>
        <w:numPr>
          <w:ilvl w:val="0"/>
          <w:numId w:val="3"/>
        </w:numPr>
        <w:ind w:left="1134" w:firstLine="0"/>
        <w:rPr>
          <w:noProof/>
          <w:lang w:val="fr-FR"/>
        </w:rPr>
      </w:pPr>
      <w:r>
        <w:rPr>
          <w:noProof/>
          <w:lang w:val="fr-FR" w:eastAsia="en-IE"/>
        </w:rPr>
        <w:t xml:space="preserve">Le Groupe de mise en œuvre de la Stratégie </w:t>
      </w:r>
      <w:r w:rsidR="007A250C">
        <w:rPr>
          <w:noProof/>
          <w:lang w:val="fr-FR" w:eastAsia="en-IE"/>
        </w:rPr>
        <w:t>nationale en faveur des enfants</w:t>
      </w:r>
      <w:r w:rsidR="008342B8" w:rsidRPr="00DD03D6">
        <w:rPr>
          <w:noProof/>
          <w:lang w:val="fr-FR" w:eastAsia="en-IE"/>
        </w:rPr>
        <w:t xml:space="preserve"> </w:t>
      </w:r>
      <w:r>
        <w:rPr>
          <w:noProof/>
          <w:lang w:val="fr-FR" w:eastAsia="en-IE"/>
        </w:rPr>
        <w:t xml:space="preserve">a été initialement créé en application de Vers </w:t>
      </w:r>
      <w:r w:rsidR="008342B8" w:rsidRPr="00DD03D6">
        <w:rPr>
          <w:noProof/>
          <w:lang w:val="fr-FR" w:eastAsia="en-IE"/>
        </w:rPr>
        <w:t xml:space="preserve">2016, </w:t>
      </w:r>
      <w:r>
        <w:rPr>
          <w:noProof/>
          <w:lang w:val="fr-FR" w:eastAsia="en-IE"/>
        </w:rPr>
        <w:t>l’</w:t>
      </w:r>
      <w:r>
        <w:rPr>
          <w:noProof/>
          <w:lang w:val="fr-FR"/>
        </w:rPr>
        <w:t xml:space="preserve">Accord-cadre décennal pour un partenariat social </w:t>
      </w:r>
      <w:r>
        <w:rPr>
          <w:noProof/>
          <w:lang w:val="fr-FR" w:eastAsia="en-IE"/>
        </w:rPr>
        <w:t xml:space="preserve">pour </w:t>
      </w:r>
      <w:r w:rsidR="008342B8" w:rsidRPr="00DD03D6">
        <w:rPr>
          <w:noProof/>
          <w:lang w:val="fr-FR"/>
        </w:rPr>
        <w:t>2006-2016.</w:t>
      </w:r>
      <w:r w:rsidR="008342B8" w:rsidRPr="00DD03D6">
        <w:rPr>
          <w:noProof/>
          <w:lang w:val="fr-FR" w:eastAsia="en-IE"/>
        </w:rPr>
        <w:t xml:space="preserve"> </w:t>
      </w:r>
      <w:r>
        <w:rPr>
          <w:noProof/>
          <w:lang w:val="fr-FR" w:eastAsia="en-IE"/>
        </w:rPr>
        <w:t>Ce groupe de haut niveau est présidé par le Ministère de l’enfance et de la jeunesse</w:t>
      </w:r>
      <w:r w:rsidR="008342B8" w:rsidRPr="00DD03D6">
        <w:rPr>
          <w:noProof/>
          <w:lang w:val="fr-FR" w:eastAsia="en-IE"/>
        </w:rPr>
        <w:t xml:space="preserve">. </w:t>
      </w:r>
      <w:r>
        <w:rPr>
          <w:noProof/>
          <w:lang w:val="fr-FR" w:eastAsia="en-IE"/>
        </w:rPr>
        <w:t>Il vise à assurer aux enfants, aux jeunes et à leur famille le soutien et les services nécessaires pour créer un meilleur avenir pour les enfants grâce à la coopé</w:t>
      </w:r>
      <w:r w:rsidR="008342B8" w:rsidRPr="00DD03D6">
        <w:rPr>
          <w:noProof/>
          <w:lang w:val="fr-FR" w:eastAsia="en-IE"/>
        </w:rPr>
        <w:t xml:space="preserve">ration </w:t>
      </w:r>
      <w:r>
        <w:rPr>
          <w:noProof/>
          <w:lang w:val="fr-FR" w:eastAsia="en-IE"/>
        </w:rPr>
        <w:t xml:space="preserve">de tous les organismes et </w:t>
      </w:r>
      <w:r w:rsidR="008342B8" w:rsidRPr="00DD03D6">
        <w:rPr>
          <w:noProof/>
          <w:lang w:val="fr-FR" w:eastAsia="en-IE"/>
        </w:rPr>
        <w:t>organisations</w:t>
      </w:r>
      <w:r>
        <w:rPr>
          <w:noProof/>
          <w:lang w:val="fr-FR" w:eastAsia="en-IE"/>
        </w:rPr>
        <w:t xml:space="preserve"> locaux</w:t>
      </w:r>
      <w:r w:rsidR="008342B8" w:rsidRPr="00DD03D6">
        <w:rPr>
          <w:noProof/>
          <w:lang w:val="fr-FR" w:eastAsia="en-IE"/>
        </w:rPr>
        <w:t xml:space="preserve">, </w:t>
      </w:r>
      <w:r>
        <w:rPr>
          <w:noProof/>
          <w:lang w:val="fr-FR" w:eastAsia="en-IE"/>
        </w:rPr>
        <w:t xml:space="preserve">et à éviter le chevauchement des activités, à appuyer une collaboration intelligente en matière de prestation de services et à offrir aux </w:t>
      </w:r>
      <w:r>
        <w:rPr>
          <w:noProof/>
          <w:lang w:val="fr-FR" w:eastAsia="en-IE"/>
        </w:rPr>
        <w:lastRenderedPageBreak/>
        <w:t>organismes la possibilité d’évaluer les lacunes parfois causées par le</w:t>
      </w:r>
      <w:r w:rsidR="001812EF">
        <w:rPr>
          <w:noProof/>
          <w:lang w:val="fr-FR" w:eastAsia="en-IE"/>
        </w:rPr>
        <w:t xml:space="preserve"> cloisonnement des organismes ou des services</w:t>
      </w:r>
      <w:r w:rsidR="008342B8" w:rsidRPr="00DD03D6">
        <w:rPr>
          <w:noProof/>
          <w:lang w:val="fr-FR" w:eastAsia="en-IE"/>
        </w:rPr>
        <w:t xml:space="preserve">. </w:t>
      </w:r>
      <w:r w:rsidR="001812EF">
        <w:rPr>
          <w:noProof/>
          <w:lang w:val="fr-FR" w:eastAsia="en-IE"/>
        </w:rPr>
        <w:t>Le modèle de prestation de services intégrés est en cours d’élaboration grâce à la mise en place progressive d</w:t>
      </w:r>
      <w:r w:rsidR="00813CEB">
        <w:rPr>
          <w:noProof/>
          <w:lang w:val="fr-FR" w:eastAsia="en-IE"/>
        </w:rPr>
        <w:t>es Comités de serv</w:t>
      </w:r>
      <w:r w:rsidR="001812EF">
        <w:rPr>
          <w:noProof/>
          <w:lang w:val="fr-FR" w:eastAsia="en-IE"/>
        </w:rPr>
        <w:t xml:space="preserve">ices aux enfants </w:t>
      </w:r>
      <w:r w:rsidR="008342B8" w:rsidRPr="00DD03D6">
        <w:rPr>
          <w:noProof/>
          <w:lang w:val="fr-FR" w:eastAsia="en-IE"/>
        </w:rPr>
        <w:t>(</w:t>
      </w:r>
      <w:r w:rsidR="001812EF">
        <w:rPr>
          <w:noProof/>
          <w:lang w:val="fr-FR" w:eastAsia="en-IE"/>
        </w:rPr>
        <w:t xml:space="preserve">voir </w:t>
      </w:r>
      <w:r w:rsidR="00350568" w:rsidRPr="00DD03D6">
        <w:rPr>
          <w:noProof/>
          <w:lang w:val="fr-FR" w:eastAsia="en-IE"/>
        </w:rPr>
        <w:t>p</w:t>
      </w:r>
      <w:r w:rsidR="00796A7C" w:rsidRPr="00DD03D6">
        <w:rPr>
          <w:noProof/>
          <w:lang w:val="fr-FR" w:eastAsia="en-IE"/>
        </w:rPr>
        <w:t>ar</w:t>
      </w:r>
      <w:r w:rsidR="00350568" w:rsidRPr="00DD03D6">
        <w:rPr>
          <w:noProof/>
          <w:lang w:val="fr-FR" w:eastAsia="en-IE"/>
        </w:rPr>
        <w:t>.</w:t>
      </w:r>
      <w:r w:rsidR="00796A7C" w:rsidRPr="00DD03D6">
        <w:rPr>
          <w:noProof/>
          <w:lang w:val="fr-FR" w:eastAsia="en-IE"/>
        </w:rPr>
        <w:t> </w:t>
      </w:r>
      <w:r w:rsidR="008342B8" w:rsidRPr="00DD03D6">
        <w:rPr>
          <w:noProof/>
          <w:lang w:val="fr-FR" w:eastAsia="en-IE"/>
        </w:rPr>
        <w:t xml:space="preserve">217). </w:t>
      </w:r>
    </w:p>
    <w:p w:rsidR="008342B8" w:rsidRPr="00DD03D6" w:rsidRDefault="00813CEB" w:rsidP="00625700">
      <w:pPr>
        <w:pStyle w:val="SingleTxtG"/>
        <w:numPr>
          <w:ilvl w:val="0"/>
          <w:numId w:val="3"/>
        </w:numPr>
        <w:ind w:left="1134" w:firstLine="0"/>
        <w:rPr>
          <w:noProof/>
          <w:lang w:val="fr-FR"/>
        </w:rPr>
      </w:pPr>
      <w:r>
        <w:rPr>
          <w:noProof/>
          <w:lang w:val="fr-FR" w:eastAsia="en-IE"/>
        </w:rPr>
        <w:t>L’</w:t>
      </w:r>
      <w:r>
        <w:rPr>
          <w:i/>
          <w:iCs/>
          <w:noProof/>
          <w:lang w:val="fr-FR" w:eastAsia="en-IE"/>
        </w:rPr>
        <w:t>Examen à mi-parcours de la Stratégie nationale en faveur des enfants</w:t>
      </w:r>
      <w:r w:rsidR="008342B8" w:rsidRPr="00DD03D6">
        <w:rPr>
          <w:i/>
          <w:iCs/>
          <w:noProof/>
          <w:lang w:val="fr-FR" w:eastAsia="en-IE"/>
        </w:rPr>
        <w:t xml:space="preserve"> </w:t>
      </w:r>
      <w:r w:rsidR="008342B8" w:rsidRPr="00DD03D6">
        <w:rPr>
          <w:noProof/>
          <w:lang w:val="fr-FR" w:eastAsia="en-IE"/>
        </w:rPr>
        <w:t xml:space="preserve">(Peyton </w:t>
      </w:r>
      <w:r>
        <w:rPr>
          <w:noProof/>
          <w:lang w:val="fr-FR" w:eastAsia="en-IE"/>
        </w:rPr>
        <w:t>et</w:t>
      </w:r>
      <w:r w:rsidR="008342B8" w:rsidRPr="00DD03D6">
        <w:rPr>
          <w:noProof/>
          <w:lang w:val="fr-FR" w:eastAsia="en-IE"/>
        </w:rPr>
        <w:t xml:space="preserve"> Wilson, 2006) </w:t>
      </w:r>
      <w:r>
        <w:rPr>
          <w:noProof/>
          <w:lang w:val="fr-FR" w:eastAsia="en-IE"/>
        </w:rPr>
        <w:t xml:space="preserve">a souligné que les progrès apparaissaient clairement dans les domaines où existait une bonne coordination </w:t>
      </w:r>
      <w:r w:rsidR="008342B8" w:rsidRPr="00DD03D6">
        <w:rPr>
          <w:noProof/>
          <w:lang w:val="fr-FR" w:eastAsia="en-IE"/>
        </w:rPr>
        <w:t>inter</w:t>
      </w:r>
      <w:r>
        <w:rPr>
          <w:noProof/>
          <w:lang w:val="fr-FR" w:eastAsia="en-IE"/>
        </w:rPr>
        <w:t>ministérielle et interorganismes, entre autres facteurs</w:t>
      </w:r>
      <w:r w:rsidR="008342B8" w:rsidRPr="00DD03D6">
        <w:rPr>
          <w:noProof/>
          <w:lang w:val="fr-FR" w:eastAsia="en-IE"/>
        </w:rPr>
        <w:t xml:space="preserve">. </w:t>
      </w:r>
      <w:r w:rsidR="00934231">
        <w:rPr>
          <w:noProof/>
          <w:lang w:val="fr-FR" w:eastAsia="en-IE"/>
        </w:rPr>
        <w:t xml:space="preserve">Toutefois, </w:t>
      </w:r>
      <w:r w:rsidR="007929D4">
        <w:rPr>
          <w:noProof/>
          <w:lang w:val="fr-FR" w:eastAsia="en-IE"/>
        </w:rPr>
        <w:t xml:space="preserve">l’examen a noté que des problèmes de </w:t>
      </w:r>
      <w:r w:rsidR="008342B8" w:rsidRPr="00DD03D6">
        <w:rPr>
          <w:noProof/>
          <w:lang w:val="fr-FR" w:eastAsia="en-IE"/>
        </w:rPr>
        <w:t xml:space="preserve">coordination </w:t>
      </w:r>
      <w:r w:rsidR="007929D4">
        <w:rPr>
          <w:noProof/>
          <w:lang w:val="fr-FR" w:eastAsia="en-IE"/>
        </w:rPr>
        <w:t xml:space="preserve">subsistaient, notamment un défaut de contrôle des </w:t>
      </w:r>
      <w:r w:rsidR="00B42253">
        <w:rPr>
          <w:noProof/>
          <w:lang w:val="fr-FR" w:eastAsia="en-IE"/>
        </w:rPr>
        <w:t>crédits du budget central dans des domaines couverts par la Stratégie</w:t>
      </w:r>
      <w:r w:rsidR="008342B8" w:rsidRPr="00DD03D6">
        <w:rPr>
          <w:noProof/>
          <w:lang w:val="fr-FR" w:eastAsia="en-IE"/>
        </w:rPr>
        <w:t xml:space="preserve">. </w:t>
      </w:r>
      <w:r w:rsidR="00B42253">
        <w:rPr>
          <w:noProof/>
          <w:lang w:val="fr-FR" w:eastAsia="en-IE"/>
        </w:rPr>
        <w:t xml:space="preserve">Le renforcement de la </w:t>
      </w:r>
      <w:r w:rsidR="008342B8" w:rsidRPr="00DD03D6">
        <w:rPr>
          <w:noProof/>
          <w:lang w:val="fr-FR" w:eastAsia="en-IE"/>
        </w:rPr>
        <w:t xml:space="preserve">centralisation </w:t>
      </w:r>
      <w:r w:rsidR="00B42253">
        <w:rPr>
          <w:noProof/>
          <w:lang w:val="fr-FR" w:eastAsia="en-IE"/>
        </w:rPr>
        <w:t xml:space="preserve">des services, politiques et programmes en faveur des enfants dans le cadre du nouveau Ministère de l’enfance et de la jeunesse a permis de remédier à </w:t>
      </w:r>
      <w:r w:rsidR="00F300B2">
        <w:rPr>
          <w:noProof/>
          <w:lang w:val="fr-FR" w:eastAsia="en-IE"/>
        </w:rPr>
        <w:t>certains de ces problèmes</w:t>
      </w:r>
      <w:r w:rsidR="008342B8" w:rsidRPr="00DD03D6">
        <w:rPr>
          <w:noProof/>
          <w:lang w:val="fr-FR" w:eastAsia="en-IE"/>
        </w:rPr>
        <w:t>.</w:t>
      </w:r>
    </w:p>
    <w:p w:rsidR="008342B8" w:rsidRPr="00DD03D6" w:rsidRDefault="008D33B8" w:rsidP="00625700">
      <w:pPr>
        <w:pStyle w:val="SingleTxtG"/>
        <w:numPr>
          <w:ilvl w:val="0"/>
          <w:numId w:val="3"/>
        </w:numPr>
        <w:ind w:left="1134" w:firstLine="0"/>
        <w:rPr>
          <w:noProof/>
          <w:lang w:val="fr-FR"/>
        </w:rPr>
      </w:pPr>
      <w:r>
        <w:rPr>
          <w:noProof/>
          <w:lang w:val="fr-FR" w:eastAsia="en-IE"/>
        </w:rPr>
        <w:t>L’engagement de créer un</w:t>
      </w:r>
      <w:r w:rsidR="00981E41">
        <w:rPr>
          <w:noProof/>
          <w:lang w:val="fr-FR" w:eastAsia="en-IE"/>
        </w:rPr>
        <w:t>e nouvelle Agence pour l’enfant</w:t>
      </w:r>
      <w:r>
        <w:rPr>
          <w:noProof/>
          <w:lang w:val="fr-FR" w:eastAsia="en-IE"/>
        </w:rPr>
        <w:t xml:space="preserve"> et la famille est au cœur de la réforme des services aux enfants et aux familles menée par le Gouvernement</w:t>
      </w:r>
      <w:r w:rsidR="008342B8" w:rsidRPr="00DD03D6">
        <w:rPr>
          <w:noProof/>
          <w:lang w:val="fr-FR" w:eastAsia="en-IE"/>
        </w:rPr>
        <w:t xml:space="preserve">. </w:t>
      </w:r>
      <w:r>
        <w:rPr>
          <w:noProof/>
          <w:lang w:val="fr-FR" w:eastAsia="en-IE"/>
        </w:rPr>
        <w:t xml:space="preserve">La création de cette Agence, qui aura une base légale et </w:t>
      </w:r>
      <w:r w:rsidR="008342B8" w:rsidRPr="00DD03D6">
        <w:rPr>
          <w:noProof/>
          <w:lang w:val="fr-FR" w:eastAsia="en-IE"/>
        </w:rPr>
        <w:t>incorpor</w:t>
      </w:r>
      <w:r>
        <w:rPr>
          <w:noProof/>
          <w:lang w:val="fr-FR" w:eastAsia="en-IE"/>
        </w:rPr>
        <w:t>era les principaux services destinés aux enfants et à leur famille</w:t>
      </w:r>
      <w:r w:rsidR="008342B8" w:rsidRPr="00DD03D6">
        <w:rPr>
          <w:noProof/>
          <w:lang w:val="fr-FR" w:eastAsia="en-IE"/>
        </w:rPr>
        <w:t xml:space="preserve">, </w:t>
      </w:r>
      <w:r w:rsidR="00E16AD8">
        <w:rPr>
          <w:noProof/>
          <w:lang w:val="fr-FR" w:eastAsia="en-IE"/>
        </w:rPr>
        <w:t>permettra de focaliser les grandes réformes déjà engagées</w:t>
      </w:r>
      <w:r w:rsidR="008342B8" w:rsidRPr="00DD03D6">
        <w:rPr>
          <w:noProof/>
          <w:lang w:val="fr-FR" w:eastAsia="en-IE"/>
        </w:rPr>
        <w:t xml:space="preserve">. </w:t>
      </w:r>
      <w:r w:rsidR="00E16AD8">
        <w:rPr>
          <w:noProof/>
          <w:lang w:val="fr-FR" w:eastAsia="en-IE"/>
        </w:rPr>
        <w:t xml:space="preserve">Ce </w:t>
      </w:r>
      <w:r w:rsidR="008342B8" w:rsidRPr="00DD03D6">
        <w:rPr>
          <w:noProof/>
          <w:lang w:val="fr-FR"/>
        </w:rPr>
        <w:t xml:space="preserve">programme </w:t>
      </w:r>
      <w:r w:rsidR="00E16AD8">
        <w:rPr>
          <w:noProof/>
          <w:lang w:val="fr-FR"/>
        </w:rPr>
        <w:t xml:space="preserve">de réformes contient un certain nombre d’éléments essentiels </w:t>
      </w:r>
      <w:r w:rsidR="008342B8" w:rsidRPr="00DD03D6">
        <w:rPr>
          <w:noProof/>
          <w:lang w:val="fr-FR"/>
        </w:rPr>
        <w:t>:</w:t>
      </w:r>
    </w:p>
    <w:p w:rsidR="008342B8" w:rsidRPr="00DD03D6" w:rsidRDefault="00E16AD8" w:rsidP="00CF0BB1">
      <w:pPr>
        <w:pStyle w:val="Bullet1G"/>
        <w:tabs>
          <w:tab w:val="clear" w:pos="1701"/>
        </w:tabs>
        <w:ind w:left="1843" w:hanging="142"/>
        <w:rPr>
          <w:noProof/>
          <w:lang w:val="fr-FR"/>
        </w:rPr>
      </w:pPr>
      <w:r>
        <w:rPr>
          <w:noProof/>
          <w:lang w:val="fr-FR"/>
        </w:rPr>
        <w:t xml:space="preserve">Poursuite de la mutation culturelle majeure que réclame la prestation aux enfants et à leur famille de services qui soient axés sur l’enfant, </w:t>
      </w:r>
      <w:r w:rsidR="008342B8" w:rsidRPr="00DD03D6">
        <w:rPr>
          <w:noProof/>
          <w:lang w:val="fr-FR"/>
        </w:rPr>
        <w:t>transparent</w:t>
      </w:r>
      <w:r>
        <w:rPr>
          <w:noProof/>
          <w:lang w:val="fr-FR"/>
        </w:rPr>
        <w:t>s</w:t>
      </w:r>
      <w:r w:rsidR="008342B8" w:rsidRPr="00DD03D6">
        <w:rPr>
          <w:noProof/>
          <w:lang w:val="fr-FR"/>
        </w:rPr>
        <w:t xml:space="preserve">, </w:t>
      </w:r>
      <w:r w:rsidR="00B23AF7">
        <w:rPr>
          <w:noProof/>
          <w:lang w:val="fr-FR"/>
        </w:rPr>
        <w:t>d’une qualité garantie</w:t>
      </w:r>
      <w:r w:rsidR="008342B8" w:rsidRPr="00DD03D6">
        <w:rPr>
          <w:noProof/>
          <w:lang w:val="fr-FR"/>
        </w:rPr>
        <w:t>, profession</w:t>
      </w:r>
      <w:r w:rsidR="00B23AF7">
        <w:rPr>
          <w:noProof/>
          <w:lang w:val="fr-FR"/>
        </w:rPr>
        <w:t>nels et responsables</w:t>
      </w:r>
      <w:r w:rsidR="008342B8" w:rsidRPr="00DD03D6">
        <w:rPr>
          <w:noProof/>
          <w:lang w:val="fr-FR"/>
        </w:rPr>
        <w:t>;</w:t>
      </w:r>
    </w:p>
    <w:p w:rsidR="008342B8" w:rsidRPr="00DD03D6" w:rsidRDefault="00B23AF7" w:rsidP="00CF0BB1">
      <w:pPr>
        <w:pStyle w:val="Bullet1G"/>
        <w:tabs>
          <w:tab w:val="clear" w:pos="1701"/>
        </w:tabs>
        <w:ind w:left="1843" w:hanging="142"/>
        <w:rPr>
          <w:noProof/>
          <w:lang w:val="fr-FR"/>
        </w:rPr>
      </w:pPr>
      <w:r>
        <w:rPr>
          <w:noProof/>
          <w:lang w:val="fr-FR"/>
        </w:rPr>
        <w:t xml:space="preserve">Application de procédures de protection des enfants uniformes </w:t>
      </w:r>
      <w:r w:rsidR="001E1CAD">
        <w:rPr>
          <w:noProof/>
          <w:lang w:val="fr-FR"/>
        </w:rPr>
        <w:t xml:space="preserve">conformément aux directives nationales révisées de </w:t>
      </w:r>
      <w:r w:rsidR="008342B8" w:rsidRPr="00DD03D6">
        <w:rPr>
          <w:noProof/>
          <w:lang w:val="fr-FR"/>
        </w:rPr>
        <w:t xml:space="preserve">2011 </w:t>
      </w:r>
      <w:r w:rsidR="001E1CAD">
        <w:rPr>
          <w:noProof/>
          <w:lang w:val="fr-FR"/>
        </w:rPr>
        <w:t xml:space="preserve">intitulées </w:t>
      </w:r>
      <w:r w:rsidR="001E1CAD" w:rsidRPr="003F1ADB">
        <w:rPr>
          <w:lang w:val="fr-CH"/>
        </w:rPr>
        <w:t>«</w:t>
      </w:r>
      <w:r w:rsidR="003F1ADB">
        <w:rPr>
          <w:i/>
          <w:lang w:val="fr-CH"/>
        </w:rPr>
        <w:t> </w:t>
      </w:r>
      <w:r w:rsidR="001E1CAD" w:rsidRPr="007B3894">
        <w:rPr>
          <w:i/>
          <w:lang w:val="fr-CH"/>
        </w:rPr>
        <w:t>Les enfants d’abord</w:t>
      </w:r>
      <w:r w:rsidR="00CF0BB1">
        <w:rPr>
          <w:i/>
          <w:lang w:val="fr-CH"/>
        </w:rPr>
        <w:t> </w:t>
      </w:r>
      <w:r w:rsidR="001E1CAD" w:rsidRPr="007B3894">
        <w:rPr>
          <w:i/>
          <w:lang w:val="fr-CH"/>
        </w:rPr>
        <w:t>: directives nationales pour la protecti</w:t>
      </w:r>
      <w:r w:rsidR="001E1CAD">
        <w:rPr>
          <w:i/>
          <w:lang w:val="fr-CH"/>
        </w:rPr>
        <w:t>on et le bien-être des enfants</w:t>
      </w:r>
      <w:r w:rsidR="003F1ADB">
        <w:rPr>
          <w:i/>
          <w:lang w:val="fr-CH"/>
        </w:rPr>
        <w:t> </w:t>
      </w:r>
      <w:r w:rsidR="001E1CAD" w:rsidRPr="003F1ADB">
        <w:rPr>
          <w:lang w:val="fr-CH"/>
        </w:rPr>
        <w:t>»</w:t>
      </w:r>
      <w:r w:rsidR="008342B8" w:rsidRPr="00DD03D6">
        <w:rPr>
          <w:noProof/>
          <w:lang w:val="fr-FR"/>
        </w:rPr>
        <w:t>;</w:t>
      </w:r>
    </w:p>
    <w:p w:rsidR="008342B8" w:rsidRPr="00DD03D6" w:rsidRDefault="001E1CAD" w:rsidP="00CF0BB1">
      <w:pPr>
        <w:pStyle w:val="Bullet1G"/>
        <w:tabs>
          <w:tab w:val="clear" w:pos="1701"/>
        </w:tabs>
        <w:ind w:left="1843" w:hanging="142"/>
        <w:rPr>
          <w:noProof/>
          <w:lang w:val="fr-FR"/>
        </w:rPr>
      </w:pPr>
      <w:r>
        <w:rPr>
          <w:noProof/>
          <w:lang w:val="fr-FR"/>
        </w:rPr>
        <w:t xml:space="preserve">Poursuite des </w:t>
      </w:r>
      <w:r w:rsidR="008342B8" w:rsidRPr="00DD03D6">
        <w:rPr>
          <w:noProof/>
          <w:lang w:val="fr-FR"/>
        </w:rPr>
        <w:t>r</w:t>
      </w:r>
      <w:r>
        <w:rPr>
          <w:noProof/>
          <w:lang w:val="fr-FR"/>
        </w:rPr>
        <w:t>é</w:t>
      </w:r>
      <w:r w:rsidR="008342B8" w:rsidRPr="00DD03D6">
        <w:rPr>
          <w:noProof/>
          <w:lang w:val="fr-FR"/>
        </w:rPr>
        <w:t>form</w:t>
      </w:r>
      <w:r>
        <w:rPr>
          <w:noProof/>
          <w:lang w:val="fr-FR"/>
        </w:rPr>
        <w:t>e</w:t>
      </w:r>
      <w:r w:rsidR="008342B8" w:rsidRPr="00DD03D6">
        <w:rPr>
          <w:noProof/>
          <w:lang w:val="fr-FR"/>
        </w:rPr>
        <w:t xml:space="preserve">s </w:t>
      </w:r>
      <w:r>
        <w:rPr>
          <w:noProof/>
          <w:lang w:val="fr-FR"/>
        </w:rPr>
        <w:t xml:space="preserve">à mener pour fournir </w:t>
      </w:r>
      <w:r w:rsidR="00BD0645">
        <w:rPr>
          <w:noProof/>
          <w:lang w:val="fr-FR"/>
        </w:rPr>
        <w:t>aux enfants placés des services plus sûrs, fiables et efficaces</w:t>
      </w:r>
      <w:r w:rsidR="008342B8" w:rsidRPr="00DD03D6">
        <w:rPr>
          <w:noProof/>
          <w:lang w:val="fr-FR"/>
        </w:rPr>
        <w:t>;</w:t>
      </w:r>
    </w:p>
    <w:p w:rsidR="008342B8" w:rsidRPr="00DD03D6" w:rsidRDefault="00BD0645" w:rsidP="00CF0BB1">
      <w:pPr>
        <w:pStyle w:val="Bullet1G"/>
        <w:tabs>
          <w:tab w:val="clear" w:pos="1701"/>
        </w:tabs>
        <w:ind w:left="1843" w:hanging="142"/>
        <w:rPr>
          <w:noProof/>
          <w:lang w:val="fr-FR"/>
        </w:rPr>
      </w:pPr>
      <w:r>
        <w:rPr>
          <w:noProof/>
          <w:lang w:val="fr-FR"/>
        </w:rPr>
        <w:t xml:space="preserve">Poursuite de la mise en œuvre des conclusions du rapport de 2009 de la Commission d’enquête sur </w:t>
      </w:r>
      <w:r w:rsidR="00CC6538">
        <w:rPr>
          <w:noProof/>
          <w:lang w:val="fr-FR"/>
        </w:rPr>
        <w:t>les sévices</w:t>
      </w:r>
      <w:r>
        <w:rPr>
          <w:noProof/>
          <w:lang w:val="fr-FR"/>
        </w:rPr>
        <w:t xml:space="preserve"> à enfant </w:t>
      </w:r>
      <w:r w:rsidR="008342B8" w:rsidRPr="00DD03D6">
        <w:rPr>
          <w:noProof/>
          <w:lang w:val="fr-FR"/>
        </w:rPr>
        <w:t>(</w:t>
      </w:r>
      <w:r>
        <w:rPr>
          <w:noProof/>
          <w:lang w:val="fr-FR"/>
        </w:rPr>
        <w:t xml:space="preserve">Rapport </w:t>
      </w:r>
      <w:r w:rsidR="008342B8" w:rsidRPr="00DD03D6">
        <w:rPr>
          <w:noProof/>
          <w:lang w:val="fr-FR"/>
        </w:rPr>
        <w:t>Ryan);</w:t>
      </w:r>
    </w:p>
    <w:p w:rsidR="008342B8" w:rsidRPr="00DD03D6" w:rsidRDefault="00BD0645" w:rsidP="00CF0BB1">
      <w:pPr>
        <w:pStyle w:val="Bullet1G"/>
        <w:tabs>
          <w:tab w:val="clear" w:pos="1701"/>
        </w:tabs>
        <w:ind w:left="1843" w:hanging="142"/>
        <w:rPr>
          <w:noProof/>
          <w:lang w:val="fr-FR"/>
        </w:rPr>
      </w:pPr>
      <w:r>
        <w:rPr>
          <w:noProof/>
          <w:lang w:val="fr-FR"/>
        </w:rPr>
        <w:t xml:space="preserve">Développement professionnel et amélioration de la </w:t>
      </w:r>
      <w:r w:rsidR="008342B8" w:rsidRPr="00DD03D6">
        <w:rPr>
          <w:noProof/>
          <w:lang w:val="fr-FR"/>
        </w:rPr>
        <w:t xml:space="preserve">collaboration </w:t>
      </w:r>
      <w:r>
        <w:rPr>
          <w:noProof/>
          <w:lang w:val="fr-FR"/>
        </w:rPr>
        <w:t>avec le secteur communautaire et associatif</w:t>
      </w:r>
      <w:r w:rsidR="008342B8" w:rsidRPr="00DD03D6">
        <w:rPr>
          <w:noProof/>
          <w:lang w:val="fr-FR"/>
        </w:rPr>
        <w:t>.</w:t>
      </w:r>
    </w:p>
    <w:p w:rsidR="008342B8" w:rsidRPr="00DD03D6" w:rsidRDefault="00BD0645" w:rsidP="00625700">
      <w:pPr>
        <w:pStyle w:val="SingleTxtG"/>
        <w:numPr>
          <w:ilvl w:val="0"/>
          <w:numId w:val="3"/>
        </w:numPr>
        <w:ind w:left="1134" w:firstLine="0"/>
        <w:rPr>
          <w:noProof/>
          <w:lang w:val="fr-FR" w:eastAsia="en-IE"/>
        </w:rPr>
      </w:pPr>
      <w:r>
        <w:rPr>
          <w:noProof/>
          <w:lang w:val="fr-FR" w:eastAsia="en-IE"/>
        </w:rPr>
        <w:t>Le Ministère de l’enfance et de la jeunesse et la Direction des services de santé s’emploient activement à mettre en place l’Agence pour l’enfant et la famille</w:t>
      </w:r>
      <w:r w:rsidR="008342B8" w:rsidRPr="00DD03D6">
        <w:rPr>
          <w:noProof/>
          <w:lang w:val="fr-FR" w:eastAsia="en-IE"/>
        </w:rPr>
        <w:t xml:space="preserve">. </w:t>
      </w:r>
      <w:r>
        <w:rPr>
          <w:noProof/>
          <w:lang w:val="fr-FR" w:eastAsia="en-IE"/>
        </w:rPr>
        <w:t>Le</w:t>
      </w:r>
      <w:r w:rsidR="008342B8" w:rsidRPr="00DD03D6">
        <w:rPr>
          <w:noProof/>
          <w:lang w:val="fr-FR" w:eastAsia="en-IE"/>
        </w:rPr>
        <w:t xml:space="preserve"> </w:t>
      </w:r>
      <w:r w:rsidR="008342B8" w:rsidRPr="00DD03D6">
        <w:rPr>
          <w:i/>
          <w:iCs/>
          <w:noProof/>
          <w:lang w:val="fr-FR" w:eastAsia="en-IE"/>
        </w:rPr>
        <w:t>R</w:t>
      </w:r>
      <w:r>
        <w:rPr>
          <w:i/>
          <w:iCs/>
          <w:noProof/>
          <w:lang w:val="fr-FR" w:eastAsia="en-IE"/>
        </w:rPr>
        <w:t>apport de l’équipe spéciale sur l’Agence pour l’enfant et la famille</w:t>
      </w:r>
      <w:r w:rsidR="008342B8" w:rsidRPr="00DD03D6">
        <w:rPr>
          <w:iCs/>
          <w:noProof/>
          <w:lang w:val="fr-FR" w:eastAsia="en-IE"/>
        </w:rPr>
        <w:t xml:space="preserve">, </w:t>
      </w:r>
      <w:r w:rsidR="008342B8" w:rsidRPr="00DD03D6">
        <w:rPr>
          <w:noProof/>
          <w:lang w:val="fr-FR" w:eastAsia="en-IE"/>
        </w:rPr>
        <w:t>publi</w:t>
      </w:r>
      <w:r>
        <w:rPr>
          <w:noProof/>
          <w:lang w:val="fr-FR" w:eastAsia="en-IE"/>
        </w:rPr>
        <w:t xml:space="preserve">é en juillet </w:t>
      </w:r>
      <w:r w:rsidR="008342B8" w:rsidRPr="00DD03D6">
        <w:rPr>
          <w:noProof/>
          <w:lang w:val="fr-FR" w:eastAsia="en-IE"/>
        </w:rPr>
        <w:t xml:space="preserve">2012, </w:t>
      </w:r>
      <w:r>
        <w:rPr>
          <w:noProof/>
          <w:lang w:val="fr-FR" w:eastAsia="en-IE"/>
        </w:rPr>
        <w:t xml:space="preserve">inspirera l’élaboration de la loi portant création de cette agence </w:t>
      </w:r>
      <w:r w:rsidR="008342B8" w:rsidRPr="00DD03D6">
        <w:rPr>
          <w:noProof/>
          <w:lang w:val="fr-FR" w:eastAsia="en-IE"/>
        </w:rPr>
        <w:t>(</w:t>
      </w:r>
      <w:r>
        <w:rPr>
          <w:noProof/>
          <w:lang w:val="fr-FR" w:eastAsia="en-IE"/>
        </w:rPr>
        <w:t>Ministère de l’enfance et de la jeunesse</w:t>
      </w:r>
      <w:r w:rsidR="008342B8" w:rsidRPr="00DD03D6">
        <w:rPr>
          <w:noProof/>
          <w:lang w:val="fr-FR" w:eastAsia="en-IE"/>
        </w:rPr>
        <w:t>, 2012b).</w:t>
      </w:r>
    </w:p>
    <w:p w:rsidR="008342B8" w:rsidRPr="00DD03D6" w:rsidRDefault="00BD0645" w:rsidP="00BD0645">
      <w:pPr>
        <w:pStyle w:val="H23G"/>
        <w:ind w:firstLine="0"/>
        <w:rPr>
          <w:noProof/>
          <w:lang w:val="fr-FR" w:eastAsia="en-IE"/>
        </w:rPr>
      </w:pPr>
      <w:r>
        <w:rPr>
          <w:noProof/>
          <w:lang w:val="fr-FR" w:eastAsia="en-IE"/>
        </w:rPr>
        <w:t>S</w:t>
      </w:r>
      <w:r w:rsidR="008342B8" w:rsidRPr="00DD03D6">
        <w:rPr>
          <w:noProof/>
          <w:lang w:val="fr-FR" w:eastAsia="en-IE"/>
        </w:rPr>
        <w:t>tructures</w:t>
      </w:r>
      <w:r>
        <w:rPr>
          <w:noProof/>
          <w:lang w:val="fr-FR" w:eastAsia="en-IE"/>
        </w:rPr>
        <w:t xml:space="preserve"> locales</w:t>
      </w:r>
    </w:p>
    <w:p w:rsidR="008342B8" w:rsidRPr="00DD03D6" w:rsidRDefault="00C96365" w:rsidP="00625700">
      <w:pPr>
        <w:pStyle w:val="SingleTxtG"/>
        <w:numPr>
          <w:ilvl w:val="0"/>
          <w:numId w:val="3"/>
        </w:numPr>
        <w:ind w:left="1134" w:firstLine="0"/>
        <w:rPr>
          <w:noProof/>
          <w:lang w:val="fr-FR"/>
        </w:rPr>
      </w:pPr>
      <w:r>
        <w:rPr>
          <w:noProof/>
          <w:lang w:val="fr-FR"/>
        </w:rPr>
        <w:t xml:space="preserve">À partir de </w:t>
      </w:r>
      <w:r w:rsidR="008342B8" w:rsidRPr="00DD03D6">
        <w:rPr>
          <w:noProof/>
          <w:lang w:val="fr-FR"/>
        </w:rPr>
        <w:t xml:space="preserve">2007, </w:t>
      </w:r>
      <w:r>
        <w:rPr>
          <w:noProof/>
          <w:lang w:val="fr-FR"/>
        </w:rPr>
        <w:t xml:space="preserve">le Ministère de l’enfance et de la jeunesse a mis progressivement en place les comités des services aux enfants, dont 16 sont actuellement </w:t>
      </w:r>
      <w:r w:rsidR="000540AA">
        <w:rPr>
          <w:noProof/>
          <w:lang w:val="fr-FR"/>
        </w:rPr>
        <w:t>opérationnels</w:t>
      </w:r>
      <w:r w:rsidR="008342B8" w:rsidRPr="00DD03D6">
        <w:rPr>
          <w:noProof/>
          <w:lang w:val="fr-FR"/>
        </w:rPr>
        <w:t xml:space="preserve">. </w:t>
      </w:r>
      <w:r>
        <w:rPr>
          <w:noProof/>
          <w:lang w:val="fr-FR"/>
        </w:rPr>
        <w:t xml:space="preserve">Ces comités représentent une </w:t>
      </w:r>
      <w:r w:rsidR="008342B8" w:rsidRPr="00DD03D6">
        <w:rPr>
          <w:noProof/>
          <w:lang w:val="fr-FR"/>
        </w:rPr>
        <w:t xml:space="preserve">structure </w:t>
      </w:r>
      <w:r>
        <w:rPr>
          <w:noProof/>
          <w:lang w:val="fr-FR"/>
        </w:rPr>
        <w:t xml:space="preserve">permettant de regrouper </w:t>
      </w:r>
      <w:r w:rsidR="000540AA">
        <w:rPr>
          <w:noProof/>
          <w:lang w:val="fr-FR"/>
        </w:rPr>
        <w:t xml:space="preserve">un </w:t>
      </w:r>
      <w:r>
        <w:rPr>
          <w:noProof/>
          <w:lang w:val="fr-FR"/>
        </w:rPr>
        <w:t>ensemble diversifié d’organismes jouant un rôle important au niveau local et ainsi appelés à participer à la planification conjointe des services destinés aux enfants</w:t>
      </w:r>
      <w:r w:rsidR="008342B8" w:rsidRPr="00DD03D6">
        <w:rPr>
          <w:noProof/>
          <w:lang w:val="fr-FR"/>
        </w:rPr>
        <w:t xml:space="preserve">. </w:t>
      </w:r>
      <w:r>
        <w:rPr>
          <w:noProof/>
          <w:lang w:val="fr-FR"/>
        </w:rPr>
        <w:t xml:space="preserve">Tous les principaux organismes et </w:t>
      </w:r>
      <w:r w:rsidR="008342B8" w:rsidRPr="00DD03D6">
        <w:rPr>
          <w:noProof/>
          <w:lang w:val="fr-FR"/>
        </w:rPr>
        <w:t xml:space="preserve">organisations </w:t>
      </w:r>
      <w:r>
        <w:rPr>
          <w:noProof/>
          <w:lang w:val="fr-FR"/>
        </w:rPr>
        <w:t>s’occupant des enfants et des jeunes à l’échelon local sont représentés dans ces comités</w:t>
      </w:r>
      <w:r w:rsidR="0033157B">
        <w:rPr>
          <w:noProof/>
          <w:lang w:val="fr-FR"/>
        </w:rPr>
        <w:t>, qui accueillent également des représentants d’ONG. Ces comités sont chargés d’améliorer la vie des enfants et de leur famille aux niveaux local et communautaire grâce à l’intégration de la planification, du fonctionnement et de la prestation de</w:t>
      </w:r>
      <w:r w:rsidR="000540AA">
        <w:rPr>
          <w:noProof/>
          <w:lang w:val="fr-FR"/>
        </w:rPr>
        <w:t>s</w:t>
      </w:r>
      <w:r w:rsidR="0033157B">
        <w:rPr>
          <w:noProof/>
          <w:lang w:val="fr-FR"/>
        </w:rPr>
        <w:t xml:space="preserve"> services.</w:t>
      </w:r>
      <w:r w:rsidR="008342B8" w:rsidRPr="00DD03D6">
        <w:rPr>
          <w:noProof/>
          <w:lang w:val="fr-FR"/>
        </w:rPr>
        <w:t xml:space="preserve"> </w:t>
      </w:r>
      <w:r w:rsidR="0033157B">
        <w:rPr>
          <w:noProof/>
          <w:lang w:val="fr-FR"/>
        </w:rPr>
        <w:t xml:space="preserve">Ils ont pour objectif général </w:t>
      </w:r>
      <w:r w:rsidR="00DB3A66">
        <w:rPr>
          <w:noProof/>
          <w:lang w:val="fr-FR"/>
        </w:rPr>
        <w:t>de promouvoir un meilleur développement des enfants</w:t>
      </w:r>
      <w:r w:rsidR="008342B8" w:rsidRPr="00DD03D6">
        <w:rPr>
          <w:noProof/>
          <w:lang w:val="fr-FR"/>
        </w:rPr>
        <w:t xml:space="preserve">. </w:t>
      </w:r>
      <w:r w:rsidR="00DB3A66">
        <w:rPr>
          <w:noProof/>
          <w:lang w:val="fr-FR"/>
        </w:rPr>
        <w:t xml:space="preserve">Le </w:t>
      </w:r>
      <w:r w:rsidR="008342B8" w:rsidRPr="00DD03D6">
        <w:rPr>
          <w:noProof/>
          <w:lang w:val="fr-FR"/>
        </w:rPr>
        <w:t xml:space="preserve">Centre </w:t>
      </w:r>
      <w:r w:rsidR="00DB3A66">
        <w:rPr>
          <w:noProof/>
          <w:lang w:val="fr-FR"/>
        </w:rPr>
        <w:t>pour des services efficaces collabore avec le Ministère en vue d’appuyer le développement et le fonctionnement des comités</w:t>
      </w:r>
      <w:r w:rsidR="008342B8" w:rsidRPr="00DD03D6">
        <w:rPr>
          <w:noProof/>
          <w:lang w:val="fr-FR"/>
        </w:rPr>
        <w:t xml:space="preserve">. </w:t>
      </w:r>
      <w:r w:rsidR="00DB3A66">
        <w:rPr>
          <w:noProof/>
          <w:lang w:val="fr-FR"/>
        </w:rPr>
        <w:t xml:space="preserve">Il a fait établir et a publié un bilan des meilleures pratiques internationales en ce qui concerne le travail interorganismes consacré à </w:t>
      </w:r>
      <w:r w:rsidR="00DB3A66">
        <w:rPr>
          <w:noProof/>
          <w:lang w:val="fr-FR"/>
        </w:rPr>
        <w:lastRenderedPageBreak/>
        <w:t xml:space="preserve">l’amélioration de la situation des enfants </w:t>
      </w:r>
      <w:r w:rsidR="008342B8" w:rsidRPr="00DD03D6">
        <w:rPr>
          <w:noProof/>
          <w:lang w:val="fr-FR"/>
        </w:rPr>
        <w:t>(C</w:t>
      </w:r>
      <w:r w:rsidR="00DB3A66">
        <w:rPr>
          <w:noProof/>
          <w:lang w:val="fr-FR"/>
        </w:rPr>
        <w:t>entre pour des services efficaces</w:t>
      </w:r>
      <w:r w:rsidR="008342B8" w:rsidRPr="00DD03D6">
        <w:rPr>
          <w:noProof/>
          <w:lang w:val="fr-FR"/>
        </w:rPr>
        <w:t xml:space="preserve">, 2011) </w:t>
      </w:r>
      <w:r w:rsidR="00DB3A66">
        <w:rPr>
          <w:noProof/>
          <w:lang w:val="fr-FR"/>
        </w:rPr>
        <w:t xml:space="preserve">et a également </w:t>
      </w:r>
      <w:r w:rsidR="000540AA">
        <w:rPr>
          <w:noProof/>
          <w:lang w:val="fr-FR"/>
        </w:rPr>
        <w:t>tiré</w:t>
      </w:r>
      <w:r w:rsidR="00DB3A66">
        <w:rPr>
          <w:noProof/>
          <w:lang w:val="fr-FR"/>
        </w:rPr>
        <w:t xml:space="preserve"> les conclusions </w:t>
      </w:r>
      <w:r w:rsidR="00CC05DB">
        <w:rPr>
          <w:noProof/>
          <w:lang w:val="fr-FR"/>
        </w:rPr>
        <w:t xml:space="preserve">des phases pilotes initiales de l’initiative concernant les comités </w:t>
      </w:r>
      <w:r w:rsidR="008342B8" w:rsidRPr="00DD03D6">
        <w:rPr>
          <w:noProof/>
          <w:lang w:val="fr-FR"/>
        </w:rPr>
        <w:t>(</w:t>
      </w:r>
      <w:r w:rsidR="00CC05DB" w:rsidRPr="00DD03D6">
        <w:rPr>
          <w:noProof/>
          <w:lang w:val="fr-FR"/>
        </w:rPr>
        <w:t>C</w:t>
      </w:r>
      <w:r w:rsidR="00CC05DB">
        <w:rPr>
          <w:noProof/>
          <w:lang w:val="fr-FR"/>
        </w:rPr>
        <w:t>entre pour des services efficaces</w:t>
      </w:r>
      <w:r w:rsidR="008342B8" w:rsidRPr="00DD03D6">
        <w:rPr>
          <w:noProof/>
          <w:lang w:val="fr-FR"/>
        </w:rPr>
        <w:t>, 2010).</w:t>
      </w:r>
    </w:p>
    <w:p w:rsidR="008342B8" w:rsidRPr="00DD03D6" w:rsidRDefault="00DF0DBE" w:rsidP="0039374D">
      <w:pPr>
        <w:pStyle w:val="H1G"/>
        <w:rPr>
          <w:noProof/>
          <w:lang w:val="fr-FR"/>
        </w:rPr>
      </w:pPr>
      <w:bookmarkStart w:id="12" w:name="_Toc356430843"/>
      <w:r w:rsidRPr="00DD03D6">
        <w:rPr>
          <w:noProof/>
          <w:lang w:val="fr-FR"/>
        </w:rPr>
        <w:tab/>
      </w:r>
      <w:r w:rsidR="008342B8" w:rsidRPr="00DD03D6">
        <w:rPr>
          <w:noProof/>
          <w:lang w:val="fr-FR"/>
        </w:rPr>
        <w:t>D.</w:t>
      </w:r>
      <w:r w:rsidR="008342B8" w:rsidRPr="00DD03D6">
        <w:rPr>
          <w:noProof/>
          <w:lang w:val="fr-FR"/>
        </w:rPr>
        <w:tab/>
      </w:r>
      <w:r w:rsidR="000540AA">
        <w:rPr>
          <w:noProof/>
          <w:lang w:val="fr-FR"/>
        </w:rPr>
        <w:t xml:space="preserve">Affectation de crédits budgétaires à l’application de la </w:t>
      </w:r>
      <w:r w:rsidR="000540AA" w:rsidRPr="00DD03D6">
        <w:rPr>
          <w:noProof/>
          <w:lang w:val="fr-FR"/>
        </w:rPr>
        <w:t>Convention</w:t>
      </w:r>
      <w:r w:rsidR="000540AA">
        <w:rPr>
          <w:noProof/>
          <w:lang w:val="fr-FR"/>
        </w:rPr>
        <w:t xml:space="preserve"> et des </w:t>
      </w:r>
      <w:r w:rsidR="000540AA" w:rsidRPr="00DD03D6">
        <w:rPr>
          <w:noProof/>
          <w:lang w:val="fr-FR"/>
        </w:rPr>
        <w:t>Protocol</w:t>
      </w:r>
      <w:r w:rsidR="000540AA">
        <w:rPr>
          <w:noProof/>
          <w:lang w:val="fr-FR"/>
        </w:rPr>
        <w:t>e</w:t>
      </w:r>
      <w:r w:rsidR="000540AA" w:rsidRPr="00DD03D6">
        <w:rPr>
          <w:noProof/>
          <w:lang w:val="fr-FR"/>
        </w:rPr>
        <w:t>s</w:t>
      </w:r>
      <w:r w:rsidR="000540AA">
        <w:rPr>
          <w:noProof/>
          <w:lang w:val="fr-FR"/>
        </w:rPr>
        <w:t xml:space="preserve"> facultatifs s’y rapportant</w:t>
      </w:r>
      <w:r w:rsidR="000540AA" w:rsidRPr="00DD03D6">
        <w:rPr>
          <w:noProof/>
          <w:lang w:val="fr-FR"/>
        </w:rPr>
        <w:t xml:space="preserve"> </w:t>
      </w:r>
      <w:bookmarkEnd w:id="12"/>
    </w:p>
    <w:p w:rsidR="008342B8" w:rsidRDefault="008342B8" w:rsidP="000758E7">
      <w:pPr>
        <w:pStyle w:val="SingleTxtG"/>
        <w:numPr>
          <w:ilvl w:val="0"/>
          <w:numId w:val="3"/>
        </w:numPr>
        <w:ind w:left="1134" w:firstLine="0"/>
        <w:rPr>
          <w:noProof/>
          <w:lang w:val="fr-FR"/>
        </w:rPr>
      </w:pPr>
      <w:r w:rsidRPr="00DD03D6">
        <w:rPr>
          <w:noProof/>
          <w:lang w:val="fr-FR"/>
        </w:rPr>
        <w:t>Du</w:t>
      </w:r>
      <w:r w:rsidR="000540AA">
        <w:rPr>
          <w:noProof/>
          <w:lang w:val="fr-FR"/>
        </w:rPr>
        <w:t xml:space="preserve"> fait d</w:t>
      </w:r>
      <w:r w:rsidRPr="00DD03D6">
        <w:rPr>
          <w:noProof/>
          <w:lang w:val="fr-FR"/>
        </w:rPr>
        <w:t xml:space="preserve">e </w:t>
      </w:r>
      <w:r w:rsidR="000540AA">
        <w:rPr>
          <w:noProof/>
          <w:lang w:val="fr-FR"/>
        </w:rPr>
        <w:t xml:space="preserve">la nature intersectorielle </w:t>
      </w:r>
      <w:r w:rsidRPr="00DD03D6">
        <w:rPr>
          <w:noProof/>
          <w:lang w:val="fr-FR"/>
        </w:rPr>
        <w:t>complex</w:t>
      </w:r>
      <w:r w:rsidR="000540AA">
        <w:rPr>
          <w:noProof/>
          <w:lang w:val="fr-FR"/>
        </w:rPr>
        <w:t>e</w:t>
      </w:r>
      <w:r w:rsidRPr="00DD03D6">
        <w:rPr>
          <w:noProof/>
          <w:lang w:val="fr-FR"/>
        </w:rPr>
        <w:t xml:space="preserve"> </w:t>
      </w:r>
      <w:r w:rsidR="000540AA">
        <w:rPr>
          <w:noProof/>
          <w:lang w:val="fr-FR"/>
        </w:rPr>
        <w:t>des questions qui ont une incidence sur la vie des enfants, il n’existe pas à l’heure actuelle de budget unique spécifiquement alloué à ce domaine</w:t>
      </w:r>
      <w:r w:rsidRPr="00DD03D6">
        <w:rPr>
          <w:noProof/>
          <w:lang w:val="fr-FR"/>
        </w:rPr>
        <w:t xml:space="preserve">. </w:t>
      </w:r>
      <w:r w:rsidR="000540AA">
        <w:rPr>
          <w:noProof/>
          <w:lang w:val="fr-FR"/>
        </w:rPr>
        <w:t>Chaque ministère et organisme public s’occupant des enfants (tels que les ministères de l’éducation et de la santé) gère son propre budget et rend compte de ses dépenses</w:t>
      </w:r>
      <w:r w:rsidRPr="00DD03D6">
        <w:rPr>
          <w:noProof/>
          <w:lang w:val="fr-FR"/>
        </w:rPr>
        <w:t xml:space="preserve">. </w:t>
      </w:r>
      <w:r w:rsidR="000540AA">
        <w:rPr>
          <w:noProof/>
          <w:lang w:val="fr-FR"/>
        </w:rPr>
        <w:t>Le tableau 2 indique les crédits mis à la dispo</w:t>
      </w:r>
      <w:r w:rsidR="00710332">
        <w:rPr>
          <w:noProof/>
          <w:lang w:val="fr-FR"/>
        </w:rPr>
        <w:t>s</w:t>
      </w:r>
      <w:r w:rsidR="000540AA">
        <w:rPr>
          <w:noProof/>
          <w:lang w:val="fr-FR"/>
        </w:rPr>
        <w:t xml:space="preserve">ition du Ministère de l’enfance et de la jeunesse au titre de la fourniture des divers </w:t>
      </w:r>
      <w:r w:rsidRPr="00DD03D6">
        <w:rPr>
          <w:noProof/>
          <w:lang w:val="fr-FR"/>
        </w:rPr>
        <w:t xml:space="preserve">services </w:t>
      </w:r>
      <w:r w:rsidR="000540AA">
        <w:rPr>
          <w:noProof/>
          <w:lang w:val="fr-FR"/>
        </w:rPr>
        <w:t>et</w:t>
      </w:r>
      <w:r w:rsidRPr="00DD03D6">
        <w:rPr>
          <w:noProof/>
          <w:lang w:val="fr-FR"/>
        </w:rPr>
        <w:t xml:space="preserve"> programmes </w:t>
      </w:r>
      <w:r w:rsidR="000540AA">
        <w:rPr>
          <w:noProof/>
          <w:lang w:val="fr-FR"/>
        </w:rPr>
        <w:t xml:space="preserve">administrés par lui en </w:t>
      </w:r>
      <w:r w:rsidRPr="00DD03D6">
        <w:rPr>
          <w:noProof/>
          <w:lang w:val="fr-FR"/>
        </w:rPr>
        <w:t>201</w:t>
      </w:r>
      <w:r w:rsidR="001E58FE" w:rsidRPr="00DD03D6">
        <w:rPr>
          <w:noProof/>
          <w:lang w:val="fr-FR"/>
        </w:rPr>
        <w:t xml:space="preserve">1 </w:t>
      </w:r>
      <w:r w:rsidR="000540AA">
        <w:rPr>
          <w:noProof/>
          <w:lang w:val="fr-FR"/>
        </w:rPr>
        <w:t>et 2012</w:t>
      </w:r>
      <w:r w:rsidRPr="00DD03D6">
        <w:rPr>
          <w:noProof/>
          <w:lang w:val="fr-FR"/>
        </w:rPr>
        <w:t>.</w:t>
      </w:r>
    </w:p>
    <w:p w:rsidR="008342B8" w:rsidRPr="00DD03D6" w:rsidRDefault="001D42AE" w:rsidP="001D42AE">
      <w:pPr>
        <w:pStyle w:val="H23G"/>
        <w:rPr>
          <w:noProof/>
          <w:lang w:val="fr-FR"/>
        </w:rPr>
      </w:pPr>
      <w:bookmarkStart w:id="13" w:name="_Toc362485745"/>
      <w:r w:rsidRPr="00DD03D6">
        <w:rPr>
          <w:noProof/>
          <w:lang w:val="fr-FR"/>
        </w:rPr>
        <w:tab/>
      </w:r>
      <w:r w:rsidRPr="00DD03D6">
        <w:rPr>
          <w:noProof/>
          <w:lang w:val="fr-FR"/>
        </w:rPr>
        <w:tab/>
      </w:r>
      <w:r w:rsidRPr="00DD03D6">
        <w:rPr>
          <w:b w:val="0"/>
          <w:bCs/>
          <w:noProof/>
          <w:lang w:val="fr-FR"/>
        </w:rPr>
        <w:t>Table</w:t>
      </w:r>
      <w:r w:rsidR="00710332">
        <w:rPr>
          <w:b w:val="0"/>
          <w:bCs/>
          <w:noProof/>
          <w:lang w:val="fr-FR"/>
        </w:rPr>
        <w:t>au</w:t>
      </w:r>
      <w:r w:rsidRPr="00DD03D6">
        <w:rPr>
          <w:b w:val="0"/>
          <w:bCs/>
          <w:noProof/>
          <w:lang w:val="fr-FR"/>
        </w:rPr>
        <w:t xml:space="preserve"> 2</w:t>
      </w:r>
      <w:r w:rsidR="00B06343" w:rsidRPr="00DD03D6">
        <w:rPr>
          <w:noProof/>
          <w:lang w:val="fr-FR"/>
        </w:rPr>
        <w:br/>
      </w:r>
      <w:r w:rsidR="00710332">
        <w:rPr>
          <w:noProof/>
          <w:lang w:val="fr-FR"/>
        </w:rPr>
        <w:t>Crédits mis à la disposition du Ministère de l’enfance et de la jeunesse</w:t>
      </w:r>
      <w:r w:rsidR="008342B8" w:rsidRPr="00DD03D6">
        <w:rPr>
          <w:noProof/>
          <w:lang w:val="fr-FR"/>
        </w:rPr>
        <w:t>, 2011-2012</w:t>
      </w:r>
      <w:bookmarkEnd w:id="13"/>
      <w:r w:rsidR="00710332">
        <w:rPr>
          <w:noProof/>
          <w:lang w:val="fr-FR"/>
        </w:rPr>
        <w:t xml:space="preserve"> </w:t>
      </w:r>
      <w:r w:rsidR="00CF0BB1">
        <w:rPr>
          <w:noProof/>
          <w:lang w:val="fr-FR"/>
        </w:rPr>
        <w:br/>
      </w:r>
      <w:r w:rsidR="00710332">
        <w:rPr>
          <w:noProof/>
          <w:lang w:val="fr-FR"/>
        </w:rPr>
        <w:t>(en milliers d’euros)</w:t>
      </w:r>
    </w:p>
    <w:tbl>
      <w:tblPr>
        <w:tblW w:w="0" w:type="auto"/>
        <w:tblInd w:w="1134" w:type="dxa"/>
        <w:tblBorders>
          <w:top w:val="single" w:sz="4" w:space="0" w:color="auto"/>
          <w:bottom w:val="single" w:sz="12" w:space="0" w:color="auto"/>
        </w:tblBorders>
        <w:tblLayout w:type="fixed"/>
        <w:tblCellMar>
          <w:left w:w="57" w:type="dxa"/>
          <w:right w:w="57" w:type="dxa"/>
        </w:tblCellMar>
        <w:tblLook w:val="01E0" w:firstRow="1" w:lastRow="1" w:firstColumn="1" w:lastColumn="1" w:noHBand="0" w:noVBand="0"/>
      </w:tblPr>
      <w:tblGrid>
        <w:gridCol w:w="993"/>
        <w:gridCol w:w="991"/>
        <w:gridCol w:w="851"/>
        <w:gridCol w:w="2127"/>
        <w:gridCol w:w="769"/>
        <w:gridCol w:w="932"/>
        <w:gridCol w:w="707"/>
      </w:tblGrid>
      <w:tr w:rsidR="00625700" w:rsidRPr="00CF0BB1" w:rsidTr="00A84810">
        <w:trPr>
          <w:trHeight w:val="240"/>
          <w:tblHeader/>
        </w:trPr>
        <w:tc>
          <w:tcPr>
            <w:tcW w:w="2835" w:type="dxa"/>
            <w:gridSpan w:val="3"/>
            <w:tcBorders>
              <w:top w:val="single" w:sz="4" w:space="0" w:color="auto"/>
              <w:bottom w:val="single" w:sz="4" w:space="0" w:color="auto"/>
            </w:tcBorders>
            <w:shd w:val="clear" w:color="auto" w:fill="auto"/>
            <w:vAlign w:val="bottom"/>
          </w:tcPr>
          <w:p w:rsidR="008342B8" w:rsidRPr="00CF0BB1" w:rsidRDefault="00710332" w:rsidP="00CF0BB1">
            <w:pPr>
              <w:suppressAutoHyphens w:val="0"/>
              <w:spacing w:before="80" w:after="80" w:line="240" w:lineRule="auto"/>
              <w:jc w:val="center"/>
              <w:rPr>
                <w:bCs/>
                <w:i/>
                <w:noProof/>
                <w:sz w:val="15"/>
                <w:szCs w:val="15"/>
                <w:lang w:val="fr-FR"/>
              </w:rPr>
            </w:pPr>
            <w:r w:rsidRPr="00CF0BB1">
              <w:rPr>
                <w:bCs/>
                <w:i/>
                <w:noProof/>
                <w:sz w:val="15"/>
                <w:szCs w:val="15"/>
                <w:lang w:val="fr-FR"/>
              </w:rPr>
              <w:t>Exécution provisoire pour 2</w:t>
            </w:r>
            <w:r w:rsidR="001D42AE" w:rsidRPr="00CF0BB1">
              <w:rPr>
                <w:bCs/>
                <w:i/>
                <w:noProof/>
                <w:sz w:val="15"/>
                <w:szCs w:val="15"/>
                <w:lang w:val="fr-FR"/>
              </w:rPr>
              <w:t xml:space="preserve">011 </w:t>
            </w:r>
          </w:p>
        </w:tc>
        <w:tc>
          <w:tcPr>
            <w:tcW w:w="2127" w:type="dxa"/>
            <w:vMerge w:val="restart"/>
            <w:tcBorders>
              <w:top w:val="single" w:sz="4" w:space="0" w:color="auto"/>
              <w:bottom w:val="single" w:sz="4" w:space="0" w:color="auto"/>
            </w:tcBorders>
            <w:shd w:val="clear" w:color="auto" w:fill="auto"/>
            <w:vAlign w:val="bottom"/>
          </w:tcPr>
          <w:p w:rsidR="008342B8" w:rsidRPr="00CF0BB1" w:rsidRDefault="008342B8" w:rsidP="00CF0BB1">
            <w:pPr>
              <w:suppressAutoHyphens w:val="0"/>
              <w:spacing w:before="80" w:after="80" w:line="240" w:lineRule="auto"/>
              <w:jc w:val="right"/>
              <w:rPr>
                <w:bCs/>
                <w:i/>
                <w:noProof/>
                <w:sz w:val="15"/>
                <w:szCs w:val="15"/>
                <w:lang w:val="fr-FR"/>
              </w:rPr>
            </w:pPr>
          </w:p>
          <w:p w:rsidR="008342B8" w:rsidRPr="00CF0BB1" w:rsidRDefault="006B4099" w:rsidP="00CF0BB1">
            <w:pPr>
              <w:pStyle w:val="Objetducommentaire"/>
              <w:spacing w:before="80" w:after="80"/>
              <w:jc w:val="center"/>
              <w:rPr>
                <w:rFonts w:eastAsia="Times New Roman"/>
                <w:b w:val="0"/>
                <w:i/>
                <w:noProof/>
                <w:sz w:val="15"/>
                <w:szCs w:val="15"/>
                <w:lang w:val="fr-FR" w:eastAsia="en-US"/>
              </w:rPr>
            </w:pPr>
            <w:r w:rsidRPr="00CF0BB1">
              <w:rPr>
                <w:rFonts w:eastAsia="Times New Roman"/>
                <w:b w:val="0"/>
                <w:i/>
                <w:noProof/>
                <w:sz w:val="15"/>
                <w:szCs w:val="15"/>
                <w:lang w:val="fr-FR" w:eastAsia="en-US"/>
              </w:rPr>
              <w:t>Dépenses afférentes aux p</w:t>
            </w:r>
            <w:r w:rsidR="008342B8" w:rsidRPr="00CF0BB1">
              <w:rPr>
                <w:rFonts w:eastAsia="Times New Roman"/>
                <w:b w:val="0"/>
                <w:i/>
                <w:noProof/>
                <w:sz w:val="15"/>
                <w:szCs w:val="15"/>
                <w:lang w:val="fr-FR" w:eastAsia="en-US"/>
              </w:rPr>
              <w:t>rogramme</w:t>
            </w:r>
            <w:r w:rsidRPr="00CF0BB1">
              <w:rPr>
                <w:rFonts w:eastAsia="Times New Roman"/>
                <w:b w:val="0"/>
                <w:i/>
                <w:noProof/>
                <w:sz w:val="15"/>
                <w:szCs w:val="15"/>
                <w:lang w:val="fr-FR" w:eastAsia="en-US"/>
              </w:rPr>
              <w:t>s</w:t>
            </w:r>
            <w:r w:rsidR="008342B8" w:rsidRPr="00CF0BB1">
              <w:rPr>
                <w:rFonts w:eastAsia="Times New Roman"/>
                <w:b w:val="0"/>
                <w:i/>
                <w:noProof/>
                <w:sz w:val="15"/>
                <w:szCs w:val="15"/>
                <w:lang w:val="fr-FR" w:eastAsia="en-US"/>
              </w:rPr>
              <w:t xml:space="preserve"> </w:t>
            </w:r>
          </w:p>
        </w:tc>
        <w:tc>
          <w:tcPr>
            <w:tcW w:w="2408" w:type="dxa"/>
            <w:gridSpan w:val="3"/>
            <w:tcBorders>
              <w:top w:val="single" w:sz="4" w:space="0" w:color="auto"/>
              <w:bottom w:val="single" w:sz="4" w:space="0" w:color="auto"/>
            </w:tcBorders>
            <w:shd w:val="clear" w:color="auto" w:fill="auto"/>
            <w:vAlign w:val="bottom"/>
          </w:tcPr>
          <w:p w:rsidR="008342B8" w:rsidRPr="00CF0BB1" w:rsidRDefault="00710332" w:rsidP="00CF0BB1">
            <w:pPr>
              <w:suppressAutoHyphens w:val="0"/>
              <w:spacing w:before="80" w:after="80" w:line="240" w:lineRule="auto"/>
              <w:jc w:val="center"/>
              <w:rPr>
                <w:bCs/>
                <w:i/>
                <w:noProof/>
                <w:sz w:val="15"/>
                <w:szCs w:val="15"/>
                <w:lang w:val="fr-FR"/>
              </w:rPr>
            </w:pPr>
            <w:r w:rsidRPr="00CF0BB1">
              <w:rPr>
                <w:bCs/>
                <w:i/>
                <w:noProof/>
                <w:sz w:val="15"/>
                <w:szCs w:val="15"/>
                <w:lang w:val="fr-FR"/>
              </w:rPr>
              <w:t xml:space="preserve">Estimation pour </w:t>
            </w:r>
            <w:r w:rsidR="001D42AE" w:rsidRPr="00CF0BB1">
              <w:rPr>
                <w:bCs/>
                <w:i/>
                <w:noProof/>
                <w:sz w:val="15"/>
                <w:szCs w:val="15"/>
                <w:lang w:val="fr-FR"/>
              </w:rPr>
              <w:t xml:space="preserve">2012 </w:t>
            </w:r>
          </w:p>
        </w:tc>
      </w:tr>
      <w:tr w:rsidR="0084548F" w:rsidRPr="00CF0BB1" w:rsidTr="00A84810">
        <w:trPr>
          <w:trHeight w:val="240"/>
          <w:tblHeader/>
        </w:trPr>
        <w:tc>
          <w:tcPr>
            <w:tcW w:w="993" w:type="dxa"/>
            <w:tcBorders>
              <w:top w:val="single" w:sz="4" w:space="0" w:color="auto"/>
              <w:bottom w:val="single" w:sz="12" w:space="0" w:color="auto"/>
            </w:tcBorders>
            <w:shd w:val="clear" w:color="auto" w:fill="auto"/>
          </w:tcPr>
          <w:p w:rsidR="008342B8" w:rsidRPr="00CF0BB1" w:rsidRDefault="008C6EB1" w:rsidP="00CF0BB1">
            <w:pPr>
              <w:suppressAutoHyphens w:val="0"/>
              <w:spacing w:before="80" w:after="80" w:line="240" w:lineRule="auto"/>
              <w:jc w:val="right"/>
              <w:rPr>
                <w:bCs/>
                <w:i/>
                <w:noProof/>
                <w:sz w:val="15"/>
                <w:szCs w:val="15"/>
                <w:lang w:val="fr-FR"/>
              </w:rPr>
            </w:pPr>
            <w:r w:rsidRPr="00CF0BB1">
              <w:rPr>
                <w:bCs/>
                <w:i/>
                <w:noProof/>
                <w:sz w:val="15"/>
                <w:szCs w:val="15"/>
                <w:lang w:val="fr-FR"/>
              </w:rPr>
              <w:t>Dépenses</w:t>
            </w:r>
            <w:r w:rsidR="00710332" w:rsidRPr="00CF0BB1">
              <w:rPr>
                <w:bCs/>
                <w:i/>
                <w:noProof/>
                <w:sz w:val="15"/>
                <w:szCs w:val="15"/>
                <w:lang w:val="fr-FR"/>
              </w:rPr>
              <w:t xml:space="preserve"> courant</w:t>
            </w:r>
            <w:r w:rsidRPr="00CF0BB1">
              <w:rPr>
                <w:bCs/>
                <w:i/>
                <w:noProof/>
                <w:sz w:val="15"/>
                <w:szCs w:val="15"/>
                <w:lang w:val="fr-FR"/>
              </w:rPr>
              <w:t>es</w:t>
            </w:r>
            <w:r w:rsidR="00054392" w:rsidRPr="00CF0BB1">
              <w:rPr>
                <w:bCs/>
                <w:i/>
                <w:noProof/>
                <w:sz w:val="15"/>
                <w:szCs w:val="15"/>
                <w:lang w:val="fr-FR"/>
              </w:rPr>
              <w:br/>
            </w:r>
          </w:p>
        </w:tc>
        <w:tc>
          <w:tcPr>
            <w:tcW w:w="991" w:type="dxa"/>
            <w:tcBorders>
              <w:top w:val="single" w:sz="4" w:space="0" w:color="auto"/>
              <w:bottom w:val="single" w:sz="12" w:space="0" w:color="auto"/>
            </w:tcBorders>
            <w:shd w:val="clear" w:color="auto" w:fill="auto"/>
          </w:tcPr>
          <w:p w:rsidR="008342B8" w:rsidRPr="00CF0BB1" w:rsidRDefault="008C6EB1" w:rsidP="00CF0BB1">
            <w:pPr>
              <w:suppressAutoHyphens w:val="0"/>
              <w:spacing w:before="80" w:after="80" w:line="240" w:lineRule="auto"/>
              <w:jc w:val="right"/>
              <w:rPr>
                <w:bCs/>
                <w:i/>
                <w:noProof/>
                <w:sz w:val="15"/>
                <w:szCs w:val="15"/>
                <w:lang w:val="fr-FR"/>
              </w:rPr>
            </w:pPr>
            <w:r w:rsidRPr="00CF0BB1">
              <w:rPr>
                <w:bCs/>
                <w:i/>
                <w:noProof/>
                <w:sz w:val="15"/>
                <w:szCs w:val="15"/>
                <w:lang w:val="fr-FR"/>
              </w:rPr>
              <w:t>Dépenses d’équipement</w:t>
            </w:r>
            <w:r w:rsidR="00054392" w:rsidRPr="00CF0BB1">
              <w:rPr>
                <w:bCs/>
                <w:i/>
                <w:noProof/>
                <w:sz w:val="15"/>
                <w:szCs w:val="15"/>
                <w:lang w:val="fr-FR"/>
              </w:rPr>
              <w:br/>
            </w:r>
          </w:p>
        </w:tc>
        <w:tc>
          <w:tcPr>
            <w:tcW w:w="851" w:type="dxa"/>
            <w:tcBorders>
              <w:top w:val="single" w:sz="4" w:space="0" w:color="auto"/>
              <w:bottom w:val="single" w:sz="12" w:space="0" w:color="auto"/>
            </w:tcBorders>
            <w:shd w:val="clear" w:color="auto" w:fill="auto"/>
          </w:tcPr>
          <w:p w:rsidR="008342B8" w:rsidRPr="00CF0BB1" w:rsidRDefault="008342B8" w:rsidP="00CF0BB1">
            <w:pPr>
              <w:suppressAutoHyphens w:val="0"/>
              <w:spacing w:before="80" w:after="80" w:line="240" w:lineRule="auto"/>
              <w:jc w:val="right"/>
              <w:rPr>
                <w:bCs/>
                <w:i/>
                <w:noProof/>
                <w:sz w:val="15"/>
                <w:szCs w:val="15"/>
                <w:lang w:val="fr-FR"/>
              </w:rPr>
            </w:pPr>
            <w:r w:rsidRPr="00CF0BB1">
              <w:rPr>
                <w:bCs/>
                <w:i/>
                <w:noProof/>
                <w:sz w:val="15"/>
                <w:szCs w:val="15"/>
                <w:lang w:val="fr-FR"/>
              </w:rPr>
              <w:t>Total</w:t>
            </w:r>
            <w:r w:rsidR="00054392" w:rsidRPr="00CF0BB1">
              <w:rPr>
                <w:bCs/>
                <w:i/>
                <w:noProof/>
                <w:sz w:val="15"/>
                <w:szCs w:val="15"/>
                <w:lang w:val="fr-FR"/>
              </w:rPr>
              <w:br/>
            </w:r>
          </w:p>
        </w:tc>
        <w:tc>
          <w:tcPr>
            <w:tcW w:w="2127" w:type="dxa"/>
            <w:vMerge/>
            <w:tcBorders>
              <w:top w:val="single" w:sz="4" w:space="0" w:color="auto"/>
              <w:bottom w:val="single" w:sz="12" w:space="0" w:color="auto"/>
            </w:tcBorders>
            <w:shd w:val="clear" w:color="auto" w:fill="auto"/>
            <w:vAlign w:val="bottom"/>
          </w:tcPr>
          <w:p w:rsidR="008342B8" w:rsidRPr="00CF0BB1" w:rsidRDefault="008342B8" w:rsidP="00CF0BB1">
            <w:pPr>
              <w:suppressAutoHyphens w:val="0"/>
              <w:spacing w:before="80" w:after="80" w:line="240" w:lineRule="auto"/>
              <w:jc w:val="right"/>
              <w:rPr>
                <w:bCs/>
                <w:i/>
                <w:noProof/>
                <w:sz w:val="15"/>
                <w:szCs w:val="15"/>
                <w:lang w:val="fr-FR"/>
              </w:rPr>
            </w:pPr>
          </w:p>
        </w:tc>
        <w:tc>
          <w:tcPr>
            <w:tcW w:w="769" w:type="dxa"/>
            <w:tcBorders>
              <w:top w:val="single" w:sz="4" w:space="0" w:color="auto"/>
              <w:bottom w:val="single" w:sz="12" w:space="0" w:color="auto"/>
            </w:tcBorders>
            <w:shd w:val="clear" w:color="auto" w:fill="auto"/>
            <w:vAlign w:val="bottom"/>
          </w:tcPr>
          <w:p w:rsidR="008342B8" w:rsidRPr="00CF0BB1" w:rsidRDefault="008C6EB1" w:rsidP="00CF0BB1">
            <w:pPr>
              <w:suppressAutoHyphens w:val="0"/>
              <w:spacing w:before="80" w:after="80" w:line="240" w:lineRule="auto"/>
              <w:jc w:val="right"/>
              <w:rPr>
                <w:bCs/>
                <w:i/>
                <w:noProof/>
                <w:sz w:val="15"/>
                <w:szCs w:val="15"/>
                <w:lang w:val="fr-FR"/>
              </w:rPr>
            </w:pPr>
            <w:r w:rsidRPr="00CF0BB1">
              <w:rPr>
                <w:bCs/>
                <w:i/>
                <w:noProof/>
                <w:sz w:val="15"/>
                <w:szCs w:val="15"/>
                <w:lang w:val="fr-FR"/>
              </w:rPr>
              <w:t>Dépenses courantes</w:t>
            </w:r>
            <w:r w:rsidR="00054392" w:rsidRPr="00CF0BB1">
              <w:rPr>
                <w:bCs/>
                <w:i/>
                <w:noProof/>
                <w:sz w:val="15"/>
                <w:szCs w:val="15"/>
                <w:lang w:val="fr-FR"/>
              </w:rPr>
              <w:br/>
            </w:r>
          </w:p>
        </w:tc>
        <w:tc>
          <w:tcPr>
            <w:tcW w:w="932" w:type="dxa"/>
            <w:tcBorders>
              <w:top w:val="single" w:sz="4" w:space="0" w:color="auto"/>
              <w:bottom w:val="single" w:sz="12" w:space="0" w:color="auto"/>
            </w:tcBorders>
            <w:shd w:val="clear" w:color="auto" w:fill="auto"/>
            <w:vAlign w:val="bottom"/>
          </w:tcPr>
          <w:p w:rsidR="008342B8" w:rsidRPr="00CF0BB1" w:rsidRDefault="008C6EB1" w:rsidP="00CF0BB1">
            <w:pPr>
              <w:suppressAutoHyphens w:val="0"/>
              <w:spacing w:before="80" w:after="80" w:line="240" w:lineRule="auto"/>
              <w:jc w:val="right"/>
              <w:rPr>
                <w:bCs/>
                <w:i/>
                <w:noProof/>
                <w:sz w:val="15"/>
                <w:szCs w:val="15"/>
                <w:lang w:val="fr-FR"/>
              </w:rPr>
            </w:pPr>
            <w:r w:rsidRPr="00CF0BB1">
              <w:rPr>
                <w:bCs/>
                <w:i/>
                <w:noProof/>
                <w:sz w:val="15"/>
                <w:szCs w:val="15"/>
                <w:lang w:val="fr-FR"/>
              </w:rPr>
              <w:t xml:space="preserve">Dépenses d’équipement </w:t>
            </w:r>
            <w:r w:rsidR="00054392" w:rsidRPr="00CF0BB1">
              <w:rPr>
                <w:bCs/>
                <w:i/>
                <w:noProof/>
                <w:sz w:val="15"/>
                <w:szCs w:val="15"/>
                <w:lang w:val="fr-FR"/>
              </w:rPr>
              <w:br/>
            </w:r>
          </w:p>
        </w:tc>
        <w:tc>
          <w:tcPr>
            <w:tcW w:w="707" w:type="dxa"/>
            <w:tcBorders>
              <w:top w:val="single" w:sz="4" w:space="0" w:color="auto"/>
              <w:bottom w:val="single" w:sz="12" w:space="0" w:color="auto"/>
            </w:tcBorders>
            <w:shd w:val="clear" w:color="auto" w:fill="auto"/>
            <w:vAlign w:val="bottom"/>
          </w:tcPr>
          <w:p w:rsidR="008342B8" w:rsidRPr="00CF0BB1" w:rsidRDefault="008342B8" w:rsidP="00CF0BB1">
            <w:pPr>
              <w:suppressAutoHyphens w:val="0"/>
              <w:spacing w:before="80" w:after="80" w:line="240" w:lineRule="auto"/>
              <w:jc w:val="right"/>
              <w:rPr>
                <w:bCs/>
                <w:i/>
                <w:noProof/>
                <w:sz w:val="15"/>
                <w:szCs w:val="15"/>
                <w:lang w:val="fr-FR"/>
              </w:rPr>
            </w:pPr>
            <w:r w:rsidRPr="00CF0BB1">
              <w:rPr>
                <w:bCs/>
                <w:i/>
                <w:noProof/>
                <w:sz w:val="15"/>
                <w:szCs w:val="15"/>
                <w:lang w:val="fr-FR"/>
              </w:rPr>
              <w:t>Total</w:t>
            </w:r>
            <w:r w:rsidR="00054392" w:rsidRPr="00CF0BB1">
              <w:rPr>
                <w:bCs/>
                <w:i/>
                <w:noProof/>
                <w:sz w:val="15"/>
                <w:szCs w:val="15"/>
                <w:lang w:val="fr-FR"/>
              </w:rPr>
              <w:br/>
            </w:r>
          </w:p>
        </w:tc>
      </w:tr>
      <w:tr w:rsidR="0084548F" w:rsidRPr="00DD03D6" w:rsidTr="00A84810">
        <w:trPr>
          <w:trHeight w:val="240"/>
        </w:trPr>
        <w:tc>
          <w:tcPr>
            <w:tcW w:w="993" w:type="dxa"/>
            <w:tcBorders>
              <w:top w:val="single" w:sz="12" w:space="0" w:color="auto"/>
            </w:tcBorders>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85</w:t>
            </w:r>
            <w:r w:rsidR="0008623E">
              <w:rPr>
                <w:noProof/>
                <w:sz w:val="18"/>
                <w:lang w:val="fr-FR"/>
              </w:rPr>
              <w:t xml:space="preserve"> </w:t>
            </w:r>
            <w:r w:rsidRPr="00DD03D6">
              <w:rPr>
                <w:noProof/>
                <w:sz w:val="18"/>
                <w:lang w:val="fr-FR"/>
              </w:rPr>
              <w:t>227</w:t>
            </w:r>
          </w:p>
        </w:tc>
        <w:tc>
          <w:tcPr>
            <w:tcW w:w="991" w:type="dxa"/>
            <w:tcBorders>
              <w:top w:val="single" w:sz="12" w:space="0" w:color="auto"/>
            </w:tcBorders>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w:t>
            </w:r>
          </w:p>
        </w:tc>
        <w:tc>
          <w:tcPr>
            <w:tcW w:w="851" w:type="dxa"/>
            <w:tcBorders>
              <w:top w:val="single" w:sz="12" w:space="0" w:color="auto"/>
            </w:tcBorders>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8</w:t>
            </w:r>
            <w:r w:rsidR="0008623E">
              <w:rPr>
                <w:noProof/>
                <w:sz w:val="18"/>
                <w:lang w:val="fr-FR"/>
              </w:rPr>
              <w:t xml:space="preserve">5 </w:t>
            </w:r>
            <w:r w:rsidRPr="00DD03D6">
              <w:rPr>
                <w:noProof/>
                <w:sz w:val="18"/>
                <w:lang w:val="fr-FR"/>
              </w:rPr>
              <w:t>227</w:t>
            </w:r>
          </w:p>
        </w:tc>
        <w:tc>
          <w:tcPr>
            <w:tcW w:w="2127" w:type="dxa"/>
            <w:tcBorders>
              <w:top w:val="single" w:sz="12" w:space="0" w:color="auto"/>
            </w:tcBorders>
            <w:shd w:val="clear" w:color="auto" w:fill="auto"/>
            <w:vAlign w:val="bottom"/>
          </w:tcPr>
          <w:p w:rsidR="008342B8" w:rsidRPr="00DD03D6" w:rsidRDefault="008342B8" w:rsidP="00CF0BB1">
            <w:pPr>
              <w:tabs>
                <w:tab w:val="left" w:pos="301"/>
              </w:tabs>
              <w:suppressAutoHyphens w:val="0"/>
              <w:spacing w:before="40" w:after="40" w:line="220" w:lineRule="exact"/>
              <w:ind w:left="301" w:hanging="301"/>
              <w:rPr>
                <w:noProof/>
                <w:sz w:val="18"/>
                <w:lang w:val="fr-FR"/>
              </w:rPr>
            </w:pPr>
            <w:r w:rsidRPr="00DD03D6">
              <w:rPr>
                <w:noProof/>
                <w:sz w:val="18"/>
                <w:lang w:val="fr-FR"/>
              </w:rPr>
              <w:t>A.</w:t>
            </w:r>
            <w:r w:rsidR="00CF0BB1">
              <w:rPr>
                <w:noProof/>
                <w:sz w:val="18"/>
                <w:lang w:val="fr-FR"/>
              </w:rPr>
              <w:tab/>
            </w:r>
            <w:r w:rsidR="006B4099">
              <w:rPr>
                <w:noProof/>
                <w:sz w:val="18"/>
                <w:lang w:val="fr-FR"/>
              </w:rPr>
              <w:t>Programme d’aide aux enfants et à leur f</w:t>
            </w:r>
            <w:r w:rsidRPr="00DD03D6">
              <w:rPr>
                <w:noProof/>
                <w:sz w:val="18"/>
                <w:lang w:val="fr-FR"/>
              </w:rPr>
              <w:t>amil</w:t>
            </w:r>
            <w:r w:rsidR="006B4099">
              <w:rPr>
                <w:noProof/>
                <w:sz w:val="18"/>
                <w:lang w:val="fr-FR"/>
              </w:rPr>
              <w:t>le</w:t>
            </w:r>
            <w:r w:rsidRPr="00DD03D6">
              <w:rPr>
                <w:noProof/>
                <w:sz w:val="18"/>
                <w:lang w:val="fr-FR"/>
              </w:rPr>
              <w:t xml:space="preserve"> </w:t>
            </w:r>
          </w:p>
        </w:tc>
        <w:tc>
          <w:tcPr>
            <w:tcW w:w="769" w:type="dxa"/>
            <w:tcBorders>
              <w:top w:val="single" w:sz="12" w:space="0" w:color="auto"/>
            </w:tcBorders>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86</w:t>
            </w:r>
            <w:r w:rsidR="0008623E">
              <w:rPr>
                <w:noProof/>
                <w:sz w:val="18"/>
                <w:lang w:val="fr-FR"/>
              </w:rPr>
              <w:t xml:space="preserve"> </w:t>
            </w:r>
            <w:r w:rsidRPr="00DD03D6">
              <w:rPr>
                <w:noProof/>
                <w:sz w:val="18"/>
                <w:lang w:val="fr-FR"/>
              </w:rPr>
              <w:t>009</w:t>
            </w:r>
          </w:p>
        </w:tc>
        <w:tc>
          <w:tcPr>
            <w:tcW w:w="932" w:type="dxa"/>
            <w:tcBorders>
              <w:top w:val="single" w:sz="12" w:space="0" w:color="auto"/>
            </w:tcBorders>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350</w:t>
            </w:r>
          </w:p>
        </w:tc>
        <w:tc>
          <w:tcPr>
            <w:tcW w:w="707" w:type="dxa"/>
            <w:tcBorders>
              <w:top w:val="single" w:sz="12" w:space="0" w:color="auto"/>
            </w:tcBorders>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86</w:t>
            </w:r>
            <w:r w:rsidR="0008623E">
              <w:rPr>
                <w:noProof/>
                <w:sz w:val="18"/>
                <w:lang w:val="fr-FR"/>
              </w:rPr>
              <w:t xml:space="preserve"> </w:t>
            </w:r>
            <w:r w:rsidRPr="00DD03D6">
              <w:rPr>
                <w:noProof/>
                <w:sz w:val="18"/>
                <w:lang w:val="fr-FR"/>
              </w:rPr>
              <w:t>359</w:t>
            </w:r>
          </w:p>
        </w:tc>
      </w:tr>
      <w:tr w:rsidR="0084548F" w:rsidRPr="00DD03D6" w:rsidTr="00A84810">
        <w:trPr>
          <w:trHeight w:val="240"/>
        </w:trPr>
        <w:tc>
          <w:tcPr>
            <w:tcW w:w="993"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305</w:t>
            </w:r>
            <w:r w:rsidR="0008623E">
              <w:rPr>
                <w:noProof/>
                <w:sz w:val="18"/>
                <w:lang w:val="fr-FR"/>
              </w:rPr>
              <w:t xml:space="preserve"> </w:t>
            </w:r>
            <w:r w:rsidRPr="00DD03D6">
              <w:rPr>
                <w:noProof/>
                <w:sz w:val="18"/>
                <w:lang w:val="fr-FR"/>
              </w:rPr>
              <w:t>709</w:t>
            </w:r>
          </w:p>
        </w:tc>
        <w:tc>
          <w:tcPr>
            <w:tcW w:w="991" w:type="dxa"/>
            <w:shd w:val="clear" w:color="auto" w:fill="auto"/>
            <w:vAlign w:val="bottom"/>
          </w:tcPr>
          <w:p w:rsidR="008342B8" w:rsidRPr="00DD03D6" w:rsidRDefault="0008623E" w:rsidP="0008623E">
            <w:pPr>
              <w:suppressAutoHyphens w:val="0"/>
              <w:spacing w:before="40" w:after="40" w:line="220" w:lineRule="exact"/>
              <w:jc w:val="right"/>
              <w:rPr>
                <w:noProof/>
                <w:sz w:val="18"/>
                <w:lang w:val="fr-FR"/>
              </w:rPr>
            </w:pPr>
            <w:r>
              <w:rPr>
                <w:noProof/>
                <w:sz w:val="18"/>
                <w:lang w:val="fr-FR"/>
              </w:rPr>
              <w:t xml:space="preserve">10 </w:t>
            </w:r>
            <w:r w:rsidR="008342B8" w:rsidRPr="00DD03D6">
              <w:rPr>
                <w:noProof/>
                <w:sz w:val="18"/>
                <w:lang w:val="fr-FR"/>
              </w:rPr>
              <w:t>292</w:t>
            </w:r>
          </w:p>
        </w:tc>
        <w:tc>
          <w:tcPr>
            <w:tcW w:w="851"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316</w:t>
            </w:r>
            <w:r w:rsidR="0008623E">
              <w:rPr>
                <w:noProof/>
                <w:sz w:val="18"/>
                <w:lang w:val="fr-FR"/>
              </w:rPr>
              <w:t xml:space="preserve"> </w:t>
            </w:r>
            <w:r w:rsidRPr="00DD03D6">
              <w:rPr>
                <w:noProof/>
                <w:sz w:val="18"/>
                <w:lang w:val="fr-FR"/>
              </w:rPr>
              <w:t>001</w:t>
            </w:r>
          </w:p>
        </w:tc>
        <w:tc>
          <w:tcPr>
            <w:tcW w:w="2127" w:type="dxa"/>
            <w:shd w:val="clear" w:color="auto" w:fill="auto"/>
            <w:vAlign w:val="bottom"/>
          </w:tcPr>
          <w:p w:rsidR="008342B8" w:rsidRPr="00DD03D6" w:rsidRDefault="0008623E" w:rsidP="0008623E">
            <w:pPr>
              <w:tabs>
                <w:tab w:val="left" w:pos="301"/>
              </w:tabs>
              <w:suppressAutoHyphens w:val="0"/>
              <w:spacing w:before="40" w:after="40" w:line="220" w:lineRule="exact"/>
              <w:ind w:left="301" w:hanging="301"/>
              <w:rPr>
                <w:noProof/>
                <w:sz w:val="18"/>
                <w:lang w:val="fr-FR"/>
              </w:rPr>
            </w:pPr>
            <w:r>
              <w:rPr>
                <w:noProof/>
                <w:sz w:val="18"/>
                <w:lang w:val="fr-FR"/>
              </w:rPr>
              <w:t>B.</w:t>
            </w:r>
            <w:r>
              <w:rPr>
                <w:noProof/>
                <w:sz w:val="18"/>
                <w:lang w:val="fr-FR"/>
              </w:rPr>
              <w:tab/>
            </w:r>
            <w:r w:rsidR="006B4099">
              <w:rPr>
                <w:noProof/>
                <w:sz w:val="18"/>
                <w:lang w:val="fr-FR"/>
              </w:rPr>
              <w:t>P</w:t>
            </w:r>
            <w:r w:rsidR="008342B8" w:rsidRPr="00DD03D6">
              <w:rPr>
                <w:noProof/>
                <w:sz w:val="18"/>
                <w:lang w:val="fr-FR"/>
              </w:rPr>
              <w:t xml:space="preserve">rogrammes </w:t>
            </w:r>
            <w:r w:rsidR="006B4099">
              <w:rPr>
                <w:noProof/>
                <w:sz w:val="18"/>
                <w:lang w:val="fr-FR"/>
              </w:rPr>
              <w:t>sectoriels en faveur des enfants et des jeunes</w:t>
            </w:r>
          </w:p>
        </w:tc>
        <w:tc>
          <w:tcPr>
            <w:tcW w:w="769"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311</w:t>
            </w:r>
            <w:r w:rsidR="0008623E">
              <w:rPr>
                <w:noProof/>
                <w:sz w:val="18"/>
                <w:lang w:val="fr-FR"/>
              </w:rPr>
              <w:t xml:space="preserve"> </w:t>
            </w:r>
            <w:r w:rsidRPr="00DD03D6">
              <w:rPr>
                <w:noProof/>
                <w:sz w:val="18"/>
                <w:lang w:val="fr-FR"/>
              </w:rPr>
              <w:t>927</w:t>
            </w:r>
          </w:p>
        </w:tc>
        <w:tc>
          <w:tcPr>
            <w:tcW w:w="932" w:type="dxa"/>
            <w:shd w:val="clear" w:color="auto" w:fill="auto"/>
            <w:vAlign w:val="bottom"/>
          </w:tcPr>
          <w:p w:rsidR="008342B8" w:rsidRPr="00DD03D6" w:rsidRDefault="0008623E" w:rsidP="0008623E">
            <w:pPr>
              <w:suppressAutoHyphens w:val="0"/>
              <w:spacing w:before="40" w:after="40" w:line="220" w:lineRule="exact"/>
              <w:jc w:val="right"/>
              <w:rPr>
                <w:noProof/>
                <w:sz w:val="18"/>
                <w:lang w:val="fr-FR"/>
              </w:rPr>
            </w:pPr>
            <w:r>
              <w:rPr>
                <w:noProof/>
                <w:sz w:val="18"/>
                <w:lang w:val="fr-FR"/>
              </w:rPr>
              <w:t xml:space="preserve">8 </w:t>
            </w:r>
            <w:r w:rsidR="008342B8" w:rsidRPr="00DD03D6">
              <w:rPr>
                <w:noProof/>
                <w:sz w:val="18"/>
                <w:lang w:val="fr-FR"/>
              </w:rPr>
              <w:t>000</w:t>
            </w:r>
          </w:p>
        </w:tc>
        <w:tc>
          <w:tcPr>
            <w:tcW w:w="707"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319</w:t>
            </w:r>
            <w:r w:rsidR="0008623E">
              <w:rPr>
                <w:noProof/>
                <w:sz w:val="18"/>
                <w:lang w:val="fr-FR"/>
              </w:rPr>
              <w:t xml:space="preserve"> </w:t>
            </w:r>
            <w:r w:rsidRPr="00DD03D6">
              <w:rPr>
                <w:noProof/>
                <w:sz w:val="18"/>
                <w:lang w:val="fr-FR"/>
              </w:rPr>
              <w:t>927</w:t>
            </w:r>
          </w:p>
        </w:tc>
      </w:tr>
      <w:tr w:rsidR="0084548F" w:rsidRPr="00DD03D6" w:rsidTr="00A84810">
        <w:trPr>
          <w:trHeight w:val="240"/>
        </w:trPr>
        <w:tc>
          <w:tcPr>
            <w:tcW w:w="993" w:type="dxa"/>
            <w:shd w:val="clear" w:color="auto" w:fill="auto"/>
            <w:vAlign w:val="bottom"/>
          </w:tcPr>
          <w:p w:rsidR="008342B8" w:rsidRPr="00DD03D6" w:rsidRDefault="0008623E" w:rsidP="0008623E">
            <w:pPr>
              <w:suppressAutoHyphens w:val="0"/>
              <w:spacing w:before="40" w:after="40" w:line="220" w:lineRule="exact"/>
              <w:jc w:val="right"/>
              <w:rPr>
                <w:noProof/>
                <w:sz w:val="18"/>
                <w:lang w:val="fr-FR"/>
              </w:rPr>
            </w:pPr>
            <w:r>
              <w:rPr>
                <w:noProof/>
                <w:sz w:val="18"/>
                <w:lang w:val="fr-FR"/>
              </w:rPr>
              <w:t xml:space="preserve">17 </w:t>
            </w:r>
            <w:r w:rsidR="008342B8" w:rsidRPr="00DD03D6">
              <w:rPr>
                <w:noProof/>
                <w:sz w:val="18"/>
                <w:lang w:val="fr-FR"/>
              </w:rPr>
              <w:t>935</w:t>
            </w:r>
          </w:p>
        </w:tc>
        <w:tc>
          <w:tcPr>
            <w:tcW w:w="991"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w:t>
            </w:r>
          </w:p>
        </w:tc>
        <w:tc>
          <w:tcPr>
            <w:tcW w:w="851" w:type="dxa"/>
            <w:shd w:val="clear" w:color="auto" w:fill="auto"/>
            <w:vAlign w:val="bottom"/>
          </w:tcPr>
          <w:p w:rsidR="008342B8" w:rsidRPr="00DD03D6" w:rsidRDefault="0008623E" w:rsidP="0008623E">
            <w:pPr>
              <w:suppressAutoHyphens w:val="0"/>
              <w:spacing w:before="40" w:after="40" w:line="220" w:lineRule="exact"/>
              <w:jc w:val="right"/>
              <w:rPr>
                <w:noProof/>
                <w:sz w:val="18"/>
                <w:lang w:val="fr-FR"/>
              </w:rPr>
            </w:pPr>
            <w:r>
              <w:rPr>
                <w:noProof/>
                <w:sz w:val="18"/>
                <w:lang w:val="fr-FR"/>
              </w:rPr>
              <w:t xml:space="preserve">17 </w:t>
            </w:r>
            <w:r w:rsidR="008342B8" w:rsidRPr="00DD03D6">
              <w:rPr>
                <w:noProof/>
                <w:sz w:val="18"/>
                <w:lang w:val="fr-FR"/>
              </w:rPr>
              <w:t>935</w:t>
            </w:r>
          </w:p>
        </w:tc>
        <w:tc>
          <w:tcPr>
            <w:tcW w:w="2127" w:type="dxa"/>
            <w:shd w:val="clear" w:color="auto" w:fill="auto"/>
            <w:vAlign w:val="bottom"/>
          </w:tcPr>
          <w:p w:rsidR="008342B8" w:rsidRPr="00DD03D6" w:rsidRDefault="008342B8" w:rsidP="0008623E">
            <w:pPr>
              <w:tabs>
                <w:tab w:val="left" w:pos="301"/>
              </w:tabs>
              <w:suppressAutoHyphens w:val="0"/>
              <w:spacing w:before="40" w:after="40" w:line="220" w:lineRule="exact"/>
              <w:ind w:left="301" w:hanging="301"/>
              <w:rPr>
                <w:noProof/>
                <w:sz w:val="18"/>
                <w:szCs w:val="22"/>
                <w:lang w:val="fr-FR"/>
              </w:rPr>
            </w:pPr>
            <w:r w:rsidRPr="00DD03D6">
              <w:rPr>
                <w:noProof/>
                <w:sz w:val="18"/>
                <w:szCs w:val="22"/>
                <w:lang w:val="fr-FR"/>
              </w:rPr>
              <w:t>C.</w:t>
            </w:r>
            <w:r w:rsidR="0008623E">
              <w:rPr>
                <w:noProof/>
                <w:sz w:val="18"/>
                <w:szCs w:val="22"/>
                <w:lang w:val="fr-FR"/>
              </w:rPr>
              <w:tab/>
            </w:r>
            <w:r w:rsidR="006B4099">
              <w:rPr>
                <w:noProof/>
                <w:sz w:val="18"/>
                <w:szCs w:val="22"/>
                <w:lang w:val="fr-FR"/>
              </w:rPr>
              <w:t>Programme relatif aux politiques et à la lé</w:t>
            </w:r>
            <w:r w:rsidRPr="00DD03D6">
              <w:rPr>
                <w:noProof/>
                <w:sz w:val="18"/>
                <w:szCs w:val="22"/>
                <w:lang w:val="fr-FR"/>
              </w:rPr>
              <w:t xml:space="preserve">gislation </w:t>
            </w:r>
          </w:p>
        </w:tc>
        <w:tc>
          <w:tcPr>
            <w:tcW w:w="769" w:type="dxa"/>
            <w:shd w:val="clear" w:color="auto" w:fill="auto"/>
            <w:vAlign w:val="bottom"/>
          </w:tcPr>
          <w:p w:rsidR="008342B8" w:rsidRPr="00DD03D6" w:rsidRDefault="0008623E" w:rsidP="0008623E">
            <w:pPr>
              <w:suppressAutoHyphens w:val="0"/>
              <w:spacing w:before="40" w:after="40" w:line="220" w:lineRule="exact"/>
              <w:jc w:val="right"/>
              <w:rPr>
                <w:noProof/>
                <w:sz w:val="18"/>
                <w:lang w:val="fr-FR"/>
              </w:rPr>
            </w:pPr>
            <w:r>
              <w:rPr>
                <w:noProof/>
                <w:sz w:val="18"/>
                <w:lang w:val="fr-FR"/>
              </w:rPr>
              <w:t xml:space="preserve">20 </w:t>
            </w:r>
            <w:r w:rsidR="008342B8" w:rsidRPr="00DD03D6">
              <w:rPr>
                <w:noProof/>
                <w:sz w:val="18"/>
                <w:lang w:val="fr-FR"/>
              </w:rPr>
              <w:t>694</w:t>
            </w:r>
          </w:p>
        </w:tc>
        <w:tc>
          <w:tcPr>
            <w:tcW w:w="932"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w:t>
            </w:r>
          </w:p>
        </w:tc>
        <w:tc>
          <w:tcPr>
            <w:tcW w:w="707" w:type="dxa"/>
            <w:shd w:val="clear" w:color="auto" w:fill="auto"/>
            <w:vAlign w:val="bottom"/>
          </w:tcPr>
          <w:p w:rsidR="008342B8" w:rsidRPr="00DD03D6" w:rsidRDefault="0008623E" w:rsidP="0008623E">
            <w:pPr>
              <w:suppressAutoHyphens w:val="0"/>
              <w:spacing w:before="40" w:after="40" w:line="220" w:lineRule="exact"/>
              <w:jc w:val="right"/>
              <w:rPr>
                <w:noProof/>
                <w:sz w:val="18"/>
                <w:lang w:val="fr-FR"/>
              </w:rPr>
            </w:pPr>
            <w:r>
              <w:rPr>
                <w:noProof/>
                <w:sz w:val="18"/>
                <w:lang w:val="fr-FR"/>
              </w:rPr>
              <w:t xml:space="preserve">20 </w:t>
            </w:r>
            <w:r w:rsidR="008342B8" w:rsidRPr="00DD03D6">
              <w:rPr>
                <w:noProof/>
                <w:sz w:val="18"/>
                <w:lang w:val="fr-FR"/>
              </w:rPr>
              <w:t>694</w:t>
            </w:r>
          </w:p>
        </w:tc>
      </w:tr>
      <w:tr w:rsidR="0084548F" w:rsidRPr="00DD03D6" w:rsidTr="00A84810">
        <w:trPr>
          <w:trHeight w:val="240"/>
        </w:trPr>
        <w:tc>
          <w:tcPr>
            <w:tcW w:w="993"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p>
        </w:tc>
        <w:tc>
          <w:tcPr>
            <w:tcW w:w="991"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p>
        </w:tc>
        <w:tc>
          <w:tcPr>
            <w:tcW w:w="851"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p>
        </w:tc>
        <w:tc>
          <w:tcPr>
            <w:tcW w:w="2127" w:type="dxa"/>
            <w:shd w:val="clear" w:color="auto" w:fill="auto"/>
            <w:vAlign w:val="bottom"/>
          </w:tcPr>
          <w:p w:rsidR="008342B8" w:rsidRPr="00DD03D6" w:rsidRDefault="008342B8" w:rsidP="001D42AE">
            <w:pPr>
              <w:suppressAutoHyphens w:val="0"/>
              <w:spacing w:before="40" w:after="40" w:line="220" w:lineRule="exact"/>
              <w:rPr>
                <w:noProof/>
                <w:sz w:val="18"/>
                <w:lang w:val="fr-FR"/>
              </w:rPr>
            </w:pPr>
          </w:p>
        </w:tc>
        <w:tc>
          <w:tcPr>
            <w:tcW w:w="769"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p>
        </w:tc>
        <w:tc>
          <w:tcPr>
            <w:tcW w:w="932"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p>
        </w:tc>
        <w:tc>
          <w:tcPr>
            <w:tcW w:w="707"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p>
        </w:tc>
      </w:tr>
      <w:tr w:rsidR="0084548F" w:rsidRPr="00DD03D6" w:rsidTr="00A84810">
        <w:trPr>
          <w:trHeight w:val="240"/>
        </w:trPr>
        <w:tc>
          <w:tcPr>
            <w:tcW w:w="993"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408</w:t>
            </w:r>
            <w:r w:rsidR="0008623E">
              <w:rPr>
                <w:noProof/>
                <w:sz w:val="18"/>
                <w:lang w:val="fr-FR"/>
              </w:rPr>
              <w:t xml:space="preserve"> </w:t>
            </w:r>
            <w:r w:rsidRPr="00DD03D6">
              <w:rPr>
                <w:noProof/>
                <w:sz w:val="18"/>
                <w:lang w:val="fr-FR"/>
              </w:rPr>
              <w:t>871</w:t>
            </w:r>
          </w:p>
        </w:tc>
        <w:tc>
          <w:tcPr>
            <w:tcW w:w="991" w:type="dxa"/>
            <w:shd w:val="clear" w:color="auto" w:fill="auto"/>
            <w:vAlign w:val="bottom"/>
          </w:tcPr>
          <w:p w:rsidR="008342B8" w:rsidRPr="00DD03D6" w:rsidRDefault="0008623E" w:rsidP="0008623E">
            <w:pPr>
              <w:suppressAutoHyphens w:val="0"/>
              <w:spacing w:before="40" w:after="40" w:line="220" w:lineRule="exact"/>
              <w:jc w:val="right"/>
              <w:rPr>
                <w:noProof/>
                <w:sz w:val="18"/>
                <w:lang w:val="fr-FR"/>
              </w:rPr>
            </w:pPr>
            <w:r>
              <w:rPr>
                <w:noProof/>
                <w:sz w:val="18"/>
                <w:lang w:val="fr-FR"/>
              </w:rPr>
              <w:t xml:space="preserve">10 </w:t>
            </w:r>
            <w:r w:rsidR="008342B8" w:rsidRPr="00DD03D6">
              <w:rPr>
                <w:noProof/>
                <w:sz w:val="18"/>
                <w:lang w:val="fr-FR"/>
              </w:rPr>
              <w:t>292</w:t>
            </w:r>
          </w:p>
        </w:tc>
        <w:tc>
          <w:tcPr>
            <w:tcW w:w="851"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419</w:t>
            </w:r>
            <w:r w:rsidR="0008623E">
              <w:rPr>
                <w:noProof/>
                <w:sz w:val="18"/>
                <w:lang w:val="fr-FR"/>
              </w:rPr>
              <w:t xml:space="preserve"> </w:t>
            </w:r>
            <w:r w:rsidRPr="00DD03D6">
              <w:rPr>
                <w:noProof/>
                <w:sz w:val="18"/>
                <w:lang w:val="fr-FR"/>
              </w:rPr>
              <w:t>163</w:t>
            </w:r>
          </w:p>
        </w:tc>
        <w:tc>
          <w:tcPr>
            <w:tcW w:w="2127" w:type="dxa"/>
            <w:shd w:val="clear" w:color="auto" w:fill="auto"/>
            <w:vAlign w:val="bottom"/>
          </w:tcPr>
          <w:p w:rsidR="008342B8" w:rsidRPr="00DD03D6" w:rsidRDefault="006B4099" w:rsidP="006B4099">
            <w:pPr>
              <w:pStyle w:val="Titre5"/>
              <w:suppressAutoHyphens w:val="0"/>
              <w:spacing w:before="40" w:after="40" w:line="220" w:lineRule="exact"/>
              <w:rPr>
                <w:b/>
                <w:noProof/>
                <w:sz w:val="18"/>
                <w:lang w:val="fr-FR"/>
              </w:rPr>
            </w:pPr>
            <w:r>
              <w:rPr>
                <w:b/>
                <w:noProof/>
                <w:sz w:val="18"/>
                <w:lang w:val="fr-FR"/>
              </w:rPr>
              <w:t>T</w:t>
            </w:r>
            <w:r w:rsidR="008342B8" w:rsidRPr="00DD03D6">
              <w:rPr>
                <w:b/>
                <w:noProof/>
                <w:sz w:val="18"/>
                <w:lang w:val="fr-FR"/>
              </w:rPr>
              <w:t>otal</w:t>
            </w:r>
            <w:r>
              <w:rPr>
                <w:b/>
                <w:noProof/>
                <w:sz w:val="18"/>
                <w:lang w:val="fr-FR"/>
              </w:rPr>
              <w:t xml:space="preserve"> (montant brut)</w:t>
            </w:r>
          </w:p>
        </w:tc>
        <w:tc>
          <w:tcPr>
            <w:tcW w:w="769"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418</w:t>
            </w:r>
            <w:r w:rsidR="0008623E">
              <w:rPr>
                <w:noProof/>
                <w:sz w:val="18"/>
                <w:lang w:val="fr-FR"/>
              </w:rPr>
              <w:t xml:space="preserve"> </w:t>
            </w:r>
            <w:r w:rsidRPr="00DD03D6">
              <w:rPr>
                <w:noProof/>
                <w:sz w:val="18"/>
                <w:lang w:val="fr-FR"/>
              </w:rPr>
              <w:t>630</w:t>
            </w:r>
          </w:p>
        </w:tc>
        <w:tc>
          <w:tcPr>
            <w:tcW w:w="932" w:type="dxa"/>
            <w:shd w:val="clear" w:color="auto" w:fill="auto"/>
            <w:vAlign w:val="bottom"/>
          </w:tcPr>
          <w:p w:rsidR="008342B8" w:rsidRPr="00DD03D6" w:rsidRDefault="0008623E" w:rsidP="0008623E">
            <w:pPr>
              <w:suppressAutoHyphens w:val="0"/>
              <w:spacing w:before="40" w:after="40" w:line="220" w:lineRule="exact"/>
              <w:jc w:val="right"/>
              <w:rPr>
                <w:noProof/>
                <w:sz w:val="18"/>
                <w:lang w:val="fr-FR"/>
              </w:rPr>
            </w:pPr>
            <w:r>
              <w:rPr>
                <w:noProof/>
                <w:sz w:val="18"/>
                <w:lang w:val="fr-FR"/>
              </w:rPr>
              <w:t xml:space="preserve">8 </w:t>
            </w:r>
            <w:r w:rsidR="008342B8" w:rsidRPr="00DD03D6">
              <w:rPr>
                <w:noProof/>
                <w:sz w:val="18"/>
                <w:lang w:val="fr-FR"/>
              </w:rPr>
              <w:t>350</w:t>
            </w:r>
          </w:p>
        </w:tc>
        <w:tc>
          <w:tcPr>
            <w:tcW w:w="707"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426</w:t>
            </w:r>
            <w:r w:rsidR="0008623E">
              <w:rPr>
                <w:noProof/>
                <w:sz w:val="18"/>
                <w:lang w:val="fr-FR"/>
              </w:rPr>
              <w:t xml:space="preserve"> </w:t>
            </w:r>
            <w:r w:rsidRPr="00DD03D6">
              <w:rPr>
                <w:noProof/>
                <w:sz w:val="18"/>
                <w:lang w:val="fr-FR"/>
              </w:rPr>
              <w:t>980</w:t>
            </w:r>
          </w:p>
        </w:tc>
      </w:tr>
      <w:tr w:rsidR="0084548F" w:rsidRPr="00DD03D6" w:rsidTr="00A84810">
        <w:trPr>
          <w:trHeight w:val="240"/>
        </w:trPr>
        <w:tc>
          <w:tcPr>
            <w:tcW w:w="993" w:type="dxa"/>
            <w:shd w:val="clear" w:color="auto" w:fill="auto"/>
            <w:vAlign w:val="bottom"/>
          </w:tcPr>
          <w:p w:rsidR="008342B8" w:rsidRPr="00DD03D6" w:rsidRDefault="0008623E" w:rsidP="0008623E">
            <w:pPr>
              <w:suppressAutoHyphens w:val="0"/>
              <w:spacing w:before="40" w:after="40" w:line="220" w:lineRule="exact"/>
              <w:jc w:val="right"/>
              <w:rPr>
                <w:noProof/>
                <w:sz w:val="18"/>
                <w:lang w:val="fr-FR"/>
              </w:rPr>
            </w:pPr>
            <w:r>
              <w:rPr>
                <w:noProof/>
                <w:sz w:val="18"/>
                <w:lang w:val="fr-FR"/>
              </w:rPr>
              <w:t xml:space="preserve">5 </w:t>
            </w:r>
            <w:r w:rsidR="008342B8" w:rsidRPr="00DD03D6">
              <w:rPr>
                <w:noProof/>
                <w:sz w:val="18"/>
                <w:lang w:val="fr-FR"/>
              </w:rPr>
              <w:t>676</w:t>
            </w:r>
          </w:p>
        </w:tc>
        <w:tc>
          <w:tcPr>
            <w:tcW w:w="991"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w:t>
            </w:r>
          </w:p>
        </w:tc>
        <w:tc>
          <w:tcPr>
            <w:tcW w:w="851" w:type="dxa"/>
            <w:shd w:val="clear" w:color="auto" w:fill="auto"/>
            <w:vAlign w:val="bottom"/>
          </w:tcPr>
          <w:p w:rsidR="008342B8" w:rsidRPr="00DD03D6" w:rsidRDefault="0008623E" w:rsidP="0008623E">
            <w:pPr>
              <w:suppressAutoHyphens w:val="0"/>
              <w:spacing w:before="40" w:after="40" w:line="220" w:lineRule="exact"/>
              <w:jc w:val="right"/>
              <w:rPr>
                <w:noProof/>
                <w:sz w:val="18"/>
                <w:lang w:val="fr-FR"/>
              </w:rPr>
            </w:pPr>
            <w:r>
              <w:rPr>
                <w:noProof/>
                <w:sz w:val="18"/>
                <w:lang w:val="fr-FR"/>
              </w:rPr>
              <w:t xml:space="preserve">5 </w:t>
            </w:r>
            <w:r w:rsidR="008342B8" w:rsidRPr="00DD03D6">
              <w:rPr>
                <w:noProof/>
                <w:sz w:val="18"/>
                <w:lang w:val="fr-FR"/>
              </w:rPr>
              <w:t>676</w:t>
            </w:r>
          </w:p>
        </w:tc>
        <w:tc>
          <w:tcPr>
            <w:tcW w:w="2127" w:type="dxa"/>
            <w:shd w:val="clear" w:color="auto" w:fill="auto"/>
            <w:vAlign w:val="bottom"/>
          </w:tcPr>
          <w:p w:rsidR="008342B8" w:rsidRPr="00DD03D6" w:rsidRDefault="00500FEC" w:rsidP="00500FEC">
            <w:pPr>
              <w:suppressAutoHyphens w:val="0"/>
              <w:spacing w:before="40" w:after="40" w:line="220" w:lineRule="exact"/>
              <w:rPr>
                <w:noProof/>
                <w:sz w:val="18"/>
                <w:lang w:val="fr-FR"/>
              </w:rPr>
            </w:pPr>
            <w:r>
              <w:rPr>
                <w:noProof/>
                <w:sz w:val="18"/>
                <w:lang w:val="fr-FR"/>
              </w:rPr>
              <w:t>À déduire :</w:t>
            </w:r>
            <w:r w:rsidR="006B4099">
              <w:rPr>
                <w:noProof/>
                <w:sz w:val="18"/>
                <w:lang w:val="fr-FR"/>
              </w:rPr>
              <w:t xml:space="preserve"> </w:t>
            </w:r>
            <w:r w:rsidR="00CD7FCD">
              <w:rPr>
                <w:noProof/>
                <w:sz w:val="18"/>
                <w:lang w:val="fr-FR"/>
              </w:rPr>
              <w:t>crédits ouverts au titre de l’aide</w:t>
            </w:r>
          </w:p>
        </w:tc>
        <w:tc>
          <w:tcPr>
            <w:tcW w:w="769" w:type="dxa"/>
            <w:shd w:val="clear" w:color="auto" w:fill="auto"/>
            <w:vAlign w:val="bottom"/>
          </w:tcPr>
          <w:p w:rsidR="008342B8" w:rsidRPr="00DD03D6" w:rsidRDefault="0008623E" w:rsidP="0008623E">
            <w:pPr>
              <w:suppressAutoHyphens w:val="0"/>
              <w:spacing w:before="40" w:after="40" w:line="220" w:lineRule="exact"/>
              <w:jc w:val="right"/>
              <w:rPr>
                <w:noProof/>
                <w:sz w:val="18"/>
                <w:lang w:val="fr-FR"/>
              </w:rPr>
            </w:pPr>
            <w:r>
              <w:rPr>
                <w:noProof/>
                <w:sz w:val="18"/>
                <w:lang w:val="fr-FR"/>
              </w:rPr>
              <w:t xml:space="preserve">12 </w:t>
            </w:r>
            <w:r w:rsidR="008342B8" w:rsidRPr="00DD03D6">
              <w:rPr>
                <w:noProof/>
                <w:sz w:val="18"/>
                <w:lang w:val="fr-FR"/>
              </w:rPr>
              <w:t>223</w:t>
            </w:r>
          </w:p>
        </w:tc>
        <w:tc>
          <w:tcPr>
            <w:tcW w:w="932"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w:t>
            </w:r>
          </w:p>
        </w:tc>
        <w:tc>
          <w:tcPr>
            <w:tcW w:w="707" w:type="dxa"/>
            <w:shd w:val="clear" w:color="auto" w:fill="auto"/>
            <w:vAlign w:val="bottom"/>
          </w:tcPr>
          <w:p w:rsidR="008342B8" w:rsidRPr="00DD03D6" w:rsidRDefault="0008623E" w:rsidP="0008623E">
            <w:pPr>
              <w:suppressAutoHyphens w:val="0"/>
              <w:spacing w:before="40" w:after="40" w:line="220" w:lineRule="exact"/>
              <w:jc w:val="right"/>
              <w:rPr>
                <w:noProof/>
                <w:sz w:val="18"/>
                <w:lang w:val="fr-FR"/>
              </w:rPr>
            </w:pPr>
            <w:r>
              <w:rPr>
                <w:noProof/>
                <w:sz w:val="18"/>
                <w:lang w:val="fr-FR"/>
              </w:rPr>
              <w:t xml:space="preserve">12 </w:t>
            </w:r>
            <w:r w:rsidR="008342B8" w:rsidRPr="00DD03D6">
              <w:rPr>
                <w:noProof/>
                <w:sz w:val="18"/>
                <w:lang w:val="fr-FR"/>
              </w:rPr>
              <w:t>223</w:t>
            </w:r>
          </w:p>
        </w:tc>
      </w:tr>
      <w:tr w:rsidR="0084548F" w:rsidRPr="00DD03D6" w:rsidTr="00A84810">
        <w:trPr>
          <w:trHeight w:val="240"/>
        </w:trPr>
        <w:tc>
          <w:tcPr>
            <w:tcW w:w="993"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403</w:t>
            </w:r>
            <w:r w:rsidR="0008623E">
              <w:rPr>
                <w:noProof/>
                <w:sz w:val="18"/>
                <w:lang w:val="fr-FR"/>
              </w:rPr>
              <w:t xml:space="preserve"> </w:t>
            </w:r>
            <w:r w:rsidRPr="00DD03D6">
              <w:rPr>
                <w:noProof/>
                <w:sz w:val="18"/>
                <w:lang w:val="fr-FR"/>
              </w:rPr>
              <w:t>195</w:t>
            </w:r>
          </w:p>
        </w:tc>
        <w:tc>
          <w:tcPr>
            <w:tcW w:w="991"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10</w:t>
            </w:r>
            <w:r w:rsidR="0008623E">
              <w:rPr>
                <w:noProof/>
                <w:sz w:val="18"/>
                <w:lang w:val="fr-FR"/>
              </w:rPr>
              <w:t xml:space="preserve"> </w:t>
            </w:r>
            <w:r w:rsidRPr="00DD03D6">
              <w:rPr>
                <w:noProof/>
                <w:sz w:val="18"/>
                <w:lang w:val="fr-FR"/>
              </w:rPr>
              <w:t>292</w:t>
            </w:r>
          </w:p>
        </w:tc>
        <w:tc>
          <w:tcPr>
            <w:tcW w:w="851"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413</w:t>
            </w:r>
            <w:r w:rsidR="0008623E">
              <w:rPr>
                <w:noProof/>
                <w:sz w:val="18"/>
                <w:lang w:val="fr-FR"/>
              </w:rPr>
              <w:t xml:space="preserve"> </w:t>
            </w:r>
            <w:r w:rsidRPr="00DD03D6">
              <w:rPr>
                <w:noProof/>
                <w:sz w:val="18"/>
                <w:lang w:val="fr-FR"/>
              </w:rPr>
              <w:t>487</w:t>
            </w:r>
          </w:p>
        </w:tc>
        <w:tc>
          <w:tcPr>
            <w:tcW w:w="2127" w:type="dxa"/>
            <w:shd w:val="clear" w:color="auto" w:fill="auto"/>
            <w:vAlign w:val="bottom"/>
          </w:tcPr>
          <w:p w:rsidR="008342B8" w:rsidRPr="00DD03D6" w:rsidRDefault="00CD7FCD" w:rsidP="00CD7FCD">
            <w:pPr>
              <w:pStyle w:val="Titre5"/>
              <w:suppressAutoHyphens w:val="0"/>
              <w:spacing w:before="40" w:after="40" w:line="220" w:lineRule="exact"/>
              <w:rPr>
                <w:b/>
                <w:noProof/>
                <w:sz w:val="18"/>
                <w:lang w:val="fr-FR"/>
              </w:rPr>
            </w:pPr>
            <w:r>
              <w:rPr>
                <w:b/>
                <w:noProof/>
                <w:sz w:val="18"/>
                <w:lang w:val="fr-FR"/>
              </w:rPr>
              <w:t xml:space="preserve">Total (montant net) </w:t>
            </w:r>
          </w:p>
        </w:tc>
        <w:tc>
          <w:tcPr>
            <w:tcW w:w="769"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406</w:t>
            </w:r>
            <w:r w:rsidR="0008623E">
              <w:rPr>
                <w:noProof/>
                <w:sz w:val="18"/>
                <w:lang w:val="fr-FR"/>
              </w:rPr>
              <w:t xml:space="preserve"> </w:t>
            </w:r>
            <w:r w:rsidRPr="00DD03D6">
              <w:rPr>
                <w:noProof/>
                <w:sz w:val="18"/>
                <w:lang w:val="fr-FR"/>
              </w:rPr>
              <w:t>407</w:t>
            </w:r>
          </w:p>
        </w:tc>
        <w:tc>
          <w:tcPr>
            <w:tcW w:w="932"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8</w:t>
            </w:r>
            <w:r w:rsidR="0008623E">
              <w:rPr>
                <w:noProof/>
                <w:sz w:val="18"/>
                <w:lang w:val="fr-FR"/>
              </w:rPr>
              <w:t xml:space="preserve"> </w:t>
            </w:r>
            <w:r w:rsidRPr="00DD03D6">
              <w:rPr>
                <w:noProof/>
                <w:sz w:val="18"/>
                <w:lang w:val="fr-FR"/>
              </w:rPr>
              <w:t>350</w:t>
            </w:r>
          </w:p>
        </w:tc>
        <w:tc>
          <w:tcPr>
            <w:tcW w:w="707" w:type="dxa"/>
            <w:shd w:val="clear" w:color="auto" w:fill="auto"/>
            <w:vAlign w:val="bottom"/>
          </w:tcPr>
          <w:p w:rsidR="008342B8" w:rsidRPr="00DD03D6" w:rsidRDefault="008342B8" w:rsidP="0008623E">
            <w:pPr>
              <w:suppressAutoHyphens w:val="0"/>
              <w:spacing w:before="40" w:after="40" w:line="220" w:lineRule="exact"/>
              <w:jc w:val="right"/>
              <w:rPr>
                <w:noProof/>
                <w:sz w:val="18"/>
                <w:lang w:val="fr-FR"/>
              </w:rPr>
            </w:pPr>
            <w:r w:rsidRPr="00DD03D6">
              <w:rPr>
                <w:noProof/>
                <w:sz w:val="18"/>
                <w:lang w:val="fr-FR"/>
              </w:rPr>
              <w:t>414</w:t>
            </w:r>
            <w:r w:rsidR="0008623E">
              <w:rPr>
                <w:noProof/>
                <w:sz w:val="18"/>
                <w:lang w:val="fr-FR"/>
              </w:rPr>
              <w:t xml:space="preserve"> </w:t>
            </w:r>
            <w:r w:rsidRPr="00DD03D6">
              <w:rPr>
                <w:noProof/>
                <w:sz w:val="18"/>
                <w:lang w:val="fr-FR"/>
              </w:rPr>
              <w:t>757</w:t>
            </w:r>
          </w:p>
        </w:tc>
      </w:tr>
    </w:tbl>
    <w:p w:rsidR="008342B8" w:rsidRPr="00DD03D6" w:rsidRDefault="00F13644" w:rsidP="000758E7">
      <w:pPr>
        <w:pStyle w:val="SingleTxtG"/>
        <w:numPr>
          <w:ilvl w:val="0"/>
          <w:numId w:val="3"/>
        </w:numPr>
        <w:spacing w:before="240"/>
        <w:ind w:left="1134" w:firstLine="0"/>
        <w:rPr>
          <w:noProof/>
          <w:lang w:val="fr-FR"/>
        </w:rPr>
      </w:pPr>
      <w:r>
        <w:rPr>
          <w:noProof/>
          <w:lang w:val="fr-FR"/>
        </w:rPr>
        <w:t xml:space="preserve">Le ralentissement économique que l’Irlande a récemment connu à partir de 2009, en particulier, </w:t>
      </w:r>
      <w:r w:rsidR="008C6EB1">
        <w:rPr>
          <w:noProof/>
          <w:lang w:val="fr-FR"/>
        </w:rPr>
        <w:t>a eu pour effet de comprimer le budget de la quasi-totalité des ministères et organismes publics</w:t>
      </w:r>
      <w:r w:rsidR="008342B8" w:rsidRPr="00DD03D6">
        <w:rPr>
          <w:noProof/>
          <w:lang w:val="fr-FR"/>
        </w:rPr>
        <w:t xml:space="preserve">. </w:t>
      </w:r>
      <w:r w:rsidR="008C6EB1">
        <w:rPr>
          <w:noProof/>
          <w:lang w:val="fr-FR"/>
        </w:rPr>
        <w:t xml:space="preserve">Toutefois, celui du Ministère de l’enfance et de la jeunesse est resté relativement </w:t>
      </w:r>
      <w:r w:rsidR="008342B8" w:rsidRPr="00DD03D6">
        <w:rPr>
          <w:noProof/>
          <w:lang w:val="fr-FR"/>
        </w:rPr>
        <w:t xml:space="preserve">stable, </w:t>
      </w:r>
      <w:r w:rsidR="008C6EB1">
        <w:rPr>
          <w:noProof/>
          <w:lang w:val="fr-FR"/>
        </w:rPr>
        <w:t xml:space="preserve">avec une </w:t>
      </w:r>
      <w:r w:rsidR="008342B8" w:rsidRPr="00DD03D6">
        <w:rPr>
          <w:noProof/>
          <w:lang w:val="fr-FR"/>
        </w:rPr>
        <w:t xml:space="preserve">allocation </w:t>
      </w:r>
      <w:r w:rsidR="008C6EB1">
        <w:rPr>
          <w:noProof/>
          <w:lang w:val="fr-FR"/>
        </w:rPr>
        <w:t xml:space="preserve">de crédits de </w:t>
      </w:r>
      <w:r w:rsidR="008342B8" w:rsidRPr="00DD03D6">
        <w:rPr>
          <w:noProof/>
          <w:lang w:val="fr-FR"/>
        </w:rPr>
        <w:t>419 million</w:t>
      </w:r>
      <w:r w:rsidR="008C6EB1">
        <w:rPr>
          <w:noProof/>
          <w:lang w:val="fr-FR"/>
        </w:rPr>
        <w:t>s d’euros en</w:t>
      </w:r>
      <w:r w:rsidR="008342B8" w:rsidRPr="00DD03D6">
        <w:rPr>
          <w:noProof/>
          <w:lang w:val="fr-FR"/>
        </w:rPr>
        <w:t xml:space="preserve"> 2011 </w:t>
      </w:r>
      <w:r w:rsidR="008C6EB1">
        <w:rPr>
          <w:noProof/>
          <w:lang w:val="fr-FR"/>
        </w:rPr>
        <w:t xml:space="preserve">et de </w:t>
      </w:r>
      <w:r w:rsidR="008342B8" w:rsidRPr="00DD03D6">
        <w:rPr>
          <w:noProof/>
          <w:lang w:val="fr-FR"/>
        </w:rPr>
        <w:t>427 million</w:t>
      </w:r>
      <w:r w:rsidR="008C6EB1">
        <w:rPr>
          <w:noProof/>
          <w:lang w:val="fr-FR"/>
        </w:rPr>
        <w:t>s</w:t>
      </w:r>
      <w:r w:rsidR="008342B8" w:rsidRPr="00DD03D6">
        <w:rPr>
          <w:noProof/>
          <w:lang w:val="fr-FR"/>
        </w:rPr>
        <w:t xml:space="preserve"> </w:t>
      </w:r>
      <w:r w:rsidR="008C6EB1">
        <w:rPr>
          <w:noProof/>
          <w:lang w:val="fr-FR"/>
        </w:rPr>
        <w:t>e</w:t>
      </w:r>
      <w:r w:rsidR="008342B8" w:rsidRPr="00DD03D6">
        <w:rPr>
          <w:noProof/>
          <w:lang w:val="fr-FR"/>
        </w:rPr>
        <w:t xml:space="preserve">n 2012. </w:t>
      </w:r>
      <w:r w:rsidR="008C6EB1">
        <w:rPr>
          <w:noProof/>
          <w:lang w:val="fr-FR"/>
        </w:rPr>
        <w:t>L’augmentation de cet</w:t>
      </w:r>
      <w:r w:rsidR="00677047">
        <w:rPr>
          <w:noProof/>
          <w:lang w:val="fr-FR"/>
        </w:rPr>
        <w:t>t</w:t>
      </w:r>
      <w:r w:rsidR="008C6EB1">
        <w:rPr>
          <w:noProof/>
          <w:lang w:val="fr-FR"/>
        </w:rPr>
        <w:t>e allocation reflète certaines priorités essentielles et le coût de la pression démograp</w:t>
      </w:r>
      <w:r w:rsidR="00677047">
        <w:rPr>
          <w:noProof/>
          <w:lang w:val="fr-FR"/>
        </w:rPr>
        <w:t>h</w:t>
      </w:r>
      <w:r w:rsidR="008C6EB1">
        <w:rPr>
          <w:noProof/>
          <w:lang w:val="fr-FR"/>
        </w:rPr>
        <w:t>ique</w:t>
      </w:r>
      <w:r w:rsidR="008342B8" w:rsidRPr="00DD03D6">
        <w:rPr>
          <w:noProof/>
          <w:lang w:val="fr-FR"/>
        </w:rPr>
        <w:t xml:space="preserve">. </w:t>
      </w:r>
      <w:r w:rsidR="008C6EB1">
        <w:rPr>
          <w:noProof/>
          <w:lang w:val="fr-FR"/>
        </w:rPr>
        <w:t>L’allocation estimative du Ministère de l’é</w:t>
      </w:r>
      <w:r w:rsidR="008342B8" w:rsidRPr="00DD03D6">
        <w:rPr>
          <w:noProof/>
          <w:lang w:val="fr-FR"/>
        </w:rPr>
        <w:t xml:space="preserve">ducation </w:t>
      </w:r>
      <w:r w:rsidR="008C6EB1">
        <w:rPr>
          <w:noProof/>
          <w:lang w:val="fr-FR"/>
        </w:rPr>
        <w:t xml:space="preserve">et de la formation au titre de l’enseignement primaire et secondaire (dépenses courantes et dépenses d’équipment) a légèrement diminué; elle a été ramenée de </w:t>
      </w:r>
      <w:r w:rsidR="008342B8" w:rsidRPr="00DD03D6">
        <w:rPr>
          <w:noProof/>
          <w:lang w:val="fr-FR"/>
        </w:rPr>
        <w:t>6</w:t>
      </w:r>
      <w:r w:rsidR="008C6EB1">
        <w:rPr>
          <w:noProof/>
          <w:lang w:val="fr-FR"/>
        </w:rPr>
        <w:t>,</w:t>
      </w:r>
      <w:r w:rsidR="008342B8" w:rsidRPr="00DD03D6">
        <w:rPr>
          <w:noProof/>
          <w:lang w:val="fr-FR"/>
        </w:rPr>
        <w:t xml:space="preserve">73 </w:t>
      </w:r>
      <w:r w:rsidR="008C6EB1">
        <w:rPr>
          <w:noProof/>
          <w:lang w:val="fr-FR"/>
        </w:rPr>
        <w:t xml:space="preserve">milliards d’euros en </w:t>
      </w:r>
      <w:r w:rsidR="008342B8" w:rsidRPr="00DD03D6">
        <w:rPr>
          <w:noProof/>
          <w:lang w:val="fr-FR"/>
        </w:rPr>
        <w:t xml:space="preserve">2009 </w:t>
      </w:r>
      <w:r w:rsidR="008C6EB1">
        <w:rPr>
          <w:noProof/>
          <w:lang w:val="fr-FR"/>
        </w:rPr>
        <w:t>à</w:t>
      </w:r>
      <w:r w:rsidR="008342B8" w:rsidRPr="00DD03D6">
        <w:rPr>
          <w:noProof/>
          <w:lang w:val="fr-FR"/>
        </w:rPr>
        <w:t xml:space="preserve"> 6</w:t>
      </w:r>
      <w:r w:rsidR="008C6EB1">
        <w:rPr>
          <w:noProof/>
          <w:lang w:val="fr-FR"/>
        </w:rPr>
        <w:t>,</w:t>
      </w:r>
      <w:r w:rsidR="008342B8" w:rsidRPr="00DD03D6">
        <w:rPr>
          <w:noProof/>
          <w:lang w:val="fr-FR"/>
        </w:rPr>
        <w:t xml:space="preserve">48 </w:t>
      </w:r>
      <w:r w:rsidR="008C6EB1">
        <w:rPr>
          <w:noProof/>
          <w:lang w:val="fr-FR"/>
        </w:rPr>
        <w:t xml:space="preserve">milliards en </w:t>
      </w:r>
      <w:r w:rsidR="008342B8" w:rsidRPr="00DD03D6">
        <w:rPr>
          <w:noProof/>
          <w:lang w:val="fr-FR"/>
        </w:rPr>
        <w:t xml:space="preserve">2010 </w:t>
      </w:r>
      <w:r w:rsidR="008C6EB1">
        <w:rPr>
          <w:noProof/>
          <w:lang w:val="fr-FR"/>
        </w:rPr>
        <w:t>et à</w:t>
      </w:r>
      <w:r w:rsidR="00D73839">
        <w:rPr>
          <w:noProof/>
          <w:lang w:val="fr-FR"/>
        </w:rPr>
        <w:t xml:space="preserve"> </w:t>
      </w:r>
      <w:r w:rsidR="008342B8" w:rsidRPr="00DD03D6">
        <w:rPr>
          <w:noProof/>
          <w:lang w:val="fr-FR"/>
        </w:rPr>
        <w:t>6</w:t>
      </w:r>
      <w:r w:rsidR="008C6EB1">
        <w:rPr>
          <w:noProof/>
          <w:lang w:val="fr-FR"/>
        </w:rPr>
        <w:t>,</w:t>
      </w:r>
      <w:r w:rsidR="008342B8" w:rsidRPr="00DD03D6">
        <w:rPr>
          <w:noProof/>
          <w:lang w:val="fr-FR"/>
        </w:rPr>
        <w:t xml:space="preserve">35 </w:t>
      </w:r>
      <w:r w:rsidR="008C6EB1">
        <w:rPr>
          <w:noProof/>
          <w:lang w:val="fr-FR"/>
        </w:rPr>
        <w:t xml:space="preserve">milliards en </w:t>
      </w:r>
      <w:r w:rsidR="008342B8" w:rsidRPr="00DD03D6">
        <w:rPr>
          <w:noProof/>
          <w:lang w:val="fr-FR"/>
        </w:rPr>
        <w:t>2011.</w:t>
      </w:r>
    </w:p>
    <w:p w:rsidR="008342B8" w:rsidRPr="00DD03D6" w:rsidRDefault="00625700" w:rsidP="001F2B82">
      <w:pPr>
        <w:pStyle w:val="H1G"/>
        <w:rPr>
          <w:noProof/>
          <w:lang w:val="fr-FR"/>
        </w:rPr>
      </w:pPr>
      <w:bookmarkStart w:id="14" w:name="_Toc356430844"/>
      <w:r w:rsidRPr="00DD03D6">
        <w:rPr>
          <w:noProof/>
          <w:lang w:val="fr-FR"/>
        </w:rPr>
        <w:lastRenderedPageBreak/>
        <w:tab/>
      </w:r>
      <w:r w:rsidR="008342B8" w:rsidRPr="00DD03D6">
        <w:rPr>
          <w:noProof/>
          <w:lang w:val="fr-FR"/>
        </w:rPr>
        <w:t>E.</w:t>
      </w:r>
      <w:r w:rsidR="008342B8" w:rsidRPr="00DD03D6">
        <w:rPr>
          <w:noProof/>
          <w:lang w:val="fr-FR"/>
        </w:rPr>
        <w:tab/>
      </w:r>
      <w:r w:rsidR="000319FF">
        <w:rPr>
          <w:noProof/>
          <w:lang w:val="fr-FR"/>
        </w:rPr>
        <w:t>Assistance i</w:t>
      </w:r>
      <w:r w:rsidR="000319FF" w:rsidRPr="00DD03D6">
        <w:rPr>
          <w:noProof/>
          <w:lang w:val="fr-FR"/>
        </w:rPr>
        <w:t>nternational</w:t>
      </w:r>
      <w:r w:rsidR="000319FF">
        <w:rPr>
          <w:noProof/>
          <w:lang w:val="fr-FR"/>
        </w:rPr>
        <w:t xml:space="preserve">e et aide au développement en ce qui concerne la Convention </w:t>
      </w:r>
      <w:bookmarkEnd w:id="14"/>
    </w:p>
    <w:p w:rsidR="008342B8" w:rsidRPr="00DD03D6" w:rsidRDefault="000319FF" w:rsidP="006C6334">
      <w:pPr>
        <w:pStyle w:val="SingleTxtG"/>
        <w:numPr>
          <w:ilvl w:val="0"/>
          <w:numId w:val="3"/>
        </w:numPr>
        <w:ind w:left="1134" w:firstLine="0"/>
        <w:rPr>
          <w:noProof/>
          <w:lang w:val="fr-FR"/>
        </w:rPr>
      </w:pPr>
      <w:r>
        <w:rPr>
          <w:noProof/>
          <w:lang w:val="fr-FR"/>
        </w:rPr>
        <w:t xml:space="preserve">Les principes énoncés dans la Convention relative aux droits de l’enfant trouvent leur expression dans les programmes d’aide bilatérale et multilatérale de l’Irlande. Le pays a fourni </w:t>
      </w:r>
      <w:r w:rsidR="008342B8" w:rsidRPr="00DD03D6">
        <w:rPr>
          <w:noProof/>
          <w:lang w:val="fr-FR"/>
        </w:rPr>
        <w:t>675 million</w:t>
      </w:r>
      <w:r>
        <w:rPr>
          <w:noProof/>
          <w:lang w:val="fr-FR"/>
        </w:rPr>
        <w:t xml:space="preserve">s d’euros au titre de l’aide publique au développement (APD) en </w:t>
      </w:r>
      <w:r w:rsidR="008342B8" w:rsidRPr="00DD03D6">
        <w:rPr>
          <w:noProof/>
          <w:lang w:val="fr-FR"/>
        </w:rPr>
        <w:t>2010.</w:t>
      </w:r>
    </w:p>
    <w:p w:rsidR="008342B8" w:rsidRPr="00DD03D6" w:rsidRDefault="00A87F68" w:rsidP="006C6334">
      <w:pPr>
        <w:pStyle w:val="SingleTxtG"/>
        <w:numPr>
          <w:ilvl w:val="0"/>
          <w:numId w:val="3"/>
        </w:numPr>
        <w:ind w:left="1134" w:firstLine="0"/>
        <w:rPr>
          <w:noProof/>
          <w:lang w:val="fr-FR"/>
        </w:rPr>
      </w:pPr>
      <w:r>
        <w:rPr>
          <w:noProof/>
          <w:lang w:val="fr-FR"/>
        </w:rPr>
        <w:t>L’</w:t>
      </w:r>
      <w:r w:rsidR="008342B8" w:rsidRPr="00DD03D6">
        <w:rPr>
          <w:noProof/>
          <w:lang w:val="fr-FR"/>
        </w:rPr>
        <w:t>Irland</w:t>
      </w:r>
      <w:r>
        <w:rPr>
          <w:noProof/>
          <w:lang w:val="fr-FR"/>
        </w:rPr>
        <w:t>e</w:t>
      </w:r>
      <w:r w:rsidR="008342B8" w:rsidRPr="00DD03D6">
        <w:rPr>
          <w:noProof/>
          <w:lang w:val="fr-FR"/>
        </w:rPr>
        <w:t xml:space="preserve"> </w:t>
      </w:r>
      <w:r>
        <w:rPr>
          <w:noProof/>
          <w:lang w:val="fr-FR"/>
        </w:rPr>
        <w:t xml:space="preserve">verse des </w:t>
      </w:r>
      <w:r w:rsidR="008342B8" w:rsidRPr="00DD03D6">
        <w:rPr>
          <w:noProof/>
          <w:lang w:val="fr-FR"/>
        </w:rPr>
        <w:t>contribut</w:t>
      </w:r>
      <w:r>
        <w:rPr>
          <w:noProof/>
          <w:lang w:val="fr-FR"/>
        </w:rPr>
        <w:t>ions aux principales organisations multilaté</w:t>
      </w:r>
      <w:r w:rsidR="008342B8" w:rsidRPr="00DD03D6">
        <w:rPr>
          <w:noProof/>
          <w:lang w:val="fr-FR"/>
        </w:rPr>
        <w:t>ral</w:t>
      </w:r>
      <w:r>
        <w:rPr>
          <w:noProof/>
          <w:lang w:val="fr-FR"/>
        </w:rPr>
        <w:t>es qui viennent en aide aux enfants, à savoir le Fonds des Nations Unies pour l’enfance</w:t>
      </w:r>
      <w:r w:rsidR="00E92D3C">
        <w:rPr>
          <w:noProof/>
          <w:lang w:val="fr-FR"/>
        </w:rPr>
        <w:t xml:space="preserve"> </w:t>
      </w:r>
      <w:r w:rsidR="008342B8" w:rsidRPr="00DD03D6">
        <w:rPr>
          <w:noProof/>
          <w:lang w:val="fr-FR"/>
        </w:rPr>
        <w:t xml:space="preserve">(UNICEF), </w:t>
      </w:r>
      <w:r>
        <w:rPr>
          <w:noProof/>
          <w:lang w:val="fr-FR"/>
        </w:rPr>
        <w:t xml:space="preserve">l’Organisation mondiale de la santé </w:t>
      </w:r>
      <w:r w:rsidR="008342B8" w:rsidRPr="00DD03D6">
        <w:rPr>
          <w:noProof/>
          <w:lang w:val="fr-FR"/>
        </w:rPr>
        <w:t>(</w:t>
      </w:r>
      <w:r>
        <w:rPr>
          <w:noProof/>
          <w:lang w:val="fr-FR"/>
        </w:rPr>
        <w:t>OMS</w:t>
      </w:r>
      <w:r w:rsidR="008342B8" w:rsidRPr="00DD03D6">
        <w:rPr>
          <w:noProof/>
          <w:lang w:val="fr-FR"/>
        </w:rPr>
        <w:t xml:space="preserve">), </w:t>
      </w:r>
      <w:r>
        <w:rPr>
          <w:noProof/>
          <w:lang w:val="fr-FR"/>
        </w:rPr>
        <w:t xml:space="preserve">le Fonds des </w:t>
      </w:r>
      <w:r w:rsidR="008342B8" w:rsidRPr="00DD03D6">
        <w:rPr>
          <w:noProof/>
          <w:lang w:val="fr-FR"/>
        </w:rPr>
        <w:t xml:space="preserve">Nations </w:t>
      </w:r>
      <w:r>
        <w:rPr>
          <w:noProof/>
          <w:lang w:val="fr-FR"/>
        </w:rPr>
        <w:t>Unies pour la p</w:t>
      </w:r>
      <w:r w:rsidR="008342B8" w:rsidRPr="00DD03D6">
        <w:rPr>
          <w:noProof/>
          <w:lang w:val="fr-FR"/>
        </w:rPr>
        <w:t>opulation (</w:t>
      </w:r>
      <w:r>
        <w:rPr>
          <w:noProof/>
          <w:lang w:val="fr-FR"/>
        </w:rPr>
        <w:t>FNUAP</w:t>
      </w:r>
      <w:r w:rsidR="008342B8" w:rsidRPr="00DD03D6">
        <w:rPr>
          <w:noProof/>
          <w:lang w:val="fr-FR"/>
        </w:rPr>
        <w:t xml:space="preserve">), </w:t>
      </w:r>
      <w:r>
        <w:rPr>
          <w:noProof/>
          <w:lang w:val="fr-FR"/>
        </w:rPr>
        <w:t>le Haut-Commissariat des Nations Unies pour les réfugiés (</w:t>
      </w:r>
      <w:r w:rsidR="008342B8" w:rsidRPr="00DD03D6">
        <w:rPr>
          <w:noProof/>
          <w:lang w:val="fr-FR"/>
        </w:rPr>
        <w:t xml:space="preserve">HCR), </w:t>
      </w:r>
      <w:r>
        <w:rPr>
          <w:noProof/>
          <w:lang w:val="fr-FR"/>
        </w:rPr>
        <w:t>l’Organisation i</w:t>
      </w:r>
      <w:r w:rsidR="008342B8" w:rsidRPr="00DD03D6">
        <w:rPr>
          <w:noProof/>
          <w:lang w:val="fr-FR"/>
        </w:rPr>
        <w:t>nternational</w:t>
      </w:r>
      <w:r>
        <w:rPr>
          <w:noProof/>
          <w:lang w:val="fr-FR"/>
        </w:rPr>
        <w:t>e pour les m</w:t>
      </w:r>
      <w:r w:rsidR="008342B8" w:rsidRPr="00DD03D6">
        <w:rPr>
          <w:noProof/>
          <w:lang w:val="fr-FR"/>
        </w:rPr>
        <w:t>igration</w:t>
      </w:r>
      <w:r>
        <w:rPr>
          <w:noProof/>
          <w:lang w:val="fr-FR"/>
        </w:rPr>
        <w:t>s</w:t>
      </w:r>
      <w:r w:rsidR="008342B8" w:rsidRPr="00DD03D6">
        <w:rPr>
          <w:noProof/>
          <w:lang w:val="fr-FR"/>
        </w:rPr>
        <w:t xml:space="preserve"> (</w:t>
      </w:r>
      <w:r>
        <w:rPr>
          <w:noProof/>
          <w:lang w:val="fr-FR"/>
        </w:rPr>
        <w:t>OIM</w:t>
      </w:r>
      <w:r w:rsidR="008342B8" w:rsidRPr="00DD03D6">
        <w:rPr>
          <w:noProof/>
          <w:lang w:val="fr-FR"/>
        </w:rPr>
        <w:t xml:space="preserve">), </w:t>
      </w:r>
      <w:r>
        <w:rPr>
          <w:noProof/>
          <w:lang w:val="fr-FR"/>
        </w:rPr>
        <w:t xml:space="preserve">le </w:t>
      </w:r>
      <w:r w:rsidR="008342B8" w:rsidRPr="00DD03D6">
        <w:rPr>
          <w:noProof/>
          <w:lang w:val="fr-FR"/>
        </w:rPr>
        <w:t xml:space="preserve">Programme </w:t>
      </w:r>
      <w:r>
        <w:rPr>
          <w:noProof/>
          <w:lang w:val="fr-FR"/>
        </w:rPr>
        <w:t>alimentaire mondial (PAM) et la Banque mondiale</w:t>
      </w:r>
      <w:r w:rsidR="008342B8" w:rsidRPr="00DD03D6">
        <w:rPr>
          <w:noProof/>
          <w:lang w:val="fr-FR"/>
        </w:rPr>
        <w:t xml:space="preserve">. </w:t>
      </w:r>
    </w:p>
    <w:p w:rsidR="008342B8" w:rsidRPr="00DD03D6" w:rsidRDefault="00D51BCC" w:rsidP="00E32333">
      <w:pPr>
        <w:pStyle w:val="SingleTxtG"/>
        <w:numPr>
          <w:ilvl w:val="0"/>
          <w:numId w:val="3"/>
        </w:numPr>
        <w:ind w:left="1134" w:firstLine="0"/>
        <w:rPr>
          <w:noProof/>
          <w:lang w:val="fr-FR"/>
        </w:rPr>
      </w:pPr>
      <w:r>
        <w:rPr>
          <w:noProof/>
          <w:lang w:val="fr-FR"/>
        </w:rPr>
        <w:t xml:space="preserve">L’aide extérieure au développement fait partie intégrante de la politique étrangère de l’Irlande. Le programme d’aide du Gouvernement, </w:t>
      </w:r>
      <w:r w:rsidR="008342B8" w:rsidRPr="00DD03D6">
        <w:rPr>
          <w:noProof/>
          <w:lang w:val="fr-FR"/>
        </w:rPr>
        <w:t xml:space="preserve">Irish Aid, </w:t>
      </w:r>
      <w:r>
        <w:rPr>
          <w:noProof/>
          <w:lang w:val="fr-FR"/>
        </w:rPr>
        <w:t>est géré par le Ministère des affaires étrangères et du commerce</w:t>
      </w:r>
      <w:r w:rsidR="008342B8" w:rsidRPr="00DD03D6">
        <w:rPr>
          <w:noProof/>
          <w:lang w:val="fr-FR"/>
        </w:rPr>
        <w:t xml:space="preserve">. </w:t>
      </w:r>
      <w:r>
        <w:rPr>
          <w:noProof/>
          <w:lang w:val="fr-FR"/>
        </w:rPr>
        <w:t xml:space="preserve">La lutte contre la pauvreté, destinée à réduire la </w:t>
      </w:r>
      <w:r w:rsidR="008342B8" w:rsidRPr="00DD03D6">
        <w:rPr>
          <w:noProof/>
          <w:lang w:val="fr-FR"/>
        </w:rPr>
        <w:t>vuln</w:t>
      </w:r>
      <w:r>
        <w:rPr>
          <w:noProof/>
          <w:lang w:val="fr-FR"/>
        </w:rPr>
        <w:t>é</w:t>
      </w:r>
      <w:r w:rsidR="008342B8" w:rsidRPr="00DD03D6">
        <w:rPr>
          <w:noProof/>
          <w:lang w:val="fr-FR"/>
        </w:rPr>
        <w:t>rabilit</w:t>
      </w:r>
      <w:r>
        <w:rPr>
          <w:noProof/>
          <w:lang w:val="fr-FR"/>
        </w:rPr>
        <w:t>é et à multiplier les chances, est l’objectif prioritaire de ce programme d’aide</w:t>
      </w:r>
      <w:r w:rsidR="008342B8" w:rsidRPr="00DD03D6">
        <w:rPr>
          <w:noProof/>
          <w:lang w:val="fr-FR"/>
        </w:rPr>
        <w:t xml:space="preserve">. </w:t>
      </w:r>
      <w:r>
        <w:rPr>
          <w:noProof/>
          <w:lang w:val="fr-FR"/>
        </w:rPr>
        <w:t>Le combat contre la faim dans le monde est l’une de ses pierres d’angle, l’accent étant mis en particulier sur les femmes et les enfants, et il est mené prioritairement dans certains des pays les plus pauvres d’Afrique subsaharienne</w:t>
      </w:r>
      <w:r w:rsidR="008342B8" w:rsidRPr="00DD03D6">
        <w:rPr>
          <w:noProof/>
          <w:lang w:val="fr-FR"/>
        </w:rPr>
        <w:t xml:space="preserve">. Irish Aid </w:t>
      </w:r>
      <w:r>
        <w:rPr>
          <w:noProof/>
          <w:lang w:val="fr-FR"/>
        </w:rPr>
        <w:t>se focalise en particulier sur l’égalité des sexes et s’emploie à faire progresser l’égalité en</w:t>
      </w:r>
      <w:r w:rsidR="00677047">
        <w:rPr>
          <w:noProof/>
          <w:lang w:val="fr-FR"/>
        </w:rPr>
        <w:t>t</w:t>
      </w:r>
      <w:r>
        <w:rPr>
          <w:noProof/>
          <w:lang w:val="fr-FR"/>
        </w:rPr>
        <w:t>re les hommes et les femmes, les garçons et les filles</w:t>
      </w:r>
      <w:r w:rsidR="008342B8" w:rsidRPr="00DD03D6">
        <w:rPr>
          <w:noProof/>
          <w:lang w:val="fr-FR"/>
        </w:rPr>
        <w:t xml:space="preserve">. </w:t>
      </w:r>
      <w:r>
        <w:rPr>
          <w:noProof/>
          <w:lang w:val="fr-FR"/>
        </w:rPr>
        <w:t>Il vise à garantir l’égalité d’accès à la santé et à l’éducation pour les filles et les garçons</w:t>
      </w:r>
      <w:r w:rsidR="008342B8" w:rsidRPr="00DD03D6">
        <w:rPr>
          <w:noProof/>
          <w:lang w:val="fr-FR"/>
        </w:rPr>
        <w:t xml:space="preserve">. </w:t>
      </w:r>
      <w:r>
        <w:rPr>
          <w:noProof/>
          <w:lang w:val="fr-FR"/>
        </w:rPr>
        <w:t>La prévention de la violence sexiste et les mesures à prendre pour y remédier sont une autre de ses priorités importantes, qui consiste notamment à faire de l’école un lieu d’apprentissage sûr pour tous les enfants</w:t>
      </w:r>
      <w:r w:rsidR="008342B8" w:rsidRPr="00DD03D6">
        <w:rPr>
          <w:noProof/>
          <w:lang w:val="fr-FR"/>
        </w:rPr>
        <w:t>.</w:t>
      </w:r>
    </w:p>
    <w:p w:rsidR="008342B8" w:rsidRPr="00DD03D6" w:rsidRDefault="00890165" w:rsidP="00E32333">
      <w:pPr>
        <w:pStyle w:val="SingleTxtG"/>
        <w:numPr>
          <w:ilvl w:val="0"/>
          <w:numId w:val="3"/>
        </w:numPr>
        <w:ind w:left="1134" w:firstLine="0"/>
        <w:rPr>
          <w:noProof/>
          <w:lang w:val="fr-FR"/>
        </w:rPr>
      </w:pPr>
      <w:r>
        <w:rPr>
          <w:noProof/>
          <w:lang w:val="fr-FR"/>
        </w:rPr>
        <w:t>Le deuxième objectif du Millénaire pour le développement (OMD 2) concerne l’accès de tous les enfants à l’enseignement primaire</w:t>
      </w:r>
      <w:r w:rsidR="008342B8" w:rsidRPr="00DD03D6">
        <w:rPr>
          <w:noProof/>
          <w:lang w:val="fr-FR"/>
        </w:rPr>
        <w:t>.</w:t>
      </w:r>
      <w:r>
        <w:rPr>
          <w:noProof/>
          <w:lang w:val="fr-FR"/>
        </w:rPr>
        <w:t xml:space="preserve"> L’accessibilité et la qualité de l’éducation demeurent deux priorités</w:t>
      </w:r>
      <w:r w:rsidR="008342B8" w:rsidRPr="00DD03D6">
        <w:rPr>
          <w:noProof/>
          <w:lang w:val="fr-FR"/>
        </w:rPr>
        <w:t xml:space="preserve"> </w:t>
      </w:r>
      <w:r w:rsidR="00C614B8">
        <w:rPr>
          <w:noProof/>
          <w:lang w:val="fr-FR"/>
        </w:rPr>
        <w:t xml:space="preserve">du programme </w:t>
      </w:r>
      <w:r w:rsidR="008342B8" w:rsidRPr="00DD03D6">
        <w:rPr>
          <w:noProof/>
          <w:lang w:val="fr-FR"/>
        </w:rPr>
        <w:t xml:space="preserve">Irish Aid. </w:t>
      </w:r>
      <w:r w:rsidR="00C614B8">
        <w:rPr>
          <w:noProof/>
          <w:lang w:val="fr-FR"/>
        </w:rPr>
        <w:t>Si l’on veut concrétiser les avantages de l’éducation</w:t>
      </w:r>
      <w:r w:rsidR="00E351B2">
        <w:rPr>
          <w:noProof/>
          <w:lang w:val="fr-FR"/>
        </w:rPr>
        <w:t xml:space="preserve"> du point de vue de l’amélioration des conditions de vie, la qualité de cette éducation doit s’améliorer</w:t>
      </w:r>
      <w:r w:rsidR="008342B8" w:rsidRPr="00DD03D6">
        <w:rPr>
          <w:noProof/>
          <w:lang w:val="fr-FR"/>
        </w:rPr>
        <w:t xml:space="preserve">. </w:t>
      </w:r>
      <w:r w:rsidR="00E351B2">
        <w:rPr>
          <w:noProof/>
          <w:lang w:val="fr-FR"/>
        </w:rPr>
        <w:t xml:space="preserve">L’objectif essentiel de l’appui fourni par l’Irlande à l’éducation dans le cadre de son programme de coopération pour le développement est de </w:t>
      </w:r>
      <w:r w:rsidR="008342B8" w:rsidRPr="00DD03D6">
        <w:rPr>
          <w:noProof/>
          <w:lang w:val="fr-FR"/>
        </w:rPr>
        <w:t>continue</w:t>
      </w:r>
      <w:r w:rsidR="00E351B2">
        <w:rPr>
          <w:noProof/>
          <w:lang w:val="fr-FR"/>
        </w:rPr>
        <w:t>r à œuvrer pour scolariser les enfants les plus marginalisés et améliorer la qualité de l’é</w:t>
      </w:r>
      <w:r w:rsidR="008342B8" w:rsidRPr="00DD03D6">
        <w:rPr>
          <w:noProof/>
          <w:lang w:val="fr-FR"/>
        </w:rPr>
        <w:t>ducation.</w:t>
      </w:r>
    </w:p>
    <w:p w:rsidR="008342B8" w:rsidRPr="00DD03D6" w:rsidRDefault="00E351B2" w:rsidP="006C6334">
      <w:pPr>
        <w:pStyle w:val="SingleTxtG"/>
        <w:numPr>
          <w:ilvl w:val="0"/>
          <w:numId w:val="3"/>
        </w:numPr>
        <w:ind w:left="1134" w:firstLine="0"/>
        <w:rPr>
          <w:noProof/>
          <w:lang w:val="fr-FR"/>
        </w:rPr>
      </w:pPr>
      <w:r>
        <w:rPr>
          <w:noProof/>
          <w:lang w:val="fr-FR"/>
        </w:rPr>
        <w:t>Depuis le début du millénaire, l’appui à la réalisation de l’OMD 2 a été déter</w:t>
      </w:r>
      <w:r w:rsidR="00405A2F">
        <w:rPr>
          <w:noProof/>
          <w:lang w:val="fr-FR"/>
        </w:rPr>
        <w:t>m</w:t>
      </w:r>
      <w:r>
        <w:rPr>
          <w:noProof/>
          <w:lang w:val="fr-FR"/>
        </w:rPr>
        <w:t>inant dans l’évolution de la politique irlandaise de coopération pour le développement dans le secteur de l’éducation</w:t>
      </w:r>
      <w:r w:rsidR="008342B8" w:rsidRPr="00DD03D6">
        <w:rPr>
          <w:noProof/>
          <w:lang w:val="fr-FR"/>
        </w:rPr>
        <w:t xml:space="preserve">. </w:t>
      </w:r>
      <w:r w:rsidR="00912E59">
        <w:rPr>
          <w:noProof/>
          <w:lang w:val="fr-FR"/>
        </w:rPr>
        <w:t>On observe une reconnaissance continue de l’</w:t>
      </w:r>
      <w:r w:rsidR="008342B8" w:rsidRPr="00DD03D6">
        <w:rPr>
          <w:noProof/>
          <w:lang w:val="fr-FR"/>
        </w:rPr>
        <w:t xml:space="preserve">importance </w:t>
      </w:r>
      <w:r w:rsidR="00912E59">
        <w:rPr>
          <w:noProof/>
          <w:lang w:val="fr-FR"/>
        </w:rPr>
        <w:t xml:space="preserve">de l’éducation de base, mais </w:t>
      </w:r>
      <w:r w:rsidR="004E7B6D">
        <w:rPr>
          <w:noProof/>
          <w:lang w:val="fr-FR"/>
        </w:rPr>
        <w:t xml:space="preserve">également du fait que d’autres sous-secteurs jouent un rôle </w:t>
      </w:r>
      <w:r w:rsidR="00405A2F">
        <w:rPr>
          <w:noProof/>
          <w:lang w:val="fr-FR"/>
        </w:rPr>
        <w:t>essentiel dans la mise en place de cette dernière</w:t>
      </w:r>
      <w:r w:rsidR="008342B8" w:rsidRPr="00DD03D6">
        <w:rPr>
          <w:noProof/>
          <w:lang w:val="fr-FR"/>
        </w:rPr>
        <w:t xml:space="preserve">. </w:t>
      </w:r>
      <w:r w:rsidR="004E7B6D">
        <w:rPr>
          <w:noProof/>
          <w:lang w:val="fr-FR"/>
        </w:rPr>
        <w:t xml:space="preserve">Plus de </w:t>
      </w:r>
      <w:r w:rsidR="008342B8" w:rsidRPr="00DD03D6">
        <w:rPr>
          <w:noProof/>
          <w:lang w:val="fr-FR"/>
        </w:rPr>
        <w:t>50</w:t>
      </w:r>
      <w:r w:rsidR="003F1ADB">
        <w:rPr>
          <w:noProof/>
          <w:lang w:val="fr-FR"/>
        </w:rPr>
        <w:t> %</w:t>
      </w:r>
      <w:r w:rsidR="008342B8" w:rsidRPr="00DD03D6">
        <w:rPr>
          <w:noProof/>
          <w:lang w:val="fr-FR"/>
        </w:rPr>
        <w:t xml:space="preserve"> </w:t>
      </w:r>
      <w:r w:rsidR="004E7B6D">
        <w:rPr>
          <w:noProof/>
          <w:lang w:val="fr-FR"/>
        </w:rPr>
        <w:t>de l’aide de l’Irlande à l’éducation sont alloués directement aux pays d’Afrique subsaharienne</w:t>
      </w:r>
      <w:r w:rsidR="00405A2F">
        <w:rPr>
          <w:noProof/>
          <w:lang w:val="fr-FR"/>
        </w:rPr>
        <w:t>,</w:t>
      </w:r>
      <w:r w:rsidR="004E7B6D">
        <w:rPr>
          <w:noProof/>
          <w:lang w:val="fr-FR"/>
        </w:rPr>
        <w:t xml:space="preserve"> dont il s’agit de renforcer les systèmes éducatifs nationaux</w:t>
      </w:r>
      <w:r w:rsidR="008342B8" w:rsidRPr="00DD03D6">
        <w:rPr>
          <w:noProof/>
          <w:lang w:val="fr-FR"/>
        </w:rPr>
        <w:t xml:space="preserve">. </w:t>
      </w:r>
      <w:r w:rsidR="009D3A1B">
        <w:rPr>
          <w:noProof/>
          <w:lang w:val="fr-FR"/>
        </w:rPr>
        <w:t>Par ailleurs, le Partenariat mondial pour l’éducation est un partenaire important pour l’Irlande s’agissant de relever le défi international de l’éducation</w:t>
      </w:r>
      <w:r w:rsidR="008342B8" w:rsidRPr="00DD03D6">
        <w:rPr>
          <w:noProof/>
          <w:lang w:val="fr-FR"/>
        </w:rPr>
        <w:t xml:space="preserve">. </w:t>
      </w:r>
      <w:r w:rsidR="009D3A1B">
        <w:rPr>
          <w:noProof/>
          <w:lang w:val="fr-FR"/>
        </w:rPr>
        <w:t xml:space="preserve">La priorité accordée par ce Partenariat à l’éducation des filles, aux États </w:t>
      </w:r>
      <w:r w:rsidR="008342B8" w:rsidRPr="00DD03D6">
        <w:rPr>
          <w:noProof/>
          <w:lang w:val="fr-FR"/>
        </w:rPr>
        <w:t>fragile</w:t>
      </w:r>
      <w:r w:rsidR="009D3A1B">
        <w:rPr>
          <w:noProof/>
          <w:lang w:val="fr-FR"/>
        </w:rPr>
        <w:t>s</w:t>
      </w:r>
      <w:r w:rsidR="008342B8" w:rsidRPr="00DD03D6">
        <w:rPr>
          <w:noProof/>
          <w:lang w:val="fr-FR"/>
        </w:rPr>
        <w:t xml:space="preserve"> </w:t>
      </w:r>
      <w:r w:rsidR="009D3A1B">
        <w:rPr>
          <w:noProof/>
          <w:lang w:val="fr-FR"/>
        </w:rPr>
        <w:t xml:space="preserve">et à l’amélioration de la qualité de l’éducation correspond tout à fait </w:t>
      </w:r>
      <w:r w:rsidR="001D26BC">
        <w:rPr>
          <w:noProof/>
          <w:lang w:val="fr-FR"/>
        </w:rPr>
        <w:t xml:space="preserve">aux choix de l’Irlande </w:t>
      </w:r>
      <w:r w:rsidR="00405A2F">
        <w:rPr>
          <w:noProof/>
          <w:lang w:val="fr-FR"/>
        </w:rPr>
        <w:t>d</w:t>
      </w:r>
      <w:r w:rsidR="001D26BC">
        <w:rPr>
          <w:noProof/>
          <w:lang w:val="fr-FR"/>
        </w:rPr>
        <w:t>ans ce domaine</w:t>
      </w:r>
      <w:r w:rsidR="008342B8" w:rsidRPr="00DD03D6">
        <w:rPr>
          <w:noProof/>
          <w:lang w:val="fr-FR"/>
        </w:rPr>
        <w:t xml:space="preserve">. </w:t>
      </w:r>
      <w:r w:rsidR="001D26BC">
        <w:rPr>
          <w:noProof/>
          <w:lang w:val="fr-FR"/>
        </w:rPr>
        <w:t>Le pays appuie également l’</w:t>
      </w:r>
      <w:r w:rsidR="008342B8" w:rsidRPr="00DD03D6">
        <w:rPr>
          <w:noProof/>
          <w:lang w:val="fr-FR"/>
        </w:rPr>
        <w:t xml:space="preserve">UNICEF, </w:t>
      </w:r>
      <w:r w:rsidR="001D26BC">
        <w:rPr>
          <w:noProof/>
          <w:lang w:val="fr-FR"/>
        </w:rPr>
        <w:t>qui</w:t>
      </w:r>
      <w:r w:rsidR="00CE305C">
        <w:rPr>
          <w:noProof/>
          <w:lang w:val="fr-FR"/>
        </w:rPr>
        <w:t xml:space="preserve"> a une grande</w:t>
      </w:r>
      <w:r w:rsidR="001D26BC">
        <w:rPr>
          <w:noProof/>
          <w:lang w:val="fr-FR"/>
        </w:rPr>
        <w:t xml:space="preserve"> </w:t>
      </w:r>
      <w:r w:rsidR="00CE305C">
        <w:rPr>
          <w:noProof/>
          <w:lang w:val="fr-FR"/>
        </w:rPr>
        <w:t>expé</w:t>
      </w:r>
      <w:r w:rsidR="008342B8" w:rsidRPr="00DD03D6">
        <w:rPr>
          <w:noProof/>
          <w:lang w:val="fr-FR"/>
        </w:rPr>
        <w:t xml:space="preserve">rience </w:t>
      </w:r>
      <w:r w:rsidR="00CE305C">
        <w:rPr>
          <w:noProof/>
          <w:lang w:val="fr-FR"/>
        </w:rPr>
        <w:t>e</w:t>
      </w:r>
      <w:r w:rsidR="008342B8" w:rsidRPr="00DD03D6">
        <w:rPr>
          <w:noProof/>
          <w:lang w:val="fr-FR"/>
        </w:rPr>
        <w:t xml:space="preserve">n </w:t>
      </w:r>
      <w:r w:rsidR="00CE305C">
        <w:rPr>
          <w:noProof/>
          <w:lang w:val="fr-FR"/>
        </w:rPr>
        <w:t>matière d’é</w:t>
      </w:r>
      <w:r w:rsidR="008342B8" w:rsidRPr="00DD03D6">
        <w:rPr>
          <w:noProof/>
          <w:lang w:val="fr-FR"/>
        </w:rPr>
        <w:t xml:space="preserve">ducation </w:t>
      </w:r>
      <w:r w:rsidR="00CE305C">
        <w:rPr>
          <w:noProof/>
          <w:lang w:val="fr-FR"/>
        </w:rPr>
        <w:t xml:space="preserve">dans les États </w:t>
      </w:r>
      <w:r w:rsidR="008342B8" w:rsidRPr="00DD03D6">
        <w:rPr>
          <w:noProof/>
          <w:lang w:val="fr-FR"/>
        </w:rPr>
        <w:t>fragile</w:t>
      </w:r>
      <w:r w:rsidR="00CE305C">
        <w:rPr>
          <w:noProof/>
          <w:lang w:val="fr-FR"/>
        </w:rPr>
        <w:t>s</w:t>
      </w:r>
      <w:r w:rsidR="008342B8" w:rsidRPr="00DD03D6">
        <w:rPr>
          <w:noProof/>
          <w:lang w:val="fr-FR"/>
        </w:rPr>
        <w:t xml:space="preserve"> </w:t>
      </w:r>
      <w:r w:rsidR="00CE305C">
        <w:rPr>
          <w:noProof/>
          <w:lang w:val="fr-FR"/>
        </w:rPr>
        <w:t xml:space="preserve">et de fourniture de l’appui technique indispensable pour remédier </w:t>
      </w:r>
      <w:r w:rsidR="00405A2F">
        <w:rPr>
          <w:noProof/>
          <w:lang w:val="fr-FR"/>
        </w:rPr>
        <w:t>aux blocages en matière d’éducation</w:t>
      </w:r>
      <w:r w:rsidR="008342B8" w:rsidRPr="00DD03D6">
        <w:rPr>
          <w:noProof/>
          <w:lang w:val="fr-FR"/>
        </w:rPr>
        <w:t>.</w:t>
      </w:r>
    </w:p>
    <w:p w:rsidR="008342B8" w:rsidRPr="00DD03D6" w:rsidRDefault="00405A2F" w:rsidP="006C6334">
      <w:pPr>
        <w:pStyle w:val="SingleTxtG"/>
        <w:numPr>
          <w:ilvl w:val="0"/>
          <w:numId w:val="3"/>
        </w:numPr>
        <w:ind w:left="1134" w:firstLine="0"/>
        <w:rPr>
          <w:noProof/>
          <w:lang w:val="fr-FR"/>
        </w:rPr>
      </w:pPr>
      <w:r>
        <w:rPr>
          <w:noProof/>
          <w:lang w:val="fr-FR"/>
        </w:rPr>
        <w:t>La santé et l’alimentation des enfants occupent toujours une place prioritaire dans le programme de développement international de l’</w:t>
      </w:r>
      <w:r w:rsidR="00AE2825">
        <w:rPr>
          <w:noProof/>
          <w:lang w:val="fr-FR"/>
        </w:rPr>
        <w:t>Irlande</w:t>
      </w:r>
      <w:r w:rsidR="008342B8" w:rsidRPr="00DD03D6">
        <w:rPr>
          <w:noProof/>
          <w:lang w:val="fr-FR"/>
        </w:rPr>
        <w:t xml:space="preserve">. </w:t>
      </w:r>
      <w:r w:rsidR="00AE2825">
        <w:rPr>
          <w:noProof/>
          <w:lang w:val="fr-FR"/>
        </w:rPr>
        <w:t xml:space="preserve">Depuis </w:t>
      </w:r>
      <w:r w:rsidR="008342B8" w:rsidRPr="00DD03D6">
        <w:rPr>
          <w:noProof/>
          <w:lang w:val="fr-FR"/>
        </w:rPr>
        <w:t xml:space="preserve">2005, </w:t>
      </w:r>
      <w:r w:rsidR="00AE2825">
        <w:rPr>
          <w:noProof/>
          <w:lang w:val="fr-FR"/>
        </w:rPr>
        <w:t xml:space="preserve">le monde a assisté à une réduction remarquable de la mortalité infanto-juvénile dans les pays en développement et l’Irlande a largement contribué à cette amélioration. Elle a </w:t>
      </w:r>
      <w:r w:rsidR="001824B7">
        <w:rPr>
          <w:noProof/>
          <w:lang w:val="fr-FR"/>
        </w:rPr>
        <w:t xml:space="preserve">ainsi </w:t>
      </w:r>
      <w:r w:rsidR="00677047">
        <w:rPr>
          <w:noProof/>
          <w:lang w:val="fr-FR"/>
        </w:rPr>
        <w:t>œuvré</w:t>
      </w:r>
      <w:r w:rsidR="00AE2825">
        <w:rPr>
          <w:noProof/>
          <w:lang w:val="fr-FR"/>
        </w:rPr>
        <w:t xml:space="preserve"> à la réduction des </w:t>
      </w:r>
      <w:r w:rsidR="00AE2825">
        <w:rPr>
          <w:noProof/>
          <w:lang w:val="fr-FR"/>
        </w:rPr>
        <w:lastRenderedPageBreak/>
        <w:t>décès d’enfants dus au paludisme et au sida dans plusieurs pays d’Afrique en appuyant les activités du Fonds mondial de lutte contre le VIH/sida, le paludisme et la tuberculose</w:t>
      </w:r>
      <w:r w:rsidR="008342B8" w:rsidRPr="00DD03D6">
        <w:rPr>
          <w:noProof/>
          <w:lang w:val="fr-FR"/>
        </w:rPr>
        <w:t>.</w:t>
      </w:r>
    </w:p>
    <w:p w:rsidR="008342B8" w:rsidRPr="00DD03D6" w:rsidRDefault="00AE2825" w:rsidP="00E32333">
      <w:pPr>
        <w:pStyle w:val="SingleTxtG"/>
        <w:numPr>
          <w:ilvl w:val="0"/>
          <w:numId w:val="3"/>
        </w:numPr>
        <w:ind w:left="1134" w:firstLine="0"/>
        <w:rPr>
          <w:noProof/>
          <w:lang w:val="fr-FR"/>
        </w:rPr>
      </w:pPr>
      <w:r>
        <w:rPr>
          <w:noProof/>
          <w:lang w:val="fr-FR"/>
        </w:rPr>
        <w:t>En matière d’appui au secteur de la santé</w:t>
      </w:r>
      <w:r w:rsidR="00C11D6B">
        <w:rPr>
          <w:noProof/>
          <w:lang w:val="fr-FR"/>
        </w:rPr>
        <w:t xml:space="preserve"> des pays bénéficiaires de l’aide, </w:t>
      </w:r>
      <w:r w:rsidR="001824B7">
        <w:rPr>
          <w:noProof/>
          <w:lang w:val="fr-FR"/>
        </w:rPr>
        <w:t>l’Irlande privilégie le renforcement des systèmes, l’appropriation</w:t>
      </w:r>
      <w:r w:rsidR="00E92D3C">
        <w:rPr>
          <w:noProof/>
          <w:lang w:val="fr-FR"/>
        </w:rPr>
        <w:t xml:space="preserve"> </w:t>
      </w:r>
      <w:r w:rsidR="001824B7">
        <w:rPr>
          <w:noProof/>
          <w:lang w:val="fr-FR"/>
        </w:rPr>
        <w:t xml:space="preserve">nationale et </w:t>
      </w:r>
      <w:r w:rsidR="00C70497">
        <w:rPr>
          <w:noProof/>
          <w:lang w:val="fr-FR"/>
        </w:rPr>
        <w:t>l’encadrement national, ce qui a permis d’améliorer la prestation de services et l’accès aux services essentiels pour les enfants et leur mère</w:t>
      </w:r>
      <w:r w:rsidR="008342B8" w:rsidRPr="00DD03D6">
        <w:rPr>
          <w:noProof/>
          <w:lang w:val="fr-FR"/>
        </w:rPr>
        <w:t>.</w:t>
      </w:r>
    </w:p>
    <w:p w:rsidR="008342B8" w:rsidRDefault="00C70497" w:rsidP="00205E1C">
      <w:pPr>
        <w:pStyle w:val="SingleTxtG"/>
        <w:numPr>
          <w:ilvl w:val="0"/>
          <w:numId w:val="3"/>
        </w:numPr>
        <w:spacing w:before="240"/>
        <w:ind w:left="1134" w:firstLine="0"/>
        <w:rPr>
          <w:noProof/>
          <w:lang w:val="fr-FR"/>
        </w:rPr>
      </w:pPr>
      <w:r>
        <w:rPr>
          <w:noProof/>
          <w:lang w:val="fr-FR"/>
        </w:rPr>
        <w:t xml:space="preserve">Une bonne alimentation pendant les </w:t>
      </w:r>
      <w:r w:rsidR="008342B8" w:rsidRPr="00DD03D6">
        <w:rPr>
          <w:noProof/>
          <w:lang w:val="fr-FR"/>
        </w:rPr>
        <w:t>1</w:t>
      </w:r>
      <w:r w:rsidR="00A84810">
        <w:rPr>
          <w:noProof/>
          <w:lang w:val="fr-FR"/>
        </w:rPr>
        <w:t> </w:t>
      </w:r>
      <w:r w:rsidR="008342B8" w:rsidRPr="00DD03D6">
        <w:rPr>
          <w:noProof/>
          <w:lang w:val="fr-FR"/>
        </w:rPr>
        <w:t xml:space="preserve">000 </w:t>
      </w:r>
      <w:r>
        <w:rPr>
          <w:noProof/>
          <w:lang w:val="fr-FR"/>
        </w:rPr>
        <w:t>jours qui s’écoulent entre le début de la grossesse et le deuxième anniversaire contribue à maintenir l’enfant en bonne santé, réduit</w:t>
      </w:r>
      <w:r w:rsidR="00E92D3C">
        <w:rPr>
          <w:noProof/>
          <w:lang w:val="fr-FR"/>
        </w:rPr>
        <w:t xml:space="preserve"> </w:t>
      </w:r>
      <w:r>
        <w:rPr>
          <w:noProof/>
          <w:lang w:val="fr-FR"/>
        </w:rPr>
        <w:t>la mortalité infanto-juvénile et est un facteur de bons résultats scolaires</w:t>
      </w:r>
      <w:r w:rsidR="008342B8" w:rsidRPr="00DD03D6">
        <w:rPr>
          <w:noProof/>
          <w:lang w:val="fr-FR"/>
        </w:rPr>
        <w:t xml:space="preserve">. </w:t>
      </w:r>
      <w:r w:rsidR="00187A24">
        <w:rPr>
          <w:noProof/>
          <w:lang w:val="fr-FR"/>
        </w:rPr>
        <w:t xml:space="preserve">Braquant les projecteurs internatioanux sur cette question négligée jusqu’alors, l’Irlande et les États-Unis d’Amérique ont accueilli la manifestation de haut niveau intitulée </w:t>
      </w:r>
      <w:r w:rsidR="008342B8" w:rsidRPr="00A84810">
        <w:rPr>
          <w:i/>
          <w:noProof/>
          <w:lang w:val="fr-FR"/>
        </w:rPr>
        <w:t>1,000 Days: Change a Life, Change the Future</w:t>
      </w:r>
      <w:r w:rsidR="00187A24">
        <w:rPr>
          <w:noProof/>
          <w:lang w:val="fr-FR"/>
        </w:rPr>
        <w:t xml:space="preserve"> (1 000 jours pour changer une vie et changer l’avenir) dans le cadre du Sommet sur les objectifs du Millénaire pour le développement qui s’est tenu</w:t>
      </w:r>
      <w:r w:rsidR="008342B8" w:rsidRPr="00DD03D6">
        <w:rPr>
          <w:noProof/>
          <w:lang w:val="fr-FR"/>
        </w:rPr>
        <w:t xml:space="preserve"> </w:t>
      </w:r>
      <w:r w:rsidR="00187A24">
        <w:rPr>
          <w:noProof/>
          <w:lang w:val="fr-FR"/>
        </w:rPr>
        <w:t>le</w:t>
      </w:r>
      <w:r w:rsidR="008342B8" w:rsidRPr="00DD03D6">
        <w:rPr>
          <w:noProof/>
          <w:lang w:val="fr-FR"/>
        </w:rPr>
        <w:t xml:space="preserve"> 21</w:t>
      </w:r>
      <w:r w:rsidR="006C6334" w:rsidRPr="00DD03D6">
        <w:rPr>
          <w:noProof/>
          <w:lang w:val="fr-FR"/>
        </w:rPr>
        <w:t> </w:t>
      </w:r>
      <w:r w:rsidR="00187A24">
        <w:rPr>
          <w:noProof/>
          <w:lang w:val="fr-FR"/>
        </w:rPr>
        <w:t>s</w:t>
      </w:r>
      <w:r w:rsidR="008342B8" w:rsidRPr="00DD03D6">
        <w:rPr>
          <w:noProof/>
          <w:lang w:val="fr-FR"/>
        </w:rPr>
        <w:t>eptemb</w:t>
      </w:r>
      <w:r w:rsidR="00187A24">
        <w:rPr>
          <w:noProof/>
          <w:lang w:val="fr-FR"/>
        </w:rPr>
        <w:t>re</w:t>
      </w:r>
      <w:r w:rsidR="008342B8" w:rsidRPr="00DD03D6">
        <w:rPr>
          <w:noProof/>
          <w:lang w:val="fr-FR"/>
        </w:rPr>
        <w:t xml:space="preserve"> 2010. </w:t>
      </w:r>
      <w:r w:rsidR="00187A24">
        <w:rPr>
          <w:noProof/>
          <w:lang w:val="fr-FR"/>
        </w:rPr>
        <w:t xml:space="preserve">Cette manifestation est à marquer d’une pierre blanche car un nouveau </w:t>
      </w:r>
      <w:r w:rsidR="00677047">
        <w:rPr>
          <w:noProof/>
          <w:lang w:val="fr-FR"/>
        </w:rPr>
        <w:t xml:space="preserve">mouvement </w:t>
      </w:r>
      <w:r w:rsidR="00187A24">
        <w:rPr>
          <w:noProof/>
          <w:lang w:val="fr-FR"/>
        </w:rPr>
        <w:t xml:space="preserve">mondial, </w:t>
      </w:r>
      <w:r w:rsidR="00B00FD1">
        <w:rPr>
          <w:noProof/>
          <w:lang w:val="fr-FR"/>
        </w:rPr>
        <w:t xml:space="preserve">le </w:t>
      </w:r>
      <w:r w:rsidR="00B00FD1" w:rsidRPr="00B00FD1">
        <w:rPr>
          <w:noProof/>
          <w:color w:val="000000"/>
          <w:lang w:val="fr-FR"/>
        </w:rPr>
        <w:t>Mouvement de renforcement de la nutrition (SUN)</w:t>
      </w:r>
      <w:r w:rsidR="008342B8" w:rsidRPr="00DD03D6">
        <w:rPr>
          <w:noProof/>
          <w:lang w:val="fr-FR"/>
        </w:rPr>
        <w:t xml:space="preserve">, </w:t>
      </w:r>
      <w:r w:rsidR="00B00FD1">
        <w:rPr>
          <w:noProof/>
          <w:lang w:val="fr-FR"/>
        </w:rPr>
        <w:t xml:space="preserve">a été lancé, dans le cadre duquel les gouvernements, les autres organismes donateurs, les organismes des Nations Unies, </w:t>
      </w:r>
      <w:r w:rsidR="00696636">
        <w:rPr>
          <w:noProof/>
          <w:lang w:val="fr-FR"/>
        </w:rPr>
        <w:t>la</w:t>
      </w:r>
      <w:r w:rsidR="00B00FD1">
        <w:rPr>
          <w:noProof/>
          <w:lang w:val="fr-FR"/>
        </w:rPr>
        <w:t xml:space="preserve"> société civile et les milieux d’affaires et universitaires se sont engagés </w:t>
      </w:r>
      <w:r w:rsidR="00205E1C">
        <w:rPr>
          <w:noProof/>
          <w:lang w:val="fr-FR"/>
        </w:rPr>
        <w:t>à œuvrer de concert à un renforcement substantiel de la nutrition. Fait décisif, un accord a été obtenu tendant à présenter les résultats de ce mouvement dans les pays les plus marqués par la dénutrition chez les enfants dans un délai de 1 000 jours, c’est-à-dire en juin 2013</w:t>
      </w:r>
      <w:r w:rsidR="008342B8" w:rsidRPr="00DD03D6">
        <w:rPr>
          <w:noProof/>
          <w:lang w:val="fr-FR"/>
        </w:rPr>
        <w:t xml:space="preserve">. </w:t>
      </w:r>
      <w:r w:rsidR="00205E1C">
        <w:rPr>
          <w:noProof/>
          <w:lang w:val="fr-FR"/>
        </w:rPr>
        <w:t>L’Irlande continue de montrer l’exemple au sein du mouvement SUN en finançant de nouveaux programmes qui intègrent des activités axées sur l’alimentation dans tous les secteurs</w:t>
      </w:r>
      <w:r w:rsidR="008342B8" w:rsidRPr="00DD03D6">
        <w:rPr>
          <w:noProof/>
          <w:lang w:val="fr-FR"/>
        </w:rPr>
        <w:t xml:space="preserve">, </w:t>
      </w:r>
      <w:r w:rsidR="00205E1C">
        <w:rPr>
          <w:noProof/>
          <w:lang w:val="fr-FR"/>
        </w:rPr>
        <w:t xml:space="preserve">notamment un ensemble de mesures indispensables à mener dans le domaine de l’alimentation </w:t>
      </w:r>
      <w:r w:rsidR="00696636">
        <w:rPr>
          <w:noProof/>
          <w:lang w:val="fr-FR"/>
        </w:rPr>
        <w:t>par le biais des systèmes de santé nationaux.</w:t>
      </w:r>
      <w:r w:rsidR="008342B8" w:rsidRPr="00DD03D6">
        <w:rPr>
          <w:noProof/>
          <w:lang w:val="fr-FR"/>
        </w:rPr>
        <w:t xml:space="preserve"> </w:t>
      </w:r>
    </w:p>
    <w:p w:rsidR="008342B8" w:rsidRPr="00DD03D6" w:rsidRDefault="00B22634" w:rsidP="00E32333">
      <w:pPr>
        <w:pStyle w:val="SingleTxtG"/>
        <w:numPr>
          <w:ilvl w:val="0"/>
          <w:numId w:val="3"/>
        </w:numPr>
        <w:ind w:left="1134" w:firstLine="0"/>
        <w:rPr>
          <w:noProof/>
          <w:lang w:val="fr-FR"/>
        </w:rPr>
      </w:pPr>
      <w:r>
        <w:rPr>
          <w:noProof/>
          <w:lang w:val="fr-FR"/>
        </w:rPr>
        <w:t>L’</w:t>
      </w:r>
      <w:r w:rsidR="008342B8" w:rsidRPr="00DD03D6">
        <w:rPr>
          <w:noProof/>
          <w:lang w:val="fr-FR"/>
        </w:rPr>
        <w:t>Irland</w:t>
      </w:r>
      <w:r>
        <w:rPr>
          <w:noProof/>
          <w:lang w:val="fr-FR"/>
        </w:rPr>
        <w:t>e</w:t>
      </w:r>
      <w:r w:rsidR="008342B8" w:rsidRPr="00DD03D6">
        <w:rPr>
          <w:noProof/>
          <w:lang w:val="fr-FR"/>
        </w:rPr>
        <w:t xml:space="preserve"> </w:t>
      </w:r>
      <w:r>
        <w:rPr>
          <w:noProof/>
          <w:lang w:val="fr-FR"/>
        </w:rPr>
        <w:t>joue son rôle dans la lutte contre le sida, en particulier en Afrique subsaharienne, où se trouve l’é</w:t>
      </w:r>
      <w:r w:rsidR="008342B8" w:rsidRPr="00DD03D6">
        <w:rPr>
          <w:noProof/>
          <w:lang w:val="fr-FR"/>
        </w:rPr>
        <w:t xml:space="preserve">picentre </w:t>
      </w:r>
      <w:r>
        <w:rPr>
          <w:noProof/>
          <w:lang w:val="fr-FR"/>
        </w:rPr>
        <w:t>de la pandémie</w:t>
      </w:r>
      <w:r w:rsidR="008342B8" w:rsidRPr="00DD03D6">
        <w:rPr>
          <w:noProof/>
          <w:lang w:val="fr-FR"/>
        </w:rPr>
        <w:t xml:space="preserve">. </w:t>
      </w:r>
      <w:r w:rsidR="00377FE4">
        <w:rPr>
          <w:noProof/>
          <w:lang w:val="fr-FR"/>
        </w:rPr>
        <w:t>La lutte contre le VIH/sida tient une place fondamentale dans la réalisation de l’objectif déclaré du pays en matière de réduction de la pauvreté et de développement humain.</w:t>
      </w:r>
      <w:r w:rsidR="008342B8" w:rsidRPr="00DD03D6">
        <w:rPr>
          <w:noProof/>
          <w:lang w:val="fr-FR"/>
        </w:rPr>
        <w:t xml:space="preserve"> </w:t>
      </w:r>
      <w:r w:rsidR="00377FE4">
        <w:rPr>
          <w:noProof/>
          <w:lang w:val="fr-FR"/>
        </w:rPr>
        <w:t xml:space="preserve">Les enfants touchés par le VIH et le sida demeurent une priorité explicite pour </w:t>
      </w:r>
      <w:r w:rsidR="008342B8" w:rsidRPr="00DD03D6">
        <w:rPr>
          <w:noProof/>
          <w:lang w:val="fr-FR"/>
        </w:rPr>
        <w:t xml:space="preserve">Irish Aid. </w:t>
      </w:r>
      <w:r w:rsidR="00377FE4">
        <w:rPr>
          <w:noProof/>
          <w:lang w:val="fr-FR"/>
        </w:rPr>
        <w:t>L’Irlande juge indispensable à cet égard de créer un environnement favorable qui mette l’accent sur la f</w:t>
      </w:r>
      <w:r w:rsidR="00CD3E79">
        <w:rPr>
          <w:noProof/>
          <w:lang w:val="fr-FR"/>
        </w:rPr>
        <w:t>am</w:t>
      </w:r>
      <w:r w:rsidR="00377FE4">
        <w:rPr>
          <w:noProof/>
          <w:lang w:val="fr-FR"/>
        </w:rPr>
        <w:t xml:space="preserve">ille et des réseaux de protection sociale </w:t>
      </w:r>
      <w:r w:rsidR="008342B8" w:rsidRPr="00DD03D6">
        <w:rPr>
          <w:noProof/>
          <w:lang w:val="fr-FR"/>
        </w:rPr>
        <w:t>cultur</w:t>
      </w:r>
      <w:r w:rsidR="00CD3E79">
        <w:rPr>
          <w:noProof/>
          <w:lang w:val="fr-FR"/>
        </w:rPr>
        <w:t>ellement appropriés</w:t>
      </w:r>
      <w:r w:rsidR="008342B8" w:rsidRPr="00DD03D6">
        <w:rPr>
          <w:noProof/>
          <w:lang w:val="fr-FR"/>
        </w:rPr>
        <w:t xml:space="preserve">. </w:t>
      </w:r>
      <w:r w:rsidR="00CD3E79">
        <w:rPr>
          <w:noProof/>
          <w:lang w:val="fr-FR"/>
        </w:rPr>
        <w:t>L’école et l’éducation protègent les enfants contre le VIH, et l’É</w:t>
      </w:r>
      <w:r w:rsidR="008342B8" w:rsidRPr="00DD03D6">
        <w:rPr>
          <w:noProof/>
          <w:lang w:val="fr-FR"/>
        </w:rPr>
        <w:t xml:space="preserve">ducation </w:t>
      </w:r>
      <w:r w:rsidR="00CD3E79">
        <w:rPr>
          <w:noProof/>
          <w:lang w:val="fr-FR"/>
        </w:rPr>
        <w:t>pour tous</w:t>
      </w:r>
      <w:r w:rsidR="008342B8" w:rsidRPr="00DD03D6">
        <w:rPr>
          <w:noProof/>
          <w:lang w:val="fr-FR"/>
        </w:rPr>
        <w:t xml:space="preserve">, </w:t>
      </w:r>
      <w:r w:rsidR="00CD3E79">
        <w:rPr>
          <w:noProof/>
          <w:lang w:val="fr-FR"/>
        </w:rPr>
        <w:t xml:space="preserve">qui est une autre priorité politique </w:t>
      </w:r>
      <w:r w:rsidR="008342B8" w:rsidRPr="00DD03D6">
        <w:rPr>
          <w:noProof/>
          <w:lang w:val="fr-FR"/>
        </w:rPr>
        <w:t>explicit</w:t>
      </w:r>
      <w:r w:rsidR="00CD3E79">
        <w:rPr>
          <w:noProof/>
          <w:lang w:val="fr-FR"/>
        </w:rPr>
        <w:t>e</w:t>
      </w:r>
      <w:r w:rsidR="008342B8" w:rsidRPr="00DD03D6">
        <w:rPr>
          <w:noProof/>
          <w:lang w:val="fr-FR"/>
        </w:rPr>
        <w:t xml:space="preserve"> </w:t>
      </w:r>
      <w:r w:rsidR="00CD3E79">
        <w:rPr>
          <w:noProof/>
          <w:lang w:val="fr-FR"/>
        </w:rPr>
        <w:t xml:space="preserve">pour </w:t>
      </w:r>
      <w:r w:rsidR="008342B8" w:rsidRPr="00DD03D6">
        <w:rPr>
          <w:noProof/>
          <w:lang w:val="fr-FR"/>
        </w:rPr>
        <w:t xml:space="preserve">Irish Aid, </w:t>
      </w:r>
      <w:r w:rsidR="00CD3E79">
        <w:rPr>
          <w:noProof/>
          <w:lang w:val="fr-FR"/>
        </w:rPr>
        <w:t xml:space="preserve">est donc un </w:t>
      </w:r>
      <w:r w:rsidR="004B3281">
        <w:rPr>
          <w:noProof/>
          <w:lang w:val="fr-FR"/>
        </w:rPr>
        <w:t xml:space="preserve">volet </w:t>
      </w:r>
      <w:r w:rsidR="00CD3E79">
        <w:rPr>
          <w:noProof/>
          <w:lang w:val="fr-FR"/>
        </w:rPr>
        <w:t>essentiel d’une réponse globale en matière de prévention de l’infection à VIH</w:t>
      </w:r>
      <w:r w:rsidR="008342B8" w:rsidRPr="00DD03D6">
        <w:rPr>
          <w:noProof/>
          <w:lang w:val="fr-FR"/>
        </w:rPr>
        <w:t xml:space="preserve">. </w:t>
      </w:r>
      <w:r w:rsidR="00CD3E79">
        <w:rPr>
          <w:noProof/>
          <w:lang w:val="fr-FR"/>
        </w:rPr>
        <w:t>La pré</w:t>
      </w:r>
      <w:r w:rsidR="008342B8" w:rsidRPr="00DD03D6">
        <w:rPr>
          <w:noProof/>
          <w:lang w:val="fr-FR"/>
        </w:rPr>
        <w:t xml:space="preserve">vention </w:t>
      </w:r>
      <w:r w:rsidR="00CD3E79">
        <w:rPr>
          <w:noProof/>
          <w:lang w:val="fr-FR"/>
        </w:rPr>
        <w:t>de</w:t>
      </w:r>
      <w:r w:rsidR="008342B8" w:rsidRPr="00DD03D6">
        <w:rPr>
          <w:noProof/>
          <w:lang w:val="fr-FR"/>
        </w:rPr>
        <w:t xml:space="preserve"> </w:t>
      </w:r>
      <w:r w:rsidR="00CD3E79">
        <w:rPr>
          <w:noProof/>
          <w:lang w:val="fr-FR"/>
        </w:rPr>
        <w:t xml:space="preserve">la </w:t>
      </w:r>
      <w:r w:rsidR="008342B8" w:rsidRPr="00DD03D6">
        <w:rPr>
          <w:noProof/>
          <w:lang w:val="fr-FR"/>
        </w:rPr>
        <w:t xml:space="preserve">transmission </w:t>
      </w:r>
      <w:r w:rsidR="00CD3E79">
        <w:rPr>
          <w:noProof/>
          <w:lang w:val="fr-FR"/>
        </w:rPr>
        <w:t xml:space="preserve">du VIH de la mère à l’enfant est un mode d’intervention dont le bon rapport coût-efficacité est avéré et que l’Irlande appuie vivement par le biais des organismes des Nations Unies, du Fonds mondial et de la Fondation </w:t>
      </w:r>
      <w:r w:rsidR="008342B8" w:rsidRPr="00DD03D6">
        <w:rPr>
          <w:noProof/>
          <w:lang w:val="fr-FR"/>
        </w:rPr>
        <w:t>Clinton</w:t>
      </w:r>
      <w:r w:rsidR="00CD3E79">
        <w:rPr>
          <w:noProof/>
          <w:lang w:val="fr-FR"/>
        </w:rPr>
        <w:t>; c’est également le cas des traitements et du suivi éventuellement nécessaires</w:t>
      </w:r>
      <w:r w:rsidR="008342B8" w:rsidRPr="00DD03D6">
        <w:rPr>
          <w:noProof/>
          <w:lang w:val="fr-FR"/>
        </w:rPr>
        <w:t xml:space="preserve">. Irish Aid </w:t>
      </w:r>
      <w:r w:rsidR="005C73C1">
        <w:rPr>
          <w:noProof/>
          <w:lang w:val="fr-FR"/>
        </w:rPr>
        <w:t>insiste sur la nécessité de faire une plus grande place à une prévention efficace dans le cadre d’un programme complet et équilibré</w:t>
      </w:r>
      <w:r w:rsidR="008342B8" w:rsidRPr="00DD03D6">
        <w:rPr>
          <w:noProof/>
          <w:lang w:val="fr-FR"/>
        </w:rPr>
        <w:t xml:space="preserve">. </w:t>
      </w:r>
      <w:r w:rsidR="005C73C1">
        <w:rPr>
          <w:noProof/>
          <w:lang w:val="fr-FR"/>
        </w:rPr>
        <w:t xml:space="preserve">Une alimentation suffisante des mères séropositives est indispensable, non seulement </w:t>
      </w:r>
      <w:r w:rsidR="00165FBA">
        <w:rPr>
          <w:noProof/>
          <w:lang w:val="fr-FR"/>
        </w:rPr>
        <w:t>pour l’issue de l’accouchement, mais aussi pour réduire la transmission de l’infection à VIH de la mère à l’enfant</w:t>
      </w:r>
      <w:r w:rsidR="008342B8" w:rsidRPr="00DD03D6">
        <w:rPr>
          <w:noProof/>
          <w:lang w:val="fr-FR"/>
        </w:rPr>
        <w:t xml:space="preserve">. </w:t>
      </w:r>
      <w:r w:rsidR="00165FBA">
        <w:rPr>
          <w:noProof/>
          <w:lang w:val="fr-FR"/>
        </w:rPr>
        <w:t>À cet effet, l’</w:t>
      </w:r>
      <w:r w:rsidR="008342B8" w:rsidRPr="00DD03D6">
        <w:rPr>
          <w:noProof/>
          <w:lang w:val="fr-FR"/>
        </w:rPr>
        <w:t>Irland</w:t>
      </w:r>
      <w:r w:rsidR="00165FBA">
        <w:rPr>
          <w:noProof/>
          <w:lang w:val="fr-FR"/>
        </w:rPr>
        <w:t>e</w:t>
      </w:r>
      <w:r w:rsidR="008342B8" w:rsidRPr="00DD03D6">
        <w:rPr>
          <w:noProof/>
          <w:lang w:val="fr-FR"/>
        </w:rPr>
        <w:t xml:space="preserve"> </w:t>
      </w:r>
      <w:r w:rsidR="00165FBA">
        <w:rPr>
          <w:noProof/>
          <w:lang w:val="fr-FR"/>
        </w:rPr>
        <w:t>appuie l’alimentation des femmes enceintes et allaitantes séropositives</w:t>
      </w:r>
      <w:r w:rsidR="008342B8" w:rsidRPr="00DD03D6">
        <w:rPr>
          <w:noProof/>
          <w:lang w:val="fr-FR"/>
        </w:rPr>
        <w:t>.</w:t>
      </w:r>
    </w:p>
    <w:p w:rsidR="008342B8" w:rsidRPr="00DD03D6" w:rsidRDefault="00411AF5" w:rsidP="00E32333">
      <w:pPr>
        <w:pStyle w:val="SingleTxtG"/>
        <w:numPr>
          <w:ilvl w:val="0"/>
          <w:numId w:val="3"/>
        </w:numPr>
        <w:ind w:left="1134" w:firstLine="0"/>
        <w:rPr>
          <w:noProof/>
          <w:lang w:val="fr-FR"/>
        </w:rPr>
      </w:pPr>
      <w:r>
        <w:rPr>
          <w:bCs/>
          <w:noProof/>
          <w:lang w:val="fr-FR"/>
        </w:rPr>
        <w:t xml:space="preserve">L’Irlande s’est engagée financièrement à soutenir la lutte contre le VIH et le sida et d’autres maladies </w:t>
      </w:r>
      <w:r w:rsidR="007D69C7">
        <w:rPr>
          <w:bCs/>
          <w:noProof/>
          <w:lang w:val="fr-FR"/>
        </w:rPr>
        <w:t>transmissibles à hauteur d’environ 100 millions d’euros (montant actuel), dont plus de 20</w:t>
      </w:r>
      <w:r w:rsidR="003F1ADB">
        <w:rPr>
          <w:bCs/>
          <w:noProof/>
          <w:lang w:val="fr-FR"/>
        </w:rPr>
        <w:t> %</w:t>
      </w:r>
      <w:r w:rsidR="007D69C7">
        <w:rPr>
          <w:bCs/>
          <w:noProof/>
          <w:lang w:val="fr-FR"/>
        </w:rPr>
        <w:t xml:space="preserve"> seront consacrés à des investissements en faveur des enfants</w:t>
      </w:r>
      <w:r w:rsidR="008342B8" w:rsidRPr="00DD03D6">
        <w:rPr>
          <w:noProof/>
          <w:lang w:val="fr-FR"/>
        </w:rPr>
        <w:t xml:space="preserve">, </w:t>
      </w:r>
      <w:r w:rsidR="007D69C7">
        <w:rPr>
          <w:noProof/>
          <w:lang w:val="fr-FR"/>
        </w:rPr>
        <w:t>ce qui reste conforme à l’engagement pris par le pays devant l’Assemblée générale des Nations Unies en 2006.</w:t>
      </w:r>
      <w:r w:rsidR="008342B8" w:rsidRPr="00DD03D6">
        <w:rPr>
          <w:noProof/>
          <w:lang w:val="fr-FR"/>
        </w:rPr>
        <w:t xml:space="preserve"> </w:t>
      </w:r>
    </w:p>
    <w:p w:rsidR="008342B8" w:rsidRPr="00DD03D6" w:rsidRDefault="007D69C7" w:rsidP="00E32333">
      <w:pPr>
        <w:pStyle w:val="SingleTxtG"/>
        <w:numPr>
          <w:ilvl w:val="0"/>
          <w:numId w:val="3"/>
        </w:numPr>
        <w:ind w:left="1134" w:firstLine="0"/>
        <w:rPr>
          <w:noProof/>
          <w:lang w:val="fr-FR"/>
        </w:rPr>
      </w:pPr>
      <w:r>
        <w:rPr>
          <w:noProof/>
          <w:lang w:val="fr-FR"/>
        </w:rPr>
        <w:t>L’appui de l’Irlande à la société civile comporte un volet santé des enfants</w:t>
      </w:r>
      <w:r w:rsidR="008342B8" w:rsidRPr="00DD03D6">
        <w:rPr>
          <w:noProof/>
          <w:lang w:val="fr-FR"/>
        </w:rPr>
        <w:t xml:space="preserve">. </w:t>
      </w:r>
      <w:r>
        <w:rPr>
          <w:noProof/>
          <w:lang w:val="fr-FR"/>
        </w:rPr>
        <w:t xml:space="preserve">Les partenaires de la société civile, tels que </w:t>
      </w:r>
      <w:r w:rsidR="008342B8" w:rsidRPr="00DD03D6">
        <w:rPr>
          <w:noProof/>
          <w:lang w:val="fr-FR"/>
        </w:rPr>
        <w:t xml:space="preserve">Concern Worldwide </w:t>
      </w:r>
      <w:r>
        <w:rPr>
          <w:noProof/>
          <w:lang w:val="fr-FR"/>
        </w:rPr>
        <w:t>et</w:t>
      </w:r>
      <w:r w:rsidR="008342B8" w:rsidRPr="00DD03D6">
        <w:rPr>
          <w:noProof/>
          <w:lang w:val="fr-FR"/>
        </w:rPr>
        <w:t xml:space="preserve"> World Vision, </w:t>
      </w:r>
      <w:r>
        <w:rPr>
          <w:noProof/>
          <w:lang w:val="fr-FR"/>
        </w:rPr>
        <w:t xml:space="preserve">réalisent des interventions sanitaires et nutritionnelles destinées à améliorer la santé maternelle et </w:t>
      </w:r>
      <w:r>
        <w:rPr>
          <w:noProof/>
          <w:lang w:val="fr-FR"/>
        </w:rPr>
        <w:lastRenderedPageBreak/>
        <w:t>infanto-juvénile, tout en veillant à développer l’appropriation communautaire et à renforcer les systèmes de santé locaux</w:t>
      </w:r>
      <w:r w:rsidR="008342B8" w:rsidRPr="00DD03D6">
        <w:rPr>
          <w:noProof/>
          <w:lang w:val="fr-FR"/>
        </w:rPr>
        <w:t xml:space="preserve">. Irish Aid </w:t>
      </w:r>
      <w:r>
        <w:rPr>
          <w:noProof/>
          <w:lang w:val="fr-FR"/>
        </w:rPr>
        <w:t xml:space="preserve">continuera de privilégier les questions transversales de l’égalité des sexes, de la bonne gouvernance, du VIH et du sida et de la </w:t>
      </w:r>
      <w:r w:rsidR="005E086A">
        <w:rPr>
          <w:noProof/>
          <w:lang w:val="fr-FR"/>
        </w:rPr>
        <w:t>préservation de l’environnement dans le financement</w:t>
      </w:r>
      <w:r w:rsidR="008342B8" w:rsidRPr="00DD03D6">
        <w:rPr>
          <w:noProof/>
          <w:lang w:val="fr-FR"/>
        </w:rPr>
        <w:t xml:space="preserve"> </w:t>
      </w:r>
      <w:r w:rsidR="005E086A">
        <w:rPr>
          <w:noProof/>
          <w:lang w:val="fr-FR"/>
        </w:rPr>
        <w:t xml:space="preserve">des </w:t>
      </w:r>
      <w:r w:rsidR="008342B8" w:rsidRPr="00DD03D6">
        <w:rPr>
          <w:noProof/>
          <w:lang w:val="fr-FR"/>
        </w:rPr>
        <w:t xml:space="preserve">organisations </w:t>
      </w:r>
      <w:r w:rsidR="005E086A">
        <w:rPr>
          <w:noProof/>
          <w:lang w:val="fr-FR"/>
        </w:rPr>
        <w:t xml:space="preserve">de la société civile au cours de la </w:t>
      </w:r>
      <w:r w:rsidR="008342B8" w:rsidRPr="00DD03D6">
        <w:rPr>
          <w:noProof/>
          <w:lang w:val="fr-FR"/>
        </w:rPr>
        <w:t>p</w:t>
      </w:r>
      <w:r w:rsidR="005E086A">
        <w:rPr>
          <w:noProof/>
          <w:lang w:val="fr-FR"/>
        </w:rPr>
        <w:t>é</w:t>
      </w:r>
      <w:r w:rsidR="008342B8" w:rsidRPr="00DD03D6">
        <w:rPr>
          <w:noProof/>
          <w:lang w:val="fr-FR"/>
        </w:rPr>
        <w:t>riod</w:t>
      </w:r>
      <w:r w:rsidR="005E086A">
        <w:rPr>
          <w:noProof/>
          <w:lang w:val="fr-FR"/>
        </w:rPr>
        <w:t>e</w:t>
      </w:r>
      <w:r w:rsidR="008342B8" w:rsidRPr="00DD03D6">
        <w:rPr>
          <w:noProof/>
          <w:lang w:val="fr-FR"/>
        </w:rPr>
        <w:t xml:space="preserve"> 2012-2015.</w:t>
      </w:r>
    </w:p>
    <w:p w:rsidR="008342B8" w:rsidRPr="00DD03D6" w:rsidRDefault="00E32333" w:rsidP="001F2B82">
      <w:pPr>
        <w:pStyle w:val="H1G"/>
        <w:rPr>
          <w:noProof/>
          <w:lang w:val="fr-FR"/>
        </w:rPr>
      </w:pPr>
      <w:bookmarkStart w:id="15" w:name="_Toc356430845"/>
      <w:r w:rsidRPr="00DD03D6">
        <w:rPr>
          <w:noProof/>
          <w:lang w:val="fr-FR"/>
        </w:rPr>
        <w:tab/>
      </w:r>
      <w:r w:rsidR="008342B8" w:rsidRPr="00DD03D6">
        <w:rPr>
          <w:noProof/>
          <w:lang w:val="fr-FR"/>
        </w:rPr>
        <w:t>F.</w:t>
      </w:r>
      <w:r w:rsidR="008342B8" w:rsidRPr="00DD03D6">
        <w:rPr>
          <w:noProof/>
          <w:lang w:val="fr-FR"/>
        </w:rPr>
        <w:tab/>
      </w:r>
      <w:r w:rsidR="00D030E9">
        <w:rPr>
          <w:noProof/>
          <w:lang w:val="fr-FR"/>
        </w:rPr>
        <w:t>Institutions n</w:t>
      </w:r>
      <w:r w:rsidR="00D030E9" w:rsidRPr="00DD03D6">
        <w:rPr>
          <w:noProof/>
          <w:lang w:val="fr-FR"/>
        </w:rPr>
        <w:t>ational</w:t>
      </w:r>
      <w:r w:rsidR="00D030E9">
        <w:rPr>
          <w:noProof/>
          <w:lang w:val="fr-FR"/>
        </w:rPr>
        <w:t>es de défense des droits de l’homme</w:t>
      </w:r>
      <w:r w:rsidR="00D030E9" w:rsidRPr="00DD03D6">
        <w:rPr>
          <w:noProof/>
          <w:lang w:val="fr-FR"/>
        </w:rPr>
        <w:t xml:space="preserve"> </w:t>
      </w:r>
      <w:bookmarkEnd w:id="15"/>
    </w:p>
    <w:p w:rsidR="008342B8" w:rsidRPr="00DD03D6" w:rsidRDefault="00D030E9" w:rsidP="00E32333">
      <w:pPr>
        <w:pStyle w:val="SingleTxtG"/>
        <w:numPr>
          <w:ilvl w:val="0"/>
          <w:numId w:val="3"/>
        </w:numPr>
        <w:ind w:left="1134" w:firstLine="0"/>
        <w:rPr>
          <w:noProof/>
          <w:lang w:val="fr-FR"/>
        </w:rPr>
      </w:pPr>
      <w:r>
        <w:rPr>
          <w:noProof/>
          <w:lang w:val="fr-FR"/>
        </w:rPr>
        <w:t xml:space="preserve">Le </w:t>
      </w:r>
      <w:r>
        <w:rPr>
          <w:b/>
          <w:bCs/>
          <w:noProof/>
          <w:lang w:val="fr-FR"/>
        </w:rPr>
        <w:t xml:space="preserve">Bureau du Médiateur des enfants </w:t>
      </w:r>
      <w:r w:rsidR="008342B8" w:rsidRPr="00DD03D6">
        <w:rPr>
          <w:noProof/>
          <w:lang w:val="fr-FR"/>
        </w:rPr>
        <w:t>a</w:t>
      </w:r>
      <w:r>
        <w:rPr>
          <w:noProof/>
          <w:lang w:val="fr-FR"/>
        </w:rPr>
        <w:t xml:space="preserve"> été créé en </w:t>
      </w:r>
      <w:r w:rsidR="008342B8" w:rsidRPr="00DD03D6">
        <w:rPr>
          <w:noProof/>
          <w:lang w:val="fr-FR"/>
        </w:rPr>
        <w:t xml:space="preserve">2004 </w:t>
      </w:r>
      <w:r>
        <w:rPr>
          <w:noProof/>
          <w:lang w:val="fr-FR"/>
        </w:rPr>
        <w:t>en vertu de la loi de 2002 sur le Médiateur des enfants</w:t>
      </w:r>
      <w:r w:rsidR="00A03462" w:rsidRPr="00DD03D6">
        <w:rPr>
          <w:noProof/>
          <w:lang w:val="fr-FR"/>
        </w:rPr>
        <w:t>,</w:t>
      </w:r>
      <w:r w:rsidR="008342B8" w:rsidRPr="00DD03D6">
        <w:rPr>
          <w:noProof/>
          <w:lang w:val="fr-FR"/>
        </w:rPr>
        <w:t xml:space="preserve"> </w:t>
      </w:r>
      <w:r>
        <w:rPr>
          <w:noProof/>
          <w:lang w:val="fr-FR"/>
        </w:rPr>
        <w:t xml:space="preserve">dans le but de </w:t>
      </w:r>
      <w:r w:rsidR="008342B8" w:rsidRPr="00DD03D6">
        <w:rPr>
          <w:noProof/>
          <w:lang w:val="fr-FR"/>
        </w:rPr>
        <w:t>promo</w:t>
      </w:r>
      <w:r>
        <w:rPr>
          <w:noProof/>
          <w:lang w:val="fr-FR"/>
        </w:rPr>
        <w:t xml:space="preserve">uvoir et de suivre les droits des enfants en </w:t>
      </w:r>
      <w:r w:rsidR="008342B8" w:rsidRPr="00DD03D6">
        <w:rPr>
          <w:noProof/>
          <w:lang w:val="fr-FR"/>
        </w:rPr>
        <w:t>Irland</w:t>
      </w:r>
      <w:r>
        <w:rPr>
          <w:noProof/>
          <w:lang w:val="fr-FR"/>
        </w:rPr>
        <w:t>e</w:t>
      </w:r>
      <w:r w:rsidR="008342B8" w:rsidRPr="00DD03D6">
        <w:rPr>
          <w:noProof/>
          <w:lang w:val="fr-FR"/>
        </w:rPr>
        <w:t xml:space="preserve">. </w:t>
      </w:r>
      <w:r>
        <w:rPr>
          <w:noProof/>
          <w:lang w:val="fr-FR"/>
        </w:rPr>
        <w:t>Le Médiateur des enfants a été nommé par le Pré</w:t>
      </w:r>
      <w:r w:rsidR="008342B8" w:rsidRPr="00DD03D6">
        <w:rPr>
          <w:noProof/>
          <w:lang w:val="fr-FR"/>
        </w:rPr>
        <w:t xml:space="preserve">sident </w:t>
      </w:r>
      <w:r>
        <w:rPr>
          <w:noProof/>
          <w:lang w:val="fr-FR"/>
        </w:rPr>
        <w:t>de l’</w:t>
      </w:r>
      <w:r w:rsidR="008342B8" w:rsidRPr="00DD03D6">
        <w:rPr>
          <w:noProof/>
          <w:lang w:val="fr-FR"/>
        </w:rPr>
        <w:t>Irland</w:t>
      </w:r>
      <w:r>
        <w:rPr>
          <w:noProof/>
          <w:lang w:val="fr-FR"/>
        </w:rPr>
        <w:t>e</w:t>
      </w:r>
      <w:r w:rsidR="008342B8" w:rsidRPr="00DD03D6">
        <w:rPr>
          <w:noProof/>
          <w:lang w:val="fr-FR"/>
        </w:rPr>
        <w:t xml:space="preserve"> </w:t>
      </w:r>
      <w:r w:rsidR="002407C0">
        <w:rPr>
          <w:noProof/>
          <w:lang w:val="fr-FR"/>
        </w:rPr>
        <w:t>sur proposition de l’</w:t>
      </w:r>
      <w:r w:rsidR="008342B8" w:rsidRPr="002407C0">
        <w:rPr>
          <w:i/>
          <w:noProof/>
          <w:lang w:val="fr-FR"/>
        </w:rPr>
        <w:t xml:space="preserve">Oireachtas </w:t>
      </w:r>
      <w:r w:rsidR="002407C0">
        <w:rPr>
          <w:noProof/>
          <w:lang w:val="fr-FR"/>
        </w:rPr>
        <w:t>et est directement responsable devant ce dernier</w:t>
      </w:r>
      <w:r w:rsidR="008342B8" w:rsidRPr="00DD03D6">
        <w:rPr>
          <w:noProof/>
          <w:lang w:val="fr-FR"/>
        </w:rPr>
        <w:t>.</w:t>
      </w:r>
    </w:p>
    <w:p w:rsidR="008342B8" w:rsidRPr="00DD03D6" w:rsidRDefault="002407C0" w:rsidP="00E32333">
      <w:pPr>
        <w:pStyle w:val="SingleTxtG"/>
        <w:numPr>
          <w:ilvl w:val="0"/>
          <w:numId w:val="3"/>
        </w:numPr>
        <w:ind w:left="1134" w:firstLine="0"/>
        <w:rPr>
          <w:noProof/>
          <w:lang w:val="fr-FR"/>
        </w:rPr>
      </w:pPr>
      <w:r>
        <w:rPr>
          <w:noProof/>
          <w:lang w:val="fr-FR"/>
        </w:rPr>
        <w:t>Le Bureau du Médiateur des enfants exerce trois fonctions officielles principales</w:t>
      </w:r>
      <w:r w:rsidR="002205AB">
        <w:rPr>
          <w:noProof/>
          <w:lang w:val="fr-FR"/>
        </w:rPr>
        <w:t> </w:t>
      </w:r>
      <w:r w:rsidR="008342B8" w:rsidRPr="00DD03D6">
        <w:rPr>
          <w:noProof/>
          <w:lang w:val="fr-FR"/>
        </w:rPr>
        <w:t>:</w:t>
      </w:r>
    </w:p>
    <w:p w:rsidR="008342B8" w:rsidRPr="00DD03D6" w:rsidRDefault="002407C0" w:rsidP="002205AB">
      <w:pPr>
        <w:pStyle w:val="Bullet1G"/>
        <w:tabs>
          <w:tab w:val="clear" w:pos="1701"/>
        </w:tabs>
        <w:ind w:left="1843" w:hanging="142"/>
        <w:rPr>
          <w:noProof/>
          <w:lang w:val="fr-FR"/>
        </w:rPr>
      </w:pPr>
      <w:r>
        <w:rPr>
          <w:b/>
          <w:bCs/>
          <w:noProof/>
          <w:lang w:val="fr-FR"/>
        </w:rPr>
        <w:t>Plaintes et enquêtes</w:t>
      </w:r>
      <w:r w:rsidR="002205AB">
        <w:rPr>
          <w:b/>
          <w:bCs/>
          <w:noProof/>
          <w:lang w:val="fr-FR"/>
        </w:rPr>
        <w:t> </w:t>
      </w:r>
      <w:r w:rsidR="008342B8" w:rsidRPr="00DD03D6">
        <w:rPr>
          <w:noProof/>
          <w:lang w:val="fr-FR"/>
        </w:rPr>
        <w:t>:</w:t>
      </w:r>
      <w:r w:rsidR="008342B8" w:rsidRPr="00DD03D6">
        <w:rPr>
          <w:b/>
          <w:bCs/>
          <w:noProof/>
          <w:lang w:val="fr-FR"/>
        </w:rPr>
        <w:t xml:space="preserve"> </w:t>
      </w:r>
      <w:r w:rsidR="00706FF6">
        <w:rPr>
          <w:noProof/>
          <w:lang w:val="fr-FR"/>
        </w:rPr>
        <w:t>L</w:t>
      </w:r>
      <w:r w:rsidR="008342B8" w:rsidRPr="00DD03D6">
        <w:rPr>
          <w:noProof/>
          <w:lang w:val="fr-FR"/>
        </w:rPr>
        <w:t xml:space="preserve">e </w:t>
      </w:r>
      <w:r w:rsidR="00706FF6">
        <w:rPr>
          <w:noProof/>
          <w:lang w:val="fr-FR"/>
        </w:rPr>
        <w:t xml:space="preserve">Bureau peut enquêter sur les activités d’un organisme public après avoir reçu une plainte ou de sa propre initiative lorsqu’il apparaît que les activités de l’organisme en question </w:t>
      </w:r>
      <w:r w:rsidR="00D5095C">
        <w:rPr>
          <w:noProof/>
          <w:lang w:val="fr-FR"/>
        </w:rPr>
        <w:t>peuvent avoir nui à un enfant et lorsque ces activités ont découlé ou ont pu découler d’une faute de service</w:t>
      </w:r>
      <w:r w:rsidR="008342B8" w:rsidRPr="00DD03D6">
        <w:rPr>
          <w:noProof/>
          <w:lang w:val="fr-FR"/>
        </w:rPr>
        <w:t xml:space="preserve">. </w:t>
      </w:r>
      <w:r w:rsidR="00084380">
        <w:rPr>
          <w:noProof/>
          <w:lang w:val="fr-FR"/>
        </w:rPr>
        <w:t>Depuis sa création, l</w:t>
      </w:r>
      <w:r w:rsidR="00887FDD">
        <w:rPr>
          <w:noProof/>
          <w:lang w:val="fr-FR"/>
        </w:rPr>
        <w:t xml:space="preserve">e Bureau </w:t>
      </w:r>
      <w:r w:rsidR="00084380">
        <w:rPr>
          <w:noProof/>
          <w:lang w:val="fr-FR"/>
        </w:rPr>
        <w:t xml:space="preserve">a donné suite à plus de </w:t>
      </w:r>
      <w:r w:rsidR="008342B8" w:rsidRPr="00DD03D6">
        <w:rPr>
          <w:noProof/>
          <w:lang w:val="fr-FR"/>
        </w:rPr>
        <w:t>6</w:t>
      </w:r>
      <w:r w:rsidR="002205AB">
        <w:rPr>
          <w:noProof/>
          <w:lang w:val="fr-FR"/>
        </w:rPr>
        <w:t> </w:t>
      </w:r>
      <w:r w:rsidR="008342B8" w:rsidRPr="00DD03D6">
        <w:rPr>
          <w:noProof/>
          <w:lang w:val="fr-FR"/>
        </w:rPr>
        <w:t>000 plaint</w:t>
      </w:r>
      <w:r w:rsidR="00084380">
        <w:rPr>
          <w:noProof/>
          <w:lang w:val="fr-FR"/>
        </w:rPr>
        <w:t>e</w:t>
      </w:r>
      <w:r w:rsidR="008342B8" w:rsidRPr="00DD03D6">
        <w:rPr>
          <w:noProof/>
          <w:lang w:val="fr-FR"/>
        </w:rPr>
        <w:t xml:space="preserve">s </w:t>
      </w:r>
      <w:r w:rsidR="00084380">
        <w:rPr>
          <w:noProof/>
          <w:lang w:val="fr-FR"/>
        </w:rPr>
        <w:t xml:space="preserve">concernant les </w:t>
      </w:r>
      <w:r w:rsidR="00A131A9">
        <w:rPr>
          <w:noProof/>
          <w:lang w:val="fr-FR"/>
        </w:rPr>
        <w:t xml:space="preserve">décisions </w:t>
      </w:r>
      <w:r w:rsidR="00084380">
        <w:rPr>
          <w:noProof/>
          <w:lang w:val="fr-FR"/>
        </w:rPr>
        <w:t xml:space="preserve">administratives d’organismes publics et a souvent été amené à conseiller le Gouvernement </w:t>
      </w:r>
      <w:r w:rsidR="00155887">
        <w:rPr>
          <w:noProof/>
          <w:lang w:val="fr-FR"/>
        </w:rPr>
        <w:t xml:space="preserve">sur des textes de loi importants relatifs aux droits </w:t>
      </w:r>
      <w:r w:rsidR="00D36655">
        <w:rPr>
          <w:noProof/>
          <w:lang w:val="fr-FR"/>
        </w:rPr>
        <w:t>et au bien-être</w:t>
      </w:r>
      <w:r w:rsidR="00155887">
        <w:rPr>
          <w:noProof/>
          <w:lang w:val="fr-FR"/>
        </w:rPr>
        <w:t xml:space="preserve"> des enfants</w:t>
      </w:r>
      <w:r w:rsidR="008342B8" w:rsidRPr="00DD03D6">
        <w:rPr>
          <w:noProof/>
          <w:lang w:val="fr-FR"/>
        </w:rPr>
        <w:t xml:space="preserve">. </w:t>
      </w:r>
      <w:r w:rsidR="00155887">
        <w:rPr>
          <w:noProof/>
          <w:lang w:val="fr-FR"/>
        </w:rPr>
        <w:t xml:space="preserve">La compétence du Bureau a récemment été étendue à l’instruction des plaintes concernant les enfants âgés de 17 ans détenus </w:t>
      </w:r>
      <w:r w:rsidR="00A131A9">
        <w:rPr>
          <w:noProof/>
          <w:lang w:val="fr-FR"/>
        </w:rPr>
        <w:t xml:space="preserve">à </w:t>
      </w:r>
      <w:r w:rsidR="00155887">
        <w:rPr>
          <w:noProof/>
          <w:lang w:val="fr-FR"/>
        </w:rPr>
        <w:t>l’Institution Saint-</w:t>
      </w:r>
      <w:r w:rsidR="008342B8" w:rsidRPr="00DD03D6">
        <w:rPr>
          <w:noProof/>
          <w:lang w:val="fr-FR"/>
        </w:rPr>
        <w:t xml:space="preserve">Patrick, </w:t>
      </w:r>
      <w:r w:rsidR="00155887">
        <w:rPr>
          <w:noProof/>
          <w:lang w:val="fr-FR"/>
        </w:rPr>
        <w:t xml:space="preserve">en attendant qu’il soit mis fin au placement d’enfants dans cette institution conformément au projet du Gouvernement </w:t>
      </w:r>
      <w:r w:rsidR="008342B8" w:rsidRPr="00DD03D6">
        <w:rPr>
          <w:noProof/>
          <w:lang w:val="fr-FR"/>
        </w:rPr>
        <w:t>(</w:t>
      </w:r>
      <w:r w:rsidR="00155887">
        <w:rPr>
          <w:noProof/>
          <w:lang w:val="fr-FR"/>
        </w:rPr>
        <w:t xml:space="preserve">voir les </w:t>
      </w:r>
      <w:r w:rsidR="007E531F" w:rsidRPr="00DD03D6">
        <w:rPr>
          <w:noProof/>
          <w:lang w:val="fr-FR"/>
        </w:rPr>
        <w:t>p</w:t>
      </w:r>
      <w:r w:rsidR="00796A7C" w:rsidRPr="00DD03D6">
        <w:rPr>
          <w:noProof/>
          <w:lang w:val="fr-FR"/>
        </w:rPr>
        <w:t>ar</w:t>
      </w:r>
      <w:r w:rsidR="002205AB">
        <w:rPr>
          <w:noProof/>
          <w:lang w:val="fr-FR"/>
        </w:rPr>
        <w:t>agraphes</w:t>
      </w:r>
      <w:r w:rsidR="00796A7C" w:rsidRPr="00DD03D6">
        <w:rPr>
          <w:noProof/>
          <w:lang w:val="fr-FR"/>
        </w:rPr>
        <w:t> </w:t>
      </w:r>
      <w:r w:rsidR="008342B8" w:rsidRPr="00DD03D6">
        <w:rPr>
          <w:noProof/>
          <w:lang w:val="fr-FR"/>
        </w:rPr>
        <w:t>704</w:t>
      </w:r>
      <w:r w:rsidR="00155887">
        <w:rPr>
          <w:noProof/>
          <w:lang w:val="fr-FR"/>
        </w:rPr>
        <w:t xml:space="preserve"> à </w:t>
      </w:r>
      <w:r w:rsidR="008342B8" w:rsidRPr="00DD03D6">
        <w:rPr>
          <w:noProof/>
          <w:lang w:val="fr-FR"/>
        </w:rPr>
        <w:t>708).</w:t>
      </w:r>
    </w:p>
    <w:p w:rsidR="008342B8" w:rsidRPr="00DD03D6" w:rsidRDefault="00155887" w:rsidP="002205AB">
      <w:pPr>
        <w:pStyle w:val="Bullet1G"/>
        <w:tabs>
          <w:tab w:val="clear" w:pos="1701"/>
        </w:tabs>
        <w:ind w:left="1843" w:hanging="142"/>
        <w:rPr>
          <w:noProof/>
          <w:lang w:val="fr-FR"/>
        </w:rPr>
      </w:pPr>
      <w:r>
        <w:rPr>
          <w:b/>
          <w:bCs/>
          <w:noProof/>
          <w:lang w:val="fr-FR"/>
        </w:rPr>
        <w:t xml:space="preserve">Politiques et </w:t>
      </w:r>
      <w:r w:rsidR="008342B8" w:rsidRPr="00DD03D6">
        <w:rPr>
          <w:b/>
          <w:bCs/>
          <w:noProof/>
          <w:lang w:val="fr-FR"/>
        </w:rPr>
        <w:t>l</w:t>
      </w:r>
      <w:r>
        <w:rPr>
          <w:b/>
          <w:bCs/>
          <w:noProof/>
          <w:lang w:val="fr-FR"/>
        </w:rPr>
        <w:t>é</w:t>
      </w:r>
      <w:r w:rsidR="008342B8" w:rsidRPr="00DD03D6">
        <w:rPr>
          <w:b/>
          <w:bCs/>
          <w:noProof/>
          <w:lang w:val="fr-FR"/>
        </w:rPr>
        <w:t>gislation</w:t>
      </w:r>
      <w:r w:rsidR="002205AB">
        <w:rPr>
          <w:b/>
          <w:bCs/>
          <w:noProof/>
          <w:lang w:val="fr-FR"/>
        </w:rPr>
        <w:t> </w:t>
      </w:r>
      <w:r w:rsidR="008342B8" w:rsidRPr="00DD03D6">
        <w:rPr>
          <w:noProof/>
          <w:lang w:val="fr-FR"/>
        </w:rPr>
        <w:t>:</w:t>
      </w:r>
      <w:r w:rsidR="008342B8" w:rsidRPr="00DD03D6">
        <w:rPr>
          <w:b/>
          <w:bCs/>
          <w:noProof/>
          <w:lang w:val="fr-FR"/>
        </w:rPr>
        <w:t xml:space="preserve"> </w:t>
      </w:r>
      <w:r>
        <w:rPr>
          <w:noProof/>
          <w:lang w:val="fr-FR"/>
        </w:rPr>
        <w:t>L</w:t>
      </w:r>
      <w:r w:rsidR="008342B8" w:rsidRPr="00DD03D6">
        <w:rPr>
          <w:noProof/>
          <w:lang w:val="fr-FR"/>
        </w:rPr>
        <w:t xml:space="preserve">e </w:t>
      </w:r>
      <w:r>
        <w:rPr>
          <w:noProof/>
          <w:lang w:val="fr-FR"/>
        </w:rPr>
        <w:t>Bureau peut donner des avis au Gouvernement et à l’</w:t>
      </w:r>
      <w:r w:rsidRPr="002407C0">
        <w:rPr>
          <w:i/>
          <w:noProof/>
          <w:lang w:val="fr-FR"/>
        </w:rPr>
        <w:t>Oireachtas</w:t>
      </w:r>
      <w:r w:rsidRPr="00DD03D6">
        <w:rPr>
          <w:noProof/>
          <w:lang w:val="fr-FR"/>
        </w:rPr>
        <w:t xml:space="preserve"> </w:t>
      </w:r>
      <w:r>
        <w:rPr>
          <w:noProof/>
          <w:lang w:val="fr-FR"/>
        </w:rPr>
        <w:t xml:space="preserve">sur toute question liée aux droits et </w:t>
      </w:r>
      <w:r w:rsidR="00D36655">
        <w:rPr>
          <w:noProof/>
          <w:lang w:val="fr-FR"/>
        </w:rPr>
        <w:t>au bien-être</w:t>
      </w:r>
      <w:r>
        <w:rPr>
          <w:noProof/>
          <w:lang w:val="fr-FR"/>
        </w:rPr>
        <w:t xml:space="preserve"> des enfants, notamment l’application de la législation en vigueur ou proposée touchant les enfants</w:t>
      </w:r>
      <w:r w:rsidR="008342B8" w:rsidRPr="00DD03D6">
        <w:rPr>
          <w:noProof/>
          <w:lang w:val="fr-FR"/>
        </w:rPr>
        <w:t xml:space="preserve">. </w:t>
      </w:r>
      <w:r>
        <w:rPr>
          <w:noProof/>
          <w:lang w:val="fr-FR"/>
        </w:rPr>
        <w:t xml:space="preserve">Il peut également </w:t>
      </w:r>
      <w:r w:rsidR="00F5782C">
        <w:rPr>
          <w:noProof/>
          <w:lang w:val="fr-FR"/>
        </w:rPr>
        <w:t xml:space="preserve">donner aux </w:t>
      </w:r>
      <w:r>
        <w:rPr>
          <w:noProof/>
          <w:lang w:val="fr-FR"/>
        </w:rPr>
        <w:t xml:space="preserve">organismes publics </w:t>
      </w:r>
      <w:r w:rsidR="00F5782C">
        <w:rPr>
          <w:noProof/>
          <w:lang w:val="fr-FR"/>
        </w:rPr>
        <w:t xml:space="preserve">des avis sur l’élaboration des politiques, pratiques et </w:t>
      </w:r>
      <w:r w:rsidR="008342B8" w:rsidRPr="00DD03D6">
        <w:rPr>
          <w:noProof/>
          <w:lang w:val="fr-FR"/>
        </w:rPr>
        <w:t>proc</w:t>
      </w:r>
      <w:r w:rsidR="00F5782C">
        <w:rPr>
          <w:noProof/>
          <w:lang w:val="fr-FR"/>
        </w:rPr>
        <w:t>é</w:t>
      </w:r>
      <w:r w:rsidR="008342B8" w:rsidRPr="00DD03D6">
        <w:rPr>
          <w:noProof/>
          <w:lang w:val="fr-FR"/>
        </w:rPr>
        <w:t xml:space="preserve">dures </w:t>
      </w:r>
      <w:r w:rsidR="00F5782C">
        <w:rPr>
          <w:noProof/>
          <w:lang w:val="fr-FR"/>
        </w:rPr>
        <w:t>visant à promouyvoir les droits et l</w:t>
      </w:r>
      <w:r w:rsidR="00D36655">
        <w:rPr>
          <w:noProof/>
          <w:lang w:val="fr-FR"/>
        </w:rPr>
        <w:t xml:space="preserve">e bien-être </w:t>
      </w:r>
      <w:r w:rsidR="00F5782C">
        <w:rPr>
          <w:noProof/>
          <w:lang w:val="fr-FR"/>
        </w:rPr>
        <w:t>des enfants</w:t>
      </w:r>
      <w:r w:rsidR="008342B8" w:rsidRPr="00DD03D6">
        <w:rPr>
          <w:noProof/>
          <w:lang w:val="fr-FR"/>
        </w:rPr>
        <w:t>.</w:t>
      </w:r>
    </w:p>
    <w:p w:rsidR="008342B8" w:rsidRPr="00DD03D6" w:rsidRDefault="008342B8" w:rsidP="002205AB">
      <w:pPr>
        <w:pStyle w:val="Bullet1G"/>
        <w:tabs>
          <w:tab w:val="clear" w:pos="1701"/>
        </w:tabs>
        <w:ind w:left="1843" w:hanging="142"/>
        <w:rPr>
          <w:noProof/>
          <w:lang w:val="fr-FR"/>
        </w:rPr>
      </w:pPr>
      <w:r w:rsidRPr="00DD03D6">
        <w:rPr>
          <w:b/>
          <w:bCs/>
          <w:noProof/>
          <w:lang w:val="fr-FR"/>
        </w:rPr>
        <w:t xml:space="preserve">Participation </w:t>
      </w:r>
      <w:r w:rsidR="00D36655">
        <w:rPr>
          <w:b/>
          <w:bCs/>
          <w:noProof/>
          <w:lang w:val="fr-FR"/>
        </w:rPr>
        <w:t>et é</w:t>
      </w:r>
      <w:r w:rsidRPr="00DD03D6">
        <w:rPr>
          <w:b/>
          <w:bCs/>
          <w:noProof/>
          <w:lang w:val="fr-FR"/>
        </w:rPr>
        <w:t>ducation</w:t>
      </w:r>
      <w:r w:rsidR="002205AB">
        <w:rPr>
          <w:b/>
          <w:bCs/>
          <w:noProof/>
          <w:lang w:val="fr-FR"/>
        </w:rPr>
        <w:t> </w:t>
      </w:r>
      <w:r w:rsidRPr="00DD03D6">
        <w:rPr>
          <w:noProof/>
          <w:lang w:val="fr-FR"/>
        </w:rPr>
        <w:t>:</w:t>
      </w:r>
      <w:r w:rsidRPr="00DD03D6">
        <w:rPr>
          <w:b/>
          <w:bCs/>
          <w:noProof/>
          <w:lang w:val="fr-FR"/>
        </w:rPr>
        <w:t xml:space="preserve"> </w:t>
      </w:r>
      <w:r w:rsidR="00D36655">
        <w:rPr>
          <w:noProof/>
          <w:lang w:val="fr-FR"/>
        </w:rPr>
        <w:t>L</w:t>
      </w:r>
      <w:r w:rsidRPr="00DD03D6">
        <w:rPr>
          <w:noProof/>
          <w:lang w:val="fr-FR"/>
        </w:rPr>
        <w:t xml:space="preserve">e </w:t>
      </w:r>
      <w:r w:rsidR="00D36655">
        <w:rPr>
          <w:noProof/>
          <w:lang w:val="fr-FR"/>
        </w:rPr>
        <w:t>Bureau est tenu de sensibiliser la population, y compris les enfants, aux questions relatives aux droits et au bien-être des enfants</w:t>
      </w:r>
      <w:r w:rsidR="001028D6">
        <w:rPr>
          <w:noProof/>
          <w:lang w:val="fr-FR"/>
        </w:rPr>
        <w:t xml:space="preserve">, notamment les principes et dispositions de la </w:t>
      </w:r>
      <w:r w:rsidR="0004550B" w:rsidRPr="00DD03D6">
        <w:rPr>
          <w:noProof/>
          <w:lang w:val="fr-FR"/>
        </w:rPr>
        <w:t xml:space="preserve">Convention </w:t>
      </w:r>
      <w:r w:rsidR="001028D6">
        <w:rPr>
          <w:noProof/>
          <w:lang w:val="fr-FR"/>
        </w:rPr>
        <w:t>relative aux droits de l’enfant</w:t>
      </w:r>
      <w:r w:rsidRPr="00DD03D6">
        <w:rPr>
          <w:noProof/>
          <w:lang w:val="fr-FR"/>
        </w:rPr>
        <w:t xml:space="preserve">. </w:t>
      </w:r>
      <w:r w:rsidR="001028D6">
        <w:rPr>
          <w:noProof/>
          <w:lang w:val="fr-FR"/>
        </w:rPr>
        <w:t xml:space="preserve">Il doit également mettre en place des </w:t>
      </w:r>
      <w:r w:rsidRPr="00DD03D6">
        <w:rPr>
          <w:noProof/>
          <w:lang w:val="fr-FR"/>
        </w:rPr>
        <w:t xml:space="preserve">structures </w:t>
      </w:r>
      <w:r w:rsidR="001028D6">
        <w:rPr>
          <w:noProof/>
          <w:lang w:val="fr-FR"/>
        </w:rPr>
        <w:t xml:space="preserve">de </w:t>
      </w:r>
      <w:r w:rsidRPr="00DD03D6">
        <w:rPr>
          <w:noProof/>
          <w:lang w:val="fr-FR"/>
        </w:rPr>
        <w:t>consult</w:t>
      </w:r>
      <w:r w:rsidR="001028D6">
        <w:rPr>
          <w:noProof/>
          <w:lang w:val="fr-FR"/>
        </w:rPr>
        <w:t xml:space="preserve">ation des enfants et appeler l’attention sur </w:t>
      </w:r>
      <w:r w:rsidR="00B2676F">
        <w:rPr>
          <w:noProof/>
          <w:lang w:val="fr-FR"/>
        </w:rPr>
        <w:t>les question</w:t>
      </w:r>
      <w:r w:rsidR="00A131A9">
        <w:rPr>
          <w:noProof/>
          <w:lang w:val="fr-FR"/>
        </w:rPr>
        <w:t>s</w:t>
      </w:r>
      <w:r w:rsidR="00B2676F">
        <w:rPr>
          <w:noProof/>
          <w:lang w:val="fr-FR"/>
        </w:rPr>
        <w:t xml:space="preserve"> liées aux droits et au bien-être des enfants</w:t>
      </w:r>
      <w:r w:rsidR="00B2676F" w:rsidRPr="00DD03D6">
        <w:rPr>
          <w:noProof/>
          <w:lang w:val="fr-FR"/>
        </w:rPr>
        <w:t xml:space="preserve"> </w:t>
      </w:r>
      <w:r w:rsidR="00B2676F">
        <w:rPr>
          <w:noProof/>
          <w:lang w:val="fr-FR"/>
        </w:rPr>
        <w:t>qui intéressent les enfants eux-mêmes</w:t>
      </w:r>
      <w:r w:rsidRPr="00DD03D6">
        <w:rPr>
          <w:noProof/>
          <w:lang w:val="fr-FR"/>
        </w:rPr>
        <w:t xml:space="preserve">. </w:t>
      </w:r>
      <w:r w:rsidR="00B2676F">
        <w:rPr>
          <w:noProof/>
          <w:lang w:val="fr-FR"/>
        </w:rPr>
        <w:t>Le Médiateur des enfants a également établi des contacts directs avec les jeunes dans le cadre de projets participatifs visant à mettre en vedette des questions intéressant des groupes spécifiques, notamment les enfants séparés, les enfants détenus et les enfants sans abri</w:t>
      </w:r>
      <w:r w:rsidRPr="00DD03D6">
        <w:rPr>
          <w:noProof/>
          <w:lang w:val="fr-FR"/>
        </w:rPr>
        <w:t xml:space="preserve">. </w:t>
      </w:r>
      <w:r w:rsidR="00B2676F">
        <w:rPr>
          <w:noProof/>
          <w:lang w:val="fr-FR"/>
        </w:rPr>
        <w:t>E</w:t>
      </w:r>
      <w:r w:rsidRPr="00DD03D6">
        <w:rPr>
          <w:noProof/>
          <w:lang w:val="fr-FR"/>
        </w:rPr>
        <w:t xml:space="preserve">n </w:t>
      </w:r>
      <w:r w:rsidR="00B2676F">
        <w:rPr>
          <w:noProof/>
          <w:lang w:val="fr-FR"/>
        </w:rPr>
        <w:t>outre</w:t>
      </w:r>
      <w:r w:rsidRPr="00DD03D6">
        <w:rPr>
          <w:noProof/>
          <w:lang w:val="fr-FR"/>
        </w:rPr>
        <w:t xml:space="preserve">, </w:t>
      </w:r>
      <w:r w:rsidR="00B2676F">
        <w:rPr>
          <w:noProof/>
          <w:lang w:val="fr-FR"/>
        </w:rPr>
        <w:t xml:space="preserve">le Bureau du Médiateur des enfants gère un </w:t>
      </w:r>
      <w:r w:rsidRPr="00DD03D6">
        <w:rPr>
          <w:noProof/>
          <w:lang w:val="fr-FR"/>
        </w:rPr>
        <w:t xml:space="preserve">programme </w:t>
      </w:r>
      <w:r w:rsidR="00B2676F">
        <w:rPr>
          <w:noProof/>
          <w:lang w:val="fr-FR"/>
        </w:rPr>
        <w:t>d’ateliers sur les droits de l’homme à l’intention des écoles et des groupements de jeunesse, programme qui lui a permis jusqu’ici de nouer le dialogue avec des milliers d’enfants</w:t>
      </w:r>
      <w:r w:rsidRPr="00DD03D6">
        <w:rPr>
          <w:noProof/>
          <w:lang w:val="fr-FR"/>
        </w:rPr>
        <w:t>.</w:t>
      </w:r>
    </w:p>
    <w:p w:rsidR="008342B8" w:rsidRPr="00DD03D6" w:rsidRDefault="00B2676F" w:rsidP="005D7533">
      <w:pPr>
        <w:pStyle w:val="SingleTxtG"/>
        <w:numPr>
          <w:ilvl w:val="0"/>
          <w:numId w:val="3"/>
        </w:numPr>
        <w:ind w:left="1134" w:firstLine="0"/>
        <w:rPr>
          <w:noProof/>
          <w:lang w:val="fr-FR"/>
        </w:rPr>
      </w:pPr>
      <w:r>
        <w:rPr>
          <w:noProof/>
          <w:lang w:val="fr-FR"/>
        </w:rPr>
        <w:t xml:space="preserve">La </w:t>
      </w:r>
      <w:r w:rsidR="008342B8" w:rsidRPr="00DD03D6">
        <w:rPr>
          <w:b/>
          <w:bCs/>
          <w:noProof/>
          <w:lang w:val="fr-FR"/>
        </w:rPr>
        <w:t>Commission</w:t>
      </w:r>
      <w:r>
        <w:rPr>
          <w:b/>
          <w:bCs/>
          <w:noProof/>
          <w:lang w:val="fr-FR"/>
        </w:rPr>
        <w:t xml:space="preserve"> des droits de l’homme</w:t>
      </w:r>
      <w:r>
        <w:rPr>
          <w:noProof/>
          <w:lang w:val="fr-FR"/>
        </w:rPr>
        <w:t xml:space="preserve"> </w:t>
      </w:r>
      <w:r w:rsidR="008342B8" w:rsidRPr="00DD03D6">
        <w:rPr>
          <w:noProof/>
          <w:lang w:val="fr-FR"/>
        </w:rPr>
        <w:t>a</w:t>
      </w:r>
      <w:r>
        <w:rPr>
          <w:noProof/>
          <w:lang w:val="fr-FR"/>
        </w:rPr>
        <w:t xml:space="preserve"> été créée en </w:t>
      </w:r>
      <w:r w:rsidR="008342B8" w:rsidRPr="00DD03D6">
        <w:rPr>
          <w:noProof/>
          <w:lang w:val="fr-FR"/>
        </w:rPr>
        <w:t xml:space="preserve">2001 </w:t>
      </w:r>
      <w:r>
        <w:rPr>
          <w:noProof/>
          <w:lang w:val="fr-FR"/>
        </w:rPr>
        <w:t xml:space="preserve">pour </w:t>
      </w:r>
      <w:r w:rsidR="008342B8" w:rsidRPr="00DD03D6">
        <w:rPr>
          <w:noProof/>
          <w:lang w:val="fr-FR"/>
        </w:rPr>
        <w:t>promo</w:t>
      </w:r>
      <w:r>
        <w:rPr>
          <w:noProof/>
          <w:lang w:val="fr-FR"/>
        </w:rPr>
        <w:t>uvoir</w:t>
      </w:r>
      <w:r w:rsidR="008342B8" w:rsidRPr="00DD03D6">
        <w:rPr>
          <w:noProof/>
          <w:lang w:val="fr-FR"/>
        </w:rPr>
        <w:t>, prot</w:t>
      </w:r>
      <w:r>
        <w:rPr>
          <w:noProof/>
          <w:lang w:val="fr-FR"/>
        </w:rPr>
        <w:t xml:space="preserve">éger et développer les droits de l’homme, et créer et </w:t>
      </w:r>
      <w:r w:rsidR="00DA41CA">
        <w:rPr>
          <w:noProof/>
          <w:lang w:val="fr-FR"/>
        </w:rPr>
        <w:t>faire prévaloir une culture des droits de l’homme dans le pays</w:t>
      </w:r>
      <w:r w:rsidR="008342B8" w:rsidRPr="00DD03D6">
        <w:rPr>
          <w:noProof/>
          <w:lang w:val="fr-FR"/>
        </w:rPr>
        <w:t xml:space="preserve">. </w:t>
      </w:r>
      <w:r w:rsidR="00B03A28">
        <w:rPr>
          <w:noProof/>
          <w:lang w:val="fr-FR"/>
        </w:rPr>
        <w:t>Elle collabore</w:t>
      </w:r>
      <w:r w:rsidR="008342B8" w:rsidRPr="00DD03D6">
        <w:rPr>
          <w:noProof/>
          <w:lang w:val="fr-FR"/>
        </w:rPr>
        <w:t xml:space="preserve"> </w:t>
      </w:r>
      <w:r w:rsidR="00B03A28">
        <w:rPr>
          <w:noProof/>
          <w:lang w:val="fr-FR"/>
        </w:rPr>
        <w:t>avec le Médiateur des enfants (voir plus haut) et appuie ses activités, et elle est intervenue à titre d’</w:t>
      </w:r>
      <w:r w:rsidR="008342B8" w:rsidRPr="00B03A28">
        <w:rPr>
          <w:i/>
          <w:noProof/>
          <w:lang w:val="fr-FR"/>
        </w:rPr>
        <w:t>amicus curiae</w:t>
      </w:r>
      <w:r w:rsidR="008342B8" w:rsidRPr="00DD03D6">
        <w:rPr>
          <w:noProof/>
          <w:lang w:val="fr-FR"/>
        </w:rPr>
        <w:t xml:space="preserve"> </w:t>
      </w:r>
      <w:r w:rsidR="00B03A28">
        <w:rPr>
          <w:noProof/>
          <w:lang w:val="fr-FR"/>
        </w:rPr>
        <w:t>et a fourni une assistance judiciaire dans des affaires concernant les droits des enfants</w:t>
      </w:r>
      <w:r w:rsidR="008342B8" w:rsidRPr="00DD03D6">
        <w:rPr>
          <w:noProof/>
          <w:lang w:val="fr-FR"/>
        </w:rPr>
        <w:t xml:space="preserve">. </w:t>
      </w:r>
      <w:r w:rsidR="00B03A28">
        <w:rPr>
          <w:noProof/>
          <w:lang w:val="fr-FR"/>
        </w:rPr>
        <w:t xml:space="preserve">Elle a également donné des avis au Gouvernement et aux organismes publics au sujet de certaines questions </w:t>
      </w:r>
      <w:r w:rsidR="00B03A28">
        <w:rPr>
          <w:noProof/>
          <w:lang w:val="fr-FR"/>
        </w:rPr>
        <w:lastRenderedPageBreak/>
        <w:t>intéressant les enfants, notamment la scolarisation et la place de la religion dans l’éducation</w:t>
      </w:r>
      <w:r w:rsidR="008342B8" w:rsidRPr="00DD03D6">
        <w:rPr>
          <w:noProof/>
          <w:lang w:val="fr-FR"/>
        </w:rPr>
        <w:t xml:space="preserve">. </w:t>
      </w:r>
    </w:p>
    <w:p w:rsidR="008342B8" w:rsidRPr="00DD03D6" w:rsidRDefault="00B03A28" w:rsidP="00E32333">
      <w:pPr>
        <w:pStyle w:val="SingleTxtG"/>
        <w:numPr>
          <w:ilvl w:val="0"/>
          <w:numId w:val="3"/>
        </w:numPr>
        <w:ind w:left="1134" w:firstLine="0"/>
        <w:rPr>
          <w:noProof/>
          <w:lang w:val="fr-FR"/>
        </w:rPr>
      </w:pPr>
      <w:r>
        <w:rPr>
          <w:noProof/>
          <w:lang w:val="fr-FR"/>
        </w:rPr>
        <w:t>L</w:t>
      </w:r>
      <w:r w:rsidR="006F10FC">
        <w:rPr>
          <w:noProof/>
          <w:lang w:val="fr-FR"/>
        </w:rPr>
        <w:t xml:space="preserve">e </w:t>
      </w:r>
      <w:r w:rsidR="006F10FC">
        <w:rPr>
          <w:b/>
          <w:bCs/>
          <w:noProof/>
          <w:lang w:val="fr-FR"/>
        </w:rPr>
        <w:t xml:space="preserve">Bureau </w:t>
      </w:r>
      <w:r>
        <w:rPr>
          <w:b/>
          <w:bCs/>
          <w:noProof/>
          <w:lang w:val="fr-FR"/>
        </w:rPr>
        <w:t xml:space="preserve">de l’égalité </w:t>
      </w:r>
      <w:r>
        <w:rPr>
          <w:noProof/>
          <w:lang w:val="fr-FR"/>
        </w:rPr>
        <w:t>a notamment pour fonction d’œuvrer en faveur de l’é</w:t>
      </w:r>
      <w:r w:rsidR="008342B8" w:rsidRPr="00DD03D6">
        <w:rPr>
          <w:noProof/>
          <w:lang w:val="fr-FR"/>
        </w:rPr>
        <w:t xml:space="preserve">limination </w:t>
      </w:r>
      <w:r>
        <w:rPr>
          <w:noProof/>
          <w:lang w:val="fr-FR"/>
        </w:rPr>
        <w:t xml:space="preserve">de la </w:t>
      </w:r>
      <w:r w:rsidR="008342B8" w:rsidRPr="00DD03D6">
        <w:rPr>
          <w:noProof/>
          <w:lang w:val="fr-FR"/>
        </w:rPr>
        <w:t>discrimination</w:t>
      </w:r>
      <w:r>
        <w:rPr>
          <w:noProof/>
          <w:lang w:val="fr-FR"/>
        </w:rPr>
        <w:t xml:space="preserve"> illicite</w:t>
      </w:r>
      <w:r w:rsidR="008342B8" w:rsidRPr="00DD03D6">
        <w:rPr>
          <w:noProof/>
          <w:lang w:val="fr-FR"/>
        </w:rPr>
        <w:t xml:space="preserve">, </w:t>
      </w:r>
      <w:r w:rsidR="00B95095">
        <w:rPr>
          <w:noProof/>
          <w:lang w:val="fr-FR"/>
        </w:rPr>
        <w:t>de promouvoir l’</w:t>
      </w:r>
      <w:r w:rsidR="003B1AFF">
        <w:rPr>
          <w:noProof/>
          <w:lang w:val="fr-FR"/>
        </w:rPr>
        <w:t>égal</w:t>
      </w:r>
      <w:r w:rsidR="00B95095">
        <w:rPr>
          <w:noProof/>
          <w:lang w:val="fr-FR"/>
        </w:rPr>
        <w:t>i</w:t>
      </w:r>
      <w:r w:rsidR="003B1AFF">
        <w:rPr>
          <w:noProof/>
          <w:lang w:val="fr-FR"/>
        </w:rPr>
        <w:t>t</w:t>
      </w:r>
      <w:r w:rsidR="00B95095">
        <w:rPr>
          <w:noProof/>
          <w:lang w:val="fr-FR"/>
        </w:rPr>
        <w:t xml:space="preserve">é des chances et de fournir au public des </w:t>
      </w:r>
      <w:r w:rsidR="008342B8" w:rsidRPr="00DD03D6">
        <w:rPr>
          <w:noProof/>
          <w:lang w:val="fr-FR"/>
        </w:rPr>
        <w:t>information</w:t>
      </w:r>
      <w:r w:rsidR="00B95095">
        <w:rPr>
          <w:noProof/>
          <w:lang w:val="fr-FR"/>
        </w:rPr>
        <w:t>s</w:t>
      </w:r>
      <w:r w:rsidR="008342B8" w:rsidRPr="00DD03D6">
        <w:rPr>
          <w:noProof/>
          <w:lang w:val="fr-FR"/>
        </w:rPr>
        <w:t xml:space="preserve"> </w:t>
      </w:r>
      <w:r w:rsidR="00B95095">
        <w:rPr>
          <w:noProof/>
          <w:lang w:val="fr-FR"/>
        </w:rPr>
        <w:t>sur la législation en matière d’égalité</w:t>
      </w:r>
      <w:r w:rsidR="008342B8" w:rsidRPr="00DD03D6">
        <w:rPr>
          <w:noProof/>
          <w:lang w:val="fr-FR"/>
        </w:rPr>
        <w:t xml:space="preserve">. </w:t>
      </w:r>
      <w:r w:rsidR="006F10FC">
        <w:rPr>
          <w:noProof/>
          <w:lang w:val="fr-FR"/>
        </w:rPr>
        <w:t xml:space="preserve">Il </w:t>
      </w:r>
      <w:r w:rsidR="00087F57">
        <w:rPr>
          <w:noProof/>
          <w:lang w:val="fr-FR"/>
        </w:rPr>
        <w:t>a récemment élaboré à l’intention des jeunes et des organisations de jeunes</w:t>
      </w:r>
      <w:r w:rsidR="000D6550">
        <w:rPr>
          <w:noProof/>
          <w:lang w:val="fr-FR"/>
        </w:rPr>
        <w:t>se</w:t>
      </w:r>
      <w:r w:rsidR="00087F57">
        <w:rPr>
          <w:noProof/>
          <w:lang w:val="fr-FR"/>
        </w:rPr>
        <w:t xml:space="preserve"> une pochette d’informations concernant l’identification des stéréotypes concernant les jeunes ou véhiculés par eux</w:t>
      </w:r>
      <w:r w:rsidR="008342B8" w:rsidRPr="00DD03D6">
        <w:rPr>
          <w:noProof/>
          <w:lang w:val="fr-FR"/>
        </w:rPr>
        <w:t xml:space="preserve">. </w:t>
      </w:r>
      <w:r w:rsidR="00087F57">
        <w:rPr>
          <w:noProof/>
          <w:lang w:val="fr-FR"/>
        </w:rPr>
        <w:t xml:space="preserve">Par ailleurs, </w:t>
      </w:r>
      <w:r w:rsidR="003B1AFF">
        <w:rPr>
          <w:noProof/>
          <w:lang w:val="fr-FR"/>
        </w:rPr>
        <w:t>l</w:t>
      </w:r>
      <w:r w:rsidR="00087F57">
        <w:rPr>
          <w:noProof/>
          <w:lang w:val="fr-FR"/>
        </w:rPr>
        <w:t xml:space="preserve">a collaboration </w:t>
      </w:r>
      <w:r w:rsidR="003B1AFF">
        <w:rPr>
          <w:noProof/>
          <w:lang w:val="fr-FR"/>
        </w:rPr>
        <w:t xml:space="preserve">engagée </w:t>
      </w:r>
      <w:r w:rsidR="00087F57">
        <w:rPr>
          <w:noProof/>
          <w:lang w:val="fr-FR"/>
        </w:rPr>
        <w:t xml:space="preserve">avec le Ministère de l’éducation et de la formation et les partenaires pour l’éducation </w:t>
      </w:r>
      <w:r w:rsidR="003B1AFF">
        <w:rPr>
          <w:noProof/>
          <w:lang w:val="fr-FR"/>
        </w:rPr>
        <w:t xml:space="preserve">en vue d’aider les écoles à combattre les brimades homophobes et à créer un environnement sûr et favorable pour les élèves lesbiennes et les élèves gays et bisexuels a abouti à </w:t>
      </w:r>
      <w:r w:rsidR="00087F57">
        <w:rPr>
          <w:noProof/>
          <w:lang w:val="fr-FR"/>
        </w:rPr>
        <w:t xml:space="preserve">des progrès </w:t>
      </w:r>
      <w:r w:rsidR="003B1AFF">
        <w:rPr>
          <w:noProof/>
          <w:lang w:val="fr-FR"/>
        </w:rPr>
        <w:t>notables</w:t>
      </w:r>
      <w:r w:rsidR="008342B8" w:rsidRPr="00DD03D6">
        <w:rPr>
          <w:noProof/>
          <w:lang w:val="fr-FR"/>
        </w:rPr>
        <w:t xml:space="preserve">. </w:t>
      </w:r>
      <w:r w:rsidR="003B1AFF">
        <w:rPr>
          <w:noProof/>
          <w:lang w:val="fr-FR"/>
        </w:rPr>
        <w:t xml:space="preserve">D’une façon plus générale, des directives ont été élaborées en </w:t>
      </w:r>
      <w:r w:rsidR="008342B8" w:rsidRPr="00DD03D6">
        <w:rPr>
          <w:noProof/>
          <w:lang w:val="fr-FR"/>
        </w:rPr>
        <w:t>2010</w:t>
      </w:r>
      <w:r w:rsidR="003B1AFF">
        <w:rPr>
          <w:noProof/>
          <w:lang w:val="fr-FR"/>
        </w:rPr>
        <w:t xml:space="preserve"> pour intégrer l’égalité dans la planification </w:t>
      </w:r>
      <w:r w:rsidR="00D45A02">
        <w:rPr>
          <w:noProof/>
          <w:lang w:val="fr-FR"/>
        </w:rPr>
        <w:t>du développement des écoles</w:t>
      </w:r>
      <w:r w:rsidR="00994790">
        <w:rPr>
          <w:noProof/>
          <w:lang w:val="fr-FR"/>
        </w:rPr>
        <w:t xml:space="preserve"> secondaires</w:t>
      </w:r>
      <w:r w:rsidR="008342B8" w:rsidRPr="00DD03D6">
        <w:rPr>
          <w:noProof/>
          <w:lang w:val="fr-FR"/>
        </w:rPr>
        <w:t>.</w:t>
      </w:r>
    </w:p>
    <w:p w:rsidR="008342B8" w:rsidRPr="00DD03D6" w:rsidRDefault="00637303" w:rsidP="00E32333">
      <w:pPr>
        <w:pStyle w:val="SingleTxtG"/>
        <w:numPr>
          <w:ilvl w:val="0"/>
          <w:numId w:val="3"/>
        </w:numPr>
        <w:ind w:left="1134" w:firstLine="0"/>
        <w:rPr>
          <w:noProof/>
          <w:lang w:val="fr-FR"/>
        </w:rPr>
      </w:pPr>
      <w:r>
        <w:rPr>
          <w:noProof/>
          <w:lang w:val="fr-FR"/>
        </w:rPr>
        <w:t xml:space="preserve">À la suite d’une décision prise par le </w:t>
      </w:r>
      <w:r w:rsidR="008342B8" w:rsidRPr="00DD03D6">
        <w:rPr>
          <w:noProof/>
          <w:lang w:val="fr-FR"/>
        </w:rPr>
        <w:t>Go</w:t>
      </w:r>
      <w:r>
        <w:rPr>
          <w:noProof/>
          <w:lang w:val="fr-FR"/>
        </w:rPr>
        <w:t>u</w:t>
      </w:r>
      <w:r w:rsidR="008342B8" w:rsidRPr="00DD03D6">
        <w:rPr>
          <w:noProof/>
          <w:lang w:val="fr-FR"/>
        </w:rPr>
        <w:t>vern</w:t>
      </w:r>
      <w:r>
        <w:rPr>
          <w:noProof/>
          <w:lang w:val="fr-FR"/>
        </w:rPr>
        <w:t>e</w:t>
      </w:r>
      <w:r w:rsidR="008342B8" w:rsidRPr="00DD03D6">
        <w:rPr>
          <w:noProof/>
          <w:lang w:val="fr-FR"/>
        </w:rPr>
        <w:t xml:space="preserve">ment </w:t>
      </w:r>
      <w:r>
        <w:rPr>
          <w:noProof/>
          <w:lang w:val="fr-FR"/>
        </w:rPr>
        <w:t xml:space="preserve">en </w:t>
      </w:r>
      <w:r w:rsidR="008342B8" w:rsidRPr="00DD03D6">
        <w:rPr>
          <w:noProof/>
          <w:lang w:val="fr-FR"/>
        </w:rPr>
        <w:t xml:space="preserve">2011, </w:t>
      </w:r>
      <w:r>
        <w:rPr>
          <w:noProof/>
          <w:lang w:val="fr-FR"/>
        </w:rPr>
        <w:t xml:space="preserve">on a entrepris – et le travail est déjà bien avancé – de </w:t>
      </w:r>
      <w:r w:rsidR="006F10FC">
        <w:rPr>
          <w:noProof/>
          <w:lang w:val="fr-FR"/>
        </w:rPr>
        <w:t>regroup</w:t>
      </w:r>
      <w:r>
        <w:rPr>
          <w:noProof/>
          <w:lang w:val="fr-FR"/>
        </w:rPr>
        <w:t xml:space="preserve">er </w:t>
      </w:r>
      <w:r w:rsidR="006F10FC">
        <w:rPr>
          <w:noProof/>
          <w:lang w:val="fr-FR"/>
        </w:rPr>
        <w:t>le Bureau</w:t>
      </w:r>
      <w:r>
        <w:rPr>
          <w:noProof/>
          <w:lang w:val="fr-FR"/>
        </w:rPr>
        <w:t xml:space="preserve"> de l’égalité et la Commission des droits de l’homme </w:t>
      </w:r>
      <w:r w:rsidR="00C9384D">
        <w:rPr>
          <w:noProof/>
          <w:lang w:val="fr-FR"/>
        </w:rPr>
        <w:t>en</w:t>
      </w:r>
      <w:r>
        <w:rPr>
          <w:noProof/>
          <w:lang w:val="fr-FR"/>
        </w:rPr>
        <w:t xml:space="preserve"> une nouvelle Commission des droits de l’homme et </w:t>
      </w:r>
      <w:r w:rsidR="006F10FC">
        <w:rPr>
          <w:noProof/>
          <w:lang w:val="fr-FR"/>
        </w:rPr>
        <w:t xml:space="preserve">de </w:t>
      </w:r>
      <w:r>
        <w:rPr>
          <w:noProof/>
          <w:lang w:val="fr-FR"/>
        </w:rPr>
        <w:t>l’égalité</w:t>
      </w:r>
      <w:r w:rsidR="008342B8" w:rsidRPr="00DD03D6">
        <w:rPr>
          <w:noProof/>
          <w:lang w:val="fr-FR"/>
        </w:rPr>
        <w:t xml:space="preserve">. </w:t>
      </w:r>
      <w:r w:rsidR="006F10FC">
        <w:rPr>
          <w:noProof/>
          <w:lang w:val="fr-FR"/>
        </w:rPr>
        <w:t xml:space="preserve">Ce regroupement a pour objectif de </w:t>
      </w:r>
      <w:r w:rsidR="008342B8" w:rsidRPr="00DD03D6">
        <w:rPr>
          <w:noProof/>
          <w:lang w:val="fr-FR"/>
        </w:rPr>
        <w:t>promo</w:t>
      </w:r>
      <w:r w:rsidR="00C9384D">
        <w:rPr>
          <w:noProof/>
          <w:lang w:val="fr-FR"/>
        </w:rPr>
        <w:t>uvoir les questions concernant les droits de l’homme et l’égalité</w:t>
      </w:r>
      <w:r w:rsidR="00E92D3C">
        <w:rPr>
          <w:noProof/>
          <w:lang w:val="fr-FR"/>
        </w:rPr>
        <w:t xml:space="preserve"> </w:t>
      </w:r>
      <w:r w:rsidR="00C9384D">
        <w:rPr>
          <w:noProof/>
          <w:lang w:val="fr-FR"/>
        </w:rPr>
        <w:t>d’une manière plus efficace, rationnell</w:t>
      </w:r>
      <w:r w:rsidR="008342B8" w:rsidRPr="00DD03D6">
        <w:rPr>
          <w:noProof/>
          <w:lang w:val="fr-FR"/>
        </w:rPr>
        <w:t xml:space="preserve">e </w:t>
      </w:r>
      <w:r w:rsidR="00C9384D">
        <w:rPr>
          <w:noProof/>
          <w:lang w:val="fr-FR"/>
        </w:rPr>
        <w:t>et cohérente</w:t>
      </w:r>
      <w:r w:rsidR="008342B8" w:rsidRPr="00DD03D6">
        <w:rPr>
          <w:noProof/>
          <w:lang w:val="fr-FR"/>
        </w:rPr>
        <w:t>.</w:t>
      </w:r>
    </w:p>
    <w:p w:rsidR="008342B8" w:rsidRPr="00DD03D6" w:rsidRDefault="00C9384D" w:rsidP="00E32333">
      <w:pPr>
        <w:pStyle w:val="SingleTxtG"/>
        <w:numPr>
          <w:ilvl w:val="0"/>
          <w:numId w:val="3"/>
        </w:numPr>
        <w:ind w:left="1134" w:firstLine="0"/>
        <w:rPr>
          <w:noProof/>
          <w:lang w:val="fr-FR"/>
        </w:rPr>
      </w:pPr>
      <w:r>
        <w:rPr>
          <w:noProof/>
          <w:lang w:val="fr-FR"/>
        </w:rPr>
        <w:t xml:space="preserve">L’inscription de </w:t>
      </w:r>
      <w:r w:rsidR="008342B8" w:rsidRPr="00DD03D6">
        <w:rPr>
          <w:noProof/>
          <w:lang w:val="fr-FR"/>
        </w:rPr>
        <w:t>4</w:t>
      </w:r>
      <w:r>
        <w:rPr>
          <w:noProof/>
          <w:lang w:val="fr-FR"/>
        </w:rPr>
        <w:t>,</w:t>
      </w:r>
      <w:r w:rsidR="008342B8" w:rsidRPr="00DD03D6">
        <w:rPr>
          <w:noProof/>
          <w:lang w:val="fr-FR"/>
        </w:rPr>
        <w:t>409 milli</w:t>
      </w:r>
      <w:r>
        <w:rPr>
          <w:noProof/>
          <w:lang w:val="fr-FR"/>
        </w:rPr>
        <w:t xml:space="preserve">ards d’euros au budget de </w:t>
      </w:r>
      <w:r w:rsidR="008342B8" w:rsidRPr="00DD03D6">
        <w:rPr>
          <w:noProof/>
          <w:lang w:val="fr-FR"/>
        </w:rPr>
        <w:t xml:space="preserve">2013 </w:t>
      </w:r>
      <w:r>
        <w:rPr>
          <w:noProof/>
          <w:lang w:val="fr-FR"/>
        </w:rPr>
        <w:t>au titre de la nouvelle Commission irlandaise des droits de l’homme et de l’égalité est un succès important étant donné les pressions qui s’exercent actuellement sur les finances publiques</w:t>
      </w:r>
      <w:r w:rsidR="008342B8" w:rsidRPr="00DD03D6">
        <w:rPr>
          <w:noProof/>
          <w:lang w:val="fr-FR"/>
        </w:rPr>
        <w:t xml:space="preserve">. </w:t>
      </w:r>
      <w:r>
        <w:rPr>
          <w:noProof/>
          <w:lang w:val="fr-FR"/>
        </w:rPr>
        <w:t>Ce montant maintient le niveau de</w:t>
      </w:r>
      <w:r w:rsidR="00172208">
        <w:rPr>
          <w:noProof/>
          <w:lang w:val="fr-FR"/>
        </w:rPr>
        <w:t>s dotations</w:t>
      </w:r>
      <w:r>
        <w:rPr>
          <w:noProof/>
          <w:lang w:val="fr-FR"/>
        </w:rPr>
        <w:t xml:space="preserve"> </w:t>
      </w:r>
      <w:r w:rsidR="00172208">
        <w:rPr>
          <w:noProof/>
          <w:lang w:val="fr-FR"/>
        </w:rPr>
        <w:t xml:space="preserve">de 2012 du </w:t>
      </w:r>
      <w:r>
        <w:rPr>
          <w:noProof/>
          <w:lang w:val="fr-FR"/>
        </w:rPr>
        <w:t xml:space="preserve">Ministère des finances </w:t>
      </w:r>
      <w:r w:rsidR="00172208">
        <w:rPr>
          <w:noProof/>
          <w:lang w:val="fr-FR"/>
        </w:rPr>
        <w:t xml:space="preserve">pour les deux organes et démontre la vigueur de l’engagement du Gouvernement en ce qui concerne le renforcement du cadre institutionnel irlandais de </w:t>
      </w:r>
      <w:r w:rsidR="008342B8" w:rsidRPr="00DD03D6">
        <w:rPr>
          <w:noProof/>
          <w:lang w:val="fr-FR"/>
        </w:rPr>
        <w:t xml:space="preserve">promotion </w:t>
      </w:r>
      <w:r w:rsidR="00172208">
        <w:rPr>
          <w:noProof/>
          <w:lang w:val="fr-FR"/>
        </w:rPr>
        <w:t xml:space="preserve">et de </w:t>
      </w:r>
      <w:r w:rsidR="008342B8" w:rsidRPr="00DD03D6">
        <w:rPr>
          <w:noProof/>
          <w:lang w:val="fr-FR"/>
        </w:rPr>
        <w:t xml:space="preserve">protection </w:t>
      </w:r>
      <w:r w:rsidR="00172208">
        <w:rPr>
          <w:noProof/>
          <w:lang w:val="fr-FR"/>
        </w:rPr>
        <w:t>des droits de l’homme et de l’égalité</w:t>
      </w:r>
      <w:r w:rsidR="008342B8" w:rsidRPr="00DD03D6">
        <w:rPr>
          <w:noProof/>
          <w:lang w:val="fr-FR"/>
        </w:rPr>
        <w:t xml:space="preserve">. </w:t>
      </w:r>
      <w:r w:rsidR="00172208">
        <w:rPr>
          <w:noProof/>
          <w:lang w:val="fr-FR"/>
        </w:rPr>
        <w:t xml:space="preserve">À la faveur de la fusion de la Commission des droits de l’homme et du Bureau de l’égalité, qui </w:t>
      </w:r>
      <w:r w:rsidR="00D838C1">
        <w:rPr>
          <w:noProof/>
          <w:lang w:val="fr-FR"/>
        </w:rPr>
        <w:t xml:space="preserve">doit </w:t>
      </w:r>
      <w:r w:rsidR="001D6F60">
        <w:rPr>
          <w:noProof/>
          <w:lang w:val="fr-FR"/>
        </w:rPr>
        <w:t>regro</w:t>
      </w:r>
      <w:r w:rsidR="00D838C1">
        <w:rPr>
          <w:noProof/>
          <w:lang w:val="fr-FR"/>
        </w:rPr>
        <w:t>u</w:t>
      </w:r>
      <w:r w:rsidR="001D6F60">
        <w:rPr>
          <w:noProof/>
          <w:lang w:val="fr-FR"/>
        </w:rPr>
        <w:t>pe</w:t>
      </w:r>
      <w:r w:rsidR="00D838C1">
        <w:rPr>
          <w:noProof/>
          <w:lang w:val="fr-FR"/>
        </w:rPr>
        <w:t>r</w:t>
      </w:r>
      <w:r w:rsidR="001D6F60">
        <w:rPr>
          <w:noProof/>
          <w:lang w:val="fr-FR"/>
        </w:rPr>
        <w:t xml:space="preserve"> et int</w:t>
      </w:r>
      <w:r w:rsidR="000D6550">
        <w:rPr>
          <w:noProof/>
          <w:lang w:val="fr-FR"/>
        </w:rPr>
        <w:t>é</w:t>
      </w:r>
      <w:r w:rsidR="001D6F60">
        <w:rPr>
          <w:noProof/>
          <w:lang w:val="fr-FR"/>
        </w:rPr>
        <w:t>gre</w:t>
      </w:r>
      <w:r w:rsidR="000D6550">
        <w:rPr>
          <w:noProof/>
          <w:lang w:val="fr-FR"/>
        </w:rPr>
        <w:t>r</w:t>
      </w:r>
      <w:r w:rsidR="001D6F60">
        <w:rPr>
          <w:noProof/>
          <w:lang w:val="fr-FR"/>
        </w:rPr>
        <w:t xml:space="preserve"> deux catégories d’agents distinctes, la nouvelle </w:t>
      </w:r>
      <w:r w:rsidR="008342B8" w:rsidRPr="00DD03D6">
        <w:rPr>
          <w:noProof/>
          <w:lang w:val="fr-FR"/>
        </w:rPr>
        <w:t xml:space="preserve">Commission </w:t>
      </w:r>
      <w:r w:rsidR="001D6F60">
        <w:rPr>
          <w:noProof/>
          <w:lang w:val="fr-FR"/>
        </w:rPr>
        <w:t xml:space="preserve">entreprendra à titre prioritaire un examen des besoins en effectifs et établira </w:t>
      </w:r>
      <w:r w:rsidR="00F342EC">
        <w:rPr>
          <w:noProof/>
          <w:lang w:val="fr-FR"/>
        </w:rPr>
        <w:t xml:space="preserve">un dossier de décision concernant le personnel supplémentaire </w:t>
      </w:r>
      <w:r w:rsidR="00D838C1">
        <w:rPr>
          <w:noProof/>
          <w:lang w:val="fr-FR"/>
        </w:rPr>
        <w:t xml:space="preserve">pouvant s’avérer </w:t>
      </w:r>
      <w:r w:rsidR="00F342EC">
        <w:rPr>
          <w:noProof/>
          <w:lang w:val="fr-FR"/>
        </w:rPr>
        <w:t>indispensable</w:t>
      </w:r>
      <w:r w:rsidR="008342B8" w:rsidRPr="00DD03D6">
        <w:rPr>
          <w:noProof/>
          <w:lang w:val="fr-FR"/>
        </w:rPr>
        <w:t xml:space="preserve">. </w:t>
      </w:r>
      <w:r w:rsidR="00D838C1">
        <w:rPr>
          <w:noProof/>
          <w:lang w:val="fr-FR"/>
        </w:rPr>
        <w:t>Il est admis que ce dossier aura des incidences financières, mais il y sera donné une suite aussi favorable que possible même dans le climat extrêmement difficile qui règne actuellement</w:t>
      </w:r>
      <w:r w:rsidR="008342B8" w:rsidRPr="00DD03D6">
        <w:rPr>
          <w:noProof/>
          <w:lang w:val="fr-FR"/>
        </w:rPr>
        <w:t>.</w:t>
      </w:r>
    </w:p>
    <w:p w:rsidR="008342B8" w:rsidRPr="00DD03D6" w:rsidRDefault="00E32333" w:rsidP="00E32333">
      <w:pPr>
        <w:pStyle w:val="H1G"/>
        <w:rPr>
          <w:noProof/>
          <w:lang w:val="fr-FR"/>
        </w:rPr>
      </w:pPr>
      <w:bookmarkStart w:id="16" w:name="_Toc356430846"/>
      <w:r w:rsidRPr="00DD03D6">
        <w:rPr>
          <w:noProof/>
          <w:lang w:val="fr-FR"/>
        </w:rPr>
        <w:tab/>
      </w:r>
      <w:r w:rsidR="008342B8" w:rsidRPr="00DD03D6">
        <w:rPr>
          <w:noProof/>
          <w:lang w:val="fr-FR"/>
        </w:rPr>
        <w:t>G.</w:t>
      </w:r>
      <w:r w:rsidR="008342B8" w:rsidRPr="00DD03D6">
        <w:rPr>
          <w:noProof/>
          <w:lang w:val="fr-FR"/>
        </w:rPr>
        <w:tab/>
      </w:r>
      <w:r w:rsidR="001C0792" w:rsidRPr="00DD03D6">
        <w:rPr>
          <w:noProof/>
          <w:lang w:val="fr-FR"/>
        </w:rPr>
        <w:t>Di</w:t>
      </w:r>
      <w:r w:rsidR="001C0792">
        <w:rPr>
          <w:noProof/>
          <w:lang w:val="fr-FR"/>
        </w:rPr>
        <w:t>ffusion d’</w:t>
      </w:r>
      <w:r w:rsidR="001C0792" w:rsidRPr="00DD03D6">
        <w:rPr>
          <w:noProof/>
          <w:lang w:val="fr-FR"/>
        </w:rPr>
        <w:t>information</w:t>
      </w:r>
      <w:r w:rsidR="001C0792">
        <w:rPr>
          <w:noProof/>
          <w:lang w:val="fr-FR"/>
        </w:rPr>
        <w:t xml:space="preserve">s sur la </w:t>
      </w:r>
      <w:r w:rsidR="001C0792" w:rsidRPr="00DD03D6">
        <w:rPr>
          <w:noProof/>
          <w:lang w:val="fr-FR"/>
        </w:rPr>
        <w:t>Convention (</w:t>
      </w:r>
      <w:r w:rsidR="001C0792">
        <w:rPr>
          <w:noProof/>
          <w:lang w:val="fr-FR"/>
        </w:rPr>
        <w:t xml:space="preserve">auprès des enfants </w:t>
      </w:r>
      <w:r w:rsidR="00056202">
        <w:rPr>
          <w:noProof/>
          <w:lang w:val="fr-FR"/>
        </w:rPr>
        <w:br/>
      </w:r>
      <w:r w:rsidR="001C0792">
        <w:rPr>
          <w:noProof/>
          <w:lang w:val="fr-FR"/>
        </w:rPr>
        <w:t>et des</w:t>
      </w:r>
      <w:r w:rsidR="001C0792" w:rsidRPr="00DD03D6">
        <w:rPr>
          <w:noProof/>
          <w:lang w:val="fr-FR"/>
        </w:rPr>
        <w:t xml:space="preserve"> adult</w:t>
      </w:r>
      <w:r w:rsidR="001C0792">
        <w:rPr>
          <w:noProof/>
          <w:lang w:val="fr-FR"/>
        </w:rPr>
        <w:t>e</w:t>
      </w:r>
      <w:r w:rsidR="001C0792" w:rsidRPr="00DD03D6">
        <w:rPr>
          <w:noProof/>
          <w:lang w:val="fr-FR"/>
        </w:rPr>
        <w:t>s)</w:t>
      </w:r>
      <w:r w:rsidR="001C0792">
        <w:rPr>
          <w:noProof/>
          <w:lang w:val="fr-FR"/>
        </w:rPr>
        <w:t xml:space="preserve"> </w:t>
      </w:r>
      <w:bookmarkEnd w:id="16"/>
    </w:p>
    <w:p w:rsidR="008342B8" w:rsidRPr="00DD03D6" w:rsidRDefault="00F958B3" w:rsidP="00D8581E">
      <w:pPr>
        <w:pStyle w:val="SingleTxtG"/>
        <w:numPr>
          <w:ilvl w:val="0"/>
          <w:numId w:val="3"/>
        </w:numPr>
        <w:ind w:left="1134" w:firstLine="0"/>
        <w:rPr>
          <w:noProof/>
          <w:lang w:val="fr-FR"/>
        </w:rPr>
      </w:pPr>
      <w:r>
        <w:rPr>
          <w:noProof/>
          <w:lang w:val="fr-FR"/>
        </w:rPr>
        <w:t xml:space="preserve">La Stratégie nationale en faveur des enfants </w:t>
      </w:r>
      <w:r w:rsidR="005726B0">
        <w:rPr>
          <w:noProof/>
          <w:lang w:val="fr-FR"/>
        </w:rPr>
        <w:t xml:space="preserve">a reposé sur une vaste </w:t>
      </w:r>
      <w:r w:rsidR="008342B8" w:rsidRPr="00DD03D6">
        <w:rPr>
          <w:noProof/>
          <w:lang w:val="fr-FR"/>
        </w:rPr>
        <w:t xml:space="preserve">consultation </w:t>
      </w:r>
      <w:r w:rsidR="005726B0">
        <w:rPr>
          <w:noProof/>
          <w:lang w:val="fr-FR"/>
        </w:rPr>
        <w:t>menée auprès des enfants</w:t>
      </w:r>
      <w:r w:rsidR="008342B8" w:rsidRPr="00DD03D6">
        <w:rPr>
          <w:noProof/>
          <w:lang w:val="fr-FR"/>
        </w:rPr>
        <w:t xml:space="preserve">, </w:t>
      </w:r>
      <w:r w:rsidR="005726B0">
        <w:rPr>
          <w:noProof/>
          <w:lang w:val="fr-FR"/>
        </w:rPr>
        <w:t xml:space="preserve">a été largement diffusée et a abouti à la création d’un certain nombre de </w:t>
      </w:r>
      <w:r w:rsidR="008342B8" w:rsidRPr="00DD03D6">
        <w:rPr>
          <w:noProof/>
          <w:lang w:val="fr-FR"/>
        </w:rPr>
        <w:t xml:space="preserve">structures </w:t>
      </w:r>
      <w:r w:rsidR="005726B0">
        <w:rPr>
          <w:noProof/>
          <w:lang w:val="fr-FR"/>
        </w:rPr>
        <w:t xml:space="preserve">destinées à renforcer la </w:t>
      </w:r>
      <w:r w:rsidR="008342B8" w:rsidRPr="00DD03D6">
        <w:rPr>
          <w:noProof/>
          <w:lang w:val="fr-FR"/>
        </w:rPr>
        <w:t xml:space="preserve">participation </w:t>
      </w:r>
      <w:r w:rsidR="005726B0">
        <w:rPr>
          <w:noProof/>
          <w:lang w:val="fr-FR"/>
        </w:rPr>
        <w:t>des enfants et à leur faire mieux prendre conscience de leurs droits</w:t>
      </w:r>
      <w:r w:rsidR="008342B8" w:rsidRPr="00DD03D6">
        <w:rPr>
          <w:noProof/>
          <w:lang w:val="fr-FR"/>
        </w:rPr>
        <w:t xml:space="preserve">. </w:t>
      </w:r>
      <w:r w:rsidR="005726B0">
        <w:rPr>
          <w:noProof/>
          <w:lang w:val="fr-FR"/>
        </w:rPr>
        <w:t xml:space="preserve">Ces </w:t>
      </w:r>
      <w:r w:rsidR="008342B8" w:rsidRPr="00DD03D6">
        <w:rPr>
          <w:noProof/>
          <w:lang w:val="fr-FR"/>
        </w:rPr>
        <w:t xml:space="preserve">structures </w:t>
      </w:r>
      <w:r w:rsidR="005726B0">
        <w:rPr>
          <w:noProof/>
          <w:lang w:val="fr-FR"/>
        </w:rPr>
        <w:t>sont exami</w:t>
      </w:r>
      <w:r w:rsidR="00056202">
        <w:rPr>
          <w:noProof/>
          <w:lang w:val="fr-FR"/>
        </w:rPr>
        <w:t>nées plus en détail au chapitre </w:t>
      </w:r>
      <w:r w:rsidR="008342B8" w:rsidRPr="00DD03D6">
        <w:rPr>
          <w:noProof/>
          <w:lang w:val="fr-FR"/>
        </w:rPr>
        <w:t>3.</w:t>
      </w:r>
    </w:p>
    <w:p w:rsidR="008342B8" w:rsidRPr="00DD03D6" w:rsidRDefault="00777110" w:rsidP="00E32333">
      <w:pPr>
        <w:pStyle w:val="SingleTxtG"/>
        <w:numPr>
          <w:ilvl w:val="0"/>
          <w:numId w:val="3"/>
        </w:numPr>
        <w:ind w:left="1134" w:firstLine="0"/>
        <w:rPr>
          <w:noProof/>
          <w:lang w:val="fr-FR"/>
        </w:rPr>
      </w:pPr>
      <w:r>
        <w:rPr>
          <w:noProof/>
          <w:lang w:val="fr-FR"/>
        </w:rPr>
        <w:t xml:space="preserve">Le futur Cadre </w:t>
      </w:r>
      <w:r w:rsidR="000D6550">
        <w:rPr>
          <w:noProof/>
          <w:lang w:val="fr-FR"/>
        </w:rPr>
        <w:t>directeur</w:t>
      </w:r>
      <w:r>
        <w:rPr>
          <w:noProof/>
          <w:lang w:val="fr-FR"/>
        </w:rPr>
        <w:t xml:space="preserve"> national relatif à l’enfance et à la jeunesse est également né de vastes </w:t>
      </w:r>
      <w:r w:rsidR="008342B8" w:rsidRPr="00DD03D6">
        <w:rPr>
          <w:noProof/>
          <w:lang w:val="fr-FR"/>
        </w:rPr>
        <w:t>consultation</w:t>
      </w:r>
      <w:r w:rsidR="00D8581E" w:rsidRPr="00DD03D6">
        <w:rPr>
          <w:noProof/>
          <w:lang w:val="fr-FR"/>
        </w:rPr>
        <w:t>s</w:t>
      </w:r>
      <w:r w:rsidR="008342B8" w:rsidRPr="00DD03D6">
        <w:rPr>
          <w:noProof/>
          <w:lang w:val="fr-FR"/>
        </w:rPr>
        <w:t xml:space="preserve"> </w:t>
      </w:r>
      <w:r>
        <w:rPr>
          <w:noProof/>
          <w:lang w:val="fr-FR"/>
        </w:rPr>
        <w:t>menées auprès des enfants</w:t>
      </w:r>
      <w:r w:rsidR="008342B8" w:rsidRPr="00DD03D6">
        <w:rPr>
          <w:noProof/>
          <w:lang w:val="fr-FR"/>
        </w:rPr>
        <w:t xml:space="preserve">. </w:t>
      </w:r>
      <w:r>
        <w:rPr>
          <w:noProof/>
          <w:lang w:val="fr-FR"/>
        </w:rPr>
        <w:t>Le Ministère de l’enfance et de la jeunesse s’est employé à titre prioritaire à obtenir les opinions des enfants et des jeunes pour guider l’élaboration de ce Cadre</w:t>
      </w:r>
      <w:r w:rsidR="008342B8" w:rsidRPr="00DD03D6">
        <w:rPr>
          <w:noProof/>
          <w:lang w:val="fr-FR"/>
        </w:rPr>
        <w:t xml:space="preserve">. </w:t>
      </w:r>
      <w:r>
        <w:rPr>
          <w:noProof/>
          <w:lang w:val="fr-FR"/>
        </w:rPr>
        <w:t>E</w:t>
      </w:r>
      <w:r w:rsidR="008342B8" w:rsidRPr="00DD03D6">
        <w:rPr>
          <w:noProof/>
          <w:lang w:val="fr-FR"/>
        </w:rPr>
        <w:t xml:space="preserve">n </w:t>
      </w:r>
      <w:r>
        <w:rPr>
          <w:noProof/>
          <w:lang w:val="fr-FR"/>
        </w:rPr>
        <w:t>o</w:t>
      </w:r>
      <w:r w:rsidR="008342B8" w:rsidRPr="00DD03D6">
        <w:rPr>
          <w:noProof/>
          <w:lang w:val="fr-FR"/>
        </w:rPr>
        <w:t>ctob</w:t>
      </w:r>
      <w:r>
        <w:rPr>
          <w:noProof/>
          <w:lang w:val="fr-FR"/>
        </w:rPr>
        <w:t>re</w:t>
      </w:r>
      <w:r w:rsidR="008342B8" w:rsidRPr="00DD03D6">
        <w:rPr>
          <w:noProof/>
          <w:lang w:val="fr-FR"/>
        </w:rPr>
        <w:t xml:space="preserve"> 2010, </w:t>
      </w:r>
      <w:r>
        <w:rPr>
          <w:noProof/>
          <w:lang w:val="fr-FR"/>
        </w:rPr>
        <w:t>un Comité de supervision (composé du Service de recherche du Ministère, des directeurs des réseaux des chefs d’établissement du primaire et du secondaire, du Coordonnateur des conseils d’élèves (du secondaire), d’enseignants des écoles primaires et secondaire</w:t>
      </w:r>
      <w:r w:rsidR="004735B3">
        <w:rPr>
          <w:noProof/>
          <w:lang w:val="fr-FR"/>
        </w:rPr>
        <w:t>s</w:t>
      </w:r>
      <w:r w:rsidR="00BB1E41">
        <w:rPr>
          <w:noProof/>
          <w:lang w:val="fr-FR"/>
        </w:rPr>
        <w:t>, d’enfants et de jeunes membres du Forum des enfants et des jeunes du Ministère de l’enfance et de la jeunesse, et d’au</w:t>
      </w:r>
      <w:r w:rsidR="004735B3">
        <w:rPr>
          <w:noProof/>
          <w:lang w:val="fr-FR"/>
        </w:rPr>
        <w:t>t</w:t>
      </w:r>
      <w:r w:rsidR="00BB1E41">
        <w:rPr>
          <w:noProof/>
          <w:lang w:val="fr-FR"/>
        </w:rPr>
        <w:t xml:space="preserve">res </w:t>
      </w:r>
      <w:r w:rsidR="000D6550">
        <w:rPr>
          <w:noProof/>
          <w:lang w:val="fr-FR"/>
        </w:rPr>
        <w:t>acteur</w:t>
      </w:r>
      <w:r w:rsidR="004735B3">
        <w:rPr>
          <w:noProof/>
          <w:lang w:val="fr-FR"/>
        </w:rPr>
        <w:t>s clefs) a été cr</w:t>
      </w:r>
      <w:r w:rsidR="000D6550">
        <w:rPr>
          <w:noProof/>
          <w:lang w:val="fr-FR"/>
        </w:rPr>
        <w:t>éé par le Service de la partici</w:t>
      </w:r>
      <w:r w:rsidR="004735B3">
        <w:rPr>
          <w:noProof/>
          <w:lang w:val="fr-FR"/>
        </w:rPr>
        <w:t xml:space="preserve">pation des enfants du Ministère </w:t>
      </w:r>
      <w:r w:rsidR="004735B3">
        <w:rPr>
          <w:noProof/>
          <w:lang w:val="fr-FR"/>
        </w:rPr>
        <w:lastRenderedPageBreak/>
        <w:t xml:space="preserve">pour superviser un processus de </w:t>
      </w:r>
      <w:r w:rsidR="008342B8" w:rsidRPr="00DD03D6">
        <w:rPr>
          <w:noProof/>
          <w:lang w:val="fr-FR"/>
        </w:rPr>
        <w:t xml:space="preserve">consultation </w:t>
      </w:r>
      <w:r w:rsidR="004735B3">
        <w:rPr>
          <w:noProof/>
          <w:lang w:val="fr-FR"/>
        </w:rPr>
        <w:t xml:space="preserve">auprès des enfants destiné à </w:t>
      </w:r>
      <w:r>
        <w:rPr>
          <w:noProof/>
          <w:lang w:val="fr-FR"/>
        </w:rPr>
        <w:t xml:space="preserve">servir de base </w:t>
      </w:r>
      <w:r w:rsidR="004735B3">
        <w:rPr>
          <w:noProof/>
          <w:lang w:val="fr-FR"/>
        </w:rPr>
        <w:t xml:space="preserve">au nouveau Cadre </w:t>
      </w:r>
      <w:r w:rsidR="000D6550">
        <w:rPr>
          <w:noProof/>
          <w:lang w:val="fr-FR"/>
        </w:rPr>
        <w:t>directeur</w:t>
      </w:r>
      <w:r w:rsidR="008342B8" w:rsidRPr="00DD03D6">
        <w:rPr>
          <w:noProof/>
          <w:lang w:val="fr-FR"/>
        </w:rPr>
        <w:t>.</w:t>
      </w:r>
    </w:p>
    <w:p w:rsidR="008342B8" w:rsidRPr="00DD03D6" w:rsidRDefault="004735B3" w:rsidP="00E32333">
      <w:pPr>
        <w:pStyle w:val="SingleTxtG"/>
        <w:numPr>
          <w:ilvl w:val="0"/>
          <w:numId w:val="3"/>
        </w:numPr>
        <w:ind w:left="1134" w:firstLine="0"/>
        <w:rPr>
          <w:noProof/>
          <w:lang w:val="fr-FR"/>
        </w:rPr>
      </w:pPr>
      <w:r>
        <w:rPr>
          <w:noProof/>
          <w:lang w:val="fr-FR"/>
        </w:rPr>
        <w:t>E</w:t>
      </w:r>
      <w:r w:rsidR="008342B8" w:rsidRPr="00DD03D6">
        <w:rPr>
          <w:noProof/>
          <w:lang w:val="fr-FR"/>
        </w:rPr>
        <w:t xml:space="preserve">n </w:t>
      </w:r>
      <w:r>
        <w:rPr>
          <w:noProof/>
          <w:lang w:val="fr-FR"/>
        </w:rPr>
        <w:t>av</w:t>
      </w:r>
      <w:r w:rsidR="008342B8" w:rsidRPr="00DD03D6">
        <w:rPr>
          <w:noProof/>
          <w:lang w:val="fr-FR"/>
        </w:rPr>
        <w:t xml:space="preserve">ril 2011, </w:t>
      </w:r>
      <w:r>
        <w:rPr>
          <w:noProof/>
          <w:lang w:val="fr-FR"/>
        </w:rPr>
        <w:t xml:space="preserve">les enfants et les jeunes ont été invités à remplir des </w:t>
      </w:r>
      <w:r w:rsidR="008342B8" w:rsidRPr="00DD03D6">
        <w:rPr>
          <w:noProof/>
          <w:lang w:val="fr-FR"/>
        </w:rPr>
        <w:t xml:space="preserve">questionnaires </w:t>
      </w:r>
      <w:r>
        <w:rPr>
          <w:noProof/>
          <w:lang w:val="fr-FR"/>
        </w:rPr>
        <w:t xml:space="preserve">distribués à toutes les écoles </w:t>
      </w:r>
      <w:r w:rsidR="008342B8" w:rsidRPr="00DD03D6">
        <w:rPr>
          <w:noProof/>
          <w:lang w:val="fr-FR"/>
        </w:rPr>
        <w:t>prima</w:t>
      </w:r>
      <w:r>
        <w:rPr>
          <w:noProof/>
          <w:lang w:val="fr-FR"/>
        </w:rPr>
        <w:t xml:space="preserve">ires et </w:t>
      </w:r>
      <w:r w:rsidR="008342B8" w:rsidRPr="00DD03D6">
        <w:rPr>
          <w:noProof/>
          <w:lang w:val="fr-FR"/>
        </w:rPr>
        <w:t>seconda</w:t>
      </w:r>
      <w:r>
        <w:rPr>
          <w:noProof/>
          <w:lang w:val="fr-FR"/>
        </w:rPr>
        <w:t>ires</w:t>
      </w:r>
      <w:r w:rsidR="008342B8" w:rsidRPr="00DD03D6">
        <w:rPr>
          <w:noProof/>
          <w:lang w:val="fr-FR"/>
        </w:rPr>
        <w:t xml:space="preserve">, </w:t>
      </w:r>
      <w:r>
        <w:rPr>
          <w:noProof/>
          <w:lang w:val="fr-FR"/>
        </w:rPr>
        <w:t>aux hôpitaux, aux écoles spéciales et aux centres</w:t>
      </w:r>
      <w:r w:rsidR="008342B8" w:rsidRPr="00DD03D6">
        <w:rPr>
          <w:noProof/>
          <w:lang w:val="fr-FR"/>
        </w:rPr>
        <w:t xml:space="preserve"> Youthreach </w:t>
      </w:r>
      <w:r>
        <w:rPr>
          <w:noProof/>
          <w:lang w:val="fr-FR"/>
        </w:rPr>
        <w:t>de tout le pays</w:t>
      </w:r>
      <w:r w:rsidR="008342B8" w:rsidRPr="00DD03D6">
        <w:rPr>
          <w:noProof/>
          <w:lang w:val="fr-FR"/>
        </w:rPr>
        <w:t xml:space="preserve">. </w:t>
      </w:r>
      <w:r>
        <w:rPr>
          <w:noProof/>
          <w:lang w:val="fr-FR"/>
        </w:rPr>
        <w:t xml:space="preserve">Les </w:t>
      </w:r>
      <w:r w:rsidR="008342B8" w:rsidRPr="00DD03D6">
        <w:rPr>
          <w:noProof/>
          <w:lang w:val="fr-FR"/>
        </w:rPr>
        <w:t xml:space="preserve">questions </w:t>
      </w:r>
      <w:r>
        <w:rPr>
          <w:noProof/>
          <w:lang w:val="fr-FR"/>
        </w:rPr>
        <w:t xml:space="preserve">qui s’adressaient aux enfants fréquentant l’école primaire </w:t>
      </w:r>
      <w:r w:rsidR="000C66E9">
        <w:rPr>
          <w:noProof/>
          <w:lang w:val="fr-FR"/>
        </w:rPr>
        <w:t xml:space="preserve">avaient été élaborées par les enfants eux-mêmes à la faveur d’une </w:t>
      </w:r>
      <w:r w:rsidR="008342B8" w:rsidRPr="00DD03D6">
        <w:rPr>
          <w:noProof/>
          <w:lang w:val="fr-FR"/>
        </w:rPr>
        <w:t xml:space="preserve">consultation </w:t>
      </w:r>
      <w:r w:rsidR="000C66E9">
        <w:rPr>
          <w:noProof/>
          <w:lang w:val="fr-FR"/>
        </w:rPr>
        <w:t>menée par le Ministère auprès d’enfants âgés de sept à 12 ans</w:t>
      </w:r>
      <w:r w:rsidR="008342B8" w:rsidRPr="00DD03D6">
        <w:rPr>
          <w:noProof/>
          <w:lang w:val="fr-FR"/>
        </w:rPr>
        <w:t xml:space="preserve">. </w:t>
      </w:r>
      <w:r w:rsidR="000C66E9">
        <w:rPr>
          <w:noProof/>
          <w:lang w:val="fr-FR"/>
        </w:rPr>
        <w:t>Celles qui s’adressaient aux élèves du secondaire l’avaient été par des jeunes ayant participé à un Forum des enfants et des jeunes organisé par le Ministère</w:t>
      </w:r>
      <w:r w:rsidR="008342B8" w:rsidRPr="00DD03D6">
        <w:rPr>
          <w:noProof/>
          <w:lang w:val="fr-FR"/>
        </w:rPr>
        <w:t>.</w:t>
      </w:r>
    </w:p>
    <w:p w:rsidR="008342B8" w:rsidRPr="00DD03D6" w:rsidRDefault="008342B8" w:rsidP="00E32333">
      <w:pPr>
        <w:pStyle w:val="SingleTxtG"/>
        <w:numPr>
          <w:ilvl w:val="0"/>
          <w:numId w:val="3"/>
        </w:numPr>
        <w:ind w:left="1134" w:firstLine="0"/>
        <w:rPr>
          <w:noProof/>
          <w:lang w:val="fr-FR"/>
        </w:rPr>
      </w:pPr>
      <w:r w:rsidRPr="00DD03D6">
        <w:rPr>
          <w:noProof/>
          <w:lang w:val="fr-FR"/>
        </w:rPr>
        <w:t>A</w:t>
      </w:r>
      <w:r w:rsidR="000C66E9">
        <w:rPr>
          <w:noProof/>
          <w:lang w:val="fr-FR"/>
        </w:rPr>
        <w:t xml:space="preserve">u total, </w:t>
      </w:r>
      <w:r w:rsidRPr="00DD03D6">
        <w:rPr>
          <w:noProof/>
          <w:lang w:val="fr-FR"/>
        </w:rPr>
        <w:t>1</w:t>
      </w:r>
      <w:r w:rsidR="00056202">
        <w:rPr>
          <w:noProof/>
          <w:lang w:val="fr-FR"/>
        </w:rPr>
        <w:t> </w:t>
      </w:r>
      <w:r w:rsidRPr="00DD03D6">
        <w:rPr>
          <w:noProof/>
          <w:lang w:val="fr-FR"/>
        </w:rPr>
        <w:t xml:space="preserve">594 </w:t>
      </w:r>
      <w:r w:rsidR="005938D4">
        <w:rPr>
          <w:noProof/>
          <w:lang w:val="fr-FR"/>
        </w:rPr>
        <w:t xml:space="preserve">écoles et </w:t>
      </w:r>
      <w:r w:rsidRPr="00DD03D6">
        <w:rPr>
          <w:noProof/>
          <w:lang w:val="fr-FR"/>
        </w:rPr>
        <w:t>67</w:t>
      </w:r>
      <w:r w:rsidR="00056202">
        <w:rPr>
          <w:noProof/>
          <w:lang w:val="fr-FR"/>
        </w:rPr>
        <w:t> </w:t>
      </w:r>
      <w:r w:rsidRPr="00DD03D6">
        <w:rPr>
          <w:noProof/>
          <w:lang w:val="fr-FR"/>
        </w:rPr>
        <w:t xml:space="preserve">000 </w:t>
      </w:r>
      <w:r w:rsidR="005938D4">
        <w:rPr>
          <w:noProof/>
          <w:lang w:val="fr-FR"/>
        </w:rPr>
        <w:t xml:space="preserve">enfants ont répondu à ces </w:t>
      </w:r>
      <w:r w:rsidRPr="00DD03D6">
        <w:rPr>
          <w:noProof/>
          <w:lang w:val="fr-FR"/>
        </w:rPr>
        <w:t xml:space="preserve">questionnaires, </w:t>
      </w:r>
      <w:r w:rsidR="005938D4">
        <w:rPr>
          <w:noProof/>
          <w:lang w:val="fr-FR"/>
        </w:rPr>
        <w:t xml:space="preserve">ce qui en a fait la plus vaste </w:t>
      </w:r>
      <w:r w:rsidRPr="00DD03D6">
        <w:rPr>
          <w:noProof/>
          <w:lang w:val="fr-FR"/>
        </w:rPr>
        <w:t xml:space="preserve">consultation </w:t>
      </w:r>
      <w:r w:rsidR="005938D4">
        <w:rPr>
          <w:noProof/>
          <w:lang w:val="fr-FR"/>
        </w:rPr>
        <w:t>jamais menée auprès d’enfants</w:t>
      </w:r>
      <w:r w:rsidRPr="00DD03D6">
        <w:rPr>
          <w:noProof/>
          <w:lang w:val="fr-FR"/>
        </w:rPr>
        <w:t xml:space="preserve">. </w:t>
      </w:r>
      <w:r w:rsidR="005938D4">
        <w:rPr>
          <w:noProof/>
          <w:lang w:val="fr-FR"/>
        </w:rPr>
        <w:t xml:space="preserve">Un rapport sur cette </w:t>
      </w:r>
      <w:r w:rsidRPr="00DD03D6">
        <w:rPr>
          <w:noProof/>
          <w:lang w:val="fr-FR"/>
        </w:rPr>
        <w:t xml:space="preserve">consultation </w:t>
      </w:r>
      <w:r w:rsidR="005938D4">
        <w:rPr>
          <w:noProof/>
          <w:lang w:val="fr-FR"/>
        </w:rPr>
        <w:t>a été publié en</w:t>
      </w:r>
      <w:r w:rsidRPr="00DD03D6">
        <w:rPr>
          <w:noProof/>
          <w:lang w:val="fr-FR"/>
        </w:rPr>
        <w:t xml:space="preserve"> </w:t>
      </w:r>
      <w:r w:rsidR="005938D4">
        <w:rPr>
          <w:noProof/>
          <w:lang w:val="fr-FR"/>
        </w:rPr>
        <w:t>n</w:t>
      </w:r>
      <w:r w:rsidRPr="00DD03D6">
        <w:rPr>
          <w:noProof/>
          <w:lang w:val="fr-FR"/>
        </w:rPr>
        <w:t>ovemb</w:t>
      </w:r>
      <w:r w:rsidR="005938D4">
        <w:rPr>
          <w:noProof/>
          <w:lang w:val="fr-FR"/>
        </w:rPr>
        <w:t>re</w:t>
      </w:r>
      <w:r w:rsidRPr="00DD03D6">
        <w:rPr>
          <w:noProof/>
          <w:lang w:val="fr-FR"/>
        </w:rPr>
        <w:t xml:space="preserve"> 2012 (</w:t>
      </w:r>
      <w:r w:rsidR="005938D4">
        <w:rPr>
          <w:noProof/>
          <w:lang w:val="fr-FR"/>
        </w:rPr>
        <w:t>Ministère de l’enfance et de la jeunesse</w:t>
      </w:r>
      <w:r w:rsidRPr="00DD03D6">
        <w:rPr>
          <w:noProof/>
          <w:lang w:val="fr-FR"/>
        </w:rPr>
        <w:t>, 2012c).</w:t>
      </w:r>
    </w:p>
    <w:p w:rsidR="00E32333" w:rsidRPr="00DD03D6" w:rsidRDefault="005938D4" w:rsidP="00E32333">
      <w:pPr>
        <w:pStyle w:val="SingleTxtG"/>
        <w:numPr>
          <w:ilvl w:val="0"/>
          <w:numId w:val="3"/>
        </w:numPr>
        <w:ind w:left="1134" w:firstLine="0"/>
        <w:rPr>
          <w:noProof/>
          <w:lang w:val="fr-FR"/>
        </w:rPr>
      </w:pPr>
      <w:r>
        <w:rPr>
          <w:noProof/>
          <w:lang w:val="fr-FR"/>
        </w:rPr>
        <w:t xml:space="preserve">En plus de consulter les enfants, le Ministère a invité le public à lui présenter des communications sur le nouveau Cadre </w:t>
      </w:r>
      <w:r w:rsidR="000D6550">
        <w:rPr>
          <w:noProof/>
          <w:lang w:val="fr-FR"/>
        </w:rPr>
        <w:t>directeur</w:t>
      </w:r>
      <w:r w:rsidR="008342B8" w:rsidRPr="00DD03D6">
        <w:rPr>
          <w:noProof/>
          <w:lang w:val="fr-FR"/>
        </w:rPr>
        <w:t xml:space="preserve">. </w:t>
      </w:r>
      <w:r>
        <w:rPr>
          <w:noProof/>
          <w:lang w:val="fr-FR"/>
        </w:rPr>
        <w:t xml:space="preserve">En réponse à cette consultation publique, il a reçu plus de </w:t>
      </w:r>
      <w:r w:rsidR="008342B8" w:rsidRPr="00DD03D6">
        <w:rPr>
          <w:noProof/>
          <w:lang w:val="fr-FR"/>
        </w:rPr>
        <w:t>1</w:t>
      </w:r>
      <w:r w:rsidR="00056202">
        <w:rPr>
          <w:noProof/>
          <w:lang w:val="fr-FR"/>
        </w:rPr>
        <w:t> </w:t>
      </w:r>
      <w:r w:rsidR="008342B8" w:rsidRPr="00DD03D6">
        <w:rPr>
          <w:noProof/>
          <w:lang w:val="fr-FR"/>
        </w:rPr>
        <w:t xml:space="preserve">000 </w:t>
      </w:r>
      <w:r>
        <w:rPr>
          <w:noProof/>
          <w:lang w:val="fr-FR"/>
        </w:rPr>
        <w:t>communications, qu’il a entrepris d’analyser</w:t>
      </w:r>
      <w:r w:rsidR="008342B8" w:rsidRPr="00DD03D6">
        <w:rPr>
          <w:noProof/>
          <w:lang w:val="fr-FR"/>
        </w:rPr>
        <w:t xml:space="preserve">. </w:t>
      </w:r>
    </w:p>
    <w:p w:rsidR="008342B8" w:rsidRPr="00DD03D6" w:rsidRDefault="004049C8" w:rsidP="00E32333">
      <w:pPr>
        <w:pStyle w:val="SingleTxtG"/>
        <w:numPr>
          <w:ilvl w:val="0"/>
          <w:numId w:val="3"/>
        </w:numPr>
        <w:ind w:left="1134" w:firstLine="0"/>
        <w:rPr>
          <w:noProof/>
          <w:lang w:val="fr-FR"/>
        </w:rPr>
      </w:pPr>
      <w:r>
        <w:rPr>
          <w:noProof/>
          <w:lang w:val="fr-FR"/>
        </w:rPr>
        <w:t xml:space="preserve">Les Ministres de l’enfance et de la jeunesse précédent et en exercice ont mené un certain nombre de </w:t>
      </w:r>
      <w:r w:rsidR="008342B8" w:rsidRPr="00DD03D6">
        <w:rPr>
          <w:noProof/>
          <w:lang w:val="fr-FR"/>
        </w:rPr>
        <w:t xml:space="preserve">consultations </w:t>
      </w:r>
      <w:r>
        <w:rPr>
          <w:noProof/>
          <w:lang w:val="fr-FR"/>
        </w:rPr>
        <w:t>auprès des enfants sur différents sujets, qui ont donné lieu à la publication de rapports mett</w:t>
      </w:r>
      <w:r w:rsidR="000D6550">
        <w:rPr>
          <w:noProof/>
          <w:lang w:val="fr-FR"/>
        </w:rPr>
        <w:t>a</w:t>
      </w:r>
      <w:r>
        <w:rPr>
          <w:noProof/>
          <w:lang w:val="fr-FR"/>
        </w:rPr>
        <w:t>nt en exergue les droits et expériences des enfants</w:t>
      </w:r>
      <w:r w:rsidR="008342B8" w:rsidRPr="00DD03D6">
        <w:rPr>
          <w:noProof/>
          <w:lang w:val="fr-FR"/>
        </w:rPr>
        <w:t xml:space="preserve">. </w:t>
      </w:r>
      <w:r>
        <w:rPr>
          <w:noProof/>
          <w:lang w:val="fr-FR"/>
        </w:rPr>
        <w:t xml:space="preserve">Le tableau 3 indique les consultations ainsi menées depuis </w:t>
      </w:r>
      <w:r w:rsidR="008342B8" w:rsidRPr="00DD03D6">
        <w:rPr>
          <w:noProof/>
          <w:lang w:val="fr-FR"/>
        </w:rPr>
        <w:t>2006</w:t>
      </w:r>
      <w:r>
        <w:rPr>
          <w:noProof/>
          <w:lang w:val="fr-FR"/>
        </w:rPr>
        <w:t>.</w:t>
      </w:r>
    </w:p>
    <w:p w:rsidR="008342B8" w:rsidRPr="00DD03D6" w:rsidRDefault="00FC2A0A" w:rsidP="00056202">
      <w:pPr>
        <w:pStyle w:val="H23G"/>
        <w:ind w:right="991"/>
        <w:rPr>
          <w:noProof/>
          <w:lang w:val="fr-FR"/>
        </w:rPr>
      </w:pPr>
      <w:bookmarkStart w:id="17" w:name="_Toc362485746"/>
      <w:r w:rsidRPr="00DD03D6">
        <w:rPr>
          <w:noProof/>
          <w:lang w:val="fr-FR"/>
        </w:rPr>
        <w:tab/>
      </w:r>
      <w:r w:rsidRPr="00DD03D6">
        <w:rPr>
          <w:noProof/>
          <w:lang w:val="fr-FR"/>
        </w:rPr>
        <w:tab/>
      </w:r>
      <w:r w:rsidRPr="00DD03D6">
        <w:rPr>
          <w:b w:val="0"/>
          <w:bCs/>
          <w:noProof/>
          <w:lang w:val="fr-FR"/>
        </w:rPr>
        <w:t>Table</w:t>
      </w:r>
      <w:r w:rsidR="004049C8">
        <w:rPr>
          <w:b w:val="0"/>
          <w:bCs/>
          <w:noProof/>
          <w:lang w:val="fr-FR"/>
        </w:rPr>
        <w:t>au</w:t>
      </w:r>
      <w:r w:rsidRPr="00DD03D6">
        <w:rPr>
          <w:b w:val="0"/>
          <w:bCs/>
          <w:noProof/>
          <w:lang w:val="fr-FR"/>
        </w:rPr>
        <w:t xml:space="preserve"> 3</w:t>
      </w:r>
      <w:r w:rsidR="003F4F51" w:rsidRPr="00DD03D6">
        <w:rPr>
          <w:noProof/>
          <w:lang w:val="fr-FR"/>
        </w:rPr>
        <w:br/>
      </w:r>
      <w:r w:rsidR="008342B8" w:rsidRPr="00DD03D6">
        <w:rPr>
          <w:noProof/>
          <w:lang w:val="fr-FR"/>
        </w:rPr>
        <w:t xml:space="preserve">Consultations </w:t>
      </w:r>
      <w:r w:rsidR="004049C8">
        <w:rPr>
          <w:noProof/>
          <w:lang w:val="fr-FR"/>
        </w:rPr>
        <w:t xml:space="preserve">menées auprès des enfants et </w:t>
      </w:r>
      <w:r w:rsidR="008342B8" w:rsidRPr="00DD03D6">
        <w:rPr>
          <w:noProof/>
          <w:lang w:val="fr-FR"/>
        </w:rPr>
        <w:t>publications</w:t>
      </w:r>
      <w:bookmarkEnd w:id="17"/>
      <w:r w:rsidR="004049C8">
        <w:rPr>
          <w:noProof/>
          <w:lang w:val="fr-FR"/>
        </w:rPr>
        <w:t xml:space="preserve"> auxquelles elles ont donné</w:t>
      </w:r>
      <w:r w:rsidR="00056202">
        <w:rPr>
          <w:noProof/>
          <w:lang w:val="fr-FR"/>
        </w:rPr>
        <w:t xml:space="preserve"> </w:t>
      </w:r>
      <w:r w:rsidR="004049C8">
        <w:rPr>
          <w:noProof/>
          <w:lang w:val="fr-FR"/>
        </w:rPr>
        <w:t>lieu</w:t>
      </w:r>
    </w:p>
    <w:tbl>
      <w:tblPr>
        <w:tblW w:w="0" w:type="auto"/>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253"/>
        <w:gridCol w:w="4253"/>
      </w:tblGrid>
      <w:tr w:rsidR="00E32333" w:rsidRPr="00DD03D6" w:rsidTr="00D33142">
        <w:trPr>
          <w:trHeight w:val="240"/>
          <w:tblHeader/>
        </w:trPr>
        <w:tc>
          <w:tcPr>
            <w:tcW w:w="4253" w:type="dxa"/>
            <w:tcBorders>
              <w:top w:val="single" w:sz="4" w:space="0" w:color="auto"/>
              <w:bottom w:val="single" w:sz="12" w:space="0" w:color="auto"/>
            </w:tcBorders>
            <w:shd w:val="clear" w:color="auto" w:fill="auto"/>
            <w:vAlign w:val="bottom"/>
          </w:tcPr>
          <w:p w:rsidR="008342B8" w:rsidRPr="00DD03D6" w:rsidRDefault="008342B8" w:rsidP="004049C8">
            <w:pPr>
              <w:pStyle w:val="Commentaire"/>
              <w:spacing w:before="80" w:after="80" w:line="200" w:lineRule="exact"/>
              <w:rPr>
                <w:bCs/>
                <w:i/>
                <w:noProof/>
                <w:sz w:val="16"/>
                <w:szCs w:val="22"/>
                <w:lang w:val="fr-FR"/>
              </w:rPr>
            </w:pPr>
            <w:r w:rsidRPr="00DD03D6">
              <w:rPr>
                <w:bCs/>
                <w:i/>
                <w:noProof/>
                <w:sz w:val="16"/>
                <w:szCs w:val="22"/>
                <w:lang w:val="fr-FR"/>
              </w:rPr>
              <w:t>Tit</w:t>
            </w:r>
            <w:r w:rsidR="004049C8">
              <w:rPr>
                <w:bCs/>
                <w:i/>
                <w:noProof/>
                <w:sz w:val="16"/>
                <w:szCs w:val="22"/>
                <w:lang w:val="fr-FR"/>
              </w:rPr>
              <w:t>r</w:t>
            </w:r>
            <w:r w:rsidRPr="00DD03D6">
              <w:rPr>
                <w:bCs/>
                <w:i/>
                <w:noProof/>
                <w:sz w:val="16"/>
                <w:szCs w:val="22"/>
                <w:lang w:val="fr-FR"/>
              </w:rPr>
              <w:t xml:space="preserve">e </w:t>
            </w:r>
            <w:r w:rsidR="004049C8">
              <w:rPr>
                <w:bCs/>
                <w:i/>
                <w:noProof/>
                <w:sz w:val="16"/>
                <w:szCs w:val="22"/>
                <w:lang w:val="fr-FR"/>
              </w:rPr>
              <w:t xml:space="preserve">du rapport et année de </w:t>
            </w:r>
            <w:r w:rsidRPr="00DD03D6">
              <w:rPr>
                <w:bCs/>
                <w:i/>
                <w:noProof/>
                <w:sz w:val="16"/>
                <w:szCs w:val="22"/>
                <w:lang w:val="fr-FR"/>
              </w:rPr>
              <w:t>publication</w:t>
            </w:r>
          </w:p>
        </w:tc>
        <w:tc>
          <w:tcPr>
            <w:tcW w:w="4253" w:type="dxa"/>
            <w:tcBorders>
              <w:top w:val="single" w:sz="4" w:space="0" w:color="auto"/>
              <w:bottom w:val="single" w:sz="12" w:space="0" w:color="auto"/>
            </w:tcBorders>
            <w:shd w:val="clear" w:color="auto" w:fill="auto"/>
            <w:vAlign w:val="bottom"/>
          </w:tcPr>
          <w:p w:rsidR="008342B8" w:rsidRPr="00DD03D6" w:rsidRDefault="008342B8" w:rsidP="00D33142">
            <w:pPr>
              <w:pStyle w:val="Objetducommentaire"/>
              <w:spacing w:before="80" w:after="80" w:line="200" w:lineRule="exact"/>
              <w:rPr>
                <w:rFonts w:eastAsia="Times New Roman"/>
                <w:b w:val="0"/>
                <w:i/>
                <w:noProof/>
                <w:sz w:val="16"/>
                <w:szCs w:val="22"/>
                <w:lang w:val="fr-FR" w:eastAsia="en-US"/>
              </w:rPr>
            </w:pPr>
            <w:r w:rsidRPr="00DD03D6">
              <w:rPr>
                <w:rFonts w:eastAsia="Times New Roman"/>
                <w:b w:val="0"/>
                <w:i/>
                <w:noProof/>
                <w:sz w:val="16"/>
                <w:szCs w:val="22"/>
                <w:lang w:val="fr-FR" w:eastAsia="en-US"/>
              </w:rPr>
              <w:t>Description</w:t>
            </w:r>
          </w:p>
        </w:tc>
      </w:tr>
      <w:tr w:rsidR="00621B9E" w:rsidRPr="00DD03D6" w:rsidTr="00D33142">
        <w:trPr>
          <w:trHeight w:val="240"/>
        </w:trPr>
        <w:tc>
          <w:tcPr>
            <w:tcW w:w="4253" w:type="dxa"/>
            <w:tcBorders>
              <w:top w:val="nil"/>
            </w:tcBorders>
            <w:shd w:val="clear" w:color="auto" w:fill="auto"/>
          </w:tcPr>
          <w:p w:rsidR="00621B9E" w:rsidRPr="00DD03D6" w:rsidRDefault="00621B9E" w:rsidP="003456C3">
            <w:pPr>
              <w:pStyle w:val="Commentaire"/>
              <w:spacing w:before="40" w:after="120" w:line="220" w:lineRule="exact"/>
              <w:rPr>
                <w:bCs/>
                <w:iCs/>
                <w:noProof/>
                <w:szCs w:val="22"/>
                <w:lang w:val="fr-FR"/>
              </w:rPr>
            </w:pPr>
            <w:r w:rsidRPr="00DD03D6">
              <w:rPr>
                <w:bCs/>
                <w:i/>
                <w:noProof/>
                <w:szCs w:val="22"/>
                <w:lang w:val="fr-FR"/>
              </w:rPr>
              <w:t>R</w:t>
            </w:r>
            <w:r w:rsidR="000910C3">
              <w:rPr>
                <w:bCs/>
                <w:i/>
                <w:noProof/>
                <w:szCs w:val="22"/>
                <w:lang w:val="fr-FR"/>
              </w:rPr>
              <w:t xml:space="preserve">apport sur les </w:t>
            </w:r>
            <w:r w:rsidRPr="00DD03D6">
              <w:rPr>
                <w:bCs/>
                <w:i/>
                <w:noProof/>
                <w:szCs w:val="22"/>
                <w:lang w:val="fr-FR"/>
              </w:rPr>
              <w:t xml:space="preserve">consultations </w:t>
            </w:r>
            <w:r w:rsidR="000910C3">
              <w:rPr>
                <w:bCs/>
                <w:i/>
                <w:noProof/>
                <w:szCs w:val="22"/>
                <w:lang w:val="fr-FR"/>
              </w:rPr>
              <w:t>menées auprès d’adolescents sur les questions que le Ministre des enfants doit prendre en considération au moment d’</w:t>
            </w:r>
            <w:r w:rsidRPr="00DD03D6">
              <w:rPr>
                <w:bCs/>
                <w:i/>
                <w:noProof/>
                <w:szCs w:val="22"/>
                <w:lang w:val="fr-FR"/>
              </w:rPr>
              <w:t>examin</w:t>
            </w:r>
            <w:r w:rsidR="000910C3">
              <w:rPr>
                <w:bCs/>
                <w:i/>
                <w:noProof/>
                <w:szCs w:val="22"/>
                <w:lang w:val="fr-FR"/>
              </w:rPr>
              <w:t xml:space="preserve">er </w:t>
            </w:r>
            <w:r w:rsidR="003456C3">
              <w:rPr>
                <w:bCs/>
                <w:i/>
                <w:noProof/>
                <w:szCs w:val="22"/>
                <w:lang w:val="fr-FR"/>
              </w:rPr>
              <w:t>l’â</w:t>
            </w:r>
            <w:r w:rsidRPr="00DD03D6">
              <w:rPr>
                <w:bCs/>
                <w:i/>
                <w:noProof/>
                <w:szCs w:val="22"/>
                <w:lang w:val="fr-FR"/>
              </w:rPr>
              <w:t xml:space="preserve">ge </w:t>
            </w:r>
            <w:r w:rsidR="003456C3">
              <w:rPr>
                <w:bCs/>
                <w:i/>
                <w:noProof/>
                <w:szCs w:val="22"/>
                <w:lang w:val="fr-FR"/>
              </w:rPr>
              <w:t xml:space="preserve">du consentement aux relations sexuelles </w:t>
            </w:r>
            <w:r w:rsidRPr="00DD03D6">
              <w:rPr>
                <w:bCs/>
                <w:iCs/>
                <w:noProof/>
                <w:szCs w:val="22"/>
                <w:lang w:val="fr-FR"/>
              </w:rPr>
              <w:t>(2006)</w:t>
            </w:r>
          </w:p>
        </w:tc>
        <w:tc>
          <w:tcPr>
            <w:tcW w:w="4253" w:type="dxa"/>
            <w:shd w:val="clear" w:color="auto" w:fill="auto"/>
          </w:tcPr>
          <w:p w:rsidR="00621B9E" w:rsidRPr="00DD03D6" w:rsidRDefault="00621B9E" w:rsidP="00DE51B5">
            <w:pPr>
              <w:pStyle w:val="SIDFootnote"/>
              <w:keepNext w:val="0"/>
              <w:spacing w:before="40" w:after="120" w:line="220" w:lineRule="exact"/>
              <w:rPr>
                <w:rFonts w:ascii="Times New Roman" w:eastAsia="Times New Roman" w:hAnsi="Times New Roman" w:cs="Times New Roman"/>
                <w:noProof/>
                <w:kern w:val="0"/>
                <w:sz w:val="20"/>
                <w:szCs w:val="20"/>
                <w:lang w:val="fr-FR" w:eastAsia="en-US"/>
              </w:rPr>
            </w:pPr>
            <w:r w:rsidRPr="00DD03D6">
              <w:rPr>
                <w:rFonts w:ascii="Times New Roman" w:hAnsi="Times New Roman" w:cs="Times New Roman"/>
                <w:noProof/>
                <w:sz w:val="20"/>
                <w:szCs w:val="20"/>
                <w:lang w:val="fr-FR"/>
              </w:rPr>
              <w:t xml:space="preserve">210 </w:t>
            </w:r>
            <w:r w:rsidR="00DE51B5">
              <w:rPr>
                <w:rFonts w:ascii="Times New Roman" w:hAnsi="Times New Roman" w:cs="Times New Roman"/>
                <w:noProof/>
                <w:sz w:val="20"/>
                <w:szCs w:val="20"/>
                <w:lang w:val="fr-FR"/>
              </w:rPr>
              <w:t xml:space="preserve">jeunes âgés de </w:t>
            </w:r>
            <w:r w:rsidRPr="00DD03D6">
              <w:rPr>
                <w:rFonts w:ascii="Times New Roman" w:hAnsi="Times New Roman" w:cs="Times New Roman"/>
                <w:noProof/>
                <w:sz w:val="20"/>
                <w:szCs w:val="20"/>
                <w:lang w:val="fr-FR"/>
              </w:rPr>
              <w:t>15</w:t>
            </w:r>
            <w:r w:rsidR="00DE51B5">
              <w:rPr>
                <w:rFonts w:ascii="Times New Roman" w:hAnsi="Times New Roman" w:cs="Times New Roman"/>
                <w:noProof/>
                <w:sz w:val="20"/>
                <w:szCs w:val="20"/>
                <w:lang w:val="fr-FR"/>
              </w:rPr>
              <w:t xml:space="preserve"> à </w:t>
            </w:r>
            <w:r w:rsidRPr="00DD03D6">
              <w:rPr>
                <w:rFonts w:ascii="Times New Roman" w:hAnsi="Times New Roman" w:cs="Times New Roman"/>
                <w:noProof/>
                <w:sz w:val="20"/>
                <w:szCs w:val="20"/>
                <w:lang w:val="fr-FR"/>
              </w:rPr>
              <w:t>18</w:t>
            </w:r>
            <w:r w:rsidR="00DE51B5">
              <w:rPr>
                <w:rFonts w:ascii="Times New Roman" w:hAnsi="Times New Roman" w:cs="Times New Roman"/>
                <w:noProof/>
                <w:sz w:val="20"/>
                <w:szCs w:val="20"/>
                <w:lang w:val="fr-FR"/>
              </w:rPr>
              <w:t xml:space="preserve"> ans ont été consultés par le Bureau du Ministre des enfants dans cinq lieux du pays</w:t>
            </w:r>
            <w:r w:rsidRPr="00DD03D6">
              <w:rPr>
                <w:rFonts w:ascii="Times New Roman" w:hAnsi="Times New Roman" w:cs="Times New Roman"/>
                <w:noProof/>
                <w:sz w:val="20"/>
                <w:szCs w:val="20"/>
                <w:lang w:val="fr-FR"/>
              </w:rPr>
              <w:t>.</w:t>
            </w:r>
          </w:p>
        </w:tc>
      </w:tr>
      <w:tr w:rsidR="00E32333" w:rsidRPr="00DD03D6" w:rsidTr="00D33142">
        <w:trPr>
          <w:trHeight w:val="240"/>
        </w:trPr>
        <w:tc>
          <w:tcPr>
            <w:tcW w:w="4253" w:type="dxa"/>
            <w:tcBorders>
              <w:top w:val="nil"/>
            </w:tcBorders>
            <w:shd w:val="clear" w:color="auto" w:fill="auto"/>
          </w:tcPr>
          <w:p w:rsidR="008342B8" w:rsidRPr="00DD03D6" w:rsidRDefault="008342B8" w:rsidP="00D33142">
            <w:pPr>
              <w:pStyle w:val="Commentaire"/>
              <w:spacing w:before="40" w:after="120" w:line="220" w:lineRule="exact"/>
              <w:rPr>
                <w:noProof/>
                <w:szCs w:val="22"/>
                <w:lang w:val="fr-FR"/>
              </w:rPr>
            </w:pPr>
            <w:r w:rsidRPr="00DD03D6">
              <w:rPr>
                <w:i/>
                <w:noProof/>
                <w:szCs w:val="22"/>
                <w:lang w:val="fr-FR"/>
              </w:rPr>
              <w:t>How We See It</w:t>
            </w:r>
            <w:r w:rsidRPr="00DD03D6">
              <w:rPr>
                <w:noProof/>
                <w:szCs w:val="22"/>
                <w:lang w:val="fr-FR"/>
              </w:rPr>
              <w:t xml:space="preserve"> </w:t>
            </w:r>
            <w:r w:rsidR="00DE51B5">
              <w:rPr>
                <w:noProof/>
                <w:szCs w:val="22"/>
                <w:lang w:val="fr-FR"/>
              </w:rPr>
              <w:t xml:space="preserve">(Comment nous voyons les choses) </w:t>
            </w:r>
            <w:r w:rsidRPr="00DD03D6">
              <w:rPr>
                <w:noProof/>
                <w:szCs w:val="22"/>
                <w:lang w:val="fr-FR"/>
              </w:rPr>
              <w:t xml:space="preserve">(2006) </w:t>
            </w:r>
          </w:p>
        </w:tc>
        <w:tc>
          <w:tcPr>
            <w:tcW w:w="4253" w:type="dxa"/>
            <w:shd w:val="clear" w:color="auto" w:fill="auto"/>
          </w:tcPr>
          <w:p w:rsidR="008342B8" w:rsidRPr="00DD03D6" w:rsidRDefault="00DE51B5" w:rsidP="00E92D3C">
            <w:pPr>
              <w:pStyle w:val="SIDFootnote"/>
              <w:keepNext w:val="0"/>
              <w:spacing w:before="40" w:after="120" w:line="220" w:lineRule="exact"/>
              <w:rPr>
                <w:rFonts w:ascii="Times New Roman" w:eastAsia="Times New Roman" w:hAnsi="Times New Roman" w:cs="Times New Roman"/>
                <w:noProof/>
                <w:kern w:val="0"/>
                <w:sz w:val="20"/>
                <w:szCs w:val="22"/>
                <w:lang w:val="fr-FR" w:eastAsia="en-US"/>
              </w:rPr>
            </w:pPr>
            <w:r>
              <w:rPr>
                <w:rFonts w:ascii="Times New Roman" w:eastAsia="Times New Roman" w:hAnsi="Times New Roman" w:cs="Times New Roman"/>
                <w:noProof/>
                <w:kern w:val="0"/>
                <w:sz w:val="20"/>
                <w:szCs w:val="22"/>
                <w:lang w:val="fr-FR" w:eastAsia="en-US"/>
              </w:rPr>
              <w:t>Rapport sur les opinions exprimées par les enfants et les jeunes sur l’application</w:t>
            </w:r>
            <w:r w:rsidR="00E92D3C">
              <w:rPr>
                <w:rFonts w:ascii="Times New Roman" w:eastAsia="Times New Roman" w:hAnsi="Times New Roman" w:cs="Times New Roman"/>
                <w:noProof/>
                <w:kern w:val="0"/>
                <w:sz w:val="20"/>
                <w:szCs w:val="22"/>
                <w:lang w:val="fr-FR" w:eastAsia="en-US"/>
              </w:rPr>
              <w:t xml:space="preserve"> </w:t>
            </w:r>
            <w:r>
              <w:rPr>
                <w:rFonts w:ascii="Times New Roman" w:eastAsia="Times New Roman" w:hAnsi="Times New Roman" w:cs="Times New Roman"/>
                <w:noProof/>
                <w:kern w:val="0"/>
                <w:sz w:val="20"/>
                <w:szCs w:val="22"/>
                <w:lang w:val="fr-FR" w:eastAsia="en-US"/>
              </w:rPr>
              <w:t xml:space="preserve">de la </w:t>
            </w:r>
            <w:r w:rsidR="0004550B" w:rsidRPr="00DD03D6">
              <w:rPr>
                <w:rFonts w:ascii="Times New Roman" w:eastAsia="Times New Roman" w:hAnsi="Times New Roman" w:cs="Times New Roman"/>
                <w:noProof/>
                <w:kern w:val="0"/>
                <w:sz w:val="20"/>
                <w:szCs w:val="22"/>
                <w:lang w:val="fr-FR" w:eastAsia="en-US"/>
              </w:rPr>
              <w:t xml:space="preserve">Convention </w:t>
            </w:r>
            <w:r>
              <w:rPr>
                <w:rFonts w:ascii="Times New Roman" w:eastAsia="Times New Roman" w:hAnsi="Times New Roman" w:cs="Times New Roman"/>
                <w:noProof/>
                <w:kern w:val="0"/>
                <w:sz w:val="20"/>
                <w:szCs w:val="22"/>
                <w:lang w:val="fr-FR" w:eastAsia="en-US"/>
              </w:rPr>
              <w:t xml:space="preserve">relative aux droits de l’enfant en </w:t>
            </w:r>
            <w:r w:rsidR="008342B8" w:rsidRPr="00DD03D6">
              <w:rPr>
                <w:rFonts w:ascii="Times New Roman" w:eastAsia="Times New Roman" w:hAnsi="Times New Roman" w:cs="Times New Roman"/>
                <w:noProof/>
                <w:kern w:val="0"/>
                <w:sz w:val="20"/>
                <w:szCs w:val="22"/>
                <w:lang w:val="fr-FR" w:eastAsia="en-US"/>
              </w:rPr>
              <w:t>Irland</w:t>
            </w:r>
            <w:r>
              <w:rPr>
                <w:rFonts w:ascii="Times New Roman" w:eastAsia="Times New Roman" w:hAnsi="Times New Roman" w:cs="Times New Roman"/>
                <w:noProof/>
                <w:kern w:val="0"/>
                <w:sz w:val="20"/>
                <w:szCs w:val="22"/>
                <w:lang w:val="fr-FR" w:eastAsia="en-US"/>
              </w:rPr>
              <w:t>e</w:t>
            </w:r>
            <w:r w:rsidR="008342B8" w:rsidRPr="00DD03D6">
              <w:rPr>
                <w:rFonts w:ascii="Times New Roman" w:eastAsia="Times New Roman" w:hAnsi="Times New Roman" w:cs="Times New Roman"/>
                <w:noProof/>
                <w:kern w:val="0"/>
                <w:sz w:val="20"/>
                <w:szCs w:val="22"/>
                <w:lang w:val="fr-FR" w:eastAsia="en-US"/>
              </w:rPr>
              <w:t>.</w:t>
            </w:r>
          </w:p>
        </w:tc>
      </w:tr>
      <w:tr w:rsidR="00E32333" w:rsidRPr="00DD03D6" w:rsidTr="00D33142">
        <w:trPr>
          <w:trHeight w:val="240"/>
        </w:trPr>
        <w:tc>
          <w:tcPr>
            <w:tcW w:w="4253" w:type="dxa"/>
            <w:shd w:val="clear" w:color="auto" w:fill="auto"/>
          </w:tcPr>
          <w:p w:rsidR="008342B8" w:rsidRPr="00DD03D6" w:rsidRDefault="008342B8" w:rsidP="00DE51B5">
            <w:pPr>
              <w:suppressAutoHyphens w:val="0"/>
              <w:spacing w:before="40" w:after="120" w:line="220" w:lineRule="exact"/>
              <w:rPr>
                <w:iCs/>
                <w:noProof/>
                <w:lang w:val="fr-FR"/>
              </w:rPr>
            </w:pPr>
            <w:r w:rsidRPr="00DD03D6">
              <w:rPr>
                <w:i/>
                <w:noProof/>
                <w:lang w:val="fr-FR"/>
              </w:rPr>
              <w:t>Giving Young People a Voice: Student Councils in Schools</w:t>
            </w:r>
            <w:r w:rsidRPr="00DD03D6">
              <w:rPr>
                <w:noProof/>
                <w:lang w:val="fr-FR"/>
              </w:rPr>
              <w:t xml:space="preserve"> </w:t>
            </w:r>
            <w:r w:rsidR="00DE51B5">
              <w:rPr>
                <w:noProof/>
                <w:lang w:val="fr-FR"/>
              </w:rPr>
              <w:t xml:space="preserve">(Permettre aux jeunes de se faire entendre : les Conseils d’élèves dans les écoles) </w:t>
            </w:r>
            <w:r w:rsidRPr="00DD03D6">
              <w:rPr>
                <w:noProof/>
                <w:lang w:val="fr-FR"/>
              </w:rPr>
              <w:t>(2007)</w:t>
            </w:r>
          </w:p>
        </w:tc>
        <w:tc>
          <w:tcPr>
            <w:tcW w:w="4253" w:type="dxa"/>
            <w:shd w:val="clear" w:color="auto" w:fill="auto"/>
          </w:tcPr>
          <w:p w:rsidR="008342B8" w:rsidRPr="00DD03D6" w:rsidRDefault="00DE51B5" w:rsidP="00DE51B5">
            <w:pPr>
              <w:pStyle w:val="Commentaire"/>
              <w:spacing w:before="40" w:after="120" w:line="220" w:lineRule="exact"/>
              <w:rPr>
                <w:noProof/>
                <w:szCs w:val="22"/>
                <w:lang w:val="fr-FR"/>
              </w:rPr>
            </w:pPr>
            <w:r>
              <w:rPr>
                <w:noProof/>
                <w:szCs w:val="22"/>
                <w:lang w:val="fr-FR"/>
              </w:rPr>
              <w:t xml:space="preserve">Valorise le droit des enfants et des jeunes à faire entendre leur voix au sujet des questions ayant des incidences sur leur vie au sens de la </w:t>
            </w:r>
            <w:r w:rsidR="0004550B" w:rsidRPr="00DD03D6">
              <w:rPr>
                <w:noProof/>
                <w:lang w:val="fr-FR"/>
              </w:rPr>
              <w:t xml:space="preserve">Convention </w:t>
            </w:r>
            <w:r>
              <w:rPr>
                <w:noProof/>
                <w:lang w:val="fr-FR"/>
              </w:rPr>
              <w:t>relative aux droits de l’enfant et de la Stratégie nationale en faveur des enfants</w:t>
            </w:r>
            <w:r w:rsidR="008342B8" w:rsidRPr="00DD03D6">
              <w:rPr>
                <w:noProof/>
                <w:szCs w:val="22"/>
                <w:lang w:val="fr-FR"/>
              </w:rPr>
              <w:t>.</w:t>
            </w:r>
          </w:p>
        </w:tc>
      </w:tr>
      <w:tr w:rsidR="00E32333" w:rsidRPr="00DD03D6" w:rsidTr="00D33142">
        <w:trPr>
          <w:trHeight w:val="240"/>
        </w:trPr>
        <w:tc>
          <w:tcPr>
            <w:tcW w:w="4253" w:type="dxa"/>
            <w:shd w:val="clear" w:color="auto" w:fill="auto"/>
          </w:tcPr>
          <w:p w:rsidR="008342B8" w:rsidRPr="00DD03D6" w:rsidRDefault="008342B8" w:rsidP="00D33142">
            <w:pPr>
              <w:suppressAutoHyphens w:val="0"/>
              <w:spacing w:before="40" w:after="120" w:line="220" w:lineRule="exact"/>
              <w:rPr>
                <w:iCs/>
                <w:noProof/>
                <w:lang w:val="fr-FR"/>
              </w:rPr>
            </w:pPr>
            <w:r w:rsidRPr="00DD03D6">
              <w:rPr>
                <w:i/>
                <w:noProof/>
                <w:lang w:val="fr-FR"/>
              </w:rPr>
              <w:t>Teenagers</w:t>
            </w:r>
            <w:r w:rsidR="000A2B7B" w:rsidRPr="00DD03D6">
              <w:rPr>
                <w:i/>
                <w:noProof/>
                <w:lang w:val="fr-FR"/>
              </w:rPr>
              <w:t>’</w:t>
            </w:r>
            <w:r w:rsidRPr="00DD03D6">
              <w:rPr>
                <w:i/>
                <w:noProof/>
                <w:lang w:val="fr-FR"/>
              </w:rPr>
              <w:t xml:space="preserve"> views on solutions to alcohol misuse: Report on a National Consultation</w:t>
            </w:r>
            <w:r w:rsidRPr="00DD03D6">
              <w:rPr>
                <w:noProof/>
                <w:lang w:val="fr-FR"/>
              </w:rPr>
              <w:t xml:space="preserve"> </w:t>
            </w:r>
            <w:r w:rsidR="00DE51B5">
              <w:rPr>
                <w:noProof/>
                <w:lang w:val="fr-FR"/>
              </w:rPr>
              <w:t xml:space="preserve">(Opinions des adolescents sur les solutions au problème de l’abus d’alcool : rapport sur une consultation nationale) </w:t>
            </w:r>
            <w:r w:rsidRPr="00DD03D6">
              <w:rPr>
                <w:noProof/>
                <w:lang w:val="fr-FR"/>
              </w:rPr>
              <w:t>(2008)</w:t>
            </w:r>
          </w:p>
        </w:tc>
        <w:tc>
          <w:tcPr>
            <w:tcW w:w="4253" w:type="dxa"/>
            <w:shd w:val="clear" w:color="auto" w:fill="auto"/>
          </w:tcPr>
          <w:p w:rsidR="008342B8" w:rsidRPr="00DD03D6" w:rsidRDefault="00DE51B5" w:rsidP="008D471A">
            <w:pPr>
              <w:suppressAutoHyphens w:val="0"/>
              <w:spacing w:before="40" w:after="120" w:line="220" w:lineRule="exact"/>
              <w:rPr>
                <w:noProof/>
                <w:lang w:val="fr-FR"/>
              </w:rPr>
            </w:pPr>
            <w:r>
              <w:rPr>
                <w:noProof/>
                <w:lang w:val="fr-FR"/>
              </w:rPr>
              <w:t xml:space="preserve">Décrit les opinions de </w:t>
            </w:r>
            <w:r w:rsidR="008342B8" w:rsidRPr="00DD03D6">
              <w:rPr>
                <w:noProof/>
                <w:lang w:val="fr-FR"/>
              </w:rPr>
              <w:t xml:space="preserve">257 </w:t>
            </w:r>
            <w:r>
              <w:rPr>
                <w:noProof/>
                <w:lang w:val="fr-FR"/>
              </w:rPr>
              <w:t xml:space="preserve">adolescents âgés de </w:t>
            </w:r>
            <w:r w:rsidR="008342B8" w:rsidRPr="00DD03D6">
              <w:rPr>
                <w:noProof/>
                <w:lang w:val="fr-FR"/>
              </w:rPr>
              <w:t>12</w:t>
            </w:r>
            <w:r>
              <w:rPr>
                <w:noProof/>
                <w:lang w:val="fr-FR"/>
              </w:rPr>
              <w:t xml:space="preserve"> à </w:t>
            </w:r>
            <w:r w:rsidR="008342B8" w:rsidRPr="00DD03D6">
              <w:rPr>
                <w:noProof/>
                <w:lang w:val="fr-FR"/>
              </w:rPr>
              <w:t>18</w:t>
            </w:r>
            <w:r>
              <w:rPr>
                <w:noProof/>
                <w:lang w:val="fr-FR"/>
              </w:rPr>
              <w:t xml:space="preserve"> ans sur les </w:t>
            </w:r>
            <w:r w:rsidR="008342B8" w:rsidRPr="00DD03D6">
              <w:rPr>
                <w:noProof/>
                <w:lang w:val="fr-FR"/>
              </w:rPr>
              <w:t xml:space="preserve">solutions </w:t>
            </w:r>
            <w:r w:rsidR="008D471A">
              <w:rPr>
                <w:noProof/>
                <w:lang w:val="fr-FR"/>
              </w:rPr>
              <w:t>à apporter au problème de l’abus d’alcool par les jeunes</w:t>
            </w:r>
            <w:r w:rsidR="008342B8" w:rsidRPr="00DD03D6">
              <w:rPr>
                <w:noProof/>
                <w:lang w:val="fr-FR"/>
              </w:rPr>
              <w:t xml:space="preserve">. </w:t>
            </w:r>
          </w:p>
        </w:tc>
      </w:tr>
      <w:tr w:rsidR="00E32333" w:rsidRPr="00DD03D6" w:rsidTr="00D33142">
        <w:trPr>
          <w:trHeight w:val="240"/>
        </w:trPr>
        <w:tc>
          <w:tcPr>
            <w:tcW w:w="4253" w:type="dxa"/>
            <w:shd w:val="clear" w:color="auto" w:fill="auto"/>
          </w:tcPr>
          <w:p w:rsidR="008342B8" w:rsidRPr="00DD03D6" w:rsidRDefault="008342B8" w:rsidP="00821A00">
            <w:pPr>
              <w:suppressAutoHyphens w:val="0"/>
              <w:spacing w:before="40" w:after="120" w:line="220" w:lineRule="exact"/>
              <w:rPr>
                <w:iCs/>
                <w:noProof/>
                <w:lang w:val="fr-FR"/>
              </w:rPr>
            </w:pPr>
            <w:r w:rsidRPr="00DD03D6">
              <w:rPr>
                <w:i/>
                <w:noProof/>
                <w:lang w:val="fr-FR"/>
              </w:rPr>
              <w:t>Evaluation Report on the Inclusion Programme Office of the Minister for Children and Youth Affairs</w:t>
            </w:r>
            <w:r w:rsidRPr="00DD03D6">
              <w:rPr>
                <w:noProof/>
                <w:lang w:val="fr-FR"/>
              </w:rPr>
              <w:t xml:space="preserve"> </w:t>
            </w:r>
            <w:r w:rsidR="008D471A">
              <w:rPr>
                <w:noProof/>
                <w:lang w:val="fr-FR"/>
              </w:rPr>
              <w:t xml:space="preserve">(Rapport d’évaluation sur le Programme d’intégration, </w:t>
            </w:r>
            <w:r w:rsidR="00D8239B">
              <w:rPr>
                <w:noProof/>
                <w:lang w:val="fr-FR"/>
              </w:rPr>
              <w:t xml:space="preserve">Cabinet de la </w:t>
            </w:r>
            <w:r w:rsidR="00AB38B2">
              <w:rPr>
                <w:noProof/>
                <w:lang w:val="fr-FR"/>
              </w:rPr>
              <w:t>M</w:t>
            </w:r>
            <w:r w:rsidR="00D8239B">
              <w:rPr>
                <w:noProof/>
                <w:lang w:val="fr-FR"/>
              </w:rPr>
              <w:t>inistre de l’enfance et de la jeunesse</w:t>
            </w:r>
            <w:r w:rsidR="008D471A">
              <w:rPr>
                <w:noProof/>
                <w:lang w:val="fr-FR"/>
              </w:rPr>
              <w:t xml:space="preserve">) </w:t>
            </w:r>
            <w:r w:rsidRPr="00DD03D6">
              <w:rPr>
                <w:noProof/>
                <w:lang w:val="fr-FR"/>
              </w:rPr>
              <w:t>(2009)</w:t>
            </w:r>
          </w:p>
        </w:tc>
        <w:tc>
          <w:tcPr>
            <w:tcW w:w="4253" w:type="dxa"/>
            <w:shd w:val="clear" w:color="auto" w:fill="auto"/>
          </w:tcPr>
          <w:p w:rsidR="008342B8" w:rsidRPr="00DD03D6" w:rsidRDefault="008D471A" w:rsidP="003F36DD">
            <w:pPr>
              <w:keepNext/>
              <w:suppressAutoHyphens w:val="0"/>
              <w:spacing w:before="40" w:after="120" w:line="220" w:lineRule="exact"/>
              <w:rPr>
                <w:iCs/>
                <w:noProof/>
                <w:lang w:val="fr-FR"/>
              </w:rPr>
            </w:pPr>
            <w:r>
              <w:rPr>
                <w:noProof/>
                <w:lang w:val="fr-FR"/>
              </w:rPr>
              <w:t>É</w:t>
            </w:r>
            <w:r w:rsidR="008342B8" w:rsidRPr="00DD03D6">
              <w:rPr>
                <w:noProof/>
                <w:lang w:val="fr-FR"/>
              </w:rPr>
              <w:t xml:space="preserve">valuation </w:t>
            </w:r>
            <w:r>
              <w:rPr>
                <w:noProof/>
                <w:lang w:val="fr-FR"/>
              </w:rPr>
              <w:t xml:space="preserve">du </w:t>
            </w:r>
            <w:r w:rsidR="008342B8" w:rsidRPr="00DD03D6">
              <w:rPr>
                <w:noProof/>
                <w:lang w:val="fr-FR"/>
              </w:rPr>
              <w:t>Programme</w:t>
            </w:r>
            <w:r>
              <w:rPr>
                <w:noProof/>
                <w:lang w:val="fr-FR"/>
              </w:rPr>
              <w:t xml:space="preserve"> d’intégration</w:t>
            </w:r>
            <w:r w:rsidR="008342B8" w:rsidRPr="00DD03D6">
              <w:rPr>
                <w:noProof/>
                <w:lang w:val="fr-FR"/>
              </w:rPr>
              <w:t xml:space="preserve">, </w:t>
            </w:r>
            <w:r>
              <w:rPr>
                <w:noProof/>
                <w:lang w:val="fr-FR"/>
              </w:rPr>
              <w:t xml:space="preserve">qui appuie les </w:t>
            </w:r>
            <w:r w:rsidR="008342B8" w:rsidRPr="00DD03D6">
              <w:rPr>
                <w:noProof/>
                <w:lang w:val="fr-FR"/>
              </w:rPr>
              <w:t xml:space="preserve">organisations </w:t>
            </w:r>
            <w:r>
              <w:rPr>
                <w:noProof/>
                <w:lang w:val="fr-FR"/>
              </w:rPr>
              <w:t xml:space="preserve">qui </w:t>
            </w:r>
            <w:r w:rsidR="008342B8" w:rsidRPr="00DD03D6">
              <w:rPr>
                <w:noProof/>
                <w:lang w:val="fr-FR"/>
              </w:rPr>
              <w:t>repr</w:t>
            </w:r>
            <w:r>
              <w:rPr>
                <w:noProof/>
                <w:lang w:val="fr-FR"/>
              </w:rPr>
              <w:t>é</w:t>
            </w:r>
            <w:r w:rsidR="008342B8" w:rsidRPr="00DD03D6">
              <w:rPr>
                <w:noProof/>
                <w:lang w:val="fr-FR"/>
              </w:rPr>
              <w:t>sent</w:t>
            </w:r>
            <w:r>
              <w:rPr>
                <w:noProof/>
                <w:lang w:val="fr-FR"/>
              </w:rPr>
              <w:t>ent</w:t>
            </w:r>
            <w:r w:rsidR="008342B8" w:rsidRPr="00DD03D6">
              <w:rPr>
                <w:noProof/>
                <w:lang w:val="fr-FR"/>
              </w:rPr>
              <w:t xml:space="preserve"> o</w:t>
            </w:r>
            <w:r>
              <w:rPr>
                <w:noProof/>
                <w:lang w:val="fr-FR"/>
              </w:rPr>
              <w:t>u</w:t>
            </w:r>
            <w:r w:rsidR="008342B8" w:rsidRPr="00DD03D6">
              <w:rPr>
                <w:noProof/>
                <w:lang w:val="fr-FR"/>
              </w:rPr>
              <w:t xml:space="preserve"> </w:t>
            </w:r>
            <w:r>
              <w:rPr>
                <w:noProof/>
                <w:lang w:val="fr-FR"/>
              </w:rPr>
              <w:t xml:space="preserve">soutiennent les jeunes </w:t>
            </w:r>
            <w:r w:rsidR="00763D72" w:rsidRPr="00DD03D6">
              <w:rPr>
                <w:noProof/>
                <w:lang w:val="fr-FR"/>
              </w:rPr>
              <w:t>consid</w:t>
            </w:r>
            <w:r>
              <w:rPr>
                <w:noProof/>
                <w:lang w:val="fr-FR"/>
              </w:rPr>
              <w:t xml:space="preserve">érés comme </w:t>
            </w:r>
            <w:r w:rsidR="003F36DD">
              <w:rPr>
                <w:noProof/>
                <w:lang w:val="fr-FR"/>
              </w:rPr>
              <w:t>« </w:t>
            </w:r>
            <w:r w:rsidR="00763D72" w:rsidRPr="00DD03D6">
              <w:rPr>
                <w:noProof/>
                <w:lang w:val="fr-FR"/>
              </w:rPr>
              <w:t>marginalis</w:t>
            </w:r>
            <w:r>
              <w:rPr>
                <w:noProof/>
                <w:lang w:val="fr-FR"/>
              </w:rPr>
              <w:t>és</w:t>
            </w:r>
            <w:r w:rsidR="003F36DD">
              <w:rPr>
                <w:noProof/>
                <w:lang w:val="fr-FR"/>
              </w:rPr>
              <w:t> »</w:t>
            </w:r>
            <w:r w:rsidR="008342B8" w:rsidRPr="00DD03D6">
              <w:rPr>
                <w:noProof/>
                <w:lang w:val="fr-FR"/>
              </w:rPr>
              <w:t xml:space="preserve"> o</w:t>
            </w:r>
            <w:r>
              <w:rPr>
                <w:noProof/>
                <w:lang w:val="fr-FR"/>
              </w:rPr>
              <w:t>u</w:t>
            </w:r>
            <w:r w:rsidR="008342B8" w:rsidRPr="00DD03D6">
              <w:rPr>
                <w:noProof/>
                <w:lang w:val="fr-FR"/>
              </w:rPr>
              <w:t xml:space="preserve"> </w:t>
            </w:r>
            <w:r w:rsidR="003F36DD">
              <w:rPr>
                <w:noProof/>
                <w:lang w:val="fr-FR"/>
              </w:rPr>
              <w:t>« </w:t>
            </w:r>
            <w:r>
              <w:rPr>
                <w:noProof/>
                <w:lang w:val="fr-FR"/>
              </w:rPr>
              <w:t>difficiles à atteindre</w:t>
            </w:r>
            <w:r w:rsidR="003F36DD">
              <w:rPr>
                <w:noProof/>
                <w:lang w:val="fr-FR"/>
              </w:rPr>
              <w:t> »</w:t>
            </w:r>
            <w:r w:rsidR="008342B8" w:rsidRPr="00DD03D6">
              <w:rPr>
                <w:noProof/>
                <w:lang w:val="fr-FR"/>
              </w:rPr>
              <w:t xml:space="preserve">, </w:t>
            </w:r>
            <w:r>
              <w:rPr>
                <w:noProof/>
                <w:lang w:val="fr-FR"/>
              </w:rPr>
              <w:t>afin de les encourager à s’impliquer dans des structures et processus de participation des enfants/jeunes</w:t>
            </w:r>
            <w:r w:rsidR="008342B8" w:rsidRPr="00DD03D6">
              <w:rPr>
                <w:noProof/>
                <w:lang w:val="fr-FR"/>
              </w:rPr>
              <w:t>.</w:t>
            </w:r>
          </w:p>
        </w:tc>
      </w:tr>
      <w:tr w:rsidR="00E32333" w:rsidRPr="00DD03D6" w:rsidTr="00D33142">
        <w:trPr>
          <w:trHeight w:val="240"/>
        </w:trPr>
        <w:tc>
          <w:tcPr>
            <w:tcW w:w="4253" w:type="dxa"/>
            <w:shd w:val="clear" w:color="auto" w:fill="auto"/>
          </w:tcPr>
          <w:p w:rsidR="008342B8" w:rsidRPr="00CA0A31" w:rsidRDefault="008342B8" w:rsidP="00AB38B2">
            <w:pPr>
              <w:suppressAutoHyphens w:val="0"/>
              <w:spacing w:before="40" w:after="120" w:line="220" w:lineRule="exact"/>
              <w:rPr>
                <w:iCs/>
                <w:noProof/>
                <w:lang w:val="fr-FR"/>
              </w:rPr>
            </w:pPr>
            <w:r w:rsidRPr="00DD03D6">
              <w:rPr>
                <w:i/>
                <w:noProof/>
                <w:lang w:val="fr-FR"/>
              </w:rPr>
              <w:lastRenderedPageBreak/>
              <w:t xml:space="preserve">Evaluation </w:t>
            </w:r>
            <w:r w:rsidRPr="00DD03D6">
              <w:rPr>
                <w:rStyle w:val="Hyperlink1"/>
                <w:i/>
                <w:noProof/>
                <w:lang w:val="fr-FR"/>
              </w:rPr>
              <w:t>Report of the Comhairle na nÓg (Local Youth Councils) Development Fund</w:t>
            </w:r>
            <w:r w:rsidRPr="00DD03D6">
              <w:rPr>
                <w:rStyle w:val="Hyperlink1"/>
                <w:noProof/>
                <w:lang w:val="fr-FR"/>
              </w:rPr>
              <w:t xml:space="preserve"> for the years 2007-2008</w:t>
            </w:r>
            <w:r w:rsidRPr="00DD03D6">
              <w:rPr>
                <w:noProof/>
                <w:lang w:val="fr-FR"/>
              </w:rPr>
              <w:t>, 2008-2009 and 2009-2010</w:t>
            </w:r>
            <w:r w:rsidR="00CA0A31">
              <w:rPr>
                <w:noProof/>
                <w:lang w:val="fr-FR"/>
              </w:rPr>
              <w:t xml:space="preserve"> (Rapport d’évaluation sur le Fonds de développement des</w:t>
            </w:r>
            <w:r w:rsidR="00CA0A31" w:rsidRPr="00DD03D6">
              <w:rPr>
                <w:rStyle w:val="Hyperlink1"/>
                <w:i/>
                <w:noProof/>
                <w:lang w:val="fr-FR"/>
              </w:rPr>
              <w:t xml:space="preserve"> Comhairle na nÓg</w:t>
            </w:r>
            <w:r w:rsidR="00CA0A31">
              <w:rPr>
                <w:rStyle w:val="Hyperlink1"/>
                <w:i/>
                <w:noProof/>
                <w:lang w:val="fr-FR"/>
              </w:rPr>
              <w:t xml:space="preserve"> </w:t>
            </w:r>
            <w:r w:rsidR="00CA0A31">
              <w:rPr>
                <w:rStyle w:val="Hyperlink1"/>
                <w:noProof/>
                <w:lang w:val="fr-FR"/>
              </w:rPr>
              <w:t xml:space="preserve">(conseils locaux de jeunes) pour les années </w:t>
            </w:r>
            <w:r w:rsidR="00CA0A31" w:rsidRPr="00DD03D6">
              <w:rPr>
                <w:rStyle w:val="Hyperlink1"/>
                <w:noProof/>
                <w:lang w:val="fr-FR"/>
              </w:rPr>
              <w:t>2007-2008</w:t>
            </w:r>
            <w:r w:rsidR="00CA0A31" w:rsidRPr="00DD03D6">
              <w:rPr>
                <w:noProof/>
                <w:lang w:val="fr-FR"/>
              </w:rPr>
              <w:t xml:space="preserve">, 2008-2009 </w:t>
            </w:r>
            <w:r w:rsidR="00CA0A31">
              <w:rPr>
                <w:noProof/>
                <w:lang w:val="fr-FR"/>
              </w:rPr>
              <w:t>et</w:t>
            </w:r>
            <w:r w:rsidR="00CA0A31" w:rsidRPr="00DD03D6">
              <w:rPr>
                <w:noProof/>
                <w:lang w:val="fr-FR"/>
              </w:rPr>
              <w:t xml:space="preserve"> 2009-2010</w:t>
            </w:r>
            <w:r w:rsidR="00CA0A31">
              <w:rPr>
                <w:noProof/>
                <w:lang w:val="fr-FR"/>
              </w:rPr>
              <w:t>)</w:t>
            </w:r>
          </w:p>
        </w:tc>
        <w:tc>
          <w:tcPr>
            <w:tcW w:w="4253" w:type="dxa"/>
            <w:shd w:val="clear" w:color="auto" w:fill="auto"/>
          </w:tcPr>
          <w:p w:rsidR="008342B8" w:rsidRPr="00DD03D6" w:rsidRDefault="008342B8" w:rsidP="00C94D73">
            <w:pPr>
              <w:suppressAutoHyphens w:val="0"/>
              <w:spacing w:before="40" w:after="120" w:line="220" w:lineRule="exact"/>
              <w:rPr>
                <w:iCs/>
                <w:noProof/>
                <w:lang w:val="fr-FR"/>
              </w:rPr>
            </w:pPr>
            <w:r w:rsidRPr="00DD03D6">
              <w:rPr>
                <w:noProof/>
                <w:lang w:val="fr-FR"/>
              </w:rPr>
              <w:t>Pr</w:t>
            </w:r>
            <w:r w:rsidR="00C94D73">
              <w:rPr>
                <w:noProof/>
                <w:lang w:val="fr-FR"/>
              </w:rPr>
              <w:t>é</w:t>
            </w:r>
            <w:r w:rsidRPr="00DD03D6">
              <w:rPr>
                <w:noProof/>
                <w:lang w:val="fr-FR"/>
              </w:rPr>
              <w:t>sent</w:t>
            </w:r>
            <w:r w:rsidR="00C94D73">
              <w:rPr>
                <w:noProof/>
                <w:lang w:val="fr-FR"/>
              </w:rPr>
              <w:t xml:space="preserve">e les conclusions d’une évaluation </w:t>
            </w:r>
            <w:r w:rsidRPr="00DD03D6">
              <w:rPr>
                <w:noProof/>
                <w:lang w:val="fr-FR"/>
              </w:rPr>
              <w:t>ind</w:t>
            </w:r>
            <w:r w:rsidR="00C94D73">
              <w:rPr>
                <w:noProof/>
                <w:lang w:val="fr-FR"/>
              </w:rPr>
              <w:t>é</w:t>
            </w:r>
            <w:r w:rsidRPr="00DD03D6">
              <w:rPr>
                <w:noProof/>
                <w:lang w:val="fr-FR"/>
              </w:rPr>
              <w:t>pend</w:t>
            </w:r>
            <w:r w:rsidR="00C94D73">
              <w:rPr>
                <w:noProof/>
                <w:lang w:val="fr-FR"/>
              </w:rPr>
              <w:t>ante des trois premières années du Fonds de développement</w:t>
            </w:r>
            <w:r w:rsidRPr="00DD03D6">
              <w:rPr>
                <w:noProof/>
                <w:lang w:val="fr-FR"/>
              </w:rPr>
              <w:t>.</w:t>
            </w:r>
          </w:p>
        </w:tc>
      </w:tr>
      <w:tr w:rsidR="00E32333" w:rsidRPr="00DD03D6" w:rsidTr="00D33142">
        <w:trPr>
          <w:trHeight w:val="240"/>
        </w:trPr>
        <w:tc>
          <w:tcPr>
            <w:tcW w:w="4253" w:type="dxa"/>
            <w:shd w:val="clear" w:color="auto" w:fill="auto"/>
          </w:tcPr>
          <w:p w:rsidR="008342B8" w:rsidRPr="00DD03D6" w:rsidRDefault="008342B8" w:rsidP="00C94D73">
            <w:pPr>
              <w:suppressAutoHyphens w:val="0"/>
              <w:spacing w:before="40" w:after="120" w:line="220" w:lineRule="exact"/>
              <w:rPr>
                <w:iCs/>
                <w:noProof/>
                <w:lang w:val="fr-FR"/>
              </w:rPr>
            </w:pPr>
            <w:r w:rsidRPr="00487473">
              <w:rPr>
                <w:i/>
                <w:noProof/>
                <w:lang w:val="en-US"/>
              </w:rPr>
              <w:t xml:space="preserve">Teenage Mental Health: What Helps and What Hurts? </w:t>
            </w:r>
            <w:r w:rsidRPr="00DD03D6">
              <w:rPr>
                <w:i/>
                <w:noProof/>
                <w:lang w:val="fr-FR"/>
              </w:rPr>
              <w:t xml:space="preserve">A Report of </w:t>
            </w:r>
            <w:r w:rsidR="00BA34BC" w:rsidRPr="00DD03D6">
              <w:rPr>
                <w:i/>
                <w:noProof/>
                <w:lang w:val="fr-FR"/>
              </w:rPr>
              <w:t>C</w:t>
            </w:r>
            <w:r w:rsidRPr="00DD03D6">
              <w:rPr>
                <w:i/>
                <w:noProof/>
                <w:lang w:val="fr-FR"/>
              </w:rPr>
              <w:t>onsultations with</w:t>
            </w:r>
            <w:r w:rsidR="00BA34BC" w:rsidRPr="00DD03D6">
              <w:rPr>
                <w:i/>
                <w:noProof/>
                <w:lang w:val="fr-FR"/>
              </w:rPr>
              <w:t xml:space="preserve"> T</w:t>
            </w:r>
            <w:r w:rsidRPr="00DD03D6">
              <w:rPr>
                <w:i/>
                <w:noProof/>
                <w:lang w:val="fr-FR"/>
              </w:rPr>
              <w:t>eenagers</w:t>
            </w:r>
            <w:r w:rsidRPr="00DD03D6">
              <w:rPr>
                <w:noProof/>
                <w:lang w:val="fr-FR"/>
              </w:rPr>
              <w:t xml:space="preserve"> </w:t>
            </w:r>
            <w:r w:rsidR="00C94D73">
              <w:rPr>
                <w:noProof/>
                <w:lang w:val="fr-FR"/>
              </w:rPr>
              <w:t>(La santé mentale des adolescents : ce qui fait du bien et ce qui fait du mal – Rapport sur des consultations menées auprès d’adolescents)</w:t>
            </w:r>
            <w:r w:rsidR="00C94D73" w:rsidRPr="00DD03D6">
              <w:rPr>
                <w:noProof/>
                <w:lang w:val="fr-FR"/>
              </w:rPr>
              <w:t xml:space="preserve"> (2009)</w:t>
            </w:r>
          </w:p>
        </w:tc>
        <w:tc>
          <w:tcPr>
            <w:tcW w:w="4253" w:type="dxa"/>
            <w:shd w:val="clear" w:color="auto" w:fill="auto"/>
          </w:tcPr>
          <w:p w:rsidR="008342B8" w:rsidRPr="00DD03D6" w:rsidRDefault="00C94D73" w:rsidP="00C94D73">
            <w:pPr>
              <w:suppressAutoHyphens w:val="0"/>
              <w:spacing w:before="40" w:after="120" w:line="220" w:lineRule="exact"/>
              <w:rPr>
                <w:iCs/>
                <w:noProof/>
                <w:lang w:val="fr-FR"/>
              </w:rPr>
            </w:pPr>
            <w:r>
              <w:rPr>
                <w:noProof/>
                <w:lang w:val="fr-FR"/>
              </w:rPr>
              <w:t>Décrit les opinions de 27</w:t>
            </w:r>
            <w:r w:rsidRPr="00DD03D6">
              <w:rPr>
                <w:noProof/>
                <w:lang w:val="fr-FR"/>
              </w:rPr>
              <w:t xml:space="preserve">7 </w:t>
            </w:r>
            <w:r>
              <w:rPr>
                <w:noProof/>
                <w:lang w:val="fr-FR"/>
              </w:rPr>
              <w:t xml:space="preserve">adolescents âgés de </w:t>
            </w:r>
            <w:r w:rsidRPr="00DD03D6">
              <w:rPr>
                <w:noProof/>
                <w:lang w:val="fr-FR"/>
              </w:rPr>
              <w:t>12</w:t>
            </w:r>
            <w:r>
              <w:rPr>
                <w:noProof/>
                <w:lang w:val="fr-FR"/>
              </w:rPr>
              <w:t xml:space="preserve"> à </w:t>
            </w:r>
            <w:r w:rsidRPr="00DD03D6">
              <w:rPr>
                <w:noProof/>
                <w:lang w:val="fr-FR"/>
              </w:rPr>
              <w:t>18</w:t>
            </w:r>
            <w:r>
              <w:rPr>
                <w:noProof/>
                <w:lang w:val="fr-FR"/>
              </w:rPr>
              <w:t xml:space="preserve"> ans qui ont participé à des </w:t>
            </w:r>
            <w:r w:rsidR="008342B8" w:rsidRPr="00DD03D6">
              <w:rPr>
                <w:noProof/>
                <w:lang w:val="fr-FR"/>
              </w:rPr>
              <w:t xml:space="preserve">consultations </w:t>
            </w:r>
            <w:r>
              <w:rPr>
                <w:noProof/>
                <w:lang w:val="fr-FR"/>
              </w:rPr>
              <w:t xml:space="preserve">menées en octobre </w:t>
            </w:r>
            <w:r w:rsidR="008342B8" w:rsidRPr="00DD03D6">
              <w:rPr>
                <w:noProof/>
                <w:lang w:val="fr-FR"/>
              </w:rPr>
              <w:t>2008.</w:t>
            </w:r>
          </w:p>
        </w:tc>
      </w:tr>
      <w:tr w:rsidR="00E32333" w:rsidRPr="00DD03D6" w:rsidTr="00D33142">
        <w:trPr>
          <w:trHeight w:val="240"/>
        </w:trPr>
        <w:tc>
          <w:tcPr>
            <w:tcW w:w="4253" w:type="dxa"/>
            <w:shd w:val="clear" w:color="auto" w:fill="auto"/>
          </w:tcPr>
          <w:p w:rsidR="008342B8" w:rsidRPr="00DD03D6" w:rsidRDefault="008342B8" w:rsidP="00AB38B2">
            <w:pPr>
              <w:suppressAutoHyphens w:val="0"/>
              <w:spacing w:before="40" w:after="120" w:line="220" w:lineRule="exact"/>
              <w:rPr>
                <w:iCs/>
                <w:noProof/>
                <w:lang w:val="fr-FR"/>
              </w:rPr>
            </w:pPr>
            <w:r w:rsidRPr="00DD03D6">
              <w:rPr>
                <w:i/>
                <w:noProof/>
                <w:lang w:val="fr-FR"/>
              </w:rPr>
              <w:t>Life skills matter – not just points: A survey of implementation of Social, Personal and Health Education (SPHE) and Relationships and Sexuality Education (RSE) in second-level schools</w:t>
            </w:r>
            <w:r w:rsidRPr="00DD03D6">
              <w:rPr>
                <w:noProof/>
                <w:lang w:val="fr-FR"/>
              </w:rPr>
              <w:t xml:space="preserve"> </w:t>
            </w:r>
            <w:r w:rsidR="00C94D73">
              <w:rPr>
                <w:noProof/>
                <w:lang w:val="fr-FR"/>
              </w:rPr>
              <w:t>(L</w:t>
            </w:r>
            <w:r w:rsidR="00B36777">
              <w:rPr>
                <w:noProof/>
                <w:lang w:val="fr-FR"/>
              </w:rPr>
              <w:t>a formation à la vie pratique compte</w:t>
            </w:r>
            <w:r w:rsidR="00C94D73">
              <w:rPr>
                <w:noProof/>
                <w:lang w:val="fr-FR"/>
              </w:rPr>
              <w:t xml:space="preserve"> aussi, pas seulement les points : </w:t>
            </w:r>
            <w:r w:rsidR="00AB38B2">
              <w:rPr>
                <w:noProof/>
                <w:lang w:val="fr-FR"/>
              </w:rPr>
              <w:t>e</w:t>
            </w:r>
            <w:r w:rsidR="00C94D73">
              <w:rPr>
                <w:noProof/>
                <w:lang w:val="fr-FR"/>
              </w:rPr>
              <w:t xml:space="preserve">nquête sur le déroulement de l’éducation sociale, personnelle et sanitaire et de l’éducation </w:t>
            </w:r>
            <w:r w:rsidR="00B36777">
              <w:rPr>
                <w:noProof/>
                <w:lang w:val="fr-FR"/>
              </w:rPr>
              <w:t xml:space="preserve">aux relations et à la sexualité </w:t>
            </w:r>
            <w:r w:rsidR="00C94D73">
              <w:rPr>
                <w:noProof/>
                <w:lang w:val="fr-FR"/>
              </w:rPr>
              <w:t xml:space="preserve">dans les écoles secondaires) </w:t>
            </w:r>
            <w:r w:rsidRPr="00DD03D6">
              <w:rPr>
                <w:noProof/>
                <w:lang w:val="fr-FR"/>
              </w:rPr>
              <w:t xml:space="preserve">(2010) </w:t>
            </w:r>
          </w:p>
        </w:tc>
        <w:tc>
          <w:tcPr>
            <w:tcW w:w="4253" w:type="dxa"/>
            <w:shd w:val="clear" w:color="auto" w:fill="auto"/>
          </w:tcPr>
          <w:p w:rsidR="008342B8" w:rsidRPr="00DD03D6" w:rsidRDefault="00B36777" w:rsidP="00163C7C">
            <w:pPr>
              <w:suppressAutoHyphens w:val="0"/>
              <w:spacing w:before="40" w:after="120" w:line="220" w:lineRule="exact"/>
              <w:rPr>
                <w:noProof/>
                <w:lang w:val="fr-FR"/>
              </w:rPr>
            </w:pPr>
            <w:r>
              <w:rPr>
                <w:noProof/>
                <w:lang w:val="fr-FR"/>
              </w:rPr>
              <w:t>Cette enquête</w:t>
            </w:r>
            <w:r w:rsidR="004172B4">
              <w:rPr>
                <w:noProof/>
                <w:lang w:val="fr-FR"/>
              </w:rPr>
              <w:t>, qui</w:t>
            </w:r>
            <w:r>
              <w:rPr>
                <w:noProof/>
                <w:lang w:val="fr-FR"/>
              </w:rPr>
              <w:t xml:space="preserve"> est l</w:t>
            </w:r>
            <w:r w:rsidR="004172B4">
              <w:rPr>
                <w:noProof/>
                <w:lang w:val="fr-FR"/>
              </w:rPr>
              <w:t>e premier travail de recherche collégial sur ces questions, décrit la manière dont les jeunes ressentent le déroulement de l’éducation sociale, personnelle et sanitaire et de l’éducation aux relations et à la sexualité</w:t>
            </w:r>
            <w:r>
              <w:rPr>
                <w:noProof/>
                <w:lang w:val="fr-FR"/>
              </w:rPr>
              <w:t xml:space="preserve"> </w:t>
            </w:r>
            <w:r w:rsidR="004172B4">
              <w:rPr>
                <w:noProof/>
                <w:lang w:val="fr-FR"/>
              </w:rPr>
              <w:t>dans les écoles secondaires;</w:t>
            </w:r>
            <w:r w:rsidR="008342B8" w:rsidRPr="00DD03D6">
              <w:rPr>
                <w:noProof/>
                <w:lang w:val="fr-FR"/>
              </w:rPr>
              <w:t xml:space="preserve"> 134 </w:t>
            </w:r>
            <w:r w:rsidR="004172B4">
              <w:rPr>
                <w:noProof/>
                <w:lang w:val="fr-FR"/>
              </w:rPr>
              <w:t xml:space="preserve">élèves de </w:t>
            </w:r>
            <w:r w:rsidR="008342B8" w:rsidRPr="00DD03D6">
              <w:rPr>
                <w:noProof/>
                <w:lang w:val="fr-FR"/>
              </w:rPr>
              <w:t xml:space="preserve">68 </w:t>
            </w:r>
            <w:r w:rsidR="004172B4">
              <w:rPr>
                <w:noProof/>
                <w:lang w:val="fr-FR"/>
              </w:rPr>
              <w:t>écoles ont participé à l’enquête portant sur</w:t>
            </w:r>
            <w:r w:rsidR="00163C7C">
              <w:rPr>
                <w:noProof/>
                <w:lang w:val="fr-FR"/>
              </w:rPr>
              <w:t xml:space="preserve"> l’éducation sociale, personnelle et sanitaire</w:t>
            </w:r>
            <w:r w:rsidR="008342B8" w:rsidRPr="00DD03D6">
              <w:rPr>
                <w:noProof/>
                <w:lang w:val="fr-FR"/>
              </w:rPr>
              <w:t xml:space="preserve">, </w:t>
            </w:r>
            <w:r w:rsidR="00163C7C">
              <w:rPr>
                <w:noProof/>
                <w:lang w:val="fr-FR"/>
              </w:rPr>
              <w:t>et</w:t>
            </w:r>
            <w:r w:rsidR="008342B8" w:rsidRPr="00DD03D6">
              <w:rPr>
                <w:noProof/>
                <w:lang w:val="fr-FR"/>
              </w:rPr>
              <w:t xml:space="preserve"> 220 </w:t>
            </w:r>
            <w:r w:rsidR="00163C7C">
              <w:rPr>
                <w:noProof/>
                <w:lang w:val="fr-FR"/>
              </w:rPr>
              <w:t xml:space="preserve">élèves de </w:t>
            </w:r>
            <w:r w:rsidR="008342B8" w:rsidRPr="00DD03D6">
              <w:rPr>
                <w:noProof/>
                <w:lang w:val="fr-FR"/>
              </w:rPr>
              <w:t xml:space="preserve">94 </w:t>
            </w:r>
            <w:r w:rsidR="00163C7C">
              <w:rPr>
                <w:noProof/>
                <w:lang w:val="fr-FR"/>
              </w:rPr>
              <w:t>écoles ont participé à l’enquête sur l’éducation aux relations et à la sexualité</w:t>
            </w:r>
            <w:r w:rsidR="008342B8" w:rsidRPr="00DD03D6">
              <w:rPr>
                <w:noProof/>
                <w:lang w:val="fr-FR"/>
              </w:rPr>
              <w:t>.</w:t>
            </w:r>
          </w:p>
        </w:tc>
      </w:tr>
      <w:tr w:rsidR="00E32333" w:rsidRPr="00DD03D6" w:rsidTr="00D33142">
        <w:trPr>
          <w:trHeight w:val="240"/>
        </w:trPr>
        <w:tc>
          <w:tcPr>
            <w:tcW w:w="4253" w:type="dxa"/>
            <w:shd w:val="clear" w:color="auto" w:fill="auto"/>
          </w:tcPr>
          <w:p w:rsidR="008342B8" w:rsidRPr="00DD03D6" w:rsidRDefault="008342B8" w:rsidP="00D33142">
            <w:pPr>
              <w:suppressAutoHyphens w:val="0"/>
              <w:spacing w:before="40" w:after="120" w:line="220" w:lineRule="exact"/>
              <w:rPr>
                <w:iCs/>
                <w:noProof/>
                <w:lang w:val="fr-FR"/>
              </w:rPr>
            </w:pPr>
            <w:r w:rsidRPr="00DD03D6">
              <w:rPr>
                <w:i/>
                <w:noProof/>
                <w:lang w:val="fr-FR"/>
              </w:rPr>
              <w:t>Evaluation of the work of the Dáil na nÓg Council</w:t>
            </w:r>
            <w:r w:rsidRPr="00DD03D6">
              <w:rPr>
                <w:noProof/>
                <w:lang w:val="fr-FR"/>
              </w:rPr>
              <w:t xml:space="preserve"> </w:t>
            </w:r>
            <w:r w:rsidR="00163C7C">
              <w:rPr>
                <w:noProof/>
                <w:lang w:val="fr-FR"/>
              </w:rPr>
              <w:t xml:space="preserve">(Évaluation des travaux du Conseil </w:t>
            </w:r>
            <w:r w:rsidR="00B0188C">
              <w:rPr>
                <w:noProof/>
                <w:lang w:val="fr-FR"/>
              </w:rPr>
              <w:t xml:space="preserve">du </w:t>
            </w:r>
            <w:r w:rsidR="00163C7C" w:rsidRPr="00163C7C">
              <w:rPr>
                <w:noProof/>
                <w:lang w:val="fr-FR"/>
              </w:rPr>
              <w:t>Dáil na nÓg</w:t>
            </w:r>
            <w:r w:rsidR="00163C7C">
              <w:rPr>
                <w:noProof/>
                <w:lang w:val="fr-FR"/>
              </w:rPr>
              <w:t>)</w:t>
            </w:r>
            <w:r w:rsidR="00163C7C" w:rsidRPr="00DD03D6">
              <w:rPr>
                <w:i/>
                <w:noProof/>
                <w:lang w:val="fr-FR"/>
              </w:rPr>
              <w:t xml:space="preserve"> </w:t>
            </w:r>
            <w:r w:rsidRPr="00DD03D6">
              <w:rPr>
                <w:noProof/>
                <w:lang w:val="fr-FR"/>
              </w:rPr>
              <w:t xml:space="preserve">(2010) </w:t>
            </w:r>
          </w:p>
        </w:tc>
        <w:tc>
          <w:tcPr>
            <w:tcW w:w="4253" w:type="dxa"/>
            <w:shd w:val="clear" w:color="auto" w:fill="auto"/>
          </w:tcPr>
          <w:p w:rsidR="008342B8" w:rsidRPr="00DD03D6" w:rsidRDefault="00B0188C" w:rsidP="00B0188C">
            <w:pPr>
              <w:suppressAutoHyphens w:val="0"/>
              <w:spacing w:before="40" w:after="120" w:line="220" w:lineRule="exact"/>
              <w:rPr>
                <w:noProof/>
                <w:lang w:val="fr-FR"/>
              </w:rPr>
            </w:pPr>
            <w:r>
              <w:rPr>
                <w:noProof/>
                <w:lang w:val="fr-FR"/>
              </w:rPr>
              <w:t xml:space="preserve">Cette évaluation indépendane s’appuie sur les opinions des membres du Conseil du </w:t>
            </w:r>
            <w:r w:rsidR="008342B8" w:rsidRPr="00DD03D6">
              <w:rPr>
                <w:noProof/>
                <w:lang w:val="fr-FR"/>
              </w:rPr>
              <w:t xml:space="preserve">Dáil na nÓg </w:t>
            </w:r>
            <w:r>
              <w:rPr>
                <w:noProof/>
                <w:lang w:val="fr-FR"/>
              </w:rPr>
              <w:t>et des décideurs</w:t>
            </w:r>
            <w:r w:rsidR="008342B8" w:rsidRPr="00DD03D6">
              <w:rPr>
                <w:noProof/>
                <w:lang w:val="fr-FR"/>
              </w:rPr>
              <w:t>.</w:t>
            </w:r>
          </w:p>
        </w:tc>
      </w:tr>
      <w:tr w:rsidR="00E32333" w:rsidRPr="00DD03D6" w:rsidTr="00D33142">
        <w:trPr>
          <w:trHeight w:val="240"/>
        </w:trPr>
        <w:tc>
          <w:tcPr>
            <w:tcW w:w="4253" w:type="dxa"/>
            <w:shd w:val="clear" w:color="auto" w:fill="auto"/>
          </w:tcPr>
          <w:p w:rsidR="008342B8" w:rsidRPr="00DD03D6" w:rsidRDefault="008342B8" w:rsidP="00D33142">
            <w:pPr>
              <w:suppressAutoHyphens w:val="0"/>
              <w:spacing w:before="40" w:after="120" w:line="220" w:lineRule="exact"/>
              <w:rPr>
                <w:iCs/>
                <w:noProof/>
                <w:lang w:val="fr-FR"/>
              </w:rPr>
            </w:pPr>
            <w:r w:rsidRPr="00DD03D6">
              <w:rPr>
                <w:i/>
                <w:noProof/>
                <w:lang w:val="fr-FR"/>
              </w:rPr>
              <w:t>Reform of the Junior Cycle in second-level schools: Report of a consultation with young people</w:t>
            </w:r>
            <w:r w:rsidRPr="00DD03D6">
              <w:rPr>
                <w:noProof/>
                <w:lang w:val="fr-FR"/>
              </w:rPr>
              <w:t xml:space="preserve"> </w:t>
            </w:r>
            <w:r w:rsidR="00B0188C">
              <w:rPr>
                <w:noProof/>
                <w:lang w:val="fr-FR"/>
              </w:rPr>
              <w:t xml:space="preserve">(Réforme du premier cycle des écoles secondaires : rapport sur une consultation menée auprès des jeunes) </w:t>
            </w:r>
            <w:r w:rsidRPr="00DD03D6">
              <w:rPr>
                <w:noProof/>
                <w:lang w:val="fr-FR"/>
              </w:rPr>
              <w:t xml:space="preserve">(2011) </w:t>
            </w:r>
          </w:p>
        </w:tc>
        <w:tc>
          <w:tcPr>
            <w:tcW w:w="4253" w:type="dxa"/>
            <w:shd w:val="clear" w:color="auto" w:fill="auto"/>
          </w:tcPr>
          <w:p w:rsidR="008342B8" w:rsidRPr="00DD03D6" w:rsidRDefault="008342B8" w:rsidP="00AB38B2">
            <w:pPr>
              <w:suppressAutoHyphens w:val="0"/>
              <w:spacing w:before="40" w:after="120" w:line="220" w:lineRule="exact"/>
              <w:rPr>
                <w:iCs/>
                <w:noProof/>
                <w:lang w:val="fr-FR"/>
              </w:rPr>
            </w:pPr>
            <w:r w:rsidRPr="00DD03D6">
              <w:rPr>
                <w:noProof/>
                <w:lang w:val="fr-FR"/>
              </w:rPr>
              <w:t>R</w:t>
            </w:r>
            <w:r w:rsidR="00B0188C">
              <w:rPr>
                <w:noProof/>
                <w:lang w:val="fr-FR"/>
              </w:rPr>
              <w:t xml:space="preserve">apport sur une </w:t>
            </w:r>
            <w:r w:rsidRPr="00DD03D6">
              <w:rPr>
                <w:noProof/>
                <w:lang w:val="fr-FR"/>
              </w:rPr>
              <w:t xml:space="preserve">consultation </w:t>
            </w:r>
            <w:r w:rsidR="00B0188C">
              <w:rPr>
                <w:noProof/>
                <w:lang w:val="fr-FR"/>
              </w:rPr>
              <w:t xml:space="preserve">auprès de </w:t>
            </w:r>
            <w:r w:rsidRPr="00DD03D6">
              <w:rPr>
                <w:noProof/>
                <w:lang w:val="fr-FR"/>
              </w:rPr>
              <w:t xml:space="preserve">88 </w:t>
            </w:r>
            <w:r w:rsidR="00B0188C">
              <w:rPr>
                <w:noProof/>
                <w:lang w:val="fr-FR"/>
              </w:rPr>
              <w:t xml:space="preserve">jeunes sur la réforme du premier cycle, menée en novembre </w:t>
            </w:r>
            <w:r w:rsidRPr="00DD03D6">
              <w:rPr>
                <w:noProof/>
                <w:lang w:val="fr-FR"/>
              </w:rPr>
              <w:t>2010</w:t>
            </w:r>
            <w:r w:rsidR="00B0188C">
              <w:rPr>
                <w:noProof/>
                <w:lang w:val="fr-FR"/>
              </w:rPr>
              <w:t xml:space="preserve"> et organisée par les jeunes membres du Conseil du </w:t>
            </w:r>
            <w:r w:rsidRPr="00DD03D6">
              <w:rPr>
                <w:noProof/>
                <w:lang w:val="fr-FR"/>
              </w:rPr>
              <w:t xml:space="preserve">Dáil na nÓg, </w:t>
            </w:r>
            <w:r w:rsidR="00B0188C">
              <w:rPr>
                <w:noProof/>
                <w:lang w:val="fr-FR"/>
              </w:rPr>
              <w:t xml:space="preserve">le </w:t>
            </w:r>
            <w:r w:rsidR="00D8239B">
              <w:rPr>
                <w:noProof/>
                <w:lang w:val="fr-FR"/>
              </w:rPr>
              <w:t xml:space="preserve">Cabinet de la </w:t>
            </w:r>
            <w:r w:rsidR="00AB38B2">
              <w:rPr>
                <w:noProof/>
                <w:lang w:val="fr-FR"/>
              </w:rPr>
              <w:t>M</w:t>
            </w:r>
            <w:r w:rsidR="00D8239B">
              <w:rPr>
                <w:noProof/>
                <w:lang w:val="fr-FR"/>
              </w:rPr>
              <w:t>inistre de l’enfance et de la jeunesse</w:t>
            </w:r>
            <w:r w:rsidR="00B0188C">
              <w:rPr>
                <w:noProof/>
                <w:lang w:val="fr-FR"/>
              </w:rPr>
              <w:t xml:space="preserve"> et le Conseil n</w:t>
            </w:r>
            <w:r w:rsidRPr="00DD03D6">
              <w:rPr>
                <w:noProof/>
                <w:lang w:val="fr-FR"/>
              </w:rPr>
              <w:t xml:space="preserve">ational </w:t>
            </w:r>
            <w:r w:rsidR="00B0188C">
              <w:rPr>
                <w:noProof/>
                <w:lang w:val="fr-FR"/>
              </w:rPr>
              <w:t>des programmes et de l’évaluation</w:t>
            </w:r>
            <w:r w:rsidRPr="00DD03D6">
              <w:rPr>
                <w:noProof/>
                <w:lang w:val="fr-FR"/>
              </w:rPr>
              <w:t>.</w:t>
            </w:r>
          </w:p>
        </w:tc>
      </w:tr>
      <w:tr w:rsidR="00E32333" w:rsidRPr="00DD03D6" w:rsidTr="00D33142">
        <w:trPr>
          <w:trHeight w:val="240"/>
        </w:trPr>
        <w:tc>
          <w:tcPr>
            <w:tcW w:w="4253" w:type="dxa"/>
            <w:shd w:val="clear" w:color="auto" w:fill="auto"/>
          </w:tcPr>
          <w:p w:rsidR="008342B8" w:rsidRPr="00DD03D6" w:rsidRDefault="008342B8" w:rsidP="00D33142">
            <w:pPr>
              <w:suppressAutoHyphens w:val="0"/>
              <w:spacing w:before="40" w:after="120" w:line="220" w:lineRule="exact"/>
              <w:rPr>
                <w:iCs/>
                <w:noProof/>
                <w:lang w:val="fr-FR"/>
              </w:rPr>
            </w:pPr>
            <w:r w:rsidRPr="00DD03D6">
              <w:rPr>
                <w:i/>
                <w:noProof/>
                <w:lang w:val="fr-FR"/>
              </w:rPr>
              <w:t>Listen to Our Voices: A report of consultations with children and young people living in the care of the State</w:t>
            </w:r>
            <w:r w:rsidRPr="00DD03D6">
              <w:rPr>
                <w:noProof/>
                <w:lang w:val="fr-FR"/>
              </w:rPr>
              <w:t xml:space="preserve"> </w:t>
            </w:r>
            <w:r w:rsidR="00B0188C">
              <w:rPr>
                <w:noProof/>
                <w:lang w:val="fr-FR"/>
              </w:rPr>
              <w:t>(Écoutez ce que nous avons à dire : Rapport sur des consultations menées</w:t>
            </w:r>
            <w:r w:rsidR="0033581F">
              <w:rPr>
                <w:noProof/>
                <w:lang w:val="fr-FR"/>
              </w:rPr>
              <w:t xml:space="preserve"> auprès des enfants et des jeunes pris en charge par l’État)</w:t>
            </w:r>
            <w:r w:rsidR="00B0188C">
              <w:rPr>
                <w:noProof/>
                <w:lang w:val="fr-FR"/>
              </w:rPr>
              <w:t xml:space="preserve"> </w:t>
            </w:r>
            <w:r w:rsidRPr="00DD03D6">
              <w:rPr>
                <w:noProof/>
                <w:lang w:val="fr-FR"/>
              </w:rPr>
              <w:t>(2011)</w:t>
            </w:r>
          </w:p>
        </w:tc>
        <w:tc>
          <w:tcPr>
            <w:tcW w:w="4253" w:type="dxa"/>
            <w:shd w:val="clear" w:color="auto" w:fill="auto"/>
          </w:tcPr>
          <w:p w:rsidR="008342B8" w:rsidRPr="00DD03D6" w:rsidRDefault="008342B8" w:rsidP="00056202">
            <w:pPr>
              <w:suppressAutoHyphens w:val="0"/>
              <w:spacing w:before="40" w:after="120" w:line="220" w:lineRule="exact"/>
              <w:rPr>
                <w:noProof/>
                <w:lang w:val="fr-FR"/>
              </w:rPr>
            </w:pPr>
            <w:r w:rsidRPr="00DD03D6">
              <w:rPr>
                <w:noProof/>
                <w:lang w:val="fr-FR"/>
              </w:rPr>
              <w:t>R</w:t>
            </w:r>
            <w:r w:rsidR="0033581F">
              <w:rPr>
                <w:noProof/>
                <w:lang w:val="fr-FR"/>
              </w:rPr>
              <w:t xml:space="preserve">apport sur des </w:t>
            </w:r>
            <w:r w:rsidRPr="00DD03D6">
              <w:rPr>
                <w:noProof/>
                <w:lang w:val="fr-FR"/>
              </w:rPr>
              <w:t xml:space="preserve">consultations </w:t>
            </w:r>
            <w:r w:rsidR="0033581F">
              <w:rPr>
                <w:noProof/>
                <w:lang w:val="fr-FR"/>
              </w:rPr>
              <w:t xml:space="preserve">menées auprès de </w:t>
            </w:r>
            <w:r w:rsidRPr="00DD03D6">
              <w:rPr>
                <w:noProof/>
                <w:lang w:val="fr-FR"/>
              </w:rPr>
              <w:t>220</w:t>
            </w:r>
            <w:r w:rsidR="00056202">
              <w:rPr>
                <w:noProof/>
                <w:lang w:val="fr-FR"/>
              </w:rPr>
              <w:t> </w:t>
            </w:r>
            <w:r w:rsidR="0033581F">
              <w:rPr>
                <w:noProof/>
                <w:lang w:val="fr-FR"/>
              </w:rPr>
              <w:t>enfants et jeunes pris en charge par l’État</w:t>
            </w:r>
            <w:r w:rsidRPr="00DD03D6">
              <w:rPr>
                <w:noProof/>
                <w:lang w:val="fr-FR"/>
              </w:rPr>
              <w:t>.</w:t>
            </w:r>
          </w:p>
        </w:tc>
      </w:tr>
    </w:tbl>
    <w:p w:rsidR="008342B8" w:rsidRPr="00DD03D6" w:rsidRDefault="0033581F" w:rsidP="00526CD9">
      <w:pPr>
        <w:pStyle w:val="SingleTxtG"/>
        <w:numPr>
          <w:ilvl w:val="0"/>
          <w:numId w:val="3"/>
        </w:numPr>
        <w:spacing w:before="240"/>
        <w:ind w:left="1134" w:firstLine="0"/>
        <w:rPr>
          <w:noProof/>
          <w:lang w:val="fr-FR"/>
        </w:rPr>
      </w:pPr>
      <w:r>
        <w:rPr>
          <w:noProof/>
          <w:lang w:val="fr-FR"/>
        </w:rPr>
        <w:t xml:space="preserve">Un certain nombre de </w:t>
      </w:r>
      <w:r w:rsidR="008342B8" w:rsidRPr="00DD03D6">
        <w:rPr>
          <w:noProof/>
          <w:lang w:val="fr-FR"/>
        </w:rPr>
        <w:t xml:space="preserve">publications </w:t>
      </w:r>
      <w:r>
        <w:rPr>
          <w:noProof/>
          <w:lang w:val="fr-FR"/>
        </w:rPr>
        <w:t xml:space="preserve">sur la Convention relative aux droits de l’enfant sont accessibles sur le site Web du Ministère de l’enfance et de la jeunesse </w:t>
      </w:r>
      <w:r w:rsidR="008342B8" w:rsidRPr="00DD03D6">
        <w:rPr>
          <w:noProof/>
          <w:lang w:val="fr-FR"/>
        </w:rPr>
        <w:t>(</w:t>
      </w:r>
      <w:hyperlink r:id="rId13" w:history="1">
        <w:r w:rsidR="008342B8" w:rsidRPr="00DD03D6">
          <w:rPr>
            <w:rStyle w:val="Lienhypertexte"/>
            <w:noProof/>
            <w:lang w:val="fr-FR"/>
          </w:rPr>
          <w:t>www.dcya.ie</w:t>
        </w:r>
      </w:hyperlink>
      <w:r w:rsidR="008342B8" w:rsidRPr="00DD03D6">
        <w:rPr>
          <w:noProof/>
          <w:lang w:val="fr-FR"/>
        </w:rPr>
        <w:t xml:space="preserve">). </w:t>
      </w:r>
      <w:r w:rsidR="007E5F45">
        <w:rPr>
          <w:noProof/>
          <w:lang w:val="fr-FR"/>
        </w:rPr>
        <w:t xml:space="preserve">Ce sont le texte de la </w:t>
      </w:r>
      <w:r w:rsidR="008342B8" w:rsidRPr="00DD03D6">
        <w:rPr>
          <w:noProof/>
          <w:lang w:val="fr-FR"/>
        </w:rPr>
        <w:t xml:space="preserve">Convention, </w:t>
      </w:r>
      <w:r w:rsidR="007E5F45">
        <w:rPr>
          <w:noProof/>
          <w:lang w:val="fr-FR"/>
        </w:rPr>
        <w:t>une brochure d’</w:t>
      </w:r>
      <w:r w:rsidR="008342B8" w:rsidRPr="00DD03D6">
        <w:rPr>
          <w:noProof/>
          <w:lang w:val="fr-FR"/>
        </w:rPr>
        <w:t xml:space="preserve">information </w:t>
      </w:r>
      <w:r w:rsidR="007E5F45">
        <w:rPr>
          <w:noProof/>
          <w:lang w:val="fr-FR"/>
        </w:rPr>
        <w:t>à l’intention des enfants</w:t>
      </w:r>
      <w:r w:rsidR="008342B8" w:rsidRPr="00DD03D6">
        <w:rPr>
          <w:noProof/>
          <w:lang w:val="fr-FR"/>
        </w:rPr>
        <w:t xml:space="preserve">, </w:t>
      </w:r>
      <w:r w:rsidR="007E5F45">
        <w:rPr>
          <w:noProof/>
          <w:lang w:val="fr-FR"/>
        </w:rPr>
        <w:t xml:space="preserve">le rapport initial </w:t>
      </w:r>
      <w:r w:rsidR="008342B8" w:rsidRPr="00DD03D6">
        <w:rPr>
          <w:noProof/>
          <w:lang w:val="fr-FR"/>
        </w:rPr>
        <w:t xml:space="preserve">(1996) </w:t>
      </w:r>
      <w:r w:rsidR="007E5F45">
        <w:rPr>
          <w:noProof/>
          <w:lang w:val="fr-FR"/>
        </w:rPr>
        <w:t xml:space="preserve">et le deuxième rapport périodique </w:t>
      </w:r>
      <w:r w:rsidR="008342B8" w:rsidRPr="00DD03D6">
        <w:rPr>
          <w:noProof/>
          <w:lang w:val="fr-FR"/>
        </w:rPr>
        <w:t>(2005)</w:t>
      </w:r>
      <w:r w:rsidR="006F0691" w:rsidRPr="00DD03D6">
        <w:rPr>
          <w:noProof/>
          <w:lang w:val="fr-FR"/>
        </w:rPr>
        <w:t xml:space="preserve"> </w:t>
      </w:r>
      <w:r w:rsidR="007E5F45">
        <w:rPr>
          <w:noProof/>
          <w:lang w:val="fr-FR"/>
        </w:rPr>
        <w:t>de l’Irlande au Comité des droits de l’enfant</w:t>
      </w:r>
      <w:r w:rsidR="008342B8" w:rsidRPr="00DD03D6">
        <w:rPr>
          <w:noProof/>
          <w:lang w:val="fr-FR"/>
        </w:rPr>
        <w:t xml:space="preserve">, </w:t>
      </w:r>
      <w:r w:rsidR="007E5F45">
        <w:rPr>
          <w:noProof/>
          <w:lang w:val="fr-FR"/>
        </w:rPr>
        <w:t xml:space="preserve">et les </w:t>
      </w:r>
      <w:r w:rsidR="00526CD9" w:rsidRPr="00DD03D6">
        <w:rPr>
          <w:noProof/>
          <w:lang w:val="fr-FR"/>
        </w:rPr>
        <w:t xml:space="preserve">observations </w:t>
      </w:r>
      <w:r w:rsidR="007E5F45">
        <w:rPr>
          <w:noProof/>
          <w:lang w:val="fr-FR"/>
        </w:rPr>
        <w:t>finales du Comité sur le deuxième rapport</w:t>
      </w:r>
      <w:r w:rsidR="008342B8" w:rsidRPr="00DD03D6">
        <w:rPr>
          <w:noProof/>
          <w:lang w:val="fr-FR"/>
        </w:rPr>
        <w:t xml:space="preserve">. </w:t>
      </w:r>
      <w:r w:rsidR="007E5F45">
        <w:rPr>
          <w:noProof/>
          <w:lang w:val="fr-FR"/>
        </w:rPr>
        <w:t xml:space="preserve">De plus, le deuxième rapport de l’Irlande a été publié et largement diffusé par le Bureau national des enfants </w:t>
      </w:r>
      <w:r w:rsidR="008342B8" w:rsidRPr="00DD03D6">
        <w:rPr>
          <w:noProof/>
          <w:lang w:val="fr-FR"/>
        </w:rPr>
        <w:t>(</w:t>
      </w:r>
      <w:r w:rsidR="007E5F45">
        <w:rPr>
          <w:noProof/>
          <w:lang w:val="fr-FR"/>
        </w:rPr>
        <w:t>Bureau national des enfants</w:t>
      </w:r>
      <w:r w:rsidR="008342B8" w:rsidRPr="00DD03D6">
        <w:rPr>
          <w:noProof/>
          <w:lang w:val="fr-FR"/>
        </w:rPr>
        <w:t>, 2005a).</w:t>
      </w:r>
    </w:p>
    <w:p w:rsidR="008342B8" w:rsidRPr="00DD03D6" w:rsidRDefault="007E5F45" w:rsidP="00E32333">
      <w:pPr>
        <w:pStyle w:val="SingleTxtG"/>
        <w:numPr>
          <w:ilvl w:val="0"/>
          <w:numId w:val="3"/>
        </w:numPr>
        <w:ind w:left="1134" w:firstLine="0"/>
        <w:rPr>
          <w:noProof/>
          <w:lang w:val="fr-FR"/>
        </w:rPr>
      </w:pPr>
      <w:r>
        <w:rPr>
          <w:noProof/>
          <w:lang w:val="fr-FR"/>
        </w:rPr>
        <w:t>L’éducation aux droits de l’homme est intégrée au programme d’éducation s</w:t>
      </w:r>
      <w:r w:rsidR="008342B8" w:rsidRPr="00DD03D6">
        <w:rPr>
          <w:noProof/>
          <w:lang w:val="fr-FR"/>
        </w:rPr>
        <w:t>ocial</w:t>
      </w:r>
      <w:r>
        <w:rPr>
          <w:noProof/>
          <w:lang w:val="fr-FR"/>
        </w:rPr>
        <w:t>e</w:t>
      </w:r>
      <w:r w:rsidR="008342B8" w:rsidRPr="00DD03D6">
        <w:rPr>
          <w:noProof/>
          <w:lang w:val="fr-FR"/>
        </w:rPr>
        <w:t xml:space="preserve">, </w:t>
      </w:r>
      <w:r>
        <w:rPr>
          <w:noProof/>
          <w:lang w:val="fr-FR"/>
        </w:rPr>
        <w:t>personnelle et sanitaire dispensé dans le cadre du programme des études primaires et au programme d’éducatio</w:t>
      </w:r>
      <w:r w:rsidR="0067229F">
        <w:rPr>
          <w:noProof/>
          <w:lang w:val="fr-FR"/>
        </w:rPr>
        <w:t>n civique, sociale et politique</w:t>
      </w:r>
      <w:r>
        <w:rPr>
          <w:noProof/>
          <w:lang w:val="fr-FR"/>
        </w:rPr>
        <w:t xml:space="preserve"> dispensé dans les écoles secondaires</w:t>
      </w:r>
      <w:r w:rsidR="008342B8" w:rsidRPr="00DD03D6">
        <w:rPr>
          <w:noProof/>
          <w:lang w:val="fr-FR"/>
        </w:rPr>
        <w:t xml:space="preserve">. </w:t>
      </w:r>
      <w:r w:rsidR="0067229F">
        <w:rPr>
          <w:noProof/>
          <w:lang w:val="fr-FR"/>
        </w:rPr>
        <w:t xml:space="preserve">Ces deux </w:t>
      </w:r>
      <w:r w:rsidR="008342B8" w:rsidRPr="00DD03D6">
        <w:rPr>
          <w:noProof/>
          <w:lang w:val="fr-FR"/>
        </w:rPr>
        <w:t xml:space="preserve">programmes </w:t>
      </w:r>
      <w:r w:rsidR="00050B0A">
        <w:rPr>
          <w:noProof/>
          <w:lang w:val="fr-FR"/>
        </w:rPr>
        <w:t>portent sur les droits individuels et collectifs et les responsabilités correspondantes</w:t>
      </w:r>
      <w:r w:rsidR="008342B8" w:rsidRPr="00DD03D6">
        <w:rPr>
          <w:noProof/>
          <w:lang w:val="fr-FR"/>
        </w:rPr>
        <w:t xml:space="preserve">. </w:t>
      </w:r>
      <w:r w:rsidR="00050B0A">
        <w:rPr>
          <w:noProof/>
          <w:lang w:val="fr-FR"/>
        </w:rPr>
        <w:t>E</w:t>
      </w:r>
      <w:r w:rsidR="008342B8" w:rsidRPr="00DD03D6">
        <w:rPr>
          <w:noProof/>
          <w:lang w:val="fr-FR"/>
        </w:rPr>
        <w:t xml:space="preserve">n </w:t>
      </w:r>
      <w:r w:rsidR="00050B0A">
        <w:rPr>
          <w:noProof/>
          <w:lang w:val="fr-FR"/>
        </w:rPr>
        <w:t xml:space="preserve">outre, le </w:t>
      </w:r>
      <w:r w:rsidR="00384B3E">
        <w:rPr>
          <w:noProof/>
          <w:lang w:val="fr-FR"/>
        </w:rPr>
        <w:t>Programme « </w:t>
      </w:r>
      <w:r w:rsidR="008342B8" w:rsidRPr="00DD03D6">
        <w:rPr>
          <w:noProof/>
          <w:lang w:val="fr-FR"/>
        </w:rPr>
        <w:t>Lift Off</w:t>
      </w:r>
      <w:r w:rsidR="00384B3E">
        <w:rPr>
          <w:noProof/>
          <w:lang w:val="fr-FR"/>
        </w:rPr>
        <w:t> » est un programme facultatif dispensé aux élèves du primaire qui fournit un outil spécifique de promotion des droits de l’homme</w:t>
      </w:r>
      <w:r w:rsidR="008342B8" w:rsidRPr="00DD03D6">
        <w:rPr>
          <w:noProof/>
          <w:lang w:val="fr-FR"/>
        </w:rPr>
        <w:t xml:space="preserve"> </w:t>
      </w:r>
      <w:r w:rsidR="00384B3E">
        <w:rPr>
          <w:noProof/>
          <w:lang w:val="fr-FR"/>
        </w:rPr>
        <w:t>et des outils didactiques détaillés sur la Convention relative aux droits de l’enfant</w:t>
      </w:r>
      <w:r w:rsidR="008342B8" w:rsidRPr="00DD03D6">
        <w:rPr>
          <w:noProof/>
          <w:lang w:val="fr-FR"/>
        </w:rPr>
        <w:t xml:space="preserve">. </w:t>
      </w:r>
    </w:p>
    <w:p w:rsidR="008342B8" w:rsidRDefault="00B61C2C" w:rsidP="00E32333">
      <w:pPr>
        <w:pStyle w:val="SingleTxtG"/>
        <w:numPr>
          <w:ilvl w:val="0"/>
          <w:numId w:val="3"/>
        </w:numPr>
        <w:ind w:left="1134" w:firstLine="0"/>
        <w:rPr>
          <w:noProof/>
          <w:lang w:val="fr-FR"/>
        </w:rPr>
      </w:pPr>
      <w:r>
        <w:rPr>
          <w:noProof/>
          <w:lang w:val="fr-FR"/>
        </w:rPr>
        <w:lastRenderedPageBreak/>
        <w:t xml:space="preserve">La formation </w:t>
      </w:r>
      <w:r w:rsidR="008342B8" w:rsidRPr="00DD03D6">
        <w:rPr>
          <w:noProof/>
          <w:lang w:val="fr-FR"/>
        </w:rPr>
        <w:t>initial</w:t>
      </w:r>
      <w:r>
        <w:rPr>
          <w:noProof/>
          <w:lang w:val="fr-FR"/>
        </w:rPr>
        <w:t>e</w:t>
      </w:r>
      <w:r w:rsidR="008342B8" w:rsidRPr="00DD03D6">
        <w:rPr>
          <w:noProof/>
          <w:lang w:val="fr-FR"/>
        </w:rPr>
        <w:t xml:space="preserve"> </w:t>
      </w:r>
      <w:r>
        <w:rPr>
          <w:noProof/>
          <w:lang w:val="fr-FR"/>
        </w:rPr>
        <w:t xml:space="preserve">des enseignants du primaire et du secondaire comprend un certain nombre de </w:t>
      </w:r>
      <w:r w:rsidR="008342B8" w:rsidRPr="00DD03D6">
        <w:rPr>
          <w:noProof/>
          <w:lang w:val="fr-FR"/>
        </w:rPr>
        <w:t xml:space="preserve">modules </w:t>
      </w:r>
      <w:r>
        <w:rPr>
          <w:noProof/>
          <w:lang w:val="fr-FR"/>
        </w:rPr>
        <w:t xml:space="preserve">et de cours à option concernant la </w:t>
      </w:r>
      <w:r w:rsidR="008342B8" w:rsidRPr="00DD03D6">
        <w:rPr>
          <w:noProof/>
          <w:lang w:val="fr-FR"/>
        </w:rPr>
        <w:t xml:space="preserve">promotion </w:t>
      </w:r>
      <w:r>
        <w:rPr>
          <w:noProof/>
          <w:lang w:val="fr-FR"/>
        </w:rPr>
        <w:t>des droits de l’homme</w:t>
      </w:r>
      <w:r w:rsidR="008342B8" w:rsidRPr="00DD03D6">
        <w:rPr>
          <w:noProof/>
          <w:lang w:val="fr-FR"/>
        </w:rPr>
        <w:t xml:space="preserve">. </w:t>
      </w:r>
      <w:r>
        <w:rPr>
          <w:noProof/>
          <w:lang w:val="fr-FR"/>
        </w:rPr>
        <w:t>Il s’agit, pour les enseignants du primaire, des modules et cours suivants : intégration</w:t>
      </w:r>
      <w:r w:rsidR="008342B8" w:rsidRPr="00DD03D6">
        <w:rPr>
          <w:noProof/>
          <w:lang w:val="fr-FR"/>
        </w:rPr>
        <w:t xml:space="preserve">; </w:t>
      </w:r>
      <w:r w:rsidR="00C63707">
        <w:rPr>
          <w:noProof/>
          <w:lang w:val="fr-FR"/>
        </w:rPr>
        <w:t>retard éducatif</w:t>
      </w:r>
      <w:r w:rsidR="008342B8" w:rsidRPr="00DD03D6">
        <w:rPr>
          <w:noProof/>
          <w:lang w:val="fr-FR"/>
        </w:rPr>
        <w:t xml:space="preserve">; </w:t>
      </w:r>
      <w:r w:rsidR="00C63707">
        <w:rPr>
          <w:noProof/>
          <w:lang w:val="fr-FR"/>
        </w:rPr>
        <w:t>éducation interculturelle</w:t>
      </w:r>
      <w:r w:rsidR="008342B8" w:rsidRPr="00DD03D6">
        <w:rPr>
          <w:noProof/>
          <w:lang w:val="fr-FR"/>
        </w:rPr>
        <w:t xml:space="preserve">; </w:t>
      </w:r>
      <w:r w:rsidR="00C63707">
        <w:rPr>
          <w:noProof/>
          <w:lang w:val="fr-FR"/>
        </w:rPr>
        <w:t>égalité et diversité culturelle</w:t>
      </w:r>
      <w:r w:rsidR="008342B8" w:rsidRPr="00DD03D6">
        <w:rPr>
          <w:noProof/>
          <w:lang w:val="fr-FR"/>
        </w:rPr>
        <w:t xml:space="preserve">; </w:t>
      </w:r>
      <w:r w:rsidR="00C63707">
        <w:rPr>
          <w:noProof/>
          <w:lang w:val="fr-FR"/>
        </w:rPr>
        <w:t>et justice s</w:t>
      </w:r>
      <w:r w:rsidR="008342B8" w:rsidRPr="00DD03D6">
        <w:rPr>
          <w:noProof/>
          <w:lang w:val="fr-FR"/>
        </w:rPr>
        <w:t>ocial</w:t>
      </w:r>
      <w:r w:rsidR="00C63707">
        <w:rPr>
          <w:noProof/>
          <w:lang w:val="fr-FR"/>
        </w:rPr>
        <w:t>e</w:t>
      </w:r>
      <w:r w:rsidR="008342B8" w:rsidRPr="00DD03D6">
        <w:rPr>
          <w:noProof/>
          <w:lang w:val="fr-FR"/>
        </w:rPr>
        <w:t xml:space="preserve">. </w:t>
      </w:r>
      <w:r w:rsidR="00C63707">
        <w:rPr>
          <w:noProof/>
          <w:lang w:val="fr-FR"/>
        </w:rPr>
        <w:t>Pour les enseignants du secondaire, ces modules et cours portent sur l’égalité et la diversité</w:t>
      </w:r>
      <w:r w:rsidR="008342B8" w:rsidRPr="00DD03D6">
        <w:rPr>
          <w:noProof/>
          <w:lang w:val="fr-FR"/>
        </w:rPr>
        <w:t xml:space="preserve">; </w:t>
      </w:r>
      <w:r w:rsidR="00C63707">
        <w:rPr>
          <w:noProof/>
          <w:lang w:val="fr-FR"/>
        </w:rPr>
        <w:t>la j</w:t>
      </w:r>
      <w:r w:rsidR="008342B8" w:rsidRPr="00DD03D6">
        <w:rPr>
          <w:noProof/>
          <w:lang w:val="fr-FR"/>
        </w:rPr>
        <w:t>ustice</w:t>
      </w:r>
      <w:r w:rsidR="00C63707">
        <w:rPr>
          <w:noProof/>
          <w:lang w:val="fr-FR"/>
        </w:rPr>
        <w:t xml:space="preserve"> sociale</w:t>
      </w:r>
      <w:r w:rsidR="008342B8" w:rsidRPr="00DD03D6">
        <w:rPr>
          <w:noProof/>
          <w:lang w:val="fr-FR"/>
        </w:rPr>
        <w:t xml:space="preserve">; </w:t>
      </w:r>
      <w:r w:rsidR="00C63707">
        <w:rPr>
          <w:noProof/>
          <w:lang w:val="fr-FR"/>
        </w:rPr>
        <w:t>le m</w:t>
      </w:r>
      <w:r w:rsidR="008342B8" w:rsidRPr="00DD03D6">
        <w:rPr>
          <w:noProof/>
          <w:lang w:val="fr-FR"/>
        </w:rPr>
        <w:t>ulticulturalism</w:t>
      </w:r>
      <w:r w:rsidR="00C63707">
        <w:rPr>
          <w:noProof/>
          <w:lang w:val="fr-FR"/>
        </w:rPr>
        <w:t>e</w:t>
      </w:r>
      <w:r w:rsidR="008342B8" w:rsidRPr="00DD03D6">
        <w:rPr>
          <w:noProof/>
          <w:lang w:val="fr-FR"/>
        </w:rPr>
        <w:t xml:space="preserve">; </w:t>
      </w:r>
      <w:r w:rsidR="00C63707">
        <w:rPr>
          <w:noProof/>
          <w:lang w:val="fr-FR"/>
        </w:rPr>
        <w:t>et l’intégration</w:t>
      </w:r>
      <w:r w:rsidR="008342B8" w:rsidRPr="00DD03D6">
        <w:rPr>
          <w:noProof/>
          <w:lang w:val="fr-FR"/>
        </w:rPr>
        <w:t xml:space="preserve">. </w:t>
      </w:r>
    </w:p>
    <w:p w:rsidR="008342B8" w:rsidRPr="00DD03D6" w:rsidRDefault="006C45EA" w:rsidP="00E32333">
      <w:pPr>
        <w:pStyle w:val="SingleTxtG"/>
        <w:numPr>
          <w:ilvl w:val="0"/>
          <w:numId w:val="3"/>
        </w:numPr>
        <w:ind w:left="1134" w:firstLine="0"/>
        <w:rPr>
          <w:noProof/>
          <w:lang w:val="fr-FR"/>
        </w:rPr>
      </w:pPr>
      <w:r>
        <w:rPr>
          <w:noProof/>
          <w:lang w:val="fr-FR"/>
        </w:rPr>
        <w:t>E</w:t>
      </w:r>
      <w:r w:rsidR="008342B8" w:rsidRPr="00DD03D6">
        <w:rPr>
          <w:noProof/>
          <w:lang w:val="fr-FR"/>
        </w:rPr>
        <w:t xml:space="preserve">n </w:t>
      </w:r>
      <w:r>
        <w:rPr>
          <w:noProof/>
          <w:lang w:val="fr-FR"/>
        </w:rPr>
        <w:t>av</w:t>
      </w:r>
      <w:r w:rsidR="008342B8" w:rsidRPr="00DD03D6">
        <w:rPr>
          <w:noProof/>
          <w:lang w:val="fr-FR"/>
        </w:rPr>
        <w:t xml:space="preserve">ril 2010, </w:t>
      </w:r>
      <w:r w:rsidR="00E87730">
        <w:rPr>
          <w:noProof/>
          <w:lang w:val="fr-FR"/>
        </w:rPr>
        <w:t xml:space="preserve">la </w:t>
      </w:r>
      <w:r w:rsidR="008342B8" w:rsidRPr="00DD03D6">
        <w:rPr>
          <w:noProof/>
          <w:lang w:val="fr-FR"/>
        </w:rPr>
        <w:t xml:space="preserve">Garda Síochána </w:t>
      </w:r>
      <w:r w:rsidR="00E87730">
        <w:rPr>
          <w:noProof/>
          <w:lang w:val="fr-FR"/>
        </w:rPr>
        <w:t xml:space="preserve">a publié </w:t>
      </w:r>
      <w:r w:rsidR="005E3C16">
        <w:rPr>
          <w:noProof/>
          <w:lang w:val="fr-FR"/>
        </w:rPr>
        <w:t xml:space="preserve">une politique globale concernant l’enquête sur les infractions sexuelles, les infractions contre les enfants et la protection de l’enfant, qui vise à associer </w:t>
      </w:r>
      <w:r w:rsidR="008342B8" w:rsidRPr="00DD03D6">
        <w:rPr>
          <w:noProof/>
          <w:lang w:val="fr-FR"/>
        </w:rPr>
        <w:t>professio</w:t>
      </w:r>
      <w:r w:rsidR="005E3C16">
        <w:rPr>
          <w:noProof/>
          <w:lang w:val="fr-FR"/>
        </w:rPr>
        <w:t>n</w:t>
      </w:r>
      <w:r w:rsidR="008342B8" w:rsidRPr="00DD03D6">
        <w:rPr>
          <w:noProof/>
          <w:lang w:val="fr-FR"/>
        </w:rPr>
        <w:t>nalism</w:t>
      </w:r>
      <w:r w:rsidR="005E3C16">
        <w:rPr>
          <w:noProof/>
          <w:lang w:val="fr-FR"/>
        </w:rPr>
        <w:t>e</w:t>
      </w:r>
      <w:r w:rsidR="008342B8" w:rsidRPr="00DD03D6">
        <w:rPr>
          <w:noProof/>
          <w:lang w:val="fr-FR"/>
        </w:rPr>
        <w:t xml:space="preserve"> </w:t>
      </w:r>
      <w:r w:rsidR="005E3C16">
        <w:rPr>
          <w:noProof/>
          <w:lang w:val="fr-FR"/>
        </w:rPr>
        <w:t xml:space="preserve">et doigté et </w:t>
      </w:r>
      <w:r w:rsidR="008342B8" w:rsidRPr="00DD03D6">
        <w:rPr>
          <w:noProof/>
          <w:lang w:val="fr-FR"/>
        </w:rPr>
        <w:t xml:space="preserve">compassion </w:t>
      </w:r>
      <w:r w:rsidR="005E3C16">
        <w:rPr>
          <w:noProof/>
          <w:lang w:val="fr-FR"/>
        </w:rPr>
        <w:t>dans l’enquête sur les infractions sexuelles</w:t>
      </w:r>
      <w:r w:rsidR="008342B8" w:rsidRPr="00DD03D6">
        <w:rPr>
          <w:noProof/>
          <w:lang w:val="fr-FR"/>
        </w:rPr>
        <w:t xml:space="preserve">. </w:t>
      </w:r>
      <w:r w:rsidR="00240D72">
        <w:rPr>
          <w:noProof/>
          <w:lang w:val="fr-FR"/>
        </w:rPr>
        <w:t>Un certain no</w:t>
      </w:r>
      <w:r w:rsidR="005E3C16">
        <w:rPr>
          <w:noProof/>
          <w:lang w:val="fr-FR"/>
        </w:rPr>
        <w:t>m</w:t>
      </w:r>
      <w:r w:rsidR="00240D72">
        <w:rPr>
          <w:noProof/>
          <w:lang w:val="fr-FR"/>
        </w:rPr>
        <w:t>b</w:t>
      </w:r>
      <w:r w:rsidR="005E3C16">
        <w:rPr>
          <w:noProof/>
          <w:lang w:val="fr-FR"/>
        </w:rPr>
        <w:t xml:space="preserve">re de membres sélectionnés de la </w:t>
      </w:r>
      <w:r w:rsidR="008342B8" w:rsidRPr="00DD03D6">
        <w:rPr>
          <w:noProof/>
          <w:lang w:val="fr-FR"/>
        </w:rPr>
        <w:t xml:space="preserve">Garda </w:t>
      </w:r>
      <w:r w:rsidR="005E3C16">
        <w:rPr>
          <w:noProof/>
          <w:lang w:val="fr-FR"/>
        </w:rPr>
        <w:t xml:space="preserve">ont suivi une formation poussée et ont été jugés aptes à </w:t>
      </w:r>
      <w:r w:rsidR="003741E4">
        <w:rPr>
          <w:noProof/>
          <w:lang w:val="fr-FR"/>
        </w:rPr>
        <w:t>s’occuper de toutes les victimes d’inf</w:t>
      </w:r>
      <w:r w:rsidR="00240D72">
        <w:rPr>
          <w:noProof/>
          <w:lang w:val="fr-FR"/>
        </w:rPr>
        <w:t>r</w:t>
      </w:r>
      <w:r w:rsidR="003741E4">
        <w:rPr>
          <w:noProof/>
          <w:lang w:val="fr-FR"/>
        </w:rPr>
        <w:t>actions graves, notamment les enfants âgés de moins de 14 ans et les personnes présentant un handicap intellectuel</w:t>
      </w:r>
      <w:r w:rsidR="008342B8" w:rsidRPr="00DD03D6">
        <w:rPr>
          <w:noProof/>
          <w:lang w:val="fr-FR"/>
        </w:rPr>
        <w:t xml:space="preserve">. </w:t>
      </w:r>
      <w:r w:rsidR="00B0704F">
        <w:rPr>
          <w:noProof/>
          <w:lang w:val="fr-FR"/>
        </w:rPr>
        <w:t xml:space="preserve">Le nombre de policiers ainsi formés dépend du </w:t>
      </w:r>
      <w:r w:rsidR="008342B8" w:rsidRPr="00DD03D6">
        <w:rPr>
          <w:noProof/>
          <w:lang w:val="fr-FR"/>
        </w:rPr>
        <w:t xml:space="preserve">volume </w:t>
      </w:r>
      <w:r w:rsidR="00B0704F">
        <w:rPr>
          <w:noProof/>
          <w:lang w:val="fr-FR"/>
        </w:rPr>
        <w:t xml:space="preserve">des infractions graves </w:t>
      </w:r>
      <w:r w:rsidR="005134A8">
        <w:rPr>
          <w:noProof/>
          <w:lang w:val="fr-FR"/>
        </w:rPr>
        <w:t xml:space="preserve">que la Garda doit traiter au niveau d’un </w:t>
      </w:r>
      <w:r w:rsidR="00B0704F">
        <w:rPr>
          <w:noProof/>
          <w:lang w:val="fr-FR"/>
        </w:rPr>
        <w:t>district</w:t>
      </w:r>
      <w:r w:rsidR="001713CB">
        <w:rPr>
          <w:noProof/>
          <w:lang w:val="fr-FR"/>
        </w:rPr>
        <w:t>, d’une division ou d’</w:t>
      </w:r>
      <w:r w:rsidR="005134A8">
        <w:rPr>
          <w:noProof/>
          <w:lang w:val="fr-FR"/>
        </w:rPr>
        <w:t>une région</w:t>
      </w:r>
      <w:r w:rsidR="008342B8" w:rsidRPr="00DD03D6">
        <w:rPr>
          <w:noProof/>
          <w:lang w:val="fr-FR"/>
        </w:rPr>
        <w:t xml:space="preserve">. </w:t>
      </w:r>
      <w:r w:rsidR="005134A8">
        <w:rPr>
          <w:noProof/>
          <w:lang w:val="fr-FR"/>
        </w:rPr>
        <w:t xml:space="preserve">Ces </w:t>
      </w:r>
      <w:r w:rsidR="00F77A69">
        <w:rPr>
          <w:noProof/>
          <w:lang w:val="fr-FR"/>
        </w:rPr>
        <w:t>responsables d’entretien</w:t>
      </w:r>
      <w:r w:rsidR="005134A8">
        <w:rPr>
          <w:noProof/>
          <w:lang w:val="fr-FR"/>
        </w:rPr>
        <w:t xml:space="preserve"> spécialisés </w:t>
      </w:r>
      <w:r w:rsidR="006202CB">
        <w:rPr>
          <w:noProof/>
          <w:lang w:val="fr-FR"/>
        </w:rPr>
        <w:t xml:space="preserve">sont disponibles pour cette tâche en cas de besoin et </w:t>
      </w:r>
      <w:r w:rsidR="00F77A69">
        <w:rPr>
          <w:noProof/>
          <w:lang w:val="fr-FR"/>
        </w:rPr>
        <w:t xml:space="preserve">l’entretien avec des </w:t>
      </w:r>
      <w:r w:rsidR="006202CB">
        <w:rPr>
          <w:noProof/>
          <w:lang w:val="fr-FR"/>
        </w:rPr>
        <w:t>enfants de moins de 14 ans a la priorité sur toute autre fonction</w:t>
      </w:r>
      <w:r w:rsidR="008342B8" w:rsidRPr="00DD03D6">
        <w:rPr>
          <w:noProof/>
          <w:lang w:val="fr-FR"/>
        </w:rPr>
        <w:t xml:space="preserve">. </w:t>
      </w:r>
      <w:r w:rsidR="006202CB">
        <w:rPr>
          <w:noProof/>
          <w:lang w:val="fr-FR"/>
        </w:rPr>
        <w:t xml:space="preserve">Un membre de la </w:t>
      </w:r>
      <w:r w:rsidR="008342B8" w:rsidRPr="00DD03D6">
        <w:rPr>
          <w:noProof/>
          <w:lang w:val="fr-FR"/>
        </w:rPr>
        <w:t xml:space="preserve">Garda </w:t>
      </w:r>
      <w:r w:rsidR="006202CB">
        <w:rPr>
          <w:noProof/>
          <w:lang w:val="fr-FR"/>
        </w:rPr>
        <w:t xml:space="preserve">qui n’a pas suivi une formation spécialisée dans la conduite d’un entretien avec une victime n’interrogera un enfant âgé de moins de 14 ans qui a été victime d’une infraction sexuelle ou d’une infraction commise avec </w:t>
      </w:r>
      <w:r w:rsidR="008342B8" w:rsidRPr="00DD03D6">
        <w:rPr>
          <w:noProof/>
          <w:lang w:val="fr-FR"/>
        </w:rPr>
        <w:t xml:space="preserve">violence </w:t>
      </w:r>
      <w:r w:rsidR="006202CB">
        <w:rPr>
          <w:noProof/>
          <w:lang w:val="fr-FR"/>
        </w:rPr>
        <w:t xml:space="preserve">ou menaces de </w:t>
      </w:r>
      <w:r w:rsidR="00240D72">
        <w:rPr>
          <w:noProof/>
          <w:lang w:val="fr-FR"/>
        </w:rPr>
        <w:t>v</w:t>
      </w:r>
      <w:r w:rsidR="008342B8" w:rsidRPr="00DD03D6">
        <w:rPr>
          <w:noProof/>
          <w:lang w:val="fr-FR"/>
        </w:rPr>
        <w:t>iolence</w:t>
      </w:r>
      <w:r w:rsidR="006202CB">
        <w:rPr>
          <w:noProof/>
          <w:lang w:val="fr-FR"/>
        </w:rPr>
        <w:t xml:space="preserve"> que dans des circonstances exceptionnelles </w:t>
      </w:r>
      <w:r w:rsidR="00240D72">
        <w:rPr>
          <w:noProof/>
          <w:lang w:val="fr-FR"/>
        </w:rPr>
        <w:t xml:space="preserve">et </w:t>
      </w:r>
      <w:r w:rsidR="008342B8" w:rsidRPr="00DD03D6">
        <w:rPr>
          <w:noProof/>
          <w:lang w:val="fr-FR"/>
        </w:rPr>
        <w:t>urgent</w:t>
      </w:r>
      <w:r w:rsidR="00240D72">
        <w:rPr>
          <w:noProof/>
          <w:lang w:val="fr-FR"/>
        </w:rPr>
        <w:t>es</w:t>
      </w:r>
      <w:r w:rsidR="008342B8" w:rsidRPr="00DD03D6">
        <w:rPr>
          <w:noProof/>
          <w:lang w:val="fr-FR"/>
        </w:rPr>
        <w:t>.</w:t>
      </w:r>
    </w:p>
    <w:p w:rsidR="008342B8" w:rsidRPr="00DD03D6" w:rsidRDefault="00E32333" w:rsidP="007F712C">
      <w:pPr>
        <w:pStyle w:val="H1G"/>
        <w:rPr>
          <w:noProof/>
          <w:lang w:val="fr-FR"/>
        </w:rPr>
      </w:pPr>
      <w:bookmarkStart w:id="18" w:name="_Toc356430847"/>
      <w:r w:rsidRPr="00DD03D6">
        <w:rPr>
          <w:noProof/>
          <w:lang w:val="fr-FR"/>
        </w:rPr>
        <w:tab/>
      </w:r>
      <w:r w:rsidR="008342B8" w:rsidRPr="00DD03D6">
        <w:rPr>
          <w:noProof/>
          <w:lang w:val="fr-FR"/>
        </w:rPr>
        <w:t>H.</w:t>
      </w:r>
      <w:r w:rsidR="008342B8" w:rsidRPr="00DD03D6">
        <w:rPr>
          <w:noProof/>
          <w:lang w:val="fr-FR"/>
        </w:rPr>
        <w:tab/>
      </w:r>
      <w:r w:rsidR="000F2008" w:rsidRPr="00DD03D6">
        <w:rPr>
          <w:noProof/>
          <w:lang w:val="fr-FR"/>
        </w:rPr>
        <w:t>Di</w:t>
      </w:r>
      <w:r w:rsidR="000F2008">
        <w:rPr>
          <w:noProof/>
          <w:lang w:val="fr-FR"/>
        </w:rPr>
        <w:t xml:space="preserve">ffusion des rapports périodiques de l’État partie et des </w:t>
      </w:r>
      <w:r w:rsidR="000F2008" w:rsidRPr="00DD03D6">
        <w:rPr>
          <w:noProof/>
          <w:lang w:val="fr-FR"/>
        </w:rPr>
        <w:t xml:space="preserve">observations </w:t>
      </w:r>
      <w:r w:rsidR="000F2008">
        <w:rPr>
          <w:noProof/>
          <w:lang w:val="fr-FR"/>
        </w:rPr>
        <w:t xml:space="preserve">finales du Comité auprès du </w:t>
      </w:r>
      <w:r w:rsidR="000F2008" w:rsidRPr="00DD03D6">
        <w:rPr>
          <w:noProof/>
          <w:lang w:val="fr-FR"/>
        </w:rPr>
        <w:t xml:space="preserve">public, </w:t>
      </w:r>
      <w:r w:rsidR="000F2008">
        <w:rPr>
          <w:noProof/>
          <w:lang w:val="fr-FR"/>
        </w:rPr>
        <w:t xml:space="preserve">de la société </w:t>
      </w:r>
      <w:r w:rsidR="000F2008" w:rsidRPr="00DD03D6">
        <w:rPr>
          <w:noProof/>
          <w:lang w:val="fr-FR"/>
        </w:rPr>
        <w:t>civil</w:t>
      </w:r>
      <w:r w:rsidR="000F2008">
        <w:rPr>
          <w:noProof/>
          <w:lang w:val="fr-FR"/>
        </w:rPr>
        <w:t>e</w:t>
      </w:r>
      <w:r w:rsidR="000F2008" w:rsidRPr="00DD03D6">
        <w:rPr>
          <w:noProof/>
          <w:lang w:val="fr-FR"/>
        </w:rPr>
        <w:t xml:space="preserve">, </w:t>
      </w:r>
      <w:r w:rsidR="000F2008">
        <w:rPr>
          <w:noProof/>
          <w:lang w:val="fr-FR"/>
        </w:rPr>
        <w:t xml:space="preserve">des </w:t>
      </w:r>
      <w:r w:rsidR="000F2008" w:rsidRPr="00DD03D6">
        <w:rPr>
          <w:noProof/>
          <w:lang w:val="fr-FR"/>
        </w:rPr>
        <w:t>organisations</w:t>
      </w:r>
      <w:r w:rsidR="000F2008">
        <w:rPr>
          <w:noProof/>
          <w:lang w:val="fr-FR"/>
        </w:rPr>
        <w:t xml:space="preserve"> professionnelles</w:t>
      </w:r>
      <w:r w:rsidR="000F2008" w:rsidRPr="00DD03D6">
        <w:rPr>
          <w:noProof/>
          <w:lang w:val="fr-FR"/>
        </w:rPr>
        <w:t>,</w:t>
      </w:r>
      <w:r w:rsidR="000F2008">
        <w:rPr>
          <w:noProof/>
          <w:lang w:val="fr-FR"/>
        </w:rPr>
        <w:t xml:space="preserve"> des syndicats</w:t>
      </w:r>
      <w:r w:rsidR="000F2008" w:rsidRPr="00DD03D6">
        <w:rPr>
          <w:noProof/>
          <w:lang w:val="fr-FR"/>
        </w:rPr>
        <w:t xml:space="preserve">, </w:t>
      </w:r>
      <w:r w:rsidR="000F2008">
        <w:rPr>
          <w:noProof/>
          <w:lang w:val="fr-FR"/>
        </w:rPr>
        <w:t xml:space="preserve">des </w:t>
      </w:r>
      <w:r w:rsidR="000F2008" w:rsidRPr="00DD03D6">
        <w:rPr>
          <w:noProof/>
          <w:lang w:val="fr-FR"/>
        </w:rPr>
        <w:t xml:space="preserve">organisations </w:t>
      </w:r>
      <w:r w:rsidR="000F2008">
        <w:rPr>
          <w:noProof/>
          <w:lang w:val="fr-FR"/>
        </w:rPr>
        <w:t xml:space="preserve">religieuses et autres </w:t>
      </w:r>
      <w:bookmarkEnd w:id="18"/>
    </w:p>
    <w:p w:rsidR="008342B8" w:rsidRPr="00DD03D6" w:rsidRDefault="000F2008" w:rsidP="00DB6788">
      <w:pPr>
        <w:pStyle w:val="SingleTxtG"/>
        <w:numPr>
          <w:ilvl w:val="0"/>
          <w:numId w:val="3"/>
        </w:numPr>
        <w:ind w:left="1134" w:firstLine="0"/>
        <w:rPr>
          <w:noProof/>
          <w:lang w:val="fr-FR"/>
        </w:rPr>
      </w:pPr>
      <w:r>
        <w:rPr>
          <w:noProof/>
          <w:lang w:val="fr-FR"/>
        </w:rPr>
        <w:t xml:space="preserve">La presse écrite, la radio et la télévision rendent largement compte des rapports périodiques, qui sont mis à la disposition de toutes les ONG compétentes par </w:t>
      </w:r>
      <w:r w:rsidR="00295559">
        <w:rPr>
          <w:noProof/>
          <w:lang w:val="fr-FR"/>
        </w:rPr>
        <w:t xml:space="preserve">le biais </w:t>
      </w:r>
      <w:r>
        <w:rPr>
          <w:noProof/>
          <w:lang w:val="fr-FR"/>
        </w:rPr>
        <w:t>de l’</w:t>
      </w:r>
      <w:r w:rsidR="008342B8" w:rsidRPr="00DD03D6">
        <w:rPr>
          <w:noProof/>
          <w:lang w:val="fr-FR"/>
        </w:rPr>
        <w:t>Alliance</w:t>
      </w:r>
      <w:r>
        <w:rPr>
          <w:noProof/>
          <w:lang w:val="fr-FR"/>
        </w:rPr>
        <w:t xml:space="preserve"> pour les droits de</w:t>
      </w:r>
      <w:r w:rsidR="00AF3C92">
        <w:rPr>
          <w:noProof/>
          <w:lang w:val="fr-FR"/>
        </w:rPr>
        <w:t>s</w:t>
      </w:r>
      <w:r>
        <w:rPr>
          <w:noProof/>
          <w:lang w:val="fr-FR"/>
        </w:rPr>
        <w:t xml:space="preserve"> enfant</w:t>
      </w:r>
      <w:r w:rsidR="00AF3C92">
        <w:rPr>
          <w:noProof/>
          <w:lang w:val="fr-FR"/>
        </w:rPr>
        <w:t>s</w:t>
      </w:r>
      <w:r w:rsidR="008342B8" w:rsidRPr="00DD03D6">
        <w:rPr>
          <w:noProof/>
          <w:lang w:val="fr-FR"/>
        </w:rPr>
        <w:t xml:space="preserve">. </w:t>
      </w:r>
      <w:r>
        <w:rPr>
          <w:noProof/>
          <w:lang w:val="fr-FR"/>
        </w:rPr>
        <w:t xml:space="preserve">Ces rapports, ainsi que des exemplaires des observations finales du Comité des droits de l’enfant, sont également diffusés sur les sites Web du Gouvernement par </w:t>
      </w:r>
      <w:r w:rsidR="00295559">
        <w:rPr>
          <w:noProof/>
          <w:lang w:val="fr-FR"/>
        </w:rPr>
        <w:t xml:space="preserve">l’intermédiaire </w:t>
      </w:r>
      <w:r>
        <w:rPr>
          <w:noProof/>
          <w:lang w:val="fr-FR"/>
        </w:rPr>
        <w:t xml:space="preserve">du Ministère de l’enfance et de la jeunesse </w:t>
      </w:r>
      <w:r w:rsidR="008342B8" w:rsidRPr="00DD03D6">
        <w:rPr>
          <w:noProof/>
          <w:lang w:val="fr-FR"/>
        </w:rPr>
        <w:t>(</w:t>
      </w:r>
      <w:hyperlink r:id="rId14" w:history="1">
        <w:r w:rsidR="008342B8" w:rsidRPr="00DD03D6">
          <w:rPr>
            <w:rStyle w:val="Lienhypertexte"/>
            <w:noProof/>
            <w:lang w:val="fr-FR"/>
          </w:rPr>
          <w:t>www.dcya.ie</w:t>
        </w:r>
      </w:hyperlink>
      <w:r w:rsidR="008342B8" w:rsidRPr="00DD03D6">
        <w:rPr>
          <w:noProof/>
          <w:lang w:val="fr-FR"/>
        </w:rPr>
        <w:t xml:space="preserve">) </w:t>
      </w:r>
      <w:r>
        <w:rPr>
          <w:noProof/>
          <w:lang w:val="fr-FR"/>
        </w:rPr>
        <w:t xml:space="preserve">et peuvent également être achetés sous forme imprimée </w:t>
      </w:r>
      <w:r w:rsidR="00295559">
        <w:rPr>
          <w:noProof/>
          <w:lang w:val="fr-FR"/>
        </w:rPr>
        <w:t xml:space="preserve">pendant une période limitée après leur publication par le canal des </w:t>
      </w:r>
      <w:r w:rsidR="008342B8" w:rsidRPr="00DD03D6">
        <w:rPr>
          <w:noProof/>
          <w:lang w:val="fr-FR"/>
        </w:rPr>
        <w:t>Publications</w:t>
      </w:r>
      <w:r w:rsidR="00295559">
        <w:rPr>
          <w:noProof/>
          <w:lang w:val="fr-FR"/>
        </w:rPr>
        <w:t xml:space="preserve"> du Gouvernement</w:t>
      </w:r>
      <w:r w:rsidR="008342B8" w:rsidRPr="00DD03D6">
        <w:rPr>
          <w:noProof/>
          <w:lang w:val="fr-FR"/>
        </w:rPr>
        <w:t xml:space="preserve">. </w:t>
      </w:r>
      <w:r w:rsidR="00295559">
        <w:rPr>
          <w:noProof/>
          <w:lang w:val="fr-FR"/>
        </w:rPr>
        <w:t xml:space="preserve">Un nombre limité d’exemplaires sont réservés aux élèves et étudiants, aux </w:t>
      </w:r>
      <w:r w:rsidR="00295559">
        <w:rPr>
          <w:lang w:val="fr-FR"/>
        </w:rPr>
        <w:t xml:space="preserve">chercheurs dans le domaine des politiques publiques et aux </w:t>
      </w:r>
      <w:r w:rsidR="00295559">
        <w:rPr>
          <w:noProof/>
          <w:lang w:val="fr-FR"/>
        </w:rPr>
        <w:t>universitaires</w:t>
      </w:r>
      <w:r w:rsidR="00295559" w:rsidRPr="00DD03D6">
        <w:rPr>
          <w:noProof/>
          <w:lang w:val="fr-FR"/>
        </w:rPr>
        <w:t xml:space="preserve">, </w:t>
      </w:r>
      <w:r w:rsidR="00295559">
        <w:rPr>
          <w:noProof/>
          <w:lang w:val="fr-FR"/>
        </w:rPr>
        <w:t>ainsi que, sur demande, aux écoles où sont dispensés des modules d’éducation aux droits de l’homme</w:t>
      </w:r>
      <w:r w:rsidR="008342B8" w:rsidRPr="00DD03D6">
        <w:rPr>
          <w:noProof/>
          <w:lang w:val="fr-FR"/>
        </w:rPr>
        <w:t>.</w:t>
      </w:r>
    </w:p>
    <w:p w:rsidR="008342B8" w:rsidRPr="00DD03D6" w:rsidRDefault="00E32333" w:rsidP="003A2811">
      <w:pPr>
        <w:pStyle w:val="H1G"/>
        <w:rPr>
          <w:noProof/>
          <w:lang w:val="fr-FR"/>
        </w:rPr>
      </w:pPr>
      <w:bookmarkStart w:id="19" w:name="_Toc356430848"/>
      <w:r w:rsidRPr="00DD03D6">
        <w:rPr>
          <w:noProof/>
          <w:lang w:val="fr-FR"/>
        </w:rPr>
        <w:tab/>
      </w:r>
      <w:r w:rsidR="008342B8" w:rsidRPr="00DD03D6">
        <w:rPr>
          <w:noProof/>
          <w:lang w:val="fr-FR"/>
        </w:rPr>
        <w:t>I.</w:t>
      </w:r>
      <w:r w:rsidR="008342B8" w:rsidRPr="00DD03D6">
        <w:rPr>
          <w:noProof/>
          <w:lang w:val="fr-FR"/>
        </w:rPr>
        <w:tab/>
      </w:r>
      <w:r w:rsidR="00AF3C92" w:rsidRPr="00DD03D6">
        <w:rPr>
          <w:noProof/>
          <w:lang w:val="fr-FR"/>
        </w:rPr>
        <w:t>P</w:t>
      </w:r>
      <w:r w:rsidR="00AF3C92">
        <w:rPr>
          <w:noProof/>
          <w:lang w:val="fr-FR"/>
        </w:rPr>
        <w:t xml:space="preserve">rojet de diffusion du présent rapport périodique et des </w:t>
      </w:r>
      <w:r w:rsidR="00AF3C92" w:rsidRPr="00DD03D6">
        <w:rPr>
          <w:noProof/>
          <w:lang w:val="fr-FR"/>
        </w:rPr>
        <w:t xml:space="preserve">observations </w:t>
      </w:r>
      <w:r w:rsidR="00AF3C92">
        <w:rPr>
          <w:noProof/>
          <w:lang w:val="fr-FR"/>
        </w:rPr>
        <w:t>finales du Comité auprès du</w:t>
      </w:r>
      <w:r w:rsidR="00AF3C92" w:rsidRPr="00DD03D6">
        <w:rPr>
          <w:noProof/>
          <w:lang w:val="fr-FR"/>
        </w:rPr>
        <w:t xml:space="preserve"> public</w:t>
      </w:r>
      <w:bookmarkEnd w:id="19"/>
      <w:r w:rsidR="00E92D3C">
        <w:rPr>
          <w:noProof/>
          <w:lang w:val="fr-FR"/>
        </w:rPr>
        <w:t xml:space="preserve"> </w:t>
      </w:r>
    </w:p>
    <w:p w:rsidR="008342B8" w:rsidRPr="00DD03D6" w:rsidRDefault="006C317A" w:rsidP="00AB5D2C">
      <w:pPr>
        <w:pStyle w:val="SingleTxtG"/>
        <w:numPr>
          <w:ilvl w:val="0"/>
          <w:numId w:val="3"/>
        </w:numPr>
        <w:ind w:left="1134" w:firstLine="0"/>
        <w:rPr>
          <w:noProof/>
          <w:lang w:val="fr-FR"/>
        </w:rPr>
      </w:pPr>
      <w:r>
        <w:rPr>
          <w:noProof/>
          <w:lang w:val="fr-FR"/>
        </w:rPr>
        <w:t>Comme pour les précédents rapports, le présent rapport périodique et les observations finales dont il fera l’objet seront largement diffusés par le biais des médias, des ONG et des sites Web officiels</w:t>
      </w:r>
      <w:r w:rsidR="008342B8" w:rsidRPr="00DD03D6">
        <w:rPr>
          <w:noProof/>
          <w:lang w:val="fr-FR"/>
        </w:rPr>
        <w:t>.</w:t>
      </w:r>
    </w:p>
    <w:p w:rsidR="008342B8" w:rsidRPr="00DD03D6" w:rsidRDefault="00E32333" w:rsidP="00E32333">
      <w:pPr>
        <w:pStyle w:val="H1G"/>
        <w:rPr>
          <w:noProof/>
          <w:lang w:val="fr-FR"/>
        </w:rPr>
      </w:pPr>
      <w:bookmarkStart w:id="20" w:name="_Toc356430849"/>
      <w:r w:rsidRPr="00DD03D6">
        <w:rPr>
          <w:noProof/>
          <w:lang w:val="fr-FR"/>
        </w:rPr>
        <w:tab/>
      </w:r>
      <w:r w:rsidR="008342B8" w:rsidRPr="00DD03D6">
        <w:rPr>
          <w:noProof/>
          <w:lang w:val="fr-FR"/>
        </w:rPr>
        <w:t>J.</w:t>
      </w:r>
      <w:r w:rsidR="008342B8" w:rsidRPr="00DD03D6">
        <w:rPr>
          <w:noProof/>
          <w:lang w:val="fr-FR"/>
        </w:rPr>
        <w:tab/>
      </w:r>
      <w:r w:rsidR="006C317A" w:rsidRPr="00DD03D6">
        <w:rPr>
          <w:noProof/>
          <w:lang w:val="fr-FR"/>
        </w:rPr>
        <w:t>Coop</w:t>
      </w:r>
      <w:r w:rsidR="006C317A">
        <w:rPr>
          <w:noProof/>
          <w:lang w:val="fr-FR"/>
        </w:rPr>
        <w:t>é</w:t>
      </w:r>
      <w:r w:rsidR="006C317A" w:rsidRPr="00DD03D6">
        <w:rPr>
          <w:noProof/>
          <w:lang w:val="fr-FR"/>
        </w:rPr>
        <w:t xml:space="preserve">ration </w:t>
      </w:r>
      <w:r w:rsidR="006C317A">
        <w:rPr>
          <w:noProof/>
          <w:lang w:val="fr-FR"/>
        </w:rPr>
        <w:t xml:space="preserve">avec les </w:t>
      </w:r>
      <w:r w:rsidR="006C317A" w:rsidRPr="007F641E">
        <w:rPr>
          <w:noProof/>
          <w:lang w:val="fr-FR"/>
        </w:rPr>
        <w:t xml:space="preserve">organisations de </w:t>
      </w:r>
      <w:r w:rsidR="006C317A">
        <w:rPr>
          <w:noProof/>
          <w:lang w:val="fr-FR"/>
        </w:rPr>
        <w:t>la</w:t>
      </w:r>
      <w:r w:rsidR="006C317A" w:rsidRPr="007F641E">
        <w:rPr>
          <w:noProof/>
          <w:lang w:val="fr-FR"/>
        </w:rPr>
        <w:t xml:space="preserve"> société civile (notamment les ONG</w:t>
      </w:r>
      <w:r w:rsidR="006C317A">
        <w:rPr>
          <w:noProof/>
          <w:lang w:val="fr-FR"/>
        </w:rPr>
        <w:t xml:space="preserve"> </w:t>
      </w:r>
      <w:r w:rsidR="006C317A" w:rsidRPr="007F641E">
        <w:rPr>
          <w:noProof/>
          <w:lang w:val="fr-FR"/>
        </w:rPr>
        <w:t xml:space="preserve">et les </w:t>
      </w:r>
      <w:r w:rsidR="006C317A" w:rsidRPr="007F641E">
        <w:rPr>
          <w:noProof/>
          <w:color w:val="000000"/>
          <w:lang w:val="fr-FR"/>
        </w:rPr>
        <w:t>groupes représentant les enfants et les jeunes</w:t>
      </w:r>
      <w:r w:rsidR="006C317A" w:rsidRPr="007F641E">
        <w:rPr>
          <w:noProof/>
          <w:lang w:val="fr-FR"/>
        </w:rPr>
        <w:t>)</w:t>
      </w:r>
      <w:r w:rsidR="006C317A">
        <w:rPr>
          <w:noProof/>
          <w:lang w:val="fr-FR"/>
        </w:rPr>
        <w:t xml:space="preserve"> </w:t>
      </w:r>
      <w:bookmarkEnd w:id="20"/>
    </w:p>
    <w:p w:rsidR="008342B8" w:rsidRPr="00DD03D6" w:rsidRDefault="00024914" w:rsidP="00E32333">
      <w:pPr>
        <w:pStyle w:val="SingleTxtG"/>
        <w:numPr>
          <w:ilvl w:val="0"/>
          <w:numId w:val="3"/>
        </w:numPr>
        <w:ind w:left="1134" w:firstLine="0"/>
        <w:rPr>
          <w:noProof/>
          <w:lang w:val="fr-FR"/>
        </w:rPr>
      </w:pPr>
      <w:r>
        <w:rPr>
          <w:noProof/>
          <w:lang w:val="fr-FR"/>
        </w:rPr>
        <w:t xml:space="preserve">Dans le cadre de la Stratégie nationale en faveur des enfants pour </w:t>
      </w:r>
      <w:r w:rsidR="008342B8" w:rsidRPr="00DD03D6">
        <w:rPr>
          <w:noProof/>
          <w:lang w:val="fr-FR"/>
        </w:rPr>
        <w:t xml:space="preserve">2000-2010, </w:t>
      </w:r>
      <w:r>
        <w:rPr>
          <w:noProof/>
          <w:lang w:val="fr-FR"/>
        </w:rPr>
        <w:t xml:space="preserve">diverses </w:t>
      </w:r>
      <w:r w:rsidR="008342B8" w:rsidRPr="00DD03D6">
        <w:rPr>
          <w:noProof/>
          <w:lang w:val="fr-FR"/>
        </w:rPr>
        <w:t xml:space="preserve">structures </w:t>
      </w:r>
      <w:r>
        <w:rPr>
          <w:noProof/>
          <w:lang w:val="fr-FR"/>
        </w:rPr>
        <w:t xml:space="preserve">ont été mises en </w:t>
      </w:r>
      <w:r w:rsidR="008342B8" w:rsidRPr="00DD03D6">
        <w:rPr>
          <w:noProof/>
          <w:lang w:val="fr-FR"/>
        </w:rPr>
        <w:t xml:space="preserve">place </w:t>
      </w:r>
      <w:r>
        <w:rPr>
          <w:noProof/>
          <w:lang w:val="fr-FR"/>
        </w:rPr>
        <w:t xml:space="preserve">pour permettre aux ONG et aux groupes </w:t>
      </w:r>
      <w:r>
        <w:rPr>
          <w:noProof/>
          <w:lang w:val="fr-FR"/>
        </w:rPr>
        <w:lastRenderedPageBreak/>
        <w:t>représentant les enfants et les jeunes de s’impliquer activement dans la planification, le suivi et la réalisation des progrès de l’Irlande en matière de droits des enfants</w:t>
      </w:r>
      <w:r w:rsidR="008342B8" w:rsidRPr="00DD03D6">
        <w:rPr>
          <w:noProof/>
          <w:lang w:val="fr-FR"/>
        </w:rPr>
        <w:t xml:space="preserve">. </w:t>
      </w:r>
    </w:p>
    <w:p w:rsidR="008342B8" w:rsidRPr="00DD03D6" w:rsidRDefault="004F64B7" w:rsidP="00E32333">
      <w:pPr>
        <w:pStyle w:val="SingleTxtG"/>
        <w:numPr>
          <w:ilvl w:val="0"/>
          <w:numId w:val="3"/>
        </w:numPr>
        <w:ind w:left="1134" w:firstLine="0"/>
        <w:rPr>
          <w:noProof/>
          <w:lang w:val="fr-FR"/>
        </w:rPr>
      </w:pPr>
      <w:r>
        <w:rPr>
          <w:noProof/>
          <w:lang w:val="fr-FR" w:eastAsia="en-IE"/>
        </w:rPr>
        <w:t>Le Conseil n</w:t>
      </w:r>
      <w:r w:rsidR="008342B8" w:rsidRPr="00DD03D6">
        <w:rPr>
          <w:noProof/>
          <w:lang w:val="fr-FR"/>
        </w:rPr>
        <w:t>ational</w:t>
      </w:r>
      <w:r w:rsidR="008342B8" w:rsidRPr="00DD03D6">
        <w:rPr>
          <w:noProof/>
          <w:lang w:val="fr-FR" w:eastAsia="en-IE"/>
        </w:rPr>
        <w:t xml:space="preserve"> </w:t>
      </w:r>
      <w:r>
        <w:rPr>
          <w:noProof/>
          <w:lang w:val="fr-FR" w:eastAsia="en-IE"/>
        </w:rPr>
        <w:t xml:space="preserve">consultatif sur les enfants fournit des avis au Ministre de l’enfance et de la jeunesse et se compose de </w:t>
      </w:r>
      <w:r w:rsidR="008342B8" w:rsidRPr="00DD03D6">
        <w:rPr>
          <w:noProof/>
          <w:lang w:val="fr-FR" w:eastAsia="en-IE"/>
        </w:rPr>
        <w:t>repr</w:t>
      </w:r>
      <w:r>
        <w:rPr>
          <w:noProof/>
          <w:lang w:val="fr-FR" w:eastAsia="en-IE"/>
        </w:rPr>
        <w:t>é</w:t>
      </w:r>
      <w:r w:rsidR="008342B8" w:rsidRPr="00DD03D6">
        <w:rPr>
          <w:noProof/>
          <w:lang w:val="fr-FR" w:eastAsia="en-IE"/>
        </w:rPr>
        <w:t>senta</w:t>
      </w:r>
      <w:r>
        <w:rPr>
          <w:noProof/>
          <w:lang w:val="fr-FR" w:eastAsia="en-IE"/>
        </w:rPr>
        <w:t>nts des organismes publics, du secteur associatif, des milieux de la recherche</w:t>
      </w:r>
      <w:r w:rsidR="008342B8" w:rsidRPr="00DD03D6">
        <w:rPr>
          <w:noProof/>
          <w:lang w:val="fr-FR" w:eastAsia="en-IE"/>
        </w:rPr>
        <w:t xml:space="preserve">, </w:t>
      </w:r>
      <w:r>
        <w:rPr>
          <w:noProof/>
          <w:lang w:val="fr-FR" w:eastAsia="en-IE"/>
        </w:rPr>
        <w:t xml:space="preserve">des </w:t>
      </w:r>
      <w:r w:rsidR="008342B8" w:rsidRPr="00DD03D6">
        <w:rPr>
          <w:noProof/>
          <w:lang w:val="fr-FR" w:eastAsia="en-IE"/>
        </w:rPr>
        <w:t xml:space="preserve">parents </w:t>
      </w:r>
      <w:r>
        <w:rPr>
          <w:noProof/>
          <w:lang w:val="fr-FR" w:eastAsia="en-IE"/>
        </w:rPr>
        <w:t>et des jeunes</w:t>
      </w:r>
      <w:r w:rsidR="008342B8" w:rsidRPr="00DD03D6">
        <w:rPr>
          <w:noProof/>
          <w:lang w:val="fr-FR" w:eastAsia="en-IE"/>
        </w:rPr>
        <w:t xml:space="preserve">. </w:t>
      </w:r>
      <w:r>
        <w:rPr>
          <w:noProof/>
          <w:lang w:val="fr-FR" w:eastAsia="en-IE"/>
        </w:rPr>
        <w:t xml:space="preserve">Il est principalement chargé de contribuer à la mise en place d’une </w:t>
      </w:r>
      <w:r w:rsidR="00BE0589">
        <w:rPr>
          <w:noProof/>
          <w:lang w:val="fr-FR" w:eastAsia="en-IE"/>
        </w:rPr>
        <w:t xml:space="preserve">solide </w:t>
      </w:r>
      <w:r w:rsidR="002F123D">
        <w:rPr>
          <w:noProof/>
          <w:lang w:val="fr-FR" w:eastAsia="en-IE"/>
        </w:rPr>
        <w:t xml:space="preserve">interface de collaboration </w:t>
      </w:r>
      <w:r w:rsidR="00BE0589">
        <w:rPr>
          <w:noProof/>
          <w:lang w:val="fr-FR" w:eastAsia="en-IE"/>
        </w:rPr>
        <w:t xml:space="preserve">entre les prestataires publics et privés de services aux enfants afin d’améliorer la situation des enfants et des jeunes. </w:t>
      </w:r>
    </w:p>
    <w:p w:rsidR="008342B8" w:rsidRPr="00DD03D6" w:rsidRDefault="008A65F2" w:rsidP="00905485">
      <w:pPr>
        <w:pStyle w:val="SingleTxtG"/>
        <w:numPr>
          <w:ilvl w:val="0"/>
          <w:numId w:val="3"/>
        </w:numPr>
        <w:ind w:left="1134" w:firstLine="0"/>
        <w:rPr>
          <w:noProof/>
          <w:lang w:val="fr-FR"/>
        </w:rPr>
      </w:pPr>
      <w:r>
        <w:rPr>
          <w:noProof/>
          <w:lang w:val="fr-FR"/>
        </w:rPr>
        <w:t>Sous la direction du Ministère de l’enfance et de la jeunesse, l’Initiative pour la concertation en faveur des enfants (</w:t>
      </w:r>
      <w:r w:rsidR="008342B8" w:rsidRPr="00DD03D6">
        <w:rPr>
          <w:noProof/>
          <w:lang w:val="fr-FR"/>
        </w:rPr>
        <w:t>Working Together for Children Initiative</w:t>
      </w:r>
      <w:r>
        <w:rPr>
          <w:noProof/>
          <w:lang w:val="fr-FR"/>
        </w:rPr>
        <w:t>)</w:t>
      </w:r>
      <w:r w:rsidR="008342B8" w:rsidRPr="00DD03D6">
        <w:rPr>
          <w:noProof/>
          <w:lang w:val="fr-FR"/>
        </w:rPr>
        <w:t xml:space="preserve"> </w:t>
      </w:r>
      <w:r>
        <w:rPr>
          <w:noProof/>
          <w:lang w:val="fr-FR"/>
        </w:rPr>
        <w:t xml:space="preserve">se propose d’élaborer et d’appliquer un modèle de planification </w:t>
      </w:r>
      <w:r w:rsidR="00B24474">
        <w:rPr>
          <w:noProof/>
          <w:lang w:val="fr-FR"/>
        </w:rPr>
        <w:t>des activités interinstitutions menées aux échelons national et local</w:t>
      </w:r>
      <w:r w:rsidR="008342B8" w:rsidRPr="00DD03D6">
        <w:rPr>
          <w:noProof/>
          <w:lang w:val="fr-FR"/>
        </w:rPr>
        <w:t xml:space="preserve">, </w:t>
      </w:r>
      <w:r w:rsidR="00B24474">
        <w:rPr>
          <w:noProof/>
          <w:lang w:val="fr-FR"/>
        </w:rPr>
        <w:t xml:space="preserve">dans le but d’améliorer les conditions de développement des enfants </w:t>
      </w:r>
      <w:r w:rsidR="005220A8">
        <w:rPr>
          <w:noProof/>
          <w:lang w:val="fr-FR"/>
        </w:rPr>
        <w:t xml:space="preserve">grâce à une intégration plus efficace des politiques et des </w:t>
      </w:r>
      <w:r w:rsidR="008342B8" w:rsidRPr="00DD03D6">
        <w:rPr>
          <w:noProof/>
          <w:lang w:val="fr-FR"/>
        </w:rPr>
        <w:t xml:space="preserve">services. </w:t>
      </w:r>
      <w:r w:rsidR="005220A8">
        <w:rPr>
          <w:noProof/>
          <w:lang w:val="fr-FR"/>
        </w:rPr>
        <w:t xml:space="preserve">La création des comités des services aux enfants à l’échelle du pays est une composante essentielle de cette </w:t>
      </w:r>
      <w:r w:rsidR="008342B8" w:rsidRPr="00DD03D6">
        <w:rPr>
          <w:noProof/>
          <w:lang w:val="fr-FR"/>
        </w:rPr>
        <w:t>initiative (</w:t>
      </w:r>
      <w:r w:rsidR="005220A8">
        <w:rPr>
          <w:noProof/>
          <w:lang w:val="fr-FR"/>
        </w:rPr>
        <w:t xml:space="preserve">voir </w:t>
      </w:r>
      <w:r w:rsidR="00905485" w:rsidRPr="00DD03D6">
        <w:rPr>
          <w:noProof/>
          <w:lang w:val="fr-FR"/>
        </w:rPr>
        <w:t>p</w:t>
      </w:r>
      <w:r w:rsidR="00796A7C" w:rsidRPr="00DD03D6">
        <w:rPr>
          <w:noProof/>
          <w:lang w:val="fr-FR"/>
        </w:rPr>
        <w:t>ar</w:t>
      </w:r>
      <w:r w:rsidR="00905485" w:rsidRPr="00DD03D6">
        <w:rPr>
          <w:noProof/>
          <w:lang w:val="fr-FR"/>
        </w:rPr>
        <w:t>.</w:t>
      </w:r>
      <w:r w:rsidR="00796A7C" w:rsidRPr="00DD03D6">
        <w:rPr>
          <w:noProof/>
          <w:lang w:val="fr-FR"/>
        </w:rPr>
        <w:t> </w:t>
      </w:r>
      <w:r w:rsidR="008342B8" w:rsidRPr="00DD03D6">
        <w:rPr>
          <w:noProof/>
          <w:lang w:val="fr-FR"/>
        </w:rPr>
        <w:t xml:space="preserve">217). </w:t>
      </w:r>
    </w:p>
    <w:p w:rsidR="008342B8" w:rsidRPr="00DD03D6" w:rsidRDefault="00322F64" w:rsidP="00905485">
      <w:pPr>
        <w:pStyle w:val="SingleTxtG"/>
        <w:numPr>
          <w:ilvl w:val="0"/>
          <w:numId w:val="3"/>
        </w:numPr>
        <w:ind w:left="1134" w:firstLine="0"/>
        <w:rPr>
          <w:noProof/>
          <w:lang w:val="fr-FR"/>
        </w:rPr>
      </w:pPr>
      <w:r>
        <w:rPr>
          <w:noProof/>
          <w:lang w:val="fr-FR"/>
        </w:rPr>
        <w:t>Les diverses structures</w:t>
      </w:r>
      <w:r w:rsidR="008342B8" w:rsidRPr="00DD03D6">
        <w:rPr>
          <w:noProof/>
          <w:lang w:val="fr-FR"/>
        </w:rPr>
        <w:t xml:space="preserve"> consultative</w:t>
      </w:r>
      <w:r>
        <w:rPr>
          <w:noProof/>
          <w:lang w:val="fr-FR"/>
        </w:rPr>
        <w:t>s</w:t>
      </w:r>
      <w:r w:rsidR="008342B8" w:rsidRPr="00DD03D6">
        <w:rPr>
          <w:noProof/>
          <w:lang w:val="fr-FR"/>
        </w:rPr>
        <w:t xml:space="preserve"> </w:t>
      </w:r>
      <w:r>
        <w:rPr>
          <w:noProof/>
          <w:lang w:val="fr-FR"/>
        </w:rPr>
        <w:t xml:space="preserve">qui font participer les enfants et leur permettent de s’exprimer dans le cadre d’initiatives politiques, décisionnelles et </w:t>
      </w:r>
      <w:r w:rsidR="008342B8" w:rsidRPr="00DD03D6">
        <w:rPr>
          <w:noProof/>
          <w:lang w:val="fr-FR"/>
        </w:rPr>
        <w:t>consultative</w:t>
      </w:r>
      <w:r>
        <w:rPr>
          <w:noProof/>
          <w:lang w:val="fr-FR"/>
        </w:rPr>
        <w:t>s</w:t>
      </w:r>
      <w:r w:rsidR="008342B8" w:rsidRPr="00DD03D6">
        <w:rPr>
          <w:noProof/>
          <w:lang w:val="fr-FR"/>
        </w:rPr>
        <w:t xml:space="preserve"> </w:t>
      </w:r>
      <w:r>
        <w:rPr>
          <w:noProof/>
          <w:lang w:val="fr-FR"/>
        </w:rPr>
        <w:t xml:space="preserve">sont exposées en détail aux </w:t>
      </w:r>
      <w:r w:rsidR="00905485" w:rsidRPr="00DD03D6">
        <w:rPr>
          <w:noProof/>
          <w:lang w:val="fr-FR"/>
        </w:rPr>
        <w:t>p</w:t>
      </w:r>
      <w:r w:rsidR="00796A7C" w:rsidRPr="00DD03D6">
        <w:rPr>
          <w:noProof/>
          <w:lang w:val="fr-FR"/>
        </w:rPr>
        <w:t>aragraph</w:t>
      </w:r>
      <w:r>
        <w:rPr>
          <w:noProof/>
          <w:lang w:val="fr-FR"/>
        </w:rPr>
        <w:t>e</w:t>
      </w:r>
      <w:r w:rsidR="00796A7C" w:rsidRPr="00DD03D6">
        <w:rPr>
          <w:noProof/>
          <w:lang w:val="fr-FR"/>
        </w:rPr>
        <w:t>s </w:t>
      </w:r>
      <w:r w:rsidR="008342B8" w:rsidRPr="00DD03D6">
        <w:rPr>
          <w:noProof/>
          <w:lang w:val="fr-FR"/>
        </w:rPr>
        <w:t>310</w:t>
      </w:r>
      <w:r>
        <w:rPr>
          <w:noProof/>
          <w:lang w:val="fr-FR"/>
        </w:rPr>
        <w:t xml:space="preserve"> à </w:t>
      </w:r>
      <w:r w:rsidR="008342B8" w:rsidRPr="00DD03D6">
        <w:rPr>
          <w:noProof/>
          <w:lang w:val="fr-FR"/>
        </w:rPr>
        <w:t>314.</w:t>
      </w:r>
    </w:p>
    <w:p w:rsidR="008342B8" w:rsidRPr="00DD03D6" w:rsidRDefault="00322F64" w:rsidP="00E32333">
      <w:pPr>
        <w:pStyle w:val="SingleTxtG"/>
        <w:numPr>
          <w:ilvl w:val="0"/>
          <w:numId w:val="3"/>
        </w:numPr>
        <w:ind w:left="1134" w:firstLine="0"/>
        <w:rPr>
          <w:noProof/>
          <w:lang w:val="fr-FR"/>
        </w:rPr>
      </w:pPr>
      <w:r>
        <w:rPr>
          <w:noProof/>
          <w:lang w:val="fr-FR"/>
        </w:rPr>
        <w:t>Le Ministère de l’enfance et de la jeunesse a consulté l’Alliance pour les droits des enfants à l’occasion de l’établissement du présent rapport.</w:t>
      </w:r>
      <w:r w:rsidR="008342B8" w:rsidRPr="00DD03D6">
        <w:rPr>
          <w:noProof/>
          <w:lang w:val="fr-FR"/>
        </w:rPr>
        <w:t xml:space="preserve"> </w:t>
      </w:r>
      <w:r>
        <w:rPr>
          <w:noProof/>
          <w:lang w:val="fr-FR"/>
        </w:rPr>
        <w:t xml:space="preserve">Cette Alliance regroupe plus de 100 organisations membres, soit la majorité des </w:t>
      </w:r>
      <w:r w:rsidR="008342B8" w:rsidRPr="00DD03D6">
        <w:rPr>
          <w:noProof/>
          <w:lang w:val="fr-FR"/>
        </w:rPr>
        <w:t xml:space="preserve">organisations </w:t>
      </w:r>
      <w:r>
        <w:rPr>
          <w:noProof/>
          <w:lang w:val="fr-FR"/>
        </w:rPr>
        <w:t>qui s’occupent des droits et du bien-être des enfants en Irlande</w:t>
      </w:r>
      <w:r w:rsidR="008342B8" w:rsidRPr="00DD03D6">
        <w:rPr>
          <w:noProof/>
          <w:lang w:val="fr-FR"/>
        </w:rPr>
        <w:t xml:space="preserve">. </w:t>
      </w:r>
    </w:p>
    <w:p w:rsidR="008342B8" w:rsidRPr="00DD03D6" w:rsidRDefault="00322F64" w:rsidP="00C55FF9">
      <w:pPr>
        <w:pStyle w:val="SingleTxtG"/>
        <w:numPr>
          <w:ilvl w:val="0"/>
          <w:numId w:val="3"/>
        </w:numPr>
        <w:ind w:left="1134" w:firstLine="0"/>
        <w:rPr>
          <w:noProof/>
          <w:lang w:val="fr-FR"/>
        </w:rPr>
      </w:pPr>
      <w:r>
        <w:rPr>
          <w:noProof/>
          <w:lang w:val="fr-FR"/>
        </w:rPr>
        <w:t xml:space="preserve">Le présent rapport a été adressé, à l’état de projet, </w:t>
      </w:r>
      <w:r w:rsidR="000770DB">
        <w:rPr>
          <w:noProof/>
          <w:lang w:val="fr-FR"/>
        </w:rPr>
        <w:t xml:space="preserve">pour commentaires </w:t>
      </w:r>
      <w:r>
        <w:rPr>
          <w:noProof/>
          <w:lang w:val="fr-FR"/>
        </w:rPr>
        <w:t>à l’Alliance en décembre 2012</w:t>
      </w:r>
      <w:r w:rsidR="008342B8" w:rsidRPr="00DD03D6">
        <w:rPr>
          <w:noProof/>
          <w:lang w:val="fr-FR"/>
        </w:rPr>
        <w:t xml:space="preserve">. </w:t>
      </w:r>
      <w:r w:rsidR="000770DB">
        <w:rPr>
          <w:noProof/>
          <w:lang w:val="fr-FR"/>
        </w:rPr>
        <w:t xml:space="preserve">À cette occasion, le Groupe de liaison interministériel, qui avait été créé pour établir le projet de rapport, a rencontré l’Alliance et ses organisations membres le </w:t>
      </w:r>
      <w:r w:rsidR="00821A00">
        <w:rPr>
          <w:noProof/>
          <w:lang w:val="fr-FR"/>
        </w:rPr>
        <w:t>28 </w:t>
      </w:r>
      <w:r w:rsidR="000770DB">
        <w:rPr>
          <w:noProof/>
          <w:lang w:val="fr-FR"/>
        </w:rPr>
        <w:t xml:space="preserve">janvier </w:t>
      </w:r>
      <w:r w:rsidR="008342B8" w:rsidRPr="00DD03D6">
        <w:rPr>
          <w:noProof/>
          <w:lang w:val="fr-FR"/>
        </w:rPr>
        <w:t xml:space="preserve">2013. </w:t>
      </w:r>
      <w:r w:rsidR="000770DB">
        <w:rPr>
          <w:noProof/>
          <w:lang w:val="fr-FR"/>
        </w:rPr>
        <w:t xml:space="preserve">À la suite de cette rencontre, l’Alliance a soumis des observations initiales sur des points spécifiques le </w:t>
      </w:r>
      <w:r w:rsidR="008342B8" w:rsidRPr="00DD03D6">
        <w:rPr>
          <w:noProof/>
          <w:lang w:val="fr-FR"/>
        </w:rPr>
        <w:t xml:space="preserve">8 </w:t>
      </w:r>
      <w:r w:rsidR="000770DB">
        <w:rPr>
          <w:noProof/>
          <w:lang w:val="fr-FR"/>
        </w:rPr>
        <w:t xml:space="preserve">février </w:t>
      </w:r>
      <w:r w:rsidR="008342B8" w:rsidRPr="00DD03D6">
        <w:rPr>
          <w:noProof/>
          <w:lang w:val="fr-FR"/>
        </w:rPr>
        <w:t xml:space="preserve">2013, </w:t>
      </w:r>
      <w:r w:rsidR="000770DB">
        <w:rPr>
          <w:noProof/>
          <w:lang w:val="fr-FR"/>
        </w:rPr>
        <w:t xml:space="preserve">qui ont précédé une note de synthèse remise le </w:t>
      </w:r>
      <w:r w:rsidR="008342B8" w:rsidRPr="00DD03D6">
        <w:rPr>
          <w:noProof/>
          <w:lang w:val="fr-FR"/>
        </w:rPr>
        <w:t>25</w:t>
      </w:r>
      <w:r w:rsidR="00C55FF9" w:rsidRPr="00DD03D6">
        <w:rPr>
          <w:noProof/>
          <w:lang w:val="fr-FR"/>
        </w:rPr>
        <w:t> </w:t>
      </w:r>
      <w:r w:rsidR="000770DB">
        <w:rPr>
          <w:noProof/>
          <w:lang w:val="fr-FR"/>
        </w:rPr>
        <w:t xml:space="preserve">février </w:t>
      </w:r>
      <w:r w:rsidR="008342B8" w:rsidRPr="00DD03D6">
        <w:rPr>
          <w:noProof/>
          <w:lang w:val="fr-FR"/>
        </w:rPr>
        <w:t xml:space="preserve">2013. </w:t>
      </w:r>
      <w:r w:rsidR="000770DB">
        <w:rPr>
          <w:noProof/>
          <w:lang w:val="fr-FR"/>
        </w:rPr>
        <w:t>Le rapport a été révisé compte tenu d’un grand nombre des changements suggérés par l’Alliance</w:t>
      </w:r>
      <w:r w:rsidR="008342B8" w:rsidRPr="00DD03D6">
        <w:rPr>
          <w:noProof/>
          <w:lang w:val="fr-FR"/>
        </w:rPr>
        <w:t xml:space="preserve">. </w:t>
      </w:r>
      <w:r w:rsidR="000770DB">
        <w:rPr>
          <w:noProof/>
          <w:lang w:val="fr-FR"/>
        </w:rPr>
        <w:t>La note de synthèse de cette dernière est reproduite en annexe dans son intégralité</w:t>
      </w:r>
      <w:r w:rsidR="008342B8" w:rsidRPr="00DD03D6">
        <w:rPr>
          <w:noProof/>
          <w:lang w:val="fr-FR"/>
        </w:rPr>
        <w:t>.</w:t>
      </w:r>
    </w:p>
    <w:p w:rsidR="008342B8" w:rsidRPr="00DD03D6" w:rsidRDefault="000770DB" w:rsidP="00E32333">
      <w:pPr>
        <w:pStyle w:val="SingleTxtG"/>
        <w:numPr>
          <w:ilvl w:val="0"/>
          <w:numId w:val="3"/>
        </w:numPr>
        <w:ind w:left="1134" w:firstLine="0"/>
        <w:rPr>
          <w:noProof/>
          <w:lang w:val="fr-FR"/>
        </w:rPr>
      </w:pPr>
      <w:r>
        <w:rPr>
          <w:noProof/>
          <w:lang w:val="fr-FR"/>
        </w:rPr>
        <w:t>E</w:t>
      </w:r>
      <w:r w:rsidR="008342B8" w:rsidRPr="00DD03D6">
        <w:rPr>
          <w:noProof/>
          <w:lang w:val="fr-FR"/>
        </w:rPr>
        <w:t xml:space="preserve">n </w:t>
      </w:r>
      <w:r>
        <w:rPr>
          <w:noProof/>
          <w:lang w:val="fr-FR"/>
        </w:rPr>
        <w:t>outre, la Ministre de l’enfance et de la jeunesse et son ministère consultent des ONG en fonction des questions qu’ils ont à traiter</w:t>
      </w:r>
      <w:r w:rsidR="008342B8" w:rsidRPr="00DD03D6">
        <w:rPr>
          <w:noProof/>
          <w:lang w:val="fr-FR"/>
        </w:rPr>
        <w:t>.</w:t>
      </w:r>
    </w:p>
    <w:p w:rsidR="008342B8" w:rsidRPr="00DD03D6" w:rsidRDefault="008E1AF1" w:rsidP="003A2811">
      <w:pPr>
        <w:pStyle w:val="HChG"/>
        <w:rPr>
          <w:noProof/>
          <w:lang w:val="fr-FR"/>
        </w:rPr>
      </w:pPr>
      <w:bookmarkStart w:id="21" w:name="_Toc356430850"/>
      <w:r w:rsidRPr="00DD03D6">
        <w:rPr>
          <w:noProof/>
          <w:lang w:val="fr-FR"/>
        </w:rPr>
        <w:tab/>
      </w:r>
      <w:r w:rsidR="009E6BDD" w:rsidRPr="00DD03D6">
        <w:rPr>
          <w:noProof/>
          <w:lang w:val="fr-FR"/>
        </w:rPr>
        <w:t>II</w:t>
      </w:r>
      <w:r w:rsidR="008342B8" w:rsidRPr="00DD03D6">
        <w:rPr>
          <w:noProof/>
          <w:lang w:val="fr-FR"/>
        </w:rPr>
        <w:t>.</w:t>
      </w:r>
      <w:r w:rsidR="008342B8" w:rsidRPr="00DD03D6">
        <w:rPr>
          <w:noProof/>
          <w:lang w:val="fr-FR"/>
        </w:rPr>
        <w:tab/>
        <w:t>D</w:t>
      </w:r>
      <w:r w:rsidR="00706B1D">
        <w:rPr>
          <w:noProof/>
          <w:lang w:val="fr-FR"/>
        </w:rPr>
        <w:t>é</w:t>
      </w:r>
      <w:r w:rsidR="008342B8" w:rsidRPr="00DD03D6">
        <w:rPr>
          <w:noProof/>
          <w:lang w:val="fr-FR"/>
        </w:rPr>
        <w:t xml:space="preserve">finition </w:t>
      </w:r>
      <w:r w:rsidR="00706B1D">
        <w:rPr>
          <w:noProof/>
          <w:lang w:val="fr-FR"/>
        </w:rPr>
        <w:t xml:space="preserve">de l’enfant </w:t>
      </w:r>
      <w:bookmarkEnd w:id="21"/>
    </w:p>
    <w:p w:rsidR="008342B8" w:rsidRPr="00DD03D6" w:rsidRDefault="008E1AF1" w:rsidP="00522E7D">
      <w:pPr>
        <w:pStyle w:val="H1G"/>
        <w:rPr>
          <w:noProof/>
          <w:lang w:val="fr-FR"/>
        </w:rPr>
      </w:pPr>
      <w:bookmarkStart w:id="22" w:name="_Toc356430851"/>
      <w:r w:rsidRPr="00DD03D6">
        <w:rPr>
          <w:noProof/>
          <w:lang w:val="fr-FR"/>
        </w:rPr>
        <w:tab/>
      </w:r>
      <w:r w:rsidR="008342B8" w:rsidRPr="00DD03D6">
        <w:rPr>
          <w:noProof/>
          <w:lang w:val="fr-FR"/>
        </w:rPr>
        <w:tab/>
      </w:r>
      <w:r w:rsidR="00706B1D">
        <w:rPr>
          <w:noProof/>
          <w:lang w:val="fr-FR"/>
        </w:rPr>
        <w:t>Âge légal minimal : définitions</w:t>
      </w:r>
      <w:r w:rsidR="00706B1D" w:rsidRPr="00DD03D6">
        <w:rPr>
          <w:noProof/>
          <w:lang w:val="fr-FR"/>
        </w:rPr>
        <w:t xml:space="preserve"> </w:t>
      </w:r>
      <w:bookmarkEnd w:id="22"/>
    </w:p>
    <w:p w:rsidR="008342B8" w:rsidRPr="00DD03D6" w:rsidRDefault="008D4388" w:rsidP="00E77652">
      <w:pPr>
        <w:pStyle w:val="SingleTxtG"/>
        <w:numPr>
          <w:ilvl w:val="0"/>
          <w:numId w:val="3"/>
        </w:numPr>
        <w:ind w:left="1134" w:firstLine="0"/>
        <w:rPr>
          <w:noProof/>
          <w:lang w:val="fr-FR"/>
        </w:rPr>
      </w:pPr>
      <w:r>
        <w:rPr>
          <w:noProof/>
          <w:lang w:val="fr-FR"/>
        </w:rPr>
        <w:t xml:space="preserve">La </w:t>
      </w:r>
      <w:r w:rsidR="005D7533" w:rsidRPr="00DD03D6">
        <w:rPr>
          <w:noProof/>
          <w:lang w:val="fr-FR"/>
        </w:rPr>
        <w:t>d</w:t>
      </w:r>
      <w:r>
        <w:rPr>
          <w:noProof/>
          <w:lang w:val="fr-FR"/>
        </w:rPr>
        <w:t>é</w:t>
      </w:r>
      <w:r w:rsidR="005D7533" w:rsidRPr="00DD03D6">
        <w:rPr>
          <w:noProof/>
          <w:lang w:val="fr-FR"/>
        </w:rPr>
        <w:t xml:space="preserve">finition </w:t>
      </w:r>
      <w:r>
        <w:rPr>
          <w:noProof/>
          <w:lang w:val="fr-FR"/>
        </w:rPr>
        <w:t xml:space="preserve">de </w:t>
      </w:r>
      <w:r w:rsidR="003F36DD">
        <w:rPr>
          <w:noProof/>
          <w:lang w:val="fr-FR"/>
        </w:rPr>
        <w:t>« </w:t>
      </w:r>
      <w:r>
        <w:rPr>
          <w:noProof/>
          <w:lang w:val="fr-FR"/>
        </w:rPr>
        <w:t>l’enfant</w:t>
      </w:r>
      <w:r w:rsidR="003F36DD">
        <w:rPr>
          <w:noProof/>
          <w:lang w:val="fr-FR"/>
        </w:rPr>
        <w:t> »</w:t>
      </w:r>
      <w:r w:rsidR="008342B8" w:rsidRPr="00DD03D6">
        <w:rPr>
          <w:noProof/>
          <w:lang w:val="fr-FR"/>
        </w:rPr>
        <w:t xml:space="preserve"> </w:t>
      </w:r>
      <w:r>
        <w:rPr>
          <w:noProof/>
          <w:lang w:val="fr-FR"/>
        </w:rPr>
        <w:t xml:space="preserve">et les </w:t>
      </w:r>
      <w:r w:rsidRPr="008D4388">
        <w:rPr>
          <w:noProof/>
          <w:lang w:val="fr-FR"/>
        </w:rPr>
        <w:t>dispositions de la législation</w:t>
      </w:r>
      <w:r w:rsidRPr="008D4388">
        <w:rPr>
          <w:noProof/>
          <w:lang w:val="fr-FR"/>
        </w:rPr>
        <w:br/>
        <w:t>nationale relatives à l’âge minim</w:t>
      </w:r>
      <w:r>
        <w:rPr>
          <w:noProof/>
          <w:lang w:val="fr-FR"/>
        </w:rPr>
        <w:t>al</w:t>
      </w:r>
      <w:r w:rsidRPr="008D4388">
        <w:rPr>
          <w:noProof/>
          <w:lang w:val="fr-FR"/>
        </w:rPr>
        <w:t xml:space="preserve"> légal</w:t>
      </w:r>
      <w:r w:rsidRPr="00DD03D6">
        <w:rPr>
          <w:noProof/>
          <w:lang w:val="fr-FR"/>
        </w:rPr>
        <w:t xml:space="preserve"> </w:t>
      </w:r>
      <w:r>
        <w:rPr>
          <w:noProof/>
          <w:lang w:val="fr-FR"/>
        </w:rPr>
        <w:t xml:space="preserve">ont été indiquées d’une manière exhaustive dans le deuxième rapport de l’Irlande </w:t>
      </w:r>
      <w:r w:rsidR="008342B8" w:rsidRPr="00DD03D6">
        <w:rPr>
          <w:noProof/>
          <w:lang w:val="fr-FR"/>
        </w:rPr>
        <w:t>(</w:t>
      </w:r>
      <w:r>
        <w:rPr>
          <w:noProof/>
          <w:lang w:val="fr-FR"/>
        </w:rPr>
        <w:t>Bureau national des enfants</w:t>
      </w:r>
      <w:r w:rsidR="008342B8" w:rsidRPr="00DD03D6">
        <w:rPr>
          <w:noProof/>
          <w:lang w:val="fr-FR"/>
        </w:rPr>
        <w:t xml:space="preserve">, 2005a). </w:t>
      </w:r>
      <w:r w:rsidR="00C03190">
        <w:rPr>
          <w:noProof/>
          <w:lang w:val="fr-FR"/>
        </w:rPr>
        <w:t>Le tableau 4 fait la synthèse de cette information, en l’actualisant au besoin</w:t>
      </w:r>
      <w:r w:rsidR="008342B8" w:rsidRPr="00DD03D6">
        <w:rPr>
          <w:noProof/>
          <w:lang w:val="fr-FR"/>
        </w:rPr>
        <w:t>.</w:t>
      </w:r>
    </w:p>
    <w:p w:rsidR="008342B8" w:rsidRPr="00DD03D6" w:rsidRDefault="00FC2A0A" w:rsidP="00E627FF">
      <w:pPr>
        <w:pStyle w:val="H23G"/>
        <w:rPr>
          <w:noProof/>
          <w:lang w:val="fr-FR"/>
        </w:rPr>
      </w:pPr>
      <w:bookmarkStart w:id="23" w:name="_Toc362485747"/>
      <w:r w:rsidRPr="00DD03D6">
        <w:rPr>
          <w:noProof/>
          <w:lang w:val="fr-FR"/>
        </w:rPr>
        <w:lastRenderedPageBreak/>
        <w:tab/>
      </w:r>
      <w:r w:rsidRPr="00DD03D6">
        <w:rPr>
          <w:noProof/>
          <w:lang w:val="fr-FR"/>
        </w:rPr>
        <w:tab/>
      </w:r>
      <w:r w:rsidRPr="00DD03D6">
        <w:rPr>
          <w:b w:val="0"/>
          <w:bCs/>
          <w:noProof/>
          <w:lang w:val="fr-FR"/>
        </w:rPr>
        <w:t>Table</w:t>
      </w:r>
      <w:r w:rsidR="00C03190">
        <w:rPr>
          <w:b w:val="0"/>
          <w:bCs/>
          <w:noProof/>
          <w:lang w:val="fr-FR"/>
        </w:rPr>
        <w:t>au</w:t>
      </w:r>
      <w:r w:rsidRPr="00DD03D6">
        <w:rPr>
          <w:b w:val="0"/>
          <w:bCs/>
          <w:noProof/>
          <w:lang w:val="fr-FR"/>
        </w:rPr>
        <w:t xml:space="preserve"> 4</w:t>
      </w:r>
      <w:r w:rsidR="00CB5702" w:rsidRPr="00DD03D6">
        <w:rPr>
          <w:b w:val="0"/>
          <w:bCs/>
          <w:noProof/>
          <w:lang w:val="fr-FR"/>
        </w:rPr>
        <w:br/>
      </w:r>
      <w:r w:rsidR="005D7533" w:rsidRPr="00DD03D6">
        <w:rPr>
          <w:noProof/>
          <w:lang w:val="fr-FR"/>
        </w:rPr>
        <w:t>D</w:t>
      </w:r>
      <w:r w:rsidR="00C03190">
        <w:rPr>
          <w:noProof/>
          <w:lang w:val="fr-FR"/>
        </w:rPr>
        <w:t>é</w:t>
      </w:r>
      <w:r w:rsidR="005D7533" w:rsidRPr="00DD03D6">
        <w:rPr>
          <w:noProof/>
          <w:lang w:val="fr-FR"/>
        </w:rPr>
        <w:t xml:space="preserve">finition </w:t>
      </w:r>
      <w:r w:rsidR="00C03190">
        <w:rPr>
          <w:noProof/>
          <w:lang w:val="fr-FR"/>
        </w:rPr>
        <w:t>de</w:t>
      </w:r>
      <w:r w:rsidR="005D7533" w:rsidRPr="00DD03D6">
        <w:rPr>
          <w:noProof/>
          <w:lang w:val="fr-FR"/>
        </w:rPr>
        <w:t xml:space="preserve"> </w:t>
      </w:r>
      <w:r w:rsidR="003F36DD">
        <w:rPr>
          <w:noProof/>
          <w:lang w:val="fr-FR"/>
        </w:rPr>
        <w:t>« </w:t>
      </w:r>
      <w:r w:rsidR="00C03190">
        <w:rPr>
          <w:noProof/>
          <w:lang w:val="fr-FR"/>
        </w:rPr>
        <w:t>l’enfant</w:t>
      </w:r>
      <w:r w:rsidR="003F36DD">
        <w:rPr>
          <w:noProof/>
          <w:lang w:val="fr-FR"/>
        </w:rPr>
        <w:t> »</w:t>
      </w:r>
      <w:r w:rsidR="008342B8" w:rsidRPr="00DD03D6">
        <w:rPr>
          <w:noProof/>
          <w:lang w:val="fr-FR"/>
        </w:rPr>
        <w:t xml:space="preserve"> </w:t>
      </w:r>
      <w:r w:rsidR="00C03190">
        <w:rPr>
          <w:noProof/>
          <w:lang w:val="fr-FR"/>
        </w:rPr>
        <w:t xml:space="preserve">et </w:t>
      </w:r>
      <w:r w:rsidR="00C03190" w:rsidRPr="008D4388">
        <w:rPr>
          <w:noProof/>
          <w:lang w:val="fr-FR"/>
        </w:rPr>
        <w:t>dispositions relatives à l’âge minim</w:t>
      </w:r>
      <w:r w:rsidR="00C03190">
        <w:rPr>
          <w:noProof/>
          <w:lang w:val="fr-FR"/>
        </w:rPr>
        <w:t>al</w:t>
      </w:r>
      <w:r w:rsidR="00C03190" w:rsidRPr="008D4388">
        <w:rPr>
          <w:noProof/>
          <w:lang w:val="fr-FR"/>
        </w:rPr>
        <w:t xml:space="preserve"> légal</w:t>
      </w:r>
      <w:r w:rsidR="00C03190" w:rsidRPr="00DD03D6">
        <w:rPr>
          <w:noProof/>
          <w:lang w:val="fr-FR"/>
        </w:rPr>
        <w:t xml:space="preserve"> </w:t>
      </w:r>
      <w:bookmarkEnd w:id="23"/>
    </w:p>
    <w:tbl>
      <w:tblPr>
        <w:tblW w:w="850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253"/>
        <w:gridCol w:w="4253"/>
      </w:tblGrid>
      <w:tr w:rsidR="008342B8" w:rsidRPr="00DD03D6" w:rsidTr="00E627FF">
        <w:trPr>
          <w:trHeight w:val="240"/>
          <w:tblHeader/>
        </w:trPr>
        <w:tc>
          <w:tcPr>
            <w:tcW w:w="4253" w:type="dxa"/>
            <w:tcBorders>
              <w:top w:val="single" w:sz="4" w:space="0" w:color="auto"/>
              <w:bottom w:val="single" w:sz="12" w:space="0" w:color="auto"/>
            </w:tcBorders>
            <w:shd w:val="clear" w:color="auto" w:fill="auto"/>
            <w:vAlign w:val="bottom"/>
          </w:tcPr>
          <w:p w:rsidR="008342B8" w:rsidRPr="00DD03D6" w:rsidRDefault="00014F4F" w:rsidP="00014F4F">
            <w:pPr>
              <w:keepNext/>
              <w:suppressAutoHyphens w:val="0"/>
              <w:spacing w:before="80" w:after="80" w:line="200" w:lineRule="exact"/>
              <w:ind w:right="113"/>
              <w:rPr>
                <w:bCs/>
                <w:i/>
                <w:noProof/>
                <w:sz w:val="16"/>
                <w:lang w:val="fr-FR"/>
              </w:rPr>
            </w:pPr>
            <w:r>
              <w:rPr>
                <w:bCs/>
                <w:i/>
                <w:noProof/>
                <w:sz w:val="16"/>
                <w:lang w:val="fr-FR"/>
              </w:rPr>
              <w:t xml:space="preserve">Disposition </w:t>
            </w:r>
          </w:p>
        </w:tc>
        <w:tc>
          <w:tcPr>
            <w:tcW w:w="4253" w:type="dxa"/>
            <w:tcBorders>
              <w:top w:val="single" w:sz="4" w:space="0" w:color="auto"/>
              <w:bottom w:val="single" w:sz="12" w:space="0" w:color="auto"/>
            </w:tcBorders>
            <w:shd w:val="clear" w:color="auto" w:fill="auto"/>
            <w:vAlign w:val="bottom"/>
          </w:tcPr>
          <w:p w:rsidR="008342B8" w:rsidRPr="00DD03D6" w:rsidRDefault="00014F4F" w:rsidP="00E94DEF">
            <w:pPr>
              <w:pStyle w:val="Objetducommentaire"/>
              <w:keepNext/>
              <w:spacing w:before="80" w:after="80" w:line="200" w:lineRule="exact"/>
              <w:ind w:right="113"/>
              <w:rPr>
                <w:rFonts w:eastAsia="Times New Roman"/>
                <w:b w:val="0"/>
                <w:i/>
                <w:noProof/>
                <w:sz w:val="16"/>
                <w:szCs w:val="22"/>
                <w:lang w:val="fr-FR" w:eastAsia="en-US"/>
              </w:rPr>
            </w:pPr>
            <w:r>
              <w:rPr>
                <w:rFonts w:eastAsia="Times New Roman"/>
                <w:b w:val="0"/>
                <w:i/>
                <w:noProof/>
                <w:sz w:val="16"/>
                <w:szCs w:val="22"/>
                <w:lang w:val="fr-FR" w:eastAsia="en-US"/>
              </w:rPr>
              <w:t>Âge</w:t>
            </w:r>
          </w:p>
        </w:tc>
      </w:tr>
      <w:tr w:rsidR="008342B8" w:rsidRPr="00DD03D6" w:rsidTr="00E627FF">
        <w:trPr>
          <w:trHeight w:val="240"/>
        </w:trPr>
        <w:tc>
          <w:tcPr>
            <w:tcW w:w="8506" w:type="dxa"/>
            <w:gridSpan w:val="2"/>
            <w:shd w:val="clear" w:color="auto" w:fill="auto"/>
          </w:tcPr>
          <w:p w:rsidR="008342B8" w:rsidRPr="00DD03D6" w:rsidRDefault="00014F4F" w:rsidP="00014F4F">
            <w:pPr>
              <w:keepNext/>
              <w:suppressAutoHyphens w:val="0"/>
              <w:spacing w:before="40" w:after="120" w:line="220" w:lineRule="exact"/>
              <w:ind w:right="113"/>
              <w:rPr>
                <w:b/>
                <w:bCs/>
                <w:noProof/>
                <w:lang w:val="fr-FR"/>
              </w:rPr>
            </w:pPr>
            <w:r>
              <w:rPr>
                <w:b/>
                <w:bCs/>
                <w:noProof/>
                <w:lang w:val="fr-FR"/>
              </w:rPr>
              <w:t>Â</w:t>
            </w:r>
            <w:r w:rsidR="00836DEB" w:rsidRPr="00DD03D6">
              <w:rPr>
                <w:b/>
                <w:bCs/>
                <w:noProof/>
                <w:lang w:val="fr-FR"/>
              </w:rPr>
              <w:t>ge</w:t>
            </w:r>
            <w:r>
              <w:rPr>
                <w:b/>
                <w:bCs/>
                <w:noProof/>
                <w:lang w:val="fr-FR"/>
              </w:rPr>
              <w:t xml:space="preserve"> de la majorité</w:t>
            </w:r>
          </w:p>
        </w:tc>
      </w:tr>
      <w:tr w:rsidR="008342B8" w:rsidRPr="00DD03D6" w:rsidTr="00E627FF">
        <w:trPr>
          <w:trHeight w:val="240"/>
        </w:trPr>
        <w:tc>
          <w:tcPr>
            <w:tcW w:w="4253" w:type="dxa"/>
            <w:shd w:val="clear" w:color="auto" w:fill="auto"/>
          </w:tcPr>
          <w:p w:rsidR="008342B8" w:rsidRPr="00DD03D6" w:rsidRDefault="00014F4F" w:rsidP="005B4F74">
            <w:pPr>
              <w:keepNext/>
              <w:suppressAutoHyphens w:val="0"/>
              <w:spacing w:before="40" w:after="120" w:line="220" w:lineRule="exact"/>
              <w:ind w:right="113"/>
              <w:rPr>
                <w:noProof/>
                <w:lang w:val="fr-FR"/>
              </w:rPr>
            </w:pPr>
            <w:r>
              <w:rPr>
                <w:bCs/>
                <w:noProof/>
                <w:lang w:val="fr-FR"/>
              </w:rPr>
              <w:t>Loi de 1985 sur l’âge de la m</w:t>
            </w:r>
            <w:r w:rsidR="008342B8" w:rsidRPr="00DD03D6">
              <w:rPr>
                <w:bCs/>
                <w:noProof/>
                <w:lang w:val="fr-FR"/>
              </w:rPr>
              <w:t>ajorit</w:t>
            </w:r>
            <w:r>
              <w:rPr>
                <w:bCs/>
                <w:noProof/>
                <w:lang w:val="fr-FR"/>
              </w:rPr>
              <w:t>é</w:t>
            </w:r>
            <w:r w:rsidR="005B4F74">
              <w:rPr>
                <w:bCs/>
                <w:noProof/>
                <w:lang w:val="fr-FR"/>
              </w:rPr>
              <w:t> </w:t>
            </w:r>
            <w:r w:rsidR="008342B8" w:rsidRPr="00DD03D6">
              <w:rPr>
                <w:noProof/>
                <w:lang w:val="fr-FR"/>
              </w:rPr>
              <w:t>: D</w:t>
            </w:r>
            <w:r>
              <w:rPr>
                <w:noProof/>
                <w:lang w:val="fr-FR"/>
              </w:rPr>
              <w:t>é</w:t>
            </w:r>
            <w:r w:rsidR="008342B8" w:rsidRPr="00DD03D6">
              <w:rPr>
                <w:noProof/>
                <w:lang w:val="fr-FR"/>
              </w:rPr>
              <w:t>fin</w:t>
            </w:r>
            <w:r>
              <w:rPr>
                <w:noProof/>
                <w:lang w:val="fr-FR"/>
              </w:rPr>
              <w:t xml:space="preserve">it l’âge de la </w:t>
            </w:r>
            <w:r w:rsidR="008342B8" w:rsidRPr="00DD03D6">
              <w:rPr>
                <w:noProof/>
                <w:lang w:val="fr-FR"/>
              </w:rPr>
              <w:t>majorit</w:t>
            </w:r>
            <w:r>
              <w:rPr>
                <w:noProof/>
                <w:lang w:val="fr-FR"/>
              </w:rPr>
              <w:t>é</w:t>
            </w:r>
            <w:r w:rsidR="008342B8" w:rsidRPr="00DD03D6">
              <w:rPr>
                <w:noProof/>
                <w:lang w:val="fr-FR"/>
              </w:rPr>
              <w:t xml:space="preserve"> </w:t>
            </w:r>
            <w:r>
              <w:rPr>
                <w:noProof/>
                <w:lang w:val="fr-FR"/>
              </w:rPr>
              <w:t>et l’âge auquel les citoyens peuvent voter</w:t>
            </w:r>
            <w:r w:rsidR="008342B8" w:rsidRPr="00DD03D6">
              <w:rPr>
                <w:noProof/>
                <w:lang w:val="fr-FR"/>
              </w:rPr>
              <w:t>.</w:t>
            </w:r>
          </w:p>
        </w:tc>
        <w:tc>
          <w:tcPr>
            <w:tcW w:w="4253" w:type="dxa"/>
            <w:shd w:val="clear" w:color="auto" w:fill="auto"/>
          </w:tcPr>
          <w:p w:rsidR="008342B8" w:rsidRPr="00DD03D6" w:rsidRDefault="008342B8" w:rsidP="00E94DEF">
            <w:pPr>
              <w:pStyle w:val="DefaultParagraphFontCharChar"/>
              <w:keepNext/>
              <w:spacing w:before="40" w:after="120" w:line="220" w:lineRule="exact"/>
              <w:ind w:right="113"/>
              <w:rPr>
                <w:rFonts w:ascii="Times New Roman" w:eastAsia="Times New Roman" w:hAnsi="Times New Roman" w:cs="Times New Roman"/>
                <w:noProof/>
                <w:szCs w:val="22"/>
                <w:lang w:val="fr-FR"/>
              </w:rPr>
            </w:pPr>
            <w:r w:rsidRPr="00DD03D6">
              <w:rPr>
                <w:rFonts w:ascii="Times New Roman" w:eastAsia="Times New Roman" w:hAnsi="Times New Roman" w:cs="Times New Roman"/>
                <w:noProof/>
                <w:szCs w:val="22"/>
                <w:lang w:val="fr-FR"/>
              </w:rPr>
              <w:t>Majorit</w:t>
            </w:r>
            <w:r w:rsidR="00014F4F">
              <w:rPr>
                <w:rFonts w:ascii="Times New Roman" w:eastAsia="Times New Roman" w:hAnsi="Times New Roman" w:cs="Times New Roman"/>
                <w:noProof/>
                <w:szCs w:val="22"/>
                <w:lang w:val="fr-FR"/>
              </w:rPr>
              <w:t xml:space="preserve">é atteinte à </w:t>
            </w:r>
            <w:r w:rsidRPr="00DD03D6">
              <w:rPr>
                <w:rFonts w:ascii="Times New Roman" w:eastAsia="Times New Roman" w:hAnsi="Times New Roman" w:cs="Times New Roman"/>
                <w:noProof/>
                <w:szCs w:val="22"/>
                <w:lang w:val="fr-FR"/>
              </w:rPr>
              <w:t xml:space="preserve">18 </w:t>
            </w:r>
            <w:r w:rsidR="00014F4F">
              <w:rPr>
                <w:rFonts w:ascii="Times New Roman" w:eastAsia="Times New Roman" w:hAnsi="Times New Roman" w:cs="Times New Roman"/>
                <w:noProof/>
                <w:szCs w:val="22"/>
                <w:lang w:val="fr-FR"/>
              </w:rPr>
              <w:t>ans ou par le fait du mariage s’il est contracté avant cet âge</w:t>
            </w:r>
            <w:r w:rsidRPr="00DD03D6">
              <w:rPr>
                <w:rFonts w:ascii="Times New Roman" w:eastAsia="Times New Roman" w:hAnsi="Times New Roman" w:cs="Times New Roman"/>
                <w:noProof/>
                <w:szCs w:val="22"/>
                <w:lang w:val="fr-FR"/>
              </w:rPr>
              <w:t>.</w:t>
            </w:r>
          </w:p>
          <w:p w:rsidR="008342B8" w:rsidRPr="00DD03D6" w:rsidRDefault="00014F4F" w:rsidP="00014F4F">
            <w:pPr>
              <w:keepNext/>
              <w:suppressAutoHyphens w:val="0"/>
              <w:spacing w:before="40" w:after="120" w:line="220" w:lineRule="exact"/>
              <w:ind w:right="113"/>
              <w:rPr>
                <w:noProof/>
                <w:lang w:val="fr-FR"/>
              </w:rPr>
            </w:pPr>
            <w:r>
              <w:rPr>
                <w:noProof/>
                <w:lang w:val="fr-FR"/>
              </w:rPr>
              <w:t>Droit de vote à 18 ans</w:t>
            </w:r>
            <w:r w:rsidR="008342B8" w:rsidRPr="00DD03D6">
              <w:rPr>
                <w:noProof/>
                <w:lang w:val="fr-FR"/>
              </w:rPr>
              <w:t>.</w:t>
            </w:r>
          </w:p>
        </w:tc>
      </w:tr>
      <w:tr w:rsidR="008342B8" w:rsidRPr="00DD03D6" w:rsidTr="00E627FF">
        <w:trPr>
          <w:trHeight w:val="240"/>
        </w:trPr>
        <w:tc>
          <w:tcPr>
            <w:tcW w:w="8506" w:type="dxa"/>
            <w:gridSpan w:val="2"/>
            <w:shd w:val="clear" w:color="auto" w:fill="auto"/>
          </w:tcPr>
          <w:p w:rsidR="008342B8" w:rsidRPr="00DD03D6" w:rsidRDefault="00014F4F" w:rsidP="00E92D3C">
            <w:pPr>
              <w:suppressAutoHyphens w:val="0"/>
              <w:spacing w:before="40" w:after="120" w:line="220" w:lineRule="exact"/>
              <w:ind w:right="113"/>
              <w:rPr>
                <w:b/>
                <w:bCs/>
                <w:noProof/>
                <w:lang w:val="fr-FR"/>
              </w:rPr>
            </w:pPr>
            <w:r>
              <w:rPr>
                <w:b/>
                <w:bCs/>
                <w:noProof/>
                <w:lang w:val="fr-FR"/>
              </w:rPr>
              <w:t>Â</w:t>
            </w:r>
            <w:r w:rsidRPr="00DD03D6">
              <w:rPr>
                <w:b/>
                <w:bCs/>
                <w:noProof/>
                <w:lang w:val="fr-FR"/>
              </w:rPr>
              <w:t>ge</w:t>
            </w:r>
            <w:r>
              <w:rPr>
                <w:b/>
                <w:bCs/>
                <w:noProof/>
                <w:lang w:val="fr-FR"/>
              </w:rPr>
              <w:t xml:space="preserve"> au mariage</w:t>
            </w:r>
            <w:r w:rsidR="00E92D3C">
              <w:rPr>
                <w:b/>
                <w:bCs/>
                <w:noProof/>
                <w:lang w:val="fr-FR"/>
              </w:rPr>
              <w:t xml:space="preserve"> </w:t>
            </w:r>
          </w:p>
        </w:tc>
      </w:tr>
      <w:tr w:rsidR="008342B8" w:rsidRPr="00DD03D6" w:rsidTr="00E627FF">
        <w:trPr>
          <w:trHeight w:val="240"/>
        </w:trPr>
        <w:tc>
          <w:tcPr>
            <w:tcW w:w="4253" w:type="dxa"/>
            <w:shd w:val="clear" w:color="auto" w:fill="auto"/>
          </w:tcPr>
          <w:p w:rsidR="008342B8" w:rsidRPr="00DD03D6" w:rsidRDefault="00014F4F" w:rsidP="00014F4F">
            <w:pPr>
              <w:suppressAutoHyphens w:val="0"/>
              <w:spacing w:before="40" w:after="120" w:line="220" w:lineRule="exact"/>
              <w:ind w:right="113"/>
              <w:rPr>
                <w:noProof/>
                <w:lang w:val="fr-FR"/>
              </w:rPr>
            </w:pPr>
            <w:r>
              <w:rPr>
                <w:bCs/>
                <w:noProof/>
                <w:lang w:val="fr-FR"/>
              </w:rPr>
              <w:t xml:space="preserve">Loi de 1995 sur le droit de la famille </w:t>
            </w:r>
            <w:r w:rsidR="008342B8" w:rsidRPr="00DD03D6">
              <w:rPr>
                <w:noProof/>
                <w:lang w:val="fr-FR"/>
              </w:rPr>
              <w:t>: D</w:t>
            </w:r>
            <w:r>
              <w:rPr>
                <w:noProof/>
                <w:lang w:val="fr-FR"/>
              </w:rPr>
              <w:t>é</w:t>
            </w:r>
            <w:r w:rsidR="008342B8" w:rsidRPr="00DD03D6">
              <w:rPr>
                <w:noProof/>
                <w:lang w:val="fr-FR"/>
              </w:rPr>
              <w:t>fin</w:t>
            </w:r>
            <w:r>
              <w:rPr>
                <w:noProof/>
                <w:lang w:val="fr-FR"/>
              </w:rPr>
              <w:t>it l’âge légal auquel une personne peut se marier</w:t>
            </w:r>
            <w:r w:rsidR="008342B8" w:rsidRPr="00DD03D6">
              <w:rPr>
                <w:noProof/>
                <w:lang w:val="fr-FR"/>
              </w:rPr>
              <w:t>.</w:t>
            </w:r>
          </w:p>
        </w:tc>
        <w:tc>
          <w:tcPr>
            <w:tcW w:w="4253" w:type="dxa"/>
            <w:shd w:val="clear" w:color="auto" w:fill="auto"/>
          </w:tcPr>
          <w:p w:rsidR="008342B8" w:rsidRPr="00DD03D6" w:rsidRDefault="008342B8" w:rsidP="00D474AD">
            <w:pPr>
              <w:suppressAutoHyphens w:val="0"/>
              <w:spacing w:before="40" w:after="120" w:line="220" w:lineRule="exact"/>
              <w:ind w:right="113"/>
              <w:rPr>
                <w:noProof/>
                <w:lang w:val="fr-FR"/>
              </w:rPr>
            </w:pPr>
            <w:r w:rsidRPr="00DD03D6">
              <w:rPr>
                <w:noProof/>
                <w:lang w:val="fr-FR"/>
              </w:rPr>
              <w:t xml:space="preserve">18 </w:t>
            </w:r>
            <w:r w:rsidR="00014F4F">
              <w:rPr>
                <w:noProof/>
                <w:lang w:val="fr-FR"/>
              </w:rPr>
              <w:t>ans</w:t>
            </w:r>
            <w:r w:rsidRPr="00DD03D6">
              <w:rPr>
                <w:noProof/>
                <w:lang w:val="fr-FR"/>
              </w:rPr>
              <w:t xml:space="preserve">, </w:t>
            </w:r>
            <w:r w:rsidR="00014F4F">
              <w:rPr>
                <w:noProof/>
                <w:lang w:val="fr-FR"/>
              </w:rPr>
              <w:t xml:space="preserve">sauf </w:t>
            </w:r>
            <w:r w:rsidR="006D3A12">
              <w:rPr>
                <w:noProof/>
                <w:lang w:val="fr-FR"/>
              </w:rPr>
              <w:t>di</w:t>
            </w:r>
            <w:r w:rsidR="00D474AD">
              <w:rPr>
                <w:noProof/>
                <w:lang w:val="fr-FR"/>
              </w:rPr>
              <w:t>spense accordée par les tribunaux</w:t>
            </w:r>
            <w:r w:rsidRPr="00DD03D6">
              <w:rPr>
                <w:noProof/>
                <w:lang w:val="fr-FR"/>
              </w:rPr>
              <w:t>.</w:t>
            </w:r>
          </w:p>
        </w:tc>
      </w:tr>
      <w:tr w:rsidR="008342B8" w:rsidRPr="00DD03D6" w:rsidTr="00E627FF">
        <w:trPr>
          <w:trHeight w:val="240"/>
        </w:trPr>
        <w:tc>
          <w:tcPr>
            <w:tcW w:w="8506" w:type="dxa"/>
            <w:gridSpan w:val="2"/>
            <w:shd w:val="clear" w:color="auto" w:fill="auto"/>
          </w:tcPr>
          <w:p w:rsidR="008342B8" w:rsidRPr="00DD03D6" w:rsidRDefault="00D474AD" w:rsidP="009C1F66">
            <w:pPr>
              <w:suppressAutoHyphens w:val="0"/>
              <w:spacing w:before="40" w:after="120" w:line="220" w:lineRule="exact"/>
              <w:ind w:right="113"/>
              <w:rPr>
                <w:b/>
                <w:bCs/>
                <w:noProof/>
                <w:lang w:val="fr-FR"/>
              </w:rPr>
            </w:pPr>
            <w:r>
              <w:rPr>
                <w:b/>
                <w:bCs/>
                <w:noProof/>
                <w:lang w:val="fr-FR"/>
              </w:rPr>
              <w:t xml:space="preserve">Assistance sociale </w:t>
            </w:r>
          </w:p>
        </w:tc>
      </w:tr>
      <w:tr w:rsidR="008342B8" w:rsidRPr="00DD03D6" w:rsidTr="00E627FF">
        <w:trPr>
          <w:trHeight w:val="240"/>
        </w:trPr>
        <w:tc>
          <w:tcPr>
            <w:tcW w:w="4253" w:type="dxa"/>
            <w:shd w:val="clear" w:color="auto" w:fill="auto"/>
          </w:tcPr>
          <w:p w:rsidR="008342B8" w:rsidRPr="00DD03D6" w:rsidRDefault="00D474AD" w:rsidP="0022664C">
            <w:pPr>
              <w:suppressAutoHyphens w:val="0"/>
              <w:spacing w:before="40" w:after="120" w:line="220" w:lineRule="exact"/>
              <w:ind w:right="113"/>
              <w:rPr>
                <w:noProof/>
                <w:lang w:val="fr-FR"/>
              </w:rPr>
            </w:pPr>
            <w:r>
              <w:rPr>
                <w:bCs/>
                <w:noProof/>
                <w:lang w:val="fr-FR"/>
              </w:rPr>
              <w:t>Par</w:t>
            </w:r>
            <w:r w:rsidR="0022664C">
              <w:rPr>
                <w:bCs/>
                <w:noProof/>
                <w:lang w:val="fr-FR"/>
              </w:rPr>
              <w:t>agraphe</w:t>
            </w:r>
            <w:r>
              <w:rPr>
                <w:bCs/>
                <w:noProof/>
                <w:lang w:val="fr-FR"/>
              </w:rPr>
              <w:t xml:space="preserve"> 3 de l’art</w:t>
            </w:r>
            <w:r w:rsidR="001442D2">
              <w:rPr>
                <w:bCs/>
                <w:noProof/>
                <w:lang w:val="fr-FR"/>
              </w:rPr>
              <w:t>icle</w:t>
            </w:r>
            <w:r>
              <w:rPr>
                <w:bCs/>
                <w:noProof/>
                <w:lang w:val="fr-FR"/>
              </w:rPr>
              <w:t xml:space="preserve"> 2 de la loi de 2005 </w:t>
            </w:r>
            <w:r w:rsidR="00D935F9">
              <w:rPr>
                <w:noProof/>
                <w:lang w:val="fr-FR"/>
              </w:rPr>
              <w:t xml:space="preserve">unifiée sur </w:t>
            </w:r>
            <w:r w:rsidR="00D935F9" w:rsidRPr="00D935F9">
              <w:rPr>
                <w:noProof/>
                <w:lang w:val="fr-FR"/>
              </w:rPr>
              <w:t>la protection sociale</w:t>
            </w:r>
            <w:r w:rsidR="00D935F9" w:rsidRPr="00DD03D6">
              <w:rPr>
                <w:bCs/>
                <w:noProof/>
                <w:lang w:val="fr-FR"/>
              </w:rPr>
              <w:t xml:space="preserve"> </w:t>
            </w:r>
            <w:r w:rsidR="008342B8" w:rsidRPr="00DD03D6">
              <w:rPr>
                <w:bCs/>
                <w:noProof/>
                <w:lang w:val="fr-FR"/>
              </w:rPr>
              <w:t>(</w:t>
            </w:r>
            <w:r w:rsidR="00D935F9">
              <w:rPr>
                <w:bCs/>
                <w:noProof/>
                <w:lang w:val="fr-FR"/>
              </w:rPr>
              <w:t>modifiée</w:t>
            </w:r>
            <w:r w:rsidR="008342B8" w:rsidRPr="00DD03D6">
              <w:rPr>
                <w:bCs/>
                <w:noProof/>
                <w:lang w:val="fr-FR"/>
              </w:rPr>
              <w:t>)</w:t>
            </w:r>
            <w:r w:rsidR="00D935F9">
              <w:rPr>
                <w:bCs/>
                <w:noProof/>
                <w:lang w:val="fr-FR"/>
              </w:rPr>
              <w:t xml:space="preserve"> </w:t>
            </w:r>
            <w:r w:rsidR="005D7533" w:rsidRPr="00DD03D6">
              <w:rPr>
                <w:noProof/>
                <w:lang w:val="fr-FR"/>
              </w:rPr>
              <w:t xml:space="preserve">: </w:t>
            </w:r>
            <w:r w:rsidR="00D935F9">
              <w:rPr>
                <w:noProof/>
                <w:lang w:val="fr-FR"/>
              </w:rPr>
              <w:t>dé</w:t>
            </w:r>
            <w:r w:rsidR="005D7533" w:rsidRPr="00DD03D6">
              <w:rPr>
                <w:noProof/>
                <w:lang w:val="fr-FR"/>
              </w:rPr>
              <w:t>fin</w:t>
            </w:r>
            <w:r w:rsidR="00D935F9">
              <w:rPr>
                <w:noProof/>
                <w:lang w:val="fr-FR"/>
              </w:rPr>
              <w:t xml:space="preserve">it le </w:t>
            </w:r>
            <w:r w:rsidR="005D7533" w:rsidRPr="00DD03D6">
              <w:rPr>
                <w:noProof/>
                <w:lang w:val="fr-FR"/>
              </w:rPr>
              <w:t>term</w:t>
            </w:r>
            <w:r w:rsidR="00D935F9">
              <w:rPr>
                <w:noProof/>
                <w:lang w:val="fr-FR"/>
              </w:rPr>
              <w:t>e</w:t>
            </w:r>
            <w:r w:rsidR="005D7533" w:rsidRPr="00DD03D6">
              <w:rPr>
                <w:noProof/>
                <w:lang w:val="fr-FR"/>
              </w:rPr>
              <w:t xml:space="preserve"> </w:t>
            </w:r>
            <w:r w:rsidR="003F36DD">
              <w:rPr>
                <w:noProof/>
                <w:lang w:val="fr-FR"/>
              </w:rPr>
              <w:t>« </w:t>
            </w:r>
            <w:r w:rsidR="00D935F9">
              <w:rPr>
                <w:noProof/>
                <w:lang w:val="fr-FR"/>
              </w:rPr>
              <w:t>enfant à charge</w:t>
            </w:r>
            <w:r w:rsidR="003F36DD">
              <w:rPr>
                <w:noProof/>
                <w:lang w:val="fr-FR"/>
              </w:rPr>
              <w:t> »</w:t>
            </w:r>
            <w:r w:rsidR="008342B8" w:rsidRPr="00DD03D6">
              <w:rPr>
                <w:noProof/>
                <w:lang w:val="fr-FR"/>
              </w:rPr>
              <w:t xml:space="preserve"> </w:t>
            </w:r>
            <w:r w:rsidR="00D935F9">
              <w:rPr>
                <w:noProof/>
                <w:lang w:val="fr-FR"/>
              </w:rPr>
              <w:t>comme suit</w:t>
            </w:r>
            <w:r w:rsidR="001442D2">
              <w:rPr>
                <w:noProof/>
                <w:lang w:val="fr-FR"/>
              </w:rPr>
              <w:t> </w:t>
            </w:r>
            <w:r w:rsidR="008342B8" w:rsidRPr="00DD03D6">
              <w:rPr>
                <w:noProof/>
                <w:lang w:val="fr-FR"/>
              </w:rPr>
              <w:t xml:space="preserve">: </w:t>
            </w:r>
            <w:r w:rsidR="00D935F9">
              <w:rPr>
                <w:noProof/>
                <w:lang w:val="fr-FR"/>
              </w:rPr>
              <w:t xml:space="preserve">un enfant à charge doit </w:t>
            </w:r>
            <w:r w:rsidR="008342B8" w:rsidRPr="00DD03D6">
              <w:rPr>
                <w:noProof/>
                <w:lang w:val="fr-FR"/>
              </w:rPr>
              <w:t xml:space="preserve">1) </w:t>
            </w:r>
            <w:r w:rsidR="00D935F9">
              <w:rPr>
                <w:noProof/>
                <w:lang w:val="fr-FR"/>
              </w:rPr>
              <w:t>avoir sa résidence habituelle dans le pays</w:t>
            </w:r>
            <w:r w:rsidR="008342B8" w:rsidRPr="00DD03D6">
              <w:rPr>
                <w:noProof/>
                <w:lang w:val="fr-FR"/>
              </w:rPr>
              <w:t xml:space="preserve">, 2) </w:t>
            </w:r>
            <w:r w:rsidR="00D935F9" w:rsidRPr="00D935F9">
              <w:rPr>
                <w:noProof/>
                <w:lang w:val="fr-FR"/>
              </w:rPr>
              <w:t>ne pas être placé dans un établissement d’éducation surveillée ou une école technique</w:t>
            </w:r>
            <w:r w:rsidR="00D935F9">
              <w:rPr>
                <w:noProof/>
                <w:lang w:val="fr-FR"/>
              </w:rPr>
              <w:t>, et</w:t>
            </w:r>
            <w:r w:rsidR="001442D2">
              <w:rPr>
                <w:noProof/>
                <w:lang w:val="fr-FR"/>
              </w:rPr>
              <w:t xml:space="preserve"> 3) </w:t>
            </w:r>
            <w:r w:rsidR="00D935F9">
              <w:rPr>
                <w:noProof/>
                <w:lang w:val="fr-FR"/>
              </w:rPr>
              <w:t xml:space="preserve">répondre aux conditions requises en matière d’âge </w:t>
            </w:r>
            <w:r w:rsidR="008342B8" w:rsidRPr="00DD03D6">
              <w:rPr>
                <w:noProof/>
                <w:lang w:val="fr-FR"/>
              </w:rPr>
              <w:t>(</w:t>
            </w:r>
            <w:r w:rsidR="00DC1410">
              <w:rPr>
                <w:noProof/>
                <w:lang w:val="fr-FR"/>
              </w:rPr>
              <w:t xml:space="preserve">définies </w:t>
            </w:r>
            <w:r w:rsidR="00363879">
              <w:rPr>
                <w:noProof/>
                <w:lang w:val="fr-FR"/>
              </w:rPr>
              <w:t>dans le cadre du régime considéré</w:t>
            </w:r>
            <w:r w:rsidR="008342B8" w:rsidRPr="00DD03D6">
              <w:rPr>
                <w:noProof/>
                <w:lang w:val="fr-FR"/>
              </w:rPr>
              <w:t>).</w:t>
            </w:r>
          </w:p>
        </w:tc>
        <w:tc>
          <w:tcPr>
            <w:tcW w:w="4253" w:type="dxa"/>
            <w:shd w:val="clear" w:color="auto" w:fill="auto"/>
          </w:tcPr>
          <w:p w:rsidR="008342B8" w:rsidRPr="00DD03D6" w:rsidRDefault="00363879" w:rsidP="00E94DEF">
            <w:pPr>
              <w:suppressAutoHyphens w:val="0"/>
              <w:spacing w:before="40" w:after="120" w:line="220" w:lineRule="exact"/>
              <w:ind w:right="113"/>
              <w:rPr>
                <w:noProof/>
                <w:lang w:val="fr-FR"/>
              </w:rPr>
            </w:pPr>
            <w:r>
              <w:rPr>
                <w:noProof/>
                <w:lang w:val="fr-FR"/>
              </w:rPr>
              <w:t xml:space="preserve">Moins de </w:t>
            </w:r>
            <w:r w:rsidR="008342B8" w:rsidRPr="00DD03D6">
              <w:rPr>
                <w:noProof/>
                <w:lang w:val="fr-FR"/>
              </w:rPr>
              <w:t xml:space="preserve">18 </w:t>
            </w:r>
            <w:r>
              <w:rPr>
                <w:noProof/>
                <w:lang w:val="fr-FR"/>
              </w:rPr>
              <w:t xml:space="preserve">ans pour tous les </w:t>
            </w:r>
            <w:r w:rsidR="00D935F9">
              <w:rPr>
                <w:noProof/>
                <w:lang w:val="fr-FR"/>
              </w:rPr>
              <w:t xml:space="preserve">régimes </w:t>
            </w:r>
            <w:r w:rsidR="008342B8" w:rsidRPr="00DD03D6">
              <w:rPr>
                <w:noProof/>
                <w:lang w:val="fr-FR"/>
              </w:rPr>
              <w:t>.</w:t>
            </w:r>
          </w:p>
          <w:p w:rsidR="008342B8" w:rsidRPr="00DD03D6" w:rsidRDefault="00B15312" w:rsidP="00B15312">
            <w:pPr>
              <w:suppressAutoHyphens w:val="0"/>
              <w:spacing w:before="40" w:after="120" w:line="220" w:lineRule="exact"/>
              <w:ind w:right="113"/>
              <w:rPr>
                <w:noProof/>
                <w:lang w:val="fr-FR"/>
              </w:rPr>
            </w:pPr>
            <w:r>
              <w:rPr>
                <w:noProof/>
                <w:lang w:val="fr-FR"/>
              </w:rPr>
              <w:t xml:space="preserve">Entre </w:t>
            </w:r>
            <w:r w:rsidR="008342B8" w:rsidRPr="00DD03D6">
              <w:rPr>
                <w:noProof/>
                <w:lang w:val="fr-FR"/>
              </w:rPr>
              <w:t xml:space="preserve">18 </w:t>
            </w:r>
            <w:r>
              <w:rPr>
                <w:noProof/>
                <w:lang w:val="fr-FR"/>
              </w:rPr>
              <w:t>et</w:t>
            </w:r>
            <w:r w:rsidR="008342B8" w:rsidRPr="00DD03D6">
              <w:rPr>
                <w:noProof/>
                <w:lang w:val="fr-FR"/>
              </w:rPr>
              <w:t xml:space="preserve"> 22 </w:t>
            </w:r>
            <w:r>
              <w:rPr>
                <w:noProof/>
                <w:lang w:val="fr-FR"/>
              </w:rPr>
              <w:t>ans si le jeune poursuit des études à plein temps, pour certains régimes</w:t>
            </w:r>
            <w:r w:rsidR="008342B8" w:rsidRPr="00DD03D6">
              <w:rPr>
                <w:noProof/>
                <w:lang w:val="fr-FR"/>
              </w:rPr>
              <w:t>.</w:t>
            </w:r>
          </w:p>
        </w:tc>
      </w:tr>
      <w:tr w:rsidR="008342B8" w:rsidRPr="00DD03D6" w:rsidTr="00E627FF">
        <w:trPr>
          <w:trHeight w:val="240"/>
        </w:trPr>
        <w:tc>
          <w:tcPr>
            <w:tcW w:w="8506" w:type="dxa"/>
            <w:gridSpan w:val="2"/>
            <w:shd w:val="clear" w:color="auto" w:fill="auto"/>
          </w:tcPr>
          <w:p w:rsidR="008342B8" w:rsidRPr="00DD03D6" w:rsidRDefault="00B15312" w:rsidP="00B15312">
            <w:pPr>
              <w:keepNext/>
              <w:suppressAutoHyphens w:val="0"/>
              <w:spacing w:before="40" w:after="120" w:line="220" w:lineRule="exact"/>
              <w:ind w:right="113"/>
              <w:rPr>
                <w:b/>
                <w:bCs/>
                <w:noProof/>
                <w:lang w:val="fr-FR"/>
              </w:rPr>
            </w:pPr>
            <w:r>
              <w:rPr>
                <w:b/>
                <w:bCs/>
                <w:noProof/>
                <w:lang w:val="fr-FR"/>
              </w:rPr>
              <w:t>É</w:t>
            </w:r>
            <w:r w:rsidR="00836DEB" w:rsidRPr="00DD03D6">
              <w:rPr>
                <w:b/>
                <w:bCs/>
                <w:noProof/>
                <w:lang w:val="fr-FR"/>
              </w:rPr>
              <w:t>ducation</w:t>
            </w:r>
          </w:p>
        </w:tc>
      </w:tr>
      <w:tr w:rsidR="008342B8" w:rsidRPr="00DD03D6" w:rsidTr="00E627FF">
        <w:trPr>
          <w:trHeight w:val="240"/>
        </w:trPr>
        <w:tc>
          <w:tcPr>
            <w:tcW w:w="4253" w:type="dxa"/>
            <w:shd w:val="clear" w:color="auto" w:fill="auto"/>
          </w:tcPr>
          <w:p w:rsidR="008342B8" w:rsidRPr="00DD03D6" w:rsidRDefault="00B15312" w:rsidP="007F5D9F">
            <w:pPr>
              <w:keepNext/>
              <w:suppressAutoHyphens w:val="0"/>
              <w:spacing w:before="40" w:after="120" w:line="220" w:lineRule="exact"/>
              <w:ind w:right="113"/>
              <w:rPr>
                <w:noProof/>
                <w:lang w:val="fr-FR"/>
              </w:rPr>
            </w:pPr>
            <w:r>
              <w:rPr>
                <w:bCs/>
                <w:noProof/>
                <w:lang w:val="fr-FR"/>
              </w:rPr>
              <w:t>Loi de 2000 sur l’</w:t>
            </w:r>
            <w:r w:rsidR="007F5D9F">
              <w:rPr>
                <w:bCs/>
                <w:noProof/>
                <w:lang w:val="fr-FR"/>
              </w:rPr>
              <w:t>assistance é</w:t>
            </w:r>
            <w:r>
              <w:rPr>
                <w:bCs/>
                <w:noProof/>
                <w:lang w:val="fr-FR"/>
              </w:rPr>
              <w:t>ducati</w:t>
            </w:r>
            <w:r w:rsidR="007F5D9F">
              <w:rPr>
                <w:bCs/>
                <w:noProof/>
                <w:lang w:val="fr-FR"/>
              </w:rPr>
              <w:t>ve</w:t>
            </w:r>
            <w:r>
              <w:rPr>
                <w:bCs/>
                <w:noProof/>
                <w:lang w:val="fr-FR"/>
              </w:rPr>
              <w:t xml:space="preserve"> </w:t>
            </w:r>
            <w:r w:rsidR="008342B8" w:rsidRPr="00DD03D6">
              <w:rPr>
                <w:noProof/>
                <w:lang w:val="fr-FR"/>
              </w:rPr>
              <w:t xml:space="preserve">: </w:t>
            </w:r>
            <w:r>
              <w:rPr>
                <w:noProof/>
                <w:lang w:val="fr-FR"/>
              </w:rPr>
              <w:t>fixe l’âge auquel les enfants peuvent arrêter leurs études</w:t>
            </w:r>
            <w:r w:rsidR="008342B8" w:rsidRPr="00DD03D6">
              <w:rPr>
                <w:noProof/>
                <w:lang w:val="fr-FR"/>
              </w:rPr>
              <w:t>.</w:t>
            </w:r>
          </w:p>
        </w:tc>
        <w:tc>
          <w:tcPr>
            <w:tcW w:w="4253" w:type="dxa"/>
            <w:shd w:val="clear" w:color="auto" w:fill="auto"/>
          </w:tcPr>
          <w:p w:rsidR="008342B8" w:rsidRPr="00DD03D6" w:rsidRDefault="008342B8" w:rsidP="002C5618">
            <w:pPr>
              <w:keepNext/>
              <w:suppressAutoHyphens w:val="0"/>
              <w:spacing w:before="40" w:after="120" w:line="220" w:lineRule="exact"/>
              <w:ind w:right="113"/>
              <w:rPr>
                <w:noProof/>
                <w:lang w:val="fr-FR"/>
              </w:rPr>
            </w:pPr>
            <w:r w:rsidRPr="00DD03D6">
              <w:rPr>
                <w:noProof/>
                <w:lang w:val="fr-FR"/>
              </w:rPr>
              <w:t xml:space="preserve">16 </w:t>
            </w:r>
            <w:r w:rsidR="00B15312">
              <w:rPr>
                <w:noProof/>
                <w:lang w:val="fr-FR"/>
              </w:rPr>
              <w:t>ans ou après trois ans d’études secondaires à plein temps</w:t>
            </w:r>
            <w:r w:rsidRPr="00DD03D6">
              <w:rPr>
                <w:noProof/>
                <w:lang w:val="fr-FR"/>
              </w:rPr>
              <w:t xml:space="preserve">, </w:t>
            </w:r>
            <w:r w:rsidR="002C5618">
              <w:rPr>
                <w:noProof/>
                <w:lang w:val="fr-FR"/>
              </w:rPr>
              <w:t>la date la plus tardive étant retenue</w:t>
            </w:r>
            <w:r w:rsidRPr="00DD03D6">
              <w:rPr>
                <w:noProof/>
                <w:lang w:val="fr-FR"/>
              </w:rPr>
              <w:t>.</w:t>
            </w:r>
          </w:p>
        </w:tc>
      </w:tr>
      <w:tr w:rsidR="008342B8" w:rsidRPr="00DD03D6" w:rsidTr="00E627FF">
        <w:trPr>
          <w:trHeight w:val="240"/>
        </w:trPr>
        <w:tc>
          <w:tcPr>
            <w:tcW w:w="8506" w:type="dxa"/>
            <w:gridSpan w:val="2"/>
            <w:shd w:val="clear" w:color="auto" w:fill="auto"/>
          </w:tcPr>
          <w:p w:rsidR="008342B8" w:rsidRPr="00DD03D6" w:rsidRDefault="002C5618" w:rsidP="002C5618">
            <w:pPr>
              <w:suppressAutoHyphens w:val="0"/>
              <w:spacing w:before="40" w:after="120" w:line="220" w:lineRule="exact"/>
              <w:ind w:right="113"/>
              <w:rPr>
                <w:b/>
                <w:bCs/>
                <w:noProof/>
                <w:lang w:val="fr-FR"/>
              </w:rPr>
            </w:pPr>
            <w:r>
              <w:rPr>
                <w:b/>
                <w:bCs/>
                <w:noProof/>
                <w:lang w:val="fr-FR"/>
              </w:rPr>
              <w:t>Soins médicaux</w:t>
            </w:r>
          </w:p>
        </w:tc>
      </w:tr>
      <w:tr w:rsidR="008342B8" w:rsidRPr="00DD03D6" w:rsidTr="00E627FF">
        <w:trPr>
          <w:trHeight w:val="240"/>
        </w:trPr>
        <w:tc>
          <w:tcPr>
            <w:tcW w:w="4253" w:type="dxa"/>
            <w:shd w:val="clear" w:color="auto" w:fill="auto"/>
          </w:tcPr>
          <w:p w:rsidR="008342B8" w:rsidRPr="00DD03D6" w:rsidRDefault="002C5618" w:rsidP="002C5618">
            <w:pPr>
              <w:suppressAutoHyphens w:val="0"/>
              <w:spacing w:before="40" w:after="120" w:line="220" w:lineRule="exact"/>
              <w:ind w:right="113"/>
              <w:rPr>
                <w:noProof/>
                <w:lang w:val="fr-FR"/>
              </w:rPr>
            </w:pPr>
            <w:r w:rsidRPr="002C5618">
              <w:rPr>
                <w:noProof/>
                <w:color w:val="000000"/>
                <w:lang w:val="fr-FR"/>
              </w:rPr>
              <w:t>Loi de 1997 sur les atteintes aux personnes ne causant pas la mort</w:t>
            </w:r>
            <w:r w:rsidR="001442D2">
              <w:rPr>
                <w:noProof/>
                <w:color w:val="000000"/>
                <w:lang w:val="fr-FR"/>
              </w:rPr>
              <w:t> </w:t>
            </w:r>
            <w:r w:rsidR="008342B8" w:rsidRPr="00DD03D6">
              <w:rPr>
                <w:noProof/>
                <w:lang w:val="fr-FR"/>
              </w:rPr>
              <w:t xml:space="preserve">: </w:t>
            </w:r>
            <w:r>
              <w:rPr>
                <w:noProof/>
                <w:lang w:val="fr-FR"/>
              </w:rPr>
              <w:t xml:space="preserve">définit un enfant aux fins du consentement à des actes médicaux à des fins de </w:t>
            </w:r>
            <w:r w:rsidR="008342B8" w:rsidRPr="00DD03D6">
              <w:rPr>
                <w:noProof/>
                <w:lang w:val="fr-FR"/>
              </w:rPr>
              <w:t>diagnos</w:t>
            </w:r>
            <w:r>
              <w:rPr>
                <w:noProof/>
                <w:lang w:val="fr-FR"/>
              </w:rPr>
              <w:t>tic ou liés à des soins médicaux</w:t>
            </w:r>
            <w:r w:rsidR="008342B8" w:rsidRPr="00DD03D6">
              <w:rPr>
                <w:noProof/>
                <w:lang w:val="fr-FR"/>
              </w:rPr>
              <w:t>.</w:t>
            </w:r>
          </w:p>
        </w:tc>
        <w:tc>
          <w:tcPr>
            <w:tcW w:w="4253" w:type="dxa"/>
            <w:shd w:val="clear" w:color="auto" w:fill="auto"/>
          </w:tcPr>
          <w:p w:rsidR="008342B8" w:rsidRPr="00DD03D6" w:rsidRDefault="002C5618" w:rsidP="002C5618">
            <w:pPr>
              <w:suppressAutoHyphens w:val="0"/>
              <w:spacing w:before="40" w:after="120" w:line="220" w:lineRule="exact"/>
              <w:ind w:right="113"/>
              <w:rPr>
                <w:noProof/>
                <w:lang w:val="fr-FR"/>
              </w:rPr>
            </w:pPr>
            <w:r>
              <w:rPr>
                <w:noProof/>
                <w:lang w:val="fr-FR"/>
              </w:rPr>
              <w:t>16 ans</w:t>
            </w:r>
            <w:r w:rsidR="008342B8" w:rsidRPr="00DD03D6">
              <w:rPr>
                <w:noProof/>
                <w:lang w:val="fr-FR"/>
              </w:rPr>
              <w:t>.</w:t>
            </w:r>
          </w:p>
        </w:tc>
      </w:tr>
      <w:tr w:rsidR="008342B8" w:rsidRPr="00DD03D6" w:rsidTr="00E627FF">
        <w:trPr>
          <w:trHeight w:val="240"/>
        </w:trPr>
        <w:tc>
          <w:tcPr>
            <w:tcW w:w="4253" w:type="dxa"/>
            <w:shd w:val="clear" w:color="auto" w:fill="auto"/>
          </w:tcPr>
          <w:p w:rsidR="008342B8" w:rsidRPr="00DD03D6" w:rsidRDefault="002C5618" w:rsidP="002C5618">
            <w:pPr>
              <w:suppressAutoHyphens w:val="0"/>
              <w:spacing w:before="40" w:after="120" w:line="220" w:lineRule="exact"/>
              <w:ind w:right="113"/>
              <w:rPr>
                <w:noProof/>
                <w:lang w:val="fr-FR"/>
              </w:rPr>
            </w:pPr>
            <w:r>
              <w:rPr>
                <w:bCs/>
                <w:noProof/>
                <w:lang w:val="fr-FR"/>
              </w:rPr>
              <w:t xml:space="preserve">Loi de 2001 sur la santé mentale </w:t>
            </w:r>
            <w:r w:rsidR="008342B8" w:rsidRPr="00DD03D6">
              <w:rPr>
                <w:noProof/>
                <w:lang w:val="fr-FR"/>
              </w:rPr>
              <w:t xml:space="preserve">: </w:t>
            </w:r>
            <w:r>
              <w:rPr>
                <w:noProof/>
                <w:lang w:val="fr-FR"/>
              </w:rPr>
              <w:t>dé</w:t>
            </w:r>
            <w:r w:rsidR="008342B8" w:rsidRPr="00DD03D6">
              <w:rPr>
                <w:noProof/>
                <w:lang w:val="fr-FR"/>
              </w:rPr>
              <w:t>fin</w:t>
            </w:r>
            <w:r>
              <w:rPr>
                <w:noProof/>
                <w:lang w:val="fr-FR"/>
              </w:rPr>
              <w:t>it un enfant aux fins de traitement psychiatrique</w:t>
            </w:r>
            <w:r w:rsidR="008342B8" w:rsidRPr="00DD03D6">
              <w:rPr>
                <w:noProof/>
                <w:lang w:val="fr-FR"/>
              </w:rPr>
              <w:t>.</w:t>
            </w:r>
          </w:p>
        </w:tc>
        <w:tc>
          <w:tcPr>
            <w:tcW w:w="4253" w:type="dxa"/>
            <w:shd w:val="clear" w:color="auto" w:fill="auto"/>
          </w:tcPr>
          <w:p w:rsidR="008342B8" w:rsidRPr="00DD03D6" w:rsidRDefault="008342B8" w:rsidP="006D3A12">
            <w:pPr>
              <w:suppressAutoHyphens w:val="0"/>
              <w:spacing w:before="40" w:after="120" w:line="220" w:lineRule="exact"/>
              <w:ind w:right="113"/>
              <w:rPr>
                <w:noProof/>
                <w:lang w:val="fr-FR"/>
              </w:rPr>
            </w:pPr>
            <w:r w:rsidRPr="00DD03D6">
              <w:rPr>
                <w:noProof/>
                <w:lang w:val="fr-FR"/>
              </w:rPr>
              <w:t xml:space="preserve">18 </w:t>
            </w:r>
            <w:r w:rsidR="006D3A12">
              <w:rPr>
                <w:noProof/>
                <w:lang w:val="fr-FR"/>
              </w:rPr>
              <w:t xml:space="preserve">ans </w:t>
            </w:r>
            <w:r w:rsidR="006D3A12">
              <w:rPr>
                <w:noProof/>
                <w:szCs w:val="22"/>
                <w:lang w:val="fr-FR"/>
              </w:rPr>
              <w:t>ou par le fait du mariage s’il est contracté avant cet âge</w:t>
            </w:r>
            <w:r w:rsidRPr="00DD03D6">
              <w:rPr>
                <w:noProof/>
                <w:lang w:val="fr-FR"/>
              </w:rPr>
              <w:t>.</w:t>
            </w:r>
          </w:p>
        </w:tc>
      </w:tr>
      <w:tr w:rsidR="008342B8" w:rsidRPr="00DD03D6" w:rsidTr="00E627FF">
        <w:trPr>
          <w:trHeight w:val="240"/>
        </w:trPr>
        <w:tc>
          <w:tcPr>
            <w:tcW w:w="8506" w:type="dxa"/>
            <w:gridSpan w:val="2"/>
            <w:shd w:val="clear" w:color="auto" w:fill="auto"/>
          </w:tcPr>
          <w:p w:rsidR="008342B8" w:rsidRPr="00DD03D6" w:rsidRDefault="0085128D" w:rsidP="00E94DEF">
            <w:pPr>
              <w:suppressAutoHyphens w:val="0"/>
              <w:spacing w:before="40" w:after="120" w:line="220" w:lineRule="exact"/>
              <w:ind w:right="113"/>
              <w:rPr>
                <w:b/>
                <w:bCs/>
                <w:noProof/>
                <w:lang w:val="fr-FR"/>
              </w:rPr>
            </w:pPr>
            <w:r>
              <w:rPr>
                <w:b/>
                <w:bCs/>
                <w:noProof/>
                <w:lang w:val="fr-FR"/>
              </w:rPr>
              <w:t>Protection de l’enfance</w:t>
            </w:r>
          </w:p>
        </w:tc>
      </w:tr>
      <w:tr w:rsidR="008342B8" w:rsidRPr="00DD03D6" w:rsidTr="00E627FF">
        <w:trPr>
          <w:trHeight w:val="240"/>
        </w:trPr>
        <w:tc>
          <w:tcPr>
            <w:tcW w:w="4253" w:type="dxa"/>
            <w:shd w:val="clear" w:color="auto" w:fill="auto"/>
          </w:tcPr>
          <w:p w:rsidR="008342B8" w:rsidRPr="00DD03D6" w:rsidRDefault="0006697A" w:rsidP="0006697A">
            <w:pPr>
              <w:suppressAutoHyphens w:val="0"/>
              <w:spacing w:before="40" w:after="120" w:line="220" w:lineRule="exact"/>
              <w:ind w:right="113"/>
              <w:rPr>
                <w:noProof/>
                <w:lang w:val="fr-FR"/>
              </w:rPr>
            </w:pPr>
            <w:r>
              <w:rPr>
                <w:noProof/>
                <w:lang w:val="fr-FR"/>
              </w:rPr>
              <w:t>Loi de 1991sur la protection de l’enfance</w:t>
            </w:r>
            <w:r w:rsidR="008342B8" w:rsidRPr="00DD03D6">
              <w:rPr>
                <w:noProof/>
                <w:lang w:val="fr-FR"/>
              </w:rPr>
              <w:t xml:space="preserve">, </w:t>
            </w:r>
            <w:r>
              <w:rPr>
                <w:noProof/>
                <w:lang w:val="fr-FR"/>
              </w:rPr>
              <w:t xml:space="preserve">Règlement </w:t>
            </w:r>
            <w:r w:rsidRPr="0006697A">
              <w:rPr>
                <w:noProof/>
                <w:lang w:val="fr-FR"/>
              </w:rPr>
              <w:t xml:space="preserve">de 1995 sur la protection de l’enfance (placement des enfants dans des familles d’accueil) et </w:t>
            </w:r>
            <w:r>
              <w:rPr>
                <w:noProof/>
                <w:lang w:val="fr-FR"/>
              </w:rPr>
              <w:t>Rè</w:t>
            </w:r>
            <w:r w:rsidRPr="0006697A">
              <w:rPr>
                <w:noProof/>
                <w:lang w:val="fr-FR"/>
              </w:rPr>
              <w:t>gle</w:t>
            </w:r>
            <w:r>
              <w:rPr>
                <w:noProof/>
                <w:lang w:val="fr-FR"/>
              </w:rPr>
              <w:t>ment</w:t>
            </w:r>
            <w:r w:rsidRPr="0006697A">
              <w:rPr>
                <w:noProof/>
                <w:lang w:val="fr-FR"/>
              </w:rPr>
              <w:t xml:space="preserve"> de 1995 sur la protection de l’enfance (placement des enfants ch</w:t>
            </w:r>
            <w:r>
              <w:rPr>
                <w:noProof/>
                <w:lang w:val="fr-FR"/>
              </w:rPr>
              <w:t>ez des membres de leur famille).</w:t>
            </w:r>
          </w:p>
        </w:tc>
        <w:tc>
          <w:tcPr>
            <w:tcW w:w="4253" w:type="dxa"/>
            <w:shd w:val="clear" w:color="auto" w:fill="auto"/>
          </w:tcPr>
          <w:p w:rsidR="008342B8" w:rsidRPr="00DD03D6" w:rsidRDefault="0006697A" w:rsidP="00B469A5">
            <w:pPr>
              <w:suppressAutoHyphens w:val="0"/>
              <w:spacing w:before="40" w:after="120" w:line="220" w:lineRule="exact"/>
              <w:ind w:right="113"/>
              <w:rPr>
                <w:noProof/>
                <w:lang w:val="fr-FR"/>
              </w:rPr>
            </w:pPr>
            <w:r>
              <w:rPr>
                <w:noProof/>
                <w:lang w:val="fr-FR"/>
              </w:rPr>
              <w:t xml:space="preserve">Les enfants placés dans une famille d’accueil </w:t>
            </w:r>
            <w:r w:rsidR="00B469A5">
              <w:rPr>
                <w:noProof/>
                <w:lang w:val="fr-FR"/>
              </w:rPr>
              <w:t>font partie légalement de leur famille d’origine jusqu’à l’âge de 18 ans</w:t>
            </w:r>
            <w:r w:rsidR="008342B8" w:rsidRPr="00DD03D6">
              <w:rPr>
                <w:noProof/>
                <w:lang w:val="fr-FR"/>
              </w:rPr>
              <w:t>.</w:t>
            </w:r>
          </w:p>
        </w:tc>
      </w:tr>
      <w:tr w:rsidR="008342B8" w:rsidRPr="00DD03D6" w:rsidTr="00E627FF">
        <w:trPr>
          <w:trHeight w:val="240"/>
        </w:trPr>
        <w:tc>
          <w:tcPr>
            <w:tcW w:w="4253" w:type="dxa"/>
            <w:shd w:val="clear" w:color="auto" w:fill="auto"/>
          </w:tcPr>
          <w:p w:rsidR="008342B8" w:rsidRPr="00DD03D6" w:rsidRDefault="00B469A5" w:rsidP="00B469A5">
            <w:pPr>
              <w:suppressAutoHyphens w:val="0"/>
              <w:spacing w:before="40" w:after="120" w:line="220" w:lineRule="exact"/>
              <w:ind w:right="113"/>
              <w:rPr>
                <w:noProof/>
                <w:lang w:val="fr-FR"/>
              </w:rPr>
            </w:pPr>
            <w:r>
              <w:rPr>
                <w:bCs/>
                <w:noProof/>
                <w:lang w:val="fr-FR"/>
              </w:rPr>
              <w:t xml:space="preserve">Loi de 1952 à 2010 sur l’adoption </w:t>
            </w:r>
            <w:r w:rsidR="008342B8" w:rsidRPr="00DD03D6">
              <w:rPr>
                <w:noProof/>
                <w:lang w:val="fr-FR"/>
              </w:rPr>
              <w:t xml:space="preserve">: </w:t>
            </w:r>
            <w:r>
              <w:rPr>
                <w:noProof/>
                <w:lang w:val="fr-FR"/>
              </w:rPr>
              <w:t xml:space="preserve">définissent un enfant aux fins d’une </w:t>
            </w:r>
            <w:r w:rsidR="008342B8" w:rsidRPr="00DD03D6">
              <w:rPr>
                <w:noProof/>
                <w:lang w:val="fr-FR"/>
              </w:rPr>
              <w:t>adoption.</w:t>
            </w:r>
          </w:p>
        </w:tc>
        <w:tc>
          <w:tcPr>
            <w:tcW w:w="4253" w:type="dxa"/>
            <w:shd w:val="clear" w:color="auto" w:fill="auto"/>
          </w:tcPr>
          <w:p w:rsidR="008342B8" w:rsidRPr="00DD03D6" w:rsidRDefault="00B469A5" w:rsidP="00B469A5">
            <w:pPr>
              <w:suppressAutoHyphens w:val="0"/>
              <w:spacing w:before="40" w:after="120" w:line="220" w:lineRule="exact"/>
              <w:ind w:right="113"/>
              <w:rPr>
                <w:noProof/>
                <w:lang w:val="fr-FR"/>
              </w:rPr>
            </w:pPr>
            <w:r>
              <w:rPr>
                <w:noProof/>
                <w:lang w:val="fr-FR"/>
              </w:rPr>
              <w:t xml:space="preserve">Moins de </w:t>
            </w:r>
            <w:r w:rsidR="008342B8" w:rsidRPr="00DD03D6">
              <w:rPr>
                <w:noProof/>
                <w:lang w:val="fr-FR"/>
              </w:rPr>
              <w:t xml:space="preserve">18 </w:t>
            </w:r>
            <w:r>
              <w:rPr>
                <w:noProof/>
                <w:lang w:val="fr-FR"/>
              </w:rPr>
              <w:t>ans</w:t>
            </w:r>
            <w:r w:rsidR="008342B8" w:rsidRPr="00DD03D6">
              <w:rPr>
                <w:noProof/>
                <w:lang w:val="fr-FR"/>
              </w:rPr>
              <w:t>.</w:t>
            </w:r>
          </w:p>
        </w:tc>
      </w:tr>
      <w:tr w:rsidR="008342B8" w:rsidRPr="00DD03D6" w:rsidTr="00E627FF">
        <w:trPr>
          <w:trHeight w:val="240"/>
        </w:trPr>
        <w:tc>
          <w:tcPr>
            <w:tcW w:w="8506" w:type="dxa"/>
            <w:gridSpan w:val="2"/>
            <w:shd w:val="clear" w:color="auto" w:fill="auto"/>
          </w:tcPr>
          <w:p w:rsidR="008342B8" w:rsidRPr="00DD03D6" w:rsidRDefault="00B469A5" w:rsidP="00E92D3C">
            <w:pPr>
              <w:suppressAutoHyphens w:val="0"/>
              <w:spacing w:before="40" w:after="120" w:line="220" w:lineRule="exact"/>
              <w:ind w:right="113"/>
              <w:rPr>
                <w:b/>
                <w:bCs/>
                <w:noProof/>
                <w:lang w:val="fr-FR"/>
              </w:rPr>
            </w:pPr>
            <w:r>
              <w:rPr>
                <w:b/>
                <w:bCs/>
                <w:noProof/>
                <w:lang w:val="fr-FR"/>
              </w:rPr>
              <w:t>Â</w:t>
            </w:r>
            <w:r w:rsidR="00836DEB" w:rsidRPr="00DD03D6">
              <w:rPr>
                <w:b/>
                <w:bCs/>
                <w:noProof/>
                <w:lang w:val="fr-FR"/>
              </w:rPr>
              <w:t xml:space="preserve">ge </w:t>
            </w:r>
            <w:r>
              <w:rPr>
                <w:b/>
                <w:bCs/>
                <w:noProof/>
                <w:lang w:val="fr-FR"/>
              </w:rPr>
              <w:t>du</w:t>
            </w:r>
            <w:r w:rsidR="00836DEB" w:rsidRPr="00DD03D6">
              <w:rPr>
                <w:b/>
                <w:bCs/>
                <w:noProof/>
                <w:lang w:val="fr-FR"/>
              </w:rPr>
              <w:t xml:space="preserve"> consent</w:t>
            </w:r>
            <w:r>
              <w:rPr>
                <w:b/>
                <w:bCs/>
                <w:noProof/>
                <w:lang w:val="fr-FR"/>
              </w:rPr>
              <w:t>ement sexuel</w:t>
            </w:r>
            <w:r w:rsidR="00E92D3C">
              <w:rPr>
                <w:b/>
                <w:bCs/>
                <w:noProof/>
                <w:lang w:val="fr-FR"/>
              </w:rPr>
              <w:t xml:space="preserve"> </w:t>
            </w:r>
          </w:p>
        </w:tc>
      </w:tr>
      <w:tr w:rsidR="001442D2" w:rsidRPr="00DD03D6" w:rsidTr="00E627FF">
        <w:trPr>
          <w:trHeight w:val="240"/>
        </w:trPr>
        <w:tc>
          <w:tcPr>
            <w:tcW w:w="4253" w:type="dxa"/>
            <w:shd w:val="clear" w:color="auto" w:fill="auto"/>
          </w:tcPr>
          <w:p w:rsidR="001442D2" w:rsidRDefault="001442D2" w:rsidP="00B469A5">
            <w:pPr>
              <w:pStyle w:val="Objetducommentaire"/>
              <w:spacing w:before="40" w:after="120" w:line="220" w:lineRule="exact"/>
              <w:ind w:right="113"/>
              <w:rPr>
                <w:rFonts w:eastAsia="Times New Roman"/>
                <w:b w:val="0"/>
                <w:noProof/>
                <w:szCs w:val="22"/>
                <w:lang w:val="fr-FR" w:eastAsia="en-US"/>
              </w:rPr>
            </w:pPr>
            <w:r>
              <w:rPr>
                <w:rFonts w:eastAsia="Times New Roman"/>
                <w:b w:val="0"/>
                <w:noProof/>
                <w:szCs w:val="22"/>
                <w:lang w:val="fr-FR" w:eastAsia="en-US"/>
              </w:rPr>
              <w:t>Loi de 2006 sur le droit pénal (infractions sexuelles)</w:t>
            </w:r>
          </w:p>
        </w:tc>
        <w:tc>
          <w:tcPr>
            <w:tcW w:w="4253" w:type="dxa"/>
            <w:shd w:val="clear" w:color="auto" w:fill="auto"/>
          </w:tcPr>
          <w:p w:rsidR="001442D2" w:rsidRDefault="001442D2" w:rsidP="00E94DEF">
            <w:pPr>
              <w:suppressAutoHyphens w:val="0"/>
              <w:spacing w:before="40" w:after="120" w:line="220" w:lineRule="exact"/>
              <w:ind w:right="113"/>
              <w:rPr>
                <w:noProof/>
                <w:lang w:val="fr-FR"/>
              </w:rPr>
            </w:pPr>
            <w:r>
              <w:rPr>
                <w:noProof/>
                <w:lang w:val="fr-FR"/>
              </w:rPr>
              <w:t xml:space="preserve">A reculé l’âge du consentement sexuel de </w:t>
            </w:r>
            <w:r w:rsidRPr="00DD03D6">
              <w:rPr>
                <w:noProof/>
                <w:lang w:val="fr-FR"/>
              </w:rPr>
              <w:t xml:space="preserve">16 </w:t>
            </w:r>
            <w:r>
              <w:rPr>
                <w:noProof/>
                <w:lang w:val="fr-FR"/>
              </w:rPr>
              <w:t>à 17 ans quels que soient l’âge</w:t>
            </w:r>
            <w:r w:rsidRPr="00DD03D6">
              <w:rPr>
                <w:noProof/>
                <w:lang w:val="fr-FR"/>
              </w:rPr>
              <w:t xml:space="preserve">, </w:t>
            </w:r>
            <w:r>
              <w:rPr>
                <w:noProof/>
                <w:lang w:val="fr-FR"/>
              </w:rPr>
              <w:t>le sexe ou l’orientation sexuelle</w:t>
            </w:r>
            <w:r w:rsidRPr="00DD03D6">
              <w:rPr>
                <w:noProof/>
                <w:lang w:val="fr-FR"/>
              </w:rPr>
              <w:t>.</w:t>
            </w:r>
          </w:p>
        </w:tc>
      </w:tr>
      <w:tr w:rsidR="00E627FF" w:rsidRPr="00DD03D6" w:rsidTr="00E627FF">
        <w:trPr>
          <w:trHeight w:val="240"/>
        </w:trPr>
        <w:tc>
          <w:tcPr>
            <w:tcW w:w="4253" w:type="dxa"/>
            <w:shd w:val="clear" w:color="auto" w:fill="auto"/>
          </w:tcPr>
          <w:p w:rsidR="00E627FF" w:rsidRPr="00DD03D6" w:rsidRDefault="00E627FF" w:rsidP="001442D2">
            <w:pPr>
              <w:pStyle w:val="Objetducommentaire"/>
              <w:keepNext/>
              <w:keepLines/>
              <w:spacing w:before="40" w:after="120" w:line="220" w:lineRule="exact"/>
              <w:ind w:right="113"/>
              <w:rPr>
                <w:rFonts w:eastAsia="Times New Roman"/>
                <w:b w:val="0"/>
                <w:noProof/>
                <w:szCs w:val="22"/>
                <w:lang w:val="fr-FR" w:eastAsia="en-US"/>
              </w:rPr>
            </w:pPr>
          </w:p>
        </w:tc>
        <w:tc>
          <w:tcPr>
            <w:tcW w:w="4253" w:type="dxa"/>
            <w:shd w:val="clear" w:color="auto" w:fill="auto"/>
          </w:tcPr>
          <w:p w:rsidR="00E627FF" w:rsidRPr="00DD03D6" w:rsidRDefault="00E627FF" w:rsidP="001442D2">
            <w:pPr>
              <w:keepNext/>
              <w:keepLines/>
              <w:suppressAutoHyphens w:val="0"/>
              <w:spacing w:before="40" w:after="120" w:line="220" w:lineRule="exact"/>
              <w:ind w:right="113"/>
              <w:rPr>
                <w:noProof/>
                <w:lang w:val="fr-FR"/>
              </w:rPr>
            </w:pPr>
            <w:r w:rsidRPr="00DD03D6">
              <w:rPr>
                <w:noProof/>
                <w:lang w:val="fr-FR"/>
              </w:rPr>
              <w:t>Pr</w:t>
            </w:r>
            <w:r w:rsidR="00B469A5">
              <w:rPr>
                <w:noProof/>
                <w:lang w:val="fr-FR"/>
              </w:rPr>
              <w:t xml:space="preserve">évoit l’infraction d’incitation à la débauche lorsqu’un enfant est âgé de moins de 15 ans, infraction </w:t>
            </w:r>
            <w:r w:rsidR="000C2409">
              <w:rPr>
                <w:noProof/>
                <w:lang w:val="fr-FR"/>
              </w:rPr>
              <w:t xml:space="preserve">qui est </w:t>
            </w:r>
            <w:r w:rsidR="00B469A5">
              <w:rPr>
                <w:noProof/>
                <w:lang w:val="fr-FR"/>
              </w:rPr>
              <w:t>passible d’une peine d’emprisonnement à vie</w:t>
            </w:r>
            <w:r w:rsidRPr="00DD03D6">
              <w:rPr>
                <w:noProof/>
                <w:lang w:val="fr-FR"/>
              </w:rPr>
              <w:t>.</w:t>
            </w:r>
          </w:p>
        </w:tc>
      </w:tr>
      <w:tr w:rsidR="00E627FF" w:rsidRPr="00DD03D6" w:rsidTr="00E627FF">
        <w:trPr>
          <w:trHeight w:val="240"/>
        </w:trPr>
        <w:tc>
          <w:tcPr>
            <w:tcW w:w="4253" w:type="dxa"/>
            <w:shd w:val="clear" w:color="auto" w:fill="auto"/>
          </w:tcPr>
          <w:p w:rsidR="00E627FF" w:rsidRPr="00DD03D6" w:rsidRDefault="00B469A5" w:rsidP="00BB4667">
            <w:pPr>
              <w:pStyle w:val="Objetducommentaire"/>
              <w:keepNext/>
              <w:spacing w:before="40" w:after="120" w:line="220" w:lineRule="exact"/>
              <w:ind w:right="113"/>
              <w:rPr>
                <w:rFonts w:eastAsia="Times New Roman"/>
                <w:noProof/>
                <w:szCs w:val="22"/>
                <w:lang w:val="fr-FR" w:eastAsia="en-US"/>
              </w:rPr>
            </w:pPr>
            <w:r>
              <w:rPr>
                <w:noProof/>
                <w:lang w:val="fr-FR"/>
              </w:rPr>
              <w:t>Acha</w:t>
            </w:r>
            <w:r w:rsidR="00AB6CF8">
              <w:rPr>
                <w:noProof/>
                <w:lang w:val="fr-FR"/>
              </w:rPr>
              <w:t>t</w:t>
            </w:r>
            <w:r>
              <w:rPr>
                <w:noProof/>
                <w:lang w:val="fr-FR"/>
              </w:rPr>
              <w:t xml:space="preserve"> d’alcool et de </w:t>
            </w:r>
            <w:r w:rsidR="00E627FF" w:rsidRPr="00DD03D6">
              <w:rPr>
                <w:noProof/>
                <w:lang w:val="fr-FR"/>
              </w:rPr>
              <w:t>solv</w:t>
            </w:r>
            <w:r w:rsidR="00BB4667">
              <w:rPr>
                <w:noProof/>
                <w:lang w:val="fr-FR"/>
              </w:rPr>
              <w:t>a</w:t>
            </w:r>
            <w:r w:rsidR="00E627FF" w:rsidRPr="00DD03D6">
              <w:rPr>
                <w:noProof/>
                <w:lang w:val="fr-FR"/>
              </w:rPr>
              <w:t>nts</w:t>
            </w:r>
          </w:p>
        </w:tc>
        <w:tc>
          <w:tcPr>
            <w:tcW w:w="4253" w:type="dxa"/>
            <w:shd w:val="clear" w:color="auto" w:fill="auto"/>
          </w:tcPr>
          <w:p w:rsidR="00E627FF" w:rsidRPr="00DD03D6" w:rsidRDefault="00E627FF" w:rsidP="00E94DEF">
            <w:pPr>
              <w:keepNext/>
              <w:suppressAutoHyphens w:val="0"/>
              <w:spacing w:before="40" w:after="120" w:line="220" w:lineRule="exact"/>
              <w:ind w:right="113"/>
              <w:rPr>
                <w:noProof/>
                <w:lang w:val="fr-FR"/>
              </w:rPr>
            </w:pPr>
          </w:p>
        </w:tc>
      </w:tr>
      <w:tr w:rsidR="00E627FF" w:rsidRPr="00DD03D6" w:rsidTr="00E627FF">
        <w:trPr>
          <w:trHeight w:val="240"/>
        </w:trPr>
        <w:tc>
          <w:tcPr>
            <w:tcW w:w="4253" w:type="dxa"/>
            <w:shd w:val="clear" w:color="auto" w:fill="auto"/>
          </w:tcPr>
          <w:p w:rsidR="00E627FF" w:rsidRPr="00DD03D6" w:rsidRDefault="00BB4667" w:rsidP="00BB4667">
            <w:pPr>
              <w:keepNext/>
              <w:suppressAutoHyphens w:val="0"/>
              <w:spacing w:before="40" w:after="120" w:line="220" w:lineRule="exact"/>
              <w:ind w:right="113"/>
              <w:rPr>
                <w:noProof/>
                <w:lang w:val="fr-FR"/>
              </w:rPr>
            </w:pPr>
            <w:r>
              <w:rPr>
                <w:bCs/>
                <w:noProof/>
                <w:lang w:val="fr-FR"/>
              </w:rPr>
              <w:t xml:space="preserve">Loi de 2003 sur les boissons alcoolisées </w:t>
            </w:r>
            <w:r w:rsidR="00E627FF" w:rsidRPr="00DD03D6">
              <w:rPr>
                <w:noProof/>
                <w:lang w:val="fr-FR"/>
              </w:rPr>
              <w:t xml:space="preserve">: </w:t>
            </w:r>
            <w:r>
              <w:rPr>
                <w:noProof/>
                <w:lang w:val="fr-FR"/>
              </w:rPr>
              <w:t>fixe l’âge auquel une personne peut acheter de l’alcool et être admise dans un établissement</w:t>
            </w:r>
            <w:r w:rsidRPr="00BB4667">
              <w:rPr>
                <w:noProof/>
                <w:lang w:val="fr-FR"/>
              </w:rPr>
              <w:t xml:space="preserve"> ayant une licence de débit de boissons</w:t>
            </w:r>
            <w:r w:rsidR="00E627FF" w:rsidRPr="00DD03D6">
              <w:rPr>
                <w:noProof/>
                <w:lang w:val="fr-FR"/>
              </w:rPr>
              <w:t>.</w:t>
            </w:r>
          </w:p>
        </w:tc>
        <w:tc>
          <w:tcPr>
            <w:tcW w:w="4253" w:type="dxa"/>
            <w:shd w:val="clear" w:color="auto" w:fill="auto"/>
          </w:tcPr>
          <w:p w:rsidR="00E627FF" w:rsidRPr="00DD03D6" w:rsidRDefault="00BB4667" w:rsidP="00E94DEF">
            <w:pPr>
              <w:keepNext/>
              <w:suppressAutoHyphens w:val="0"/>
              <w:spacing w:before="40" w:after="120" w:line="220" w:lineRule="exact"/>
              <w:ind w:right="113"/>
              <w:rPr>
                <w:noProof/>
                <w:lang w:val="fr-FR"/>
              </w:rPr>
            </w:pPr>
            <w:r>
              <w:rPr>
                <w:noProof/>
                <w:lang w:val="fr-FR"/>
              </w:rPr>
              <w:t>Interdit la vente d’alcool à toute personne âgée de moins de 18 ans</w:t>
            </w:r>
            <w:r w:rsidR="00E627FF" w:rsidRPr="00DD03D6">
              <w:rPr>
                <w:noProof/>
                <w:lang w:val="fr-FR"/>
              </w:rPr>
              <w:t>.</w:t>
            </w:r>
          </w:p>
          <w:p w:rsidR="00E627FF" w:rsidRPr="00DD03D6" w:rsidRDefault="00BB4667" w:rsidP="00BB4667">
            <w:pPr>
              <w:keepNext/>
              <w:suppressAutoHyphens w:val="0"/>
              <w:spacing w:before="40" w:after="120" w:line="220" w:lineRule="exact"/>
              <w:ind w:right="113"/>
              <w:rPr>
                <w:noProof/>
                <w:lang w:val="fr-FR"/>
              </w:rPr>
            </w:pPr>
            <w:r>
              <w:rPr>
                <w:noProof/>
                <w:lang w:val="fr-FR"/>
              </w:rPr>
              <w:t>Interdit l’admission</w:t>
            </w:r>
            <w:r w:rsidR="00E627FF" w:rsidRPr="00DD03D6">
              <w:rPr>
                <w:noProof/>
                <w:lang w:val="fr-FR"/>
              </w:rPr>
              <w:t xml:space="preserve"> </w:t>
            </w:r>
            <w:r w:rsidR="001442D2">
              <w:rPr>
                <w:noProof/>
                <w:lang w:val="fr-FR"/>
              </w:rPr>
              <w:t>d’enfants âgés de moins de 18 </w:t>
            </w:r>
            <w:r>
              <w:rPr>
                <w:noProof/>
                <w:lang w:val="fr-FR"/>
              </w:rPr>
              <w:t>ans dans un établissement</w:t>
            </w:r>
            <w:r w:rsidRPr="00BB4667">
              <w:rPr>
                <w:noProof/>
                <w:lang w:val="fr-FR"/>
              </w:rPr>
              <w:t xml:space="preserve"> ayant une licence de débit de boissons</w:t>
            </w:r>
            <w:r w:rsidR="00E627FF" w:rsidRPr="00DD03D6">
              <w:rPr>
                <w:noProof/>
                <w:lang w:val="fr-FR"/>
              </w:rPr>
              <w:t xml:space="preserve"> </w:t>
            </w:r>
            <w:r>
              <w:rPr>
                <w:noProof/>
                <w:lang w:val="fr-FR"/>
              </w:rPr>
              <w:t xml:space="preserve">après 21 heures à moins qu’ils ne soient accompagnés par un adulte ou </w:t>
            </w:r>
            <w:r w:rsidRPr="00BB4667">
              <w:rPr>
                <w:noProof/>
                <w:lang w:val="fr-FR"/>
              </w:rPr>
              <w:t>à l’occasion d’une réception privée au cours de laquelle un repas copieux est servi.</w:t>
            </w:r>
          </w:p>
        </w:tc>
      </w:tr>
      <w:tr w:rsidR="00E627FF" w:rsidRPr="00DD03D6" w:rsidTr="00E627FF">
        <w:trPr>
          <w:trHeight w:val="240"/>
        </w:trPr>
        <w:tc>
          <w:tcPr>
            <w:tcW w:w="4253" w:type="dxa"/>
            <w:shd w:val="clear" w:color="auto" w:fill="auto"/>
          </w:tcPr>
          <w:p w:rsidR="00E627FF" w:rsidRPr="00DD03D6" w:rsidRDefault="001C6544" w:rsidP="000C2409">
            <w:pPr>
              <w:pStyle w:val="Objetducommentaire"/>
              <w:spacing w:before="40" w:after="120" w:line="220" w:lineRule="exact"/>
              <w:ind w:right="113"/>
              <w:rPr>
                <w:rFonts w:eastAsia="Times New Roman"/>
                <w:b w:val="0"/>
                <w:noProof/>
                <w:szCs w:val="22"/>
                <w:lang w:val="fr-FR" w:eastAsia="en-US"/>
              </w:rPr>
            </w:pPr>
            <w:r>
              <w:rPr>
                <w:rFonts w:eastAsia="Times New Roman"/>
                <w:b w:val="0"/>
                <w:noProof/>
                <w:szCs w:val="22"/>
                <w:lang w:val="fr-FR" w:eastAsia="en-US"/>
              </w:rPr>
              <w:t>Loi de 2002 sur la santé publique (taba</w:t>
            </w:r>
            <w:r w:rsidR="000C2409">
              <w:rPr>
                <w:rFonts w:eastAsia="Times New Roman"/>
                <w:b w:val="0"/>
                <w:noProof/>
                <w:szCs w:val="22"/>
                <w:lang w:val="fr-FR" w:eastAsia="en-US"/>
              </w:rPr>
              <w:t>gisme</w:t>
            </w:r>
            <w:r>
              <w:rPr>
                <w:rFonts w:eastAsia="Times New Roman"/>
                <w:b w:val="0"/>
                <w:noProof/>
                <w:szCs w:val="22"/>
                <w:lang w:val="fr-FR" w:eastAsia="en-US"/>
              </w:rPr>
              <w:t>)</w:t>
            </w:r>
            <w:r w:rsidR="00E627FF" w:rsidRPr="00DD03D6">
              <w:rPr>
                <w:rFonts w:eastAsia="Times New Roman"/>
                <w:b w:val="0"/>
                <w:noProof/>
                <w:szCs w:val="22"/>
                <w:lang w:val="fr-FR" w:eastAsia="en-US"/>
              </w:rPr>
              <w:t xml:space="preserve"> </w:t>
            </w:r>
          </w:p>
        </w:tc>
        <w:tc>
          <w:tcPr>
            <w:tcW w:w="4253" w:type="dxa"/>
            <w:shd w:val="clear" w:color="auto" w:fill="auto"/>
          </w:tcPr>
          <w:p w:rsidR="00E627FF" w:rsidRPr="00DD03D6" w:rsidRDefault="001C6544" w:rsidP="001C6544">
            <w:pPr>
              <w:suppressAutoHyphens w:val="0"/>
              <w:spacing w:before="40" w:after="120" w:line="220" w:lineRule="exact"/>
              <w:ind w:right="113"/>
              <w:rPr>
                <w:noProof/>
                <w:lang w:val="fr-FR"/>
              </w:rPr>
            </w:pPr>
            <w:r>
              <w:rPr>
                <w:noProof/>
                <w:lang w:val="fr-FR"/>
              </w:rPr>
              <w:t xml:space="preserve">Érige en infraction le </w:t>
            </w:r>
            <w:r w:rsidRPr="001C6544">
              <w:rPr>
                <w:noProof/>
                <w:color w:val="000000"/>
                <w:lang w:val="fr-FR"/>
              </w:rPr>
              <w:t>fait de vendre du tabac à une personne âgée de moins de 18 ans</w:t>
            </w:r>
            <w:r>
              <w:rPr>
                <w:noProof/>
                <w:lang w:val="fr-FR"/>
              </w:rPr>
              <w:t>.</w:t>
            </w:r>
          </w:p>
        </w:tc>
      </w:tr>
      <w:tr w:rsidR="00E627FF" w:rsidRPr="00DD03D6" w:rsidTr="00E627FF">
        <w:trPr>
          <w:trHeight w:val="240"/>
        </w:trPr>
        <w:tc>
          <w:tcPr>
            <w:tcW w:w="4253" w:type="dxa"/>
            <w:shd w:val="clear" w:color="auto" w:fill="auto"/>
          </w:tcPr>
          <w:p w:rsidR="00E627FF" w:rsidRPr="001C6544" w:rsidRDefault="001C6544" w:rsidP="00E94DEF">
            <w:pPr>
              <w:pStyle w:val="Objetducommentaire"/>
              <w:spacing w:before="40" w:after="120" w:line="220" w:lineRule="exact"/>
              <w:ind w:right="113"/>
              <w:rPr>
                <w:rFonts w:eastAsia="Times New Roman"/>
                <w:b w:val="0"/>
                <w:noProof/>
                <w:szCs w:val="22"/>
                <w:lang w:val="fr-FR" w:eastAsia="en-US"/>
              </w:rPr>
            </w:pPr>
            <w:r w:rsidRPr="001C6544">
              <w:rPr>
                <w:b w:val="0"/>
                <w:noProof/>
                <w:lang w:val="fr-FR"/>
              </w:rPr>
              <w:t>Loi de 1991sur la protection de l’enfance</w:t>
            </w:r>
          </w:p>
        </w:tc>
        <w:tc>
          <w:tcPr>
            <w:tcW w:w="4253" w:type="dxa"/>
            <w:shd w:val="clear" w:color="auto" w:fill="auto"/>
          </w:tcPr>
          <w:p w:rsidR="00E627FF" w:rsidRPr="00DD03D6" w:rsidRDefault="001C6544" w:rsidP="001C6544">
            <w:pPr>
              <w:suppressAutoHyphens w:val="0"/>
              <w:spacing w:before="40" w:after="120" w:line="220" w:lineRule="exact"/>
              <w:ind w:right="113"/>
              <w:rPr>
                <w:noProof/>
                <w:lang w:val="fr-FR"/>
              </w:rPr>
            </w:pPr>
            <w:r>
              <w:rPr>
                <w:noProof/>
                <w:lang w:val="fr-FR"/>
              </w:rPr>
              <w:t xml:space="preserve">Interdit </w:t>
            </w:r>
            <w:r w:rsidRPr="001C6544">
              <w:rPr>
                <w:noProof/>
                <w:color w:val="000000"/>
                <w:lang w:val="fr-FR"/>
              </w:rPr>
              <w:t xml:space="preserve">la vente de </w:t>
            </w:r>
            <w:r>
              <w:rPr>
                <w:noProof/>
                <w:color w:val="000000"/>
                <w:lang w:val="fr-FR"/>
              </w:rPr>
              <w:t xml:space="preserve">produits à base de </w:t>
            </w:r>
            <w:r w:rsidRPr="001C6544">
              <w:rPr>
                <w:noProof/>
                <w:color w:val="000000"/>
                <w:lang w:val="fr-FR"/>
              </w:rPr>
              <w:t>solvants à des enfants</w:t>
            </w:r>
            <w:r>
              <w:rPr>
                <w:noProof/>
                <w:color w:val="000000"/>
                <w:lang w:val="fr-FR"/>
              </w:rPr>
              <w:t xml:space="preserve"> âgés de moins de 18 ans</w:t>
            </w:r>
            <w:r w:rsidRPr="001C6544">
              <w:rPr>
                <w:noProof/>
                <w:color w:val="000000"/>
                <w:lang w:val="fr-FR"/>
              </w:rPr>
              <w:t xml:space="preserve"> lorsqu</w:t>
            </w:r>
            <w:r>
              <w:rPr>
                <w:noProof/>
                <w:color w:val="000000"/>
                <w:lang w:val="fr-FR"/>
              </w:rPr>
              <w:t>e l</w:t>
            </w:r>
            <w:r w:rsidRPr="001C6544">
              <w:rPr>
                <w:noProof/>
                <w:color w:val="000000"/>
                <w:lang w:val="fr-FR"/>
              </w:rPr>
              <w:t xml:space="preserve">’on sait ou </w:t>
            </w:r>
            <w:r>
              <w:rPr>
                <w:noProof/>
                <w:color w:val="000000"/>
                <w:lang w:val="fr-FR"/>
              </w:rPr>
              <w:t xml:space="preserve">présume </w:t>
            </w:r>
            <w:r w:rsidRPr="001C6544">
              <w:rPr>
                <w:noProof/>
                <w:color w:val="000000"/>
                <w:lang w:val="fr-FR"/>
              </w:rPr>
              <w:t>qu’un usage abusif en sera fait</w:t>
            </w:r>
            <w:r w:rsidR="00E627FF" w:rsidRPr="00DD03D6">
              <w:rPr>
                <w:noProof/>
                <w:lang w:val="fr-FR"/>
              </w:rPr>
              <w:t>.</w:t>
            </w:r>
          </w:p>
        </w:tc>
      </w:tr>
      <w:tr w:rsidR="00E627FF" w:rsidRPr="00DD03D6" w:rsidTr="00E627FF">
        <w:trPr>
          <w:trHeight w:val="240"/>
        </w:trPr>
        <w:tc>
          <w:tcPr>
            <w:tcW w:w="4253" w:type="dxa"/>
            <w:shd w:val="clear" w:color="auto" w:fill="auto"/>
          </w:tcPr>
          <w:p w:rsidR="00E627FF" w:rsidRPr="00DD03D6" w:rsidRDefault="00E627FF" w:rsidP="005160A2">
            <w:pPr>
              <w:pStyle w:val="Objetducommentaire"/>
              <w:spacing w:before="40" w:after="120" w:line="220" w:lineRule="exact"/>
              <w:ind w:right="113"/>
              <w:rPr>
                <w:rFonts w:eastAsia="Times New Roman"/>
                <w:noProof/>
                <w:szCs w:val="22"/>
                <w:lang w:val="fr-FR" w:eastAsia="en-US"/>
              </w:rPr>
            </w:pPr>
            <w:r w:rsidRPr="00DD03D6">
              <w:rPr>
                <w:noProof/>
                <w:lang w:val="fr-FR"/>
              </w:rPr>
              <w:t>Emplo</w:t>
            </w:r>
            <w:r w:rsidR="005160A2">
              <w:rPr>
                <w:noProof/>
                <w:lang w:val="fr-FR"/>
              </w:rPr>
              <w:t>i</w:t>
            </w:r>
          </w:p>
        </w:tc>
        <w:tc>
          <w:tcPr>
            <w:tcW w:w="4253" w:type="dxa"/>
            <w:shd w:val="clear" w:color="auto" w:fill="auto"/>
          </w:tcPr>
          <w:p w:rsidR="00E627FF" w:rsidRPr="00DD03D6" w:rsidRDefault="00E627FF" w:rsidP="00E94DEF">
            <w:pPr>
              <w:suppressAutoHyphens w:val="0"/>
              <w:spacing w:before="40" w:after="120" w:line="220" w:lineRule="exact"/>
              <w:ind w:right="113"/>
              <w:rPr>
                <w:noProof/>
                <w:lang w:val="fr-FR"/>
              </w:rPr>
            </w:pPr>
          </w:p>
        </w:tc>
      </w:tr>
      <w:tr w:rsidR="00E627FF" w:rsidRPr="00DD03D6" w:rsidTr="00E627FF">
        <w:trPr>
          <w:trHeight w:val="240"/>
        </w:trPr>
        <w:tc>
          <w:tcPr>
            <w:tcW w:w="4253" w:type="dxa"/>
            <w:shd w:val="clear" w:color="auto" w:fill="auto"/>
          </w:tcPr>
          <w:p w:rsidR="00E627FF" w:rsidRPr="00DD03D6" w:rsidRDefault="005160A2" w:rsidP="00EB6847">
            <w:pPr>
              <w:suppressAutoHyphens w:val="0"/>
              <w:spacing w:before="40" w:after="120" w:line="220" w:lineRule="exact"/>
              <w:ind w:right="113"/>
              <w:rPr>
                <w:noProof/>
                <w:lang w:val="fr-FR"/>
              </w:rPr>
            </w:pPr>
            <w:r>
              <w:rPr>
                <w:noProof/>
                <w:lang w:val="fr-FR"/>
              </w:rPr>
              <w:t>L</w:t>
            </w:r>
            <w:r w:rsidRPr="005160A2">
              <w:rPr>
                <w:noProof/>
                <w:lang w:val="fr-FR"/>
              </w:rPr>
              <w:t>oi de 1996 sur la</w:t>
            </w:r>
            <w:r>
              <w:rPr>
                <w:noProof/>
                <w:lang w:val="fr-FR"/>
              </w:rPr>
              <w:t xml:space="preserve"> protection des jeunes (emploi) </w:t>
            </w:r>
            <w:r w:rsidR="00E627FF" w:rsidRPr="00DD03D6">
              <w:rPr>
                <w:noProof/>
                <w:lang w:val="fr-FR"/>
              </w:rPr>
              <w:t xml:space="preserve">: </w:t>
            </w:r>
            <w:r>
              <w:rPr>
                <w:noProof/>
                <w:lang w:val="fr-FR"/>
              </w:rPr>
              <w:t xml:space="preserve">interdit </w:t>
            </w:r>
            <w:r w:rsidR="00A8789E">
              <w:rPr>
                <w:noProof/>
                <w:lang w:val="fr-FR"/>
              </w:rPr>
              <w:t xml:space="preserve">d’offrir un emploi régulier à plein </w:t>
            </w:r>
            <w:r w:rsidR="009579C6">
              <w:rPr>
                <w:noProof/>
                <w:lang w:val="fr-FR"/>
              </w:rPr>
              <w:t>t</w:t>
            </w:r>
            <w:r w:rsidR="00A8789E">
              <w:rPr>
                <w:noProof/>
                <w:lang w:val="fr-FR"/>
              </w:rPr>
              <w:t>emps à un enfant</w:t>
            </w:r>
            <w:r w:rsidR="00E627FF" w:rsidRPr="00DD03D6">
              <w:rPr>
                <w:noProof/>
                <w:lang w:val="fr-FR"/>
              </w:rPr>
              <w:t xml:space="preserve">; </w:t>
            </w:r>
            <w:r w:rsidR="00A8789E">
              <w:rPr>
                <w:noProof/>
                <w:lang w:val="fr-FR"/>
              </w:rPr>
              <w:t>réglemente l’horaire de travail maximal</w:t>
            </w:r>
            <w:r w:rsidR="00E627FF" w:rsidRPr="00DD03D6">
              <w:rPr>
                <w:noProof/>
                <w:lang w:val="fr-FR"/>
              </w:rPr>
              <w:t xml:space="preserve">, </w:t>
            </w:r>
            <w:r w:rsidR="00EB6847">
              <w:rPr>
                <w:noProof/>
                <w:lang w:val="fr-FR"/>
              </w:rPr>
              <w:t>les périodes de repos et le travail tôt le matin et le travail de nuit</w:t>
            </w:r>
            <w:r w:rsidR="00E627FF" w:rsidRPr="00DD03D6">
              <w:rPr>
                <w:noProof/>
                <w:lang w:val="fr-FR"/>
              </w:rPr>
              <w:t xml:space="preserve">; </w:t>
            </w:r>
            <w:r w:rsidR="00EB6847">
              <w:rPr>
                <w:noProof/>
                <w:lang w:val="fr-FR"/>
              </w:rPr>
              <w:t xml:space="preserve">et fixe les </w:t>
            </w:r>
            <w:r w:rsidR="00E627FF" w:rsidRPr="00DD03D6">
              <w:rPr>
                <w:noProof/>
                <w:lang w:val="fr-FR"/>
              </w:rPr>
              <w:t xml:space="preserve">conditions </w:t>
            </w:r>
            <w:r w:rsidR="00EB6847">
              <w:rPr>
                <w:noProof/>
                <w:lang w:val="fr-FR"/>
              </w:rPr>
              <w:t>d’emploi d’enfants âgés de 14 et 15 ans</w:t>
            </w:r>
            <w:r w:rsidR="00E627FF" w:rsidRPr="00DD03D6">
              <w:rPr>
                <w:noProof/>
                <w:lang w:val="fr-FR"/>
              </w:rPr>
              <w:t>.</w:t>
            </w:r>
          </w:p>
        </w:tc>
        <w:tc>
          <w:tcPr>
            <w:tcW w:w="4253" w:type="dxa"/>
            <w:shd w:val="clear" w:color="auto" w:fill="auto"/>
          </w:tcPr>
          <w:p w:rsidR="00E627FF" w:rsidRPr="00DD03D6" w:rsidRDefault="00EB6847" w:rsidP="00E94DEF">
            <w:pPr>
              <w:suppressAutoHyphens w:val="0"/>
              <w:spacing w:before="40" w:after="120" w:line="220" w:lineRule="exact"/>
              <w:ind w:right="113"/>
              <w:rPr>
                <w:noProof/>
                <w:lang w:val="fr-FR"/>
              </w:rPr>
            </w:pPr>
            <w:r>
              <w:rPr>
                <w:noProof/>
                <w:lang w:val="fr-FR"/>
              </w:rPr>
              <w:t>Un enfant s’entend de toute personne âgée de moins de 16 ans</w:t>
            </w:r>
            <w:r w:rsidR="00E627FF" w:rsidRPr="00DD03D6">
              <w:rPr>
                <w:noProof/>
                <w:lang w:val="fr-FR"/>
              </w:rPr>
              <w:t>.</w:t>
            </w:r>
          </w:p>
          <w:p w:rsidR="00E627FF" w:rsidRPr="00DD03D6" w:rsidRDefault="00EB6847" w:rsidP="00EB6847">
            <w:pPr>
              <w:suppressAutoHyphens w:val="0"/>
              <w:spacing w:before="40" w:after="120" w:line="220" w:lineRule="exact"/>
              <w:ind w:right="113"/>
              <w:rPr>
                <w:noProof/>
                <w:lang w:val="fr-FR"/>
              </w:rPr>
            </w:pPr>
            <w:r>
              <w:rPr>
                <w:noProof/>
                <w:lang w:val="fr-FR"/>
              </w:rPr>
              <w:t xml:space="preserve">Un jeune s’entend de toute personne âgée de </w:t>
            </w:r>
            <w:r w:rsidR="00345AF3" w:rsidRPr="00DD03D6">
              <w:rPr>
                <w:noProof/>
                <w:lang w:val="fr-FR"/>
              </w:rPr>
              <w:t>16 o</w:t>
            </w:r>
            <w:r>
              <w:rPr>
                <w:noProof/>
                <w:lang w:val="fr-FR"/>
              </w:rPr>
              <w:t>u</w:t>
            </w:r>
            <w:r w:rsidR="00345AF3" w:rsidRPr="00DD03D6">
              <w:rPr>
                <w:noProof/>
                <w:lang w:val="fr-FR"/>
              </w:rPr>
              <w:t xml:space="preserve"> 17</w:t>
            </w:r>
            <w:r>
              <w:rPr>
                <w:noProof/>
                <w:lang w:val="fr-FR"/>
              </w:rPr>
              <w:t xml:space="preserve"> ans</w:t>
            </w:r>
            <w:r w:rsidR="00E627FF" w:rsidRPr="00DD03D6">
              <w:rPr>
                <w:noProof/>
                <w:lang w:val="fr-FR"/>
              </w:rPr>
              <w:t>.</w:t>
            </w:r>
          </w:p>
        </w:tc>
      </w:tr>
      <w:tr w:rsidR="00E627FF" w:rsidRPr="00DD03D6" w:rsidTr="00E627FF">
        <w:trPr>
          <w:trHeight w:val="240"/>
        </w:trPr>
        <w:tc>
          <w:tcPr>
            <w:tcW w:w="4253" w:type="dxa"/>
            <w:shd w:val="clear" w:color="auto" w:fill="auto"/>
          </w:tcPr>
          <w:p w:rsidR="00E627FF" w:rsidRPr="00DD03D6" w:rsidRDefault="00E627FF" w:rsidP="00EB6847">
            <w:pPr>
              <w:pStyle w:val="Objetducommentaire"/>
              <w:spacing w:before="40" w:after="120" w:line="220" w:lineRule="exact"/>
              <w:ind w:right="113"/>
              <w:rPr>
                <w:rFonts w:eastAsia="Times New Roman"/>
                <w:noProof/>
                <w:szCs w:val="22"/>
                <w:lang w:val="fr-FR" w:eastAsia="en-US"/>
              </w:rPr>
            </w:pPr>
            <w:r w:rsidRPr="00DD03D6">
              <w:rPr>
                <w:noProof/>
                <w:lang w:val="fr-FR"/>
              </w:rPr>
              <w:t>Ju</w:t>
            </w:r>
            <w:r w:rsidR="00EB6847">
              <w:rPr>
                <w:noProof/>
                <w:lang w:val="fr-FR"/>
              </w:rPr>
              <w:t xml:space="preserve">stice pour mineurs </w:t>
            </w:r>
          </w:p>
        </w:tc>
        <w:tc>
          <w:tcPr>
            <w:tcW w:w="4253" w:type="dxa"/>
            <w:shd w:val="clear" w:color="auto" w:fill="auto"/>
          </w:tcPr>
          <w:p w:rsidR="00E627FF" w:rsidRPr="00DD03D6" w:rsidRDefault="00E627FF" w:rsidP="00E94DEF">
            <w:pPr>
              <w:suppressAutoHyphens w:val="0"/>
              <w:spacing w:before="40" w:after="120" w:line="220" w:lineRule="exact"/>
              <w:ind w:right="113"/>
              <w:rPr>
                <w:noProof/>
                <w:lang w:val="fr-FR"/>
              </w:rPr>
            </w:pPr>
          </w:p>
        </w:tc>
      </w:tr>
      <w:tr w:rsidR="00E627FF" w:rsidRPr="00DD03D6" w:rsidTr="00E627FF">
        <w:trPr>
          <w:trHeight w:val="240"/>
        </w:trPr>
        <w:tc>
          <w:tcPr>
            <w:tcW w:w="4253" w:type="dxa"/>
            <w:shd w:val="clear" w:color="auto" w:fill="auto"/>
          </w:tcPr>
          <w:p w:rsidR="00E627FF" w:rsidRPr="00DD03D6" w:rsidRDefault="00EB6847" w:rsidP="00EB6847">
            <w:pPr>
              <w:suppressAutoHyphens w:val="0"/>
              <w:spacing w:before="40" w:after="120" w:line="220" w:lineRule="exact"/>
              <w:ind w:right="113"/>
              <w:rPr>
                <w:noProof/>
                <w:lang w:val="fr-FR"/>
              </w:rPr>
            </w:pPr>
            <w:r>
              <w:rPr>
                <w:bCs/>
                <w:noProof/>
                <w:lang w:val="fr-FR"/>
              </w:rPr>
              <w:t xml:space="preserve">Loi de 2001 sur les enfants et loi de 2006 sur la justice pénale </w:t>
            </w:r>
            <w:r w:rsidR="00E627FF" w:rsidRPr="00DD03D6">
              <w:rPr>
                <w:noProof/>
                <w:lang w:val="fr-FR"/>
              </w:rPr>
              <w:t xml:space="preserve">: </w:t>
            </w:r>
            <w:r>
              <w:rPr>
                <w:noProof/>
                <w:lang w:val="fr-FR"/>
              </w:rPr>
              <w:t>définissent l’âge de la responsabilité pénale</w:t>
            </w:r>
            <w:r w:rsidR="00E627FF" w:rsidRPr="00DD03D6">
              <w:rPr>
                <w:noProof/>
                <w:lang w:val="fr-FR"/>
              </w:rPr>
              <w:t>.</w:t>
            </w:r>
          </w:p>
        </w:tc>
        <w:tc>
          <w:tcPr>
            <w:tcW w:w="4253" w:type="dxa"/>
            <w:shd w:val="clear" w:color="auto" w:fill="auto"/>
          </w:tcPr>
          <w:p w:rsidR="00E627FF" w:rsidRPr="00DD03D6" w:rsidRDefault="00EB6847" w:rsidP="00E94DEF">
            <w:pPr>
              <w:suppressAutoHyphens w:val="0"/>
              <w:spacing w:before="40" w:after="120" w:line="220" w:lineRule="exact"/>
              <w:ind w:right="113"/>
              <w:rPr>
                <w:noProof/>
                <w:lang w:val="fr-FR"/>
              </w:rPr>
            </w:pPr>
            <w:r>
              <w:rPr>
                <w:noProof/>
                <w:lang w:val="fr-FR"/>
              </w:rPr>
              <w:t>Recul de sept à 12 ans de l’âge de la responsabilité pénale</w:t>
            </w:r>
            <w:r w:rsidR="00E627FF" w:rsidRPr="00DD03D6">
              <w:rPr>
                <w:noProof/>
                <w:lang w:val="fr-FR"/>
              </w:rPr>
              <w:t>.</w:t>
            </w:r>
          </w:p>
          <w:p w:rsidR="00E627FF" w:rsidRPr="00DD03D6" w:rsidRDefault="00EB6847" w:rsidP="00135C7E">
            <w:pPr>
              <w:suppressAutoHyphens w:val="0"/>
              <w:spacing w:before="40" w:after="120" w:line="220" w:lineRule="exact"/>
              <w:ind w:right="113"/>
              <w:rPr>
                <w:noProof/>
                <w:lang w:val="fr-FR"/>
              </w:rPr>
            </w:pPr>
            <w:r>
              <w:rPr>
                <w:noProof/>
                <w:lang w:val="fr-FR"/>
              </w:rPr>
              <w:t xml:space="preserve">Les enfants âgés de 10 et 11 ans peuvent être accusés d’infractions graves telles que meurtre, homicide involontaire, viol ou </w:t>
            </w:r>
            <w:r w:rsidRPr="00FA02D4">
              <w:rPr>
                <w:lang w:val="fr-CH"/>
              </w:rPr>
              <w:t>agression sexuelle avec circonstances aggravantes</w:t>
            </w:r>
            <w:r w:rsidR="00E627FF" w:rsidRPr="00DD03D6">
              <w:rPr>
                <w:noProof/>
                <w:lang w:val="fr-FR"/>
              </w:rPr>
              <w:t xml:space="preserve">, </w:t>
            </w:r>
            <w:r>
              <w:rPr>
                <w:noProof/>
                <w:lang w:val="fr-FR"/>
              </w:rPr>
              <w:t xml:space="preserve">la procédure étant engagée avec l’assentiment du </w:t>
            </w:r>
            <w:r w:rsidR="00135C7E">
              <w:rPr>
                <w:noProof/>
                <w:lang w:val="fr-FR"/>
              </w:rPr>
              <w:t>Directeur du ministère public</w:t>
            </w:r>
            <w:r w:rsidR="00E627FF" w:rsidRPr="00DD03D6">
              <w:rPr>
                <w:noProof/>
                <w:lang w:val="fr-FR"/>
              </w:rPr>
              <w:t>.</w:t>
            </w:r>
          </w:p>
        </w:tc>
      </w:tr>
      <w:tr w:rsidR="00E627FF" w:rsidRPr="00DD03D6" w:rsidTr="00E627FF">
        <w:trPr>
          <w:trHeight w:val="240"/>
        </w:trPr>
        <w:tc>
          <w:tcPr>
            <w:tcW w:w="4253" w:type="dxa"/>
            <w:shd w:val="clear" w:color="auto" w:fill="auto"/>
          </w:tcPr>
          <w:p w:rsidR="00E627FF" w:rsidRPr="00DD03D6" w:rsidRDefault="00EB6847" w:rsidP="00E92D3C">
            <w:pPr>
              <w:pStyle w:val="Objetducommentaire"/>
              <w:spacing w:before="40" w:after="120" w:line="220" w:lineRule="exact"/>
              <w:ind w:right="113"/>
              <w:rPr>
                <w:rFonts w:eastAsia="Times New Roman"/>
                <w:noProof/>
                <w:szCs w:val="22"/>
                <w:lang w:val="fr-FR" w:eastAsia="en-US"/>
              </w:rPr>
            </w:pPr>
            <w:r>
              <w:rPr>
                <w:noProof/>
                <w:lang w:val="fr-FR"/>
              </w:rPr>
              <w:t xml:space="preserve">Engagement volontaire dans les forces </w:t>
            </w:r>
            <w:r w:rsidR="004F2BAE">
              <w:rPr>
                <w:noProof/>
                <w:lang w:val="fr-FR"/>
              </w:rPr>
              <w:t>de défense</w:t>
            </w:r>
            <w:r w:rsidR="00E92D3C">
              <w:rPr>
                <w:noProof/>
                <w:lang w:val="fr-FR"/>
              </w:rPr>
              <w:t xml:space="preserve"> </w:t>
            </w:r>
          </w:p>
        </w:tc>
        <w:tc>
          <w:tcPr>
            <w:tcW w:w="4253" w:type="dxa"/>
            <w:shd w:val="clear" w:color="auto" w:fill="auto"/>
          </w:tcPr>
          <w:p w:rsidR="00E627FF" w:rsidRPr="00DD03D6" w:rsidRDefault="00E627FF" w:rsidP="00E94DEF">
            <w:pPr>
              <w:suppressAutoHyphens w:val="0"/>
              <w:spacing w:before="40" w:after="120" w:line="220" w:lineRule="exact"/>
              <w:ind w:right="113"/>
              <w:rPr>
                <w:noProof/>
                <w:lang w:val="fr-FR"/>
              </w:rPr>
            </w:pPr>
          </w:p>
        </w:tc>
      </w:tr>
      <w:tr w:rsidR="00E627FF" w:rsidRPr="00DD03D6" w:rsidTr="00E627FF">
        <w:trPr>
          <w:trHeight w:val="240"/>
        </w:trPr>
        <w:tc>
          <w:tcPr>
            <w:tcW w:w="4253" w:type="dxa"/>
            <w:shd w:val="clear" w:color="auto" w:fill="auto"/>
          </w:tcPr>
          <w:p w:rsidR="00E627FF" w:rsidRPr="00DD03D6" w:rsidRDefault="004F2BAE" w:rsidP="004F2BAE">
            <w:pPr>
              <w:suppressAutoHyphens w:val="0"/>
              <w:spacing w:before="40" w:after="120" w:line="220" w:lineRule="exact"/>
              <w:ind w:right="113"/>
              <w:rPr>
                <w:noProof/>
                <w:lang w:val="fr-FR"/>
              </w:rPr>
            </w:pPr>
            <w:r>
              <w:rPr>
                <w:noProof/>
                <w:lang w:val="fr-FR"/>
              </w:rPr>
              <w:t>Règlement</w:t>
            </w:r>
            <w:r w:rsidR="00E627FF" w:rsidRPr="00DD03D6">
              <w:rPr>
                <w:noProof/>
                <w:lang w:val="fr-FR"/>
              </w:rPr>
              <w:t xml:space="preserve"> (</w:t>
            </w:r>
            <w:r>
              <w:rPr>
                <w:noProof/>
                <w:lang w:val="fr-FR"/>
              </w:rPr>
              <w:t>prévu</w:t>
            </w:r>
            <w:r w:rsidR="00E627FF" w:rsidRPr="00DD03D6">
              <w:rPr>
                <w:noProof/>
                <w:lang w:val="fr-FR"/>
              </w:rPr>
              <w:t>)</w:t>
            </w:r>
            <w:r w:rsidR="009579C6">
              <w:rPr>
                <w:noProof/>
                <w:lang w:val="fr-FR"/>
              </w:rPr>
              <w:t>.</w:t>
            </w:r>
          </w:p>
        </w:tc>
        <w:tc>
          <w:tcPr>
            <w:tcW w:w="4253" w:type="dxa"/>
            <w:shd w:val="clear" w:color="auto" w:fill="auto"/>
          </w:tcPr>
          <w:p w:rsidR="00E627FF" w:rsidRPr="00DD03D6" w:rsidRDefault="004F2BAE" w:rsidP="004F2BAE">
            <w:pPr>
              <w:suppressAutoHyphens w:val="0"/>
              <w:spacing w:before="40" w:after="120" w:line="220" w:lineRule="exact"/>
              <w:ind w:right="113"/>
              <w:rPr>
                <w:noProof/>
                <w:lang w:val="fr-FR"/>
              </w:rPr>
            </w:pPr>
            <w:r>
              <w:rPr>
                <w:noProof/>
                <w:lang w:val="fr-FR"/>
              </w:rPr>
              <w:t xml:space="preserve">Recul de 17 à 18 ans de l’âge minimal pour l’engagement volontaire en </w:t>
            </w:r>
            <w:r w:rsidR="00E627FF" w:rsidRPr="00DD03D6">
              <w:rPr>
                <w:noProof/>
                <w:lang w:val="fr-FR"/>
              </w:rPr>
              <w:t>2012.</w:t>
            </w:r>
          </w:p>
        </w:tc>
      </w:tr>
    </w:tbl>
    <w:p w:rsidR="008342B8" w:rsidRPr="00DD03D6" w:rsidRDefault="0085128D" w:rsidP="00A34DA6">
      <w:pPr>
        <w:pStyle w:val="SingleTxtG"/>
        <w:numPr>
          <w:ilvl w:val="0"/>
          <w:numId w:val="3"/>
        </w:numPr>
        <w:spacing w:before="240"/>
        <w:ind w:left="1134" w:firstLine="0"/>
        <w:rPr>
          <w:noProof/>
          <w:lang w:val="fr-FR"/>
        </w:rPr>
      </w:pPr>
      <w:r>
        <w:rPr>
          <w:noProof/>
          <w:lang w:val="fr-FR"/>
        </w:rPr>
        <w:t xml:space="preserve">En ce qui concerne le consentement des enfants à des soins médicaux, </w:t>
      </w:r>
      <w:r w:rsidR="008819AB">
        <w:rPr>
          <w:noProof/>
          <w:lang w:val="fr-FR"/>
        </w:rPr>
        <w:t>la Direction des services de santé a créé le Groupe national consultatif sur le c</w:t>
      </w:r>
      <w:r w:rsidR="008342B8" w:rsidRPr="00DD03D6">
        <w:rPr>
          <w:noProof/>
          <w:lang w:val="fr-FR"/>
        </w:rPr>
        <w:t>onsent</w:t>
      </w:r>
      <w:r w:rsidR="008819AB">
        <w:rPr>
          <w:noProof/>
          <w:lang w:val="fr-FR"/>
        </w:rPr>
        <w:t>ement</w:t>
      </w:r>
      <w:r w:rsidR="008342B8" w:rsidRPr="00DD03D6">
        <w:rPr>
          <w:noProof/>
          <w:lang w:val="fr-FR"/>
        </w:rPr>
        <w:t xml:space="preserve"> </w:t>
      </w:r>
      <w:r w:rsidR="008819AB">
        <w:rPr>
          <w:noProof/>
          <w:lang w:val="fr-FR"/>
        </w:rPr>
        <w:t>afin d’élaborer une politique nationale en la matière</w:t>
      </w:r>
      <w:r w:rsidR="008342B8" w:rsidRPr="00DD03D6">
        <w:rPr>
          <w:noProof/>
          <w:lang w:val="fr-FR"/>
        </w:rPr>
        <w:t xml:space="preserve">. </w:t>
      </w:r>
      <w:r w:rsidR="008819AB">
        <w:rPr>
          <w:noProof/>
          <w:lang w:val="fr-FR"/>
        </w:rPr>
        <w:t>E</w:t>
      </w:r>
      <w:r w:rsidR="008342B8" w:rsidRPr="00DD03D6">
        <w:rPr>
          <w:noProof/>
          <w:lang w:val="fr-FR"/>
        </w:rPr>
        <w:t xml:space="preserve">n </w:t>
      </w:r>
      <w:r w:rsidR="008819AB">
        <w:rPr>
          <w:noProof/>
          <w:lang w:val="fr-FR"/>
        </w:rPr>
        <w:t>mai</w:t>
      </w:r>
      <w:r w:rsidR="008342B8" w:rsidRPr="00DD03D6">
        <w:rPr>
          <w:noProof/>
          <w:lang w:val="fr-FR"/>
        </w:rPr>
        <w:t xml:space="preserve"> 2012, </w:t>
      </w:r>
      <w:r w:rsidR="008819AB">
        <w:rPr>
          <w:noProof/>
          <w:lang w:val="fr-FR"/>
        </w:rPr>
        <w:t>un projet de directives nationales sur le consentement a été diffusé sur le site Web de la Direction des services de santé, les internautes étant appelés à faire des commentaires et à donner leur avis</w:t>
      </w:r>
      <w:r w:rsidR="008342B8" w:rsidRPr="00DD03D6">
        <w:rPr>
          <w:noProof/>
          <w:lang w:val="fr-FR"/>
        </w:rPr>
        <w:t xml:space="preserve">. </w:t>
      </w:r>
      <w:r w:rsidR="008819AB">
        <w:rPr>
          <w:noProof/>
          <w:lang w:val="fr-FR"/>
        </w:rPr>
        <w:t xml:space="preserve">La deuxième partie de ce projet de directives porte expressément sur les questions liées aux enfants et aux </w:t>
      </w:r>
      <w:r w:rsidR="008342B8" w:rsidRPr="00DD03D6">
        <w:rPr>
          <w:noProof/>
          <w:lang w:val="fr-FR"/>
        </w:rPr>
        <w:t xml:space="preserve">adolescents, </w:t>
      </w:r>
      <w:r w:rsidR="008819AB">
        <w:rPr>
          <w:noProof/>
          <w:lang w:val="fr-FR"/>
        </w:rPr>
        <w:t xml:space="preserve">et sur le </w:t>
      </w:r>
      <w:r w:rsidR="008342B8" w:rsidRPr="00DD03D6">
        <w:rPr>
          <w:noProof/>
          <w:lang w:val="fr-FR"/>
        </w:rPr>
        <w:t>consent</w:t>
      </w:r>
      <w:r w:rsidR="008819AB">
        <w:rPr>
          <w:noProof/>
          <w:lang w:val="fr-FR"/>
        </w:rPr>
        <w:t xml:space="preserve">ement à des actes médicaux et à des </w:t>
      </w:r>
      <w:r w:rsidR="008819AB">
        <w:rPr>
          <w:noProof/>
          <w:lang w:val="fr-FR"/>
        </w:rPr>
        <w:lastRenderedPageBreak/>
        <w:t>interventions relevant de la protection sociale</w:t>
      </w:r>
      <w:r w:rsidR="008342B8" w:rsidRPr="00DD03D6">
        <w:rPr>
          <w:noProof/>
          <w:lang w:val="fr-FR"/>
        </w:rPr>
        <w:t xml:space="preserve">. </w:t>
      </w:r>
      <w:r w:rsidR="008819AB">
        <w:rPr>
          <w:noProof/>
          <w:lang w:val="fr-FR"/>
        </w:rPr>
        <w:t>C</w:t>
      </w:r>
      <w:r w:rsidR="00DB0C79">
        <w:rPr>
          <w:noProof/>
          <w:lang w:val="fr-FR"/>
        </w:rPr>
        <w:t>omme l’indique le t</w:t>
      </w:r>
      <w:r w:rsidR="008342B8" w:rsidRPr="00DD03D6">
        <w:rPr>
          <w:noProof/>
          <w:lang w:val="fr-FR"/>
        </w:rPr>
        <w:t>able</w:t>
      </w:r>
      <w:r w:rsidR="00DB0C79">
        <w:rPr>
          <w:noProof/>
          <w:lang w:val="fr-FR"/>
        </w:rPr>
        <w:t>au</w:t>
      </w:r>
      <w:r w:rsidR="008342B8" w:rsidRPr="00DD03D6">
        <w:rPr>
          <w:noProof/>
          <w:lang w:val="fr-FR"/>
        </w:rPr>
        <w:t xml:space="preserve"> 4, </w:t>
      </w:r>
      <w:r w:rsidR="00DB0C79">
        <w:rPr>
          <w:noProof/>
          <w:lang w:val="fr-FR"/>
        </w:rPr>
        <w:t>les enfants qui ont atteint l’âge de 16 ans peuvent consentir à des actes médicaux sans l’accord de leurs parents</w:t>
      </w:r>
      <w:r w:rsidR="008342B8" w:rsidRPr="00DD03D6">
        <w:rPr>
          <w:noProof/>
          <w:lang w:val="fr-FR"/>
        </w:rPr>
        <w:t xml:space="preserve">. </w:t>
      </w:r>
      <w:r w:rsidR="00DB0C79">
        <w:rPr>
          <w:noProof/>
          <w:lang w:val="fr-FR"/>
        </w:rPr>
        <w:t xml:space="preserve">Toutefois, </w:t>
      </w:r>
      <w:r w:rsidR="009579C6">
        <w:rPr>
          <w:noProof/>
          <w:lang w:val="fr-FR"/>
        </w:rPr>
        <w:t>il</w:t>
      </w:r>
      <w:r w:rsidR="00DB0C79">
        <w:rPr>
          <w:noProof/>
          <w:lang w:val="fr-FR"/>
        </w:rPr>
        <w:t xml:space="preserve"> est difficile de dire, dans l’état actuel de la législation, si ce droit s’applique également au refus d’actes médicaux ou d’interventions relevant de la protection sociale,</w:t>
      </w:r>
      <w:r w:rsidR="00DB0C79" w:rsidRPr="00DD03D6">
        <w:rPr>
          <w:noProof/>
          <w:lang w:val="fr-FR"/>
        </w:rPr>
        <w:t xml:space="preserve"> </w:t>
      </w:r>
      <w:r w:rsidR="00DB0C79">
        <w:rPr>
          <w:noProof/>
          <w:lang w:val="fr-FR"/>
        </w:rPr>
        <w:t>dans la mesure où ce refus pourrait avoir de graves répercussions sur la santé et la vie de l’enfant</w:t>
      </w:r>
      <w:r w:rsidR="008342B8" w:rsidRPr="00DD03D6">
        <w:rPr>
          <w:noProof/>
          <w:lang w:val="fr-FR"/>
        </w:rPr>
        <w:t xml:space="preserve">. </w:t>
      </w:r>
      <w:r w:rsidR="00DB0C79">
        <w:rPr>
          <w:noProof/>
          <w:lang w:val="fr-FR"/>
        </w:rPr>
        <w:t xml:space="preserve">Le projet de directives nationales sur le consentement </w:t>
      </w:r>
      <w:r w:rsidR="001242FB">
        <w:rPr>
          <w:noProof/>
          <w:lang w:val="fr-FR"/>
        </w:rPr>
        <w:t xml:space="preserve">estime </w:t>
      </w:r>
      <w:r w:rsidR="00DB0C79">
        <w:rPr>
          <w:noProof/>
          <w:lang w:val="fr-FR"/>
        </w:rPr>
        <w:t xml:space="preserve">que, dans les cas où une personne âgée de moins de 18 ans refuse un </w:t>
      </w:r>
      <w:r w:rsidR="00EA08A3">
        <w:rPr>
          <w:noProof/>
          <w:lang w:val="fr-FR"/>
        </w:rPr>
        <w:t xml:space="preserve">traitement essentiel au maintien de la vie ou s’agissant d’autres décisions susceptibles d’avoir des conséquences </w:t>
      </w:r>
      <w:r w:rsidR="008342B8" w:rsidRPr="00DD03D6">
        <w:rPr>
          <w:noProof/>
          <w:lang w:val="fr-FR"/>
        </w:rPr>
        <w:t>irr</w:t>
      </w:r>
      <w:r w:rsidR="00EA08A3">
        <w:rPr>
          <w:noProof/>
          <w:lang w:val="fr-FR"/>
        </w:rPr>
        <w:t>é</w:t>
      </w:r>
      <w:r w:rsidR="008342B8" w:rsidRPr="00DD03D6">
        <w:rPr>
          <w:noProof/>
          <w:lang w:val="fr-FR"/>
        </w:rPr>
        <w:t>versible</w:t>
      </w:r>
      <w:r w:rsidR="00EA08A3">
        <w:rPr>
          <w:noProof/>
          <w:lang w:val="fr-FR"/>
        </w:rPr>
        <w:t xml:space="preserve">s pour cette personne, il doit être demandé à la </w:t>
      </w:r>
      <w:r w:rsidR="008342B8" w:rsidRPr="00EA08A3">
        <w:rPr>
          <w:i/>
          <w:noProof/>
          <w:lang w:val="fr-FR"/>
        </w:rPr>
        <w:t>High Court</w:t>
      </w:r>
      <w:r w:rsidR="008342B8" w:rsidRPr="00DD03D6">
        <w:rPr>
          <w:noProof/>
          <w:lang w:val="fr-FR"/>
        </w:rPr>
        <w:t xml:space="preserve"> </w:t>
      </w:r>
      <w:r w:rsidR="00EA08A3">
        <w:rPr>
          <w:noProof/>
          <w:lang w:val="fr-FR"/>
        </w:rPr>
        <w:t>de se prononcer sur ce refus</w:t>
      </w:r>
      <w:r w:rsidR="008342B8" w:rsidRPr="00DD03D6">
        <w:rPr>
          <w:noProof/>
          <w:lang w:val="fr-FR"/>
        </w:rPr>
        <w:t xml:space="preserve">. </w:t>
      </w:r>
      <w:r w:rsidR="00D90669">
        <w:rPr>
          <w:noProof/>
          <w:lang w:val="fr-FR"/>
        </w:rPr>
        <w:t>En pareil cas</w:t>
      </w:r>
      <w:r w:rsidR="008342B8" w:rsidRPr="00DD03D6">
        <w:rPr>
          <w:noProof/>
          <w:lang w:val="fr-FR"/>
        </w:rPr>
        <w:t xml:space="preserve">, </w:t>
      </w:r>
      <w:r w:rsidR="00D90669">
        <w:rPr>
          <w:noProof/>
          <w:lang w:val="fr-FR"/>
        </w:rPr>
        <w:t xml:space="preserve">la </w:t>
      </w:r>
      <w:r w:rsidR="008342B8" w:rsidRPr="00D90669">
        <w:rPr>
          <w:i/>
          <w:noProof/>
          <w:lang w:val="fr-FR"/>
        </w:rPr>
        <w:t>High Court</w:t>
      </w:r>
      <w:r w:rsidR="008342B8" w:rsidRPr="00DD03D6">
        <w:rPr>
          <w:noProof/>
          <w:lang w:val="fr-FR"/>
        </w:rPr>
        <w:t xml:space="preserve"> </w:t>
      </w:r>
      <w:r w:rsidR="00D90669">
        <w:rPr>
          <w:noProof/>
          <w:lang w:val="fr-FR"/>
        </w:rPr>
        <w:t xml:space="preserve">peut intervenir pour ordonner que soit administré le traitement qui est nécessaire pour sauver la vie de la personne lorsque cela </w:t>
      </w:r>
      <w:r w:rsidR="001242FB">
        <w:rPr>
          <w:noProof/>
          <w:lang w:val="fr-FR"/>
        </w:rPr>
        <w:t>sert</w:t>
      </w:r>
      <w:r w:rsidR="00D90669">
        <w:rPr>
          <w:noProof/>
          <w:lang w:val="fr-FR"/>
        </w:rPr>
        <w:t xml:space="preserve"> son intérêt supérieur</w:t>
      </w:r>
      <w:r w:rsidR="008342B8" w:rsidRPr="00DD03D6">
        <w:rPr>
          <w:noProof/>
          <w:lang w:val="fr-FR"/>
        </w:rPr>
        <w:t>.</w:t>
      </w:r>
      <w:r w:rsidR="001242FB">
        <w:rPr>
          <w:noProof/>
          <w:lang w:val="fr-FR"/>
        </w:rPr>
        <w:t xml:space="preserve"> E</w:t>
      </w:r>
      <w:r w:rsidR="003D4C78">
        <w:rPr>
          <w:noProof/>
          <w:lang w:val="fr-FR"/>
        </w:rPr>
        <w:t>n</w:t>
      </w:r>
      <w:r w:rsidR="001242FB">
        <w:rPr>
          <w:noProof/>
          <w:lang w:val="fr-FR"/>
        </w:rPr>
        <w:t xml:space="preserve"> cas de saisine de la </w:t>
      </w:r>
      <w:r w:rsidR="001242FB" w:rsidRPr="00D90669">
        <w:rPr>
          <w:i/>
          <w:noProof/>
          <w:lang w:val="fr-FR"/>
        </w:rPr>
        <w:t>High Court</w:t>
      </w:r>
      <w:r w:rsidR="00D90669">
        <w:rPr>
          <w:noProof/>
          <w:lang w:val="fr-FR"/>
        </w:rPr>
        <w:t xml:space="preserve">, cette personne doit </w:t>
      </w:r>
      <w:r w:rsidR="001242FB">
        <w:rPr>
          <w:noProof/>
          <w:lang w:val="fr-FR"/>
        </w:rPr>
        <w:t>être représentée séparément</w:t>
      </w:r>
      <w:r w:rsidR="008342B8" w:rsidRPr="00DD03D6">
        <w:rPr>
          <w:noProof/>
          <w:lang w:val="fr-FR"/>
        </w:rPr>
        <w:t>.</w:t>
      </w:r>
    </w:p>
    <w:p w:rsidR="008342B8" w:rsidRPr="00DD03D6" w:rsidRDefault="001242FB" w:rsidP="005D7533">
      <w:pPr>
        <w:pStyle w:val="SingleTxtG"/>
        <w:numPr>
          <w:ilvl w:val="0"/>
          <w:numId w:val="3"/>
        </w:numPr>
        <w:ind w:left="1134" w:firstLine="0"/>
        <w:rPr>
          <w:noProof/>
          <w:lang w:val="fr-FR"/>
        </w:rPr>
      </w:pPr>
      <w:r>
        <w:rPr>
          <w:noProof/>
          <w:lang w:val="fr-FR"/>
        </w:rPr>
        <w:t>Le rapport d’étape du comité directeur chargé d’examiner la loi sur la santé mentale a formulé des recommandations précises concernant les enfants, s’agissant notamment de la définition</w:t>
      </w:r>
      <w:r w:rsidR="008342B8" w:rsidRPr="00DD03D6">
        <w:rPr>
          <w:noProof/>
          <w:lang w:val="fr-FR"/>
        </w:rPr>
        <w:t xml:space="preserve">, </w:t>
      </w:r>
      <w:r>
        <w:rPr>
          <w:noProof/>
          <w:lang w:val="fr-FR"/>
        </w:rPr>
        <w:t>aux fins de toute nouvelle loi sur la santé mentale, d’</w:t>
      </w:r>
      <w:r w:rsidR="003F36DD">
        <w:rPr>
          <w:noProof/>
          <w:lang w:val="fr-FR"/>
        </w:rPr>
        <w:t>« </w:t>
      </w:r>
      <w:r>
        <w:rPr>
          <w:noProof/>
          <w:lang w:val="fr-FR"/>
        </w:rPr>
        <w:t>un enfant</w:t>
      </w:r>
      <w:r w:rsidR="003F36DD">
        <w:rPr>
          <w:noProof/>
          <w:lang w:val="fr-FR"/>
        </w:rPr>
        <w:t> »</w:t>
      </w:r>
      <w:r w:rsidR="008342B8" w:rsidRPr="00DD03D6">
        <w:rPr>
          <w:noProof/>
          <w:lang w:val="fr-FR"/>
        </w:rPr>
        <w:t xml:space="preserve">. </w:t>
      </w:r>
      <w:r w:rsidR="00465B0C">
        <w:rPr>
          <w:noProof/>
          <w:lang w:val="fr-FR"/>
        </w:rPr>
        <w:t>L’examen de ces recomma</w:t>
      </w:r>
      <w:r w:rsidR="008342B8" w:rsidRPr="00DD03D6">
        <w:rPr>
          <w:noProof/>
          <w:lang w:val="fr-FR"/>
        </w:rPr>
        <w:t xml:space="preserve">ndations </w:t>
      </w:r>
      <w:r w:rsidR="00465B0C">
        <w:rPr>
          <w:noProof/>
          <w:lang w:val="fr-FR"/>
        </w:rPr>
        <w:t>a été confié à un groupe d’experts, qui compte présenter son rapport définitif au ministre au deuxième trimestre de 2013.</w:t>
      </w:r>
    </w:p>
    <w:p w:rsidR="008342B8" w:rsidRPr="00DD03D6" w:rsidRDefault="008E1AF1" w:rsidP="003A2811">
      <w:pPr>
        <w:pStyle w:val="HChG"/>
        <w:rPr>
          <w:noProof/>
          <w:lang w:val="fr-FR"/>
        </w:rPr>
      </w:pPr>
      <w:bookmarkStart w:id="24" w:name="_Toc356430852"/>
      <w:r w:rsidRPr="00DD03D6">
        <w:rPr>
          <w:noProof/>
          <w:lang w:val="fr-FR"/>
        </w:rPr>
        <w:tab/>
      </w:r>
      <w:r w:rsidR="00A34DA6" w:rsidRPr="00DD03D6">
        <w:rPr>
          <w:noProof/>
          <w:lang w:val="fr-FR"/>
        </w:rPr>
        <w:t>III</w:t>
      </w:r>
      <w:r w:rsidR="008342B8" w:rsidRPr="00DD03D6">
        <w:rPr>
          <w:noProof/>
          <w:lang w:val="fr-FR"/>
        </w:rPr>
        <w:t>.</w:t>
      </w:r>
      <w:r w:rsidR="008342B8" w:rsidRPr="00DD03D6">
        <w:rPr>
          <w:noProof/>
          <w:lang w:val="fr-FR"/>
        </w:rPr>
        <w:tab/>
      </w:r>
      <w:r w:rsidR="00465B0C">
        <w:rPr>
          <w:noProof/>
          <w:lang w:val="fr-FR"/>
        </w:rPr>
        <w:t xml:space="preserve">Principes généraux </w:t>
      </w:r>
      <w:bookmarkEnd w:id="24"/>
    </w:p>
    <w:p w:rsidR="008342B8" w:rsidRPr="00DD03D6" w:rsidRDefault="008E1AF1" w:rsidP="003A2811">
      <w:pPr>
        <w:pStyle w:val="H1G"/>
        <w:rPr>
          <w:noProof/>
          <w:lang w:val="fr-FR"/>
        </w:rPr>
      </w:pPr>
      <w:bookmarkStart w:id="25" w:name="_Toc356430853"/>
      <w:r w:rsidRPr="00DD03D6">
        <w:rPr>
          <w:noProof/>
          <w:lang w:val="fr-FR"/>
        </w:rPr>
        <w:tab/>
      </w:r>
      <w:r w:rsidR="008342B8" w:rsidRPr="00DD03D6">
        <w:rPr>
          <w:noProof/>
          <w:lang w:val="fr-FR"/>
        </w:rPr>
        <w:t>A.</w:t>
      </w:r>
      <w:r w:rsidR="008342B8" w:rsidRPr="00DD03D6">
        <w:rPr>
          <w:noProof/>
          <w:lang w:val="fr-FR"/>
        </w:rPr>
        <w:tab/>
        <w:t>Non-</w:t>
      </w:r>
      <w:r w:rsidR="003A2811" w:rsidRPr="00DD03D6">
        <w:rPr>
          <w:noProof/>
          <w:lang w:val="fr-FR"/>
        </w:rPr>
        <w:t>d</w:t>
      </w:r>
      <w:r w:rsidR="008342B8" w:rsidRPr="00DD03D6">
        <w:rPr>
          <w:noProof/>
          <w:lang w:val="fr-FR"/>
        </w:rPr>
        <w:t>iscrimination</w:t>
      </w:r>
      <w:bookmarkEnd w:id="25"/>
    </w:p>
    <w:p w:rsidR="008342B8" w:rsidRPr="00DD03D6" w:rsidRDefault="0047535F" w:rsidP="00BB7B27">
      <w:pPr>
        <w:pStyle w:val="SingleTxtG"/>
        <w:numPr>
          <w:ilvl w:val="0"/>
          <w:numId w:val="3"/>
        </w:numPr>
        <w:ind w:left="1134" w:firstLine="0"/>
        <w:rPr>
          <w:noProof/>
          <w:lang w:val="fr-FR"/>
        </w:rPr>
      </w:pPr>
      <w:r>
        <w:rPr>
          <w:noProof/>
          <w:lang w:val="fr-FR"/>
        </w:rPr>
        <w:t xml:space="preserve">Le rapport initial de l’Irlande au Comité des droits de l’enfant, publié par le Gouvernement irlandais </w:t>
      </w:r>
      <w:r w:rsidR="008342B8" w:rsidRPr="00DD03D6">
        <w:rPr>
          <w:noProof/>
          <w:lang w:val="fr-FR"/>
        </w:rPr>
        <w:t xml:space="preserve">(1996), </w:t>
      </w:r>
      <w:r>
        <w:rPr>
          <w:noProof/>
          <w:lang w:val="fr-FR"/>
        </w:rPr>
        <w:t xml:space="preserve">a exposé en détail les dispositions constitutionnelles régissant la </w:t>
      </w:r>
      <w:r w:rsidR="008342B8" w:rsidRPr="00DD03D6">
        <w:rPr>
          <w:noProof/>
          <w:lang w:val="fr-FR"/>
        </w:rPr>
        <w:t>non-discrimination</w:t>
      </w:r>
      <w:r w:rsidR="00BB7B27" w:rsidRPr="00DD03D6">
        <w:rPr>
          <w:noProof/>
          <w:lang w:val="fr-FR"/>
        </w:rPr>
        <w:t>,</w:t>
      </w:r>
      <w:r w:rsidR="008342B8" w:rsidRPr="00DD03D6">
        <w:rPr>
          <w:noProof/>
          <w:lang w:val="fr-FR"/>
        </w:rPr>
        <w:t xml:space="preserve"> </w:t>
      </w:r>
      <w:r>
        <w:rPr>
          <w:noProof/>
          <w:lang w:val="fr-FR"/>
        </w:rPr>
        <w:t>et les progrès accomplis en la matière ont été indiqués dans l</w:t>
      </w:r>
      <w:r w:rsidR="00AC6F1D">
        <w:rPr>
          <w:noProof/>
          <w:lang w:val="fr-FR"/>
        </w:rPr>
        <w:t>e deuxième rapport, publié par le Bureau nationa</w:t>
      </w:r>
      <w:r w:rsidR="00AC6F1D">
        <w:rPr>
          <w:noProof/>
          <w:lang w:val="fr-FR"/>
        </w:rPr>
        <w:tab/>
        <w:t>l des enfants e</w:t>
      </w:r>
      <w:r w:rsidR="008342B8" w:rsidRPr="00DD03D6">
        <w:rPr>
          <w:noProof/>
          <w:lang w:val="fr-FR"/>
        </w:rPr>
        <w:t>n 2005</w:t>
      </w:r>
      <w:r w:rsidR="008342B8" w:rsidRPr="00DD03D6">
        <w:rPr>
          <w:rStyle w:val="Appelnotedebasdep"/>
          <w:noProof/>
          <w:lang w:val="fr-FR"/>
        </w:rPr>
        <w:footnoteReference w:id="9"/>
      </w:r>
      <w:r w:rsidR="00AC6F1D">
        <w:rPr>
          <w:noProof/>
          <w:lang w:val="fr-FR"/>
        </w:rPr>
        <w:t>.</w:t>
      </w:r>
      <w:r w:rsidR="008342B8" w:rsidRPr="00DD03D6">
        <w:rPr>
          <w:noProof/>
          <w:lang w:val="fr-FR"/>
        </w:rPr>
        <w:t xml:space="preserve"> </w:t>
      </w:r>
      <w:r w:rsidR="00AC6F1D">
        <w:rPr>
          <w:noProof/>
          <w:lang w:val="fr-FR"/>
        </w:rPr>
        <w:t>Un certain nombre de mesures et initiatives anti</w:t>
      </w:r>
      <w:r w:rsidR="008342B8" w:rsidRPr="00DD03D6">
        <w:rPr>
          <w:noProof/>
          <w:lang w:val="fr-FR"/>
        </w:rPr>
        <w:t xml:space="preserve">discrimination </w:t>
      </w:r>
      <w:r w:rsidR="00AC6F1D">
        <w:rPr>
          <w:noProof/>
          <w:lang w:val="fr-FR"/>
        </w:rPr>
        <w:t>importantes sont intervenues depuis 2006, en réponse à la diversité croissante de la société irlandaise</w:t>
      </w:r>
      <w:r w:rsidR="008342B8" w:rsidRPr="00DD03D6">
        <w:rPr>
          <w:noProof/>
          <w:lang w:val="fr-FR"/>
        </w:rPr>
        <w:t>.</w:t>
      </w:r>
    </w:p>
    <w:p w:rsidR="008342B8" w:rsidRPr="00DD03D6" w:rsidRDefault="008342B8" w:rsidP="00BB7B27">
      <w:pPr>
        <w:pStyle w:val="SingleTxtG"/>
        <w:numPr>
          <w:ilvl w:val="0"/>
          <w:numId w:val="3"/>
        </w:numPr>
        <w:ind w:left="1134" w:firstLine="0"/>
        <w:rPr>
          <w:noProof/>
          <w:lang w:val="fr-FR" w:eastAsia="en-GB"/>
        </w:rPr>
      </w:pPr>
      <w:r w:rsidRPr="00DD03D6">
        <w:rPr>
          <w:i/>
          <w:iCs/>
          <w:noProof/>
          <w:lang w:val="fr-FR" w:eastAsia="en-GB"/>
        </w:rPr>
        <w:t>Planning for Diversity – A National Action Plan Against Racism and Related Intolerance</w:t>
      </w:r>
      <w:r w:rsidRPr="00DD03D6">
        <w:rPr>
          <w:noProof/>
          <w:lang w:val="fr-FR" w:eastAsia="en-GB"/>
        </w:rPr>
        <w:t xml:space="preserve"> </w:t>
      </w:r>
      <w:r w:rsidR="005701D6">
        <w:rPr>
          <w:noProof/>
          <w:lang w:val="fr-FR" w:eastAsia="en-GB"/>
        </w:rPr>
        <w:t>(</w:t>
      </w:r>
      <w:r w:rsidR="005701D6" w:rsidRPr="005701D6">
        <w:rPr>
          <w:noProof/>
          <w:lang w:val="fr-FR"/>
        </w:rPr>
        <w:t xml:space="preserve">Planifier la diversité − Plan d’action national contre le racisme </w:t>
      </w:r>
      <w:r w:rsidR="005701D6">
        <w:rPr>
          <w:noProof/>
          <w:lang w:val="fr-FR"/>
        </w:rPr>
        <w:t xml:space="preserve">et l’intolérance dont il s’accompagne), plan publié en janvier </w:t>
      </w:r>
      <w:r w:rsidRPr="00DD03D6">
        <w:rPr>
          <w:noProof/>
          <w:lang w:val="fr-FR" w:eastAsia="en-GB"/>
        </w:rPr>
        <w:t xml:space="preserve">2005, </w:t>
      </w:r>
      <w:r w:rsidR="005701D6">
        <w:rPr>
          <w:noProof/>
          <w:lang w:val="fr-FR" w:eastAsia="en-GB"/>
        </w:rPr>
        <w:t>a été exécuté</w:t>
      </w:r>
      <w:r w:rsidR="0015462F">
        <w:rPr>
          <w:noProof/>
          <w:lang w:val="fr-FR" w:eastAsia="en-GB"/>
        </w:rPr>
        <w:t xml:space="preserve"> pendant la période de quatre </w:t>
      </w:r>
      <w:r w:rsidR="003747DE">
        <w:rPr>
          <w:noProof/>
          <w:lang w:val="fr-FR" w:eastAsia="en-GB"/>
        </w:rPr>
        <w:t xml:space="preserve">ans </w:t>
      </w:r>
      <w:r w:rsidR="0015462F">
        <w:rPr>
          <w:noProof/>
          <w:lang w:val="fr-FR" w:eastAsia="en-GB"/>
        </w:rPr>
        <w:t xml:space="preserve">allant de 2005 à 2008 </w:t>
      </w:r>
      <w:r w:rsidR="003747DE">
        <w:rPr>
          <w:noProof/>
          <w:lang w:val="fr-FR" w:eastAsia="en-GB"/>
        </w:rPr>
        <w:t>inclus</w:t>
      </w:r>
      <w:r w:rsidRPr="00DD03D6">
        <w:rPr>
          <w:noProof/>
          <w:lang w:val="fr-FR" w:eastAsia="en-GB"/>
        </w:rPr>
        <w:t xml:space="preserve">. </w:t>
      </w:r>
      <w:r w:rsidR="0015462F">
        <w:rPr>
          <w:noProof/>
          <w:lang w:val="fr-FR" w:eastAsia="en-GB"/>
        </w:rPr>
        <w:t>Ce p</w:t>
      </w:r>
      <w:r w:rsidRPr="00DD03D6">
        <w:rPr>
          <w:noProof/>
          <w:lang w:val="fr-FR" w:eastAsia="en-GB"/>
        </w:rPr>
        <w:t xml:space="preserve">lan </w:t>
      </w:r>
      <w:r w:rsidR="003747DE" w:rsidRPr="003747DE">
        <w:rPr>
          <w:noProof/>
          <w:color w:val="000000"/>
          <w:lang w:val="fr-FR"/>
        </w:rPr>
        <w:t>metta</w:t>
      </w:r>
      <w:r w:rsidR="003747DE">
        <w:rPr>
          <w:noProof/>
          <w:color w:val="000000"/>
          <w:lang w:val="fr-FR"/>
        </w:rPr>
        <w:t>i</w:t>
      </w:r>
      <w:r w:rsidR="003747DE" w:rsidRPr="003747DE">
        <w:rPr>
          <w:noProof/>
          <w:color w:val="000000"/>
          <w:lang w:val="fr-FR"/>
        </w:rPr>
        <w:t xml:space="preserve">t surtout l’accent sur le soutien aux </w:t>
      </w:r>
      <w:r w:rsidR="00513349">
        <w:rPr>
          <w:noProof/>
          <w:color w:val="000000"/>
          <w:lang w:val="fr-FR"/>
        </w:rPr>
        <w:t>acteurs</w:t>
      </w:r>
      <w:r w:rsidR="003747DE" w:rsidRPr="003747DE">
        <w:rPr>
          <w:noProof/>
          <w:color w:val="000000"/>
          <w:lang w:val="fr-FR"/>
        </w:rPr>
        <w:t xml:space="preserve"> clefs dans l’élaboration de stratégies locales de lutte contre le racisme et de mesures d’in</w:t>
      </w:r>
      <w:r w:rsidR="003747DE">
        <w:rPr>
          <w:noProof/>
          <w:color w:val="000000"/>
          <w:lang w:val="fr-FR"/>
        </w:rPr>
        <w:t xml:space="preserve">tégration </w:t>
      </w:r>
      <w:r w:rsidR="003747DE" w:rsidRPr="003747DE">
        <w:rPr>
          <w:noProof/>
          <w:color w:val="000000"/>
          <w:lang w:val="fr-FR"/>
        </w:rPr>
        <w:t>sociale destinées à promouvoir la diversité</w:t>
      </w:r>
      <w:r w:rsidRPr="00DD03D6">
        <w:rPr>
          <w:noProof/>
          <w:lang w:val="fr-FR" w:eastAsia="en-GB"/>
        </w:rPr>
        <w:t xml:space="preserve">. </w:t>
      </w:r>
      <w:r w:rsidR="003747DE">
        <w:rPr>
          <w:noProof/>
          <w:lang w:val="fr-FR" w:eastAsia="en-GB"/>
        </w:rPr>
        <w:t>Le montant t</w:t>
      </w:r>
      <w:r w:rsidRPr="00DD03D6">
        <w:rPr>
          <w:noProof/>
          <w:lang w:val="fr-FR" w:eastAsia="en-GB"/>
        </w:rPr>
        <w:t xml:space="preserve">otal </w:t>
      </w:r>
      <w:r w:rsidR="003747DE">
        <w:rPr>
          <w:noProof/>
          <w:lang w:val="fr-FR" w:eastAsia="en-GB"/>
        </w:rPr>
        <w:t xml:space="preserve">des dépenses au titre de ce plan s’est élevé à environ </w:t>
      </w:r>
      <w:r w:rsidRPr="00DD03D6">
        <w:rPr>
          <w:noProof/>
          <w:lang w:val="fr-FR" w:eastAsia="en-GB"/>
        </w:rPr>
        <w:t>5 million</w:t>
      </w:r>
      <w:r w:rsidR="003747DE">
        <w:rPr>
          <w:noProof/>
          <w:lang w:val="fr-FR" w:eastAsia="en-GB"/>
        </w:rPr>
        <w:t>s d’euros</w:t>
      </w:r>
      <w:r w:rsidRPr="00DD03D6">
        <w:rPr>
          <w:noProof/>
          <w:lang w:val="fr-FR" w:eastAsia="en-GB"/>
        </w:rPr>
        <w:t xml:space="preserve">. </w:t>
      </w:r>
      <w:r w:rsidR="003747DE">
        <w:rPr>
          <w:noProof/>
          <w:lang w:val="fr-FR" w:eastAsia="en-GB"/>
        </w:rPr>
        <w:t>Il</w:t>
      </w:r>
      <w:r w:rsidRPr="00DD03D6">
        <w:rPr>
          <w:noProof/>
          <w:lang w:val="fr-FR" w:eastAsia="en-GB"/>
        </w:rPr>
        <w:t xml:space="preserve"> </w:t>
      </w:r>
      <w:r w:rsidR="003747DE">
        <w:rPr>
          <w:noProof/>
          <w:lang w:val="fr-FR" w:eastAsia="en-GB"/>
        </w:rPr>
        <w:t xml:space="preserve">a abouti à l’élaboration de stratégies, telles que des </w:t>
      </w:r>
      <w:r w:rsidR="003747DE" w:rsidRPr="003747DE">
        <w:rPr>
          <w:noProof/>
          <w:color w:val="000000"/>
          <w:lang w:val="fr-FR"/>
        </w:rPr>
        <w:t xml:space="preserve">stratégies interculturelles, portant notamment sur la santé, l’éducation et les arts, </w:t>
      </w:r>
      <w:r w:rsidR="003747DE">
        <w:rPr>
          <w:noProof/>
          <w:color w:val="000000"/>
          <w:lang w:val="fr-FR"/>
        </w:rPr>
        <w:t xml:space="preserve">et </w:t>
      </w:r>
      <w:r w:rsidR="003747DE" w:rsidRPr="003747DE">
        <w:rPr>
          <w:noProof/>
          <w:color w:val="000000"/>
          <w:lang w:val="fr-FR"/>
        </w:rPr>
        <w:t xml:space="preserve">une stratégie favorisant la diversité sur les lieux de travail, </w:t>
      </w:r>
      <w:r w:rsidR="003747DE">
        <w:rPr>
          <w:noProof/>
          <w:color w:val="000000"/>
          <w:lang w:val="fr-FR"/>
        </w:rPr>
        <w:t xml:space="preserve">qui </w:t>
      </w:r>
      <w:r w:rsidR="003747DE" w:rsidRPr="003747DE">
        <w:rPr>
          <w:noProof/>
          <w:color w:val="000000"/>
          <w:lang w:val="fr-FR"/>
        </w:rPr>
        <w:t>continuent d'être appliquées</w:t>
      </w:r>
      <w:r w:rsidR="003747DE" w:rsidRPr="00DD03D6">
        <w:rPr>
          <w:noProof/>
          <w:lang w:val="fr-FR" w:eastAsia="en-GB"/>
        </w:rPr>
        <w:t xml:space="preserve"> </w:t>
      </w:r>
      <w:r w:rsidR="003747DE">
        <w:rPr>
          <w:noProof/>
          <w:lang w:val="fr-FR" w:eastAsia="en-GB"/>
        </w:rPr>
        <w:t>par les services gouvernementaux compétents</w:t>
      </w:r>
      <w:r w:rsidRPr="00DD03D6">
        <w:rPr>
          <w:iCs/>
          <w:noProof/>
          <w:lang w:val="fr-FR" w:eastAsia="en-GB"/>
        </w:rPr>
        <w:t>.</w:t>
      </w:r>
    </w:p>
    <w:p w:rsidR="008342B8" w:rsidRPr="00DD03D6" w:rsidRDefault="003747DE" w:rsidP="00E7430D">
      <w:pPr>
        <w:pStyle w:val="SingleTxtG"/>
        <w:numPr>
          <w:ilvl w:val="0"/>
          <w:numId w:val="3"/>
        </w:numPr>
        <w:ind w:left="1134" w:firstLine="0"/>
        <w:rPr>
          <w:noProof/>
          <w:lang w:val="fr-FR" w:eastAsia="en-IE"/>
        </w:rPr>
      </w:pPr>
      <w:r>
        <w:rPr>
          <w:noProof/>
          <w:lang w:val="fr-FR" w:eastAsia="en-IE"/>
        </w:rPr>
        <w:t xml:space="preserve">La </w:t>
      </w:r>
      <w:r w:rsidRPr="003747DE">
        <w:rPr>
          <w:noProof/>
          <w:color w:val="000000"/>
          <w:lang w:val="fr-FR"/>
        </w:rPr>
        <w:t>Commission consultative nationale sur le racisme et l’interculturalisme</w:t>
      </w:r>
      <w:r w:rsidR="000B3554">
        <w:rPr>
          <w:noProof/>
          <w:lang w:val="fr-FR" w:eastAsia="en-IE"/>
        </w:rPr>
        <w:t xml:space="preserve"> a été créée </w:t>
      </w:r>
      <w:r w:rsidR="00CC1B33">
        <w:rPr>
          <w:noProof/>
          <w:lang w:val="fr-FR" w:eastAsia="en-IE"/>
        </w:rPr>
        <w:t>par ce qui était alors le Ministère de la j</w:t>
      </w:r>
      <w:r w:rsidR="008342B8" w:rsidRPr="00DD03D6">
        <w:rPr>
          <w:noProof/>
          <w:lang w:val="fr-FR" w:eastAsia="en-IE"/>
        </w:rPr>
        <w:t xml:space="preserve">ustice, </w:t>
      </w:r>
      <w:r w:rsidR="00CC1B33">
        <w:rPr>
          <w:noProof/>
          <w:lang w:val="fr-FR" w:eastAsia="en-IE"/>
        </w:rPr>
        <w:t>de l’égalité et de la réforme législative en tant qu’</w:t>
      </w:r>
      <w:r w:rsidR="002A7DE9">
        <w:rPr>
          <w:noProof/>
          <w:lang w:val="fr-FR" w:eastAsia="en-IE"/>
        </w:rPr>
        <w:t xml:space="preserve">organe d’experts indépendant pour donner des avis, développer des </w:t>
      </w:r>
      <w:r w:rsidR="008342B8" w:rsidRPr="00DD03D6">
        <w:rPr>
          <w:noProof/>
          <w:lang w:val="fr-FR" w:eastAsia="en-IE"/>
        </w:rPr>
        <w:t xml:space="preserve">initiatives </w:t>
      </w:r>
      <w:r w:rsidR="002A7DE9">
        <w:rPr>
          <w:noProof/>
          <w:lang w:val="fr-FR" w:eastAsia="en-IE"/>
        </w:rPr>
        <w:t xml:space="preserve">pour </w:t>
      </w:r>
      <w:r w:rsidR="008342B8" w:rsidRPr="00DD03D6">
        <w:rPr>
          <w:noProof/>
          <w:lang w:val="fr-FR" w:eastAsia="en-IE"/>
        </w:rPr>
        <w:t>combat</w:t>
      </w:r>
      <w:r w:rsidR="002A7DE9">
        <w:rPr>
          <w:noProof/>
          <w:lang w:val="fr-FR" w:eastAsia="en-IE"/>
        </w:rPr>
        <w:t>tre le</w:t>
      </w:r>
      <w:r w:rsidR="008342B8" w:rsidRPr="00DD03D6">
        <w:rPr>
          <w:noProof/>
          <w:lang w:val="fr-FR" w:eastAsia="en-IE"/>
        </w:rPr>
        <w:t xml:space="preserve"> racism</w:t>
      </w:r>
      <w:r w:rsidR="002A7DE9">
        <w:rPr>
          <w:noProof/>
          <w:lang w:val="fr-FR" w:eastAsia="en-IE"/>
        </w:rPr>
        <w:t>e</w:t>
      </w:r>
      <w:r w:rsidR="008342B8" w:rsidRPr="00DD03D6">
        <w:rPr>
          <w:noProof/>
          <w:lang w:val="fr-FR" w:eastAsia="en-IE"/>
        </w:rPr>
        <w:t xml:space="preserve"> </w:t>
      </w:r>
      <w:r w:rsidR="002A7DE9">
        <w:rPr>
          <w:noProof/>
          <w:lang w:val="fr-FR" w:eastAsia="en-IE"/>
        </w:rPr>
        <w:t xml:space="preserve">et œuvrer à l’instauration d’une société interculturelle plus intégrée en </w:t>
      </w:r>
      <w:r w:rsidR="008342B8" w:rsidRPr="00DD03D6">
        <w:rPr>
          <w:noProof/>
          <w:lang w:val="fr-FR" w:eastAsia="en-IE"/>
        </w:rPr>
        <w:t>Irland</w:t>
      </w:r>
      <w:r w:rsidR="002A7DE9">
        <w:rPr>
          <w:noProof/>
          <w:lang w:val="fr-FR" w:eastAsia="en-IE"/>
        </w:rPr>
        <w:t>e</w:t>
      </w:r>
      <w:r w:rsidR="008342B8" w:rsidRPr="00DD03D6">
        <w:rPr>
          <w:noProof/>
          <w:lang w:val="fr-FR" w:eastAsia="en-IE"/>
        </w:rPr>
        <w:t xml:space="preserve">. </w:t>
      </w:r>
      <w:r w:rsidR="002A7DE9">
        <w:rPr>
          <w:noProof/>
          <w:lang w:val="fr-FR" w:eastAsia="en-IE"/>
        </w:rPr>
        <w:t>La Commission se proposait de promouvoir des approches interculturelles de</w:t>
      </w:r>
      <w:r w:rsidR="008342B8" w:rsidRPr="00DD03D6">
        <w:rPr>
          <w:noProof/>
          <w:lang w:val="fr-FR" w:eastAsia="en-IE"/>
        </w:rPr>
        <w:t xml:space="preserve"> </w:t>
      </w:r>
      <w:r w:rsidR="002A7DE9">
        <w:rPr>
          <w:noProof/>
          <w:lang w:val="fr-FR" w:eastAsia="en-IE"/>
        </w:rPr>
        <w:t>l’</w:t>
      </w:r>
      <w:r w:rsidR="008342B8" w:rsidRPr="00DD03D6">
        <w:rPr>
          <w:noProof/>
          <w:lang w:val="fr-FR" w:eastAsia="en-IE"/>
        </w:rPr>
        <w:t>int</w:t>
      </w:r>
      <w:r w:rsidR="002A7DE9">
        <w:rPr>
          <w:noProof/>
          <w:lang w:val="fr-FR" w:eastAsia="en-IE"/>
        </w:rPr>
        <w:t>é</w:t>
      </w:r>
      <w:r w:rsidR="008342B8" w:rsidRPr="00DD03D6">
        <w:rPr>
          <w:noProof/>
          <w:lang w:val="fr-FR" w:eastAsia="en-IE"/>
        </w:rPr>
        <w:t xml:space="preserve">gration </w:t>
      </w:r>
      <w:r w:rsidR="00E84690">
        <w:rPr>
          <w:noProof/>
          <w:lang w:val="fr-FR" w:eastAsia="en-IE"/>
        </w:rPr>
        <w:t xml:space="preserve">par la voie du </w:t>
      </w:r>
      <w:r w:rsidR="008342B8" w:rsidRPr="00DD03D6">
        <w:rPr>
          <w:noProof/>
          <w:lang w:val="fr-FR" w:eastAsia="en-IE"/>
        </w:rPr>
        <w:t xml:space="preserve">dialogue </w:t>
      </w:r>
      <w:r w:rsidR="00E84690">
        <w:rPr>
          <w:noProof/>
          <w:lang w:val="fr-FR" w:eastAsia="en-IE"/>
        </w:rPr>
        <w:t xml:space="preserve">et du </w:t>
      </w:r>
      <w:r w:rsidR="008342B8" w:rsidRPr="00DD03D6">
        <w:rPr>
          <w:noProof/>
          <w:lang w:val="fr-FR" w:eastAsia="en-IE"/>
        </w:rPr>
        <w:t xml:space="preserve">consensus. </w:t>
      </w:r>
      <w:r w:rsidR="00E84690">
        <w:rPr>
          <w:noProof/>
          <w:lang w:val="fr-FR" w:eastAsia="en-IE"/>
        </w:rPr>
        <w:t>Elle a collaboré avec des organismes publics et privés très divers, en privilégiant les résultats s’inscrivant dans la longue durée</w:t>
      </w:r>
      <w:r w:rsidR="008342B8" w:rsidRPr="00DD03D6">
        <w:rPr>
          <w:noProof/>
          <w:lang w:val="fr-FR" w:eastAsia="en-IE"/>
        </w:rPr>
        <w:t xml:space="preserve">. </w:t>
      </w:r>
      <w:r w:rsidR="00E84690">
        <w:rPr>
          <w:noProof/>
          <w:lang w:val="fr-FR" w:eastAsia="en-IE"/>
        </w:rPr>
        <w:t>E</w:t>
      </w:r>
      <w:r w:rsidR="008342B8" w:rsidRPr="00DD03D6">
        <w:rPr>
          <w:noProof/>
          <w:lang w:val="fr-FR" w:eastAsia="en-IE"/>
        </w:rPr>
        <w:t xml:space="preserve">n 2008, </w:t>
      </w:r>
      <w:r w:rsidR="00E84690">
        <w:rPr>
          <w:noProof/>
          <w:lang w:val="fr-FR" w:eastAsia="en-IE"/>
        </w:rPr>
        <w:t>elle a choisi l’é</w:t>
      </w:r>
      <w:r w:rsidR="008342B8" w:rsidRPr="00DD03D6">
        <w:rPr>
          <w:noProof/>
          <w:lang w:val="fr-FR" w:eastAsia="en-IE"/>
        </w:rPr>
        <w:t xml:space="preserve">ducation </w:t>
      </w:r>
      <w:r w:rsidR="00E84690">
        <w:rPr>
          <w:noProof/>
          <w:lang w:val="fr-FR" w:eastAsia="en-IE"/>
        </w:rPr>
        <w:t xml:space="preserve">comme </w:t>
      </w:r>
      <w:r w:rsidR="008342B8" w:rsidRPr="00DD03D6">
        <w:rPr>
          <w:noProof/>
          <w:lang w:val="fr-FR" w:eastAsia="en-IE"/>
        </w:rPr>
        <w:t>th</w:t>
      </w:r>
      <w:r w:rsidR="00E84690">
        <w:rPr>
          <w:noProof/>
          <w:lang w:val="fr-FR" w:eastAsia="en-IE"/>
        </w:rPr>
        <w:t>è</w:t>
      </w:r>
      <w:r w:rsidR="008342B8" w:rsidRPr="00DD03D6">
        <w:rPr>
          <w:noProof/>
          <w:lang w:val="fr-FR" w:eastAsia="en-IE"/>
        </w:rPr>
        <w:t xml:space="preserve">me </w:t>
      </w:r>
      <w:r w:rsidR="00E84690">
        <w:rPr>
          <w:noProof/>
          <w:lang w:val="fr-FR" w:eastAsia="en-IE"/>
        </w:rPr>
        <w:t>de la Semaine interculturelle et de lutte contre le racisme</w:t>
      </w:r>
      <w:r w:rsidR="008342B8" w:rsidRPr="00DD03D6">
        <w:rPr>
          <w:noProof/>
          <w:lang w:val="fr-FR" w:eastAsia="en-IE"/>
        </w:rPr>
        <w:t xml:space="preserve">. </w:t>
      </w:r>
      <w:r w:rsidR="00DF45FF">
        <w:rPr>
          <w:noProof/>
          <w:lang w:val="fr-FR" w:eastAsia="en-IE"/>
        </w:rPr>
        <w:t xml:space="preserve">Un coffret didactique et des affiches célébrant le </w:t>
      </w:r>
      <w:r w:rsidR="00DF45FF">
        <w:rPr>
          <w:noProof/>
          <w:lang w:val="fr-FR" w:eastAsia="en-IE"/>
        </w:rPr>
        <w:lastRenderedPageBreak/>
        <w:t xml:space="preserve">dialogue </w:t>
      </w:r>
      <w:r w:rsidR="00DF45FF">
        <w:rPr>
          <w:noProof/>
          <w:lang w:val="fr-FR"/>
        </w:rPr>
        <w:t>interculturel dans la salle de classe ont par la suite été adressés à toutes les écoles du pays</w:t>
      </w:r>
      <w:r w:rsidR="008342B8" w:rsidRPr="00DD03D6">
        <w:rPr>
          <w:noProof/>
          <w:lang w:val="fr-FR"/>
        </w:rPr>
        <w:t xml:space="preserve">. </w:t>
      </w:r>
      <w:r w:rsidR="00815812">
        <w:rPr>
          <w:noProof/>
          <w:lang w:val="fr-FR"/>
        </w:rPr>
        <w:t xml:space="preserve">Les </w:t>
      </w:r>
      <w:r w:rsidR="008342B8" w:rsidRPr="00DD03D6">
        <w:rPr>
          <w:noProof/>
          <w:lang w:val="fr-FR" w:eastAsia="en-IE"/>
        </w:rPr>
        <w:t xml:space="preserve">restrictions </w:t>
      </w:r>
      <w:r w:rsidR="00815812">
        <w:rPr>
          <w:noProof/>
          <w:lang w:val="fr-FR" w:eastAsia="en-IE"/>
        </w:rPr>
        <w:t xml:space="preserve">budgétaires mises en </w:t>
      </w:r>
      <w:r w:rsidR="008342B8" w:rsidRPr="00DD03D6">
        <w:rPr>
          <w:noProof/>
          <w:lang w:val="fr-FR" w:eastAsia="en-IE"/>
        </w:rPr>
        <w:t xml:space="preserve">place </w:t>
      </w:r>
      <w:r w:rsidR="00815812">
        <w:rPr>
          <w:noProof/>
          <w:lang w:val="fr-FR" w:eastAsia="en-IE"/>
        </w:rPr>
        <w:t xml:space="preserve">à la suite du ralentissement économique en Irlande ont conduit à mettre fin aux activités de la Commission en </w:t>
      </w:r>
      <w:r w:rsidR="008342B8" w:rsidRPr="00DD03D6">
        <w:rPr>
          <w:noProof/>
          <w:lang w:val="fr-FR" w:eastAsia="en-IE"/>
        </w:rPr>
        <w:t>2008.</w:t>
      </w:r>
    </w:p>
    <w:p w:rsidR="008342B8" w:rsidRPr="00DD03D6" w:rsidRDefault="002C10E0" w:rsidP="00111EE3">
      <w:pPr>
        <w:pStyle w:val="SingleTxtG"/>
        <w:numPr>
          <w:ilvl w:val="0"/>
          <w:numId w:val="3"/>
        </w:numPr>
        <w:ind w:left="1134" w:firstLine="0"/>
        <w:rPr>
          <w:noProof/>
          <w:lang w:val="fr-FR"/>
        </w:rPr>
      </w:pPr>
      <w:r>
        <w:rPr>
          <w:noProof/>
          <w:lang w:val="fr-FR" w:eastAsia="en-IE"/>
        </w:rPr>
        <w:t>Poursuivant sur cette lancée, le Ministère de l’éd</w:t>
      </w:r>
      <w:r w:rsidR="008342B8" w:rsidRPr="00DD03D6">
        <w:rPr>
          <w:noProof/>
          <w:lang w:val="fr-FR" w:eastAsia="en-IE"/>
        </w:rPr>
        <w:t xml:space="preserve">ucation </w:t>
      </w:r>
      <w:r>
        <w:rPr>
          <w:noProof/>
          <w:lang w:val="fr-FR" w:eastAsia="en-IE"/>
        </w:rPr>
        <w:t>et de la formation et le Bureau du Ministre de l’i</w:t>
      </w:r>
      <w:r w:rsidR="008342B8" w:rsidRPr="00DD03D6">
        <w:rPr>
          <w:noProof/>
          <w:lang w:val="fr-FR"/>
        </w:rPr>
        <w:t>nt</w:t>
      </w:r>
      <w:r>
        <w:rPr>
          <w:noProof/>
          <w:lang w:val="fr-FR"/>
        </w:rPr>
        <w:t>é</w:t>
      </w:r>
      <w:r w:rsidR="008342B8" w:rsidRPr="00DD03D6">
        <w:rPr>
          <w:noProof/>
          <w:lang w:val="fr-FR"/>
        </w:rPr>
        <w:t>gration</w:t>
      </w:r>
      <w:r w:rsidR="008342B8" w:rsidRPr="00DD03D6">
        <w:rPr>
          <w:noProof/>
          <w:lang w:val="fr-FR" w:eastAsia="en-IE"/>
        </w:rPr>
        <w:t xml:space="preserve"> </w:t>
      </w:r>
      <w:r>
        <w:rPr>
          <w:noProof/>
          <w:lang w:val="fr-FR" w:eastAsia="en-IE"/>
        </w:rPr>
        <w:t xml:space="preserve">ont présenté </w:t>
      </w:r>
      <w:r w:rsidR="006F3F32">
        <w:rPr>
          <w:noProof/>
          <w:lang w:val="fr-FR" w:eastAsia="en-IE"/>
        </w:rPr>
        <w:t xml:space="preserve">en septembre 2010 </w:t>
      </w:r>
      <w:r>
        <w:rPr>
          <w:noProof/>
          <w:lang w:val="fr-FR" w:eastAsia="en-IE"/>
        </w:rPr>
        <w:t xml:space="preserve">la Stratégie </w:t>
      </w:r>
      <w:r w:rsidR="006F3F32">
        <w:rPr>
          <w:noProof/>
          <w:lang w:val="fr-FR" w:eastAsia="en-IE"/>
        </w:rPr>
        <w:t>de l’enseignement interculture</w:t>
      </w:r>
      <w:r w:rsidR="008342B8" w:rsidRPr="00DD03D6">
        <w:rPr>
          <w:noProof/>
          <w:lang w:val="fr-FR" w:eastAsia="en-IE"/>
        </w:rPr>
        <w:t>l</w:t>
      </w:r>
      <w:r w:rsidR="006F3F32">
        <w:rPr>
          <w:noProof/>
          <w:lang w:val="fr-FR" w:eastAsia="en-IE"/>
        </w:rPr>
        <w:t xml:space="preserve"> pour</w:t>
      </w:r>
      <w:r w:rsidR="008342B8" w:rsidRPr="00DD03D6">
        <w:rPr>
          <w:noProof/>
          <w:lang w:val="fr-FR" w:eastAsia="en-IE"/>
        </w:rPr>
        <w:t xml:space="preserve"> 2010-2015. </w:t>
      </w:r>
      <w:r w:rsidR="00551DD3">
        <w:rPr>
          <w:noProof/>
          <w:lang w:val="fr-FR" w:eastAsia="en-IE"/>
        </w:rPr>
        <w:t>Cette stratégie vise à aider à instaurer un environnement éducatif interculture</w:t>
      </w:r>
      <w:r w:rsidR="008342B8" w:rsidRPr="00DD03D6">
        <w:rPr>
          <w:noProof/>
          <w:lang w:val="fr-FR" w:eastAsia="en-IE"/>
        </w:rPr>
        <w:t>l, int</w:t>
      </w:r>
      <w:r w:rsidR="00551DD3">
        <w:rPr>
          <w:noProof/>
          <w:lang w:val="fr-FR" w:eastAsia="en-IE"/>
        </w:rPr>
        <w:t>é</w:t>
      </w:r>
      <w:r w:rsidR="008342B8" w:rsidRPr="00DD03D6">
        <w:rPr>
          <w:noProof/>
          <w:lang w:val="fr-FR" w:eastAsia="en-IE"/>
        </w:rPr>
        <w:t>gr</w:t>
      </w:r>
      <w:r w:rsidR="00551DD3">
        <w:rPr>
          <w:noProof/>
          <w:lang w:val="fr-FR" w:eastAsia="en-IE"/>
        </w:rPr>
        <w:t>é et inclusif à tous les niveaux d’instruction, depuis l’école maternelle j</w:t>
      </w:r>
      <w:r w:rsidR="00577DF2">
        <w:rPr>
          <w:noProof/>
          <w:lang w:val="fr-FR" w:eastAsia="en-IE"/>
        </w:rPr>
        <w:t>us</w:t>
      </w:r>
      <w:r w:rsidR="00551DD3">
        <w:rPr>
          <w:noProof/>
          <w:lang w:val="fr-FR" w:eastAsia="en-IE"/>
        </w:rPr>
        <w:t>qu’à l’enseignement supérieur</w:t>
      </w:r>
      <w:r w:rsidR="008342B8" w:rsidRPr="00DD03D6">
        <w:rPr>
          <w:noProof/>
          <w:lang w:val="fr-FR" w:eastAsia="en-IE"/>
        </w:rPr>
        <w:t xml:space="preserve">. </w:t>
      </w:r>
      <w:r w:rsidR="00551DD3">
        <w:rPr>
          <w:noProof/>
          <w:lang w:val="fr-FR" w:eastAsia="en-IE"/>
        </w:rPr>
        <w:t xml:space="preserve">Elle entend promouvoir le </w:t>
      </w:r>
      <w:r w:rsidR="008342B8" w:rsidRPr="00DD03D6">
        <w:rPr>
          <w:noProof/>
          <w:lang w:val="fr-FR" w:eastAsia="en-IE"/>
        </w:rPr>
        <w:t xml:space="preserve">respect </w:t>
      </w:r>
      <w:r w:rsidR="00551DD3">
        <w:rPr>
          <w:noProof/>
          <w:lang w:val="fr-FR" w:eastAsia="en-IE"/>
        </w:rPr>
        <w:t xml:space="preserve">des différences </w:t>
      </w:r>
      <w:r w:rsidR="00E9567E">
        <w:rPr>
          <w:noProof/>
          <w:lang w:val="fr-FR" w:eastAsia="en-IE"/>
        </w:rPr>
        <w:t xml:space="preserve">et un changement d’attitude concerté, qui permettent aux </w:t>
      </w:r>
      <w:r w:rsidR="00577DF2">
        <w:rPr>
          <w:noProof/>
          <w:lang w:val="fr-FR" w:eastAsia="en-IE"/>
        </w:rPr>
        <w:t xml:space="preserve">apprenants </w:t>
      </w:r>
      <w:r w:rsidR="00E9567E">
        <w:rPr>
          <w:noProof/>
          <w:lang w:val="fr-FR" w:eastAsia="en-IE"/>
        </w:rPr>
        <w:t xml:space="preserve">ayant récemment immigré, ainsi </w:t>
      </w:r>
      <w:r w:rsidR="00C91CC0">
        <w:rPr>
          <w:noProof/>
          <w:lang w:val="fr-FR" w:eastAsia="en-IE"/>
        </w:rPr>
        <w:t>qu’aux autres enfants, de se sentir mieux accueillis</w:t>
      </w:r>
      <w:r w:rsidR="008342B8" w:rsidRPr="00DD03D6">
        <w:rPr>
          <w:noProof/>
          <w:lang w:val="fr-FR" w:eastAsia="en-IE"/>
        </w:rPr>
        <w:t xml:space="preserve">. </w:t>
      </w:r>
      <w:r w:rsidR="00C91CC0">
        <w:rPr>
          <w:noProof/>
          <w:lang w:val="fr-FR" w:eastAsia="en-IE"/>
        </w:rPr>
        <w:t>On espère que</w:t>
      </w:r>
      <w:r w:rsidR="00577DF2">
        <w:rPr>
          <w:noProof/>
          <w:lang w:val="fr-FR" w:eastAsia="en-IE"/>
        </w:rPr>
        <w:t>,</w:t>
      </w:r>
      <w:r w:rsidR="00C91CC0">
        <w:rPr>
          <w:noProof/>
          <w:lang w:val="fr-FR" w:eastAsia="en-IE"/>
        </w:rPr>
        <w:t xml:space="preserve"> dans un environnement éducatif de ce type, les apprenants auront des attentes et aspirations supérieures et, de ce fait, feront plus longtemps des études à plein temps</w:t>
      </w:r>
      <w:r w:rsidR="008342B8" w:rsidRPr="00DD03D6">
        <w:rPr>
          <w:noProof/>
          <w:lang w:val="fr-FR" w:eastAsia="en-GB"/>
        </w:rPr>
        <w:t xml:space="preserve">. </w:t>
      </w:r>
      <w:r w:rsidR="00C91CC0">
        <w:rPr>
          <w:noProof/>
          <w:lang w:val="fr-FR" w:eastAsia="en-GB"/>
        </w:rPr>
        <w:t xml:space="preserve">Cette </w:t>
      </w:r>
      <w:r w:rsidR="008342B8" w:rsidRPr="00DD03D6">
        <w:rPr>
          <w:noProof/>
          <w:lang w:val="fr-FR"/>
        </w:rPr>
        <w:t>strat</w:t>
      </w:r>
      <w:r w:rsidR="00C91CC0">
        <w:rPr>
          <w:noProof/>
          <w:lang w:val="fr-FR"/>
        </w:rPr>
        <w:t>é</w:t>
      </w:r>
      <w:r w:rsidR="008342B8" w:rsidRPr="00DD03D6">
        <w:rPr>
          <w:noProof/>
          <w:lang w:val="fr-FR"/>
        </w:rPr>
        <w:t>g</w:t>
      </w:r>
      <w:r w:rsidR="00C91CC0">
        <w:rPr>
          <w:noProof/>
          <w:lang w:val="fr-FR"/>
        </w:rPr>
        <w:t>ie vise à garantir que</w:t>
      </w:r>
      <w:r w:rsidR="00A232FB">
        <w:rPr>
          <w:noProof/>
          <w:lang w:val="fr-FR"/>
        </w:rPr>
        <w:t> </w:t>
      </w:r>
      <w:r w:rsidR="008342B8" w:rsidRPr="00DD03D6">
        <w:rPr>
          <w:noProof/>
          <w:lang w:val="fr-FR"/>
        </w:rPr>
        <w:t>:</w:t>
      </w:r>
    </w:p>
    <w:p w:rsidR="008342B8" w:rsidRPr="00DD03D6" w:rsidRDefault="00C91CC0" w:rsidP="00A232FB">
      <w:pPr>
        <w:pStyle w:val="Bullet1G"/>
        <w:tabs>
          <w:tab w:val="clear" w:pos="1701"/>
        </w:tabs>
        <w:ind w:left="1843" w:hanging="142"/>
        <w:rPr>
          <w:noProof/>
          <w:lang w:val="fr-FR"/>
        </w:rPr>
      </w:pPr>
      <w:r w:rsidRPr="00C91CC0">
        <w:rPr>
          <w:noProof/>
          <w:lang w:val="fr-FR"/>
        </w:rPr>
        <w:t xml:space="preserve">Tous les </w:t>
      </w:r>
      <w:r>
        <w:rPr>
          <w:noProof/>
          <w:lang w:val="fr-FR"/>
        </w:rPr>
        <w:t>apprenant</w:t>
      </w:r>
      <w:r w:rsidRPr="00C91CC0">
        <w:rPr>
          <w:noProof/>
          <w:lang w:val="fr-FR"/>
        </w:rPr>
        <w:t>s puissent bénéficier d’une éducation qui «</w:t>
      </w:r>
      <w:r w:rsidR="003F1ADB">
        <w:rPr>
          <w:noProof/>
          <w:lang w:val="fr-FR"/>
        </w:rPr>
        <w:t> </w:t>
      </w:r>
      <w:r w:rsidRPr="00C91CC0">
        <w:rPr>
          <w:noProof/>
          <w:lang w:val="fr-FR"/>
        </w:rPr>
        <w:t>respecte la diversité des valeurs, des croyances, des langues et des traditions de la société irlandaise et qui soit assurée dans un esprit de partenariat</w:t>
      </w:r>
      <w:r w:rsidR="003F1ADB">
        <w:rPr>
          <w:noProof/>
          <w:lang w:val="fr-FR"/>
        </w:rPr>
        <w:t> </w:t>
      </w:r>
      <w:r w:rsidRPr="00C91CC0">
        <w:rPr>
          <w:noProof/>
          <w:lang w:val="fr-FR"/>
        </w:rPr>
        <w:t>» (loi de 1998 sur l’éducation);</w:t>
      </w:r>
    </w:p>
    <w:p w:rsidR="008342B8" w:rsidRPr="00DD03D6" w:rsidRDefault="00C91CC0" w:rsidP="00A232FB">
      <w:pPr>
        <w:pStyle w:val="Bullet1G"/>
        <w:tabs>
          <w:tab w:val="clear" w:pos="1701"/>
        </w:tabs>
        <w:ind w:left="1843" w:hanging="142"/>
        <w:rPr>
          <w:noProof/>
          <w:lang w:val="fr-FR" w:eastAsia="en-GB"/>
        </w:rPr>
      </w:pPr>
      <w:r w:rsidRPr="00C91CC0">
        <w:rPr>
          <w:noProof/>
          <w:lang w:val="fr-FR"/>
        </w:rPr>
        <w:t>Tous les prestataires de services éducatifs soient aidés à assurer que l’insertion et l’intégration dans un environnement éducatif interculturel deviennent la norme</w:t>
      </w:r>
      <w:r w:rsidRPr="00487473">
        <w:rPr>
          <w:lang w:val="fr-CH"/>
        </w:rPr>
        <w:t xml:space="preserve">. </w:t>
      </w:r>
    </w:p>
    <w:p w:rsidR="008342B8" w:rsidRPr="00DD03D6" w:rsidRDefault="008D17C8" w:rsidP="00111EE3">
      <w:pPr>
        <w:pStyle w:val="SingleTxtG"/>
        <w:numPr>
          <w:ilvl w:val="0"/>
          <w:numId w:val="3"/>
        </w:numPr>
        <w:ind w:left="1134" w:firstLine="0"/>
        <w:rPr>
          <w:i/>
          <w:iCs/>
          <w:noProof/>
          <w:lang w:val="fr-FR"/>
        </w:rPr>
      </w:pPr>
      <w:r>
        <w:rPr>
          <w:noProof/>
          <w:lang w:val="fr-FR"/>
        </w:rPr>
        <w:t xml:space="preserve">Le </w:t>
      </w:r>
      <w:r w:rsidRPr="00CC78E1">
        <w:rPr>
          <w:i/>
          <w:lang w:val="fr-CH"/>
        </w:rPr>
        <w:t>Rapport et recommandations en vue de l’élaboration d’une stratégie pour l’éducation des gens du voyage</w:t>
      </w:r>
      <w:r w:rsidRPr="00DD03D6">
        <w:rPr>
          <w:iCs/>
          <w:noProof/>
          <w:lang w:val="fr-FR" w:eastAsia="en-GB"/>
        </w:rPr>
        <w:t xml:space="preserve"> </w:t>
      </w:r>
      <w:r w:rsidR="00C4706D">
        <w:rPr>
          <w:iCs/>
          <w:noProof/>
          <w:lang w:val="fr-FR" w:eastAsia="en-GB"/>
        </w:rPr>
        <w:t>a été présenté</w:t>
      </w:r>
      <w:r>
        <w:rPr>
          <w:iCs/>
          <w:noProof/>
          <w:lang w:val="fr-FR" w:eastAsia="en-GB"/>
        </w:rPr>
        <w:t xml:space="preserve"> en novembre </w:t>
      </w:r>
      <w:r w:rsidRPr="00DD03D6">
        <w:rPr>
          <w:noProof/>
          <w:lang w:val="fr-FR" w:eastAsia="en-GB"/>
        </w:rPr>
        <w:t>2006</w:t>
      </w:r>
      <w:r>
        <w:rPr>
          <w:noProof/>
          <w:lang w:val="fr-FR" w:eastAsia="en-GB"/>
        </w:rPr>
        <w:t xml:space="preserve">. Ce document porte sur tous les </w:t>
      </w:r>
      <w:r w:rsidR="008342B8" w:rsidRPr="00DD03D6">
        <w:rPr>
          <w:noProof/>
          <w:lang w:val="fr-FR" w:eastAsia="en-GB"/>
        </w:rPr>
        <w:t xml:space="preserve">aspects </w:t>
      </w:r>
      <w:r>
        <w:rPr>
          <w:noProof/>
          <w:lang w:val="fr-FR" w:eastAsia="en-GB"/>
        </w:rPr>
        <w:t xml:space="preserve">de l’éducation des gens du voyage, depuis l’école maternelle jusqu’à l’enseignement supérieur, dans </w:t>
      </w:r>
      <w:r w:rsidR="00F70473">
        <w:rPr>
          <w:noProof/>
          <w:lang w:val="fr-FR" w:eastAsia="en-GB"/>
        </w:rPr>
        <w:t>un</w:t>
      </w:r>
      <w:r>
        <w:rPr>
          <w:noProof/>
          <w:lang w:val="fr-FR" w:eastAsia="en-GB"/>
        </w:rPr>
        <w:t xml:space="preserve"> contexte </w:t>
      </w:r>
      <w:r w:rsidR="00F70473">
        <w:rPr>
          <w:noProof/>
          <w:lang w:val="fr-FR" w:eastAsia="en-GB"/>
        </w:rPr>
        <w:t>d’acquisition continue du savoir</w:t>
      </w:r>
      <w:r w:rsidR="008342B8" w:rsidRPr="00DD03D6">
        <w:rPr>
          <w:noProof/>
          <w:lang w:val="fr-FR" w:eastAsia="en-GB"/>
        </w:rPr>
        <w:t xml:space="preserve">. </w:t>
      </w:r>
      <w:r w:rsidR="00F70473">
        <w:rPr>
          <w:noProof/>
          <w:lang w:val="fr-FR" w:eastAsia="en-GB"/>
        </w:rPr>
        <w:t xml:space="preserve">Cette </w:t>
      </w:r>
      <w:r w:rsidR="00E769EC">
        <w:rPr>
          <w:noProof/>
          <w:lang w:val="fr-FR" w:eastAsia="en-GB"/>
        </w:rPr>
        <w:t>s</w:t>
      </w:r>
      <w:r w:rsidR="00F70473">
        <w:rPr>
          <w:noProof/>
          <w:lang w:val="fr-FR" w:eastAsia="en-GB"/>
        </w:rPr>
        <w:t xml:space="preserve">tratégie vise principalement à garantir aux gens du voyage une éducation intégrée de qualité, fondée sur les </w:t>
      </w:r>
      <w:r w:rsidR="008342B8" w:rsidRPr="00DD03D6">
        <w:rPr>
          <w:noProof/>
          <w:lang w:val="fr-FR" w:eastAsia="en-GB"/>
        </w:rPr>
        <w:t xml:space="preserve">principes </w:t>
      </w:r>
      <w:r w:rsidR="001E0875">
        <w:rPr>
          <w:noProof/>
          <w:lang w:val="fr-FR" w:eastAsia="en-GB"/>
        </w:rPr>
        <w:t>d’insertion et de pleine intégration</w:t>
      </w:r>
      <w:r w:rsidR="008342B8" w:rsidRPr="00DD03D6">
        <w:rPr>
          <w:noProof/>
          <w:lang w:val="fr-FR" w:eastAsia="en-GB"/>
        </w:rPr>
        <w:t xml:space="preserve">, </w:t>
      </w:r>
      <w:r w:rsidR="001E0875">
        <w:rPr>
          <w:noProof/>
          <w:lang w:val="fr-FR" w:eastAsia="en-GB"/>
        </w:rPr>
        <w:t>l’accent étant mis sur l’ég</w:t>
      </w:r>
      <w:r w:rsidR="008342B8" w:rsidRPr="00DD03D6">
        <w:rPr>
          <w:noProof/>
          <w:lang w:val="fr-FR" w:eastAsia="en-GB"/>
        </w:rPr>
        <w:t>alit</w:t>
      </w:r>
      <w:r w:rsidR="001E0875">
        <w:rPr>
          <w:noProof/>
          <w:lang w:val="fr-FR" w:eastAsia="en-GB"/>
        </w:rPr>
        <w:t>é</w:t>
      </w:r>
      <w:r w:rsidR="008342B8" w:rsidRPr="00DD03D6">
        <w:rPr>
          <w:noProof/>
          <w:lang w:val="fr-FR" w:eastAsia="en-GB"/>
        </w:rPr>
        <w:t xml:space="preserve">, </w:t>
      </w:r>
      <w:r w:rsidR="001E0875">
        <w:rPr>
          <w:noProof/>
          <w:lang w:val="fr-FR" w:eastAsia="en-GB"/>
        </w:rPr>
        <w:t>la diversité et l’</w:t>
      </w:r>
      <w:r w:rsidR="008342B8" w:rsidRPr="00DD03D6">
        <w:rPr>
          <w:noProof/>
          <w:lang w:val="fr-FR" w:eastAsia="en-GB"/>
        </w:rPr>
        <w:t xml:space="preserve">adoption </w:t>
      </w:r>
      <w:r w:rsidR="001E0875">
        <w:rPr>
          <w:noProof/>
          <w:lang w:val="fr-FR" w:eastAsia="en-GB"/>
        </w:rPr>
        <w:t>d’une approche interculturelle</w:t>
      </w:r>
      <w:r w:rsidR="008342B8" w:rsidRPr="00DD03D6">
        <w:rPr>
          <w:noProof/>
          <w:lang w:val="fr-FR" w:eastAsia="en-GB"/>
        </w:rPr>
        <w:t xml:space="preserve">. </w:t>
      </w:r>
      <w:r w:rsidR="001E0875">
        <w:rPr>
          <w:noProof/>
          <w:lang w:val="fr-FR" w:eastAsia="en-GB"/>
        </w:rPr>
        <w:t xml:space="preserve">Le </w:t>
      </w:r>
      <w:r w:rsidR="001E0875" w:rsidRPr="001E0875">
        <w:rPr>
          <w:noProof/>
          <w:lang w:val="fr-FR"/>
        </w:rPr>
        <w:t xml:space="preserve">Groupe de mise en œuvre des mesures relatives aux gens du voyage, </w:t>
      </w:r>
      <w:r w:rsidR="001E0875">
        <w:rPr>
          <w:noProof/>
          <w:lang w:val="fr-FR"/>
        </w:rPr>
        <w:t xml:space="preserve">composé de hauts fonctionnaires du Ministère de l’éducation et de la formation et chargé des différents aspects de l’éducation des gens du voyage, a été créé en </w:t>
      </w:r>
      <w:r w:rsidR="008342B8" w:rsidRPr="00DD03D6">
        <w:rPr>
          <w:noProof/>
          <w:lang w:val="fr-FR"/>
        </w:rPr>
        <w:t xml:space="preserve">2006 </w:t>
      </w:r>
      <w:r w:rsidR="001E0875">
        <w:rPr>
          <w:noProof/>
          <w:lang w:val="fr-FR"/>
        </w:rPr>
        <w:t>pour faire appliquer les recomma</w:t>
      </w:r>
      <w:r w:rsidR="008342B8" w:rsidRPr="00DD03D6">
        <w:rPr>
          <w:noProof/>
          <w:lang w:val="fr-FR"/>
        </w:rPr>
        <w:t xml:space="preserve">ndations </w:t>
      </w:r>
      <w:r w:rsidR="001E0875">
        <w:rPr>
          <w:noProof/>
          <w:lang w:val="fr-FR"/>
        </w:rPr>
        <w:t>énoncées dans la stratégie</w:t>
      </w:r>
      <w:r w:rsidR="008342B8" w:rsidRPr="00DD03D6">
        <w:rPr>
          <w:noProof/>
          <w:lang w:val="fr-FR"/>
        </w:rPr>
        <w:t xml:space="preserve">. </w:t>
      </w:r>
      <w:r w:rsidR="001E0875">
        <w:rPr>
          <w:noProof/>
          <w:lang w:val="fr-FR"/>
        </w:rPr>
        <w:t xml:space="preserve">Un </w:t>
      </w:r>
      <w:r w:rsidR="00E769EC">
        <w:rPr>
          <w:noProof/>
          <w:lang w:val="fr-FR"/>
        </w:rPr>
        <w:t>Forum consultatif sur la s</w:t>
      </w:r>
      <w:r w:rsidR="001E0875" w:rsidRPr="001E0875">
        <w:rPr>
          <w:noProof/>
          <w:lang w:val="fr-FR"/>
        </w:rPr>
        <w:t xml:space="preserve">tratégie </w:t>
      </w:r>
      <w:r w:rsidR="00E769EC">
        <w:rPr>
          <w:noProof/>
          <w:lang w:val="fr-FR"/>
        </w:rPr>
        <w:t>p</w:t>
      </w:r>
      <w:r w:rsidR="001E0875">
        <w:rPr>
          <w:noProof/>
          <w:lang w:val="fr-FR"/>
        </w:rPr>
        <w:t xml:space="preserve">our </w:t>
      </w:r>
      <w:r w:rsidR="00E769EC">
        <w:rPr>
          <w:noProof/>
          <w:lang w:val="fr-FR"/>
        </w:rPr>
        <w:t>l’éducation d</w:t>
      </w:r>
      <w:r w:rsidR="001E0875">
        <w:rPr>
          <w:noProof/>
          <w:lang w:val="fr-FR"/>
        </w:rPr>
        <w:t>es gens du voyage a été créé à la fin de 2009 pour suivre la mise en œuvre de la stratégie</w:t>
      </w:r>
      <w:r w:rsidR="008342B8" w:rsidRPr="00DD03D6">
        <w:rPr>
          <w:noProof/>
          <w:lang w:val="fr-FR"/>
        </w:rPr>
        <w:t xml:space="preserve">. </w:t>
      </w:r>
      <w:r w:rsidR="00E769EC">
        <w:rPr>
          <w:noProof/>
          <w:lang w:val="fr-FR"/>
        </w:rPr>
        <w:t xml:space="preserve">Il regroupe les </w:t>
      </w:r>
      <w:r w:rsidR="00E83488">
        <w:rPr>
          <w:noProof/>
          <w:lang w:val="fr-FR"/>
        </w:rPr>
        <w:t>acteurs</w:t>
      </w:r>
      <w:r w:rsidR="00E769EC">
        <w:rPr>
          <w:noProof/>
          <w:lang w:val="fr-FR"/>
        </w:rPr>
        <w:t xml:space="preserve"> clefs du secteur de l’éducation qui s’intéressent à l’éducation des gens du voyage en Irlande ou exercent une responsabilité en la matière, les groupes représentant les gens du voyage et les gens du voyage eux-mêmes</w:t>
      </w:r>
      <w:r w:rsidR="008342B8" w:rsidRPr="00DD03D6">
        <w:rPr>
          <w:noProof/>
          <w:lang w:val="fr-FR"/>
        </w:rPr>
        <w:t xml:space="preserve">. </w:t>
      </w:r>
      <w:r w:rsidR="00E769EC">
        <w:rPr>
          <w:noProof/>
          <w:lang w:val="fr-FR"/>
        </w:rPr>
        <w:t>Il a pour objectif de cerner les problèmes que soulève l’application de la stratégie, et notamment les obstacles à surmonter</w:t>
      </w:r>
      <w:r w:rsidR="008342B8" w:rsidRPr="00DD03D6">
        <w:rPr>
          <w:noProof/>
          <w:lang w:val="fr-FR"/>
        </w:rPr>
        <w:t>.</w:t>
      </w:r>
    </w:p>
    <w:p w:rsidR="008342B8" w:rsidRPr="00DD03D6" w:rsidRDefault="00E769EC" w:rsidP="00E7430D">
      <w:pPr>
        <w:pStyle w:val="SingleTxtG"/>
        <w:numPr>
          <w:ilvl w:val="0"/>
          <w:numId w:val="3"/>
        </w:numPr>
        <w:ind w:left="1134" w:firstLine="0"/>
        <w:rPr>
          <w:i/>
          <w:iCs/>
          <w:noProof/>
          <w:lang w:val="fr-FR"/>
        </w:rPr>
      </w:pPr>
      <w:r>
        <w:rPr>
          <w:noProof/>
          <w:lang w:val="fr-FR"/>
        </w:rPr>
        <w:t xml:space="preserve">Les </w:t>
      </w:r>
      <w:r>
        <w:rPr>
          <w:i/>
          <w:iCs/>
          <w:noProof/>
          <w:lang w:val="fr-FR"/>
        </w:rPr>
        <w:t xml:space="preserve">Directives relatives à la diversité et à l’égalité à l’intention des prestataires de services de garde d’enfants </w:t>
      </w:r>
      <w:r w:rsidR="00293855">
        <w:rPr>
          <w:noProof/>
          <w:lang w:val="fr-FR"/>
        </w:rPr>
        <w:t xml:space="preserve">ont été publiées par le </w:t>
      </w:r>
      <w:r w:rsidR="00D8239B">
        <w:rPr>
          <w:noProof/>
          <w:lang w:val="fr-FR"/>
        </w:rPr>
        <w:t>Cabinet de la ministre de l’enfance et de la jeunesse</w:t>
      </w:r>
      <w:r w:rsidR="00293855">
        <w:rPr>
          <w:noProof/>
          <w:lang w:val="fr-FR"/>
        </w:rPr>
        <w:t xml:space="preserve"> e</w:t>
      </w:r>
      <w:r w:rsidR="008342B8" w:rsidRPr="00DD03D6">
        <w:rPr>
          <w:noProof/>
          <w:lang w:val="fr-FR"/>
        </w:rPr>
        <w:t xml:space="preserve">n 2006 </w:t>
      </w:r>
      <w:r w:rsidR="00293855">
        <w:rPr>
          <w:noProof/>
          <w:lang w:val="fr-FR"/>
        </w:rPr>
        <w:t>pour aider les prestataires de services de garde d’enfants à identifier et à prendre en considération les questions liées à la diversité et à l’égalité en milieu préscolaire</w:t>
      </w:r>
      <w:r w:rsidR="008342B8" w:rsidRPr="00DD03D6">
        <w:rPr>
          <w:noProof/>
          <w:lang w:val="fr-FR"/>
        </w:rPr>
        <w:t>.</w:t>
      </w:r>
      <w:r w:rsidR="008342B8" w:rsidRPr="00DD03D6">
        <w:rPr>
          <w:noProof/>
          <w:lang w:val="fr-FR" w:eastAsia="en-GB"/>
        </w:rPr>
        <w:t xml:space="preserve"> </w:t>
      </w:r>
      <w:r w:rsidR="00293855">
        <w:rPr>
          <w:noProof/>
          <w:lang w:val="fr-FR" w:eastAsia="en-GB"/>
        </w:rPr>
        <w:t>E</w:t>
      </w:r>
      <w:r w:rsidR="008342B8" w:rsidRPr="00DD03D6">
        <w:rPr>
          <w:noProof/>
          <w:lang w:val="fr-FR"/>
        </w:rPr>
        <w:t xml:space="preserve">n 2010, </w:t>
      </w:r>
      <w:r w:rsidR="00293855">
        <w:rPr>
          <w:noProof/>
          <w:lang w:val="fr-FR"/>
        </w:rPr>
        <w:t>le Ministère de l’é</w:t>
      </w:r>
      <w:r w:rsidR="008342B8" w:rsidRPr="00DD03D6">
        <w:rPr>
          <w:noProof/>
          <w:lang w:val="fr-FR" w:eastAsia="en-IE"/>
        </w:rPr>
        <w:t xml:space="preserve">ducation </w:t>
      </w:r>
      <w:r w:rsidR="00293855">
        <w:rPr>
          <w:noProof/>
          <w:lang w:val="fr-FR" w:eastAsia="en-IE"/>
        </w:rPr>
        <w:t xml:space="preserve">et de la formation a </w:t>
      </w:r>
      <w:r w:rsidR="008342B8" w:rsidRPr="00DD03D6">
        <w:rPr>
          <w:noProof/>
          <w:lang w:val="fr-FR"/>
        </w:rPr>
        <w:t>anno</w:t>
      </w:r>
      <w:r w:rsidR="00293855">
        <w:rPr>
          <w:noProof/>
          <w:lang w:val="fr-FR"/>
        </w:rPr>
        <w:t xml:space="preserve">ncé un financement de </w:t>
      </w:r>
      <w:r w:rsidR="008342B8" w:rsidRPr="00DD03D6">
        <w:rPr>
          <w:noProof/>
          <w:lang w:val="fr-FR"/>
        </w:rPr>
        <w:t>500</w:t>
      </w:r>
      <w:r w:rsidR="00A232FB">
        <w:rPr>
          <w:noProof/>
          <w:lang w:val="fr-FR"/>
        </w:rPr>
        <w:t> </w:t>
      </w:r>
      <w:r w:rsidR="008342B8" w:rsidRPr="00DD03D6">
        <w:rPr>
          <w:noProof/>
          <w:lang w:val="fr-FR"/>
        </w:rPr>
        <w:t xml:space="preserve">000 </w:t>
      </w:r>
      <w:r w:rsidR="00293855">
        <w:rPr>
          <w:noProof/>
          <w:lang w:val="fr-FR"/>
        </w:rPr>
        <w:t>euros en faveur d’un programme préscolaire s’adressant aux enfants appartenant aux groupes</w:t>
      </w:r>
      <w:r w:rsidR="008749BB" w:rsidRPr="008749BB">
        <w:rPr>
          <w:noProof/>
          <w:lang w:val="fr-FR"/>
        </w:rPr>
        <w:t xml:space="preserve"> </w:t>
      </w:r>
      <w:r w:rsidR="008749BB">
        <w:rPr>
          <w:noProof/>
          <w:lang w:val="fr-FR"/>
        </w:rPr>
        <w:t>minoritaires</w:t>
      </w:r>
      <w:r w:rsidR="00293855">
        <w:rPr>
          <w:noProof/>
          <w:lang w:val="fr-FR"/>
        </w:rPr>
        <w:t xml:space="preserve">, destiné à aider les services d’éducation préscolaire à dispenser une formation </w:t>
      </w:r>
      <w:r w:rsidR="008749BB">
        <w:rPr>
          <w:noProof/>
          <w:lang w:val="fr-FR"/>
        </w:rPr>
        <w:t>reconnue à l’égalité et à la diversité, en rapport avec les directives susvisées</w:t>
      </w:r>
      <w:r w:rsidR="008342B8" w:rsidRPr="00DD03D6">
        <w:rPr>
          <w:noProof/>
          <w:lang w:val="fr-FR"/>
        </w:rPr>
        <w:t xml:space="preserve">. </w:t>
      </w:r>
      <w:r w:rsidR="008749BB">
        <w:rPr>
          <w:noProof/>
          <w:lang w:val="fr-FR"/>
        </w:rPr>
        <w:t xml:space="preserve">Toujours au niveau préscolaire, </w:t>
      </w:r>
      <w:r w:rsidR="008342B8" w:rsidRPr="00DD03D6">
        <w:rPr>
          <w:noProof/>
          <w:lang w:val="fr-FR"/>
        </w:rPr>
        <w:t xml:space="preserve">Síolta, </w:t>
      </w:r>
      <w:r w:rsidR="00D944A8">
        <w:rPr>
          <w:noProof/>
          <w:lang w:val="fr-FR"/>
        </w:rPr>
        <w:t xml:space="preserve">le </w:t>
      </w:r>
      <w:r w:rsidR="00D944A8" w:rsidRPr="00D944A8">
        <w:rPr>
          <w:noProof/>
          <w:lang w:val="fr-FR"/>
        </w:rPr>
        <w:t xml:space="preserve">cadre national relatif à la qualité </w:t>
      </w:r>
      <w:r w:rsidR="00D944A8">
        <w:rPr>
          <w:noProof/>
          <w:lang w:val="fr-FR"/>
        </w:rPr>
        <w:t>de l’éducation</w:t>
      </w:r>
      <w:r w:rsidR="00D944A8" w:rsidRPr="00D944A8">
        <w:rPr>
          <w:noProof/>
          <w:lang w:val="fr-FR"/>
        </w:rPr>
        <w:t xml:space="preserve"> préscolaire</w:t>
      </w:r>
      <w:r w:rsidR="008342B8" w:rsidRPr="00DD03D6">
        <w:rPr>
          <w:noProof/>
          <w:lang w:val="fr-FR"/>
        </w:rPr>
        <w:t>, cont</w:t>
      </w:r>
      <w:r w:rsidR="00D944A8">
        <w:rPr>
          <w:noProof/>
          <w:lang w:val="fr-FR"/>
        </w:rPr>
        <w:t xml:space="preserve">ient </w:t>
      </w:r>
      <w:r w:rsidR="005D7533" w:rsidRPr="00DD03D6">
        <w:rPr>
          <w:noProof/>
          <w:lang w:val="fr-FR"/>
        </w:rPr>
        <w:t xml:space="preserve">16 </w:t>
      </w:r>
      <w:r w:rsidR="00D944A8">
        <w:rPr>
          <w:noProof/>
          <w:lang w:val="fr-FR"/>
        </w:rPr>
        <w:t>normes</w:t>
      </w:r>
      <w:r w:rsidR="005D7533" w:rsidRPr="00DD03D6">
        <w:rPr>
          <w:noProof/>
          <w:lang w:val="fr-FR"/>
        </w:rPr>
        <w:t xml:space="preserve">, </w:t>
      </w:r>
      <w:r w:rsidR="00D944A8">
        <w:rPr>
          <w:noProof/>
          <w:lang w:val="fr-FR"/>
        </w:rPr>
        <w:t xml:space="preserve">dont l’une concerne </w:t>
      </w:r>
      <w:r w:rsidR="003F36DD">
        <w:rPr>
          <w:noProof/>
          <w:lang w:val="fr-FR"/>
        </w:rPr>
        <w:t>« </w:t>
      </w:r>
      <w:r w:rsidR="00D944A8">
        <w:rPr>
          <w:noProof/>
          <w:lang w:val="fr-FR"/>
        </w:rPr>
        <w:t>l’identité et le sentiment d’appartenance</w:t>
      </w:r>
      <w:r w:rsidR="003F36DD">
        <w:rPr>
          <w:noProof/>
          <w:lang w:val="fr-FR"/>
        </w:rPr>
        <w:t> »</w:t>
      </w:r>
      <w:r w:rsidR="00D944A8">
        <w:rPr>
          <w:noProof/>
          <w:lang w:val="fr-FR"/>
        </w:rPr>
        <w:t xml:space="preserve"> et précise que </w:t>
      </w:r>
      <w:r w:rsidR="003F36DD">
        <w:rPr>
          <w:noProof/>
          <w:lang w:val="fr-FR"/>
        </w:rPr>
        <w:t>« </w:t>
      </w:r>
      <w:r w:rsidR="00D944A8">
        <w:rPr>
          <w:noProof/>
          <w:lang w:val="fr-FR"/>
        </w:rPr>
        <w:t xml:space="preserve">la promotion </w:t>
      </w:r>
      <w:r w:rsidR="007B7341">
        <w:rPr>
          <w:noProof/>
          <w:lang w:val="fr-FR"/>
        </w:rPr>
        <w:t xml:space="preserve">d’une identité </w:t>
      </w:r>
      <w:r w:rsidR="008342B8" w:rsidRPr="00DD03D6">
        <w:rPr>
          <w:noProof/>
          <w:lang w:val="fr-FR"/>
        </w:rPr>
        <w:t xml:space="preserve">positive </w:t>
      </w:r>
      <w:r w:rsidR="007B7341">
        <w:rPr>
          <w:noProof/>
          <w:lang w:val="fr-FR"/>
        </w:rPr>
        <w:t>et</w:t>
      </w:r>
      <w:r w:rsidR="008342B8" w:rsidRPr="00DD03D6">
        <w:rPr>
          <w:noProof/>
          <w:lang w:val="fr-FR"/>
        </w:rPr>
        <w:t xml:space="preserve"> </w:t>
      </w:r>
      <w:r w:rsidR="007B7341">
        <w:rPr>
          <w:noProof/>
          <w:lang w:val="fr-FR"/>
        </w:rPr>
        <w:t xml:space="preserve">d’un fort sentiment d’appartenance </w:t>
      </w:r>
      <w:r w:rsidR="008342B8" w:rsidRPr="00DD03D6">
        <w:rPr>
          <w:noProof/>
          <w:lang w:val="fr-FR"/>
        </w:rPr>
        <w:t>requi</w:t>
      </w:r>
      <w:r w:rsidR="007B7341">
        <w:rPr>
          <w:noProof/>
          <w:lang w:val="fr-FR"/>
        </w:rPr>
        <w:t>ert la définition de politiques, procédures et pratiques claires qui permettent à chaque enfant et à chaque adulte de se construire une identité personnelle et collective sûre d’elle-même et d’acquérir une conception et une considération positives pour l’identité et les droits d’autrui</w:t>
      </w:r>
      <w:r w:rsidR="003F36DD">
        <w:rPr>
          <w:noProof/>
          <w:lang w:val="fr-FR"/>
        </w:rPr>
        <w:t> »</w:t>
      </w:r>
      <w:r w:rsidR="008342B8" w:rsidRPr="00DD03D6">
        <w:rPr>
          <w:noProof/>
          <w:lang w:val="fr-FR"/>
        </w:rPr>
        <w:t>.</w:t>
      </w:r>
    </w:p>
    <w:p w:rsidR="008342B8" w:rsidRPr="00DD03D6" w:rsidRDefault="007B7341" w:rsidP="008E1AF1">
      <w:pPr>
        <w:pStyle w:val="SingleTxtG"/>
        <w:numPr>
          <w:ilvl w:val="0"/>
          <w:numId w:val="3"/>
        </w:numPr>
        <w:ind w:left="1134" w:firstLine="0"/>
        <w:rPr>
          <w:noProof/>
          <w:lang w:val="fr-FR"/>
        </w:rPr>
      </w:pPr>
      <w:r>
        <w:rPr>
          <w:noProof/>
          <w:lang w:val="fr-FR"/>
        </w:rPr>
        <w:lastRenderedPageBreak/>
        <w:t>E</w:t>
      </w:r>
      <w:r w:rsidR="008342B8" w:rsidRPr="00DD03D6">
        <w:rPr>
          <w:noProof/>
          <w:lang w:val="fr-FR"/>
        </w:rPr>
        <w:t xml:space="preserve">n 2008, </w:t>
      </w:r>
      <w:r w:rsidR="00A26DC7">
        <w:rPr>
          <w:noProof/>
          <w:lang w:val="fr-FR"/>
        </w:rPr>
        <w:t>la Direction des services de santé a présenté la Stratégie interculturelle de la santé pour</w:t>
      </w:r>
      <w:r w:rsidR="008342B8" w:rsidRPr="00DD03D6">
        <w:rPr>
          <w:noProof/>
          <w:lang w:val="fr-FR"/>
        </w:rPr>
        <w:t xml:space="preserve"> 2007-2012. </w:t>
      </w:r>
      <w:r w:rsidR="00A26DC7">
        <w:rPr>
          <w:noProof/>
          <w:lang w:val="fr-FR"/>
        </w:rPr>
        <w:t xml:space="preserve">Cette </w:t>
      </w:r>
      <w:r w:rsidR="008342B8" w:rsidRPr="00DD03D6">
        <w:rPr>
          <w:noProof/>
          <w:lang w:val="fr-FR" w:eastAsia="en-GB"/>
        </w:rPr>
        <w:t>strat</w:t>
      </w:r>
      <w:r w:rsidR="00A26DC7">
        <w:rPr>
          <w:noProof/>
          <w:lang w:val="fr-FR" w:eastAsia="en-GB"/>
        </w:rPr>
        <w:t>é</w:t>
      </w:r>
      <w:r w:rsidR="008342B8" w:rsidRPr="00DD03D6">
        <w:rPr>
          <w:noProof/>
          <w:lang w:val="fr-FR" w:eastAsia="en-GB"/>
        </w:rPr>
        <w:t>g</w:t>
      </w:r>
      <w:r w:rsidR="00A26DC7">
        <w:rPr>
          <w:noProof/>
          <w:lang w:val="fr-FR" w:eastAsia="en-GB"/>
        </w:rPr>
        <w:t xml:space="preserve">ie fournit un cadre grâce auquel le personnel et les </w:t>
      </w:r>
      <w:r w:rsidR="007C329A">
        <w:rPr>
          <w:noProof/>
          <w:lang w:val="fr-FR" w:eastAsia="en-GB"/>
        </w:rPr>
        <w:t>usager</w:t>
      </w:r>
      <w:r w:rsidR="00A26DC7">
        <w:rPr>
          <w:noProof/>
          <w:lang w:val="fr-FR" w:eastAsia="en-GB"/>
        </w:rPr>
        <w:t xml:space="preserve">s des services </w:t>
      </w:r>
      <w:r w:rsidR="007C329A">
        <w:rPr>
          <w:noProof/>
          <w:lang w:val="fr-FR" w:eastAsia="en-GB"/>
        </w:rPr>
        <w:t xml:space="preserve">peuvent être aidés à </w:t>
      </w:r>
      <w:r w:rsidR="008342B8" w:rsidRPr="00DD03D6">
        <w:rPr>
          <w:noProof/>
          <w:lang w:val="fr-FR" w:eastAsia="en-GB"/>
        </w:rPr>
        <w:t>particip</w:t>
      </w:r>
      <w:r w:rsidR="007C329A">
        <w:rPr>
          <w:noProof/>
          <w:lang w:val="fr-FR" w:eastAsia="en-GB"/>
        </w:rPr>
        <w:t xml:space="preserve">er </w:t>
      </w:r>
      <w:r w:rsidR="008342B8" w:rsidRPr="00DD03D6">
        <w:rPr>
          <w:noProof/>
          <w:lang w:val="fr-FR" w:eastAsia="en-GB"/>
        </w:rPr>
        <w:t>active</w:t>
      </w:r>
      <w:r w:rsidR="007C329A">
        <w:rPr>
          <w:noProof/>
          <w:lang w:val="fr-FR" w:eastAsia="en-GB"/>
        </w:rPr>
        <w:t>ment et utilement à la conception, à la prestation et à l’é</w:t>
      </w:r>
      <w:r w:rsidR="008342B8" w:rsidRPr="00DD03D6">
        <w:rPr>
          <w:noProof/>
          <w:lang w:val="fr-FR" w:eastAsia="en-GB"/>
        </w:rPr>
        <w:t xml:space="preserve">valuation </w:t>
      </w:r>
      <w:r w:rsidR="007C329A">
        <w:rPr>
          <w:noProof/>
          <w:lang w:val="fr-FR" w:eastAsia="en-GB"/>
        </w:rPr>
        <w:t xml:space="preserve">des services de soins de santé </w:t>
      </w:r>
      <w:r w:rsidR="008D60FE">
        <w:rPr>
          <w:noProof/>
          <w:lang w:val="fr-FR" w:eastAsia="en-GB"/>
        </w:rPr>
        <w:t xml:space="preserve">destinés </w:t>
      </w:r>
      <w:r w:rsidR="007C329A">
        <w:rPr>
          <w:noProof/>
          <w:lang w:val="fr-FR" w:eastAsia="en-GB"/>
        </w:rPr>
        <w:t xml:space="preserve">aux bénéficiaires </w:t>
      </w:r>
      <w:r w:rsidR="00262043">
        <w:rPr>
          <w:noProof/>
          <w:lang w:val="fr-FR" w:eastAsia="en-GB"/>
        </w:rPr>
        <w:t>membres des</w:t>
      </w:r>
      <w:r w:rsidR="007C329A">
        <w:rPr>
          <w:noProof/>
          <w:lang w:val="fr-FR" w:eastAsia="en-GB"/>
        </w:rPr>
        <w:t xml:space="preserve"> ethnies minoritaires en Irlande</w:t>
      </w:r>
      <w:r w:rsidR="008342B8" w:rsidRPr="00DD03D6">
        <w:rPr>
          <w:noProof/>
          <w:lang w:val="fr-FR" w:eastAsia="en-GB"/>
        </w:rPr>
        <w:t xml:space="preserve">. </w:t>
      </w:r>
      <w:r w:rsidR="007C329A">
        <w:rPr>
          <w:noProof/>
          <w:lang w:val="fr-FR" w:eastAsia="en-GB"/>
        </w:rPr>
        <w:t xml:space="preserve">En ce qui concerne plus particulièrement les enfants, cette </w:t>
      </w:r>
      <w:r w:rsidR="008342B8" w:rsidRPr="00DD03D6">
        <w:rPr>
          <w:noProof/>
          <w:lang w:val="fr-FR" w:eastAsia="en-GB"/>
        </w:rPr>
        <w:t>strat</w:t>
      </w:r>
      <w:r w:rsidR="007C329A">
        <w:rPr>
          <w:noProof/>
          <w:lang w:val="fr-FR" w:eastAsia="en-GB"/>
        </w:rPr>
        <w:t>é</w:t>
      </w:r>
      <w:r w:rsidR="008342B8" w:rsidRPr="00DD03D6">
        <w:rPr>
          <w:noProof/>
          <w:lang w:val="fr-FR" w:eastAsia="en-GB"/>
        </w:rPr>
        <w:t>g</w:t>
      </w:r>
      <w:r w:rsidR="007C329A">
        <w:rPr>
          <w:noProof/>
          <w:lang w:val="fr-FR" w:eastAsia="en-GB"/>
        </w:rPr>
        <w:t xml:space="preserve">ie indique que des mécanismes seront formulés en </w:t>
      </w:r>
      <w:r w:rsidR="008342B8" w:rsidRPr="00DD03D6">
        <w:rPr>
          <w:noProof/>
          <w:lang w:val="fr-FR"/>
        </w:rPr>
        <w:t xml:space="preserve">collaboration </w:t>
      </w:r>
      <w:r w:rsidR="007C329A">
        <w:rPr>
          <w:noProof/>
          <w:lang w:val="fr-FR"/>
        </w:rPr>
        <w:t>avec les personnels compétents travaillant avec les enfants et les familles, et œuvreront à la satisfaction des besoins</w:t>
      </w:r>
      <w:r w:rsidR="00313E43">
        <w:rPr>
          <w:noProof/>
          <w:lang w:val="fr-FR"/>
        </w:rPr>
        <w:t xml:space="preserve"> de protection des enfants et des familles appart</w:t>
      </w:r>
      <w:r w:rsidR="00262043">
        <w:rPr>
          <w:noProof/>
          <w:lang w:val="fr-FR"/>
        </w:rPr>
        <w:t>enant à différents groupes ethn</w:t>
      </w:r>
      <w:r w:rsidR="00313E43">
        <w:rPr>
          <w:noProof/>
          <w:lang w:val="fr-FR"/>
        </w:rPr>
        <w:t>iques et cultures</w:t>
      </w:r>
      <w:r w:rsidR="008342B8" w:rsidRPr="00DD03D6">
        <w:rPr>
          <w:noProof/>
          <w:lang w:val="fr-FR"/>
        </w:rPr>
        <w:t xml:space="preserve">. </w:t>
      </w:r>
      <w:r w:rsidR="00313E43">
        <w:rPr>
          <w:noProof/>
          <w:lang w:val="fr-FR"/>
        </w:rPr>
        <w:t>Les besoins de protection et d’appui des enfants séparés constitueront une priorité dans le cadre de cette approche</w:t>
      </w:r>
      <w:r w:rsidR="008342B8" w:rsidRPr="00DD03D6">
        <w:rPr>
          <w:noProof/>
          <w:lang w:val="fr-FR"/>
        </w:rPr>
        <w:t xml:space="preserve">. </w:t>
      </w:r>
      <w:r w:rsidR="00313E43">
        <w:rPr>
          <w:noProof/>
          <w:lang w:val="fr-FR"/>
        </w:rPr>
        <w:t>E</w:t>
      </w:r>
      <w:r w:rsidR="008342B8" w:rsidRPr="00DD03D6">
        <w:rPr>
          <w:noProof/>
          <w:lang w:val="fr-FR"/>
        </w:rPr>
        <w:t xml:space="preserve">n </w:t>
      </w:r>
      <w:r w:rsidR="00313E43">
        <w:rPr>
          <w:noProof/>
          <w:lang w:val="fr-FR"/>
        </w:rPr>
        <w:t>outre, les recomma</w:t>
      </w:r>
      <w:r w:rsidR="008342B8" w:rsidRPr="00DD03D6">
        <w:rPr>
          <w:noProof/>
          <w:lang w:val="fr-FR"/>
        </w:rPr>
        <w:t xml:space="preserve">ndations </w:t>
      </w:r>
      <w:r w:rsidR="00313E43">
        <w:rPr>
          <w:noProof/>
          <w:lang w:val="fr-FR"/>
        </w:rPr>
        <w:t>figurant dans le Plan d’action national contre le racisme sont une composante essentielle</w:t>
      </w:r>
      <w:r w:rsidR="00E92D3C">
        <w:rPr>
          <w:noProof/>
          <w:lang w:val="fr-FR"/>
        </w:rPr>
        <w:t xml:space="preserve"> </w:t>
      </w:r>
      <w:r w:rsidR="00313E43">
        <w:rPr>
          <w:noProof/>
          <w:lang w:val="fr-FR"/>
        </w:rPr>
        <w:t>s’agissant de garantir une approche interculturelle inclusive de la statisfaction des besoins des enfants appartenant à différents groupes et communautés ethniques</w:t>
      </w:r>
      <w:r w:rsidR="008342B8" w:rsidRPr="00DD03D6">
        <w:rPr>
          <w:noProof/>
          <w:lang w:val="fr-FR"/>
        </w:rPr>
        <w:t xml:space="preserve">. </w:t>
      </w:r>
      <w:r w:rsidR="00313E43">
        <w:rPr>
          <w:noProof/>
          <w:lang w:val="fr-FR"/>
        </w:rPr>
        <w:t>Par ailleurs, la Stratégie interculturelle de la santé reconnaît que le personnel peut avoir besoin d’un appui et d’une formation dans les domaines de la garde et de la protection des enfants dans le cadre de l’</w:t>
      </w:r>
      <w:r w:rsidR="008342B8" w:rsidRPr="00DD03D6">
        <w:rPr>
          <w:noProof/>
          <w:lang w:val="fr-FR"/>
        </w:rPr>
        <w:t>interculturalism</w:t>
      </w:r>
      <w:r w:rsidR="00313E43">
        <w:rPr>
          <w:noProof/>
          <w:lang w:val="fr-FR"/>
        </w:rPr>
        <w:t>e et de la</w:t>
      </w:r>
      <w:r w:rsidR="008342B8" w:rsidRPr="00DD03D6">
        <w:rPr>
          <w:noProof/>
          <w:lang w:val="fr-FR"/>
        </w:rPr>
        <w:t xml:space="preserve"> </w:t>
      </w:r>
      <w:r w:rsidR="00313E43">
        <w:rPr>
          <w:noProof/>
          <w:lang w:val="fr-FR"/>
        </w:rPr>
        <w:t>diversité</w:t>
      </w:r>
      <w:r w:rsidR="008342B8" w:rsidRPr="00DD03D6">
        <w:rPr>
          <w:noProof/>
          <w:lang w:val="fr-FR"/>
        </w:rPr>
        <w:t xml:space="preserve">. </w:t>
      </w:r>
      <w:r w:rsidR="00313E43">
        <w:rPr>
          <w:noProof/>
          <w:lang w:val="fr-FR"/>
        </w:rPr>
        <w:t xml:space="preserve">Les services </w:t>
      </w:r>
      <w:r w:rsidR="00262043">
        <w:rPr>
          <w:noProof/>
          <w:lang w:val="fr-FR"/>
        </w:rPr>
        <w:t xml:space="preserve">destinés </w:t>
      </w:r>
      <w:r w:rsidR="00313E43">
        <w:rPr>
          <w:noProof/>
          <w:lang w:val="fr-FR"/>
        </w:rPr>
        <w:t xml:space="preserve">aux enfants et aux familles seront appuyés dans le cadre des efforts faits </w:t>
      </w:r>
      <w:r w:rsidR="00262043">
        <w:rPr>
          <w:noProof/>
          <w:lang w:val="fr-FR"/>
        </w:rPr>
        <w:t xml:space="preserve">pour </w:t>
      </w:r>
      <w:r w:rsidR="005F4318">
        <w:rPr>
          <w:noProof/>
          <w:lang w:val="fr-FR"/>
        </w:rPr>
        <w:t>élaborer une pratique exhaustive dans ce domaine</w:t>
      </w:r>
      <w:r w:rsidR="008342B8" w:rsidRPr="00DD03D6">
        <w:rPr>
          <w:noProof/>
          <w:lang w:val="fr-FR"/>
        </w:rPr>
        <w:t xml:space="preserve">. </w:t>
      </w:r>
      <w:r w:rsidR="005F4318">
        <w:rPr>
          <w:noProof/>
          <w:lang w:val="fr-FR"/>
        </w:rPr>
        <w:t xml:space="preserve">L’application de cette stratégie a donné lieu </w:t>
      </w:r>
      <w:r w:rsidR="002D5A2E">
        <w:rPr>
          <w:noProof/>
          <w:lang w:val="fr-FR"/>
        </w:rPr>
        <w:t>à l’établissement à l’intention des personnels de santé d’un guide concernant la manière de répondre aux besoins des diverses communautés religieuses et culturelles</w:t>
      </w:r>
      <w:r w:rsidR="008342B8" w:rsidRPr="00DD03D6">
        <w:rPr>
          <w:noProof/>
          <w:lang w:val="fr-FR"/>
        </w:rPr>
        <w:t xml:space="preserve">; </w:t>
      </w:r>
      <w:r w:rsidR="002D5A2E">
        <w:rPr>
          <w:noProof/>
          <w:lang w:val="fr-FR"/>
        </w:rPr>
        <w:t xml:space="preserve">à </w:t>
      </w:r>
      <w:r w:rsidR="003F2315">
        <w:rPr>
          <w:noProof/>
          <w:lang w:val="fr-FR"/>
        </w:rPr>
        <w:t xml:space="preserve">une collaboration avec un certain nombre d’organismes pour mentionner l’origine ethnique dans les </w:t>
      </w:r>
      <w:r w:rsidR="006A1253">
        <w:rPr>
          <w:noProof/>
          <w:lang w:val="fr-FR"/>
        </w:rPr>
        <w:t>ensembles de données de base</w:t>
      </w:r>
      <w:r w:rsidR="008342B8" w:rsidRPr="00DD03D6">
        <w:rPr>
          <w:noProof/>
          <w:lang w:val="fr-FR"/>
        </w:rPr>
        <w:t xml:space="preserve">; </w:t>
      </w:r>
      <w:r w:rsidR="006A1253">
        <w:rPr>
          <w:noProof/>
          <w:lang w:val="fr-FR"/>
        </w:rPr>
        <w:t xml:space="preserve">à l’élaboration d’un outil multilingue d’aide d’urgence dans 21 langues pour aider le personnel à communiquer avec les </w:t>
      </w:r>
      <w:r w:rsidR="008342B8" w:rsidRPr="00DD03D6">
        <w:rPr>
          <w:noProof/>
          <w:lang w:val="fr-FR"/>
        </w:rPr>
        <w:t xml:space="preserve">patients </w:t>
      </w:r>
      <w:r w:rsidR="006A1253">
        <w:rPr>
          <w:noProof/>
          <w:lang w:val="fr-FR"/>
        </w:rPr>
        <w:t>qui se trouvent dans des situations difficiles ou d’urgence et qui ne maîtrisent pas l’anglais</w:t>
      </w:r>
      <w:r w:rsidR="008342B8" w:rsidRPr="00DD03D6">
        <w:rPr>
          <w:noProof/>
          <w:lang w:val="fr-FR"/>
        </w:rPr>
        <w:t xml:space="preserve">; </w:t>
      </w:r>
      <w:r w:rsidR="006A1253">
        <w:rPr>
          <w:noProof/>
          <w:lang w:val="fr-FR"/>
        </w:rPr>
        <w:t>et à une collaboration avec les organismes compétents</w:t>
      </w:r>
      <w:r w:rsidR="00E92D3C">
        <w:rPr>
          <w:noProof/>
          <w:lang w:val="fr-FR"/>
        </w:rPr>
        <w:t xml:space="preserve"> </w:t>
      </w:r>
      <w:r w:rsidR="006A1253">
        <w:rPr>
          <w:noProof/>
          <w:lang w:val="fr-FR"/>
        </w:rPr>
        <w:t xml:space="preserve">au sujet de l’amélioration de l’appui aux femmes membres des communautés ethniques minoritaires qui sont exposées au risque de subir </w:t>
      </w:r>
      <w:r w:rsidR="008342B8" w:rsidRPr="00DD03D6">
        <w:rPr>
          <w:noProof/>
          <w:lang w:val="fr-FR"/>
        </w:rPr>
        <w:t>diff</w:t>
      </w:r>
      <w:r w:rsidR="006A1253">
        <w:rPr>
          <w:noProof/>
          <w:lang w:val="fr-FR"/>
        </w:rPr>
        <w:t>é</w:t>
      </w:r>
      <w:r w:rsidR="008342B8" w:rsidRPr="00DD03D6">
        <w:rPr>
          <w:noProof/>
          <w:lang w:val="fr-FR"/>
        </w:rPr>
        <w:t>rent</w:t>
      </w:r>
      <w:r w:rsidR="006A1253">
        <w:rPr>
          <w:noProof/>
          <w:lang w:val="fr-FR"/>
        </w:rPr>
        <w:t>es</w:t>
      </w:r>
      <w:r w:rsidR="008342B8" w:rsidRPr="00DD03D6">
        <w:rPr>
          <w:noProof/>
          <w:lang w:val="fr-FR"/>
        </w:rPr>
        <w:t xml:space="preserve"> form</w:t>
      </w:r>
      <w:r w:rsidR="006A1253">
        <w:rPr>
          <w:noProof/>
          <w:lang w:val="fr-FR"/>
        </w:rPr>
        <w:t>e</w:t>
      </w:r>
      <w:r w:rsidR="008342B8" w:rsidRPr="00DD03D6">
        <w:rPr>
          <w:noProof/>
          <w:lang w:val="fr-FR"/>
        </w:rPr>
        <w:t xml:space="preserve">s </w:t>
      </w:r>
      <w:r w:rsidR="006A1253">
        <w:rPr>
          <w:noProof/>
          <w:lang w:val="fr-FR"/>
        </w:rPr>
        <w:t>de violence sexiste</w:t>
      </w:r>
      <w:r w:rsidR="008342B8" w:rsidRPr="00DD03D6">
        <w:rPr>
          <w:noProof/>
          <w:lang w:val="fr-FR"/>
        </w:rPr>
        <w:t>.</w:t>
      </w:r>
    </w:p>
    <w:p w:rsidR="008342B8" w:rsidRPr="00DD03D6" w:rsidRDefault="008D60FE" w:rsidP="00E7430D">
      <w:pPr>
        <w:pStyle w:val="SingleTxtG"/>
        <w:numPr>
          <w:ilvl w:val="0"/>
          <w:numId w:val="3"/>
        </w:numPr>
        <w:ind w:left="1134" w:firstLine="0"/>
        <w:rPr>
          <w:noProof/>
          <w:lang w:val="fr-FR"/>
        </w:rPr>
      </w:pPr>
      <w:r>
        <w:rPr>
          <w:noProof/>
          <w:lang w:val="fr-FR"/>
        </w:rPr>
        <w:t>E</w:t>
      </w:r>
      <w:r w:rsidR="008342B8" w:rsidRPr="00DD03D6">
        <w:rPr>
          <w:noProof/>
          <w:lang w:val="fr-FR"/>
        </w:rPr>
        <w:t xml:space="preserve">n 2010, </w:t>
      </w:r>
      <w:r w:rsidR="00F17321">
        <w:rPr>
          <w:noProof/>
          <w:lang w:val="fr-FR"/>
        </w:rPr>
        <w:t>le Conseil des a</w:t>
      </w:r>
      <w:r w:rsidR="008342B8" w:rsidRPr="00DD03D6">
        <w:rPr>
          <w:noProof/>
          <w:lang w:val="fr-FR"/>
        </w:rPr>
        <w:t xml:space="preserve">rts </w:t>
      </w:r>
      <w:r>
        <w:rPr>
          <w:noProof/>
          <w:lang w:val="fr-FR"/>
        </w:rPr>
        <w:t>a présenté une stratégie sur la diversité intitulée</w:t>
      </w:r>
      <w:r w:rsidR="008342B8" w:rsidRPr="00DD03D6">
        <w:rPr>
          <w:noProof/>
          <w:lang w:val="fr-FR"/>
        </w:rPr>
        <w:t xml:space="preserve"> Cultural Diversity and the Arts: Policy and Strategy</w:t>
      </w:r>
      <w:r w:rsidRPr="008D60FE">
        <w:rPr>
          <w:noProof/>
          <w:lang w:val="fr-FR"/>
        </w:rPr>
        <w:t xml:space="preserve"> </w:t>
      </w:r>
      <w:r>
        <w:rPr>
          <w:noProof/>
          <w:lang w:val="fr-FR"/>
        </w:rPr>
        <w:t>(La diversité culturelle et les arts : politique et stratégie)</w:t>
      </w:r>
      <w:r w:rsidR="008342B8" w:rsidRPr="00DD03D6">
        <w:rPr>
          <w:noProof/>
          <w:lang w:val="fr-FR"/>
        </w:rPr>
        <w:t xml:space="preserve">. </w:t>
      </w:r>
      <w:r>
        <w:rPr>
          <w:noProof/>
          <w:lang w:val="fr-FR"/>
        </w:rPr>
        <w:t xml:space="preserve">Elle vise, en collaborant avec les organismes et </w:t>
      </w:r>
      <w:r w:rsidR="00E83488">
        <w:rPr>
          <w:noProof/>
          <w:lang w:val="fr-FR"/>
        </w:rPr>
        <w:t>acteurs</w:t>
      </w:r>
      <w:r>
        <w:rPr>
          <w:noProof/>
          <w:lang w:val="fr-FR"/>
        </w:rPr>
        <w:t xml:space="preserve"> compétents, à procéder à un audit de certains prog</w:t>
      </w:r>
      <w:r w:rsidR="00C421BC">
        <w:rPr>
          <w:noProof/>
          <w:lang w:val="fr-FR"/>
        </w:rPr>
        <w:t>rammes d</w:t>
      </w:r>
      <w:r w:rsidR="00F17321">
        <w:rPr>
          <w:noProof/>
          <w:lang w:val="fr-FR"/>
        </w:rPr>
        <w:t>u Conseil des a</w:t>
      </w:r>
      <w:r w:rsidR="008342B8" w:rsidRPr="00DD03D6">
        <w:rPr>
          <w:noProof/>
          <w:lang w:val="fr-FR"/>
        </w:rPr>
        <w:t xml:space="preserve">rts </w:t>
      </w:r>
      <w:r w:rsidR="00C421BC">
        <w:rPr>
          <w:noProof/>
          <w:lang w:val="fr-FR"/>
        </w:rPr>
        <w:t xml:space="preserve">et à mettre en chantier des auxiliaires didactiques et des guides à l’intention des personnes travaillant dans le secteur des arts ainsi qu’un programme artistique </w:t>
      </w:r>
      <w:r w:rsidR="008342B8" w:rsidRPr="00DD03D6">
        <w:rPr>
          <w:noProof/>
          <w:lang w:val="fr-FR"/>
        </w:rPr>
        <w:t>intercultur</w:t>
      </w:r>
      <w:r w:rsidR="00C421BC">
        <w:rPr>
          <w:noProof/>
          <w:lang w:val="fr-FR"/>
        </w:rPr>
        <w:t>e</w:t>
      </w:r>
      <w:r w:rsidR="008342B8" w:rsidRPr="00DD03D6">
        <w:rPr>
          <w:noProof/>
          <w:lang w:val="fr-FR"/>
        </w:rPr>
        <w:t xml:space="preserve">l </w:t>
      </w:r>
      <w:r w:rsidR="00C421BC">
        <w:rPr>
          <w:noProof/>
          <w:lang w:val="fr-FR"/>
        </w:rPr>
        <w:t xml:space="preserve">en </w:t>
      </w:r>
      <w:r w:rsidR="008342B8" w:rsidRPr="00DD03D6">
        <w:rPr>
          <w:noProof/>
          <w:lang w:val="fr-FR"/>
        </w:rPr>
        <w:t xml:space="preserve">collaboration </w:t>
      </w:r>
      <w:r w:rsidR="00C421BC">
        <w:rPr>
          <w:noProof/>
          <w:lang w:val="fr-FR"/>
        </w:rPr>
        <w:t>avec les partenariats locaux pour le développement</w:t>
      </w:r>
      <w:r w:rsidR="008342B8" w:rsidRPr="00DD03D6">
        <w:rPr>
          <w:noProof/>
          <w:lang w:val="fr-FR"/>
        </w:rPr>
        <w:t xml:space="preserve">. </w:t>
      </w:r>
    </w:p>
    <w:p w:rsidR="008342B8" w:rsidRPr="00DD03D6" w:rsidRDefault="00C421BC" w:rsidP="005F3C76">
      <w:pPr>
        <w:pStyle w:val="SingleTxtG"/>
        <w:numPr>
          <w:ilvl w:val="0"/>
          <w:numId w:val="3"/>
        </w:numPr>
        <w:ind w:left="1134" w:firstLine="0"/>
        <w:rPr>
          <w:rStyle w:val="Accentuation"/>
          <w:noProof/>
          <w:lang w:val="fr-FR"/>
        </w:rPr>
      </w:pPr>
      <w:r>
        <w:rPr>
          <w:noProof/>
          <w:lang w:val="fr-FR"/>
        </w:rPr>
        <w:t>E</w:t>
      </w:r>
      <w:r w:rsidR="008342B8" w:rsidRPr="00DD03D6">
        <w:rPr>
          <w:noProof/>
          <w:lang w:val="fr-FR"/>
        </w:rPr>
        <w:t xml:space="preserve">n 2009, </w:t>
      </w:r>
      <w:r>
        <w:rPr>
          <w:rFonts w:cs="Arial"/>
          <w:lang w:val="fr-FR"/>
        </w:rPr>
        <w:t>l’As</w:t>
      </w:r>
      <w:r w:rsidR="00475648">
        <w:rPr>
          <w:rFonts w:cs="Arial"/>
          <w:lang w:val="fr-FR"/>
        </w:rPr>
        <w:t>sociation gaélique d’athlétisme</w:t>
      </w:r>
      <w:r w:rsidR="008342B8" w:rsidRPr="00DD03D6">
        <w:rPr>
          <w:noProof/>
          <w:lang w:val="fr-FR"/>
        </w:rPr>
        <w:t xml:space="preserve">, </w:t>
      </w:r>
      <w:r w:rsidR="00475648">
        <w:rPr>
          <w:noProof/>
          <w:lang w:val="fr-FR"/>
        </w:rPr>
        <w:t xml:space="preserve">l’Association </w:t>
      </w:r>
      <w:r w:rsidR="008342B8" w:rsidRPr="00DD03D6">
        <w:rPr>
          <w:noProof/>
          <w:lang w:val="fr-FR"/>
        </w:rPr>
        <w:t xml:space="preserve">Camogie </w:t>
      </w:r>
      <w:r w:rsidR="00475648">
        <w:rPr>
          <w:noProof/>
          <w:lang w:val="fr-FR"/>
        </w:rPr>
        <w:t>et l’</w:t>
      </w:r>
      <w:r w:rsidR="00241BEC">
        <w:rPr>
          <w:noProof/>
          <w:lang w:val="fr-FR"/>
        </w:rPr>
        <w:t>Association du</w:t>
      </w:r>
      <w:r w:rsidR="00475648">
        <w:rPr>
          <w:noProof/>
          <w:lang w:val="fr-FR"/>
        </w:rPr>
        <w:t xml:space="preserve"> football féminin ont présenté une stratégie commune d’inclusion et d’intégration pour </w:t>
      </w:r>
      <w:r w:rsidR="008342B8" w:rsidRPr="00DD03D6">
        <w:rPr>
          <w:noProof/>
          <w:lang w:val="fr-FR"/>
        </w:rPr>
        <w:t xml:space="preserve">2009-2015. </w:t>
      </w:r>
      <w:r w:rsidR="00475648">
        <w:rPr>
          <w:noProof/>
          <w:lang w:val="fr-FR"/>
        </w:rPr>
        <w:t xml:space="preserve">Cette </w:t>
      </w:r>
      <w:r w:rsidR="008342B8" w:rsidRPr="00DD03D6">
        <w:rPr>
          <w:noProof/>
          <w:lang w:val="fr-FR"/>
        </w:rPr>
        <w:t>strat</w:t>
      </w:r>
      <w:r w:rsidR="00475648">
        <w:rPr>
          <w:noProof/>
          <w:lang w:val="fr-FR"/>
        </w:rPr>
        <w:t xml:space="preserve">égie se propose d’instaurer un environnement sportif qui </w:t>
      </w:r>
      <w:r w:rsidR="003F36DD">
        <w:rPr>
          <w:noProof/>
          <w:lang w:val="fr-FR"/>
        </w:rPr>
        <w:t>« </w:t>
      </w:r>
      <w:r w:rsidR="00475648">
        <w:rPr>
          <w:noProof/>
          <w:lang w:val="fr-FR"/>
        </w:rPr>
        <w:t xml:space="preserve">accueille les personnes de toutes </w:t>
      </w:r>
      <w:r w:rsidR="008342B8" w:rsidRPr="00DD03D6">
        <w:rPr>
          <w:rStyle w:val="Accentuation"/>
          <w:i w:val="0"/>
          <w:iCs w:val="0"/>
          <w:noProof/>
          <w:lang w:val="fr-FR"/>
        </w:rPr>
        <w:t>nationalit</w:t>
      </w:r>
      <w:r w:rsidR="00475648">
        <w:rPr>
          <w:rStyle w:val="Accentuation"/>
          <w:i w:val="0"/>
          <w:iCs w:val="0"/>
          <w:noProof/>
          <w:lang w:val="fr-FR"/>
        </w:rPr>
        <w:t>é</w:t>
      </w:r>
      <w:r w:rsidR="008342B8" w:rsidRPr="00DD03D6">
        <w:rPr>
          <w:rStyle w:val="Accentuation"/>
          <w:i w:val="0"/>
          <w:iCs w:val="0"/>
          <w:noProof/>
          <w:lang w:val="fr-FR"/>
        </w:rPr>
        <w:t xml:space="preserve">s, </w:t>
      </w:r>
      <w:r w:rsidR="00475648">
        <w:rPr>
          <w:rStyle w:val="Accentuation"/>
          <w:i w:val="0"/>
          <w:iCs w:val="0"/>
          <w:noProof/>
          <w:lang w:val="fr-FR"/>
        </w:rPr>
        <w:t>de tous groupes ethniques</w:t>
      </w:r>
      <w:r w:rsidR="008342B8" w:rsidRPr="00DD03D6">
        <w:rPr>
          <w:rStyle w:val="Accentuation"/>
          <w:i w:val="0"/>
          <w:iCs w:val="0"/>
          <w:noProof/>
          <w:lang w:val="fr-FR"/>
        </w:rPr>
        <w:t xml:space="preserve">, </w:t>
      </w:r>
      <w:r w:rsidR="00475648">
        <w:rPr>
          <w:rStyle w:val="Accentuation"/>
          <w:i w:val="0"/>
          <w:iCs w:val="0"/>
          <w:noProof/>
          <w:lang w:val="fr-FR"/>
        </w:rPr>
        <w:t xml:space="preserve">de toutes </w:t>
      </w:r>
      <w:r w:rsidR="008342B8" w:rsidRPr="00DD03D6">
        <w:rPr>
          <w:rStyle w:val="Accentuation"/>
          <w:i w:val="0"/>
          <w:iCs w:val="0"/>
          <w:noProof/>
          <w:lang w:val="fr-FR"/>
        </w:rPr>
        <w:t xml:space="preserve">religions, </w:t>
      </w:r>
      <w:r w:rsidR="00475648">
        <w:rPr>
          <w:rStyle w:val="Accentuation"/>
          <w:i w:val="0"/>
          <w:iCs w:val="0"/>
          <w:noProof/>
          <w:lang w:val="fr-FR"/>
        </w:rPr>
        <w:t>de tous â</w:t>
      </w:r>
      <w:r w:rsidR="008342B8" w:rsidRPr="00DD03D6">
        <w:rPr>
          <w:rStyle w:val="Accentuation"/>
          <w:i w:val="0"/>
          <w:iCs w:val="0"/>
          <w:noProof/>
          <w:lang w:val="fr-FR"/>
        </w:rPr>
        <w:t xml:space="preserve">ges </w:t>
      </w:r>
      <w:r w:rsidR="00475648">
        <w:rPr>
          <w:rStyle w:val="Accentuation"/>
          <w:i w:val="0"/>
          <w:iCs w:val="0"/>
          <w:noProof/>
          <w:lang w:val="fr-FR"/>
        </w:rPr>
        <w:t>et de toutes aptitudes et qui facilite leur participation</w:t>
      </w:r>
      <w:r w:rsidR="003F36DD">
        <w:rPr>
          <w:rStyle w:val="Accentuation"/>
          <w:i w:val="0"/>
          <w:iCs w:val="0"/>
          <w:noProof/>
          <w:lang w:val="fr-FR"/>
        </w:rPr>
        <w:t> »</w:t>
      </w:r>
      <w:r w:rsidR="008342B8" w:rsidRPr="00DD03D6">
        <w:rPr>
          <w:rStyle w:val="Accentuation"/>
          <w:i w:val="0"/>
          <w:iCs w:val="0"/>
          <w:noProof/>
          <w:lang w:val="fr-FR"/>
        </w:rPr>
        <w:t xml:space="preserve">. </w:t>
      </w:r>
      <w:r w:rsidR="00475648">
        <w:rPr>
          <w:rStyle w:val="Accentuation"/>
          <w:i w:val="0"/>
          <w:iCs w:val="0"/>
          <w:noProof/>
          <w:lang w:val="fr-FR"/>
        </w:rPr>
        <w:t xml:space="preserve">Elle encourage diverses </w:t>
      </w:r>
      <w:r w:rsidR="008342B8" w:rsidRPr="00DD03D6">
        <w:rPr>
          <w:rStyle w:val="Accentuation"/>
          <w:i w:val="0"/>
          <w:noProof/>
          <w:lang w:val="fr-FR"/>
        </w:rPr>
        <w:t>activit</w:t>
      </w:r>
      <w:r w:rsidR="00475648">
        <w:rPr>
          <w:rStyle w:val="Accentuation"/>
          <w:i w:val="0"/>
          <w:noProof/>
          <w:lang w:val="fr-FR"/>
        </w:rPr>
        <w:t xml:space="preserve">és aux niveaux </w:t>
      </w:r>
      <w:r w:rsidR="008342B8" w:rsidRPr="00DD03D6">
        <w:rPr>
          <w:rStyle w:val="Accentuation"/>
          <w:i w:val="0"/>
          <w:noProof/>
          <w:lang w:val="fr-FR"/>
        </w:rPr>
        <w:t>national, r</w:t>
      </w:r>
      <w:r w:rsidR="00475648">
        <w:rPr>
          <w:rStyle w:val="Accentuation"/>
          <w:i w:val="0"/>
          <w:noProof/>
          <w:lang w:val="fr-FR"/>
        </w:rPr>
        <w:t>égional et local</w:t>
      </w:r>
      <w:r w:rsidR="008342B8" w:rsidRPr="00DD03D6">
        <w:rPr>
          <w:rStyle w:val="Accentuation"/>
          <w:i w:val="0"/>
          <w:noProof/>
          <w:lang w:val="fr-FR"/>
        </w:rPr>
        <w:t>.</w:t>
      </w:r>
    </w:p>
    <w:p w:rsidR="008342B8" w:rsidRPr="00DD03D6" w:rsidRDefault="00475648" w:rsidP="00940820">
      <w:pPr>
        <w:pStyle w:val="SingleTxtG"/>
        <w:numPr>
          <w:ilvl w:val="0"/>
          <w:numId w:val="3"/>
        </w:numPr>
        <w:ind w:left="1134" w:firstLine="0"/>
        <w:rPr>
          <w:i/>
          <w:iCs/>
          <w:noProof/>
          <w:lang w:val="fr-FR"/>
        </w:rPr>
      </w:pPr>
      <w:r>
        <w:rPr>
          <w:noProof/>
          <w:lang w:val="fr-FR"/>
        </w:rPr>
        <w:t>E</w:t>
      </w:r>
      <w:r w:rsidR="008342B8" w:rsidRPr="00DD03D6">
        <w:rPr>
          <w:noProof/>
          <w:lang w:val="fr-FR"/>
        </w:rPr>
        <w:t xml:space="preserve">n 2007, </w:t>
      </w:r>
      <w:r>
        <w:rPr>
          <w:noProof/>
          <w:lang w:val="fr-FR"/>
        </w:rPr>
        <w:t>l’</w:t>
      </w:r>
      <w:r w:rsidR="008342B8" w:rsidRPr="00DD03D6">
        <w:rPr>
          <w:noProof/>
          <w:lang w:val="fr-FR"/>
        </w:rPr>
        <w:t xml:space="preserve">Association </w:t>
      </w:r>
      <w:r>
        <w:rPr>
          <w:noProof/>
          <w:lang w:val="fr-FR"/>
        </w:rPr>
        <w:t>irlandaise de football a présenté un Plan interculturel de f</w:t>
      </w:r>
      <w:r w:rsidR="008342B8" w:rsidRPr="00DD03D6">
        <w:rPr>
          <w:noProof/>
          <w:lang w:val="fr-FR"/>
        </w:rPr>
        <w:t xml:space="preserve">ootball, </w:t>
      </w:r>
      <w:r>
        <w:rPr>
          <w:noProof/>
          <w:lang w:val="fr-FR"/>
        </w:rPr>
        <w:t xml:space="preserve">dont les quatre principaux </w:t>
      </w:r>
      <w:r w:rsidR="005D7533" w:rsidRPr="00DD03D6">
        <w:rPr>
          <w:noProof/>
          <w:lang w:val="fr-FR"/>
        </w:rPr>
        <w:t>objecti</w:t>
      </w:r>
      <w:r w:rsidR="003F36DD">
        <w:rPr>
          <w:noProof/>
          <w:lang w:val="fr-FR"/>
        </w:rPr>
        <w:t>fs sont les suivants </w:t>
      </w:r>
      <w:r w:rsidR="005D7533" w:rsidRPr="00DD03D6">
        <w:rPr>
          <w:noProof/>
          <w:lang w:val="fr-FR"/>
        </w:rPr>
        <w:t>: combat</w:t>
      </w:r>
      <w:r>
        <w:rPr>
          <w:noProof/>
          <w:lang w:val="fr-FR"/>
        </w:rPr>
        <w:t>tre le</w:t>
      </w:r>
      <w:r w:rsidR="005D7533" w:rsidRPr="00DD03D6">
        <w:rPr>
          <w:noProof/>
          <w:lang w:val="fr-FR"/>
        </w:rPr>
        <w:t xml:space="preserve"> </w:t>
      </w:r>
      <w:r w:rsidR="003F36DD">
        <w:rPr>
          <w:noProof/>
          <w:lang w:val="fr-FR"/>
        </w:rPr>
        <w:t>« </w:t>
      </w:r>
      <w:r w:rsidR="008342B8" w:rsidRPr="00DD03D6">
        <w:rPr>
          <w:noProof/>
          <w:lang w:val="fr-FR"/>
        </w:rPr>
        <w:t>racism</w:t>
      </w:r>
      <w:r>
        <w:rPr>
          <w:noProof/>
          <w:lang w:val="fr-FR"/>
        </w:rPr>
        <w:t>e</w:t>
      </w:r>
      <w:r w:rsidR="003F36DD">
        <w:rPr>
          <w:noProof/>
          <w:lang w:val="fr-FR"/>
        </w:rPr>
        <w:t> »</w:t>
      </w:r>
      <w:r w:rsidR="008342B8" w:rsidRPr="00DD03D6">
        <w:rPr>
          <w:noProof/>
          <w:lang w:val="fr-FR"/>
        </w:rPr>
        <w:t xml:space="preserve"> </w:t>
      </w:r>
      <w:r>
        <w:rPr>
          <w:noProof/>
          <w:lang w:val="fr-FR"/>
        </w:rPr>
        <w:t xml:space="preserve">dans le </w:t>
      </w:r>
      <w:r w:rsidR="008342B8" w:rsidRPr="00DD03D6">
        <w:rPr>
          <w:noProof/>
          <w:lang w:val="fr-FR"/>
        </w:rPr>
        <w:t>football; promo</w:t>
      </w:r>
      <w:r>
        <w:rPr>
          <w:noProof/>
          <w:lang w:val="fr-FR"/>
        </w:rPr>
        <w:t xml:space="preserve">uvoir la </w:t>
      </w:r>
      <w:r w:rsidR="008342B8" w:rsidRPr="00DD03D6">
        <w:rPr>
          <w:noProof/>
          <w:lang w:val="fr-FR"/>
        </w:rPr>
        <w:t xml:space="preserve">participation </w:t>
      </w:r>
      <w:r>
        <w:rPr>
          <w:noProof/>
          <w:lang w:val="fr-FR"/>
        </w:rPr>
        <w:t xml:space="preserve">des communautés ethniques </w:t>
      </w:r>
      <w:r w:rsidR="0005583C">
        <w:rPr>
          <w:noProof/>
          <w:lang w:val="fr-FR"/>
        </w:rPr>
        <w:t xml:space="preserve">et multiculturelles </w:t>
      </w:r>
      <w:r>
        <w:rPr>
          <w:noProof/>
          <w:lang w:val="fr-FR"/>
        </w:rPr>
        <w:t>minoritaires</w:t>
      </w:r>
      <w:r w:rsidR="008342B8" w:rsidRPr="00DD03D6">
        <w:rPr>
          <w:noProof/>
          <w:lang w:val="fr-FR"/>
        </w:rPr>
        <w:t xml:space="preserve">; </w:t>
      </w:r>
      <w:r>
        <w:rPr>
          <w:noProof/>
          <w:lang w:val="fr-FR"/>
        </w:rPr>
        <w:t xml:space="preserve">développer une </w:t>
      </w:r>
      <w:r w:rsidR="008342B8" w:rsidRPr="00DD03D6">
        <w:rPr>
          <w:noProof/>
          <w:lang w:val="fr-FR"/>
        </w:rPr>
        <w:t xml:space="preserve">culture </w:t>
      </w:r>
      <w:r>
        <w:rPr>
          <w:noProof/>
          <w:lang w:val="fr-FR"/>
        </w:rPr>
        <w:t xml:space="preserve">du </w:t>
      </w:r>
      <w:r w:rsidR="008342B8" w:rsidRPr="00DD03D6">
        <w:rPr>
          <w:noProof/>
          <w:lang w:val="fr-FR"/>
        </w:rPr>
        <w:t xml:space="preserve">football </w:t>
      </w:r>
      <w:r>
        <w:rPr>
          <w:noProof/>
          <w:lang w:val="fr-FR"/>
        </w:rPr>
        <w:t xml:space="preserve">qui soit dynamique et </w:t>
      </w:r>
      <w:r w:rsidR="008342B8" w:rsidRPr="00DD03D6">
        <w:rPr>
          <w:noProof/>
          <w:lang w:val="fr-FR"/>
        </w:rPr>
        <w:t>global</w:t>
      </w:r>
      <w:r w:rsidR="00241BEC">
        <w:rPr>
          <w:noProof/>
          <w:lang w:val="fr-FR"/>
        </w:rPr>
        <w:t>ement apte à la compétition</w:t>
      </w:r>
      <w:r w:rsidR="008342B8" w:rsidRPr="00DD03D6">
        <w:rPr>
          <w:noProof/>
          <w:lang w:val="fr-FR"/>
        </w:rPr>
        <w:t xml:space="preserve">; </w:t>
      </w:r>
      <w:r w:rsidR="00241BEC">
        <w:rPr>
          <w:noProof/>
          <w:lang w:val="fr-FR"/>
        </w:rPr>
        <w:t>et contribuer au processus plus large d’intégration</w:t>
      </w:r>
      <w:r w:rsidR="008342B8" w:rsidRPr="00DD03D6">
        <w:rPr>
          <w:noProof/>
          <w:lang w:val="fr-FR"/>
        </w:rPr>
        <w:t xml:space="preserve">. </w:t>
      </w:r>
      <w:r w:rsidR="00241BEC">
        <w:rPr>
          <w:noProof/>
          <w:lang w:val="fr-FR"/>
        </w:rPr>
        <w:t>E</w:t>
      </w:r>
      <w:r w:rsidR="008342B8" w:rsidRPr="00DD03D6">
        <w:rPr>
          <w:noProof/>
          <w:lang w:val="fr-FR"/>
        </w:rPr>
        <w:t xml:space="preserve">n 2012, </w:t>
      </w:r>
      <w:r w:rsidR="00241BEC">
        <w:rPr>
          <w:noProof/>
          <w:lang w:val="fr-FR"/>
        </w:rPr>
        <w:t>le Ministère de la j</w:t>
      </w:r>
      <w:r w:rsidR="008342B8" w:rsidRPr="00DD03D6">
        <w:rPr>
          <w:noProof/>
          <w:lang w:val="fr-FR"/>
        </w:rPr>
        <w:t xml:space="preserve">ustice </w:t>
      </w:r>
      <w:r w:rsidR="00241BEC">
        <w:rPr>
          <w:noProof/>
          <w:lang w:val="fr-FR"/>
        </w:rPr>
        <w:t>et de l’égalité appuie le Programme Football pour tous de l’</w:t>
      </w:r>
      <w:r w:rsidR="00241BEC" w:rsidRPr="00DD03D6">
        <w:rPr>
          <w:noProof/>
          <w:lang w:val="fr-FR"/>
        </w:rPr>
        <w:t xml:space="preserve">Association </w:t>
      </w:r>
      <w:r w:rsidR="00241BEC">
        <w:rPr>
          <w:noProof/>
          <w:lang w:val="fr-FR"/>
        </w:rPr>
        <w:t>irlandaise de football</w:t>
      </w:r>
      <w:r w:rsidR="008342B8" w:rsidRPr="00DD03D6">
        <w:rPr>
          <w:noProof/>
          <w:lang w:val="fr-FR"/>
        </w:rPr>
        <w:t xml:space="preserve">. </w:t>
      </w:r>
      <w:r w:rsidR="00241BEC">
        <w:rPr>
          <w:noProof/>
          <w:lang w:val="fr-FR"/>
        </w:rPr>
        <w:t xml:space="preserve">La raison d’être de ce </w:t>
      </w:r>
      <w:r w:rsidR="008342B8" w:rsidRPr="00DD03D6">
        <w:rPr>
          <w:noProof/>
          <w:lang w:val="fr-FR"/>
        </w:rPr>
        <w:t xml:space="preserve">programme </w:t>
      </w:r>
      <w:r w:rsidR="00241BEC">
        <w:rPr>
          <w:noProof/>
          <w:lang w:val="fr-FR"/>
        </w:rPr>
        <w:t>est que chaque individu, quelle que soit son aptitude, doit avoir la possibilité de pratiquer le f</w:t>
      </w:r>
      <w:r w:rsidR="008342B8" w:rsidRPr="00DD03D6">
        <w:rPr>
          <w:noProof/>
          <w:lang w:val="fr-FR"/>
        </w:rPr>
        <w:t xml:space="preserve">ootball </w:t>
      </w:r>
      <w:r w:rsidR="00241BEC">
        <w:rPr>
          <w:noProof/>
          <w:lang w:val="fr-FR"/>
        </w:rPr>
        <w:t xml:space="preserve">dans son club </w:t>
      </w:r>
      <w:r w:rsidR="008342B8" w:rsidRPr="00DD03D6">
        <w:rPr>
          <w:noProof/>
          <w:lang w:val="fr-FR"/>
        </w:rPr>
        <w:t xml:space="preserve">local </w:t>
      </w:r>
      <w:r w:rsidR="00241BEC">
        <w:rPr>
          <w:noProof/>
          <w:lang w:val="fr-FR"/>
        </w:rPr>
        <w:t>et que l’</w:t>
      </w:r>
      <w:r w:rsidR="00241BEC" w:rsidRPr="00DD03D6">
        <w:rPr>
          <w:noProof/>
          <w:lang w:val="fr-FR"/>
        </w:rPr>
        <w:t xml:space="preserve">Association </w:t>
      </w:r>
      <w:r w:rsidR="00241BEC">
        <w:rPr>
          <w:noProof/>
          <w:lang w:val="fr-FR"/>
        </w:rPr>
        <w:t>souhaite promouvoir une culture de l’</w:t>
      </w:r>
      <w:r w:rsidR="008342B8" w:rsidRPr="00DD03D6">
        <w:rPr>
          <w:noProof/>
          <w:lang w:val="fr-FR"/>
        </w:rPr>
        <w:t xml:space="preserve">inclusion </w:t>
      </w:r>
      <w:r w:rsidR="00241BEC">
        <w:rPr>
          <w:noProof/>
          <w:lang w:val="fr-FR"/>
        </w:rPr>
        <w:t xml:space="preserve">dans la communauté du </w:t>
      </w:r>
      <w:r w:rsidR="008342B8" w:rsidRPr="00DD03D6">
        <w:rPr>
          <w:noProof/>
          <w:lang w:val="fr-FR"/>
        </w:rPr>
        <w:t xml:space="preserve">football. </w:t>
      </w:r>
      <w:r w:rsidR="00241BEC">
        <w:rPr>
          <w:noProof/>
          <w:lang w:val="fr-FR"/>
        </w:rPr>
        <w:t xml:space="preserve">Ce </w:t>
      </w:r>
      <w:r w:rsidR="008342B8" w:rsidRPr="00DD03D6">
        <w:rPr>
          <w:noProof/>
          <w:lang w:val="fr-FR"/>
        </w:rPr>
        <w:t xml:space="preserve">programme </w:t>
      </w:r>
      <w:r w:rsidR="00241BEC">
        <w:rPr>
          <w:noProof/>
          <w:lang w:val="fr-FR"/>
        </w:rPr>
        <w:t>s’adresse à des joueurs âgés de six à 14 ans présentant un large éventail de handicaps</w:t>
      </w:r>
      <w:r w:rsidR="008342B8" w:rsidRPr="00DD03D6">
        <w:rPr>
          <w:noProof/>
          <w:lang w:val="fr-FR"/>
        </w:rPr>
        <w:t>.</w:t>
      </w:r>
    </w:p>
    <w:p w:rsidR="008342B8" w:rsidRPr="00DD03D6" w:rsidRDefault="005F3C76" w:rsidP="003A2811">
      <w:pPr>
        <w:pStyle w:val="H1G"/>
        <w:rPr>
          <w:noProof/>
          <w:lang w:val="fr-FR"/>
        </w:rPr>
      </w:pPr>
      <w:bookmarkStart w:id="26" w:name="_Toc356430854"/>
      <w:r w:rsidRPr="00DD03D6">
        <w:rPr>
          <w:noProof/>
          <w:lang w:val="fr-FR"/>
        </w:rPr>
        <w:lastRenderedPageBreak/>
        <w:tab/>
      </w:r>
      <w:r w:rsidR="008342B8" w:rsidRPr="00DD03D6">
        <w:rPr>
          <w:noProof/>
          <w:lang w:val="fr-FR"/>
        </w:rPr>
        <w:t>B.</w:t>
      </w:r>
      <w:r w:rsidR="008342B8" w:rsidRPr="00DD03D6">
        <w:rPr>
          <w:noProof/>
          <w:lang w:val="fr-FR"/>
        </w:rPr>
        <w:tab/>
      </w:r>
      <w:r w:rsidR="0098424C">
        <w:rPr>
          <w:noProof/>
          <w:lang w:val="fr-FR"/>
        </w:rPr>
        <w:t>Intérêt supérieur de l’e</w:t>
      </w:r>
      <w:r w:rsidR="00CB43AB">
        <w:rPr>
          <w:noProof/>
          <w:lang w:val="fr-FR"/>
        </w:rPr>
        <w:t>nf</w:t>
      </w:r>
      <w:r w:rsidR="0098424C">
        <w:rPr>
          <w:noProof/>
          <w:lang w:val="fr-FR"/>
        </w:rPr>
        <w:t xml:space="preserve">ant </w:t>
      </w:r>
      <w:bookmarkEnd w:id="26"/>
    </w:p>
    <w:p w:rsidR="008342B8" w:rsidRPr="00DD03D6" w:rsidRDefault="00CB43AB" w:rsidP="005F3C76">
      <w:pPr>
        <w:pStyle w:val="SingleTxtG"/>
        <w:numPr>
          <w:ilvl w:val="0"/>
          <w:numId w:val="3"/>
        </w:numPr>
        <w:ind w:left="1134" w:firstLine="0"/>
        <w:rPr>
          <w:noProof/>
          <w:lang w:val="fr-FR"/>
        </w:rPr>
      </w:pPr>
      <w:r>
        <w:rPr>
          <w:noProof/>
          <w:lang w:val="fr-FR"/>
        </w:rPr>
        <w:t xml:space="preserve">Les rapports précédents soumis par l’Irlande au Comité des droits de l’enfant ont rendu compte de la base législative et réglementaire mise en place dans les différents secteurs aux fins de la </w:t>
      </w:r>
      <w:r w:rsidR="008342B8" w:rsidRPr="00DD03D6">
        <w:rPr>
          <w:noProof/>
          <w:lang w:val="fr-FR"/>
        </w:rPr>
        <w:t xml:space="preserve">protection </w:t>
      </w:r>
      <w:r>
        <w:rPr>
          <w:noProof/>
          <w:lang w:val="fr-FR"/>
        </w:rPr>
        <w:t>de l’intérêt supérieur de l’enfant</w:t>
      </w:r>
      <w:r w:rsidR="008342B8" w:rsidRPr="00DD03D6">
        <w:rPr>
          <w:rStyle w:val="Appelnotedebasdep"/>
          <w:noProof/>
          <w:lang w:val="fr-FR"/>
        </w:rPr>
        <w:footnoteReference w:id="10"/>
      </w:r>
      <w:r>
        <w:rPr>
          <w:noProof/>
          <w:lang w:val="fr-FR"/>
        </w:rPr>
        <w:t>.</w:t>
      </w:r>
      <w:r w:rsidR="008342B8" w:rsidRPr="00DD03D6">
        <w:rPr>
          <w:noProof/>
          <w:lang w:val="fr-FR"/>
        </w:rPr>
        <w:t xml:space="preserve"> </w:t>
      </w:r>
      <w:r>
        <w:rPr>
          <w:noProof/>
          <w:lang w:val="fr-FR"/>
        </w:rPr>
        <w:t xml:space="preserve">Ce cadre </w:t>
      </w:r>
      <w:r w:rsidR="008342B8" w:rsidRPr="00DD03D6">
        <w:rPr>
          <w:noProof/>
          <w:lang w:val="fr-FR"/>
        </w:rPr>
        <w:t>l</w:t>
      </w:r>
      <w:r>
        <w:rPr>
          <w:noProof/>
          <w:lang w:val="fr-FR"/>
        </w:rPr>
        <w:t>é</w:t>
      </w:r>
      <w:r w:rsidR="008342B8" w:rsidRPr="00DD03D6">
        <w:rPr>
          <w:noProof/>
          <w:lang w:val="fr-FR"/>
        </w:rPr>
        <w:t>gislati</w:t>
      </w:r>
      <w:r>
        <w:rPr>
          <w:noProof/>
          <w:lang w:val="fr-FR"/>
        </w:rPr>
        <w:t>f, administratif</w:t>
      </w:r>
      <w:r w:rsidR="008342B8" w:rsidRPr="00DD03D6">
        <w:rPr>
          <w:noProof/>
          <w:lang w:val="fr-FR"/>
        </w:rPr>
        <w:t xml:space="preserve"> </w:t>
      </w:r>
      <w:r>
        <w:rPr>
          <w:noProof/>
          <w:lang w:val="fr-FR"/>
        </w:rPr>
        <w:t xml:space="preserve">et judiciaire reste en </w:t>
      </w:r>
      <w:r w:rsidR="008342B8" w:rsidRPr="00DD03D6">
        <w:rPr>
          <w:noProof/>
          <w:lang w:val="fr-FR"/>
        </w:rPr>
        <w:t xml:space="preserve">place. </w:t>
      </w:r>
      <w:r>
        <w:rPr>
          <w:noProof/>
          <w:lang w:val="fr-FR"/>
        </w:rPr>
        <w:t>On trouvera ci-après des informations sur les mesures les plus récentes prises dans ce domaine</w:t>
      </w:r>
      <w:r w:rsidR="008342B8" w:rsidRPr="00DD03D6">
        <w:rPr>
          <w:noProof/>
          <w:lang w:val="fr-FR"/>
        </w:rPr>
        <w:t>.</w:t>
      </w:r>
    </w:p>
    <w:p w:rsidR="008342B8" w:rsidRPr="00DD03D6" w:rsidRDefault="00CB43AB" w:rsidP="00940820">
      <w:pPr>
        <w:pStyle w:val="SingleTxtG"/>
        <w:numPr>
          <w:ilvl w:val="0"/>
          <w:numId w:val="3"/>
        </w:numPr>
        <w:ind w:left="1134" w:firstLine="0"/>
        <w:rPr>
          <w:noProof/>
          <w:lang w:val="fr-FR"/>
        </w:rPr>
      </w:pPr>
      <w:r>
        <w:rPr>
          <w:noProof/>
          <w:lang w:val="fr-FR"/>
        </w:rPr>
        <w:t>La loi de 2007 portant modification de la loi sur la protection de l’enfance, qui prévoit une extension d’autonomie pour les parents d’accueil qui ont pris en charge un enfant pendant une période ininterrompue d’au moins cinq ans, dispose qu’un tribunal</w:t>
      </w:r>
      <w:r w:rsidR="00837987">
        <w:rPr>
          <w:noProof/>
          <w:lang w:val="fr-FR"/>
        </w:rPr>
        <w:t xml:space="preserve"> n’accorde une ordonnance à cette fin que lorsque cela sert l’intérêt supérieur de l’enfant</w:t>
      </w:r>
      <w:r w:rsidR="008342B8" w:rsidRPr="00DD03D6">
        <w:rPr>
          <w:noProof/>
          <w:lang w:val="fr-FR"/>
        </w:rPr>
        <w:t>.</w:t>
      </w:r>
    </w:p>
    <w:p w:rsidR="008342B8" w:rsidRPr="00DD03D6" w:rsidRDefault="00837987" w:rsidP="00B82FB8">
      <w:pPr>
        <w:pStyle w:val="SingleTxtG"/>
        <w:numPr>
          <w:ilvl w:val="0"/>
          <w:numId w:val="3"/>
        </w:numPr>
        <w:ind w:left="1134" w:firstLine="0"/>
        <w:rPr>
          <w:noProof/>
          <w:lang w:val="fr-FR"/>
        </w:rPr>
      </w:pPr>
      <w:r>
        <w:rPr>
          <w:noProof/>
          <w:lang w:val="fr-FR"/>
        </w:rPr>
        <w:t>La loi de 2010 sur l’a</w:t>
      </w:r>
      <w:r w:rsidR="008342B8" w:rsidRPr="00DD03D6">
        <w:rPr>
          <w:noProof/>
          <w:lang w:val="fr-FR"/>
        </w:rPr>
        <w:t xml:space="preserve">doption </w:t>
      </w:r>
      <w:r>
        <w:rPr>
          <w:noProof/>
          <w:lang w:val="fr-FR"/>
        </w:rPr>
        <w:t>dispose que</w:t>
      </w:r>
      <w:r w:rsidR="008342B8" w:rsidRPr="00DD03D6">
        <w:rPr>
          <w:noProof/>
          <w:lang w:val="fr-FR"/>
        </w:rPr>
        <w:t xml:space="preserve">, </w:t>
      </w:r>
      <w:r>
        <w:rPr>
          <w:noProof/>
          <w:lang w:val="fr-FR"/>
        </w:rPr>
        <w:t>dans les adoptions nationales et internationales, le bien-être de l’enfant est la considération première et primordiale de l’Autorité en matière d’adoption ou du tribunal qui rend une ordonnance d’adoption</w:t>
      </w:r>
      <w:r w:rsidR="008342B8" w:rsidRPr="00DD03D6">
        <w:rPr>
          <w:noProof/>
          <w:lang w:val="fr-FR"/>
        </w:rPr>
        <w:t xml:space="preserve">. </w:t>
      </w:r>
    </w:p>
    <w:p w:rsidR="008342B8" w:rsidRPr="00DD03D6" w:rsidRDefault="00837987" w:rsidP="005F3C76">
      <w:pPr>
        <w:pStyle w:val="SingleTxtG"/>
        <w:numPr>
          <w:ilvl w:val="0"/>
          <w:numId w:val="3"/>
        </w:numPr>
        <w:ind w:left="1134" w:firstLine="0"/>
        <w:rPr>
          <w:noProof/>
          <w:lang w:val="fr-FR"/>
        </w:rPr>
      </w:pPr>
      <w:r>
        <w:rPr>
          <w:noProof/>
          <w:lang w:val="fr-FR"/>
        </w:rPr>
        <w:t>La loi de 2011 portant modification de la loi sur la protection de l’enfance</w:t>
      </w:r>
      <w:r w:rsidRPr="00DD03D6">
        <w:rPr>
          <w:noProof/>
          <w:lang w:val="fr-FR"/>
        </w:rPr>
        <w:t xml:space="preserve"> </w:t>
      </w:r>
      <w:r>
        <w:rPr>
          <w:noProof/>
          <w:lang w:val="fr-FR"/>
        </w:rPr>
        <w:t xml:space="preserve">dispose que l’intérêt supérieur de l’enfant doit être défendu lorsqu’il s’agit de formuler ou de modifier les ordonnances </w:t>
      </w:r>
      <w:r w:rsidR="00241EBE">
        <w:rPr>
          <w:noProof/>
          <w:lang w:val="fr-FR"/>
        </w:rPr>
        <w:t>de protection spéciale et les décision</w:t>
      </w:r>
      <w:r w:rsidR="00DF40D9">
        <w:rPr>
          <w:noProof/>
          <w:lang w:val="fr-FR"/>
        </w:rPr>
        <w:t>s</w:t>
      </w:r>
      <w:r w:rsidR="00241EBE">
        <w:rPr>
          <w:noProof/>
          <w:lang w:val="fr-FR"/>
        </w:rPr>
        <w:t xml:space="preserve"> concernant la convocation, l’</w:t>
      </w:r>
      <w:r w:rsidR="008342B8" w:rsidRPr="00DD03D6">
        <w:rPr>
          <w:noProof/>
          <w:lang w:val="fr-FR"/>
        </w:rPr>
        <w:t xml:space="preserve">organisation </w:t>
      </w:r>
      <w:r w:rsidR="00241EBE">
        <w:rPr>
          <w:noProof/>
          <w:lang w:val="fr-FR"/>
        </w:rPr>
        <w:t xml:space="preserve">et l’encadrement des conférences </w:t>
      </w:r>
      <w:r w:rsidR="00FB4C14">
        <w:rPr>
          <w:noProof/>
          <w:lang w:val="fr-FR"/>
        </w:rPr>
        <w:t>familiales</w:t>
      </w:r>
      <w:r w:rsidR="00241EBE">
        <w:rPr>
          <w:noProof/>
          <w:lang w:val="fr-FR"/>
        </w:rPr>
        <w:t xml:space="preserve"> sur la protection de l’enfance</w:t>
      </w:r>
      <w:r w:rsidR="008342B8" w:rsidRPr="00DD03D6">
        <w:rPr>
          <w:noProof/>
          <w:lang w:val="fr-FR"/>
        </w:rPr>
        <w:t xml:space="preserve">. </w:t>
      </w:r>
    </w:p>
    <w:p w:rsidR="008342B8" w:rsidRPr="00DD03D6" w:rsidRDefault="00DF40D9" w:rsidP="00940820">
      <w:pPr>
        <w:pStyle w:val="SingleTxtG"/>
        <w:numPr>
          <w:ilvl w:val="0"/>
          <w:numId w:val="3"/>
        </w:numPr>
        <w:ind w:left="1134" w:firstLine="0"/>
        <w:rPr>
          <w:noProof/>
          <w:lang w:val="fr-FR"/>
        </w:rPr>
      </w:pPr>
      <w:r>
        <w:rPr>
          <w:noProof/>
          <w:lang w:val="fr-FR"/>
        </w:rPr>
        <w:t xml:space="preserve">Les </w:t>
      </w:r>
      <w:r>
        <w:rPr>
          <w:i/>
          <w:noProof/>
          <w:lang w:val="fr-FR"/>
        </w:rPr>
        <w:t>N</w:t>
      </w:r>
      <w:r w:rsidRPr="00DF40D9">
        <w:rPr>
          <w:i/>
          <w:noProof/>
          <w:lang w:val="fr-FR"/>
        </w:rPr>
        <w:t>ormes nationales de protection des enfants et d’assistance aux enfants</w:t>
      </w:r>
      <w:r>
        <w:rPr>
          <w:noProof/>
          <w:lang w:val="fr-FR"/>
        </w:rPr>
        <w:t xml:space="preserve"> ont été publiées par le Bureau de l’information sanitaire et de la qualité des services sanitaires</w:t>
      </w:r>
      <w:r w:rsidRPr="00DD03D6">
        <w:rPr>
          <w:noProof/>
          <w:lang w:val="fr-FR"/>
        </w:rPr>
        <w:t xml:space="preserve"> </w:t>
      </w:r>
      <w:r>
        <w:rPr>
          <w:noProof/>
          <w:lang w:val="fr-FR"/>
        </w:rPr>
        <w:t>en</w:t>
      </w:r>
      <w:r w:rsidR="008342B8" w:rsidRPr="00DD03D6">
        <w:rPr>
          <w:noProof/>
          <w:lang w:val="fr-FR"/>
        </w:rPr>
        <w:t xml:space="preserve"> 2012 </w:t>
      </w:r>
      <w:r>
        <w:rPr>
          <w:noProof/>
          <w:lang w:val="fr-FR"/>
        </w:rPr>
        <w:t xml:space="preserve">pour appuyer l’amélioration continue de la prise en charge et de la </w:t>
      </w:r>
      <w:r w:rsidR="008342B8" w:rsidRPr="00DD03D6">
        <w:rPr>
          <w:noProof/>
          <w:lang w:val="fr-FR"/>
        </w:rPr>
        <w:t xml:space="preserve">protection </w:t>
      </w:r>
      <w:r>
        <w:rPr>
          <w:noProof/>
          <w:lang w:val="fr-FR"/>
        </w:rPr>
        <w:t xml:space="preserve">des enfants bénéficiant des services de protection et d’assistance fournis par la Direction des services de santé; </w:t>
      </w:r>
      <w:r w:rsidR="000446B0">
        <w:rPr>
          <w:noProof/>
          <w:lang w:val="fr-FR"/>
        </w:rPr>
        <w:t xml:space="preserve">ces normes </w:t>
      </w:r>
      <w:r>
        <w:rPr>
          <w:noProof/>
          <w:lang w:val="fr-FR"/>
        </w:rPr>
        <w:t>doivent être appliquées en parallèle avec la législation pertinente et les d</w:t>
      </w:r>
      <w:r>
        <w:rPr>
          <w:iCs/>
          <w:noProof/>
          <w:lang w:val="fr-FR"/>
        </w:rPr>
        <w:t xml:space="preserve">irectives nationales intitulées </w:t>
      </w:r>
      <w:r w:rsidRPr="00A232FB">
        <w:rPr>
          <w:lang w:val="fr-CH"/>
        </w:rPr>
        <w:t>«</w:t>
      </w:r>
      <w:r w:rsidR="00A232FB">
        <w:rPr>
          <w:i/>
          <w:lang w:val="fr-CH"/>
        </w:rPr>
        <w:t> </w:t>
      </w:r>
      <w:r w:rsidRPr="007B3894">
        <w:rPr>
          <w:i/>
          <w:lang w:val="fr-CH"/>
        </w:rPr>
        <w:t>Les enfants d’abord</w:t>
      </w:r>
      <w:r>
        <w:rPr>
          <w:i/>
          <w:lang w:val="fr-CH"/>
        </w:rPr>
        <w:t xml:space="preserve"> </w:t>
      </w:r>
      <w:r w:rsidRPr="007B3894">
        <w:rPr>
          <w:i/>
          <w:lang w:val="fr-CH"/>
        </w:rPr>
        <w:t>: directives nationales pour la protecti</w:t>
      </w:r>
      <w:r>
        <w:rPr>
          <w:i/>
          <w:lang w:val="fr-CH"/>
        </w:rPr>
        <w:t>on et le bien-être des enfants</w:t>
      </w:r>
      <w:r w:rsidR="00A232FB">
        <w:rPr>
          <w:i/>
          <w:lang w:val="fr-CH"/>
        </w:rPr>
        <w:t> </w:t>
      </w:r>
      <w:r w:rsidRPr="00A232FB">
        <w:rPr>
          <w:lang w:val="fr-CH"/>
        </w:rPr>
        <w:t>»</w:t>
      </w:r>
      <w:r w:rsidR="001644E8">
        <w:rPr>
          <w:i/>
          <w:lang w:val="fr-CH"/>
        </w:rPr>
        <w:t xml:space="preserve"> </w:t>
      </w:r>
      <w:r w:rsidR="008342B8" w:rsidRPr="00DD03D6">
        <w:rPr>
          <w:noProof/>
          <w:lang w:val="fr-FR"/>
        </w:rPr>
        <w:t>(</w:t>
      </w:r>
      <w:r w:rsidR="001644E8">
        <w:rPr>
          <w:noProof/>
          <w:lang w:val="fr-FR"/>
        </w:rPr>
        <w:t>Ministère de l’enfance et de la jeunesse</w:t>
      </w:r>
      <w:r w:rsidR="008342B8" w:rsidRPr="00DD03D6">
        <w:rPr>
          <w:noProof/>
          <w:lang w:val="fr-FR"/>
        </w:rPr>
        <w:t xml:space="preserve">, 2011). </w:t>
      </w:r>
      <w:r w:rsidR="001644E8">
        <w:rPr>
          <w:noProof/>
          <w:lang w:val="fr-FR"/>
        </w:rPr>
        <w:t xml:space="preserve">L’intérêt supérieur de l’enfant est fondamental pour un certain nombre de </w:t>
      </w:r>
      <w:r w:rsidR="008342B8" w:rsidRPr="00DD03D6">
        <w:rPr>
          <w:noProof/>
          <w:lang w:val="fr-FR"/>
        </w:rPr>
        <w:t>th</w:t>
      </w:r>
      <w:r w:rsidR="001644E8">
        <w:rPr>
          <w:noProof/>
          <w:lang w:val="fr-FR"/>
        </w:rPr>
        <w:t>è</w:t>
      </w:r>
      <w:r w:rsidR="008342B8" w:rsidRPr="00DD03D6">
        <w:rPr>
          <w:noProof/>
          <w:lang w:val="fr-FR"/>
        </w:rPr>
        <w:t xml:space="preserve">mes </w:t>
      </w:r>
      <w:r w:rsidR="001644E8">
        <w:rPr>
          <w:noProof/>
          <w:lang w:val="fr-FR"/>
        </w:rPr>
        <w:t>inscrits dans les Normes natio</w:t>
      </w:r>
      <w:r w:rsidR="000446B0">
        <w:rPr>
          <w:noProof/>
          <w:lang w:val="fr-FR"/>
        </w:rPr>
        <w:t>n</w:t>
      </w:r>
      <w:r w:rsidR="001644E8">
        <w:rPr>
          <w:noProof/>
          <w:lang w:val="fr-FR"/>
        </w:rPr>
        <w:t>ales susvisées</w:t>
      </w:r>
      <w:r w:rsidR="008342B8" w:rsidRPr="00DD03D6">
        <w:rPr>
          <w:noProof/>
          <w:lang w:val="fr-FR"/>
        </w:rPr>
        <w:t xml:space="preserve">, </w:t>
      </w:r>
      <w:r w:rsidR="001644E8">
        <w:rPr>
          <w:noProof/>
          <w:lang w:val="fr-FR"/>
        </w:rPr>
        <w:t>notamment la mise en place de services adaptés aux enfants</w:t>
      </w:r>
      <w:r w:rsidR="000446B0">
        <w:rPr>
          <w:noProof/>
          <w:lang w:val="fr-FR"/>
        </w:rPr>
        <w:t xml:space="preserve"> et l’utilisation de</w:t>
      </w:r>
      <w:r w:rsidR="008342B8" w:rsidRPr="00DD03D6">
        <w:rPr>
          <w:noProof/>
          <w:lang w:val="fr-FR"/>
        </w:rPr>
        <w:t xml:space="preserve"> </w:t>
      </w:r>
      <w:r w:rsidR="000446B0">
        <w:rPr>
          <w:noProof/>
          <w:lang w:val="fr-FR"/>
        </w:rPr>
        <w:t>l’</w:t>
      </w:r>
      <w:r w:rsidR="008342B8" w:rsidRPr="00DD03D6">
        <w:rPr>
          <w:noProof/>
          <w:lang w:val="fr-FR"/>
        </w:rPr>
        <w:t xml:space="preserve">information, </w:t>
      </w:r>
      <w:r w:rsidR="000446B0">
        <w:rPr>
          <w:noProof/>
          <w:lang w:val="fr-FR"/>
        </w:rPr>
        <w:t xml:space="preserve">ainsi que dans les normes concernant la </w:t>
      </w:r>
      <w:r w:rsidR="008342B8" w:rsidRPr="00DD03D6">
        <w:rPr>
          <w:noProof/>
          <w:lang w:val="fr-FR"/>
        </w:rPr>
        <w:t>d</w:t>
      </w:r>
      <w:r w:rsidR="000446B0">
        <w:rPr>
          <w:noProof/>
          <w:lang w:val="fr-FR"/>
        </w:rPr>
        <w:t>é</w:t>
      </w:r>
      <w:r w:rsidR="008342B8" w:rsidRPr="00DD03D6">
        <w:rPr>
          <w:noProof/>
          <w:lang w:val="fr-FR"/>
        </w:rPr>
        <w:t xml:space="preserve">termination </w:t>
      </w:r>
      <w:r w:rsidR="000446B0">
        <w:rPr>
          <w:noProof/>
          <w:lang w:val="fr-FR"/>
        </w:rPr>
        <w:t xml:space="preserve">par les travailleurs sociaux de la façon la plus appropriée de prendre en charge un enfant, l’ensemble des décisions à prendre, la collaboration entre travailleurs sociaux s’agissant de renforcer, d’appuyer et de promouvoir l’amélioration des </w:t>
      </w:r>
      <w:r w:rsidR="008342B8" w:rsidRPr="00DD03D6">
        <w:rPr>
          <w:noProof/>
          <w:lang w:val="fr-FR"/>
        </w:rPr>
        <w:t xml:space="preserve">services, </w:t>
      </w:r>
      <w:r w:rsidR="000446B0">
        <w:rPr>
          <w:noProof/>
          <w:lang w:val="fr-FR"/>
        </w:rPr>
        <w:t>et la communication d’</w:t>
      </w:r>
      <w:r w:rsidR="008342B8" w:rsidRPr="00DD03D6">
        <w:rPr>
          <w:noProof/>
          <w:lang w:val="fr-FR"/>
        </w:rPr>
        <w:t xml:space="preserve">information </w:t>
      </w:r>
      <w:r w:rsidR="000446B0">
        <w:rPr>
          <w:noProof/>
          <w:lang w:val="fr-FR"/>
        </w:rPr>
        <w:t xml:space="preserve">aux enfants et aux familles </w:t>
      </w:r>
      <w:r w:rsidR="008342B8" w:rsidRPr="00DD03D6">
        <w:rPr>
          <w:noProof/>
          <w:lang w:val="fr-FR"/>
        </w:rPr>
        <w:t>(</w:t>
      </w:r>
      <w:r w:rsidR="000446B0">
        <w:rPr>
          <w:noProof/>
          <w:lang w:val="fr-FR"/>
        </w:rPr>
        <w:t xml:space="preserve">voir les </w:t>
      </w:r>
      <w:r w:rsidR="00940820" w:rsidRPr="00DD03D6">
        <w:rPr>
          <w:noProof/>
          <w:lang w:val="fr-FR"/>
        </w:rPr>
        <w:t>p</w:t>
      </w:r>
      <w:r w:rsidR="00796A7C" w:rsidRPr="00DD03D6">
        <w:rPr>
          <w:noProof/>
          <w:lang w:val="fr-FR"/>
        </w:rPr>
        <w:t>ar</w:t>
      </w:r>
      <w:r w:rsidR="00A232FB">
        <w:rPr>
          <w:noProof/>
          <w:lang w:val="fr-FR"/>
        </w:rPr>
        <w:t>agraphes</w:t>
      </w:r>
      <w:r w:rsidR="00796A7C" w:rsidRPr="00DD03D6">
        <w:rPr>
          <w:noProof/>
          <w:lang w:val="fr-FR"/>
        </w:rPr>
        <w:t> </w:t>
      </w:r>
      <w:r w:rsidR="00940820" w:rsidRPr="00DD03D6">
        <w:rPr>
          <w:noProof/>
          <w:lang w:val="fr-FR"/>
        </w:rPr>
        <w:t>199</w:t>
      </w:r>
      <w:r w:rsidR="000446B0">
        <w:rPr>
          <w:noProof/>
          <w:lang w:val="fr-FR"/>
        </w:rPr>
        <w:t xml:space="preserve"> et </w:t>
      </w:r>
      <w:r w:rsidR="00940820" w:rsidRPr="00DD03D6">
        <w:rPr>
          <w:noProof/>
          <w:lang w:val="fr-FR"/>
        </w:rPr>
        <w:t>200</w:t>
      </w:r>
      <w:r w:rsidR="008342B8" w:rsidRPr="00DD03D6">
        <w:rPr>
          <w:noProof/>
          <w:lang w:val="fr-FR"/>
        </w:rPr>
        <w:t xml:space="preserve"> </w:t>
      </w:r>
      <w:r w:rsidR="000446B0">
        <w:rPr>
          <w:noProof/>
          <w:lang w:val="fr-FR"/>
        </w:rPr>
        <w:t xml:space="preserve">au sujet du référendum de </w:t>
      </w:r>
      <w:r w:rsidR="008342B8" w:rsidRPr="00DD03D6">
        <w:rPr>
          <w:noProof/>
          <w:lang w:val="fr-FR"/>
        </w:rPr>
        <w:t xml:space="preserve">2012 </w:t>
      </w:r>
      <w:r w:rsidR="000446B0">
        <w:rPr>
          <w:noProof/>
          <w:lang w:val="fr-FR"/>
        </w:rPr>
        <w:t>sur les droits des enfants</w:t>
      </w:r>
      <w:r w:rsidR="008342B8" w:rsidRPr="00DD03D6">
        <w:rPr>
          <w:noProof/>
          <w:lang w:val="fr-FR"/>
        </w:rPr>
        <w:t>).</w:t>
      </w:r>
    </w:p>
    <w:p w:rsidR="008342B8" w:rsidRPr="00DD03D6" w:rsidRDefault="000446B0" w:rsidP="000446B0">
      <w:pPr>
        <w:pStyle w:val="H23G"/>
        <w:ind w:firstLine="0"/>
        <w:rPr>
          <w:noProof/>
          <w:lang w:val="fr-FR"/>
        </w:rPr>
      </w:pPr>
      <w:r>
        <w:rPr>
          <w:noProof/>
          <w:lang w:val="fr-FR"/>
        </w:rPr>
        <w:t xml:space="preserve">Législation relative aux droits en matière d’emploi </w:t>
      </w:r>
    </w:p>
    <w:p w:rsidR="008342B8" w:rsidRPr="00DD03D6" w:rsidRDefault="009C1F66" w:rsidP="005F3C76">
      <w:pPr>
        <w:pStyle w:val="SingleTxtG"/>
        <w:numPr>
          <w:ilvl w:val="0"/>
          <w:numId w:val="3"/>
        </w:numPr>
        <w:ind w:left="1134" w:firstLine="0"/>
        <w:rPr>
          <w:noProof/>
          <w:lang w:val="fr-FR"/>
        </w:rPr>
      </w:pPr>
      <w:r>
        <w:rPr>
          <w:noProof/>
          <w:lang w:val="fr-FR"/>
        </w:rPr>
        <w:t>Les personnes âgées de moins de 18 ans peuvent occuper un emploi, mais l’Irlande s’est dotée d’une législation relative aux droits en matière d’emploi qui vise à garantir leur santé et leur bien-être</w:t>
      </w:r>
      <w:r w:rsidR="008342B8" w:rsidRPr="00DD03D6">
        <w:rPr>
          <w:noProof/>
          <w:lang w:val="fr-FR"/>
        </w:rPr>
        <w:t xml:space="preserve">. </w:t>
      </w:r>
      <w:r>
        <w:rPr>
          <w:noProof/>
          <w:lang w:val="fr-FR"/>
        </w:rPr>
        <w:t>Les principaux textes de loi régissant l’emploi de ces personnes sont décrites ci-après.</w:t>
      </w:r>
    </w:p>
    <w:p w:rsidR="008342B8" w:rsidRPr="00DD03D6" w:rsidRDefault="009C1F66" w:rsidP="005F3C76">
      <w:pPr>
        <w:pStyle w:val="SingleTxtG"/>
        <w:numPr>
          <w:ilvl w:val="0"/>
          <w:numId w:val="3"/>
        </w:numPr>
        <w:ind w:left="1134" w:firstLine="0"/>
        <w:rPr>
          <w:noProof/>
          <w:lang w:val="fr-FR"/>
        </w:rPr>
      </w:pPr>
      <w:r>
        <w:rPr>
          <w:noProof/>
          <w:lang w:val="fr-FR"/>
        </w:rPr>
        <w:t>La l</w:t>
      </w:r>
      <w:r w:rsidRPr="005160A2">
        <w:rPr>
          <w:noProof/>
          <w:lang w:val="fr-FR"/>
        </w:rPr>
        <w:t>oi de 1996 sur la</w:t>
      </w:r>
      <w:r>
        <w:rPr>
          <w:noProof/>
          <w:lang w:val="fr-FR"/>
        </w:rPr>
        <w:t xml:space="preserve"> protection des jeunes (emploi) consolide la loi sur les jeunes travailleurs et donne effet aux règles </w:t>
      </w:r>
      <w:r w:rsidR="008342B8" w:rsidRPr="00DD03D6">
        <w:rPr>
          <w:noProof/>
          <w:lang w:val="fr-FR"/>
        </w:rPr>
        <w:t>international</w:t>
      </w:r>
      <w:r>
        <w:rPr>
          <w:noProof/>
          <w:lang w:val="fr-FR"/>
        </w:rPr>
        <w:t>es</w:t>
      </w:r>
      <w:r w:rsidR="008342B8" w:rsidRPr="00DD03D6">
        <w:rPr>
          <w:noProof/>
          <w:lang w:val="fr-FR"/>
        </w:rPr>
        <w:t xml:space="preserve"> </w:t>
      </w:r>
      <w:r>
        <w:rPr>
          <w:noProof/>
          <w:lang w:val="fr-FR"/>
        </w:rPr>
        <w:t>applicables à la protection des jeunes travailleurs ét</w:t>
      </w:r>
      <w:r w:rsidR="00FB4C14">
        <w:rPr>
          <w:noProof/>
          <w:lang w:val="fr-FR"/>
        </w:rPr>
        <w:t>ablies par l’Organisation inter</w:t>
      </w:r>
      <w:r>
        <w:rPr>
          <w:noProof/>
          <w:lang w:val="fr-FR"/>
        </w:rPr>
        <w:t>nationale du Travail (OIT) et l’U</w:t>
      </w:r>
      <w:r w:rsidR="00FB4C14">
        <w:rPr>
          <w:noProof/>
          <w:lang w:val="fr-FR"/>
        </w:rPr>
        <w:t>E</w:t>
      </w:r>
      <w:r w:rsidR="008342B8" w:rsidRPr="00DD03D6">
        <w:rPr>
          <w:noProof/>
          <w:lang w:val="fr-FR"/>
        </w:rPr>
        <w:t xml:space="preserve">. </w:t>
      </w:r>
      <w:r>
        <w:rPr>
          <w:noProof/>
          <w:lang w:val="fr-FR"/>
        </w:rPr>
        <w:t xml:space="preserve">Cette loi réglemente la </w:t>
      </w:r>
      <w:r w:rsidR="008342B8" w:rsidRPr="00DD03D6">
        <w:rPr>
          <w:noProof/>
          <w:lang w:val="fr-FR"/>
        </w:rPr>
        <w:t xml:space="preserve">protection </w:t>
      </w:r>
      <w:r>
        <w:rPr>
          <w:noProof/>
          <w:lang w:val="fr-FR"/>
        </w:rPr>
        <w:t>des jeunes exerçant un emploi en général, notamment dans l’industrie</w:t>
      </w:r>
      <w:r w:rsidR="008342B8" w:rsidRPr="00DD03D6">
        <w:rPr>
          <w:noProof/>
          <w:lang w:val="fr-FR"/>
        </w:rPr>
        <w:t xml:space="preserve">. </w:t>
      </w:r>
      <w:r>
        <w:rPr>
          <w:noProof/>
          <w:lang w:val="fr-FR"/>
        </w:rPr>
        <w:t>Elle vise à protéger la santé des jeunes travailleurs et à faire en sorte que le travail exercé pendant</w:t>
      </w:r>
      <w:r w:rsidR="00C65567">
        <w:rPr>
          <w:noProof/>
          <w:lang w:val="fr-FR"/>
        </w:rPr>
        <w:t xml:space="preserve"> les années de scolarité ne nuise </w:t>
      </w:r>
      <w:r>
        <w:rPr>
          <w:noProof/>
          <w:lang w:val="fr-FR"/>
        </w:rPr>
        <w:t>pas à l’instruction de ces jeunes</w:t>
      </w:r>
      <w:r w:rsidR="008342B8" w:rsidRPr="00DD03D6">
        <w:rPr>
          <w:noProof/>
          <w:lang w:val="fr-FR"/>
        </w:rPr>
        <w:t xml:space="preserve">. </w:t>
      </w:r>
      <w:r>
        <w:rPr>
          <w:noProof/>
          <w:lang w:val="fr-FR"/>
        </w:rPr>
        <w:t xml:space="preserve">Elle fixe </w:t>
      </w:r>
      <w:r w:rsidR="00C65567">
        <w:rPr>
          <w:noProof/>
          <w:lang w:val="fr-FR"/>
        </w:rPr>
        <w:t xml:space="preserve">un âge minimal d’admission à l’emploi, prévoit l’aménagement de repos intercalaires et un horaire de travail maximal, et interdit le travail de nuit des personnes âgées de moins </w:t>
      </w:r>
      <w:r w:rsidR="00C65567">
        <w:rPr>
          <w:noProof/>
          <w:lang w:val="fr-FR"/>
        </w:rPr>
        <w:lastRenderedPageBreak/>
        <w:t>de 18 ans</w:t>
      </w:r>
      <w:r w:rsidR="008342B8" w:rsidRPr="00DD03D6">
        <w:rPr>
          <w:noProof/>
          <w:lang w:val="fr-FR"/>
        </w:rPr>
        <w:t xml:space="preserve">. </w:t>
      </w:r>
      <w:r w:rsidR="00C65567">
        <w:rPr>
          <w:noProof/>
          <w:lang w:val="fr-FR"/>
        </w:rPr>
        <w:t>Les em</w:t>
      </w:r>
      <w:r w:rsidR="008342B8" w:rsidRPr="00DD03D6">
        <w:rPr>
          <w:noProof/>
          <w:lang w:val="fr-FR"/>
        </w:rPr>
        <w:t>ploye</w:t>
      </w:r>
      <w:r w:rsidR="00C65567">
        <w:rPr>
          <w:noProof/>
          <w:lang w:val="fr-FR"/>
        </w:rPr>
        <w:t>u</w:t>
      </w:r>
      <w:r w:rsidR="008342B8" w:rsidRPr="00DD03D6">
        <w:rPr>
          <w:noProof/>
          <w:lang w:val="fr-FR"/>
        </w:rPr>
        <w:t xml:space="preserve">rs </w:t>
      </w:r>
      <w:r w:rsidR="00C65567">
        <w:rPr>
          <w:noProof/>
          <w:lang w:val="fr-FR"/>
        </w:rPr>
        <w:t>doivent tenir des registres distincts pour ceux de leurs employés qui sont âgés de moins de 18 ans</w:t>
      </w:r>
      <w:r w:rsidR="008342B8" w:rsidRPr="00DD03D6">
        <w:rPr>
          <w:noProof/>
          <w:lang w:val="fr-FR"/>
        </w:rPr>
        <w:t>.</w:t>
      </w:r>
    </w:p>
    <w:p w:rsidR="008342B8" w:rsidRPr="00DD03D6" w:rsidRDefault="004C755D" w:rsidP="00940820">
      <w:pPr>
        <w:pStyle w:val="SingleTxtG"/>
        <w:numPr>
          <w:ilvl w:val="0"/>
          <w:numId w:val="3"/>
        </w:numPr>
        <w:ind w:left="1134" w:firstLine="0"/>
        <w:rPr>
          <w:noProof/>
          <w:lang w:val="fr-FR"/>
        </w:rPr>
      </w:pPr>
      <w:r>
        <w:rPr>
          <w:noProof/>
          <w:lang w:val="fr-FR"/>
        </w:rPr>
        <w:t>Les dispositions relatives à la sécurité et à la santé des employés âgés de moins de 18 ans ont été mises en application par le biais du Règlement de 2007 relatif à la sécurité, à la santé et au bien-être au travail</w:t>
      </w:r>
      <w:r w:rsidR="008342B8" w:rsidRPr="00DD03D6">
        <w:rPr>
          <w:noProof/>
          <w:lang w:val="fr-FR"/>
        </w:rPr>
        <w:t xml:space="preserve"> (</w:t>
      </w:r>
      <w:r>
        <w:rPr>
          <w:noProof/>
          <w:lang w:val="fr-FR"/>
        </w:rPr>
        <w:t>a</w:t>
      </w:r>
      <w:r w:rsidR="008342B8" w:rsidRPr="00DD03D6">
        <w:rPr>
          <w:noProof/>
          <w:lang w:val="fr-FR"/>
        </w:rPr>
        <w:t>pplication</w:t>
      </w:r>
      <w:r>
        <w:rPr>
          <w:noProof/>
          <w:lang w:val="fr-FR"/>
        </w:rPr>
        <w:t xml:space="preserve"> générale</w:t>
      </w:r>
      <w:r w:rsidR="008342B8" w:rsidRPr="00DD03D6">
        <w:rPr>
          <w:noProof/>
          <w:lang w:val="fr-FR"/>
        </w:rPr>
        <w:t>) (</w:t>
      </w:r>
      <w:r>
        <w:rPr>
          <w:noProof/>
          <w:lang w:val="fr-FR"/>
        </w:rPr>
        <w:t>instrument législatif n</w:t>
      </w:r>
      <w:r w:rsidR="00A232FB" w:rsidRPr="00A232FB">
        <w:rPr>
          <w:noProof/>
          <w:vertAlign w:val="superscript"/>
          <w:lang w:val="fr-FR"/>
        </w:rPr>
        <w:t>o</w:t>
      </w:r>
      <w:r w:rsidR="00A232FB">
        <w:rPr>
          <w:noProof/>
          <w:lang w:val="fr-FR"/>
        </w:rPr>
        <w:t> </w:t>
      </w:r>
      <w:r w:rsidR="008342B8" w:rsidRPr="00DD03D6">
        <w:rPr>
          <w:noProof/>
          <w:lang w:val="fr-FR"/>
        </w:rPr>
        <w:t xml:space="preserve">299 </w:t>
      </w:r>
      <w:r>
        <w:rPr>
          <w:noProof/>
          <w:lang w:val="fr-FR"/>
        </w:rPr>
        <w:t>de</w:t>
      </w:r>
      <w:r w:rsidR="008342B8" w:rsidRPr="00DD03D6">
        <w:rPr>
          <w:noProof/>
          <w:lang w:val="fr-FR"/>
        </w:rPr>
        <w:t xml:space="preserve"> 2007) </w:t>
      </w:r>
      <w:r>
        <w:rPr>
          <w:noProof/>
          <w:lang w:val="fr-FR"/>
        </w:rPr>
        <w:t>tel que modifié par le Règlement portant modifica</w:t>
      </w:r>
      <w:r>
        <w:rPr>
          <w:noProof/>
          <w:lang w:val="fr-FR"/>
        </w:rPr>
        <w:tab/>
        <w:t>tion du Règlement relatif à la sécurité, à la santé et au bien-être au travail</w:t>
      </w:r>
      <w:r w:rsidRPr="00DD03D6">
        <w:rPr>
          <w:noProof/>
          <w:lang w:val="fr-FR"/>
        </w:rPr>
        <w:t xml:space="preserve"> (</w:t>
      </w:r>
      <w:r>
        <w:rPr>
          <w:noProof/>
          <w:lang w:val="fr-FR"/>
        </w:rPr>
        <w:t>a</w:t>
      </w:r>
      <w:r w:rsidRPr="00DD03D6">
        <w:rPr>
          <w:noProof/>
          <w:lang w:val="fr-FR"/>
        </w:rPr>
        <w:t>pplication</w:t>
      </w:r>
      <w:r>
        <w:rPr>
          <w:noProof/>
          <w:lang w:val="fr-FR"/>
        </w:rPr>
        <w:t xml:space="preserve"> générale</w:t>
      </w:r>
      <w:r w:rsidRPr="00DD03D6">
        <w:rPr>
          <w:noProof/>
          <w:lang w:val="fr-FR"/>
        </w:rPr>
        <w:t xml:space="preserve">) </w:t>
      </w:r>
      <w:r w:rsidR="008342B8" w:rsidRPr="00DD03D6">
        <w:rPr>
          <w:noProof/>
          <w:lang w:val="fr-FR"/>
        </w:rPr>
        <w:t>(</w:t>
      </w:r>
      <w:r>
        <w:rPr>
          <w:noProof/>
          <w:lang w:val="fr-FR"/>
        </w:rPr>
        <w:t xml:space="preserve">instrument législatif </w:t>
      </w:r>
      <w:r w:rsidR="00A232FB">
        <w:rPr>
          <w:noProof/>
          <w:lang w:val="fr-FR"/>
        </w:rPr>
        <w:t>n</w:t>
      </w:r>
      <w:r w:rsidR="00A232FB" w:rsidRPr="00A232FB">
        <w:rPr>
          <w:noProof/>
          <w:vertAlign w:val="superscript"/>
          <w:lang w:val="fr-FR"/>
        </w:rPr>
        <w:t>o</w:t>
      </w:r>
      <w:r w:rsidR="00A232FB">
        <w:rPr>
          <w:noProof/>
          <w:lang w:val="fr-FR"/>
        </w:rPr>
        <w:t> </w:t>
      </w:r>
      <w:r w:rsidR="008342B8" w:rsidRPr="00DD03D6">
        <w:rPr>
          <w:noProof/>
          <w:lang w:val="fr-FR"/>
        </w:rPr>
        <w:t xml:space="preserve">732 </w:t>
      </w:r>
      <w:r>
        <w:rPr>
          <w:noProof/>
          <w:lang w:val="fr-FR"/>
        </w:rPr>
        <w:t>de</w:t>
      </w:r>
      <w:r w:rsidR="008342B8" w:rsidRPr="00DD03D6">
        <w:rPr>
          <w:noProof/>
          <w:lang w:val="fr-FR"/>
        </w:rPr>
        <w:t xml:space="preserve"> 2007). </w:t>
      </w:r>
      <w:r w:rsidR="00A92504">
        <w:rPr>
          <w:noProof/>
          <w:lang w:val="fr-FR"/>
        </w:rPr>
        <w:t>L’article</w:t>
      </w:r>
      <w:r>
        <w:rPr>
          <w:noProof/>
          <w:lang w:val="fr-FR"/>
        </w:rPr>
        <w:t xml:space="preserve"> </w:t>
      </w:r>
      <w:r w:rsidR="008342B8" w:rsidRPr="00DD03D6">
        <w:rPr>
          <w:noProof/>
          <w:lang w:val="fr-FR"/>
        </w:rPr>
        <w:t xml:space="preserve">144 </w:t>
      </w:r>
      <w:r>
        <w:rPr>
          <w:noProof/>
          <w:lang w:val="fr-FR"/>
        </w:rPr>
        <w:t>du Règlement de 2007 relatif à la sécurité, à la santé et au bien-être au travail</w:t>
      </w:r>
      <w:r w:rsidRPr="00DD03D6">
        <w:rPr>
          <w:noProof/>
          <w:lang w:val="fr-FR"/>
        </w:rPr>
        <w:t xml:space="preserve"> (</w:t>
      </w:r>
      <w:r>
        <w:rPr>
          <w:noProof/>
          <w:lang w:val="fr-FR"/>
        </w:rPr>
        <w:t>a</w:t>
      </w:r>
      <w:r w:rsidRPr="00DD03D6">
        <w:rPr>
          <w:noProof/>
          <w:lang w:val="fr-FR"/>
        </w:rPr>
        <w:t>pplication</w:t>
      </w:r>
      <w:r>
        <w:rPr>
          <w:noProof/>
          <w:lang w:val="fr-FR"/>
        </w:rPr>
        <w:t xml:space="preserve"> générale) fait obligation à l’employeur de procéder à une évaluation des risques avant qu’un enfant ou un jeune ne commence à travailler</w:t>
      </w:r>
      <w:r w:rsidR="008342B8" w:rsidRPr="00DD03D6">
        <w:rPr>
          <w:rFonts w:cs="TimesNewRomanPSMT"/>
          <w:noProof/>
          <w:lang w:val="fr-FR" w:eastAsia="en-GB"/>
        </w:rPr>
        <w:t xml:space="preserve">. </w:t>
      </w:r>
      <w:r>
        <w:rPr>
          <w:rFonts w:cs="TimesNewRomanPSMT"/>
          <w:noProof/>
          <w:lang w:val="fr-FR" w:eastAsia="en-GB"/>
        </w:rPr>
        <w:t>De même, lorqu’un changement important est apporté au lieu de travail ou au travail à effectuer, l’employeur est tenu d’éliminer tout risque important pour la sécurité et la santé de l’enfant ou du jeune</w:t>
      </w:r>
      <w:r w:rsidR="00A92504">
        <w:rPr>
          <w:rFonts w:cs="TimesNewRomanPSMT"/>
          <w:noProof/>
          <w:lang w:val="fr-FR" w:eastAsia="en-GB"/>
        </w:rPr>
        <w:t xml:space="preserve"> en question</w:t>
      </w:r>
      <w:r w:rsidR="008342B8" w:rsidRPr="00DD03D6">
        <w:rPr>
          <w:rFonts w:cs="TimesNewRomanPSMT"/>
          <w:noProof/>
          <w:lang w:val="fr-FR" w:eastAsia="en-GB"/>
        </w:rPr>
        <w:t>.</w:t>
      </w:r>
      <w:r w:rsidR="008342B8" w:rsidRPr="00DD03D6">
        <w:rPr>
          <w:noProof/>
          <w:lang w:val="fr-FR"/>
        </w:rPr>
        <w:t xml:space="preserve"> </w:t>
      </w:r>
      <w:r w:rsidR="00317376">
        <w:rPr>
          <w:noProof/>
          <w:lang w:val="fr-FR"/>
        </w:rPr>
        <w:t>Le Règlement i</w:t>
      </w:r>
      <w:r w:rsidR="00A92504">
        <w:rPr>
          <w:noProof/>
          <w:lang w:val="fr-FR"/>
        </w:rPr>
        <w:t>nt</w:t>
      </w:r>
      <w:r w:rsidR="00317376">
        <w:rPr>
          <w:noProof/>
          <w:lang w:val="fr-FR"/>
        </w:rPr>
        <w:t xml:space="preserve">erdit à un employeur d’employer un enfant ou un jeune </w:t>
      </w:r>
      <w:r w:rsidR="003F22EC">
        <w:rPr>
          <w:noProof/>
          <w:lang w:val="fr-FR"/>
        </w:rPr>
        <w:t>dont la sécurité et la santé pourraient être compromises</w:t>
      </w:r>
      <w:r w:rsidR="008342B8" w:rsidRPr="00DD03D6">
        <w:rPr>
          <w:noProof/>
          <w:lang w:val="fr-FR"/>
        </w:rPr>
        <w:t>.</w:t>
      </w:r>
    </w:p>
    <w:p w:rsidR="008342B8" w:rsidRPr="00DD03D6" w:rsidRDefault="00A92504" w:rsidP="005F3C76">
      <w:pPr>
        <w:pStyle w:val="SingleTxtG"/>
        <w:numPr>
          <w:ilvl w:val="0"/>
          <w:numId w:val="3"/>
        </w:numPr>
        <w:ind w:left="1134" w:firstLine="0"/>
        <w:rPr>
          <w:noProof/>
          <w:lang w:val="fr-FR"/>
        </w:rPr>
      </w:pPr>
      <w:r>
        <w:rPr>
          <w:noProof/>
          <w:lang w:val="fr-FR"/>
        </w:rPr>
        <w:t>Les personnes âgées de moins de 18 ans sont en principe recrutées à temps partiel.</w:t>
      </w:r>
      <w:r w:rsidR="008342B8" w:rsidRPr="00DD03D6">
        <w:rPr>
          <w:noProof/>
          <w:lang w:val="fr-FR"/>
        </w:rPr>
        <w:t xml:space="preserve"> </w:t>
      </w:r>
      <w:r>
        <w:rPr>
          <w:noProof/>
          <w:lang w:val="fr-FR"/>
        </w:rPr>
        <w:t>La loi de 2001 sur la p</w:t>
      </w:r>
      <w:r w:rsidR="008342B8" w:rsidRPr="00DD03D6">
        <w:rPr>
          <w:iCs/>
          <w:noProof/>
          <w:szCs w:val="22"/>
          <w:lang w:val="fr-FR"/>
        </w:rPr>
        <w:t xml:space="preserve">rotection </w:t>
      </w:r>
      <w:r>
        <w:rPr>
          <w:iCs/>
          <w:noProof/>
          <w:szCs w:val="22"/>
          <w:lang w:val="fr-FR"/>
        </w:rPr>
        <w:t xml:space="preserve">des employés </w:t>
      </w:r>
      <w:r w:rsidR="008342B8" w:rsidRPr="00DD03D6">
        <w:rPr>
          <w:iCs/>
          <w:noProof/>
          <w:szCs w:val="22"/>
          <w:lang w:val="fr-FR"/>
        </w:rPr>
        <w:t>(</w:t>
      </w:r>
      <w:r>
        <w:rPr>
          <w:iCs/>
          <w:noProof/>
          <w:szCs w:val="22"/>
          <w:lang w:val="fr-FR"/>
        </w:rPr>
        <w:t>travail à temps partiel</w:t>
      </w:r>
      <w:r w:rsidR="008342B8" w:rsidRPr="00DD03D6">
        <w:rPr>
          <w:iCs/>
          <w:noProof/>
          <w:szCs w:val="22"/>
          <w:lang w:val="fr-FR"/>
        </w:rPr>
        <w:t xml:space="preserve">) </w:t>
      </w:r>
      <w:r>
        <w:rPr>
          <w:iCs/>
          <w:noProof/>
          <w:lang w:val="fr-FR"/>
        </w:rPr>
        <w:t>revêt donc une importance particulière</w:t>
      </w:r>
      <w:r w:rsidR="008342B8" w:rsidRPr="00DD03D6">
        <w:rPr>
          <w:noProof/>
          <w:lang w:val="fr-FR"/>
        </w:rPr>
        <w:t xml:space="preserve">. </w:t>
      </w:r>
      <w:r>
        <w:rPr>
          <w:noProof/>
          <w:lang w:val="fr-FR"/>
        </w:rPr>
        <w:t xml:space="preserve">Elle prévoit qu’un </w:t>
      </w:r>
      <w:r w:rsidR="005E0DCD">
        <w:rPr>
          <w:noProof/>
          <w:lang w:val="fr-FR"/>
        </w:rPr>
        <w:t>travailleur</w:t>
      </w:r>
      <w:r>
        <w:rPr>
          <w:noProof/>
          <w:lang w:val="fr-FR"/>
        </w:rPr>
        <w:t xml:space="preserve"> à temps partiel (tel qu’il est défini) ne peut pas faire l’objet d’un traitement moins favorable qu’un </w:t>
      </w:r>
      <w:r w:rsidR="005E0DCD">
        <w:rPr>
          <w:noProof/>
          <w:lang w:val="fr-FR"/>
        </w:rPr>
        <w:t>travailleur à</w:t>
      </w:r>
      <w:r>
        <w:rPr>
          <w:noProof/>
          <w:lang w:val="fr-FR"/>
        </w:rPr>
        <w:t xml:space="preserve"> plein temps </w:t>
      </w:r>
      <w:r w:rsidR="008342B8" w:rsidRPr="00DD03D6">
        <w:rPr>
          <w:noProof/>
          <w:lang w:val="fr-FR"/>
        </w:rPr>
        <w:t xml:space="preserve">comparable </w:t>
      </w:r>
      <w:r>
        <w:rPr>
          <w:noProof/>
          <w:lang w:val="fr-FR"/>
        </w:rPr>
        <w:t xml:space="preserve">pour ce qui est des </w:t>
      </w:r>
      <w:r w:rsidR="008342B8" w:rsidRPr="00DD03D6">
        <w:rPr>
          <w:noProof/>
          <w:lang w:val="fr-FR"/>
        </w:rPr>
        <w:t xml:space="preserve">conditions </w:t>
      </w:r>
      <w:r>
        <w:rPr>
          <w:noProof/>
          <w:lang w:val="fr-FR"/>
        </w:rPr>
        <w:t>d’emploi</w:t>
      </w:r>
      <w:r w:rsidR="008342B8" w:rsidRPr="00DD03D6">
        <w:rPr>
          <w:noProof/>
          <w:lang w:val="fr-FR"/>
        </w:rPr>
        <w:t xml:space="preserve">. </w:t>
      </w:r>
      <w:r w:rsidR="005E0DCD">
        <w:rPr>
          <w:noProof/>
          <w:lang w:val="fr-FR"/>
        </w:rPr>
        <w:t>Elle dispose également que l’ensemble de la législation relative à la protection des travailleurs s’applique à un travailleur à temps partiel de la même manière qu’elle s’applique aux travailleurs à plein temps.</w:t>
      </w:r>
      <w:r w:rsidR="008342B8" w:rsidRPr="00DD03D6">
        <w:rPr>
          <w:noProof/>
          <w:lang w:val="fr-FR"/>
        </w:rPr>
        <w:t xml:space="preserve"> </w:t>
      </w:r>
      <w:r w:rsidR="00153DAF">
        <w:rPr>
          <w:noProof/>
          <w:lang w:val="fr-FR"/>
        </w:rPr>
        <w:t xml:space="preserve">Toutes </w:t>
      </w:r>
      <w:r w:rsidR="002026BC">
        <w:rPr>
          <w:noProof/>
          <w:lang w:val="fr-FR"/>
        </w:rPr>
        <w:t xml:space="preserve">les </w:t>
      </w:r>
      <w:r w:rsidR="00153DAF">
        <w:rPr>
          <w:noProof/>
          <w:lang w:val="fr-FR"/>
        </w:rPr>
        <w:t xml:space="preserve">conditions </w:t>
      </w:r>
      <w:r w:rsidR="009C2CC4">
        <w:rPr>
          <w:noProof/>
          <w:lang w:val="fr-FR"/>
        </w:rPr>
        <w:t>ouvrant droit à une prestation</w:t>
      </w:r>
      <w:r w:rsidR="00153DAF">
        <w:rPr>
          <w:noProof/>
          <w:lang w:val="fr-FR"/>
        </w:rPr>
        <w:t xml:space="preserve"> </w:t>
      </w:r>
      <w:r w:rsidR="008342B8" w:rsidRPr="00DD03D6">
        <w:rPr>
          <w:noProof/>
          <w:lang w:val="fr-FR"/>
        </w:rPr>
        <w:t>(</w:t>
      </w:r>
      <w:r w:rsidR="00153DAF">
        <w:rPr>
          <w:noProof/>
          <w:lang w:val="fr-FR"/>
        </w:rPr>
        <w:t>à l’</w:t>
      </w:r>
      <w:r w:rsidR="008342B8" w:rsidRPr="00DD03D6">
        <w:rPr>
          <w:noProof/>
          <w:lang w:val="fr-FR"/>
        </w:rPr>
        <w:t xml:space="preserve">exception </w:t>
      </w:r>
      <w:r w:rsidR="00153DAF">
        <w:rPr>
          <w:noProof/>
          <w:lang w:val="fr-FR"/>
        </w:rPr>
        <w:t>des seuils en matière d’heures ouvrées</w:t>
      </w:r>
      <w:r w:rsidR="008342B8" w:rsidRPr="00DD03D6">
        <w:rPr>
          <w:noProof/>
          <w:lang w:val="fr-FR"/>
        </w:rPr>
        <w:t xml:space="preserve">) </w:t>
      </w:r>
      <w:r w:rsidR="002026BC">
        <w:rPr>
          <w:noProof/>
          <w:lang w:val="fr-FR"/>
        </w:rPr>
        <w:t>s’appliquant à un travailleur à plein temps</w:t>
      </w:r>
      <w:r w:rsidR="008859C4">
        <w:rPr>
          <w:noProof/>
          <w:lang w:val="fr-FR"/>
        </w:rPr>
        <w:t xml:space="preserve"> au regard de cette législation s’appliquent également à un travailleur à temps partiel</w:t>
      </w:r>
      <w:r w:rsidR="008342B8" w:rsidRPr="00DD03D6">
        <w:rPr>
          <w:noProof/>
          <w:color w:val="292526"/>
          <w:szCs w:val="22"/>
          <w:lang w:val="fr-FR"/>
        </w:rPr>
        <w:t>.</w:t>
      </w:r>
    </w:p>
    <w:p w:rsidR="008342B8" w:rsidRPr="00DD03D6" w:rsidRDefault="008859C4" w:rsidP="005F3C76">
      <w:pPr>
        <w:pStyle w:val="SingleTxtG"/>
        <w:numPr>
          <w:ilvl w:val="0"/>
          <w:numId w:val="3"/>
        </w:numPr>
        <w:ind w:left="1134" w:firstLine="0"/>
        <w:rPr>
          <w:noProof/>
          <w:lang w:val="fr-FR"/>
        </w:rPr>
      </w:pPr>
      <w:r>
        <w:rPr>
          <w:noProof/>
          <w:lang w:val="fr-FR"/>
        </w:rPr>
        <w:t xml:space="preserve">Enfin, la </w:t>
      </w:r>
      <w:r w:rsidR="009F7E94">
        <w:rPr>
          <w:lang w:val="fr-FR"/>
        </w:rPr>
        <w:t xml:space="preserve">loi de 2000 relative au salaire minimal national </w:t>
      </w:r>
      <w:r w:rsidR="00110556">
        <w:rPr>
          <w:lang w:val="fr-FR"/>
        </w:rPr>
        <w:t>fixe le niveau de salaire minimal auquel un travailleur a droit</w:t>
      </w:r>
      <w:r w:rsidR="008342B8" w:rsidRPr="00DD03D6">
        <w:rPr>
          <w:noProof/>
          <w:lang w:val="fr-FR"/>
        </w:rPr>
        <w:t xml:space="preserve">, </w:t>
      </w:r>
      <w:r w:rsidR="00110556">
        <w:rPr>
          <w:noProof/>
          <w:lang w:val="fr-FR"/>
        </w:rPr>
        <w:t xml:space="preserve">des dispositions </w:t>
      </w:r>
      <w:r w:rsidR="008342B8" w:rsidRPr="00DD03D6">
        <w:rPr>
          <w:noProof/>
          <w:lang w:val="fr-FR"/>
        </w:rPr>
        <w:t>sp</w:t>
      </w:r>
      <w:r w:rsidR="00110556">
        <w:rPr>
          <w:noProof/>
          <w:lang w:val="fr-FR"/>
        </w:rPr>
        <w:t>é</w:t>
      </w:r>
      <w:r w:rsidR="008342B8" w:rsidRPr="00DD03D6">
        <w:rPr>
          <w:noProof/>
          <w:lang w:val="fr-FR"/>
        </w:rPr>
        <w:t>cifi</w:t>
      </w:r>
      <w:r w:rsidR="00110556">
        <w:rPr>
          <w:noProof/>
          <w:lang w:val="fr-FR"/>
        </w:rPr>
        <w:t>ques s’appliquant aux personnes âgées de moins de 18 ans</w:t>
      </w:r>
      <w:r w:rsidR="008342B8" w:rsidRPr="00DD03D6">
        <w:rPr>
          <w:noProof/>
          <w:lang w:val="fr-FR"/>
        </w:rPr>
        <w:t>.</w:t>
      </w:r>
    </w:p>
    <w:p w:rsidR="008342B8" w:rsidRPr="00DD03D6" w:rsidRDefault="00110556" w:rsidP="00110556">
      <w:pPr>
        <w:pStyle w:val="H23G"/>
        <w:ind w:firstLine="0"/>
        <w:rPr>
          <w:noProof/>
          <w:lang w:val="fr-FR"/>
        </w:rPr>
      </w:pPr>
      <w:r>
        <w:rPr>
          <w:noProof/>
          <w:lang w:val="fr-FR"/>
        </w:rPr>
        <w:t xml:space="preserve">Dispositions spécifiques s’appliquant aux mineurs non accompagnés, aux enfants demandeurs d’asile et aux victimes de la traite </w:t>
      </w:r>
    </w:p>
    <w:p w:rsidR="008342B8" w:rsidRPr="00DD03D6" w:rsidRDefault="00FB6E14" w:rsidP="002E046F">
      <w:pPr>
        <w:pStyle w:val="SingleTxtG"/>
        <w:numPr>
          <w:ilvl w:val="0"/>
          <w:numId w:val="3"/>
        </w:numPr>
        <w:ind w:left="1134" w:firstLine="0"/>
        <w:rPr>
          <w:noProof/>
          <w:lang w:val="fr-FR" w:eastAsia="en-GB"/>
        </w:rPr>
      </w:pPr>
      <w:r>
        <w:rPr>
          <w:noProof/>
          <w:lang w:val="fr-FR" w:eastAsia="en-GB"/>
        </w:rPr>
        <w:t xml:space="preserve">Le HCR a élaboré un module de formation spécialisé à l’intention des chargés de travail social individualisé </w:t>
      </w:r>
      <w:r w:rsidR="008342B8" w:rsidRPr="00DD03D6">
        <w:rPr>
          <w:noProof/>
          <w:lang w:val="fr-FR" w:eastAsia="en-GB"/>
        </w:rPr>
        <w:t>(</w:t>
      </w:r>
      <w:r>
        <w:rPr>
          <w:noProof/>
          <w:lang w:val="fr-FR" w:eastAsia="en-GB"/>
        </w:rPr>
        <w:t>y compris ceux qui s’occupent de mineurs non accompagnés</w:t>
      </w:r>
      <w:r w:rsidR="008342B8" w:rsidRPr="00DD03D6">
        <w:rPr>
          <w:noProof/>
          <w:lang w:val="fr-FR" w:eastAsia="en-GB"/>
        </w:rPr>
        <w:t xml:space="preserve">) </w:t>
      </w:r>
      <w:r>
        <w:rPr>
          <w:noProof/>
          <w:lang w:val="fr-FR" w:eastAsia="en-GB"/>
        </w:rPr>
        <w:t>qui travaillent dans le domaine du droit d’asile, et il assure régulièrement la formation en question</w:t>
      </w:r>
      <w:r w:rsidR="008342B8" w:rsidRPr="00DD03D6">
        <w:rPr>
          <w:noProof/>
          <w:lang w:val="fr-FR" w:eastAsia="en-GB"/>
        </w:rPr>
        <w:t xml:space="preserve">. </w:t>
      </w:r>
      <w:r>
        <w:rPr>
          <w:noProof/>
          <w:lang w:val="fr-FR" w:eastAsia="en-GB"/>
        </w:rPr>
        <w:t xml:space="preserve">Si les procédures utilisées concernent les mineurs non accompagnés, </w:t>
      </w:r>
      <w:r w:rsidR="002D17FD" w:rsidRPr="002D17FD">
        <w:rPr>
          <w:noProof/>
          <w:color w:val="000000"/>
          <w:lang w:val="fr-FR"/>
        </w:rPr>
        <w:t xml:space="preserve">l’approche adoptée − en particulier sur le plan de la formation − est aussi très bénéfique lorsqu’il s’agit d’interroger des enfants qui sont accompagnés mais dont les parents </w:t>
      </w:r>
      <w:r w:rsidR="002D17FD">
        <w:rPr>
          <w:noProof/>
          <w:color w:val="000000"/>
          <w:lang w:val="fr-FR"/>
        </w:rPr>
        <w:t>ont décidé qu’il</w:t>
      </w:r>
      <w:r w:rsidR="00B85B7D">
        <w:rPr>
          <w:noProof/>
          <w:color w:val="000000"/>
          <w:lang w:val="fr-FR"/>
        </w:rPr>
        <w:t>s</w:t>
      </w:r>
      <w:r w:rsidR="002D17FD">
        <w:rPr>
          <w:noProof/>
          <w:color w:val="000000"/>
          <w:lang w:val="fr-FR"/>
        </w:rPr>
        <w:t xml:space="preserve"> </w:t>
      </w:r>
      <w:r w:rsidR="002D17FD" w:rsidRPr="002D17FD">
        <w:rPr>
          <w:noProof/>
          <w:color w:val="000000"/>
          <w:lang w:val="fr-FR"/>
        </w:rPr>
        <w:t>d</w:t>
      </w:r>
      <w:r w:rsidR="002D17FD">
        <w:rPr>
          <w:noProof/>
          <w:color w:val="000000"/>
          <w:lang w:val="fr-FR"/>
        </w:rPr>
        <w:t xml:space="preserve">evaient </w:t>
      </w:r>
      <w:r w:rsidR="002D17FD" w:rsidRPr="002D17FD">
        <w:rPr>
          <w:noProof/>
          <w:color w:val="000000"/>
          <w:lang w:val="fr-FR"/>
        </w:rPr>
        <w:t>faire l’objet d’une demande d’asile distincte.</w:t>
      </w:r>
      <w:r w:rsidR="008342B8" w:rsidRPr="00DD03D6">
        <w:rPr>
          <w:noProof/>
          <w:lang w:val="fr-FR" w:eastAsia="en-GB"/>
        </w:rPr>
        <w:t xml:space="preserve"> </w:t>
      </w:r>
      <w:r w:rsidR="002D17FD">
        <w:rPr>
          <w:noProof/>
          <w:lang w:val="fr-FR" w:eastAsia="en-GB"/>
        </w:rPr>
        <w:t xml:space="preserve">Le </w:t>
      </w:r>
      <w:r w:rsidR="002D17FD" w:rsidRPr="00AC0D1B">
        <w:rPr>
          <w:noProof/>
          <w:color w:val="000000"/>
          <w:lang w:val="fr-FR"/>
        </w:rPr>
        <w:t>Bureau du commissaire aux demandes de statut de réfugié</w:t>
      </w:r>
      <w:r w:rsidR="002D17FD">
        <w:rPr>
          <w:noProof/>
          <w:color w:val="000000"/>
          <w:lang w:val="fr-FR"/>
        </w:rPr>
        <w:t xml:space="preserve"> et le</w:t>
      </w:r>
      <w:r w:rsidR="002D17FD" w:rsidRPr="00DD03D6">
        <w:rPr>
          <w:noProof/>
          <w:lang w:val="fr-FR" w:eastAsia="en-GB"/>
        </w:rPr>
        <w:t xml:space="preserve"> Tribunal </w:t>
      </w:r>
      <w:r w:rsidR="002D17FD">
        <w:rPr>
          <w:noProof/>
          <w:lang w:val="fr-FR" w:eastAsia="en-GB"/>
        </w:rPr>
        <w:t xml:space="preserve">d’appel des réfugiés ont adopté </w:t>
      </w:r>
      <w:r w:rsidR="002D17FD" w:rsidRPr="002D17FD">
        <w:rPr>
          <w:noProof/>
          <w:color w:val="000000"/>
          <w:lang w:val="fr-FR"/>
        </w:rPr>
        <w:t>une approche commune en matière de formation des professionnels dans ce domaine. C’est pourquoi le programme de formation spécialisée s’adresse également aux représentants de la D</w:t>
      </w:r>
      <w:r w:rsidR="0020395E">
        <w:rPr>
          <w:noProof/>
          <w:color w:val="000000"/>
          <w:lang w:val="fr-FR"/>
        </w:rPr>
        <w:t xml:space="preserve">irection des services de santé </w:t>
      </w:r>
      <w:r w:rsidR="002D17FD" w:rsidRPr="002D17FD">
        <w:rPr>
          <w:noProof/>
          <w:color w:val="000000"/>
          <w:lang w:val="fr-FR"/>
        </w:rPr>
        <w:t>et du Service d’assistance juridique aux réfugiés</w:t>
      </w:r>
      <w:r w:rsidR="008342B8" w:rsidRPr="00DD03D6">
        <w:rPr>
          <w:noProof/>
          <w:lang w:val="fr-FR" w:eastAsia="en-GB"/>
        </w:rPr>
        <w:t>.</w:t>
      </w:r>
    </w:p>
    <w:p w:rsidR="008342B8" w:rsidRPr="00DD03D6" w:rsidRDefault="0020395E" w:rsidP="002E046F">
      <w:pPr>
        <w:pStyle w:val="SingleTxtG"/>
        <w:numPr>
          <w:ilvl w:val="0"/>
          <w:numId w:val="3"/>
        </w:numPr>
        <w:ind w:left="1134" w:firstLine="0"/>
        <w:rPr>
          <w:b/>
          <w:bCs/>
          <w:noProof/>
          <w:lang w:val="fr-FR" w:eastAsia="en-GB"/>
        </w:rPr>
      </w:pPr>
      <w:r>
        <w:rPr>
          <w:noProof/>
          <w:lang w:val="fr-FR" w:eastAsia="en-GB"/>
        </w:rPr>
        <w:t xml:space="preserve">Le </w:t>
      </w:r>
      <w:r w:rsidRPr="00AC0D1B">
        <w:rPr>
          <w:noProof/>
          <w:color w:val="000000"/>
          <w:lang w:val="fr-FR"/>
        </w:rPr>
        <w:t>Bureau du commissaire aux demandes de statut de réfugié</w:t>
      </w:r>
      <w:r w:rsidRPr="00DD03D6">
        <w:rPr>
          <w:noProof/>
          <w:lang w:val="fr-FR" w:eastAsia="en-GB"/>
        </w:rPr>
        <w:t xml:space="preserve"> </w:t>
      </w:r>
      <w:r w:rsidR="0072231E">
        <w:rPr>
          <w:noProof/>
          <w:lang w:val="fr-FR" w:eastAsia="en-GB"/>
        </w:rPr>
        <w:t>a également mis en place des procédures de lutte contre la traite des êtres humains</w:t>
      </w:r>
      <w:r w:rsidR="008342B8" w:rsidRPr="00DD03D6">
        <w:rPr>
          <w:noProof/>
          <w:lang w:val="fr-FR" w:eastAsia="en-GB"/>
        </w:rPr>
        <w:t xml:space="preserve">. </w:t>
      </w:r>
      <w:r w:rsidR="0072231E">
        <w:rPr>
          <w:noProof/>
          <w:lang w:val="fr-FR" w:eastAsia="en-GB"/>
        </w:rPr>
        <w:t>Elles prévoient une concertation continue entre le Bureau et le Service de la lutte contre la traite des êtres humains du Ministère de la j</w:t>
      </w:r>
      <w:r w:rsidR="008342B8" w:rsidRPr="00DD03D6">
        <w:rPr>
          <w:noProof/>
          <w:lang w:val="fr-FR" w:eastAsia="en-GB"/>
        </w:rPr>
        <w:t xml:space="preserve">ustice </w:t>
      </w:r>
      <w:r w:rsidR="0072231E">
        <w:rPr>
          <w:noProof/>
          <w:lang w:val="fr-FR" w:eastAsia="en-GB"/>
        </w:rPr>
        <w:t xml:space="preserve">et de l’égalité et le </w:t>
      </w:r>
      <w:r w:rsidR="0072231E" w:rsidRPr="0072231E">
        <w:rPr>
          <w:rFonts w:eastAsia="Calibri"/>
          <w:noProof/>
          <w:lang w:val="fr-FR"/>
        </w:rPr>
        <w:t>Bureau national de l’</w:t>
      </w:r>
      <w:r w:rsidR="0072231E">
        <w:rPr>
          <w:rFonts w:eastAsia="Calibri"/>
          <w:noProof/>
          <w:lang w:val="fr-FR"/>
        </w:rPr>
        <w:t>immigration de la Garda</w:t>
      </w:r>
      <w:r w:rsidR="008342B8" w:rsidRPr="00DD03D6">
        <w:rPr>
          <w:noProof/>
          <w:lang w:val="fr-FR" w:eastAsia="en-GB"/>
        </w:rPr>
        <w:t xml:space="preserve">. </w:t>
      </w:r>
      <w:r w:rsidR="0072231E">
        <w:rPr>
          <w:noProof/>
          <w:lang w:val="fr-FR" w:eastAsia="en-GB"/>
        </w:rPr>
        <w:t xml:space="preserve">Les professionnels du Bureau </w:t>
      </w:r>
      <w:r w:rsidR="0072231E" w:rsidRPr="00AC0D1B">
        <w:rPr>
          <w:noProof/>
          <w:color w:val="000000"/>
          <w:lang w:val="fr-FR"/>
        </w:rPr>
        <w:t>du commissaire aux demandes de statut de réfugié</w:t>
      </w:r>
      <w:r w:rsidR="0072231E" w:rsidRPr="00DD03D6">
        <w:rPr>
          <w:noProof/>
          <w:lang w:val="fr-FR" w:eastAsia="en-GB"/>
        </w:rPr>
        <w:t xml:space="preserve"> </w:t>
      </w:r>
      <w:r w:rsidR="0072231E">
        <w:rPr>
          <w:noProof/>
          <w:lang w:val="fr-FR" w:eastAsia="en-GB"/>
        </w:rPr>
        <w:t>qui sont en première ligne ont suivi une formation dans ce domaine</w:t>
      </w:r>
      <w:r w:rsidR="008342B8" w:rsidRPr="00DD03D6">
        <w:rPr>
          <w:b/>
          <w:bCs/>
          <w:noProof/>
          <w:lang w:val="fr-FR" w:eastAsia="en-GB"/>
        </w:rPr>
        <w:t>.</w:t>
      </w:r>
    </w:p>
    <w:p w:rsidR="008342B8" w:rsidRPr="00DD03D6" w:rsidRDefault="0072231E" w:rsidP="00035F50">
      <w:pPr>
        <w:pStyle w:val="SingleTxtG"/>
        <w:numPr>
          <w:ilvl w:val="0"/>
          <w:numId w:val="3"/>
        </w:numPr>
        <w:ind w:left="1134" w:firstLine="0"/>
        <w:rPr>
          <w:noProof/>
          <w:lang w:val="fr-FR"/>
        </w:rPr>
      </w:pPr>
      <w:r>
        <w:rPr>
          <w:noProof/>
          <w:lang w:val="fr-FR"/>
        </w:rPr>
        <w:t xml:space="preserve">Les mesures que l’État entend prendre pour lutter contre la traite des enfants sont énoncées dans le </w:t>
      </w:r>
      <w:r w:rsidR="00C405FF">
        <w:rPr>
          <w:noProof/>
          <w:lang w:val="fr-FR"/>
        </w:rPr>
        <w:t>Plan</w:t>
      </w:r>
      <w:r w:rsidR="00E92D3C">
        <w:rPr>
          <w:noProof/>
          <w:lang w:val="fr-FR"/>
        </w:rPr>
        <w:t xml:space="preserve"> </w:t>
      </w:r>
      <w:r w:rsidR="00C405FF">
        <w:rPr>
          <w:noProof/>
          <w:lang w:val="fr-FR"/>
        </w:rPr>
        <w:t>n</w:t>
      </w:r>
      <w:r w:rsidR="00C405FF" w:rsidRPr="00DD03D6">
        <w:rPr>
          <w:noProof/>
          <w:lang w:val="fr-FR"/>
        </w:rPr>
        <w:t xml:space="preserve">ational </w:t>
      </w:r>
      <w:r w:rsidR="00C405FF">
        <w:rPr>
          <w:noProof/>
          <w:lang w:val="fr-FR"/>
        </w:rPr>
        <w:t>d’action préventive et de lutte contre la traite des êtres humains en Irlande pour</w:t>
      </w:r>
      <w:r w:rsidR="00C405FF" w:rsidRPr="00DD03D6">
        <w:rPr>
          <w:noProof/>
          <w:lang w:val="fr-FR"/>
        </w:rPr>
        <w:t xml:space="preserve"> 2009-2012</w:t>
      </w:r>
      <w:r w:rsidR="00C405FF">
        <w:rPr>
          <w:noProof/>
          <w:lang w:val="fr-FR"/>
        </w:rPr>
        <w:t xml:space="preserve"> </w:t>
      </w:r>
      <w:r w:rsidR="008342B8" w:rsidRPr="00DD03D6">
        <w:rPr>
          <w:noProof/>
          <w:lang w:val="fr-FR"/>
        </w:rPr>
        <w:t>(</w:t>
      </w:r>
      <w:r w:rsidR="00C405FF">
        <w:rPr>
          <w:noProof/>
          <w:lang w:val="fr-FR"/>
        </w:rPr>
        <w:t xml:space="preserve">voir les </w:t>
      </w:r>
      <w:r w:rsidR="004257CA" w:rsidRPr="00DD03D6">
        <w:rPr>
          <w:noProof/>
          <w:lang w:val="fr-FR"/>
        </w:rPr>
        <w:t>p</w:t>
      </w:r>
      <w:r w:rsidR="00796A7C" w:rsidRPr="00DD03D6">
        <w:rPr>
          <w:noProof/>
          <w:lang w:val="fr-FR"/>
        </w:rPr>
        <w:t>ar</w:t>
      </w:r>
      <w:r w:rsidR="00A232FB">
        <w:rPr>
          <w:noProof/>
          <w:lang w:val="fr-FR"/>
        </w:rPr>
        <w:t>agraphes</w:t>
      </w:r>
      <w:r w:rsidR="00796A7C" w:rsidRPr="00DD03D6">
        <w:rPr>
          <w:noProof/>
          <w:lang w:val="fr-FR"/>
        </w:rPr>
        <w:t> </w:t>
      </w:r>
      <w:r w:rsidR="00035F50" w:rsidRPr="00DD03D6">
        <w:rPr>
          <w:noProof/>
          <w:lang w:val="fr-FR"/>
        </w:rPr>
        <w:t>684</w:t>
      </w:r>
      <w:r w:rsidR="00C405FF">
        <w:rPr>
          <w:noProof/>
          <w:lang w:val="fr-FR"/>
        </w:rPr>
        <w:t xml:space="preserve"> à </w:t>
      </w:r>
      <w:r w:rsidR="00035F50" w:rsidRPr="00DD03D6">
        <w:rPr>
          <w:noProof/>
          <w:lang w:val="fr-FR"/>
        </w:rPr>
        <w:t>688</w:t>
      </w:r>
      <w:r w:rsidR="008342B8" w:rsidRPr="00DD03D6">
        <w:rPr>
          <w:noProof/>
          <w:lang w:val="fr-FR"/>
        </w:rPr>
        <w:t xml:space="preserve">). </w:t>
      </w:r>
      <w:r w:rsidR="00C405FF">
        <w:rPr>
          <w:noProof/>
          <w:lang w:val="fr-FR"/>
        </w:rPr>
        <w:t xml:space="preserve">Dans le cadre de ce </w:t>
      </w:r>
      <w:r w:rsidR="008342B8" w:rsidRPr="00DD03D6">
        <w:rPr>
          <w:noProof/>
          <w:lang w:val="fr-FR"/>
        </w:rPr>
        <w:lastRenderedPageBreak/>
        <w:t xml:space="preserve">plan, </w:t>
      </w:r>
      <w:r w:rsidR="00C405FF">
        <w:rPr>
          <w:noProof/>
          <w:lang w:val="fr-FR"/>
        </w:rPr>
        <w:t>un mécanisme national d’orientation</w:t>
      </w:r>
      <w:r w:rsidR="008342B8" w:rsidRPr="00DD03D6">
        <w:rPr>
          <w:noProof/>
          <w:lang w:val="fr-FR"/>
        </w:rPr>
        <w:t xml:space="preserve"> </w:t>
      </w:r>
      <w:r w:rsidR="009A1766">
        <w:rPr>
          <w:noProof/>
          <w:lang w:val="fr-FR"/>
        </w:rPr>
        <w:t>a été mis en place pour toutes les</w:t>
      </w:r>
      <w:r w:rsidR="008342B8" w:rsidRPr="00DD03D6">
        <w:rPr>
          <w:noProof/>
          <w:lang w:val="fr-FR"/>
        </w:rPr>
        <w:t xml:space="preserve"> </w:t>
      </w:r>
      <w:r w:rsidR="009A1766">
        <w:rPr>
          <w:noProof/>
          <w:lang w:val="fr-FR"/>
        </w:rPr>
        <w:t xml:space="preserve">victimes potentielles et présumées de la traite des êtres humains (y compris les enfants); il permet à ces victimes de bénéficier de la </w:t>
      </w:r>
      <w:r w:rsidR="008342B8" w:rsidRPr="00DD03D6">
        <w:rPr>
          <w:noProof/>
          <w:lang w:val="fr-FR"/>
        </w:rPr>
        <w:t xml:space="preserve">protection </w:t>
      </w:r>
      <w:r w:rsidR="009A1766">
        <w:rPr>
          <w:noProof/>
          <w:lang w:val="fr-FR"/>
        </w:rPr>
        <w:t>de l’État</w:t>
      </w:r>
      <w:r w:rsidR="008342B8" w:rsidRPr="00DD03D6">
        <w:rPr>
          <w:noProof/>
          <w:lang w:val="fr-FR"/>
        </w:rPr>
        <w:t xml:space="preserve">, </w:t>
      </w:r>
      <w:r w:rsidR="009A1766">
        <w:rPr>
          <w:noProof/>
          <w:lang w:val="fr-FR"/>
        </w:rPr>
        <w:t>qui leur procure un logement, un statut d’</w:t>
      </w:r>
      <w:r w:rsidR="008342B8" w:rsidRPr="00DD03D6">
        <w:rPr>
          <w:noProof/>
          <w:lang w:val="fr-FR"/>
        </w:rPr>
        <w:t>immigration (</w:t>
      </w:r>
      <w:r w:rsidR="009A1766">
        <w:rPr>
          <w:noProof/>
          <w:lang w:val="fr-FR"/>
        </w:rPr>
        <w:t>en cas de besoin</w:t>
      </w:r>
      <w:r w:rsidR="008342B8" w:rsidRPr="00DD03D6">
        <w:rPr>
          <w:noProof/>
          <w:lang w:val="fr-FR"/>
        </w:rPr>
        <w:t xml:space="preserve">), </w:t>
      </w:r>
      <w:r w:rsidR="009A1766">
        <w:rPr>
          <w:noProof/>
          <w:lang w:val="fr-FR"/>
        </w:rPr>
        <w:t>des soins médicaux, une aide juridictionnelle et des conseils juridiques, et un service d’</w:t>
      </w:r>
      <w:r w:rsidR="008342B8" w:rsidRPr="00DD03D6">
        <w:rPr>
          <w:noProof/>
          <w:lang w:val="fr-FR"/>
        </w:rPr>
        <w:t>interpr</w:t>
      </w:r>
      <w:r w:rsidR="009A1766">
        <w:rPr>
          <w:noProof/>
          <w:lang w:val="fr-FR"/>
        </w:rPr>
        <w:t>é</w:t>
      </w:r>
      <w:r w:rsidR="008342B8" w:rsidRPr="00DD03D6">
        <w:rPr>
          <w:noProof/>
          <w:lang w:val="fr-FR"/>
        </w:rPr>
        <w:t>tation.</w:t>
      </w:r>
    </w:p>
    <w:p w:rsidR="008342B8" w:rsidRPr="00DD03D6" w:rsidRDefault="009A1766" w:rsidP="004257CA">
      <w:pPr>
        <w:pStyle w:val="SingleTxtG"/>
        <w:numPr>
          <w:ilvl w:val="0"/>
          <w:numId w:val="3"/>
        </w:numPr>
        <w:ind w:left="1134" w:firstLine="0"/>
        <w:rPr>
          <w:noProof/>
          <w:lang w:val="fr-FR"/>
        </w:rPr>
      </w:pPr>
      <w:r>
        <w:rPr>
          <w:noProof/>
          <w:lang w:val="fr-FR"/>
        </w:rPr>
        <w:t xml:space="preserve">La protection et le bien-être des enfants incombe à la Direction des services de santé en vertu de la loi de 1991 sur la protetion de l’enfance, telle que modifiée, et </w:t>
      </w:r>
      <w:r w:rsidR="00A622AF">
        <w:rPr>
          <w:noProof/>
          <w:lang w:val="fr-FR"/>
        </w:rPr>
        <w:t>les d</w:t>
      </w:r>
      <w:r w:rsidR="00A622AF">
        <w:rPr>
          <w:iCs/>
          <w:noProof/>
          <w:lang w:val="fr-FR"/>
        </w:rPr>
        <w:t xml:space="preserve">irectives nationales intitulées </w:t>
      </w:r>
      <w:r w:rsidR="00A622AF" w:rsidRPr="00A232FB">
        <w:rPr>
          <w:lang w:val="fr-CH"/>
        </w:rPr>
        <w:t>«</w:t>
      </w:r>
      <w:r w:rsidR="00A232FB">
        <w:rPr>
          <w:i/>
          <w:lang w:val="fr-CH"/>
        </w:rPr>
        <w:t> </w:t>
      </w:r>
      <w:r w:rsidR="00A622AF" w:rsidRPr="007B3894">
        <w:rPr>
          <w:i/>
          <w:lang w:val="fr-CH"/>
        </w:rPr>
        <w:t>Les enfants d’abord</w:t>
      </w:r>
      <w:r w:rsidR="00A232FB">
        <w:rPr>
          <w:i/>
          <w:lang w:val="fr-CH"/>
        </w:rPr>
        <w:t> </w:t>
      </w:r>
      <w:r w:rsidR="00A622AF" w:rsidRPr="007B3894">
        <w:rPr>
          <w:i/>
          <w:lang w:val="fr-CH"/>
        </w:rPr>
        <w:t>: directives nationales pour la protecti</w:t>
      </w:r>
      <w:r w:rsidR="00A622AF">
        <w:rPr>
          <w:i/>
          <w:lang w:val="fr-CH"/>
        </w:rPr>
        <w:t>on et le bien-être des enfants</w:t>
      </w:r>
      <w:r w:rsidR="00A232FB">
        <w:rPr>
          <w:i/>
          <w:lang w:val="fr-CH"/>
        </w:rPr>
        <w:t> </w:t>
      </w:r>
      <w:r w:rsidR="00A622AF" w:rsidRPr="00A232FB">
        <w:rPr>
          <w:lang w:val="fr-CH"/>
        </w:rPr>
        <w:t>»</w:t>
      </w:r>
      <w:r w:rsidR="00A622AF">
        <w:rPr>
          <w:noProof/>
          <w:lang w:val="fr-FR"/>
        </w:rPr>
        <w:t xml:space="preserve"> </w:t>
      </w:r>
      <w:r w:rsidR="008342B8" w:rsidRPr="00DD03D6">
        <w:rPr>
          <w:noProof/>
          <w:lang w:val="fr-FR"/>
        </w:rPr>
        <w:t>(</w:t>
      </w:r>
      <w:r w:rsidR="00A622AF">
        <w:rPr>
          <w:noProof/>
          <w:lang w:val="fr-FR"/>
        </w:rPr>
        <w:t>Ministère de l’enfance et de la jeunesse</w:t>
      </w:r>
      <w:r w:rsidR="008342B8" w:rsidRPr="00DD03D6">
        <w:rPr>
          <w:noProof/>
          <w:lang w:val="fr-FR"/>
        </w:rPr>
        <w:t>, 2011).</w:t>
      </w:r>
      <w:r w:rsidR="008342B8" w:rsidRPr="00DD03D6">
        <w:rPr>
          <w:i/>
          <w:iCs/>
          <w:noProof/>
          <w:lang w:val="fr-FR"/>
        </w:rPr>
        <w:t xml:space="preserve"> </w:t>
      </w:r>
      <w:r w:rsidR="00BE5C2E">
        <w:rPr>
          <w:iCs/>
          <w:noProof/>
          <w:lang w:val="fr-FR"/>
        </w:rPr>
        <w:t xml:space="preserve">C’est dans ce cadre que la Direction des services de santé fournit une </w:t>
      </w:r>
      <w:r w:rsidR="008342B8" w:rsidRPr="00DD03D6">
        <w:rPr>
          <w:noProof/>
          <w:lang w:val="fr-FR"/>
        </w:rPr>
        <w:t xml:space="preserve">assistance, </w:t>
      </w:r>
      <w:r w:rsidR="00BE5C2E">
        <w:rPr>
          <w:noProof/>
          <w:lang w:val="fr-FR"/>
        </w:rPr>
        <w:t xml:space="preserve">un appui et une </w:t>
      </w:r>
      <w:r w:rsidR="008342B8" w:rsidRPr="00DD03D6">
        <w:rPr>
          <w:noProof/>
          <w:lang w:val="fr-FR"/>
        </w:rPr>
        <w:t xml:space="preserve">protection </w:t>
      </w:r>
      <w:r w:rsidR="00BE5C2E">
        <w:rPr>
          <w:noProof/>
          <w:lang w:val="fr-FR"/>
        </w:rPr>
        <w:t>aux enfants victimes de la traite et, ce faisant, elle prend en considération l’intérêt supérieur de chaque enfant en s’appuyant sur une évaluation individuelle, notammen</w:t>
      </w:r>
      <w:r w:rsidR="00D05F72">
        <w:rPr>
          <w:noProof/>
          <w:lang w:val="fr-FR"/>
        </w:rPr>
        <w:t>t</w:t>
      </w:r>
      <w:r w:rsidR="00BE5C2E">
        <w:rPr>
          <w:noProof/>
          <w:lang w:val="fr-FR"/>
        </w:rPr>
        <w:t xml:space="preserve"> une évaluation des risques à laquelle elle procède dans chaque cas</w:t>
      </w:r>
      <w:r w:rsidR="005D7533" w:rsidRPr="00DD03D6">
        <w:rPr>
          <w:noProof/>
          <w:lang w:val="fr-FR"/>
        </w:rPr>
        <w:t>. I</w:t>
      </w:r>
      <w:r w:rsidR="00BE5C2E">
        <w:rPr>
          <w:noProof/>
          <w:lang w:val="fr-FR"/>
        </w:rPr>
        <w:t>l convient de noter que le processus de détermination de l’</w:t>
      </w:r>
      <w:r w:rsidR="003F36DD">
        <w:rPr>
          <w:noProof/>
          <w:lang w:val="fr-FR"/>
        </w:rPr>
        <w:t>« </w:t>
      </w:r>
      <w:r w:rsidR="00BE5C2E">
        <w:rPr>
          <w:noProof/>
          <w:lang w:val="fr-FR"/>
        </w:rPr>
        <w:t>intérêt supérieur</w:t>
      </w:r>
      <w:r w:rsidR="003F36DD">
        <w:rPr>
          <w:noProof/>
          <w:lang w:val="fr-FR"/>
        </w:rPr>
        <w:t> »</w:t>
      </w:r>
      <w:r w:rsidR="008342B8" w:rsidRPr="00DD03D6">
        <w:rPr>
          <w:noProof/>
          <w:lang w:val="fr-FR"/>
        </w:rPr>
        <w:t xml:space="preserve"> </w:t>
      </w:r>
      <w:r w:rsidR="00BE5C2E">
        <w:rPr>
          <w:noProof/>
          <w:lang w:val="fr-FR"/>
        </w:rPr>
        <w:t>est engagé dès le moment où l’enfant se présente et se poursuit jusqu’au moment où une solution durable est trouvée</w:t>
      </w:r>
      <w:r w:rsidR="008342B8" w:rsidRPr="00DD03D6">
        <w:rPr>
          <w:noProof/>
          <w:lang w:val="fr-FR"/>
        </w:rPr>
        <w:t xml:space="preserve">. </w:t>
      </w:r>
      <w:r w:rsidR="00BE5C2E">
        <w:rPr>
          <w:noProof/>
          <w:lang w:val="fr-FR"/>
        </w:rPr>
        <w:t xml:space="preserve">Un travailleur social est affecté à l’enfant </w:t>
      </w:r>
      <w:r w:rsidR="00BE2CDE">
        <w:rPr>
          <w:noProof/>
          <w:lang w:val="fr-FR"/>
        </w:rPr>
        <w:t xml:space="preserve">dès l’orientation initiale; c’est lui, chaque fois que cela est possible, qui procède à l’évaluation </w:t>
      </w:r>
      <w:r w:rsidR="008342B8" w:rsidRPr="00DD03D6">
        <w:rPr>
          <w:noProof/>
          <w:lang w:val="fr-FR"/>
        </w:rPr>
        <w:t>initial</w:t>
      </w:r>
      <w:r w:rsidR="00BE2CDE">
        <w:rPr>
          <w:noProof/>
          <w:lang w:val="fr-FR"/>
        </w:rPr>
        <w:t>e</w:t>
      </w:r>
      <w:r w:rsidR="008342B8" w:rsidRPr="00DD03D6">
        <w:rPr>
          <w:noProof/>
          <w:lang w:val="fr-FR"/>
        </w:rPr>
        <w:t xml:space="preserve"> </w:t>
      </w:r>
      <w:r w:rsidR="00BE2CDE">
        <w:rPr>
          <w:noProof/>
          <w:lang w:val="fr-FR"/>
        </w:rPr>
        <w:t>afin que le processus soit le moins perturbant possible</w:t>
      </w:r>
      <w:r w:rsidR="008342B8" w:rsidRPr="00DD03D6">
        <w:rPr>
          <w:noProof/>
          <w:lang w:val="fr-FR"/>
        </w:rPr>
        <w:t xml:space="preserve">. </w:t>
      </w:r>
      <w:r w:rsidR="00E73AC5">
        <w:rPr>
          <w:noProof/>
          <w:lang w:val="fr-FR"/>
        </w:rPr>
        <w:t xml:space="preserve">Il s’agit de répondre aux besoins spécifiques de chaque enfant au fur et à mesure qu’ils appararaissent, en gardant à l’esprit sa sécurité et son bien-être à long terme et en prenant en considération un très grand nombre de facteurs, notamment l’âge, les aptitudes, la </w:t>
      </w:r>
      <w:r w:rsidR="00E73AC5" w:rsidRPr="00DD03D6">
        <w:rPr>
          <w:noProof/>
          <w:lang w:val="fr-FR"/>
        </w:rPr>
        <w:t>r</w:t>
      </w:r>
      <w:r w:rsidR="00E73AC5">
        <w:rPr>
          <w:noProof/>
          <w:lang w:val="fr-FR"/>
        </w:rPr>
        <w:t>é</w:t>
      </w:r>
      <w:r w:rsidR="00E73AC5" w:rsidRPr="00DD03D6">
        <w:rPr>
          <w:noProof/>
          <w:lang w:val="fr-FR"/>
        </w:rPr>
        <w:t xml:space="preserve">silience </w:t>
      </w:r>
      <w:r w:rsidR="00E73AC5">
        <w:rPr>
          <w:noProof/>
          <w:lang w:val="fr-FR"/>
        </w:rPr>
        <w:t>et la situation de l’intéressé</w:t>
      </w:r>
      <w:r w:rsidR="008342B8" w:rsidRPr="00DD03D6">
        <w:rPr>
          <w:noProof/>
          <w:lang w:val="fr-FR"/>
        </w:rPr>
        <w:t>.</w:t>
      </w:r>
    </w:p>
    <w:p w:rsidR="008342B8" w:rsidRPr="00DD03D6" w:rsidRDefault="00E73AC5" w:rsidP="004257CA">
      <w:pPr>
        <w:pStyle w:val="SingleTxtG"/>
        <w:numPr>
          <w:ilvl w:val="0"/>
          <w:numId w:val="3"/>
        </w:numPr>
        <w:ind w:left="1134" w:firstLine="0"/>
        <w:rPr>
          <w:noProof/>
          <w:lang w:val="fr-FR"/>
        </w:rPr>
      </w:pPr>
      <w:r>
        <w:rPr>
          <w:noProof/>
          <w:lang w:val="fr-FR"/>
        </w:rPr>
        <w:t>Les plans de protection élaborés par la Direction des services de santé en vertu des lois de 1991 à 2011 sur la protection de l’enfance sont conformes à l’objectif</w:t>
      </w:r>
      <w:r w:rsidR="008342B8" w:rsidRPr="00DD03D6">
        <w:rPr>
          <w:noProof/>
          <w:lang w:val="fr-FR"/>
        </w:rPr>
        <w:t xml:space="preserve"> </w:t>
      </w:r>
      <w:r>
        <w:rPr>
          <w:noProof/>
          <w:lang w:val="fr-FR"/>
        </w:rPr>
        <w:t xml:space="preserve">énoncé au </w:t>
      </w:r>
      <w:r w:rsidR="008342B8" w:rsidRPr="00DD03D6">
        <w:rPr>
          <w:noProof/>
          <w:lang w:val="fr-FR"/>
        </w:rPr>
        <w:t>23</w:t>
      </w:r>
      <w:r w:rsidRPr="00E73AC5">
        <w:rPr>
          <w:noProof/>
          <w:vertAlign w:val="superscript"/>
          <w:lang w:val="fr-FR"/>
        </w:rPr>
        <w:t>e</w:t>
      </w:r>
      <w:r w:rsidR="00A232FB" w:rsidRPr="00A232FB">
        <w:rPr>
          <w:noProof/>
          <w:lang w:val="fr-FR"/>
        </w:rPr>
        <w:t> </w:t>
      </w:r>
      <w:r>
        <w:rPr>
          <w:noProof/>
          <w:lang w:val="fr-FR"/>
        </w:rPr>
        <w:t xml:space="preserve">alinéa du </w:t>
      </w:r>
      <w:r w:rsidR="008342B8" w:rsidRPr="00DD03D6">
        <w:rPr>
          <w:noProof/>
          <w:lang w:val="fr-FR"/>
        </w:rPr>
        <w:t>pr</w:t>
      </w:r>
      <w:r>
        <w:rPr>
          <w:noProof/>
          <w:lang w:val="fr-FR"/>
        </w:rPr>
        <w:t>é</w:t>
      </w:r>
      <w:r w:rsidR="008342B8" w:rsidRPr="00DD03D6">
        <w:rPr>
          <w:noProof/>
          <w:lang w:val="fr-FR"/>
        </w:rPr>
        <w:t>amb</w:t>
      </w:r>
      <w:r>
        <w:rPr>
          <w:noProof/>
          <w:lang w:val="fr-FR"/>
        </w:rPr>
        <w:t>u</w:t>
      </w:r>
      <w:r w:rsidR="008342B8" w:rsidRPr="00DD03D6">
        <w:rPr>
          <w:noProof/>
          <w:lang w:val="fr-FR"/>
        </w:rPr>
        <w:t xml:space="preserve">le </w:t>
      </w:r>
      <w:r>
        <w:rPr>
          <w:noProof/>
          <w:lang w:val="fr-FR"/>
        </w:rPr>
        <w:t xml:space="preserve">de la Directive de l’UE </w:t>
      </w:r>
      <w:r w:rsidR="00851A9C">
        <w:rPr>
          <w:noProof/>
          <w:lang w:val="fr-FR"/>
        </w:rPr>
        <w:t xml:space="preserve">concernant la prévention de la </w:t>
      </w:r>
      <w:r>
        <w:rPr>
          <w:noProof/>
          <w:lang w:val="fr-FR"/>
        </w:rPr>
        <w:t xml:space="preserve">traite des êtres humains et </w:t>
      </w:r>
      <w:r w:rsidR="00851A9C">
        <w:rPr>
          <w:noProof/>
          <w:lang w:val="fr-FR"/>
        </w:rPr>
        <w:t xml:space="preserve">la lutte contre ce phénomène, ainsi que </w:t>
      </w:r>
      <w:r>
        <w:rPr>
          <w:noProof/>
          <w:lang w:val="fr-FR"/>
        </w:rPr>
        <w:t xml:space="preserve">la protection </w:t>
      </w:r>
      <w:r w:rsidR="00851A9C">
        <w:rPr>
          <w:noProof/>
          <w:lang w:val="fr-FR"/>
        </w:rPr>
        <w:t>d</w:t>
      </w:r>
      <w:r>
        <w:rPr>
          <w:noProof/>
          <w:lang w:val="fr-FR"/>
        </w:rPr>
        <w:t>es victimes</w:t>
      </w:r>
      <w:r w:rsidR="008342B8" w:rsidRPr="00DD03D6">
        <w:rPr>
          <w:noProof/>
          <w:lang w:val="fr-FR"/>
        </w:rPr>
        <w:t>,</w:t>
      </w:r>
      <w:r w:rsidR="00002706">
        <w:rPr>
          <w:noProof/>
          <w:lang w:val="fr-FR"/>
        </w:rPr>
        <w:t xml:space="preserve"> qui a été adoptée le </w:t>
      </w:r>
      <w:r w:rsidR="008342B8" w:rsidRPr="00DD03D6">
        <w:rPr>
          <w:noProof/>
          <w:lang w:val="fr-FR"/>
        </w:rPr>
        <w:t xml:space="preserve">5 </w:t>
      </w:r>
      <w:r w:rsidR="00002706">
        <w:rPr>
          <w:noProof/>
          <w:lang w:val="fr-FR"/>
        </w:rPr>
        <w:t>av</w:t>
      </w:r>
      <w:r w:rsidR="008342B8" w:rsidRPr="00DD03D6">
        <w:rPr>
          <w:noProof/>
          <w:lang w:val="fr-FR"/>
        </w:rPr>
        <w:t xml:space="preserve">ril 2011. </w:t>
      </w:r>
      <w:r w:rsidR="00002706">
        <w:rPr>
          <w:noProof/>
          <w:lang w:val="fr-FR"/>
        </w:rPr>
        <w:t xml:space="preserve">Le </w:t>
      </w:r>
      <w:r w:rsidR="00002706" w:rsidRPr="0072231E">
        <w:rPr>
          <w:rFonts w:eastAsia="Calibri"/>
          <w:noProof/>
          <w:lang w:val="fr-FR"/>
        </w:rPr>
        <w:t>Bureau national de l’</w:t>
      </w:r>
      <w:r w:rsidR="00002706">
        <w:rPr>
          <w:rFonts w:eastAsia="Calibri"/>
          <w:noProof/>
          <w:lang w:val="fr-FR"/>
        </w:rPr>
        <w:t xml:space="preserve">immigration de la Garda traite des questions du ressort de la </w:t>
      </w:r>
      <w:r w:rsidR="008342B8" w:rsidRPr="00DD03D6">
        <w:rPr>
          <w:noProof/>
          <w:lang w:val="fr-FR"/>
        </w:rPr>
        <w:t xml:space="preserve">Garda Síochána </w:t>
      </w:r>
      <w:r w:rsidR="00002706">
        <w:rPr>
          <w:noProof/>
          <w:lang w:val="fr-FR"/>
        </w:rPr>
        <w:t>en concertation avec la Direction des services de santé</w:t>
      </w:r>
      <w:r w:rsidR="008342B8" w:rsidRPr="00DD03D6">
        <w:rPr>
          <w:noProof/>
          <w:lang w:val="fr-FR"/>
        </w:rPr>
        <w:t xml:space="preserve">. </w:t>
      </w:r>
      <w:r w:rsidR="00002706">
        <w:rPr>
          <w:noProof/>
          <w:lang w:val="fr-FR"/>
        </w:rPr>
        <w:t>De même, cette dernière coopère avec la Commission de l’aide juridictionnelle en ce qui concerne la fourniture d’une aide et d’une orientation juridictionnelles</w:t>
      </w:r>
      <w:r w:rsidR="008342B8" w:rsidRPr="00DD03D6">
        <w:rPr>
          <w:noProof/>
          <w:lang w:val="fr-FR"/>
        </w:rPr>
        <w:t>.</w:t>
      </w:r>
    </w:p>
    <w:p w:rsidR="008342B8" w:rsidRPr="00DD03D6" w:rsidRDefault="005F3C76" w:rsidP="003A2811">
      <w:pPr>
        <w:pStyle w:val="H1G"/>
        <w:rPr>
          <w:noProof/>
          <w:lang w:val="fr-FR"/>
        </w:rPr>
      </w:pPr>
      <w:bookmarkStart w:id="27" w:name="_Toc356430855"/>
      <w:r w:rsidRPr="00DD03D6">
        <w:rPr>
          <w:noProof/>
          <w:lang w:val="fr-FR"/>
        </w:rPr>
        <w:tab/>
      </w:r>
      <w:r w:rsidR="008342B8" w:rsidRPr="00DD03D6">
        <w:rPr>
          <w:noProof/>
          <w:lang w:val="fr-FR"/>
        </w:rPr>
        <w:t>C.</w:t>
      </w:r>
      <w:r w:rsidR="008342B8" w:rsidRPr="00DD03D6">
        <w:rPr>
          <w:noProof/>
          <w:lang w:val="fr-FR"/>
        </w:rPr>
        <w:tab/>
      </w:r>
      <w:r w:rsidR="00002706">
        <w:rPr>
          <w:noProof/>
          <w:lang w:val="fr-FR"/>
        </w:rPr>
        <w:t>Droit à la vie, à la survie et au développement</w:t>
      </w:r>
      <w:r w:rsidR="008342B8" w:rsidRPr="00DD03D6">
        <w:rPr>
          <w:noProof/>
          <w:lang w:val="fr-FR"/>
        </w:rPr>
        <w:t xml:space="preserve"> </w:t>
      </w:r>
      <w:bookmarkEnd w:id="27"/>
    </w:p>
    <w:p w:rsidR="008342B8" w:rsidRPr="00DD03D6" w:rsidRDefault="00705E2A" w:rsidP="004257CA">
      <w:pPr>
        <w:pStyle w:val="SingleTxtG"/>
        <w:numPr>
          <w:ilvl w:val="0"/>
          <w:numId w:val="3"/>
        </w:numPr>
        <w:ind w:left="1134" w:firstLine="0"/>
        <w:rPr>
          <w:noProof/>
          <w:lang w:val="fr-FR"/>
        </w:rPr>
      </w:pPr>
      <w:r>
        <w:rPr>
          <w:noProof/>
          <w:lang w:val="fr-FR"/>
        </w:rPr>
        <w:t>Le rapport initial de l’Irlande a traité de façon détaillée de la reconnaissance c</w:t>
      </w:r>
      <w:r w:rsidR="008342B8" w:rsidRPr="00DD03D6">
        <w:rPr>
          <w:noProof/>
          <w:lang w:val="fr-FR"/>
        </w:rPr>
        <w:t>onstitution</w:t>
      </w:r>
      <w:r>
        <w:rPr>
          <w:noProof/>
          <w:lang w:val="fr-FR"/>
        </w:rPr>
        <w:t>nelle du droit de chaque citoyen à la vie et de la nécessité de protéger ce droit</w:t>
      </w:r>
      <w:r w:rsidR="008342B8" w:rsidRPr="00DD03D6">
        <w:rPr>
          <w:rStyle w:val="Appelnotedebasdep"/>
          <w:noProof/>
          <w:lang w:val="fr-FR"/>
        </w:rPr>
        <w:footnoteReference w:id="11"/>
      </w:r>
      <w:r>
        <w:rPr>
          <w:noProof/>
          <w:lang w:val="fr-FR"/>
        </w:rPr>
        <w:t>.</w:t>
      </w:r>
    </w:p>
    <w:p w:rsidR="008342B8" w:rsidRPr="00DD03D6" w:rsidRDefault="004209A1" w:rsidP="00C074CD">
      <w:pPr>
        <w:pStyle w:val="SingleTxtG"/>
        <w:numPr>
          <w:ilvl w:val="0"/>
          <w:numId w:val="3"/>
        </w:numPr>
        <w:ind w:left="1134" w:firstLine="0"/>
        <w:rPr>
          <w:noProof/>
          <w:lang w:val="fr-FR"/>
        </w:rPr>
      </w:pPr>
      <w:r>
        <w:rPr>
          <w:noProof/>
          <w:lang w:val="fr-FR"/>
        </w:rPr>
        <w:t xml:space="preserve">Chaque femme enceinte qui a sa résidence habituelle dans le pays (c’est-à-dire </w:t>
      </w:r>
      <w:r w:rsidR="002949F6">
        <w:rPr>
          <w:noProof/>
          <w:lang w:val="fr-FR"/>
        </w:rPr>
        <w:t xml:space="preserve">qui </w:t>
      </w:r>
      <w:r>
        <w:rPr>
          <w:noProof/>
          <w:lang w:val="fr-FR"/>
        </w:rPr>
        <w:t>y vit avec l’intention d’y demeurer pendant au moins un an) a droit à des soins de maternité gratuits dans le cadre du protocole de soins de santé maternelle et infantile</w:t>
      </w:r>
      <w:r w:rsidR="008342B8" w:rsidRPr="00DD03D6">
        <w:rPr>
          <w:noProof/>
          <w:lang w:val="fr-FR"/>
        </w:rPr>
        <w:t xml:space="preserve">. </w:t>
      </w:r>
      <w:r>
        <w:rPr>
          <w:noProof/>
          <w:lang w:val="fr-FR"/>
        </w:rPr>
        <w:t>Ce dernier donne accès aux hôpitaux publics qui assurent des services de soins de maternité</w:t>
      </w:r>
      <w:r w:rsidR="008342B8" w:rsidRPr="00DD03D6">
        <w:rPr>
          <w:noProof/>
          <w:lang w:val="fr-FR"/>
        </w:rPr>
        <w:t xml:space="preserve">. </w:t>
      </w:r>
      <w:r>
        <w:rPr>
          <w:noProof/>
          <w:lang w:val="fr-FR"/>
        </w:rPr>
        <w:t>La Direction des services de santé fournit un appui sous forme de subventions aux femmes qui souhaitent accoucher à leur domicile</w:t>
      </w:r>
      <w:r w:rsidR="008342B8" w:rsidRPr="00DD03D6">
        <w:rPr>
          <w:noProof/>
          <w:lang w:val="fr-FR"/>
        </w:rPr>
        <w:t xml:space="preserve">. </w:t>
      </w:r>
      <w:r>
        <w:rPr>
          <w:noProof/>
          <w:lang w:val="fr-FR"/>
        </w:rPr>
        <w:t xml:space="preserve">Le protocole </w:t>
      </w:r>
      <w:r w:rsidR="008F6E29">
        <w:rPr>
          <w:noProof/>
          <w:lang w:val="fr-FR"/>
        </w:rPr>
        <w:t xml:space="preserve">permet </w:t>
      </w:r>
      <w:r>
        <w:rPr>
          <w:noProof/>
          <w:lang w:val="fr-FR"/>
        </w:rPr>
        <w:t xml:space="preserve">également </w:t>
      </w:r>
      <w:r w:rsidR="008F6E29">
        <w:rPr>
          <w:noProof/>
          <w:lang w:val="fr-FR"/>
        </w:rPr>
        <w:t>à une femme enceinte de consulter un généraliste de son choix au moins six fois avant l’accouchement et deux fois dans les six semaines qui suivent l’accouchement</w:t>
      </w:r>
      <w:r w:rsidR="008342B8" w:rsidRPr="00DD03D6">
        <w:rPr>
          <w:noProof/>
          <w:lang w:val="fr-FR"/>
        </w:rPr>
        <w:t xml:space="preserve">. </w:t>
      </w:r>
      <w:r w:rsidR="008F6E29">
        <w:rPr>
          <w:noProof/>
          <w:lang w:val="fr-FR"/>
        </w:rPr>
        <w:t>Les visites prénatales alternent avec les visites à la maternité ou à l’hôpital</w:t>
      </w:r>
      <w:r w:rsidR="008342B8" w:rsidRPr="00DD03D6">
        <w:rPr>
          <w:noProof/>
          <w:lang w:val="fr-FR"/>
        </w:rPr>
        <w:t xml:space="preserve">. </w:t>
      </w:r>
      <w:r w:rsidR="008F6E29">
        <w:rPr>
          <w:noProof/>
          <w:lang w:val="fr-FR"/>
        </w:rPr>
        <w:t xml:space="preserve">En cas de maladie </w:t>
      </w:r>
      <w:r w:rsidR="00F30295">
        <w:rPr>
          <w:noProof/>
          <w:lang w:val="fr-FR"/>
        </w:rPr>
        <w:t>important</w:t>
      </w:r>
      <w:r w:rsidR="00E01796">
        <w:rPr>
          <w:noProof/>
          <w:lang w:val="fr-FR"/>
        </w:rPr>
        <w:t>e, cinq visites supplémentaires chez le généraliste peuvent être organisées</w:t>
      </w:r>
      <w:r w:rsidR="008342B8" w:rsidRPr="00DD03D6">
        <w:rPr>
          <w:noProof/>
          <w:lang w:val="fr-FR"/>
        </w:rPr>
        <w:t>.</w:t>
      </w:r>
    </w:p>
    <w:p w:rsidR="008342B8" w:rsidRPr="00DD03D6" w:rsidRDefault="00E01796" w:rsidP="00C074CD">
      <w:pPr>
        <w:pStyle w:val="SingleTxtG"/>
        <w:numPr>
          <w:ilvl w:val="0"/>
          <w:numId w:val="3"/>
        </w:numPr>
        <w:ind w:left="1134" w:firstLine="0"/>
        <w:rPr>
          <w:iCs/>
          <w:noProof/>
          <w:lang w:val="fr-FR"/>
        </w:rPr>
      </w:pPr>
      <w:r>
        <w:rPr>
          <w:noProof/>
          <w:lang w:val="fr-FR"/>
        </w:rPr>
        <w:t>Après la naissance, divers services de santé sont assurés gratuitement aux mères et aux nourrissons</w:t>
      </w:r>
      <w:r w:rsidR="008342B8" w:rsidRPr="00DD03D6">
        <w:rPr>
          <w:noProof/>
          <w:lang w:val="fr-FR"/>
        </w:rPr>
        <w:t xml:space="preserve">. </w:t>
      </w:r>
      <w:r>
        <w:rPr>
          <w:noProof/>
          <w:lang w:val="fr-FR"/>
        </w:rPr>
        <w:t xml:space="preserve">Le Service public de personnel infirmier est chargé de suivre la santé des enfants à travers un programme d’interventions de dépistage </w:t>
      </w:r>
      <w:r w:rsidR="003E3B2F">
        <w:rPr>
          <w:noProof/>
          <w:lang w:val="fr-FR"/>
        </w:rPr>
        <w:t xml:space="preserve">et d’appui aux parents pendant </w:t>
      </w:r>
      <w:r w:rsidR="003E3B2F">
        <w:rPr>
          <w:noProof/>
          <w:lang w:val="fr-FR"/>
        </w:rPr>
        <w:lastRenderedPageBreak/>
        <w:t>toute la période préscolaire</w:t>
      </w:r>
      <w:r w:rsidR="008342B8" w:rsidRPr="00DD03D6">
        <w:rPr>
          <w:noProof/>
          <w:lang w:val="fr-FR"/>
        </w:rPr>
        <w:t xml:space="preserve">. </w:t>
      </w:r>
      <w:r w:rsidR="003E3B2F">
        <w:rPr>
          <w:noProof/>
          <w:lang w:val="fr-FR"/>
        </w:rPr>
        <w:t>Lorsque la mère quitte l’hôpital après la naissance de son enfant, une visite est effectuée à son domicile par le Service public de personnel infirmier/Service d’accoucheuses communautaires</w:t>
      </w:r>
      <w:r w:rsidR="008342B8" w:rsidRPr="00DD03D6">
        <w:rPr>
          <w:noProof/>
          <w:lang w:val="fr-FR"/>
        </w:rPr>
        <w:t xml:space="preserve">, </w:t>
      </w:r>
      <w:r w:rsidR="003E3B2F">
        <w:rPr>
          <w:noProof/>
          <w:lang w:val="fr-FR"/>
        </w:rPr>
        <w:t>d’autres visites étant proposées en cas de nécessité</w:t>
      </w:r>
      <w:r w:rsidR="008342B8" w:rsidRPr="00DD03D6">
        <w:rPr>
          <w:noProof/>
          <w:lang w:val="fr-FR"/>
        </w:rPr>
        <w:t xml:space="preserve">. </w:t>
      </w:r>
      <w:r w:rsidR="003E3B2F">
        <w:rPr>
          <w:noProof/>
          <w:lang w:val="fr-FR"/>
        </w:rPr>
        <w:t>En 2011, 82,</w:t>
      </w:r>
      <w:r w:rsidR="008342B8" w:rsidRPr="00DD03D6">
        <w:rPr>
          <w:noProof/>
          <w:lang w:val="fr-FR"/>
        </w:rPr>
        <w:t>6</w:t>
      </w:r>
      <w:r w:rsidR="003F1ADB">
        <w:rPr>
          <w:noProof/>
          <w:lang w:val="fr-FR"/>
        </w:rPr>
        <w:t> %</w:t>
      </w:r>
      <w:r w:rsidR="008342B8" w:rsidRPr="00DD03D6">
        <w:rPr>
          <w:noProof/>
          <w:lang w:val="fr-FR"/>
        </w:rPr>
        <w:t xml:space="preserve"> </w:t>
      </w:r>
      <w:r w:rsidR="003E3B2F">
        <w:rPr>
          <w:noProof/>
          <w:lang w:val="fr-FR"/>
        </w:rPr>
        <w:t>des nouveau-nés ont reçu la première visite d’un membre du Service public de personnel infirmier dans les 48 heures ayant suivi l</w:t>
      </w:r>
      <w:r w:rsidR="00E94431">
        <w:rPr>
          <w:noProof/>
          <w:lang w:val="fr-FR"/>
        </w:rPr>
        <w:t>eur</w:t>
      </w:r>
      <w:r w:rsidR="003E3B2F">
        <w:rPr>
          <w:noProof/>
          <w:lang w:val="fr-FR"/>
        </w:rPr>
        <w:t xml:space="preserve"> sortie de l’hôpital</w:t>
      </w:r>
      <w:r w:rsidR="008342B8" w:rsidRPr="00DD03D6">
        <w:rPr>
          <w:noProof/>
          <w:lang w:val="fr-FR"/>
        </w:rPr>
        <w:t xml:space="preserve">. </w:t>
      </w:r>
      <w:r w:rsidR="003E3B2F">
        <w:rPr>
          <w:noProof/>
          <w:lang w:val="fr-FR"/>
        </w:rPr>
        <w:t>On trouvera aux paragraphes 478 à 490 des informations détaillés sur les autres services de soins de santé primaires</w:t>
      </w:r>
      <w:r w:rsidR="008342B8" w:rsidRPr="00DD03D6">
        <w:rPr>
          <w:i/>
          <w:noProof/>
          <w:lang w:val="fr-FR"/>
        </w:rPr>
        <w:t>.</w:t>
      </w:r>
    </w:p>
    <w:p w:rsidR="008342B8" w:rsidRPr="00DD03D6" w:rsidRDefault="000D2102" w:rsidP="00462BDE">
      <w:pPr>
        <w:pStyle w:val="SingleTxtG"/>
        <w:numPr>
          <w:ilvl w:val="0"/>
          <w:numId w:val="3"/>
        </w:numPr>
        <w:ind w:left="1134" w:firstLine="0"/>
        <w:rPr>
          <w:noProof/>
          <w:lang w:val="fr-FR"/>
        </w:rPr>
      </w:pPr>
      <w:r>
        <w:rPr>
          <w:noProof/>
          <w:lang w:val="fr-FR"/>
        </w:rPr>
        <w:t>Le deuxième rapport périodique de l’Irlande a rendu compte des dispositions législatives régissant le congé de maternité</w:t>
      </w:r>
      <w:r w:rsidR="008342B8" w:rsidRPr="00DD03D6">
        <w:rPr>
          <w:rStyle w:val="Appelnotedebasdep"/>
          <w:noProof/>
          <w:lang w:val="fr-FR"/>
        </w:rPr>
        <w:footnoteReference w:id="12"/>
      </w:r>
      <w:r>
        <w:rPr>
          <w:noProof/>
          <w:lang w:val="fr-FR"/>
        </w:rPr>
        <w:t>.</w:t>
      </w:r>
      <w:r w:rsidR="008342B8" w:rsidRPr="00DD03D6">
        <w:rPr>
          <w:noProof/>
          <w:lang w:val="fr-FR"/>
        </w:rPr>
        <w:t xml:space="preserve"> </w:t>
      </w:r>
      <w:r>
        <w:rPr>
          <w:noProof/>
          <w:lang w:val="fr-FR"/>
        </w:rPr>
        <w:t xml:space="preserve">Depuis </w:t>
      </w:r>
      <w:r w:rsidR="008342B8" w:rsidRPr="00DD03D6">
        <w:rPr>
          <w:noProof/>
          <w:lang w:val="fr-FR"/>
        </w:rPr>
        <w:t xml:space="preserve">2007, </w:t>
      </w:r>
      <w:r>
        <w:rPr>
          <w:noProof/>
          <w:lang w:val="fr-FR"/>
        </w:rPr>
        <w:t xml:space="preserve">les femmes ont droit à un congé de maternité payé de </w:t>
      </w:r>
      <w:r w:rsidR="008342B8" w:rsidRPr="00DD03D6">
        <w:rPr>
          <w:noProof/>
          <w:lang w:val="fr-FR"/>
        </w:rPr>
        <w:t xml:space="preserve">26 </w:t>
      </w:r>
      <w:r>
        <w:rPr>
          <w:noProof/>
          <w:lang w:val="fr-FR"/>
        </w:rPr>
        <w:t>semaines</w:t>
      </w:r>
      <w:r w:rsidR="008342B8" w:rsidRPr="00DD03D6">
        <w:rPr>
          <w:noProof/>
          <w:lang w:val="fr-FR"/>
        </w:rPr>
        <w:t xml:space="preserve">, </w:t>
      </w:r>
      <w:r>
        <w:rPr>
          <w:noProof/>
          <w:lang w:val="fr-FR"/>
        </w:rPr>
        <w:t xml:space="preserve">soit huit semaines de plus </w:t>
      </w:r>
      <w:r w:rsidR="00F30295">
        <w:rPr>
          <w:noProof/>
          <w:lang w:val="fr-FR"/>
        </w:rPr>
        <w:t>qu’en vertu</w:t>
      </w:r>
      <w:r>
        <w:rPr>
          <w:noProof/>
          <w:lang w:val="fr-FR"/>
        </w:rPr>
        <w:t xml:space="preserve"> des dispositions précédentes, et à un congé supplémentaire non payé de </w:t>
      </w:r>
      <w:r w:rsidR="008342B8" w:rsidRPr="00DD03D6">
        <w:rPr>
          <w:noProof/>
          <w:lang w:val="fr-FR"/>
        </w:rPr>
        <w:t>16</w:t>
      </w:r>
      <w:r>
        <w:rPr>
          <w:noProof/>
          <w:lang w:val="fr-FR"/>
        </w:rPr>
        <w:t xml:space="preserve"> semaines</w:t>
      </w:r>
      <w:r w:rsidR="008342B8" w:rsidRPr="00DD03D6">
        <w:rPr>
          <w:noProof/>
          <w:lang w:val="fr-FR"/>
        </w:rPr>
        <w:t xml:space="preserve">, </w:t>
      </w:r>
      <w:r>
        <w:rPr>
          <w:noProof/>
          <w:lang w:val="fr-FR"/>
        </w:rPr>
        <w:t>ce qui représente également une augmentation de huit semaines</w:t>
      </w:r>
      <w:r w:rsidR="008342B8" w:rsidRPr="00DD03D6">
        <w:rPr>
          <w:noProof/>
          <w:lang w:val="fr-FR"/>
        </w:rPr>
        <w:t>.</w:t>
      </w:r>
    </w:p>
    <w:p w:rsidR="008342B8" w:rsidRPr="00DD03D6" w:rsidRDefault="008D4B28" w:rsidP="005F3C76">
      <w:pPr>
        <w:pStyle w:val="SingleTxtG"/>
        <w:numPr>
          <w:ilvl w:val="0"/>
          <w:numId w:val="3"/>
        </w:numPr>
        <w:ind w:left="1134" w:firstLine="0"/>
        <w:rPr>
          <w:noProof/>
          <w:lang w:val="fr-FR"/>
        </w:rPr>
      </w:pPr>
      <w:r>
        <w:rPr>
          <w:noProof/>
          <w:lang w:val="fr-FR"/>
        </w:rPr>
        <w:t>L’allocation de maternité est versée aux travailleuses salariées et indépendantes qui satisfont aux critères de cotisations de sécurité sociale pour l’année</w:t>
      </w:r>
      <w:r w:rsidR="00181094">
        <w:rPr>
          <w:noProof/>
          <w:lang w:val="fr-FR"/>
        </w:rPr>
        <w:t xml:space="preserve"> </w:t>
      </w:r>
      <w:r>
        <w:rPr>
          <w:noProof/>
          <w:lang w:val="fr-FR"/>
        </w:rPr>
        <w:t xml:space="preserve">d’imposition correspondant à leur demande et qui exercent un emploi </w:t>
      </w:r>
      <w:r w:rsidR="000C54DD">
        <w:rPr>
          <w:noProof/>
          <w:lang w:val="fr-FR"/>
        </w:rPr>
        <w:t>assujetti à l’assurance et couvert par la loi de 1994 sur la protection de la maternité immédiatement avant le premier jour du congé de maternité</w:t>
      </w:r>
      <w:r w:rsidR="008342B8" w:rsidRPr="00DD03D6">
        <w:rPr>
          <w:noProof/>
          <w:lang w:val="fr-FR"/>
        </w:rPr>
        <w:t xml:space="preserve">. </w:t>
      </w:r>
      <w:r w:rsidR="000C54DD">
        <w:rPr>
          <w:noProof/>
          <w:lang w:val="fr-FR"/>
        </w:rPr>
        <w:t>Le dernier jour de l’emploi assur</w:t>
      </w:r>
      <w:r w:rsidR="00B11AFE">
        <w:rPr>
          <w:noProof/>
          <w:lang w:val="fr-FR"/>
        </w:rPr>
        <w:t>able doit se situer dans les 16 </w:t>
      </w:r>
      <w:r w:rsidR="000C54DD">
        <w:rPr>
          <w:noProof/>
          <w:lang w:val="fr-FR"/>
        </w:rPr>
        <w:t>semaines qui précèdent la fin de la semaine dans laquelle la naissance est attendue. Pour une salariée, le taux hebdomadaire est calculé en divisant le revenu brut perçu pendant l’année d’imposition cons</w:t>
      </w:r>
      <w:r w:rsidR="00F30295">
        <w:rPr>
          <w:noProof/>
          <w:lang w:val="fr-FR"/>
        </w:rPr>
        <w:t>idérée</w:t>
      </w:r>
      <w:r w:rsidR="000C54DD">
        <w:rPr>
          <w:noProof/>
          <w:lang w:val="fr-FR"/>
        </w:rPr>
        <w:t xml:space="preserve"> par le nombre de semaines ouvrées pendant cette année;</w:t>
      </w:r>
      <w:r w:rsidR="008342B8" w:rsidRPr="00DD03D6">
        <w:rPr>
          <w:noProof/>
          <w:lang w:val="fr-FR"/>
        </w:rPr>
        <w:t xml:space="preserve"> 80</w:t>
      </w:r>
      <w:r w:rsidR="003F1ADB">
        <w:rPr>
          <w:noProof/>
          <w:lang w:val="fr-FR"/>
        </w:rPr>
        <w:t> %</w:t>
      </w:r>
      <w:r w:rsidR="008342B8" w:rsidRPr="00DD03D6">
        <w:rPr>
          <w:noProof/>
          <w:lang w:val="fr-FR"/>
        </w:rPr>
        <w:t xml:space="preserve"> </w:t>
      </w:r>
      <w:r w:rsidR="00181094">
        <w:rPr>
          <w:noProof/>
          <w:lang w:val="fr-FR"/>
        </w:rPr>
        <w:t>du</w:t>
      </w:r>
      <w:r w:rsidR="000C54DD">
        <w:rPr>
          <w:noProof/>
          <w:lang w:val="fr-FR"/>
        </w:rPr>
        <w:t xml:space="preserve"> montant est alors versé chaque semaine, </w:t>
      </w:r>
      <w:r w:rsidR="00D03AB3">
        <w:rPr>
          <w:noProof/>
          <w:lang w:val="fr-FR"/>
        </w:rPr>
        <w:t>à raison d’</w:t>
      </w:r>
      <w:r w:rsidR="000C54DD">
        <w:rPr>
          <w:noProof/>
          <w:lang w:val="fr-FR"/>
        </w:rPr>
        <w:t xml:space="preserve">une prestation minimale </w:t>
      </w:r>
      <w:r w:rsidR="00D03AB3">
        <w:rPr>
          <w:noProof/>
          <w:lang w:val="fr-FR"/>
        </w:rPr>
        <w:t>de 217,</w:t>
      </w:r>
      <w:r w:rsidR="008342B8" w:rsidRPr="00DD03D6">
        <w:rPr>
          <w:noProof/>
          <w:lang w:val="fr-FR"/>
        </w:rPr>
        <w:t xml:space="preserve">80 </w:t>
      </w:r>
      <w:r w:rsidR="00D03AB3">
        <w:rPr>
          <w:noProof/>
          <w:lang w:val="fr-FR"/>
        </w:rPr>
        <w:t xml:space="preserve">euros et d’une prestation maximale de </w:t>
      </w:r>
      <w:r w:rsidR="008342B8" w:rsidRPr="00DD03D6">
        <w:rPr>
          <w:noProof/>
          <w:lang w:val="fr-FR"/>
        </w:rPr>
        <w:t>262</w:t>
      </w:r>
      <w:r w:rsidR="00D03AB3">
        <w:rPr>
          <w:noProof/>
          <w:lang w:val="fr-FR"/>
        </w:rPr>
        <w:t>,</w:t>
      </w:r>
      <w:r w:rsidR="008342B8" w:rsidRPr="00DD03D6">
        <w:rPr>
          <w:noProof/>
          <w:lang w:val="fr-FR"/>
        </w:rPr>
        <w:t>00</w:t>
      </w:r>
      <w:r w:rsidR="00D03AB3">
        <w:rPr>
          <w:noProof/>
          <w:lang w:val="fr-FR"/>
        </w:rPr>
        <w:t xml:space="preserve"> euros</w:t>
      </w:r>
      <w:r w:rsidR="008342B8" w:rsidRPr="00DD03D6">
        <w:rPr>
          <w:noProof/>
          <w:lang w:val="fr-FR"/>
        </w:rPr>
        <w:t xml:space="preserve">. </w:t>
      </w:r>
      <w:r w:rsidR="00D03AB3">
        <w:rPr>
          <w:noProof/>
          <w:lang w:val="fr-FR"/>
        </w:rPr>
        <w:t xml:space="preserve">Pour une travailleuse indépendante, le taux hebdomadaire est calculé en divisant </w:t>
      </w:r>
      <w:r w:rsidR="00181094">
        <w:rPr>
          <w:noProof/>
          <w:lang w:val="fr-FR"/>
        </w:rPr>
        <w:t xml:space="preserve">par 52 </w:t>
      </w:r>
      <w:r w:rsidR="00D03AB3">
        <w:rPr>
          <w:noProof/>
          <w:lang w:val="fr-FR"/>
        </w:rPr>
        <w:t xml:space="preserve">le revenu </w:t>
      </w:r>
      <w:r w:rsidR="00181094">
        <w:rPr>
          <w:noProof/>
          <w:lang w:val="fr-FR"/>
        </w:rPr>
        <w:t>de référence pendant l’année d’imposition considérée</w:t>
      </w:r>
      <w:r w:rsidR="008342B8" w:rsidRPr="00DD03D6">
        <w:rPr>
          <w:noProof/>
          <w:lang w:val="fr-FR"/>
        </w:rPr>
        <w:t xml:space="preserve">. </w:t>
      </w:r>
      <w:r w:rsidR="00181094">
        <w:rPr>
          <w:noProof/>
          <w:lang w:val="fr-FR"/>
        </w:rPr>
        <w:t xml:space="preserve">Là encore, </w:t>
      </w:r>
      <w:r w:rsidR="00181094" w:rsidRPr="00DD03D6">
        <w:rPr>
          <w:noProof/>
          <w:lang w:val="fr-FR"/>
        </w:rPr>
        <w:t>80</w:t>
      </w:r>
      <w:r w:rsidR="003F1ADB">
        <w:rPr>
          <w:noProof/>
          <w:lang w:val="fr-FR"/>
        </w:rPr>
        <w:t> %</w:t>
      </w:r>
      <w:r w:rsidR="00181094" w:rsidRPr="00DD03D6">
        <w:rPr>
          <w:noProof/>
          <w:lang w:val="fr-FR"/>
        </w:rPr>
        <w:t xml:space="preserve"> </w:t>
      </w:r>
      <w:r w:rsidR="00181094">
        <w:rPr>
          <w:noProof/>
          <w:lang w:val="fr-FR"/>
        </w:rPr>
        <w:t>d</w:t>
      </w:r>
      <w:r w:rsidR="00F30295">
        <w:rPr>
          <w:noProof/>
          <w:lang w:val="fr-FR"/>
        </w:rPr>
        <w:t>e ce</w:t>
      </w:r>
      <w:r w:rsidR="00181094">
        <w:rPr>
          <w:noProof/>
          <w:lang w:val="fr-FR"/>
        </w:rPr>
        <w:t xml:space="preserve"> montant est alors versé chaque semaine, sous réserve d’une prestation minimale</w:t>
      </w:r>
      <w:r w:rsidR="00181094" w:rsidRPr="00DD03D6">
        <w:rPr>
          <w:noProof/>
          <w:lang w:val="fr-FR"/>
        </w:rPr>
        <w:t xml:space="preserve"> </w:t>
      </w:r>
      <w:r w:rsidR="00181094">
        <w:rPr>
          <w:noProof/>
          <w:lang w:val="fr-FR"/>
        </w:rPr>
        <w:t>et d’une prestation maximale</w:t>
      </w:r>
      <w:r w:rsidR="008342B8" w:rsidRPr="00DD03D6">
        <w:rPr>
          <w:noProof/>
          <w:lang w:val="fr-FR"/>
        </w:rPr>
        <w:t>.</w:t>
      </w:r>
    </w:p>
    <w:p w:rsidR="008342B8" w:rsidRPr="00DD03D6" w:rsidRDefault="00181094" w:rsidP="00745F56">
      <w:pPr>
        <w:pStyle w:val="SingleTxtG"/>
        <w:numPr>
          <w:ilvl w:val="0"/>
          <w:numId w:val="3"/>
        </w:numPr>
        <w:ind w:left="1134" w:firstLine="0"/>
        <w:rPr>
          <w:noProof/>
          <w:lang w:val="fr-FR"/>
        </w:rPr>
      </w:pPr>
      <w:r>
        <w:rPr>
          <w:noProof/>
          <w:lang w:val="fr-FR"/>
        </w:rPr>
        <w:t>La loi de 1998 sur le congé p</w:t>
      </w:r>
      <w:r w:rsidR="008342B8" w:rsidRPr="00DD03D6">
        <w:rPr>
          <w:noProof/>
          <w:lang w:val="fr-FR"/>
        </w:rPr>
        <w:t xml:space="preserve">arental </w:t>
      </w:r>
      <w:r w:rsidR="00297781">
        <w:rPr>
          <w:noProof/>
          <w:lang w:val="fr-FR"/>
        </w:rPr>
        <w:t>a</w:t>
      </w:r>
      <w:r>
        <w:rPr>
          <w:noProof/>
          <w:lang w:val="fr-FR"/>
        </w:rPr>
        <w:t xml:space="preserve"> été modifiée par la loi de 2006 sur le même sujet</w:t>
      </w:r>
      <w:r w:rsidR="008342B8" w:rsidRPr="00DD03D6">
        <w:rPr>
          <w:noProof/>
          <w:lang w:val="fr-FR"/>
        </w:rPr>
        <w:t xml:space="preserve">. </w:t>
      </w:r>
      <w:r w:rsidR="00297781">
        <w:rPr>
          <w:noProof/>
          <w:lang w:val="fr-FR"/>
        </w:rPr>
        <w:t xml:space="preserve">Cette dernière a porté de </w:t>
      </w:r>
      <w:r w:rsidR="00B11AFE">
        <w:rPr>
          <w:noProof/>
          <w:lang w:val="fr-FR"/>
        </w:rPr>
        <w:t xml:space="preserve">5 </w:t>
      </w:r>
      <w:r w:rsidR="00297781">
        <w:rPr>
          <w:noProof/>
          <w:lang w:val="fr-FR"/>
        </w:rPr>
        <w:t xml:space="preserve">à </w:t>
      </w:r>
      <w:r w:rsidR="00B11AFE">
        <w:rPr>
          <w:noProof/>
          <w:lang w:val="fr-FR"/>
        </w:rPr>
        <w:t>8 </w:t>
      </w:r>
      <w:r w:rsidR="00297781">
        <w:rPr>
          <w:noProof/>
          <w:lang w:val="fr-FR"/>
        </w:rPr>
        <w:t xml:space="preserve">ans l’âge </w:t>
      </w:r>
      <w:r w:rsidR="00F30295">
        <w:rPr>
          <w:noProof/>
          <w:lang w:val="fr-FR"/>
        </w:rPr>
        <w:t xml:space="preserve">maximal </w:t>
      </w:r>
      <w:r w:rsidR="00297781">
        <w:rPr>
          <w:noProof/>
          <w:lang w:val="fr-FR"/>
        </w:rPr>
        <w:t xml:space="preserve">de l’enfant auquel un congé </w:t>
      </w:r>
      <w:r w:rsidR="008342B8" w:rsidRPr="00DD03D6">
        <w:rPr>
          <w:noProof/>
          <w:lang w:val="fr-FR"/>
        </w:rPr>
        <w:t xml:space="preserve">parental </w:t>
      </w:r>
      <w:r w:rsidR="00297781">
        <w:rPr>
          <w:noProof/>
          <w:lang w:val="fr-FR"/>
        </w:rPr>
        <w:t>peut être pris</w:t>
      </w:r>
      <w:r w:rsidR="008342B8" w:rsidRPr="00DD03D6">
        <w:rPr>
          <w:noProof/>
          <w:lang w:val="fr-FR"/>
        </w:rPr>
        <w:t xml:space="preserve">. </w:t>
      </w:r>
      <w:r w:rsidR="00297781">
        <w:rPr>
          <w:noProof/>
          <w:lang w:val="fr-FR"/>
        </w:rPr>
        <w:t>Dans le cas d’un enfant handicapé, le congé parental peut être pris j</w:t>
      </w:r>
      <w:r w:rsidR="00A672C1">
        <w:rPr>
          <w:noProof/>
          <w:lang w:val="fr-FR"/>
        </w:rPr>
        <w:t>us</w:t>
      </w:r>
      <w:r w:rsidR="00297781">
        <w:rPr>
          <w:noProof/>
          <w:lang w:val="fr-FR"/>
        </w:rPr>
        <w:t>qu’à ce qu’il ait atteint l’âge de 16 ans</w:t>
      </w:r>
      <w:r w:rsidR="008342B8" w:rsidRPr="00DD03D6">
        <w:rPr>
          <w:noProof/>
          <w:lang w:val="fr-FR"/>
        </w:rPr>
        <w:t xml:space="preserve">. </w:t>
      </w:r>
      <w:r w:rsidR="00A672C1">
        <w:rPr>
          <w:noProof/>
          <w:lang w:val="fr-FR"/>
        </w:rPr>
        <w:t>Le congé p</w:t>
      </w:r>
      <w:r w:rsidR="008342B8" w:rsidRPr="00DD03D6">
        <w:rPr>
          <w:noProof/>
          <w:lang w:val="fr-FR"/>
        </w:rPr>
        <w:t xml:space="preserve">arental </w:t>
      </w:r>
      <w:r w:rsidR="00A672C1">
        <w:rPr>
          <w:noProof/>
          <w:lang w:val="fr-FR"/>
        </w:rPr>
        <w:t xml:space="preserve">est disponible pour chaque enfant et représente </w:t>
      </w:r>
      <w:r w:rsidR="008342B8" w:rsidRPr="00DD03D6">
        <w:rPr>
          <w:noProof/>
          <w:lang w:val="fr-FR"/>
        </w:rPr>
        <w:t xml:space="preserve">14 </w:t>
      </w:r>
      <w:r w:rsidR="00A672C1">
        <w:rPr>
          <w:noProof/>
          <w:lang w:val="fr-FR"/>
        </w:rPr>
        <w:t>semaines ouvrées par enfant</w:t>
      </w:r>
      <w:r w:rsidR="008342B8" w:rsidRPr="00DD03D6">
        <w:rPr>
          <w:noProof/>
          <w:lang w:val="fr-FR"/>
        </w:rPr>
        <w:t xml:space="preserve">. </w:t>
      </w:r>
      <w:r w:rsidR="00A672C1">
        <w:rPr>
          <w:noProof/>
          <w:lang w:val="fr-FR"/>
        </w:rPr>
        <w:t xml:space="preserve">Les deux </w:t>
      </w:r>
      <w:r w:rsidR="008342B8" w:rsidRPr="00DD03D6">
        <w:rPr>
          <w:noProof/>
          <w:lang w:val="fr-FR"/>
        </w:rPr>
        <w:t xml:space="preserve">parents </w:t>
      </w:r>
      <w:r w:rsidR="00A672C1">
        <w:rPr>
          <w:noProof/>
          <w:lang w:val="fr-FR"/>
        </w:rPr>
        <w:t>ont un droit égal et distinct au congé parental</w:t>
      </w:r>
      <w:r w:rsidR="008342B8" w:rsidRPr="00DD03D6">
        <w:rPr>
          <w:noProof/>
          <w:lang w:val="fr-FR"/>
        </w:rPr>
        <w:t xml:space="preserve">. </w:t>
      </w:r>
      <w:r w:rsidR="00A672C1">
        <w:rPr>
          <w:noProof/>
          <w:lang w:val="fr-FR"/>
        </w:rPr>
        <w:t>S’ils travaillent tous les deux pour le même employeur, l’un des deux parents peut céder son droit à congé parental à l’autre avec l’accord de l’employeur</w:t>
      </w:r>
      <w:r w:rsidR="008342B8" w:rsidRPr="00DD03D6">
        <w:rPr>
          <w:noProof/>
          <w:lang w:val="fr-FR"/>
        </w:rPr>
        <w:t>.</w:t>
      </w:r>
    </w:p>
    <w:p w:rsidR="008342B8" w:rsidRPr="00DD03D6" w:rsidRDefault="00E75A94" w:rsidP="005F3C76">
      <w:pPr>
        <w:pStyle w:val="SingleTxtG"/>
        <w:numPr>
          <w:ilvl w:val="0"/>
          <w:numId w:val="3"/>
        </w:numPr>
        <w:ind w:left="1134" w:firstLine="0"/>
        <w:rPr>
          <w:noProof/>
          <w:lang w:val="fr-FR"/>
        </w:rPr>
      </w:pPr>
      <w:r>
        <w:rPr>
          <w:noProof/>
          <w:lang w:val="fr-FR"/>
        </w:rPr>
        <w:t xml:space="preserve">La peine de mort a été abolie en droit irlandais en </w:t>
      </w:r>
      <w:r w:rsidR="008342B8" w:rsidRPr="00DD03D6">
        <w:rPr>
          <w:noProof/>
          <w:lang w:val="fr-FR"/>
        </w:rPr>
        <w:t xml:space="preserve">1990. </w:t>
      </w:r>
      <w:r>
        <w:rPr>
          <w:noProof/>
          <w:lang w:val="fr-FR"/>
        </w:rPr>
        <w:t>La loi de 2001 sur le vingt et unième amendement à la</w:t>
      </w:r>
      <w:r w:rsidR="008342B8" w:rsidRPr="00DD03D6">
        <w:rPr>
          <w:noProof/>
          <w:lang w:val="fr-FR"/>
        </w:rPr>
        <w:t xml:space="preserve"> Constitution </w:t>
      </w:r>
      <w:r>
        <w:rPr>
          <w:noProof/>
          <w:lang w:val="fr-FR"/>
        </w:rPr>
        <w:t xml:space="preserve">a supprimé toutes les mentions de la peine de mort qui se trouvaient dans la </w:t>
      </w:r>
      <w:r w:rsidR="008342B8" w:rsidRPr="00DD03D6">
        <w:rPr>
          <w:noProof/>
          <w:lang w:val="fr-FR"/>
        </w:rPr>
        <w:t>Constitution.</w:t>
      </w:r>
    </w:p>
    <w:p w:rsidR="008342B8" w:rsidRPr="00DD03D6" w:rsidRDefault="00071C28" w:rsidP="005F3C76">
      <w:pPr>
        <w:pStyle w:val="SingleTxtG"/>
        <w:numPr>
          <w:ilvl w:val="0"/>
          <w:numId w:val="3"/>
        </w:numPr>
        <w:ind w:left="1134" w:firstLine="0"/>
        <w:rPr>
          <w:noProof/>
          <w:lang w:val="fr-FR"/>
        </w:rPr>
      </w:pPr>
      <w:r>
        <w:rPr>
          <w:noProof/>
          <w:lang w:val="fr-FR"/>
        </w:rPr>
        <w:t>Tous les décès, y compris ceux des enfants, sont enregistrés au niveau central dans le registre des naissances, des mariages et des décès</w:t>
      </w:r>
      <w:r w:rsidR="008342B8" w:rsidRPr="00DD03D6">
        <w:rPr>
          <w:noProof/>
          <w:lang w:val="fr-FR"/>
        </w:rPr>
        <w:t xml:space="preserve">. </w:t>
      </w:r>
      <w:r>
        <w:rPr>
          <w:noProof/>
          <w:lang w:val="fr-FR"/>
        </w:rPr>
        <w:t>Un décès doit être enregistré dans un délai de trois mois par un membre de la famille du défunt, qui reçoit un formulaire d’avis de décès du médecin traitant ou de l’hôpital</w:t>
      </w:r>
      <w:r w:rsidR="008342B8" w:rsidRPr="00DD03D6">
        <w:rPr>
          <w:noProof/>
          <w:lang w:val="fr-FR"/>
        </w:rPr>
        <w:t xml:space="preserve">. </w:t>
      </w:r>
      <w:r w:rsidR="00030F53">
        <w:rPr>
          <w:noProof/>
          <w:lang w:val="fr-FR"/>
        </w:rPr>
        <w:t>Lorsque le médecin qui fournit ce formulaire n’a pas vu le défunt pendant les 28 jours ayant précéd</w:t>
      </w:r>
      <w:r w:rsidR="003577F3">
        <w:rPr>
          <w:noProof/>
          <w:lang w:val="fr-FR"/>
        </w:rPr>
        <w:t>é</w:t>
      </w:r>
      <w:r w:rsidR="00030F53">
        <w:rPr>
          <w:noProof/>
          <w:lang w:val="fr-FR"/>
        </w:rPr>
        <w:t xml:space="preserve"> le décès ou lorsque la cause du décès soulève des préoccupations, il peut saisir le Bureau du </w:t>
      </w:r>
      <w:r w:rsidR="00030F53">
        <w:rPr>
          <w:i/>
          <w:noProof/>
          <w:lang w:val="fr-FR"/>
        </w:rPr>
        <w:t>coroner</w:t>
      </w:r>
      <w:r w:rsidR="00030F53">
        <w:rPr>
          <w:noProof/>
          <w:lang w:val="fr-FR"/>
        </w:rPr>
        <w:t>, qui décidera s’il y a lieu de pratiquer une autopsie.</w:t>
      </w:r>
    </w:p>
    <w:p w:rsidR="008342B8" w:rsidRPr="00DD03D6" w:rsidRDefault="003577F3" w:rsidP="005F3C76">
      <w:pPr>
        <w:pStyle w:val="SingleTxtG"/>
        <w:numPr>
          <w:ilvl w:val="0"/>
          <w:numId w:val="3"/>
        </w:numPr>
        <w:ind w:left="1134" w:firstLine="0"/>
        <w:rPr>
          <w:noProof/>
          <w:lang w:val="fr-FR"/>
        </w:rPr>
      </w:pPr>
      <w:r>
        <w:rPr>
          <w:noProof/>
          <w:lang w:val="fr-FR"/>
        </w:rPr>
        <w:t>Au cours des cinq dernières années, l</w:t>
      </w:r>
      <w:r w:rsidR="00030F53">
        <w:rPr>
          <w:noProof/>
          <w:lang w:val="fr-FR"/>
        </w:rPr>
        <w:t xml:space="preserve">es taux de mortalité infanto-juvénile </w:t>
      </w:r>
      <w:r>
        <w:rPr>
          <w:noProof/>
          <w:lang w:val="fr-FR"/>
        </w:rPr>
        <w:t xml:space="preserve">sont demeurés relativement stables en Irlande, le taux le plus élevé enregistré récemment ayant été de </w:t>
      </w:r>
      <w:r w:rsidR="008342B8" w:rsidRPr="00DD03D6">
        <w:rPr>
          <w:noProof/>
          <w:lang w:val="fr-FR"/>
        </w:rPr>
        <w:t>4</w:t>
      </w:r>
      <w:r>
        <w:rPr>
          <w:noProof/>
          <w:lang w:val="fr-FR"/>
        </w:rPr>
        <w:t>,</w:t>
      </w:r>
      <w:r w:rsidR="008342B8" w:rsidRPr="00DD03D6">
        <w:rPr>
          <w:noProof/>
          <w:lang w:val="fr-FR"/>
        </w:rPr>
        <w:t>3</w:t>
      </w:r>
      <w:r w:rsidR="003F1ADB">
        <w:rPr>
          <w:noProof/>
          <w:lang w:val="fr-FR"/>
        </w:rPr>
        <w:t> %</w:t>
      </w:r>
      <w:r w:rsidR="008342B8" w:rsidRPr="00DD03D6">
        <w:rPr>
          <w:noProof/>
          <w:lang w:val="fr-FR"/>
        </w:rPr>
        <w:t xml:space="preserve"> </w:t>
      </w:r>
      <w:r>
        <w:rPr>
          <w:noProof/>
          <w:lang w:val="fr-FR"/>
        </w:rPr>
        <w:t xml:space="preserve">en </w:t>
      </w:r>
      <w:r w:rsidR="008342B8" w:rsidRPr="00DD03D6">
        <w:rPr>
          <w:noProof/>
          <w:lang w:val="fr-FR"/>
        </w:rPr>
        <w:t xml:space="preserve">2008 </w:t>
      </w:r>
      <w:r>
        <w:rPr>
          <w:noProof/>
          <w:lang w:val="fr-FR"/>
        </w:rPr>
        <w:t xml:space="preserve">et le taux le plus faible – </w:t>
      </w:r>
      <w:r w:rsidR="008342B8" w:rsidRPr="00DD03D6">
        <w:rPr>
          <w:noProof/>
          <w:lang w:val="fr-FR"/>
        </w:rPr>
        <w:t>3</w:t>
      </w:r>
      <w:r>
        <w:rPr>
          <w:noProof/>
          <w:lang w:val="fr-FR"/>
        </w:rPr>
        <w:t>,</w:t>
      </w:r>
      <w:r w:rsidR="008342B8" w:rsidRPr="00DD03D6">
        <w:rPr>
          <w:noProof/>
          <w:lang w:val="fr-FR"/>
        </w:rPr>
        <w:t>4</w:t>
      </w:r>
      <w:r w:rsidR="003F1ADB">
        <w:rPr>
          <w:noProof/>
          <w:lang w:val="fr-FR"/>
        </w:rPr>
        <w:t> %</w:t>
      </w:r>
      <w:r w:rsidR="008F0074">
        <w:rPr>
          <w:noProof/>
          <w:lang w:val="fr-FR"/>
        </w:rPr>
        <w:t xml:space="preserve"> – </w:t>
      </w:r>
      <w:r>
        <w:rPr>
          <w:noProof/>
          <w:lang w:val="fr-FR"/>
        </w:rPr>
        <w:t xml:space="preserve">ayant été enregistré en </w:t>
      </w:r>
      <w:r w:rsidR="008342B8" w:rsidRPr="00DD03D6">
        <w:rPr>
          <w:noProof/>
          <w:lang w:val="fr-FR"/>
        </w:rPr>
        <w:t>2011.</w:t>
      </w:r>
    </w:p>
    <w:p w:rsidR="008342B8" w:rsidRPr="00DD03D6" w:rsidRDefault="003577F3" w:rsidP="00462BDE">
      <w:pPr>
        <w:pStyle w:val="SingleTxtG"/>
        <w:numPr>
          <w:ilvl w:val="0"/>
          <w:numId w:val="3"/>
        </w:numPr>
        <w:ind w:left="1134" w:firstLine="0"/>
        <w:rPr>
          <w:noProof/>
          <w:lang w:val="fr-FR"/>
        </w:rPr>
      </w:pPr>
      <w:r>
        <w:rPr>
          <w:noProof/>
          <w:lang w:val="fr-FR"/>
        </w:rPr>
        <w:lastRenderedPageBreak/>
        <w:t>E</w:t>
      </w:r>
      <w:r w:rsidR="008342B8" w:rsidRPr="00DD03D6">
        <w:rPr>
          <w:noProof/>
          <w:lang w:val="fr-FR"/>
        </w:rPr>
        <w:t xml:space="preserve">n 2010, </w:t>
      </w:r>
      <w:r>
        <w:rPr>
          <w:noProof/>
          <w:lang w:val="fr-FR"/>
        </w:rPr>
        <w:t>le Service des statistiques de l’état civil du Bureau c</w:t>
      </w:r>
      <w:r w:rsidR="008342B8" w:rsidRPr="00DD03D6">
        <w:rPr>
          <w:noProof/>
          <w:lang w:val="fr-FR"/>
        </w:rPr>
        <w:t xml:space="preserve">entral </w:t>
      </w:r>
      <w:r>
        <w:rPr>
          <w:noProof/>
          <w:lang w:val="fr-FR"/>
        </w:rPr>
        <w:t>de s</w:t>
      </w:r>
      <w:r w:rsidR="008342B8" w:rsidRPr="00DD03D6">
        <w:rPr>
          <w:noProof/>
          <w:lang w:val="fr-FR"/>
        </w:rPr>
        <w:t>tatisti</w:t>
      </w:r>
      <w:r>
        <w:rPr>
          <w:noProof/>
          <w:lang w:val="fr-FR"/>
        </w:rPr>
        <w:t xml:space="preserve">que a signalé trois décès d’enfant âgés de moins de 15 ans par </w:t>
      </w:r>
      <w:r w:rsidR="008342B8" w:rsidRPr="00DD03D6">
        <w:rPr>
          <w:noProof/>
          <w:lang w:val="fr-FR"/>
        </w:rPr>
        <w:t>homicide o</w:t>
      </w:r>
      <w:r>
        <w:rPr>
          <w:noProof/>
          <w:lang w:val="fr-FR"/>
        </w:rPr>
        <w:t>u agression</w:t>
      </w:r>
      <w:r w:rsidR="008342B8" w:rsidRPr="00DD03D6">
        <w:rPr>
          <w:noProof/>
          <w:lang w:val="fr-FR"/>
        </w:rPr>
        <w:t>.</w:t>
      </w:r>
    </w:p>
    <w:p w:rsidR="008342B8" w:rsidRPr="00DD03D6" w:rsidRDefault="003D08BC" w:rsidP="005F3C76">
      <w:pPr>
        <w:pStyle w:val="SingleTxtG"/>
        <w:numPr>
          <w:ilvl w:val="0"/>
          <w:numId w:val="3"/>
        </w:numPr>
        <w:ind w:left="1134" w:firstLine="0"/>
        <w:rPr>
          <w:noProof/>
          <w:lang w:val="fr-FR"/>
        </w:rPr>
      </w:pPr>
      <w:r>
        <w:rPr>
          <w:noProof/>
          <w:lang w:val="fr-FR"/>
        </w:rPr>
        <w:t>L’i</w:t>
      </w:r>
      <w:r w:rsidR="008342B8" w:rsidRPr="00DD03D6">
        <w:rPr>
          <w:noProof/>
          <w:lang w:val="fr-FR"/>
        </w:rPr>
        <w:t xml:space="preserve">nfanticide </w:t>
      </w:r>
      <w:r>
        <w:rPr>
          <w:noProof/>
          <w:lang w:val="fr-FR"/>
        </w:rPr>
        <w:t xml:space="preserve">ne constitue pas un problème </w:t>
      </w:r>
      <w:r w:rsidR="00195BFE">
        <w:rPr>
          <w:noProof/>
          <w:lang w:val="fr-FR"/>
        </w:rPr>
        <w:t>majeur</w:t>
      </w:r>
      <w:r>
        <w:rPr>
          <w:noProof/>
          <w:lang w:val="fr-FR"/>
        </w:rPr>
        <w:t xml:space="preserve"> en </w:t>
      </w:r>
      <w:r w:rsidR="008342B8" w:rsidRPr="00DD03D6">
        <w:rPr>
          <w:noProof/>
          <w:lang w:val="fr-FR"/>
        </w:rPr>
        <w:t>Irland</w:t>
      </w:r>
      <w:r>
        <w:rPr>
          <w:noProof/>
          <w:lang w:val="fr-FR"/>
        </w:rPr>
        <w:t>e</w:t>
      </w:r>
      <w:r w:rsidR="008342B8" w:rsidRPr="00DD03D6">
        <w:rPr>
          <w:noProof/>
          <w:lang w:val="fr-FR"/>
        </w:rPr>
        <w:t xml:space="preserve">. </w:t>
      </w:r>
      <w:r>
        <w:rPr>
          <w:noProof/>
          <w:lang w:val="fr-FR"/>
        </w:rPr>
        <w:t xml:space="preserve">Entre </w:t>
      </w:r>
      <w:r w:rsidR="008342B8" w:rsidRPr="00DD03D6">
        <w:rPr>
          <w:noProof/>
          <w:lang w:val="fr-FR"/>
        </w:rPr>
        <w:t xml:space="preserve">2006 </w:t>
      </w:r>
      <w:r>
        <w:rPr>
          <w:noProof/>
          <w:lang w:val="fr-FR"/>
        </w:rPr>
        <w:t>et</w:t>
      </w:r>
      <w:r w:rsidR="008342B8" w:rsidRPr="00DD03D6">
        <w:rPr>
          <w:noProof/>
          <w:lang w:val="fr-FR"/>
        </w:rPr>
        <w:t xml:space="preserve"> 2011, </w:t>
      </w:r>
      <w:r>
        <w:rPr>
          <w:noProof/>
          <w:lang w:val="fr-FR"/>
        </w:rPr>
        <w:t>un seul cas d’</w:t>
      </w:r>
      <w:r w:rsidR="008342B8" w:rsidRPr="00DD03D6">
        <w:rPr>
          <w:noProof/>
          <w:lang w:val="fr-FR"/>
        </w:rPr>
        <w:t xml:space="preserve">infanticide </w:t>
      </w:r>
      <w:r>
        <w:rPr>
          <w:noProof/>
          <w:lang w:val="fr-FR"/>
        </w:rPr>
        <w:t>a été enregistré dans le pays</w:t>
      </w:r>
      <w:r w:rsidR="008342B8" w:rsidRPr="00DD03D6">
        <w:rPr>
          <w:noProof/>
          <w:lang w:val="fr-FR"/>
        </w:rPr>
        <w:t>.</w:t>
      </w:r>
    </w:p>
    <w:p w:rsidR="008342B8" w:rsidRPr="00DD03D6" w:rsidRDefault="003D08BC" w:rsidP="009757F5">
      <w:pPr>
        <w:pStyle w:val="SingleTxtG"/>
        <w:numPr>
          <w:ilvl w:val="0"/>
          <w:numId w:val="3"/>
        </w:numPr>
        <w:ind w:left="1134" w:firstLine="0"/>
        <w:rPr>
          <w:noProof/>
          <w:lang w:val="fr-FR"/>
        </w:rPr>
      </w:pPr>
      <w:r>
        <w:rPr>
          <w:noProof/>
          <w:lang w:val="fr-FR"/>
        </w:rPr>
        <w:t xml:space="preserve">Malheureusement, le </w:t>
      </w:r>
      <w:r w:rsidR="008342B8" w:rsidRPr="00DD03D6">
        <w:rPr>
          <w:noProof/>
          <w:lang w:val="fr-FR"/>
        </w:rPr>
        <w:t xml:space="preserve">suicide </w:t>
      </w:r>
      <w:r>
        <w:rPr>
          <w:noProof/>
          <w:lang w:val="fr-FR"/>
        </w:rPr>
        <w:t xml:space="preserve">est toujours un problème </w:t>
      </w:r>
      <w:r w:rsidR="00195BFE">
        <w:rPr>
          <w:noProof/>
          <w:lang w:val="fr-FR"/>
        </w:rPr>
        <w:t xml:space="preserve">majeur en </w:t>
      </w:r>
      <w:r w:rsidR="008342B8" w:rsidRPr="00DD03D6">
        <w:rPr>
          <w:noProof/>
          <w:lang w:val="fr-FR"/>
        </w:rPr>
        <w:t>Irland</w:t>
      </w:r>
      <w:r w:rsidR="00195BFE">
        <w:rPr>
          <w:noProof/>
          <w:lang w:val="fr-FR"/>
        </w:rPr>
        <w:t>e</w:t>
      </w:r>
      <w:r w:rsidR="008342B8" w:rsidRPr="00DD03D6">
        <w:rPr>
          <w:noProof/>
          <w:lang w:val="fr-FR"/>
        </w:rPr>
        <w:t xml:space="preserve">. </w:t>
      </w:r>
      <w:r w:rsidR="00195BFE">
        <w:rPr>
          <w:noProof/>
          <w:lang w:val="fr-FR"/>
        </w:rPr>
        <w:t xml:space="preserve">Le Bureau central de statistique a signalé </w:t>
      </w:r>
      <w:r w:rsidR="008342B8" w:rsidRPr="00DD03D6">
        <w:rPr>
          <w:noProof/>
          <w:lang w:val="fr-FR"/>
        </w:rPr>
        <w:t xml:space="preserve">16 suicides </w:t>
      </w:r>
      <w:r w:rsidR="00195BFE">
        <w:rPr>
          <w:noProof/>
          <w:lang w:val="fr-FR"/>
        </w:rPr>
        <w:t xml:space="preserve">d’enfants âgés de moins de </w:t>
      </w:r>
      <w:r w:rsidR="008342B8" w:rsidRPr="00DD03D6">
        <w:rPr>
          <w:noProof/>
          <w:lang w:val="fr-FR"/>
        </w:rPr>
        <w:t xml:space="preserve">18 </w:t>
      </w:r>
      <w:r w:rsidR="00195BFE">
        <w:rPr>
          <w:noProof/>
          <w:lang w:val="fr-FR"/>
        </w:rPr>
        <w:t>ans e</w:t>
      </w:r>
      <w:r w:rsidR="008342B8" w:rsidRPr="00DD03D6">
        <w:rPr>
          <w:noProof/>
          <w:lang w:val="fr-FR"/>
        </w:rPr>
        <w:t xml:space="preserve">n 2011 </w:t>
      </w:r>
      <w:r w:rsidR="00195BFE">
        <w:rPr>
          <w:noProof/>
          <w:lang w:val="fr-FR"/>
        </w:rPr>
        <w:t>et la Fondation n</w:t>
      </w:r>
      <w:r w:rsidR="008342B8" w:rsidRPr="00DD03D6">
        <w:rPr>
          <w:noProof/>
          <w:lang w:val="fr-FR"/>
        </w:rPr>
        <w:t>ational</w:t>
      </w:r>
      <w:r w:rsidR="00195BFE">
        <w:rPr>
          <w:noProof/>
          <w:lang w:val="fr-FR"/>
        </w:rPr>
        <w:t>e de recherche sur le s</w:t>
      </w:r>
      <w:r w:rsidR="008342B8" w:rsidRPr="00DD03D6">
        <w:rPr>
          <w:noProof/>
          <w:lang w:val="fr-FR"/>
        </w:rPr>
        <w:t xml:space="preserve">uicide </w:t>
      </w:r>
      <w:r w:rsidR="00195BFE">
        <w:rPr>
          <w:noProof/>
          <w:lang w:val="fr-FR"/>
        </w:rPr>
        <w:t xml:space="preserve">a signalé </w:t>
      </w:r>
      <w:r w:rsidR="008342B8" w:rsidRPr="00DD03D6">
        <w:rPr>
          <w:noProof/>
          <w:lang w:val="fr-FR"/>
        </w:rPr>
        <w:t xml:space="preserve">904 </w:t>
      </w:r>
      <w:r w:rsidR="00195BFE">
        <w:rPr>
          <w:noProof/>
          <w:lang w:val="fr-FR"/>
        </w:rPr>
        <w:t xml:space="preserve">cas d’enfants âgés de </w:t>
      </w:r>
      <w:r w:rsidR="008342B8" w:rsidRPr="00DD03D6">
        <w:rPr>
          <w:noProof/>
          <w:lang w:val="fr-FR"/>
        </w:rPr>
        <w:t xml:space="preserve">10 </w:t>
      </w:r>
      <w:r w:rsidR="00195BFE">
        <w:rPr>
          <w:noProof/>
          <w:lang w:val="fr-FR"/>
        </w:rPr>
        <w:t xml:space="preserve">à </w:t>
      </w:r>
      <w:r w:rsidR="00B11AFE">
        <w:rPr>
          <w:noProof/>
          <w:lang w:val="fr-FR"/>
        </w:rPr>
        <w:t>17 </w:t>
      </w:r>
      <w:r w:rsidR="00195BFE">
        <w:rPr>
          <w:noProof/>
          <w:lang w:val="fr-FR"/>
        </w:rPr>
        <w:t xml:space="preserve">ans se présentant aux services des urgences des hôpitaux à la suite </w:t>
      </w:r>
      <w:r w:rsidR="007C053E">
        <w:rPr>
          <w:noProof/>
          <w:lang w:val="fr-FR"/>
        </w:rPr>
        <w:t>d’une automutilation</w:t>
      </w:r>
      <w:r w:rsidR="008342B8" w:rsidRPr="00DD03D6">
        <w:rPr>
          <w:noProof/>
          <w:lang w:val="fr-FR"/>
        </w:rPr>
        <w:t xml:space="preserve">. </w:t>
      </w:r>
      <w:r w:rsidR="007C053E">
        <w:rPr>
          <w:noProof/>
          <w:lang w:val="fr-FR"/>
        </w:rPr>
        <w:t xml:space="preserve">Chez les enfants âgés de </w:t>
      </w:r>
      <w:r w:rsidR="003C136D">
        <w:rPr>
          <w:noProof/>
          <w:lang w:val="fr-FR"/>
        </w:rPr>
        <w:t xml:space="preserve">zéro à 17 ans, les chiffres du </w:t>
      </w:r>
      <w:r w:rsidR="007C053E">
        <w:rPr>
          <w:noProof/>
          <w:lang w:val="fr-FR"/>
        </w:rPr>
        <w:t>s</w:t>
      </w:r>
      <w:r w:rsidR="008342B8" w:rsidRPr="00DD03D6">
        <w:rPr>
          <w:noProof/>
          <w:lang w:val="fr-FR"/>
        </w:rPr>
        <w:t xml:space="preserve">uicide </w:t>
      </w:r>
      <w:r w:rsidR="003C136D">
        <w:rPr>
          <w:noProof/>
          <w:lang w:val="fr-FR"/>
        </w:rPr>
        <w:t xml:space="preserve">en </w:t>
      </w:r>
      <w:r w:rsidR="008342B8" w:rsidRPr="00DD03D6">
        <w:rPr>
          <w:noProof/>
          <w:lang w:val="fr-FR"/>
        </w:rPr>
        <w:t>Irland</w:t>
      </w:r>
      <w:r w:rsidR="003C136D">
        <w:rPr>
          <w:noProof/>
          <w:lang w:val="fr-FR"/>
        </w:rPr>
        <w:t>e</w:t>
      </w:r>
      <w:r w:rsidR="008342B8" w:rsidRPr="00DD03D6">
        <w:rPr>
          <w:noProof/>
          <w:lang w:val="fr-FR"/>
        </w:rPr>
        <w:t xml:space="preserve"> </w:t>
      </w:r>
      <w:r w:rsidR="003C136D">
        <w:rPr>
          <w:noProof/>
          <w:lang w:val="fr-FR"/>
        </w:rPr>
        <w:t xml:space="preserve">sont les suivants : </w:t>
      </w:r>
    </w:p>
    <w:p w:rsidR="008342B8" w:rsidRPr="00DD03D6" w:rsidRDefault="008342B8" w:rsidP="00B11AFE">
      <w:pPr>
        <w:pStyle w:val="Bullet1G"/>
        <w:tabs>
          <w:tab w:val="clear" w:pos="1701"/>
        </w:tabs>
        <w:ind w:left="1843" w:hanging="142"/>
        <w:rPr>
          <w:noProof/>
          <w:lang w:val="fr-FR"/>
        </w:rPr>
      </w:pPr>
      <w:r w:rsidRPr="00DD03D6">
        <w:rPr>
          <w:noProof/>
          <w:lang w:val="fr-FR"/>
        </w:rPr>
        <w:t>2011 = 16 (</w:t>
      </w:r>
      <w:r w:rsidR="003C136D">
        <w:rPr>
          <w:noProof/>
          <w:lang w:val="fr-FR"/>
        </w:rPr>
        <w:t>chiffre provisoire</w:t>
      </w:r>
      <w:r w:rsidRPr="00DD03D6">
        <w:rPr>
          <w:noProof/>
          <w:lang w:val="fr-FR"/>
        </w:rPr>
        <w:t>)</w:t>
      </w:r>
      <w:r w:rsidR="008C30C1" w:rsidRPr="00DD03D6">
        <w:rPr>
          <w:noProof/>
          <w:lang w:val="fr-FR"/>
        </w:rPr>
        <w:t>;</w:t>
      </w:r>
    </w:p>
    <w:p w:rsidR="008342B8" w:rsidRPr="00DD03D6" w:rsidRDefault="008342B8" w:rsidP="00B11AFE">
      <w:pPr>
        <w:pStyle w:val="Bullet1G"/>
        <w:tabs>
          <w:tab w:val="clear" w:pos="1701"/>
        </w:tabs>
        <w:ind w:left="1843" w:hanging="142"/>
        <w:rPr>
          <w:noProof/>
          <w:lang w:val="fr-FR"/>
        </w:rPr>
      </w:pPr>
      <w:r w:rsidRPr="00DD03D6">
        <w:rPr>
          <w:noProof/>
          <w:lang w:val="fr-FR"/>
        </w:rPr>
        <w:t>2010 = 15</w:t>
      </w:r>
      <w:r w:rsidR="008C30C1" w:rsidRPr="00DD03D6">
        <w:rPr>
          <w:noProof/>
          <w:lang w:val="fr-FR"/>
        </w:rPr>
        <w:t>;</w:t>
      </w:r>
    </w:p>
    <w:p w:rsidR="008342B8" w:rsidRPr="00DD03D6" w:rsidRDefault="008342B8" w:rsidP="00B11AFE">
      <w:pPr>
        <w:pStyle w:val="Bullet1G"/>
        <w:tabs>
          <w:tab w:val="clear" w:pos="1701"/>
        </w:tabs>
        <w:ind w:left="1843" w:hanging="142"/>
        <w:rPr>
          <w:noProof/>
          <w:lang w:val="fr-FR"/>
        </w:rPr>
      </w:pPr>
      <w:r w:rsidRPr="00DD03D6">
        <w:rPr>
          <w:noProof/>
          <w:lang w:val="fr-FR"/>
        </w:rPr>
        <w:t>2009 = 19</w:t>
      </w:r>
      <w:r w:rsidR="008C30C1" w:rsidRPr="00DD03D6">
        <w:rPr>
          <w:noProof/>
          <w:lang w:val="fr-FR"/>
        </w:rPr>
        <w:t>;</w:t>
      </w:r>
    </w:p>
    <w:p w:rsidR="008342B8" w:rsidRPr="00DD03D6" w:rsidRDefault="008342B8" w:rsidP="00B11AFE">
      <w:pPr>
        <w:pStyle w:val="Bullet1G"/>
        <w:tabs>
          <w:tab w:val="clear" w:pos="1701"/>
        </w:tabs>
        <w:ind w:left="1843" w:hanging="142"/>
        <w:rPr>
          <w:noProof/>
          <w:lang w:val="fr-FR"/>
        </w:rPr>
      </w:pPr>
      <w:r w:rsidRPr="00DD03D6">
        <w:rPr>
          <w:noProof/>
          <w:lang w:val="fr-FR"/>
        </w:rPr>
        <w:t>2008 = 25</w:t>
      </w:r>
      <w:r w:rsidR="008C30C1" w:rsidRPr="00DD03D6">
        <w:rPr>
          <w:noProof/>
          <w:lang w:val="fr-FR"/>
        </w:rPr>
        <w:t>;</w:t>
      </w:r>
    </w:p>
    <w:p w:rsidR="008342B8" w:rsidRPr="00DD03D6" w:rsidRDefault="008342B8" w:rsidP="00B11AFE">
      <w:pPr>
        <w:pStyle w:val="Bullet1G"/>
        <w:tabs>
          <w:tab w:val="clear" w:pos="1701"/>
        </w:tabs>
        <w:ind w:left="1843" w:hanging="142"/>
        <w:rPr>
          <w:noProof/>
          <w:lang w:val="fr-FR"/>
        </w:rPr>
      </w:pPr>
      <w:r w:rsidRPr="00DD03D6">
        <w:rPr>
          <w:noProof/>
          <w:lang w:val="fr-FR"/>
        </w:rPr>
        <w:t>2007 = 16</w:t>
      </w:r>
      <w:r w:rsidR="008C30C1" w:rsidRPr="00DD03D6">
        <w:rPr>
          <w:noProof/>
          <w:lang w:val="fr-FR"/>
        </w:rPr>
        <w:t>;</w:t>
      </w:r>
    </w:p>
    <w:p w:rsidR="008342B8" w:rsidRPr="00DD03D6" w:rsidRDefault="008342B8" w:rsidP="00B11AFE">
      <w:pPr>
        <w:pStyle w:val="Bullet1G"/>
        <w:tabs>
          <w:tab w:val="clear" w:pos="1701"/>
        </w:tabs>
        <w:ind w:left="1843" w:hanging="142"/>
        <w:rPr>
          <w:noProof/>
          <w:lang w:val="fr-FR"/>
        </w:rPr>
      </w:pPr>
      <w:r w:rsidRPr="00DD03D6">
        <w:rPr>
          <w:noProof/>
          <w:lang w:val="fr-FR"/>
        </w:rPr>
        <w:t>2006 = 18</w:t>
      </w:r>
      <w:r w:rsidR="008C30C1" w:rsidRPr="00DD03D6">
        <w:rPr>
          <w:noProof/>
          <w:lang w:val="fr-FR"/>
        </w:rPr>
        <w:t>.</w:t>
      </w:r>
    </w:p>
    <w:p w:rsidR="008342B8" w:rsidRPr="00DD03D6" w:rsidRDefault="003C136D" w:rsidP="005F3C76">
      <w:pPr>
        <w:pStyle w:val="SingleTxtG"/>
        <w:numPr>
          <w:ilvl w:val="0"/>
          <w:numId w:val="3"/>
        </w:numPr>
        <w:ind w:left="1134" w:firstLine="0"/>
        <w:rPr>
          <w:noProof/>
          <w:lang w:val="fr-FR"/>
        </w:rPr>
      </w:pPr>
      <w:r>
        <w:rPr>
          <w:noProof/>
          <w:lang w:val="fr-FR"/>
        </w:rPr>
        <w:t>E</w:t>
      </w:r>
      <w:r w:rsidR="008342B8" w:rsidRPr="00DD03D6">
        <w:rPr>
          <w:noProof/>
          <w:lang w:val="fr-FR"/>
        </w:rPr>
        <w:t xml:space="preserve">n 2005, </w:t>
      </w:r>
      <w:r w:rsidR="0012768F">
        <w:rPr>
          <w:noProof/>
          <w:lang w:val="fr-FR"/>
        </w:rPr>
        <w:t xml:space="preserve">la stratégie intitulée </w:t>
      </w:r>
      <w:r w:rsidR="00A5319B">
        <w:rPr>
          <w:iCs/>
          <w:noProof/>
          <w:lang w:val="fr-FR"/>
        </w:rPr>
        <w:t>Établir un</w:t>
      </w:r>
      <w:r w:rsidR="00E92D3C">
        <w:rPr>
          <w:iCs/>
          <w:noProof/>
          <w:lang w:val="fr-FR"/>
        </w:rPr>
        <w:t xml:space="preserve"> </w:t>
      </w:r>
      <w:r w:rsidR="00A5319B">
        <w:rPr>
          <w:iCs/>
          <w:noProof/>
          <w:lang w:val="fr-FR"/>
        </w:rPr>
        <w:t xml:space="preserve">dialogue : </w:t>
      </w:r>
      <w:r w:rsidR="0012768F">
        <w:rPr>
          <w:noProof/>
          <w:lang w:val="fr-FR"/>
        </w:rPr>
        <w:t>Stratégie nationale d’action pour la prévention du suicide pour</w:t>
      </w:r>
      <w:r w:rsidR="008342B8" w:rsidRPr="00DD03D6">
        <w:rPr>
          <w:noProof/>
          <w:lang w:val="fr-FR"/>
        </w:rPr>
        <w:t xml:space="preserve"> 2005-2014 </w:t>
      </w:r>
      <w:r w:rsidR="0012768F">
        <w:rPr>
          <w:noProof/>
          <w:lang w:val="fr-FR"/>
        </w:rPr>
        <w:t>a été présentée</w:t>
      </w:r>
      <w:r w:rsidR="008342B8" w:rsidRPr="00DD03D6">
        <w:rPr>
          <w:noProof/>
          <w:lang w:val="fr-FR"/>
        </w:rPr>
        <w:t xml:space="preserve">. </w:t>
      </w:r>
      <w:r w:rsidR="00793E63">
        <w:rPr>
          <w:noProof/>
          <w:lang w:val="fr-FR"/>
        </w:rPr>
        <w:t>Elle</w:t>
      </w:r>
      <w:r w:rsidR="0012768F">
        <w:rPr>
          <w:noProof/>
          <w:lang w:val="fr-FR"/>
        </w:rPr>
        <w:t xml:space="preserve"> préconi</w:t>
      </w:r>
      <w:r w:rsidR="00D74E51">
        <w:rPr>
          <w:noProof/>
          <w:lang w:val="fr-FR"/>
        </w:rPr>
        <w:t>se</w:t>
      </w:r>
      <w:r w:rsidR="0012768F">
        <w:rPr>
          <w:noProof/>
          <w:lang w:val="fr-FR"/>
        </w:rPr>
        <w:t xml:space="preserve"> une approche </w:t>
      </w:r>
      <w:r w:rsidR="008342B8" w:rsidRPr="00DD03D6">
        <w:rPr>
          <w:noProof/>
          <w:lang w:val="fr-FR"/>
        </w:rPr>
        <w:t>multisector</w:t>
      </w:r>
      <w:r w:rsidR="0012768F">
        <w:rPr>
          <w:noProof/>
          <w:lang w:val="fr-FR"/>
        </w:rPr>
        <w:t xml:space="preserve">ielle de la </w:t>
      </w:r>
      <w:r w:rsidR="008342B8" w:rsidRPr="00DD03D6">
        <w:rPr>
          <w:noProof/>
          <w:lang w:val="fr-FR"/>
        </w:rPr>
        <w:t>pr</w:t>
      </w:r>
      <w:r w:rsidR="00D74E51">
        <w:rPr>
          <w:noProof/>
          <w:lang w:val="fr-FR"/>
        </w:rPr>
        <w:t>é</w:t>
      </w:r>
      <w:r w:rsidR="008342B8" w:rsidRPr="00DD03D6">
        <w:rPr>
          <w:noProof/>
          <w:lang w:val="fr-FR"/>
        </w:rPr>
        <w:t xml:space="preserve">vention </w:t>
      </w:r>
      <w:r w:rsidR="0012768F">
        <w:rPr>
          <w:noProof/>
          <w:lang w:val="fr-FR"/>
        </w:rPr>
        <w:t>des comportements suicidaires</w:t>
      </w:r>
      <w:r w:rsidR="00D74E51">
        <w:rPr>
          <w:noProof/>
          <w:lang w:val="fr-FR"/>
        </w:rPr>
        <w:t xml:space="preserve"> reposant sur la coopé</w:t>
      </w:r>
      <w:r w:rsidR="008342B8" w:rsidRPr="00DD03D6">
        <w:rPr>
          <w:noProof/>
          <w:lang w:val="fr-FR"/>
        </w:rPr>
        <w:t xml:space="preserve">ration </w:t>
      </w:r>
      <w:r w:rsidR="00D74E51">
        <w:rPr>
          <w:noProof/>
          <w:lang w:val="fr-FR"/>
        </w:rPr>
        <w:t>entre les représentants des secteurs de la santé et de l’é</w:t>
      </w:r>
      <w:r w:rsidR="008342B8" w:rsidRPr="00DD03D6">
        <w:rPr>
          <w:noProof/>
          <w:lang w:val="fr-FR"/>
        </w:rPr>
        <w:t xml:space="preserve">ducation, </w:t>
      </w:r>
      <w:r w:rsidR="00D74E51">
        <w:rPr>
          <w:noProof/>
          <w:lang w:val="fr-FR"/>
        </w:rPr>
        <w:t xml:space="preserve">des organisations </w:t>
      </w:r>
      <w:r w:rsidR="008342B8" w:rsidRPr="00DD03D6">
        <w:rPr>
          <w:noProof/>
          <w:lang w:val="fr-FR"/>
        </w:rPr>
        <w:t>commun</w:t>
      </w:r>
      <w:r w:rsidR="00D74E51">
        <w:rPr>
          <w:noProof/>
          <w:lang w:val="fr-FR"/>
        </w:rPr>
        <w:t>autaires et des secteurs associatif et privé</w:t>
      </w:r>
      <w:r w:rsidR="008342B8" w:rsidRPr="00DD03D6">
        <w:rPr>
          <w:noProof/>
          <w:lang w:val="fr-FR"/>
        </w:rPr>
        <w:t xml:space="preserve">. </w:t>
      </w:r>
      <w:r w:rsidR="00D74E51">
        <w:rPr>
          <w:noProof/>
          <w:lang w:val="fr-FR"/>
        </w:rPr>
        <w:t xml:space="preserve">Elle fait appel à la famille, aux écoles, </w:t>
      </w:r>
      <w:r w:rsidR="002A72A8">
        <w:rPr>
          <w:noProof/>
          <w:lang w:val="fr-FR"/>
        </w:rPr>
        <w:t>aux étab</w:t>
      </w:r>
      <w:r w:rsidR="00381A5E">
        <w:rPr>
          <w:noProof/>
          <w:lang w:val="fr-FR"/>
        </w:rPr>
        <w:t>l</w:t>
      </w:r>
      <w:r w:rsidR="002A72A8">
        <w:rPr>
          <w:noProof/>
          <w:lang w:val="fr-FR"/>
        </w:rPr>
        <w:t xml:space="preserve">issements d’enseignement supérieur et aux organisations </w:t>
      </w:r>
      <w:r w:rsidR="00187AEB">
        <w:rPr>
          <w:noProof/>
          <w:lang w:val="fr-FR"/>
        </w:rPr>
        <w:t>de jeunes</w:t>
      </w:r>
      <w:r w:rsidR="00793E63">
        <w:rPr>
          <w:noProof/>
          <w:lang w:val="fr-FR"/>
        </w:rPr>
        <w:t>se</w:t>
      </w:r>
      <w:r w:rsidR="008342B8" w:rsidRPr="00DD03D6">
        <w:rPr>
          <w:noProof/>
          <w:lang w:val="fr-FR"/>
        </w:rPr>
        <w:t xml:space="preserve">. </w:t>
      </w:r>
      <w:r w:rsidR="00381A5E">
        <w:rPr>
          <w:noProof/>
          <w:lang w:val="fr-FR"/>
        </w:rPr>
        <w:t xml:space="preserve">Elle a été établie à la suite d’une vaste </w:t>
      </w:r>
      <w:r w:rsidR="008342B8" w:rsidRPr="00DD03D6">
        <w:rPr>
          <w:noProof/>
          <w:lang w:val="fr-FR"/>
        </w:rPr>
        <w:t xml:space="preserve">consultation </w:t>
      </w:r>
      <w:r w:rsidR="00381A5E">
        <w:rPr>
          <w:noProof/>
          <w:lang w:val="fr-FR"/>
        </w:rPr>
        <w:t>mené</w:t>
      </w:r>
      <w:r w:rsidR="00793E63">
        <w:rPr>
          <w:noProof/>
          <w:lang w:val="fr-FR"/>
        </w:rPr>
        <w:t>e auprès de tous les principaux</w:t>
      </w:r>
      <w:r w:rsidR="00381A5E">
        <w:rPr>
          <w:noProof/>
          <w:lang w:val="fr-FR"/>
        </w:rPr>
        <w:t xml:space="preserve"> </w:t>
      </w:r>
      <w:r w:rsidR="00E83488">
        <w:rPr>
          <w:noProof/>
          <w:lang w:val="fr-FR"/>
        </w:rPr>
        <w:t>acteurs</w:t>
      </w:r>
      <w:r w:rsidR="008342B8" w:rsidRPr="00DD03D6">
        <w:rPr>
          <w:noProof/>
          <w:lang w:val="fr-FR"/>
        </w:rPr>
        <w:t xml:space="preserve">, </w:t>
      </w:r>
      <w:r w:rsidR="00381A5E">
        <w:rPr>
          <w:noProof/>
          <w:lang w:val="fr-FR"/>
        </w:rPr>
        <w:t xml:space="preserve">y compris le grand </w:t>
      </w:r>
      <w:r w:rsidR="008342B8" w:rsidRPr="00DD03D6">
        <w:rPr>
          <w:noProof/>
          <w:lang w:val="fr-FR"/>
        </w:rPr>
        <w:t xml:space="preserve">public, </w:t>
      </w:r>
      <w:r w:rsidR="00381A5E">
        <w:rPr>
          <w:noProof/>
          <w:lang w:val="fr-FR"/>
        </w:rPr>
        <w:t>et est supervisée par l’Office national de prévention du s</w:t>
      </w:r>
      <w:r w:rsidR="008342B8" w:rsidRPr="00DD03D6">
        <w:rPr>
          <w:noProof/>
          <w:lang w:val="fr-FR"/>
        </w:rPr>
        <w:t>uicide.</w:t>
      </w:r>
    </w:p>
    <w:p w:rsidR="008342B8" w:rsidRPr="00DD03D6" w:rsidRDefault="00B47C3C" w:rsidP="005F3C76">
      <w:pPr>
        <w:pStyle w:val="SingleTxtG"/>
        <w:numPr>
          <w:ilvl w:val="0"/>
          <w:numId w:val="3"/>
        </w:numPr>
        <w:ind w:left="1134" w:firstLine="0"/>
        <w:rPr>
          <w:noProof/>
          <w:lang w:val="fr-FR"/>
        </w:rPr>
      </w:pPr>
      <w:r>
        <w:rPr>
          <w:noProof/>
          <w:lang w:val="fr-FR"/>
        </w:rPr>
        <w:t xml:space="preserve">Cet Office national </w:t>
      </w:r>
      <w:r w:rsidR="00FE2188">
        <w:rPr>
          <w:noProof/>
          <w:lang w:val="fr-FR"/>
        </w:rPr>
        <w:t xml:space="preserve">gère un </w:t>
      </w:r>
      <w:r w:rsidR="008342B8" w:rsidRPr="00DD03D6">
        <w:rPr>
          <w:noProof/>
          <w:lang w:val="fr-FR"/>
        </w:rPr>
        <w:t xml:space="preserve">programme </w:t>
      </w:r>
      <w:r w:rsidR="00FE2188">
        <w:rPr>
          <w:noProof/>
          <w:lang w:val="fr-FR"/>
        </w:rPr>
        <w:t xml:space="preserve">de formation aux secours d’urgence </w:t>
      </w:r>
      <w:r w:rsidR="00872307">
        <w:rPr>
          <w:noProof/>
          <w:lang w:val="fr-FR"/>
        </w:rPr>
        <w:t xml:space="preserve">à apporter aux personnes </w:t>
      </w:r>
      <w:r w:rsidR="00FE2188">
        <w:rPr>
          <w:noProof/>
          <w:lang w:val="fr-FR"/>
        </w:rPr>
        <w:t>ayant fait une tentative de suicide, intitulée formation appliquée aux techniques d’intervention en cas de tentative de suicide. Ce programme s’adresse à toutes les catégories de prestataires de soins</w:t>
      </w:r>
      <w:r w:rsidR="008342B8" w:rsidRPr="00DD03D6">
        <w:rPr>
          <w:noProof/>
          <w:lang w:val="fr-FR"/>
        </w:rPr>
        <w:t>. I</w:t>
      </w:r>
      <w:r w:rsidR="00FE2188">
        <w:rPr>
          <w:noProof/>
          <w:lang w:val="fr-FR"/>
        </w:rPr>
        <w:t xml:space="preserve">l prévoit également la réalisation d’études concernant l’élaboration de </w:t>
      </w:r>
      <w:r w:rsidR="008342B8" w:rsidRPr="00DD03D6">
        <w:rPr>
          <w:noProof/>
          <w:lang w:val="fr-FR"/>
        </w:rPr>
        <w:t>strat</w:t>
      </w:r>
      <w:r w:rsidR="00FE2188">
        <w:rPr>
          <w:noProof/>
          <w:lang w:val="fr-FR"/>
        </w:rPr>
        <w:t>é</w:t>
      </w:r>
      <w:r w:rsidR="008342B8" w:rsidRPr="00DD03D6">
        <w:rPr>
          <w:noProof/>
          <w:lang w:val="fr-FR"/>
        </w:rPr>
        <w:t xml:space="preserve">gies </w:t>
      </w:r>
      <w:r w:rsidR="00FE2188">
        <w:rPr>
          <w:noProof/>
          <w:lang w:val="fr-FR"/>
        </w:rPr>
        <w:t xml:space="preserve">de prévention du </w:t>
      </w:r>
      <w:r w:rsidR="008342B8" w:rsidRPr="00DD03D6">
        <w:rPr>
          <w:noProof/>
          <w:lang w:val="fr-FR"/>
        </w:rPr>
        <w:t xml:space="preserve">suicide </w:t>
      </w:r>
      <w:r w:rsidR="00FE2188">
        <w:rPr>
          <w:noProof/>
          <w:lang w:val="fr-FR"/>
        </w:rPr>
        <w:t xml:space="preserve">et finance les </w:t>
      </w:r>
      <w:r w:rsidR="008342B8" w:rsidRPr="00DD03D6">
        <w:rPr>
          <w:noProof/>
          <w:lang w:val="fr-FR"/>
        </w:rPr>
        <w:t xml:space="preserve">organisations </w:t>
      </w:r>
      <w:r w:rsidR="00FE2188">
        <w:rPr>
          <w:noProof/>
          <w:lang w:val="fr-FR"/>
        </w:rPr>
        <w:t>s’</w:t>
      </w:r>
      <w:r w:rsidR="00793E63">
        <w:rPr>
          <w:noProof/>
          <w:lang w:val="fr-FR"/>
        </w:rPr>
        <w:t>o</w:t>
      </w:r>
      <w:r w:rsidR="00FE2188">
        <w:rPr>
          <w:noProof/>
          <w:lang w:val="fr-FR"/>
        </w:rPr>
        <w:t xml:space="preserve">ccupant du suicide et de sa </w:t>
      </w:r>
      <w:r w:rsidR="008342B8" w:rsidRPr="00DD03D6">
        <w:rPr>
          <w:noProof/>
          <w:lang w:val="fr-FR"/>
        </w:rPr>
        <w:t>pr</w:t>
      </w:r>
      <w:r w:rsidR="00FE2188">
        <w:rPr>
          <w:noProof/>
          <w:lang w:val="fr-FR"/>
        </w:rPr>
        <w:t>é</w:t>
      </w:r>
      <w:r w:rsidR="008342B8" w:rsidRPr="00DD03D6">
        <w:rPr>
          <w:noProof/>
          <w:lang w:val="fr-FR"/>
        </w:rPr>
        <w:t xml:space="preserve">vention, </w:t>
      </w:r>
      <w:r w:rsidR="00FE2188">
        <w:rPr>
          <w:noProof/>
          <w:lang w:val="fr-FR"/>
        </w:rPr>
        <w:t>notamment un certain nombre d’</w:t>
      </w:r>
      <w:r w:rsidR="008342B8" w:rsidRPr="00DD03D6">
        <w:rPr>
          <w:noProof/>
          <w:lang w:val="fr-FR"/>
        </w:rPr>
        <w:t xml:space="preserve">organisations </w:t>
      </w:r>
      <w:r w:rsidR="00FE2188">
        <w:rPr>
          <w:noProof/>
          <w:lang w:val="fr-FR"/>
        </w:rPr>
        <w:t>travaillant avec les jeunes</w:t>
      </w:r>
      <w:r w:rsidR="008342B8" w:rsidRPr="00DD03D6">
        <w:rPr>
          <w:noProof/>
          <w:lang w:val="fr-FR"/>
        </w:rPr>
        <w:t xml:space="preserve">. </w:t>
      </w:r>
      <w:r w:rsidR="00FE2188">
        <w:rPr>
          <w:noProof/>
          <w:lang w:val="fr-FR"/>
        </w:rPr>
        <w:t>E</w:t>
      </w:r>
      <w:r w:rsidR="008342B8" w:rsidRPr="00DD03D6">
        <w:rPr>
          <w:noProof/>
          <w:lang w:val="fr-FR"/>
        </w:rPr>
        <w:t xml:space="preserve">n 2011, </w:t>
      </w:r>
      <w:r w:rsidR="00FE2188">
        <w:rPr>
          <w:noProof/>
          <w:lang w:val="fr-FR"/>
        </w:rPr>
        <w:t xml:space="preserve">un million d’euros supplémentaires </w:t>
      </w:r>
      <w:r w:rsidR="00872307">
        <w:rPr>
          <w:noProof/>
          <w:lang w:val="fr-FR"/>
        </w:rPr>
        <w:t>ont été mis à disposition pour financer des projets de ce genre</w:t>
      </w:r>
      <w:r w:rsidR="008342B8" w:rsidRPr="00DD03D6">
        <w:rPr>
          <w:noProof/>
          <w:lang w:val="fr-FR"/>
        </w:rPr>
        <w:t xml:space="preserve">. </w:t>
      </w:r>
      <w:r w:rsidR="00872307">
        <w:rPr>
          <w:noProof/>
          <w:lang w:val="fr-FR"/>
        </w:rPr>
        <w:t xml:space="preserve">Il s’agit des projet ci-après ciblant </w:t>
      </w:r>
      <w:r w:rsidR="008342B8" w:rsidRPr="00DD03D6">
        <w:rPr>
          <w:noProof/>
          <w:lang w:val="fr-FR"/>
        </w:rPr>
        <w:t>sp</w:t>
      </w:r>
      <w:r w:rsidR="00872307">
        <w:rPr>
          <w:noProof/>
          <w:lang w:val="fr-FR"/>
        </w:rPr>
        <w:t>é</w:t>
      </w:r>
      <w:r w:rsidR="008342B8" w:rsidRPr="00DD03D6">
        <w:rPr>
          <w:noProof/>
          <w:lang w:val="fr-FR"/>
        </w:rPr>
        <w:t>cifi</w:t>
      </w:r>
      <w:r w:rsidR="00B11AFE">
        <w:rPr>
          <w:noProof/>
          <w:lang w:val="fr-FR"/>
        </w:rPr>
        <w:t>quement les jeunes </w:t>
      </w:r>
      <w:r w:rsidR="008342B8" w:rsidRPr="00DD03D6">
        <w:rPr>
          <w:noProof/>
          <w:lang w:val="fr-FR"/>
        </w:rPr>
        <w:t>:</w:t>
      </w:r>
    </w:p>
    <w:p w:rsidR="008342B8" w:rsidRPr="00DD03D6" w:rsidRDefault="00872307" w:rsidP="00B11AFE">
      <w:pPr>
        <w:pStyle w:val="Bullet1G"/>
        <w:tabs>
          <w:tab w:val="clear" w:pos="1701"/>
        </w:tabs>
        <w:ind w:left="1843" w:hanging="142"/>
        <w:rPr>
          <w:noProof/>
          <w:lang w:val="fr-FR"/>
        </w:rPr>
      </w:pPr>
      <w:r>
        <w:rPr>
          <w:noProof/>
          <w:lang w:val="fr-FR"/>
        </w:rPr>
        <w:t>Le Conseil n</w:t>
      </w:r>
      <w:r w:rsidR="008342B8" w:rsidRPr="00DD03D6">
        <w:rPr>
          <w:noProof/>
          <w:lang w:val="fr-FR"/>
        </w:rPr>
        <w:t xml:space="preserve">ational </w:t>
      </w:r>
      <w:r>
        <w:rPr>
          <w:noProof/>
          <w:lang w:val="fr-FR"/>
        </w:rPr>
        <w:t xml:space="preserve">de la jeunesse d’Irlande </w:t>
      </w:r>
      <w:r w:rsidR="000F0E0F">
        <w:rPr>
          <w:noProof/>
          <w:lang w:val="fr-FR"/>
        </w:rPr>
        <w:t>assur</w:t>
      </w:r>
      <w:r>
        <w:rPr>
          <w:noProof/>
          <w:lang w:val="fr-FR"/>
        </w:rPr>
        <w:t xml:space="preserve">e une formation </w:t>
      </w:r>
      <w:r w:rsidR="003F36DD">
        <w:rPr>
          <w:noProof/>
          <w:lang w:val="fr-FR"/>
        </w:rPr>
        <w:t>« </w:t>
      </w:r>
      <w:r w:rsidR="008342B8" w:rsidRPr="00DD03D6">
        <w:rPr>
          <w:noProof/>
          <w:lang w:val="fr-FR"/>
        </w:rPr>
        <w:t>Mind Out</w:t>
      </w:r>
      <w:r w:rsidR="003F36DD">
        <w:rPr>
          <w:noProof/>
          <w:lang w:val="fr-FR"/>
        </w:rPr>
        <w:t> »</w:t>
      </w:r>
      <w:r w:rsidR="008342B8" w:rsidRPr="00DD03D6">
        <w:rPr>
          <w:noProof/>
          <w:lang w:val="fr-FR"/>
        </w:rPr>
        <w:t xml:space="preserve"> </w:t>
      </w:r>
      <w:r w:rsidR="000F0E0F">
        <w:rPr>
          <w:noProof/>
          <w:lang w:val="fr-FR"/>
        </w:rPr>
        <w:t>aux animateurs de groupes de jeunes et aux personnes travaillant dans le secteur extrascolaire afin de leur faire acquérir les connaissances et les compétences nécessaires pour dispenser aux jeunes un</w:t>
      </w:r>
      <w:r w:rsidR="008342B8" w:rsidRPr="00DD03D6">
        <w:rPr>
          <w:noProof/>
          <w:lang w:val="fr-FR"/>
        </w:rPr>
        <w:t xml:space="preserve"> programme </w:t>
      </w:r>
      <w:r w:rsidR="000F0E0F">
        <w:rPr>
          <w:noProof/>
          <w:lang w:val="fr-FR"/>
        </w:rPr>
        <w:t xml:space="preserve">de 12 semaines consacré à la santé mentale des </w:t>
      </w:r>
      <w:r w:rsidR="008342B8" w:rsidRPr="00DD03D6">
        <w:rPr>
          <w:noProof/>
          <w:lang w:val="fr-FR"/>
        </w:rPr>
        <w:t xml:space="preserve">adolescents </w:t>
      </w:r>
      <w:r w:rsidR="000F0E0F">
        <w:rPr>
          <w:noProof/>
          <w:lang w:val="fr-FR"/>
        </w:rPr>
        <w:t xml:space="preserve">en mettant en œuvre une approche </w:t>
      </w:r>
      <w:r w:rsidR="008342B8" w:rsidRPr="00DD03D6">
        <w:rPr>
          <w:noProof/>
          <w:lang w:val="fr-FR"/>
        </w:rPr>
        <w:t xml:space="preserve">positive </w:t>
      </w:r>
      <w:r w:rsidR="000F0E0F">
        <w:rPr>
          <w:noProof/>
          <w:lang w:val="fr-FR"/>
        </w:rPr>
        <w:t>et pratique leur permettant de faire face à des traumatismes divers</w:t>
      </w:r>
      <w:r w:rsidR="008342B8" w:rsidRPr="00DD03D6">
        <w:rPr>
          <w:noProof/>
          <w:lang w:val="fr-FR"/>
        </w:rPr>
        <w:t>.</w:t>
      </w:r>
    </w:p>
    <w:p w:rsidR="008342B8" w:rsidRPr="00DD03D6" w:rsidRDefault="00657C10" w:rsidP="00B11AFE">
      <w:pPr>
        <w:pStyle w:val="Bullet1G"/>
        <w:tabs>
          <w:tab w:val="clear" w:pos="1701"/>
        </w:tabs>
        <w:ind w:left="1843" w:hanging="142"/>
        <w:rPr>
          <w:noProof/>
          <w:lang w:val="fr-FR"/>
        </w:rPr>
      </w:pPr>
      <w:r>
        <w:rPr>
          <w:noProof/>
          <w:lang w:val="fr-FR"/>
        </w:rPr>
        <w:t xml:space="preserve">Au cours de l’année scolaire </w:t>
      </w:r>
      <w:r w:rsidR="008342B8" w:rsidRPr="00DD03D6">
        <w:rPr>
          <w:noProof/>
          <w:lang w:val="fr-FR"/>
        </w:rPr>
        <w:t>2011/</w:t>
      </w:r>
      <w:r>
        <w:rPr>
          <w:noProof/>
          <w:lang w:val="fr-FR"/>
        </w:rPr>
        <w:t>20</w:t>
      </w:r>
      <w:r w:rsidR="008342B8" w:rsidRPr="00DD03D6">
        <w:rPr>
          <w:noProof/>
          <w:lang w:val="fr-FR"/>
        </w:rPr>
        <w:t xml:space="preserve">12, </w:t>
      </w:r>
      <w:r>
        <w:rPr>
          <w:noProof/>
          <w:lang w:val="fr-FR"/>
        </w:rPr>
        <w:t xml:space="preserve">les jeunes innovateurs sociaux ont assuré huit formations en cours d’emploi à l’intention d’enseignants et d’animateurs de groupes de jeunes, tandis que près de </w:t>
      </w:r>
      <w:r w:rsidR="008342B8" w:rsidRPr="00DD03D6">
        <w:rPr>
          <w:noProof/>
          <w:lang w:val="fr-FR"/>
        </w:rPr>
        <w:t>4</w:t>
      </w:r>
      <w:r w:rsidR="00B11AFE">
        <w:rPr>
          <w:noProof/>
          <w:lang w:val="fr-FR"/>
        </w:rPr>
        <w:t> </w:t>
      </w:r>
      <w:r w:rsidR="008342B8" w:rsidRPr="00DD03D6">
        <w:rPr>
          <w:noProof/>
          <w:lang w:val="fr-FR"/>
        </w:rPr>
        <w:t xml:space="preserve">000 </w:t>
      </w:r>
      <w:r>
        <w:rPr>
          <w:noProof/>
          <w:lang w:val="fr-FR"/>
        </w:rPr>
        <w:t>enfants âgés de 15 à 18</w:t>
      </w:r>
      <w:r w:rsidR="00A44326">
        <w:rPr>
          <w:noProof/>
          <w:lang w:val="fr-FR"/>
        </w:rPr>
        <w:t> </w:t>
      </w:r>
      <w:r>
        <w:rPr>
          <w:noProof/>
          <w:lang w:val="fr-FR"/>
        </w:rPr>
        <w:t>ans participaient à leurs</w:t>
      </w:r>
      <w:r w:rsidR="008342B8" w:rsidRPr="00DD03D6">
        <w:rPr>
          <w:noProof/>
          <w:lang w:val="fr-FR"/>
        </w:rPr>
        <w:t xml:space="preserve"> </w:t>
      </w:r>
      <w:r w:rsidR="003F36DD">
        <w:rPr>
          <w:noProof/>
          <w:lang w:val="fr-FR"/>
        </w:rPr>
        <w:t>« </w:t>
      </w:r>
      <w:r w:rsidR="004E7096">
        <w:rPr>
          <w:noProof/>
          <w:lang w:val="fr-FR"/>
        </w:rPr>
        <w:t>a</w:t>
      </w:r>
      <w:r>
        <w:rPr>
          <w:noProof/>
          <w:lang w:val="fr-FR"/>
        </w:rPr>
        <w:t>ctions de sensibilisation</w:t>
      </w:r>
      <w:r w:rsidR="003F36DD">
        <w:rPr>
          <w:noProof/>
          <w:lang w:val="fr-FR"/>
        </w:rPr>
        <w:t> »</w:t>
      </w:r>
      <w:r w:rsidR="008342B8" w:rsidRPr="00DD03D6">
        <w:rPr>
          <w:noProof/>
          <w:lang w:val="fr-FR"/>
        </w:rPr>
        <w:t xml:space="preserve"> des</w:t>
      </w:r>
      <w:r>
        <w:rPr>
          <w:noProof/>
          <w:lang w:val="fr-FR"/>
        </w:rPr>
        <w:t xml:space="preserve">tinées à offrir un apprentissage pratique </w:t>
      </w:r>
      <w:r w:rsidR="004E7096">
        <w:rPr>
          <w:noProof/>
          <w:lang w:val="fr-FR"/>
        </w:rPr>
        <w:t>axé sur la santé et le bien-être</w:t>
      </w:r>
      <w:r w:rsidR="008342B8" w:rsidRPr="00DD03D6">
        <w:rPr>
          <w:noProof/>
          <w:lang w:val="fr-FR"/>
        </w:rPr>
        <w:t>.</w:t>
      </w:r>
    </w:p>
    <w:p w:rsidR="008342B8" w:rsidRPr="00DD03D6" w:rsidRDefault="008342B8" w:rsidP="00B11AFE">
      <w:pPr>
        <w:pStyle w:val="Bullet1G"/>
        <w:tabs>
          <w:tab w:val="clear" w:pos="1701"/>
        </w:tabs>
        <w:ind w:left="1843" w:hanging="142"/>
        <w:rPr>
          <w:noProof/>
          <w:lang w:val="fr-FR"/>
        </w:rPr>
      </w:pPr>
      <w:r w:rsidRPr="00DD03D6">
        <w:rPr>
          <w:noProof/>
          <w:lang w:val="fr-FR"/>
        </w:rPr>
        <w:t>BeLonG To, organisation f</w:t>
      </w:r>
      <w:r w:rsidR="004E7096">
        <w:rPr>
          <w:noProof/>
          <w:lang w:val="fr-FR"/>
        </w:rPr>
        <w:t>inancée par le Ministère de l’enfance et de la jeunesse qui tra</w:t>
      </w:r>
      <w:r w:rsidR="005D44FC">
        <w:rPr>
          <w:noProof/>
          <w:lang w:val="fr-FR"/>
        </w:rPr>
        <w:t>vaille</w:t>
      </w:r>
      <w:r w:rsidR="004E7096">
        <w:rPr>
          <w:noProof/>
          <w:lang w:val="fr-FR"/>
        </w:rPr>
        <w:t xml:space="preserve"> avec les jeunes </w:t>
      </w:r>
      <w:r w:rsidRPr="00DD03D6">
        <w:rPr>
          <w:noProof/>
          <w:lang w:val="fr-FR"/>
        </w:rPr>
        <w:t xml:space="preserve">LGBT, </w:t>
      </w:r>
      <w:r w:rsidR="004E7096">
        <w:rPr>
          <w:noProof/>
          <w:lang w:val="fr-FR"/>
        </w:rPr>
        <w:t xml:space="preserve">a élaboré un projet relatif à la santé mentale financé par l’Office national de prévention du suicide </w:t>
      </w:r>
      <w:r w:rsidR="005D44FC">
        <w:rPr>
          <w:noProof/>
          <w:lang w:val="fr-FR"/>
        </w:rPr>
        <w:t xml:space="preserve">et </w:t>
      </w:r>
      <w:r w:rsidR="004E7096">
        <w:rPr>
          <w:noProof/>
          <w:lang w:val="fr-FR"/>
        </w:rPr>
        <w:t>vis</w:t>
      </w:r>
      <w:r w:rsidR="005D44FC">
        <w:rPr>
          <w:noProof/>
          <w:lang w:val="fr-FR"/>
        </w:rPr>
        <w:t>ant</w:t>
      </w:r>
      <w:r w:rsidR="004E7096">
        <w:rPr>
          <w:noProof/>
          <w:lang w:val="fr-FR"/>
        </w:rPr>
        <w:t xml:space="preserve"> à améliorer les compétences des animateurs de groupes de jeunes, des bénévoles, des </w:t>
      </w:r>
      <w:r w:rsidR="008F58EF">
        <w:rPr>
          <w:noProof/>
          <w:lang w:val="fr-FR"/>
        </w:rPr>
        <w:t xml:space="preserve">groupes </w:t>
      </w:r>
      <w:r w:rsidR="00793E63">
        <w:rPr>
          <w:noProof/>
          <w:lang w:val="fr-FR"/>
        </w:rPr>
        <w:t xml:space="preserve">de </w:t>
      </w:r>
      <w:r w:rsidR="00793E63">
        <w:rPr>
          <w:noProof/>
          <w:lang w:val="fr-FR"/>
        </w:rPr>
        <w:lastRenderedPageBreak/>
        <w:t>pilotage</w:t>
      </w:r>
      <w:r w:rsidR="008F58EF">
        <w:rPr>
          <w:noProof/>
          <w:lang w:val="fr-FR"/>
        </w:rPr>
        <w:t xml:space="preserve"> et des jeunes qui sont associés au réseau national de </w:t>
      </w:r>
      <w:r w:rsidRPr="00DD03D6">
        <w:rPr>
          <w:noProof/>
          <w:lang w:val="fr-FR"/>
        </w:rPr>
        <w:t xml:space="preserve">BeLonG To, </w:t>
      </w:r>
      <w:r w:rsidR="005D44FC">
        <w:rPr>
          <w:noProof/>
          <w:lang w:val="fr-FR"/>
        </w:rPr>
        <w:t xml:space="preserve">lequel aide </w:t>
      </w:r>
      <w:r w:rsidRPr="00DD03D6">
        <w:rPr>
          <w:noProof/>
          <w:lang w:val="fr-FR"/>
        </w:rPr>
        <w:t xml:space="preserve">17 </w:t>
      </w:r>
      <w:r w:rsidR="005D44FC">
        <w:rPr>
          <w:noProof/>
          <w:lang w:val="fr-FR"/>
        </w:rPr>
        <w:t xml:space="preserve">groupes de jeunes </w:t>
      </w:r>
      <w:r w:rsidRPr="00DD03D6">
        <w:rPr>
          <w:noProof/>
          <w:lang w:val="fr-FR"/>
        </w:rPr>
        <w:t xml:space="preserve">LGBT </w:t>
      </w:r>
      <w:r w:rsidR="005D44FC">
        <w:rPr>
          <w:noProof/>
          <w:lang w:val="fr-FR"/>
        </w:rPr>
        <w:t xml:space="preserve">dans </w:t>
      </w:r>
      <w:r w:rsidRPr="00DD03D6">
        <w:rPr>
          <w:noProof/>
          <w:lang w:val="fr-FR"/>
        </w:rPr>
        <w:t>15</w:t>
      </w:r>
      <w:r w:rsidR="00745F56" w:rsidRPr="00DD03D6">
        <w:rPr>
          <w:noProof/>
          <w:lang w:val="fr-FR"/>
        </w:rPr>
        <w:t> </w:t>
      </w:r>
      <w:r w:rsidRPr="00DD03D6">
        <w:rPr>
          <w:noProof/>
          <w:lang w:val="fr-FR"/>
        </w:rPr>
        <w:t xml:space="preserve">services </w:t>
      </w:r>
      <w:r w:rsidR="005D44FC">
        <w:rPr>
          <w:noProof/>
          <w:lang w:val="fr-FR"/>
        </w:rPr>
        <w:t>répartis à travers le pays</w:t>
      </w:r>
      <w:r w:rsidRPr="00DD03D6">
        <w:rPr>
          <w:noProof/>
          <w:lang w:val="fr-FR"/>
        </w:rPr>
        <w:t>.</w:t>
      </w:r>
    </w:p>
    <w:p w:rsidR="008342B8" w:rsidRPr="00DD03D6" w:rsidRDefault="008342B8" w:rsidP="00B11AFE">
      <w:pPr>
        <w:pStyle w:val="Bullet1G"/>
        <w:tabs>
          <w:tab w:val="clear" w:pos="1701"/>
        </w:tabs>
        <w:ind w:left="1843" w:hanging="142"/>
        <w:rPr>
          <w:noProof/>
          <w:lang w:val="fr-FR"/>
        </w:rPr>
      </w:pPr>
      <w:r w:rsidRPr="00DD03D6">
        <w:rPr>
          <w:noProof/>
          <w:lang w:val="fr-FR"/>
        </w:rPr>
        <w:t>SpunOut (</w:t>
      </w:r>
      <w:hyperlink r:id="rId15" w:history="1">
        <w:r w:rsidRPr="00DD03D6">
          <w:rPr>
            <w:rStyle w:val="Lienhypertexte"/>
            <w:noProof/>
            <w:lang w:val="fr-FR"/>
          </w:rPr>
          <w:t>www.spunout.ie</w:t>
        </w:r>
      </w:hyperlink>
      <w:r w:rsidRPr="00DD03D6">
        <w:rPr>
          <w:noProof/>
          <w:lang w:val="fr-FR"/>
        </w:rPr>
        <w:t xml:space="preserve">) </w:t>
      </w:r>
      <w:r w:rsidR="005D44FC">
        <w:rPr>
          <w:noProof/>
          <w:lang w:val="fr-FR"/>
        </w:rPr>
        <w:t>fournit aux jeunes un accès à l’</w:t>
      </w:r>
      <w:r w:rsidRPr="00DD03D6">
        <w:rPr>
          <w:noProof/>
          <w:lang w:val="fr-FR"/>
        </w:rPr>
        <w:t xml:space="preserve">information, </w:t>
      </w:r>
      <w:r w:rsidR="005D44FC">
        <w:rPr>
          <w:noProof/>
          <w:lang w:val="fr-FR"/>
        </w:rPr>
        <w:t>notamment en matière de promotion de la santé et de prévention du suicide, afin de les encourager à demander de l’aide</w:t>
      </w:r>
      <w:r w:rsidRPr="00DD03D6">
        <w:rPr>
          <w:noProof/>
          <w:lang w:val="fr-FR"/>
        </w:rPr>
        <w:t>.</w:t>
      </w:r>
    </w:p>
    <w:p w:rsidR="008342B8" w:rsidRPr="00DD03D6" w:rsidRDefault="005D44FC" w:rsidP="00B11AFE">
      <w:pPr>
        <w:pStyle w:val="Bullet1G"/>
        <w:tabs>
          <w:tab w:val="clear" w:pos="1701"/>
        </w:tabs>
        <w:ind w:left="1843" w:hanging="142"/>
        <w:rPr>
          <w:noProof/>
          <w:lang w:val="fr-FR"/>
        </w:rPr>
      </w:pPr>
      <w:r>
        <w:rPr>
          <w:noProof/>
          <w:lang w:val="fr-FR"/>
        </w:rPr>
        <w:t xml:space="preserve">Le service </w:t>
      </w:r>
      <w:r w:rsidR="00853901">
        <w:rPr>
          <w:noProof/>
          <w:lang w:val="fr-FR"/>
        </w:rPr>
        <w:t xml:space="preserve">de la </w:t>
      </w:r>
      <w:r w:rsidR="008342B8" w:rsidRPr="00DD03D6">
        <w:rPr>
          <w:noProof/>
          <w:lang w:val="fr-FR"/>
        </w:rPr>
        <w:t xml:space="preserve">PleaseTalk Campaign </w:t>
      </w:r>
      <w:r w:rsidR="00B11AFE">
        <w:rPr>
          <w:noProof/>
          <w:lang w:val="fr-FR"/>
        </w:rPr>
        <w:t>cible 550 </w:t>
      </w:r>
      <w:r w:rsidR="008342B8" w:rsidRPr="00DD03D6">
        <w:rPr>
          <w:noProof/>
          <w:lang w:val="fr-FR"/>
        </w:rPr>
        <w:t xml:space="preserve">000 </w:t>
      </w:r>
      <w:r w:rsidR="00853901">
        <w:rPr>
          <w:noProof/>
          <w:lang w:val="fr-FR"/>
        </w:rPr>
        <w:t>é</w:t>
      </w:r>
      <w:r w:rsidR="00112B48">
        <w:rPr>
          <w:noProof/>
          <w:lang w:val="fr-FR"/>
        </w:rPr>
        <w:t xml:space="preserve">tudiants </w:t>
      </w:r>
      <w:r w:rsidR="00853901">
        <w:rPr>
          <w:noProof/>
          <w:lang w:val="fr-FR"/>
        </w:rPr>
        <w:t>d’Irlande et d’Irlande du Nord</w:t>
      </w:r>
      <w:r w:rsidR="008342B8" w:rsidRPr="00DD03D6">
        <w:rPr>
          <w:noProof/>
          <w:lang w:val="fr-FR"/>
        </w:rPr>
        <w:t xml:space="preserve">. </w:t>
      </w:r>
      <w:r w:rsidR="00112B48">
        <w:rPr>
          <w:noProof/>
          <w:lang w:val="fr-FR"/>
        </w:rPr>
        <w:t xml:space="preserve">Il leur tend directement la main sur des campus universitaires dans le cadre des structures </w:t>
      </w:r>
      <w:r w:rsidR="008D3BBB">
        <w:rPr>
          <w:noProof/>
          <w:lang w:val="fr-FR"/>
        </w:rPr>
        <w:t>de protection des étudiants en place</w:t>
      </w:r>
      <w:r w:rsidR="008342B8" w:rsidRPr="00DD03D6">
        <w:rPr>
          <w:noProof/>
          <w:lang w:val="fr-FR"/>
        </w:rPr>
        <w:t xml:space="preserve">. </w:t>
      </w:r>
      <w:r w:rsidR="008D3BBB">
        <w:rPr>
          <w:noProof/>
          <w:lang w:val="fr-FR"/>
        </w:rPr>
        <w:t xml:space="preserve">Le site Web de </w:t>
      </w:r>
      <w:r w:rsidR="008342B8" w:rsidRPr="00DD03D6">
        <w:rPr>
          <w:noProof/>
          <w:lang w:val="fr-FR"/>
        </w:rPr>
        <w:t>PleaseTalk (</w:t>
      </w:r>
      <w:hyperlink r:id="rId16" w:history="1">
        <w:r w:rsidR="008342B8" w:rsidRPr="00DD03D6">
          <w:rPr>
            <w:rStyle w:val="Lienhypertexte"/>
            <w:noProof/>
            <w:lang w:val="fr-FR"/>
          </w:rPr>
          <w:t>www.PleaseTalk.ie</w:t>
        </w:r>
      </w:hyperlink>
      <w:r w:rsidR="008342B8" w:rsidRPr="00DD03D6">
        <w:rPr>
          <w:noProof/>
          <w:lang w:val="fr-FR"/>
        </w:rPr>
        <w:t xml:space="preserve">) </w:t>
      </w:r>
      <w:r w:rsidR="008D3BBB">
        <w:rPr>
          <w:noProof/>
          <w:lang w:val="fr-FR"/>
        </w:rPr>
        <w:t>fournit un répertoire des services d’appui à la disposition des étudiants sur les campus d’Irlande,</w:t>
      </w:r>
      <w:r w:rsidR="00AC690D">
        <w:rPr>
          <w:noProof/>
          <w:lang w:val="fr-FR"/>
        </w:rPr>
        <w:t xml:space="preserve"> ains</w:t>
      </w:r>
      <w:r w:rsidR="008D3BBB">
        <w:rPr>
          <w:noProof/>
          <w:lang w:val="fr-FR"/>
        </w:rPr>
        <w:t xml:space="preserve">i que des liens </w:t>
      </w:r>
      <w:r w:rsidR="00AC690D">
        <w:rPr>
          <w:noProof/>
          <w:lang w:val="fr-FR"/>
        </w:rPr>
        <w:t xml:space="preserve">vers </w:t>
      </w:r>
      <w:r w:rsidR="008D3BBB">
        <w:rPr>
          <w:noProof/>
          <w:lang w:val="fr-FR"/>
        </w:rPr>
        <w:t xml:space="preserve">d’autres services d’appui comme </w:t>
      </w:r>
      <w:r w:rsidR="008342B8" w:rsidRPr="00DD03D6">
        <w:rPr>
          <w:noProof/>
          <w:lang w:val="fr-FR"/>
        </w:rPr>
        <w:t xml:space="preserve">ReachOut.com, service </w:t>
      </w:r>
      <w:r w:rsidR="008D3BBB">
        <w:rPr>
          <w:noProof/>
          <w:lang w:val="fr-FR"/>
        </w:rPr>
        <w:t xml:space="preserve">en ligne qui aide les jeunes </w:t>
      </w:r>
      <w:r w:rsidR="00AC690D">
        <w:rPr>
          <w:noProof/>
          <w:lang w:val="fr-FR"/>
        </w:rPr>
        <w:t xml:space="preserve">à traverser des moments difficiles et est funancé par l’Office national de prévention du suicide et géré par </w:t>
      </w:r>
      <w:r w:rsidR="008342B8" w:rsidRPr="00DD03D6">
        <w:rPr>
          <w:noProof/>
          <w:lang w:val="fr-FR"/>
        </w:rPr>
        <w:t>Inspire Ireland (</w:t>
      </w:r>
      <w:r w:rsidR="008342B8" w:rsidRPr="00DD03D6">
        <w:rPr>
          <w:rFonts w:cs="Arial"/>
          <w:noProof/>
          <w:lang w:val="fr-FR"/>
        </w:rPr>
        <w:t xml:space="preserve">organisation </w:t>
      </w:r>
      <w:r w:rsidR="00AC690D">
        <w:rPr>
          <w:rFonts w:cs="Arial"/>
          <w:noProof/>
          <w:lang w:val="fr-FR"/>
        </w:rPr>
        <w:t>caritative qui aide les jeunes à être plus heureux dans leur vie</w:t>
      </w:r>
      <w:r w:rsidR="008342B8" w:rsidRPr="00DD03D6">
        <w:rPr>
          <w:rFonts w:cs="Arial"/>
          <w:noProof/>
          <w:lang w:val="fr-FR"/>
        </w:rPr>
        <w:t xml:space="preserve"> </w:t>
      </w:r>
      <w:r w:rsidR="00DE6357" w:rsidRPr="00DD03D6">
        <w:rPr>
          <w:rFonts w:cs="Arial"/>
          <w:noProof/>
          <w:lang w:val="fr-FR"/>
        </w:rPr>
        <w:t>(</w:t>
      </w:r>
      <w:r w:rsidR="00AC690D">
        <w:rPr>
          <w:rFonts w:cs="Arial"/>
          <w:noProof/>
          <w:lang w:val="fr-FR"/>
        </w:rPr>
        <w:t>voir</w:t>
      </w:r>
      <w:r w:rsidR="008342B8" w:rsidRPr="00DD03D6">
        <w:rPr>
          <w:rFonts w:cs="Arial"/>
          <w:noProof/>
          <w:lang w:val="fr-FR"/>
        </w:rPr>
        <w:t xml:space="preserve"> </w:t>
      </w:r>
      <w:hyperlink r:id="rId17" w:history="1">
        <w:r w:rsidR="008342B8" w:rsidRPr="00DD03D6">
          <w:rPr>
            <w:rStyle w:val="Lienhypertexte"/>
            <w:rFonts w:cs="Arial"/>
            <w:noProof/>
            <w:lang w:val="fr-FR"/>
          </w:rPr>
          <w:t>www.inspire.ie</w:t>
        </w:r>
      </w:hyperlink>
      <w:r w:rsidR="008342B8" w:rsidRPr="00DD03D6">
        <w:rPr>
          <w:rFonts w:cs="Arial"/>
          <w:noProof/>
          <w:lang w:val="fr-FR"/>
        </w:rPr>
        <w:t>)</w:t>
      </w:r>
      <w:r w:rsidR="00AC690D">
        <w:rPr>
          <w:rFonts w:cs="Arial"/>
          <w:noProof/>
          <w:lang w:val="fr-FR"/>
        </w:rPr>
        <w:t>)</w:t>
      </w:r>
      <w:r w:rsidR="008342B8" w:rsidRPr="00DD03D6">
        <w:rPr>
          <w:rFonts w:cs="Arial"/>
          <w:noProof/>
          <w:lang w:val="fr-FR"/>
        </w:rPr>
        <w:t>.</w:t>
      </w:r>
    </w:p>
    <w:p w:rsidR="008342B8" w:rsidRPr="00DD03D6" w:rsidRDefault="00AC690D" w:rsidP="00B11AFE">
      <w:pPr>
        <w:pStyle w:val="Bullet1G"/>
        <w:tabs>
          <w:tab w:val="clear" w:pos="1701"/>
        </w:tabs>
        <w:ind w:left="1843" w:hanging="142"/>
        <w:rPr>
          <w:noProof/>
          <w:lang w:val="fr-FR"/>
        </w:rPr>
      </w:pPr>
      <w:r>
        <w:rPr>
          <w:noProof/>
          <w:lang w:val="fr-FR"/>
        </w:rPr>
        <w:t>l’Office national de prévention du suicide</w:t>
      </w:r>
      <w:r w:rsidRPr="00DD03D6">
        <w:rPr>
          <w:noProof/>
          <w:lang w:val="fr-FR"/>
        </w:rPr>
        <w:t xml:space="preserve"> </w:t>
      </w:r>
      <w:r>
        <w:rPr>
          <w:noProof/>
          <w:lang w:val="fr-FR"/>
        </w:rPr>
        <w:t>finance également plusieurs autres</w:t>
      </w:r>
      <w:r w:rsidR="008342B8" w:rsidRPr="00DD03D6">
        <w:rPr>
          <w:noProof/>
          <w:lang w:val="fr-FR"/>
        </w:rPr>
        <w:t xml:space="preserve"> programm</w:t>
      </w:r>
      <w:r w:rsidR="005D7533" w:rsidRPr="00DD03D6">
        <w:rPr>
          <w:noProof/>
          <w:lang w:val="fr-FR"/>
        </w:rPr>
        <w:t xml:space="preserve">es </w:t>
      </w:r>
      <w:r w:rsidR="00B11AFE">
        <w:rPr>
          <w:noProof/>
          <w:lang w:val="fr-FR"/>
        </w:rPr>
        <w:t>d’auto</w:t>
      </w:r>
      <w:r>
        <w:rPr>
          <w:noProof/>
          <w:lang w:val="fr-FR"/>
        </w:rPr>
        <w:t>assistance pour les jeunes</w:t>
      </w:r>
      <w:r w:rsidR="005D7533" w:rsidRPr="00DD03D6">
        <w:rPr>
          <w:noProof/>
          <w:lang w:val="fr-FR"/>
        </w:rPr>
        <w:t xml:space="preserve">, </w:t>
      </w:r>
      <w:r>
        <w:rPr>
          <w:noProof/>
          <w:lang w:val="fr-FR"/>
        </w:rPr>
        <w:t>notamment</w:t>
      </w:r>
      <w:r w:rsidR="00FC6B3C">
        <w:rPr>
          <w:noProof/>
          <w:lang w:val="fr-FR"/>
        </w:rPr>
        <w:t xml:space="preserve"> </w:t>
      </w:r>
      <w:r w:rsidR="008342B8" w:rsidRPr="00DD03D6">
        <w:rPr>
          <w:noProof/>
          <w:lang w:val="fr-FR"/>
        </w:rPr>
        <w:t>Minding Our Mental Health On-Line</w:t>
      </w:r>
      <w:r w:rsidR="00DE6357" w:rsidRPr="00DD03D6">
        <w:rPr>
          <w:noProof/>
          <w:lang w:val="fr-FR"/>
        </w:rPr>
        <w:t>,</w:t>
      </w:r>
      <w:r w:rsidR="005D7533" w:rsidRPr="00DD03D6">
        <w:rPr>
          <w:noProof/>
          <w:lang w:val="fr-FR"/>
        </w:rPr>
        <w:t xml:space="preserve"> </w:t>
      </w:r>
      <w:r w:rsidR="00FC6B3C">
        <w:rPr>
          <w:noProof/>
          <w:lang w:val="fr-FR"/>
        </w:rPr>
        <w:t>et</w:t>
      </w:r>
      <w:r w:rsidR="005D7533" w:rsidRPr="00DD03D6">
        <w:rPr>
          <w:noProof/>
          <w:lang w:val="fr-FR"/>
        </w:rPr>
        <w:t xml:space="preserve"> </w:t>
      </w:r>
      <w:r w:rsidR="008342B8" w:rsidRPr="00DD03D6">
        <w:rPr>
          <w:noProof/>
          <w:lang w:val="fr-FR"/>
        </w:rPr>
        <w:t xml:space="preserve">Work Out (programme </w:t>
      </w:r>
      <w:r w:rsidR="00FC6B3C">
        <w:rPr>
          <w:noProof/>
          <w:lang w:val="fr-FR"/>
        </w:rPr>
        <w:t>de santé mentale pour les jeunes gens</w:t>
      </w:r>
      <w:r w:rsidR="008342B8" w:rsidRPr="00DD03D6">
        <w:rPr>
          <w:noProof/>
          <w:lang w:val="fr-FR"/>
        </w:rPr>
        <w:t xml:space="preserve">). </w:t>
      </w:r>
      <w:r w:rsidR="00FC6B3C">
        <w:rPr>
          <w:noProof/>
          <w:lang w:val="fr-FR"/>
        </w:rPr>
        <w:t xml:space="preserve">Ces </w:t>
      </w:r>
      <w:r w:rsidR="008342B8" w:rsidRPr="00DD03D6">
        <w:rPr>
          <w:noProof/>
          <w:lang w:val="fr-FR"/>
        </w:rPr>
        <w:t xml:space="preserve">programmes </w:t>
      </w:r>
      <w:r w:rsidR="00FC6B3C">
        <w:rPr>
          <w:noProof/>
          <w:lang w:val="fr-FR"/>
        </w:rPr>
        <w:t xml:space="preserve">sont élaborés et gérés par </w:t>
      </w:r>
      <w:r w:rsidR="008342B8" w:rsidRPr="00DD03D6">
        <w:rPr>
          <w:noProof/>
          <w:lang w:val="fr-FR"/>
        </w:rPr>
        <w:t xml:space="preserve">Inspire Ireland, </w:t>
      </w:r>
      <w:r w:rsidR="00FC6B3C">
        <w:rPr>
          <w:noProof/>
          <w:lang w:val="fr-FR"/>
        </w:rPr>
        <w:t>qui a également entrepris d’élaborer des matériels didactiques à l’intention des jeunes et de leurs parents sur l’automutilation</w:t>
      </w:r>
      <w:r w:rsidR="008342B8" w:rsidRPr="00DD03D6">
        <w:rPr>
          <w:noProof/>
          <w:lang w:val="fr-FR"/>
        </w:rPr>
        <w:t xml:space="preserve">. </w:t>
      </w:r>
      <w:r w:rsidR="00FC6B3C">
        <w:rPr>
          <w:noProof/>
          <w:lang w:val="fr-FR"/>
        </w:rPr>
        <w:t>Tous ces projets sont financés par l’Office national de prévention du suicide</w:t>
      </w:r>
      <w:r w:rsidR="008342B8" w:rsidRPr="00DD03D6">
        <w:rPr>
          <w:noProof/>
          <w:lang w:val="fr-FR"/>
        </w:rPr>
        <w:t>.</w:t>
      </w:r>
    </w:p>
    <w:p w:rsidR="008342B8" w:rsidRPr="00DD03D6" w:rsidRDefault="008342B8" w:rsidP="00B11AFE">
      <w:pPr>
        <w:pStyle w:val="Bullet1G"/>
        <w:tabs>
          <w:tab w:val="clear" w:pos="1701"/>
        </w:tabs>
        <w:ind w:left="1843" w:hanging="142"/>
        <w:rPr>
          <w:noProof/>
          <w:lang w:val="fr-FR"/>
        </w:rPr>
      </w:pPr>
      <w:r w:rsidRPr="00DD03D6">
        <w:rPr>
          <w:noProof/>
          <w:lang w:val="fr-FR"/>
        </w:rPr>
        <w:t xml:space="preserve">Teenline </w:t>
      </w:r>
      <w:r w:rsidR="00500203">
        <w:rPr>
          <w:noProof/>
          <w:lang w:val="fr-FR"/>
        </w:rPr>
        <w:t>est un service d’assistance téléphonique réservé aux jeunes en situation de crise qui offre des services d’appui et d’orientation</w:t>
      </w:r>
      <w:r w:rsidRPr="00DD03D6">
        <w:rPr>
          <w:noProof/>
          <w:lang w:val="fr-FR"/>
        </w:rPr>
        <w:t>.</w:t>
      </w:r>
    </w:p>
    <w:p w:rsidR="008342B8" w:rsidRPr="00DD03D6" w:rsidRDefault="008342B8" w:rsidP="00B11AFE">
      <w:pPr>
        <w:pStyle w:val="Bullet1G"/>
        <w:tabs>
          <w:tab w:val="clear" w:pos="1701"/>
        </w:tabs>
        <w:ind w:left="1843" w:hanging="142"/>
        <w:rPr>
          <w:noProof/>
          <w:lang w:val="fr-FR"/>
        </w:rPr>
      </w:pPr>
      <w:r w:rsidRPr="00DD03D6">
        <w:rPr>
          <w:noProof/>
          <w:lang w:val="fr-FR"/>
        </w:rPr>
        <w:t xml:space="preserve">My Mind </w:t>
      </w:r>
      <w:r w:rsidR="00500203">
        <w:rPr>
          <w:noProof/>
          <w:lang w:val="fr-FR"/>
        </w:rPr>
        <w:t xml:space="preserve">est un </w:t>
      </w:r>
      <w:r w:rsidR="008E6386">
        <w:rPr>
          <w:noProof/>
          <w:lang w:val="fr-FR"/>
        </w:rPr>
        <w:t xml:space="preserve">outil </w:t>
      </w:r>
      <w:r w:rsidR="007D0A6E">
        <w:rPr>
          <w:noProof/>
          <w:lang w:val="fr-FR"/>
        </w:rPr>
        <w:t xml:space="preserve">d’autoaiguillage implanté à Dublin qui </w:t>
      </w:r>
      <w:r w:rsidR="008E6386">
        <w:rPr>
          <w:noProof/>
          <w:lang w:val="fr-FR"/>
        </w:rPr>
        <w:t xml:space="preserve">donne accès à des servides de psychologie et de </w:t>
      </w:r>
      <w:r w:rsidRPr="00DD03D6">
        <w:rPr>
          <w:noProof/>
          <w:lang w:val="fr-FR"/>
        </w:rPr>
        <w:t>psychoth</w:t>
      </w:r>
      <w:r w:rsidR="008E6386">
        <w:rPr>
          <w:noProof/>
          <w:lang w:val="fr-FR"/>
        </w:rPr>
        <w:t>é</w:t>
      </w:r>
      <w:r w:rsidRPr="00DD03D6">
        <w:rPr>
          <w:noProof/>
          <w:lang w:val="fr-FR"/>
        </w:rPr>
        <w:t>rap</w:t>
      </w:r>
      <w:r w:rsidR="008E6386">
        <w:rPr>
          <w:noProof/>
          <w:lang w:val="fr-FR"/>
        </w:rPr>
        <w:t>ie</w:t>
      </w:r>
      <w:r w:rsidRPr="00DD03D6">
        <w:rPr>
          <w:noProof/>
          <w:lang w:val="fr-FR"/>
        </w:rPr>
        <w:t xml:space="preserve">. </w:t>
      </w:r>
      <w:r w:rsidR="008E6386">
        <w:rPr>
          <w:noProof/>
          <w:lang w:val="fr-FR"/>
        </w:rPr>
        <w:t>Il met rapidement et facilement en relation avec des services de santé mentale de proximité</w:t>
      </w:r>
      <w:r w:rsidR="00FA5B0F">
        <w:rPr>
          <w:noProof/>
          <w:lang w:val="fr-FR"/>
        </w:rPr>
        <w:t>,</w:t>
      </w:r>
      <w:r w:rsidR="008E6386">
        <w:rPr>
          <w:noProof/>
          <w:lang w:val="fr-FR"/>
        </w:rPr>
        <w:t xml:space="preserve"> </w:t>
      </w:r>
      <w:r w:rsidR="00FA5B0F">
        <w:rPr>
          <w:noProof/>
          <w:lang w:val="fr-FR"/>
        </w:rPr>
        <w:t xml:space="preserve">un système d’appui en ligne facilitant la fourniture d’un appui à l’échelle du pays. Cet outil sera bientôt disponible à </w:t>
      </w:r>
      <w:r w:rsidRPr="00DD03D6">
        <w:rPr>
          <w:noProof/>
          <w:lang w:val="fr-FR"/>
        </w:rPr>
        <w:t xml:space="preserve">Cork </w:t>
      </w:r>
      <w:r w:rsidR="00FA5B0F">
        <w:rPr>
          <w:noProof/>
          <w:lang w:val="fr-FR"/>
        </w:rPr>
        <w:t xml:space="preserve">et l’on prévoit qu’au cours de sa première année de fonctionnement, </w:t>
      </w:r>
      <w:r w:rsidR="001D0022">
        <w:rPr>
          <w:noProof/>
          <w:lang w:val="fr-FR"/>
        </w:rPr>
        <w:t>environ 300 personnes âgées de moins de 18 ans auront recours à ses services</w:t>
      </w:r>
      <w:r w:rsidRPr="00DD03D6">
        <w:rPr>
          <w:noProof/>
          <w:lang w:val="fr-FR"/>
        </w:rPr>
        <w:t>.</w:t>
      </w:r>
    </w:p>
    <w:p w:rsidR="008342B8" w:rsidRPr="00DD03D6" w:rsidRDefault="001D0022" w:rsidP="00B11AFE">
      <w:pPr>
        <w:pStyle w:val="Bullet1G"/>
        <w:tabs>
          <w:tab w:val="clear" w:pos="1701"/>
        </w:tabs>
        <w:ind w:left="1843" w:hanging="142"/>
        <w:rPr>
          <w:noProof/>
          <w:lang w:val="fr-FR"/>
        </w:rPr>
      </w:pPr>
      <w:r>
        <w:rPr>
          <w:noProof/>
          <w:lang w:val="fr-FR"/>
        </w:rPr>
        <w:t>L’Office national de prévention du suicide, agissant en collaboration avec le Ministère de la santé et le Ministère de l’éducation et de la formation,</w:t>
      </w:r>
      <w:r w:rsidR="00E92D3C">
        <w:rPr>
          <w:noProof/>
          <w:lang w:val="fr-FR"/>
        </w:rPr>
        <w:t xml:space="preserve"> </w:t>
      </w:r>
      <w:r w:rsidR="000E1297">
        <w:rPr>
          <w:noProof/>
          <w:lang w:val="fr-FR"/>
        </w:rPr>
        <w:t>s’apprête à publier de nouvelle</w:t>
      </w:r>
      <w:r w:rsidR="008342B8" w:rsidRPr="00DD03D6">
        <w:rPr>
          <w:noProof/>
          <w:lang w:val="fr-FR"/>
        </w:rPr>
        <w:t>s</w:t>
      </w:r>
      <w:r w:rsidR="000E1297">
        <w:rPr>
          <w:noProof/>
          <w:lang w:val="fr-FR"/>
        </w:rPr>
        <w:t xml:space="preserve"> directives à l’intention des écoles afin de les aider à concevoir une approche de la promotion de la santé mentale et de la prévention du suicide</w:t>
      </w:r>
      <w:r w:rsidR="008342B8" w:rsidRPr="00DD03D6">
        <w:rPr>
          <w:noProof/>
          <w:lang w:val="fr-FR"/>
        </w:rPr>
        <w:t xml:space="preserve">, </w:t>
      </w:r>
      <w:r w:rsidR="000E1297">
        <w:rPr>
          <w:noProof/>
          <w:lang w:val="fr-FR"/>
        </w:rPr>
        <w:t xml:space="preserve">dans le but d’exploiter les bonnes pratiques </w:t>
      </w:r>
      <w:r w:rsidR="00E810B2">
        <w:rPr>
          <w:noProof/>
          <w:lang w:val="fr-FR"/>
        </w:rPr>
        <w:t>déjà en place dans un</w:t>
      </w:r>
      <w:r w:rsidR="000E1297">
        <w:rPr>
          <w:noProof/>
          <w:lang w:val="fr-FR"/>
        </w:rPr>
        <w:t xml:space="preserve"> grand nombre d’établissements postprimaires</w:t>
      </w:r>
      <w:r w:rsidR="008342B8" w:rsidRPr="00DD03D6">
        <w:rPr>
          <w:noProof/>
          <w:lang w:val="fr-FR"/>
        </w:rPr>
        <w:t xml:space="preserve">. </w:t>
      </w:r>
      <w:r w:rsidR="000E1297">
        <w:rPr>
          <w:noProof/>
          <w:lang w:val="fr-FR"/>
        </w:rPr>
        <w:t>Ces directives visent en particulier à aider les conseils d’administration, les équipes de gestion scolaire, les chefs d’établissement, les conseillers d’orientation, les équipes d’aide aux élèves et les enseignants</w:t>
      </w:r>
      <w:r w:rsidR="008342B8" w:rsidRPr="00DD03D6">
        <w:rPr>
          <w:noProof/>
          <w:lang w:val="fr-FR"/>
        </w:rPr>
        <w:t>.</w:t>
      </w:r>
    </w:p>
    <w:p w:rsidR="008342B8" w:rsidRPr="00DD03D6" w:rsidRDefault="00BC1588" w:rsidP="00B11AFE">
      <w:pPr>
        <w:pStyle w:val="Bullet1G"/>
        <w:tabs>
          <w:tab w:val="clear" w:pos="1701"/>
        </w:tabs>
        <w:ind w:left="1843" w:hanging="142"/>
        <w:rPr>
          <w:noProof/>
          <w:lang w:val="fr-FR"/>
        </w:rPr>
      </w:pPr>
      <w:r>
        <w:rPr>
          <w:noProof/>
          <w:lang w:val="fr-FR"/>
        </w:rPr>
        <w:t xml:space="preserve">Le site Web </w:t>
      </w:r>
      <w:hyperlink r:id="rId18" w:history="1">
        <w:r w:rsidR="008342B8" w:rsidRPr="00DD03D6">
          <w:rPr>
            <w:rStyle w:val="Lienhypertexte"/>
            <w:noProof/>
            <w:lang w:val="fr-FR"/>
          </w:rPr>
          <w:t>www.letsomeoneknow.ie</w:t>
        </w:r>
      </w:hyperlink>
      <w:r w:rsidR="008342B8" w:rsidRPr="00DD03D6">
        <w:rPr>
          <w:noProof/>
          <w:lang w:val="fr-FR"/>
        </w:rPr>
        <w:t xml:space="preserve"> </w:t>
      </w:r>
      <w:r>
        <w:rPr>
          <w:noProof/>
          <w:lang w:val="fr-FR"/>
        </w:rPr>
        <w:t xml:space="preserve">est une plate-forme </w:t>
      </w:r>
      <w:r w:rsidR="008342B8" w:rsidRPr="00DD03D6">
        <w:rPr>
          <w:noProof/>
          <w:lang w:val="fr-FR"/>
        </w:rPr>
        <w:t xml:space="preserve">interactive </w:t>
      </w:r>
      <w:r>
        <w:rPr>
          <w:noProof/>
          <w:lang w:val="fr-FR"/>
        </w:rPr>
        <w:t xml:space="preserve">qui vise à mieux sensibiliser les jeunes à la question de la santé </w:t>
      </w:r>
      <w:r w:rsidR="005A36E0">
        <w:rPr>
          <w:noProof/>
          <w:lang w:val="fr-FR"/>
        </w:rPr>
        <w:t xml:space="preserve">et du </w:t>
      </w:r>
      <w:r>
        <w:rPr>
          <w:noProof/>
          <w:lang w:val="fr-FR"/>
        </w:rPr>
        <w:t>bien-être</w:t>
      </w:r>
      <w:r w:rsidR="005A36E0">
        <w:rPr>
          <w:noProof/>
          <w:lang w:val="fr-FR"/>
        </w:rPr>
        <w:t xml:space="preserve"> mentaux</w:t>
      </w:r>
      <w:r>
        <w:rPr>
          <w:noProof/>
          <w:lang w:val="fr-FR"/>
        </w:rPr>
        <w:t>, et à leur fournir les coordonnées d’entités pouvant leur offrir un appiu et des conseils</w:t>
      </w:r>
      <w:r w:rsidR="008342B8" w:rsidRPr="00DD03D6">
        <w:rPr>
          <w:noProof/>
          <w:lang w:val="fr-FR"/>
        </w:rPr>
        <w:t xml:space="preserve">. </w:t>
      </w:r>
      <w:r>
        <w:rPr>
          <w:noProof/>
          <w:lang w:val="fr-FR"/>
        </w:rPr>
        <w:t xml:space="preserve">On y trouve des conseils </w:t>
      </w:r>
      <w:r w:rsidR="005A36E0">
        <w:rPr>
          <w:noProof/>
          <w:lang w:val="fr-FR"/>
        </w:rPr>
        <w:t>et des jeux de questions et r</w:t>
      </w:r>
      <w:r>
        <w:rPr>
          <w:noProof/>
          <w:lang w:val="fr-FR"/>
        </w:rPr>
        <w:t>éponses co</w:t>
      </w:r>
      <w:r w:rsidR="005A36E0">
        <w:rPr>
          <w:noProof/>
          <w:lang w:val="fr-FR"/>
        </w:rPr>
        <w:t>nc</w:t>
      </w:r>
      <w:r>
        <w:rPr>
          <w:noProof/>
          <w:lang w:val="fr-FR"/>
        </w:rPr>
        <w:t>ernant le bien-être des jeunes et de leurs amis, ainsi qu’un agenda personnel</w:t>
      </w:r>
      <w:r w:rsidR="008342B8" w:rsidRPr="00DD03D6">
        <w:rPr>
          <w:noProof/>
          <w:lang w:val="fr-FR"/>
        </w:rPr>
        <w:t xml:space="preserve">. </w:t>
      </w:r>
      <w:r>
        <w:rPr>
          <w:noProof/>
          <w:lang w:val="fr-FR"/>
        </w:rPr>
        <w:t>Ce site a été élaboré dans le cadre de l’ini</w:t>
      </w:r>
      <w:r w:rsidR="005A36E0">
        <w:rPr>
          <w:noProof/>
          <w:lang w:val="fr-FR"/>
        </w:rPr>
        <w:t>tiative de l’Office national de prévention du suicide</w:t>
      </w:r>
      <w:r w:rsidR="005A36E0" w:rsidRPr="00DD03D6">
        <w:rPr>
          <w:noProof/>
          <w:lang w:val="fr-FR"/>
        </w:rPr>
        <w:t xml:space="preserve"> </w:t>
      </w:r>
      <w:r w:rsidR="005A36E0">
        <w:rPr>
          <w:noProof/>
          <w:lang w:val="fr-FR"/>
        </w:rPr>
        <w:t>intitulée Initiative « Votre santé mentale » (</w:t>
      </w:r>
      <w:r w:rsidR="008342B8" w:rsidRPr="00DD03D6">
        <w:rPr>
          <w:noProof/>
          <w:lang w:val="fr-FR"/>
        </w:rPr>
        <w:t>Your Mental Health Awareness Initiative</w:t>
      </w:r>
      <w:r w:rsidR="005A36E0">
        <w:rPr>
          <w:noProof/>
          <w:lang w:val="fr-FR"/>
        </w:rPr>
        <w:t>)</w:t>
      </w:r>
      <w:r w:rsidR="008342B8" w:rsidRPr="00DD03D6">
        <w:rPr>
          <w:noProof/>
          <w:lang w:val="fr-FR"/>
        </w:rPr>
        <w:t>, la</w:t>
      </w:r>
      <w:r w:rsidR="005A36E0">
        <w:rPr>
          <w:noProof/>
          <w:lang w:val="fr-FR"/>
        </w:rPr>
        <w:t>ncée en o</w:t>
      </w:r>
      <w:r w:rsidR="008342B8" w:rsidRPr="00DD03D6">
        <w:rPr>
          <w:noProof/>
          <w:lang w:val="fr-FR"/>
        </w:rPr>
        <w:t>ctob</w:t>
      </w:r>
      <w:r w:rsidR="005A36E0">
        <w:rPr>
          <w:noProof/>
          <w:lang w:val="fr-FR"/>
        </w:rPr>
        <w:t>re</w:t>
      </w:r>
      <w:r w:rsidR="008342B8" w:rsidRPr="00DD03D6">
        <w:rPr>
          <w:noProof/>
          <w:lang w:val="fr-FR"/>
        </w:rPr>
        <w:t xml:space="preserve"> 2007, </w:t>
      </w:r>
      <w:r w:rsidR="005A36E0">
        <w:rPr>
          <w:noProof/>
          <w:lang w:val="fr-FR"/>
        </w:rPr>
        <w:t>qui cherche à aider le grand public à mieux connaître et comprendre les questions relatives à la santé et au bien-être mentaux.</w:t>
      </w:r>
    </w:p>
    <w:p w:rsidR="008342B8" w:rsidRPr="00DD03D6" w:rsidRDefault="005A36E0" w:rsidP="00B11AFE">
      <w:pPr>
        <w:pStyle w:val="Bullet1G"/>
        <w:tabs>
          <w:tab w:val="clear" w:pos="1701"/>
        </w:tabs>
        <w:ind w:left="1843" w:hanging="142"/>
        <w:rPr>
          <w:noProof/>
          <w:lang w:val="fr-FR"/>
        </w:rPr>
      </w:pPr>
      <w:r>
        <w:rPr>
          <w:noProof/>
          <w:lang w:val="fr-FR"/>
        </w:rPr>
        <w:lastRenderedPageBreak/>
        <w:t>La Fondation n</w:t>
      </w:r>
      <w:r w:rsidR="008342B8" w:rsidRPr="00DD03D6">
        <w:rPr>
          <w:noProof/>
          <w:lang w:val="fr-FR"/>
        </w:rPr>
        <w:t>ational</w:t>
      </w:r>
      <w:r>
        <w:rPr>
          <w:noProof/>
          <w:lang w:val="fr-FR"/>
        </w:rPr>
        <w:t>e de recherche sur le s</w:t>
      </w:r>
      <w:r w:rsidR="008342B8" w:rsidRPr="00DD03D6">
        <w:rPr>
          <w:noProof/>
          <w:lang w:val="fr-FR"/>
        </w:rPr>
        <w:t xml:space="preserve">uicide </w:t>
      </w:r>
      <w:r>
        <w:rPr>
          <w:noProof/>
          <w:lang w:val="fr-FR"/>
        </w:rPr>
        <w:t xml:space="preserve">a reçu un financement mixte de l’UE et de l’Office national de prévention du suicide au titre du Projet </w:t>
      </w:r>
      <w:r w:rsidR="008342B8" w:rsidRPr="00DD03D6">
        <w:rPr>
          <w:noProof/>
          <w:lang w:val="fr-FR"/>
        </w:rPr>
        <w:t xml:space="preserve">SEYLE (Saving &amp; Empowering Young Lives in Europe), </w:t>
      </w:r>
      <w:r w:rsidR="00E1400B">
        <w:rPr>
          <w:noProof/>
          <w:lang w:val="fr-FR"/>
        </w:rPr>
        <w:t>qui est un projet multicentrique visant à évaluer l’</w:t>
      </w:r>
      <w:r w:rsidR="008342B8" w:rsidRPr="00DD03D6">
        <w:rPr>
          <w:noProof/>
          <w:lang w:val="fr-FR"/>
        </w:rPr>
        <w:t xml:space="preserve">impact </w:t>
      </w:r>
      <w:r w:rsidR="00E1400B">
        <w:rPr>
          <w:noProof/>
          <w:lang w:val="fr-FR"/>
        </w:rPr>
        <w:t xml:space="preserve">de trois interventions en milieu scolaire destinées à réduire la fréquence des comportements suicidaires et à risque. Ce projet est axé sur l’impact du dépistage sur des </w:t>
      </w:r>
      <w:r w:rsidR="008342B8" w:rsidRPr="00DD03D6">
        <w:rPr>
          <w:noProof/>
          <w:lang w:val="fr-FR"/>
        </w:rPr>
        <w:t>adolescents identifi</w:t>
      </w:r>
      <w:r w:rsidR="00E1400B">
        <w:rPr>
          <w:noProof/>
          <w:lang w:val="fr-FR"/>
        </w:rPr>
        <w:t>és comme étant des cas d’urgence</w:t>
      </w:r>
      <w:r w:rsidR="008342B8" w:rsidRPr="00DD03D6">
        <w:rPr>
          <w:noProof/>
          <w:lang w:val="fr-FR"/>
        </w:rPr>
        <w:t xml:space="preserve">, </w:t>
      </w:r>
      <w:r w:rsidR="00E1400B">
        <w:rPr>
          <w:noProof/>
          <w:lang w:val="fr-FR"/>
        </w:rPr>
        <w:t xml:space="preserve">les évaluations par les </w:t>
      </w:r>
      <w:r w:rsidR="008342B8" w:rsidRPr="00DD03D6">
        <w:rPr>
          <w:noProof/>
          <w:lang w:val="fr-FR"/>
        </w:rPr>
        <w:t>adolescents</w:t>
      </w:r>
      <w:r w:rsidR="00E1400B">
        <w:rPr>
          <w:noProof/>
          <w:lang w:val="fr-FR"/>
        </w:rPr>
        <w:t xml:space="preserve"> d’un projet de sensibilisation à la santé mentale et une évaluation par les pairs des résultats du projet </w:t>
      </w:r>
      <w:r w:rsidR="008342B8" w:rsidRPr="00DD03D6">
        <w:rPr>
          <w:noProof/>
          <w:lang w:val="fr-FR"/>
        </w:rPr>
        <w:t xml:space="preserve">SEYLE </w:t>
      </w:r>
      <w:r w:rsidR="00E1400B">
        <w:rPr>
          <w:noProof/>
          <w:lang w:val="fr-FR"/>
        </w:rPr>
        <w:t>par rapport à la situation de référence</w:t>
      </w:r>
      <w:r w:rsidR="008342B8" w:rsidRPr="00DD03D6">
        <w:rPr>
          <w:noProof/>
          <w:lang w:val="fr-FR"/>
        </w:rPr>
        <w:t xml:space="preserve">, </w:t>
      </w:r>
      <w:r w:rsidR="00E1400B">
        <w:rPr>
          <w:noProof/>
          <w:lang w:val="fr-FR"/>
        </w:rPr>
        <w:t xml:space="preserve">notamment la </w:t>
      </w:r>
      <w:r w:rsidR="008342B8" w:rsidRPr="00DD03D6">
        <w:rPr>
          <w:noProof/>
          <w:lang w:val="fr-FR"/>
        </w:rPr>
        <w:t>pr</w:t>
      </w:r>
      <w:r w:rsidR="00E1400B">
        <w:rPr>
          <w:noProof/>
          <w:lang w:val="fr-FR"/>
        </w:rPr>
        <w:t>é</w:t>
      </w:r>
      <w:r w:rsidR="008342B8" w:rsidRPr="00DD03D6">
        <w:rPr>
          <w:noProof/>
          <w:lang w:val="fr-FR"/>
        </w:rPr>
        <w:t xml:space="preserve">valence </w:t>
      </w:r>
      <w:r w:rsidR="00E1400B">
        <w:rPr>
          <w:noProof/>
          <w:lang w:val="fr-FR"/>
        </w:rPr>
        <w:t>des pensées et comportements suicidaires</w:t>
      </w:r>
      <w:r w:rsidR="008342B8" w:rsidRPr="00DD03D6">
        <w:rPr>
          <w:noProof/>
          <w:lang w:val="fr-FR"/>
        </w:rPr>
        <w:t xml:space="preserve">, </w:t>
      </w:r>
      <w:r w:rsidR="00E1400B">
        <w:rPr>
          <w:noProof/>
          <w:lang w:val="fr-FR"/>
        </w:rPr>
        <w:t>les niveaux d’angoisse</w:t>
      </w:r>
      <w:r w:rsidR="008342B8" w:rsidRPr="00DD03D6">
        <w:rPr>
          <w:noProof/>
          <w:lang w:val="fr-FR"/>
        </w:rPr>
        <w:t xml:space="preserve">, </w:t>
      </w:r>
      <w:r w:rsidR="003B7E58">
        <w:rPr>
          <w:noProof/>
          <w:lang w:val="fr-FR"/>
        </w:rPr>
        <w:t xml:space="preserve">la </w:t>
      </w:r>
      <w:r w:rsidR="008342B8" w:rsidRPr="00DD03D6">
        <w:rPr>
          <w:noProof/>
          <w:lang w:val="fr-FR"/>
        </w:rPr>
        <w:t>d</w:t>
      </w:r>
      <w:r w:rsidR="003B7E58">
        <w:rPr>
          <w:noProof/>
          <w:lang w:val="fr-FR"/>
        </w:rPr>
        <w:t>é</w:t>
      </w:r>
      <w:r w:rsidR="008342B8" w:rsidRPr="00DD03D6">
        <w:rPr>
          <w:noProof/>
          <w:lang w:val="fr-FR"/>
        </w:rPr>
        <w:t xml:space="preserve">pression </w:t>
      </w:r>
      <w:r w:rsidR="003B7E58">
        <w:rPr>
          <w:noProof/>
          <w:lang w:val="fr-FR"/>
        </w:rPr>
        <w:t>et les autres facteurs psychologiques</w:t>
      </w:r>
      <w:r w:rsidR="008342B8" w:rsidRPr="00DD03D6">
        <w:rPr>
          <w:noProof/>
          <w:lang w:val="fr-FR"/>
        </w:rPr>
        <w:t xml:space="preserve">, </w:t>
      </w:r>
      <w:r w:rsidR="003B7E58">
        <w:rPr>
          <w:noProof/>
          <w:lang w:val="fr-FR"/>
        </w:rPr>
        <w:t>comme la consommation de substances psychotropes et les comportements à risque</w:t>
      </w:r>
      <w:r w:rsidR="008342B8" w:rsidRPr="00DD03D6">
        <w:rPr>
          <w:noProof/>
          <w:lang w:val="fr-FR"/>
        </w:rPr>
        <w:t>.</w:t>
      </w:r>
    </w:p>
    <w:p w:rsidR="008342B8" w:rsidRPr="00DD03D6" w:rsidRDefault="003B7E58" w:rsidP="005F3C76">
      <w:pPr>
        <w:pStyle w:val="SingleTxtG"/>
        <w:numPr>
          <w:ilvl w:val="0"/>
          <w:numId w:val="3"/>
        </w:numPr>
        <w:ind w:left="1134" w:firstLine="0"/>
        <w:rPr>
          <w:noProof/>
          <w:lang w:val="fr-FR"/>
        </w:rPr>
      </w:pPr>
      <w:r>
        <w:rPr>
          <w:noProof/>
          <w:lang w:val="fr-FR"/>
        </w:rPr>
        <w:t xml:space="preserve">L’Office national de prévention du suicide </w:t>
      </w:r>
      <w:r w:rsidR="00E6691D">
        <w:rPr>
          <w:noProof/>
          <w:lang w:val="fr-FR"/>
        </w:rPr>
        <w:t>finance également des services nationaux de soutien et d’accompagnement psychologiques pour toute personne en situation de crise ou exposée au risque de suicide</w:t>
      </w:r>
      <w:r w:rsidR="008342B8" w:rsidRPr="00DD03D6">
        <w:rPr>
          <w:noProof/>
          <w:lang w:val="fr-FR"/>
        </w:rPr>
        <w:t xml:space="preserve">, </w:t>
      </w:r>
      <w:r w:rsidR="00E6691D">
        <w:rPr>
          <w:noProof/>
          <w:lang w:val="fr-FR"/>
        </w:rPr>
        <w:t>et pour les personnes en deuil</w:t>
      </w:r>
      <w:r w:rsidR="008342B8" w:rsidRPr="00DD03D6">
        <w:rPr>
          <w:noProof/>
          <w:lang w:val="fr-FR"/>
        </w:rPr>
        <w:t xml:space="preserve">. </w:t>
      </w:r>
      <w:r w:rsidR="00E6691D">
        <w:rPr>
          <w:noProof/>
          <w:lang w:val="fr-FR"/>
        </w:rPr>
        <w:t>Ces</w:t>
      </w:r>
      <w:r w:rsidR="008342B8" w:rsidRPr="00DD03D6">
        <w:rPr>
          <w:noProof/>
          <w:lang w:val="fr-FR"/>
        </w:rPr>
        <w:t xml:space="preserve"> services, </w:t>
      </w:r>
      <w:r w:rsidR="00E6691D">
        <w:rPr>
          <w:noProof/>
          <w:lang w:val="fr-FR"/>
        </w:rPr>
        <w:t xml:space="preserve">tels que les </w:t>
      </w:r>
      <w:r w:rsidR="008342B8" w:rsidRPr="00DD03D6">
        <w:rPr>
          <w:noProof/>
          <w:lang w:val="fr-FR"/>
        </w:rPr>
        <w:t>Samarita</w:t>
      </w:r>
      <w:r w:rsidR="00E6691D">
        <w:rPr>
          <w:noProof/>
          <w:lang w:val="fr-FR"/>
        </w:rPr>
        <w:t>i</w:t>
      </w:r>
      <w:r w:rsidR="008342B8" w:rsidRPr="00DD03D6">
        <w:rPr>
          <w:noProof/>
          <w:lang w:val="fr-FR"/>
        </w:rPr>
        <w:t xml:space="preserve">ns, Console </w:t>
      </w:r>
      <w:r w:rsidR="00E6691D">
        <w:rPr>
          <w:noProof/>
          <w:lang w:val="fr-FR"/>
        </w:rPr>
        <w:t>et</w:t>
      </w:r>
      <w:r w:rsidR="008342B8" w:rsidRPr="00DD03D6">
        <w:rPr>
          <w:noProof/>
          <w:lang w:val="fr-FR"/>
        </w:rPr>
        <w:t xml:space="preserve"> Pieta House, </w:t>
      </w:r>
      <w:r w:rsidR="00E6691D">
        <w:rPr>
          <w:noProof/>
          <w:lang w:val="fr-FR"/>
        </w:rPr>
        <w:t>sont utilisés par tous les groupes d’âges, notamment les adolescents</w:t>
      </w:r>
      <w:r w:rsidR="008342B8" w:rsidRPr="00DD03D6">
        <w:rPr>
          <w:noProof/>
          <w:lang w:val="fr-FR"/>
        </w:rPr>
        <w:t>.</w:t>
      </w:r>
    </w:p>
    <w:p w:rsidR="008342B8" w:rsidRPr="00DD03D6" w:rsidRDefault="00E6691D" w:rsidP="005F3C76">
      <w:pPr>
        <w:pStyle w:val="SingleTxtG"/>
        <w:numPr>
          <w:ilvl w:val="0"/>
          <w:numId w:val="3"/>
        </w:numPr>
        <w:ind w:left="1134" w:firstLine="0"/>
        <w:rPr>
          <w:noProof/>
          <w:lang w:val="fr-FR"/>
        </w:rPr>
      </w:pPr>
      <w:r>
        <w:rPr>
          <w:noProof/>
          <w:lang w:val="fr-FR"/>
        </w:rPr>
        <w:t>Outre l’Office national de prévention du suicide</w:t>
      </w:r>
      <w:r w:rsidR="008342B8" w:rsidRPr="00DD03D6">
        <w:rPr>
          <w:noProof/>
          <w:lang w:val="fr-FR"/>
        </w:rPr>
        <w:t xml:space="preserve">, </w:t>
      </w:r>
      <w:r>
        <w:rPr>
          <w:noProof/>
          <w:lang w:val="fr-FR"/>
        </w:rPr>
        <w:t xml:space="preserve">la Direction des services de santé peut compter sur </w:t>
      </w:r>
      <w:r w:rsidR="008342B8" w:rsidRPr="00DD03D6">
        <w:rPr>
          <w:noProof/>
          <w:lang w:val="fr-FR"/>
        </w:rPr>
        <w:t xml:space="preserve">11 </w:t>
      </w:r>
      <w:r>
        <w:rPr>
          <w:noProof/>
          <w:lang w:val="fr-FR"/>
        </w:rPr>
        <w:t>conseillers régionaux en prévention du suicide</w:t>
      </w:r>
      <w:r w:rsidR="008342B8" w:rsidRPr="00DD03D6">
        <w:rPr>
          <w:noProof/>
          <w:lang w:val="fr-FR"/>
        </w:rPr>
        <w:t xml:space="preserve">. </w:t>
      </w:r>
      <w:r>
        <w:rPr>
          <w:noProof/>
          <w:lang w:val="fr-FR"/>
        </w:rPr>
        <w:t xml:space="preserve">Ces agents jouent un rôle déterminant dans le renforcement de la capacité des </w:t>
      </w:r>
      <w:r w:rsidR="006640DD">
        <w:rPr>
          <w:noProof/>
          <w:lang w:val="fr-FR"/>
        </w:rPr>
        <w:t>communaut</w:t>
      </w:r>
      <w:r>
        <w:rPr>
          <w:noProof/>
          <w:lang w:val="fr-FR"/>
        </w:rPr>
        <w:t xml:space="preserve">és de faire face au </w:t>
      </w:r>
      <w:r w:rsidR="008342B8" w:rsidRPr="00DD03D6">
        <w:rPr>
          <w:noProof/>
          <w:lang w:val="fr-FR"/>
        </w:rPr>
        <w:t xml:space="preserve">suicide. </w:t>
      </w:r>
      <w:r>
        <w:rPr>
          <w:noProof/>
          <w:lang w:val="fr-FR"/>
        </w:rPr>
        <w:t xml:space="preserve">Ces conseillers ont, en </w:t>
      </w:r>
      <w:r w:rsidR="008342B8" w:rsidRPr="00DD03D6">
        <w:rPr>
          <w:noProof/>
          <w:lang w:val="fr-FR"/>
        </w:rPr>
        <w:t xml:space="preserve">consultation </w:t>
      </w:r>
      <w:r>
        <w:rPr>
          <w:noProof/>
          <w:lang w:val="fr-FR"/>
        </w:rPr>
        <w:t xml:space="preserve">avec l’Office national et d’autres </w:t>
      </w:r>
      <w:r w:rsidR="00030707">
        <w:rPr>
          <w:noProof/>
          <w:lang w:val="fr-FR"/>
        </w:rPr>
        <w:t>acteur</w:t>
      </w:r>
      <w:r>
        <w:rPr>
          <w:noProof/>
          <w:lang w:val="fr-FR"/>
        </w:rPr>
        <w:t xml:space="preserve">s, élaboré des plans d’action </w:t>
      </w:r>
      <w:r w:rsidR="006640DD">
        <w:rPr>
          <w:noProof/>
          <w:lang w:val="fr-FR"/>
        </w:rPr>
        <w:t xml:space="preserve">pour prévenir le </w:t>
      </w:r>
      <w:r w:rsidR="008342B8" w:rsidRPr="00DD03D6">
        <w:rPr>
          <w:noProof/>
          <w:lang w:val="fr-FR"/>
        </w:rPr>
        <w:t xml:space="preserve">suicide </w:t>
      </w:r>
      <w:r w:rsidR="006640DD">
        <w:rPr>
          <w:noProof/>
          <w:lang w:val="fr-FR"/>
        </w:rPr>
        <w:t>et promouvoir la santé mentale dans de nombreuses communautés de leurs régions respectives</w:t>
      </w:r>
      <w:r w:rsidR="008342B8" w:rsidRPr="00DD03D6">
        <w:rPr>
          <w:noProof/>
          <w:lang w:val="fr-FR"/>
        </w:rPr>
        <w:t xml:space="preserve">. </w:t>
      </w:r>
      <w:r w:rsidR="006640DD">
        <w:rPr>
          <w:noProof/>
          <w:lang w:val="fr-FR"/>
        </w:rPr>
        <w:t xml:space="preserve">Ces plans d’action sont axés sur la prévention du </w:t>
      </w:r>
      <w:r w:rsidR="008342B8" w:rsidRPr="00DD03D6">
        <w:rPr>
          <w:noProof/>
          <w:lang w:val="fr-FR"/>
        </w:rPr>
        <w:t xml:space="preserve">suicide, </w:t>
      </w:r>
      <w:r w:rsidR="006640DD">
        <w:rPr>
          <w:noProof/>
          <w:lang w:val="fr-FR"/>
        </w:rPr>
        <w:t>l’</w:t>
      </w:r>
      <w:r w:rsidR="008342B8" w:rsidRPr="00DD03D6">
        <w:rPr>
          <w:noProof/>
          <w:lang w:val="fr-FR"/>
        </w:rPr>
        <w:t xml:space="preserve">intervention, </w:t>
      </w:r>
      <w:r w:rsidR="006640DD">
        <w:rPr>
          <w:noProof/>
          <w:lang w:val="fr-FR"/>
        </w:rPr>
        <w:t>le soutien aux personnes endeuillées par le suicide et la capacité de prévenir le suicide d’une façon réfléchie et pratique</w:t>
      </w:r>
      <w:r w:rsidR="008342B8" w:rsidRPr="00DD03D6">
        <w:rPr>
          <w:noProof/>
          <w:lang w:val="fr-FR"/>
        </w:rPr>
        <w:t xml:space="preserve">. </w:t>
      </w:r>
      <w:r w:rsidR="006640DD">
        <w:rPr>
          <w:noProof/>
          <w:lang w:val="fr-FR"/>
        </w:rPr>
        <w:t>De nombreuses initiatives locales visent à répondre aux besoins des jeunes</w:t>
      </w:r>
      <w:r w:rsidR="008342B8" w:rsidRPr="00DD03D6">
        <w:rPr>
          <w:noProof/>
          <w:lang w:val="fr-FR"/>
        </w:rPr>
        <w:t>.</w:t>
      </w:r>
    </w:p>
    <w:p w:rsidR="008342B8" w:rsidRPr="00DD03D6" w:rsidRDefault="003D0F58" w:rsidP="003A2811">
      <w:pPr>
        <w:pStyle w:val="H1G"/>
        <w:rPr>
          <w:noProof/>
          <w:lang w:val="fr-FR"/>
        </w:rPr>
      </w:pPr>
      <w:bookmarkStart w:id="28" w:name="_Toc356430856"/>
      <w:r w:rsidRPr="00DD03D6">
        <w:rPr>
          <w:noProof/>
          <w:lang w:val="fr-FR"/>
        </w:rPr>
        <w:tab/>
      </w:r>
      <w:r w:rsidR="008342B8" w:rsidRPr="00DD03D6">
        <w:rPr>
          <w:noProof/>
          <w:lang w:val="fr-FR"/>
        </w:rPr>
        <w:t>D.</w:t>
      </w:r>
      <w:r w:rsidR="008342B8" w:rsidRPr="00DD03D6">
        <w:rPr>
          <w:noProof/>
          <w:lang w:val="fr-FR"/>
        </w:rPr>
        <w:tab/>
        <w:t xml:space="preserve">Respect </w:t>
      </w:r>
      <w:r w:rsidR="006640DD">
        <w:rPr>
          <w:noProof/>
          <w:lang w:val="fr-FR"/>
        </w:rPr>
        <w:t xml:space="preserve">des opinions de l’enfant </w:t>
      </w:r>
      <w:bookmarkEnd w:id="28"/>
    </w:p>
    <w:p w:rsidR="008342B8" w:rsidRPr="00DD03D6" w:rsidRDefault="00C178FD" w:rsidP="00997BAB">
      <w:pPr>
        <w:pStyle w:val="SingleTxtG"/>
        <w:numPr>
          <w:ilvl w:val="0"/>
          <w:numId w:val="3"/>
        </w:numPr>
        <w:ind w:left="1134" w:firstLine="0"/>
        <w:rPr>
          <w:noProof/>
          <w:lang w:val="fr-FR"/>
        </w:rPr>
      </w:pPr>
      <w:r>
        <w:rPr>
          <w:noProof/>
          <w:lang w:val="fr-FR"/>
        </w:rPr>
        <w:t xml:space="preserve">Comme l’a indiqué le deuxième rapport périodique de l’Irlande, des progrès significatifs ont été accomplis entre </w:t>
      </w:r>
      <w:r w:rsidR="008342B8" w:rsidRPr="00DD03D6">
        <w:rPr>
          <w:noProof/>
          <w:lang w:val="fr-FR"/>
        </w:rPr>
        <w:t xml:space="preserve">1995 </w:t>
      </w:r>
      <w:r>
        <w:rPr>
          <w:noProof/>
          <w:lang w:val="fr-FR"/>
        </w:rPr>
        <w:t>et</w:t>
      </w:r>
      <w:r w:rsidR="008342B8" w:rsidRPr="00DD03D6">
        <w:rPr>
          <w:noProof/>
          <w:lang w:val="fr-FR"/>
        </w:rPr>
        <w:t xml:space="preserve"> 2005 </w:t>
      </w:r>
      <w:r>
        <w:rPr>
          <w:noProof/>
          <w:lang w:val="fr-FR"/>
        </w:rPr>
        <w:t xml:space="preserve">en ce qui concerne la mise en place de </w:t>
      </w:r>
      <w:r w:rsidR="008342B8" w:rsidRPr="00DD03D6">
        <w:rPr>
          <w:noProof/>
          <w:lang w:val="fr-FR"/>
        </w:rPr>
        <w:t>m</w:t>
      </w:r>
      <w:r>
        <w:rPr>
          <w:noProof/>
          <w:lang w:val="fr-FR"/>
        </w:rPr>
        <w:t>éc</w:t>
      </w:r>
      <w:r w:rsidR="008342B8" w:rsidRPr="00DD03D6">
        <w:rPr>
          <w:noProof/>
          <w:lang w:val="fr-FR"/>
        </w:rPr>
        <w:t>anism</w:t>
      </w:r>
      <w:r>
        <w:rPr>
          <w:noProof/>
          <w:lang w:val="fr-FR"/>
        </w:rPr>
        <w:t>e</w:t>
      </w:r>
      <w:r w:rsidR="008342B8" w:rsidRPr="00DD03D6">
        <w:rPr>
          <w:noProof/>
          <w:lang w:val="fr-FR"/>
        </w:rPr>
        <w:t xml:space="preserve">s </w:t>
      </w:r>
      <w:r>
        <w:rPr>
          <w:noProof/>
          <w:lang w:val="fr-FR"/>
        </w:rPr>
        <w:t xml:space="preserve">et de </w:t>
      </w:r>
      <w:r w:rsidR="008342B8" w:rsidRPr="00DD03D6">
        <w:rPr>
          <w:noProof/>
          <w:lang w:val="fr-FR"/>
        </w:rPr>
        <w:t xml:space="preserve">structures </w:t>
      </w:r>
      <w:r>
        <w:rPr>
          <w:noProof/>
          <w:lang w:val="fr-FR"/>
        </w:rPr>
        <w:t>permet</w:t>
      </w:r>
      <w:r w:rsidR="00915CC4">
        <w:rPr>
          <w:noProof/>
          <w:lang w:val="fr-FR"/>
        </w:rPr>
        <w:t>t</w:t>
      </w:r>
      <w:r>
        <w:rPr>
          <w:noProof/>
          <w:lang w:val="fr-FR"/>
        </w:rPr>
        <w:t>ant aux enfants de se faire entendre dans le cadre de la Stratégie nationale en faveur des enfants et du Bureau national des enfants</w:t>
      </w:r>
      <w:r w:rsidR="008342B8" w:rsidRPr="00DD03D6">
        <w:rPr>
          <w:rStyle w:val="Appelnotedebasdep"/>
          <w:noProof/>
          <w:lang w:val="fr-FR"/>
        </w:rPr>
        <w:footnoteReference w:id="13"/>
      </w:r>
      <w:r w:rsidR="00915CC4">
        <w:rPr>
          <w:noProof/>
          <w:lang w:val="fr-FR"/>
        </w:rPr>
        <w:t>.</w:t>
      </w:r>
      <w:r w:rsidR="008342B8" w:rsidRPr="00DD03D6">
        <w:rPr>
          <w:noProof/>
          <w:lang w:val="fr-FR"/>
        </w:rPr>
        <w:t xml:space="preserve"> </w:t>
      </w:r>
    </w:p>
    <w:p w:rsidR="003D0F58" w:rsidRPr="00DD03D6" w:rsidRDefault="00915CC4" w:rsidP="005D7533">
      <w:pPr>
        <w:pStyle w:val="SingleTxtG"/>
        <w:numPr>
          <w:ilvl w:val="0"/>
          <w:numId w:val="3"/>
        </w:numPr>
        <w:ind w:left="1134" w:firstLine="0"/>
        <w:rPr>
          <w:noProof/>
          <w:lang w:val="fr-FR"/>
        </w:rPr>
      </w:pPr>
      <w:r>
        <w:rPr>
          <w:noProof/>
          <w:lang w:val="fr-FR"/>
        </w:rPr>
        <w:t xml:space="preserve">La base </w:t>
      </w:r>
      <w:r w:rsidR="003D0F58" w:rsidRPr="00DD03D6">
        <w:rPr>
          <w:noProof/>
          <w:lang w:val="fr-FR"/>
        </w:rPr>
        <w:t>l</w:t>
      </w:r>
      <w:r>
        <w:rPr>
          <w:noProof/>
          <w:lang w:val="fr-FR"/>
        </w:rPr>
        <w:t>é</w:t>
      </w:r>
      <w:r w:rsidR="003D0F58" w:rsidRPr="00DD03D6">
        <w:rPr>
          <w:noProof/>
          <w:lang w:val="fr-FR"/>
        </w:rPr>
        <w:t xml:space="preserve">gislative </w:t>
      </w:r>
      <w:r>
        <w:rPr>
          <w:noProof/>
          <w:lang w:val="fr-FR"/>
        </w:rPr>
        <w:t xml:space="preserve">applicable à la nécessité d’entendre les opinions de l’enfant </w:t>
      </w:r>
      <w:r w:rsidR="00045D83">
        <w:rPr>
          <w:noProof/>
          <w:lang w:val="fr-FR"/>
        </w:rPr>
        <w:t>est inscrite</w:t>
      </w:r>
      <w:r>
        <w:rPr>
          <w:noProof/>
          <w:lang w:val="fr-FR"/>
        </w:rPr>
        <w:t xml:space="preserve"> dans un certain nombre de</w:t>
      </w:r>
      <w:r w:rsidR="00045D83">
        <w:rPr>
          <w:noProof/>
          <w:lang w:val="fr-FR"/>
        </w:rPr>
        <w:t xml:space="preserve"> </w:t>
      </w:r>
      <w:r>
        <w:rPr>
          <w:noProof/>
          <w:lang w:val="fr-FR"/>
        </w:rPr>
        <w:t>lois, parmi lesquelles la loi de 1991 sur la protection de l’enfance</w:t>
      </w:r>
      <w:r w:rsidR="003D0F58" w:rsidRPr="00DD03D6">
        <w:rPr>
          <w:noProof/>
          <w:lang w:val="fr-FR"/>
        </w:rPr>
        <w:t xml:space="preserve">, </w:t>
      </w:r>
      <w:r>
        <w:rPr>
          <w:noProof/>
          <w:lang w:val="fr-FR"/>
        </w:rPr>
        <w:t xml:space="preserve">qui porte principalement sur la </w:t>
      </w:r>
      <w:r w:rsidR="003D0F58" w:rsidRPr="00DD03D6">
        <w:rPr>
          <w:noProof/>
          <w:lang w:val="fr-FR"/>
        </w:rPr>
        <w:t>protection</w:t>
      </w:r>
      <w:r>
        <w:rPr>
          <w:noProof/>
          <w:lang w:val="fr-FR"/>
        </w:rPr>
        <w:t xml:space="preserve"> des enfants</w:t>
      </w:r>
      <w:r w:rsidR="003D0F58" w:rsidRPr="00DD03D6">
        <w:rPr>
          <w:noProof/>
          <w:lang w:val="fr-FR"/>
        </w:rPr>
        <w:t xml:space="preserve">, </w:t>
      </w:r>
      <w:r>
        <w:rPr>
          <w:noProof/>
          <w:lang w:val="fr-FR"/>
        </w:rPr>
        <w:t>la loi de 1964 sur la tutelle des enfants et la loi de 2001 sur les enfants</w:t>
      </w:r>
      <w:r w:rsidR="005D7533" w:rsidRPr="00DD03D6">
        <w:rPr>
          <w:noProof/>
          <w:lang w:val="fr-FR"/>
        </w:rPr>
        <w:t xml:space="preserve">. </w:t>
      </w:r>
      <w:r>
        <w:rPr>
          <w:noProof/>
          <w:lang w:val="fr-FR"/>
        </w:rPr>
        <w:t xml:space="preserve">Le nouvel article </w:t>
      </w:r>
      <w:r w:rsidR="005D7533" w:rsidRPr="00DD03D6">
        <w:rPr>
          <w:noProof/>
          <w:lang w:val="fr-FR"/>
        </w:rPr>
        <w:t xml:space="preserve">42A 4.2 </w:t>
      </w:r>
      <w:r>
        <w:rPr>
          <w:noProof/>
          <w:lang w:val="fr-FR"/>
        </w:rPr>
        <w:t xml:space="preserve">de la Constitution intitulé </w:t>
      </w:r>
      <w:r w:rsidR="003F36DD">
        <w:rPr>
          <w:noProof/>
          <w:lang w:val="fr-FR"/>
        </w:rPr>
        <w:t>« </w:t>
      </w:r>
      <w:r>
        <w:rPr>
          <w:noProof/>
          <w:lang w:val="fr-FR"/>
        </w:rPr>
        <w:t>Les enfants</w:t>
      </w:r>
      <w:r w:rsidR="003F36DD">
        <w:rPr>
          <w:noProof/>
          <w:lang w:val="fr-FR"/>
        </w:rPr>
        <w:t> »</w:t>
      </w:r>
      <w:r w:rsidR="003D0F58" w:rsidRPr="00DD03D6">
        <w:rPr>
          <w:noProof/>
          <w:lang w:val="fr-FR"/>
        </w:rPr>
        <w:t xml:space="preserve"> </w:t>
      </w:r>
      <w:r>
        <w:rPr>
          <w:noProof/>
          <w:lang w:val="fr-FR"/>
        </w:rPr>
        <w:t>renforce encore ce principe</w:t>
      </w:r>
      <w:r w:rsidR="00045D83">
        <w:rPr>
          <w:noProof/>
          <w:lang w:val="fr-FR"/>
        </w:rPr>
        <w:t xml:space="preserve"> </w:t>
      </w:r>
      <w:r w:rsidR="003D0F58" w:rsidRPr="00DD03D6">
        <w:rPr>
          <w:noProof/>
          <w:lang w:val="fr-FR"/>
        </w:rPr>
        <w:t xml:space="preserve">: </w:t>
      </w:r>
      <w:r w:rsidR="00045D83">
        <w:rPr>
          <w:noProof/>
          <w:lang w:val="fr-FR"/>
        </w:rPr>
        <w:t>il requiert l’adoption d’une disposition législative selon laquelle, dans les procédures relatives à la sécurité et au bien-être d’un enfant engagées par l’État ou les procédures concernant l’</w:t>
      </w:r>
      <w:r w:rsidR="00045D83" w:rsidRPr="00DD03D6">
        <w:rPr>
          <w:noProof/>
          <w:lang w:val="fr-FR"/>
        </w:rPr>
        <w:t xml:space="preserve">adoption, </w:t>
      </w:r>
      <w:r w:rsidR="00045D83">
        <w:rPr>
          <w:noProof/>
          <w:lang w:val="fr-FR"/>
        </w:rPr>
        <w:t>la tutelle ou la garde d’un enfant ou le droit de visite, les opinions de l’enfant doivent être sollicitées et prises dûment en considération compte tenu de son âge et de son degré de maturité</w:t>
      </w:r>
      <w:r w:rsidR="003D0F58" w:rsidRPr="00DD03D6">
        <w:rPr>
          <w:noProof/>
          <w:lang w:val="fr-FR"/>
        </w:rPr>
        <w:t>.</w:t>
      </w:r>
    </w:p>
    <w:p w:rsidR="003D0F58" w:rsidRPr="00DD03D6" w:rsidRDefault="00805517" w:rsidP="00805517">
      <w:pPr>
        <w:pStyle w:val="H23G"/>
        <w:rPr>
          <w:noProof/>
          <w:lang w:val="fr-FR"/>
        </w:rPr>
      </w:pPr>
      <w:r w:rsidRPr="00DD03D6">
        <w:rPr>
          <w:noProof/>
          <w:lang w:val="fr-FR"/>
        </w:rPr>
        <w:tab/>
      </w:r>
      <w:r w:rsidRPr="00DD03D6">
        <w:rPr>
          <w:noProof/>
          <w:lang w:val="fr-FR"/>
        </w:rPr>
        <w:tab/>
      </w:r>
      <w:r w:rsidR="003D0F58" w:rsidRPr="00DD03D6">
        <w:rPr>
          <w:noProof/>
          <w:lang w:val="fr-FR"/>
        </w:rPr>
        <w:t>Adoption</w:t>
      </w:r>
    </w:p>
    <w:p w:rsidR="003D0F58" w:rsidRPr="00DD03D6" w:rsidRDefault="00CE2BCB" w:rsidP="00805517">
      <w:pPr>
        <w:pStyle w:val="SingleTxtG"/>
        <w:numPr>
          <w:ilvl w:val="0"/>
          <w:numId w:val="3"/>
        </w:numPr>
        <w:ind w:left="1134" w:firstLine="0"/>
        <w:rPr>
          <w:noProof/>
          <w:lang w:val="fr-FR"/>
        </w:rPr>
      </w:pPr>
      <w:r>
        <w:rPr>
          <w:noProof/>
          <w:lang w:val="fr-FR"/>
        </w:rPr>
        <w:t>La loi de 2010 sur l’a</w:t>
      </w:r>
      <w:r w:rsidR="003D0F58" w:rsidRPr="00DD03D6">
        <w:rPr>
          <w:noProof/>
          <w:lang w:val="fr-FR"/>
        </w:rPr>
        <w:t xml:space="preserve">doption </w:t>
      </w:r>
      <w:r>
        <w:rPr>
          <w:noProof/>
          <w:lang w:val="fr-FR"/>
        </w:rPr>
        <w:t>dispose que l’Autorité en matière d’adoption doit entendre les opinions de tout enfant faisant l’objet d’une demande d’</w:t>
      </w:r>
      <w:r w:rsidR="003D0F58" w:rsidRPr="00DD03D6">
        <w:rPr>
          <w:noProof/>
          <w:lang w:val="fr-FR"/>
        </w:rPr>
        <w:t xml:space="preserve">adoption </w:t>
      </w:r>
      <w:r>
        <w:rPr>
          <w:noProof/>
          <w:lang w:val="fr-FR"/>
        </w:rPr>
        <w:t xml:space="preserve">qui a atteint l’âge de </w:t>
      </w:r>
      <w:r w:rsidR="00B11AFE">
        <w:rPr>
          <w:noProof/>
          <w:lang w:val="fr-FR"/>
        </w:rPr>
        <w:t>7 </w:t>
      </w:r>
      <w:r>
        <w:rPr>
          <w:noProof/>
          <w:lang w:val="fr-FR"/>
        </w:rPr>
        <w:t xml:space="preserve">ans et les prendre dûment en considération compte tenu de son âge et de son </w:t>
      </w:r>
      <w:r>
        <w:rPr>
          <w:noProof/>
          <w:lang w:val="fr-FR"/>
        </w:rPr>
        <w:lastRenderedPageBreak/>
        <w:t>degré de maturité</w:t>
      </w:r>
      <w:r w:rsidR="003D0F58" w:rsidRPr="00DD03D6">
        <w:rPr>
          <w:noProof/>
          <w:lang w:val="fr-FR"/>
        </w:rPr>
        <w:t xml:space="preserve">. </w:t>
      </w:r>
      <w:r>
        <w:rPr>
          <w:noProof/>
          <w:lang w:val="fr-FR"/>
        </w:rPr>
        <w:t>La législation relative à l’ad</w:t>
      </w:r>
      <w:r w:rsidR="003D0F58" w:rsidRPr="00DD03D6">
        <w:rPr>
          <w:noProof/>
          <w:lang w:val="fr-FR"/>
        </w:rPr>
        <w:t xml:space="preserve">option </w:t>
      </w:r>
      <w:r>
        <w:rPr>
          <w:noProof/>
          <w:lang w:val="fr-FR"/>
        </w:rPr>
        <w:t>est en cours de révision à la lumière du récent référendum sur les enfants, afin de s’assurer que les opinions de l’enfant sont respectées à chaque étape de la procédure d’adoption</w:t>
      </w:r>
      <w:r w:rsidR="003D0F58" w:rsidRPr="00DD03D6">
        <w:rPr>
          <w:noProof/>
          <w:lang w:val="fr-FR"/>
        </w:rPr>
        <w:t>.</w:t>
      </w:r>
    </w:p>
    <w:p w:rsidR="003D0F58" w:rsidRPr="00DD03D6" w:rsidRDefault="00961173" w:rsidP="00961173">
      <w:pPr>
        <w:pStyle w:val="H23G"/>
        <w:ind w:firstLine="0"/>
        <w:rPr>
          <w:noProof/>
          <w:lang w:val="fr-FR"/>
        </w:rPr>
      </w:pPr>
      <w:r>
        <w:rPr>
          <w:noProof/>
          <w:lang w:val="fr-FR"/>
        </w:rPr>
        <w:t xml:space="preserve">Protection des enfants </w:t>
      </w:r>
    </w:p>
    <w:p w:rsidR="003D0F58" w:rsidRDefault="00961173" w:rsidP="003D0F58">
      <w:pPr>
        <w:pStyle w:val="SingleTxtG"/>
        <w:numPr>
          <w:ilvl w:val="0"/>
          <w:numId w:val="3"/>
        </w:numPr>
        <w:ind w:left="1134" w:firstLine="0"/>
        <w:rPr>
          <w:noProof/>
          <w:lang w:val="fr-FR"/>
        </w:rPr>
      </w:pPr>
      <w:r>
        <w:rPr>
          <w:noProof/>
          <w:lang w:val="fr-FR"/>
        </w:rPr>
        <w:t xml:space="preserve">En vertu de la norme </w:t>
      </w:r>
      <w:r w:rsidR="003D0F58" w:rsidRPr="00DD03D6">
        <w:rPr>
          <w:noProof/>
          <w:lang w:val="fr-FR"/>
        </w:rPr>
        <w:t xml:space="preserve">1.2 </w:t>
      </w:r>
      <w:r>
        <w:rPr>
          <w:noProof/>
          <w:lang w:val="fr-FR"/>
        </w:rPr>
        <w:t>des Normes n</w:t>
      </w:r>
      <w:r w:rsidR="003D0F58" w:rsidRPr="00DD03D6">
        <w:rPr>
          <w:noProof/>
          <w:lang w:val="fr-FR"/>
        </w:rPr>
        <w:t>ational</w:t>
      </w:r>
      <w:r>
        <w:rPr>
          <w:noProof/>
          <w:lang w:val="fr-FR"/>
        </w:rPr>
        <w:t>es concernant la p</w:t>
      </w:r>
      <w:r w:rsidR="003D0F58" w:rsidRPr="00DD03D6">
        <w:rPr>
          <w:noProof/>
          <w:lang w:val="fr-FR"/>
        </w:rPr>
        <w:t xml:space="preserve">rotection </w:t>
      </w:r>
      <w:r>
        <w:rPr>
          <w:noProof/>
          <w:lang w:val="fr-FR"/>
        </w:rPr>
        <w:t xml:space="preserve">des enfants et l’assistance aux enfants </w:t>
      </w:r>
      <w:r w:rsidR="005D7533" w:rsidRPr="00DD03D6">
        <w:rPr>
          <w:noProof/>
          <w:lang w:val="fr-FR"/>
        </w:rPr>
        <w:t>(</w:t>
      </w:r>
      <w:r>
        <w:rPr>
          <w:noProof/>
          <w:lang w:val="fr-FR"/>
        </w:rPr>
        <w:t>Bureau de l’information sanitaire et de la qualité des services sanitaires</w:t>
      </w:r>
      <w:r w:rsidR="005D7533" w:rsidRPr="00DD03D6">
        <w:rPr>
          <w:noProof/>
          <w:lang w:val="fr-FR"/>
        </w:rPr>
        <w:t>, 2012a)</w:t>
      </w:r>
      <w:r>
        <w:rPr>
          <w:noProof/>
          <w:lang w:val="fr-FR"/>
        </w:rPr>
        <w:t>,</w:t>
      </w:r>
      <w:r w:rsidR="005D7533" w:rsidRPr="00DD03D6">
        <w:rPr>
          <w:noProof/>
          <w:lang w:val="fr-FR"/>
        </w:rPr>
        <w:t xml:space="preserve"> </w:t>
      </w:r>
      <w:r w:rsidR="003F36DD">
        <w:rPr>
          <w:noProof/>
          <w:lang w:val="fr-FR"/>
        </w:rPr>
        <w:t>« </w:t>
      </w:r>
      <w:r>
        <w:rPr>
          <w:noProof/>
          <w:lang w:val="fr-FR"/>
        </w:rPr>
        <w:t>on écoutera ce que les enf</w:t>
      </w:r>
      <w:r w:rsidR="00394B22">
        <w:rPr>
          <w:noProof/>
          <w:lang w:val="fr-FR"/>
        </w:rPr>
        <w:t xml:space="preserve">ants ont à dire et </w:t>
      </w:r>
      <w:r>
        <w:rPr>
          <w:noProof/>
          <w:lang w:val="fr-FR"/>
        </w:rPr>
        <w:t>on répondra de façon ouverte et efficace à leurs préoccupations et à leurs griefs</w:t>
      </w:r>
      <w:r w:rsidR="003F36DD">
        <w:rPr>
          <w:noProof/>
          <w:lang w:val="fr-FR"/>
        </w:rPr>
        <w:t> »</w:t>
      </w:r>
      <w:r w:rsidR="003D0F58" w:rsidRPr="00DD03D6">
        <w:rPr>
          <w:noProof/>
          <w:lang w:val="fr-FR"/>
        </w:rPr>
        <w:t xml:space="preserve">. </w:t>
      </w:r>
      <w:r>
        <w:rPr>
          <w:noProof/>
          <w:lang w:val="fr-FR"/>
        </w:rPr>
        <w:t>Cet</w:t>
      </w:r>
      <w:r w:rsidR="00394B22">
        <w:rPr>
          <w:noProof/>
          <w:lang w:val="fr-FR"/>
        </w:rPr>
        <w:t>te norme</w:t>
      </w:r>
      <w:r>
        <w:rPr>
          <w:noProof/>
          <w:lang w:val="fr-FR"/>
        </w:rPr>
        <w:t xml:space="preserve"> indique également ses modalités d’application, à savoir l’écoute et la compréhension des opinions des enfants </w:t>
      </w:r>
      <w:r w:rsidR="004E2A3A">
        <w:rPr>
          <w:noProof/>
          <w:lang w:val="fr-FR"/>
        </w:rPr>
        <w:t>et le fait de les prendre au sérieux</w:t>
      </w:r>
      <w:r w:rsidR="003D0F58" w:rsidRPr="00DD03D6">
        <w:rPr>
          <w:noProof/>
          <w:lang w:val="fr-FR"/>
        </w:rPr>
        <w:t xml:space="preserve">; </w:t>
      </w:r>
      <w:r w:rsidR="004E2A3A">
        <w:rPr>
          <w:noProof/>
          <w:lang w:val="fr-FR"/>
        </w:rPr>
        <w:t xml:space="preserve">l’adoption de mesures visant à remédier aux difficultés de </w:t>
      </w:r>
      <w:r w:rsidR="003D0F58" w:rsidRPr="00DD03D6">
        <w:rPr>
          <w:noProof/>
          <w:lang w:val="fr-FR"/>
        </w:rPr>
        <w:t xml:space="preserve">communication </w:t>
      </w:r>
      <w:r w:rsidR="004E2A3A">
        <w:rPr>
          <w:noProof/>
          <w:lang w:val="fr-FR"/>
        </w:rPr>
        <w:t>et à aider les enfants à exprimer leurs préoccupations et leurs griefs</w:t>
      </w:r>
      <w:r w:rsidR="003D0F58" w:rsidRPr="00DD03D6">
        <w:rPr>
          <w:noProof/>
          <w:lang w:val="fr-FR"/>
        </w:rPr>
        <w:t xml:space="preserve">; </w:t>
      </w:r>
      <w:r w:rsidR="004E2A3A">
        <w:rPr>
          <w:noProof/>
          <w:lang w:val="fr-FR"/>
        </w:rPr>
        <w:t>la consultation régulière des enfants pour connaître leurs réactions, ce qui permet de déterminer les améliorations à apporter au service</w:t>
      </w:r>
      <w:r w:rsidR="003D0F58" w:rsidRPr="00DD03D6">
        <w:rPr>
          <w:noProof/>
          <w:lang w:val="fr-FR"/>
        </w:rPr>
        <w:t xml:space="preserve">; </w:t>
      </w:r>
      <w:r w:rsidR="004E2A3A">
        <w:rPr>
          <w:noProof/>
          <w:lang w:val="fr-FR"/>
        </w:rPr>
        <w:t>la nécessité de tenir les enfants pleinement informés, le cas échéant, de l’évolution de la situation pendant leur participation au service</w:t>
      </w:r>
      <w:r w:rsidR="003D0F58" w:rsidRPr="00DD03D6">
        <w:rPr>
          <w:noProof/>
          <w:lang w:val="fr-FR"/>
        </w:rPr>
        <w:t xml:space="preserve">; </w:t>
      </w:r>
      <w:r w:rsidR="004E2A3A">
        <w:rPr>
          <w:noProof/>
          <w:lang w:val="fr-FR"/>
        </w:rPr>
        <w:t xml:space="preserve">la fourniture d’un accès à des </w:t>
      </w:r>
      <w:r w:rsidR="00394B22">
        <w:rPr>
          <w:noProof/>
          <w:lang w:val="fr-FR"/>
        </w:rPr>
        <w:t xml:space="preserve">sources </w:t>
      </w:r>
      <w:r w:rsidR="004E2A3A">
        <w:rPr>
          <w:noProof/>
          <w:lang w:val="fr-FR"/>
        </w:rPr>
        <w:t>extérieures</w:t>
      </w:r>
      <w:r w:rsidR="00394B22">
        <w:rPr>
          <w:noProof/>
          <w:lang w:val="fr-FR"/>
        </w:rPr>
        <w:t xml:space="preserve"> de défense de leurs intérêts et de représentation </w:t>
      </w:r>
      <w:r w:rsidR="003D0F58" w:rsidRPr="00DD03D6">
        <w:rPr>
          <w:noProof/>
          <w:lang w:val="fr-FR"/>
        </w:rPr>
        <w:t>ind</w:t>
      </w:r>
      <w:r w:rsidR="00394B22">
        <w:rPr>
          <w:noProof/>
          <w:lang w:val="fr-FR"/>
        </w:rPr>
        <w:t>é</w:t>
      </w:r>
      <w:r w:rsidR="003D0F58" w:rsidRPr="00DD03D6">
        <w:rPr>
          <w:noProof/>
          <w:lang w:val="fr-FR"/>
        </w:rPr>
        <w:t>pend</w:t>
      </w:r>
      <w:r w:rsidR="00394B22">
        <w:rPr>
          <w:noProof/>
          <w:lang w:val="fr-FR"/>
        </w:rPr>
        <w:t>ante</w:t>
      </w:r>
      <w:r w:rsidR="003D0F58" w:rsidRPr="00DD03D6">
        <w:rPr>
          <w:noProof/>
          <w:lang w:val="fr-FR"/>
        </w:rPr>
        <w:t xml:space="preserve">; </w:t>
      </w:r>
      <w:r w:rsidR="00394B22">
        <w:rPr>
          <w:noProof/>
          <w:lang w:val="fr-FR"/>
        </w:rPr>
        <w:t xml:space="preserve">et la mise en </w:t>
      </w:r>
      <w:r w:rsidR="003D0F58" w:rsidRPr="00DD03D6">
        <w:rPr>
          <w:noProof/>
          <w:lang w:val="fr-FR"/>
        </w:rPr>
        <w:t xml:space="preserve">place </w:t>
      </w:r>
      <w:r w:rsidR="00394B22">
        <w:rPr>
          <w:noProof/>
          <w:lang w:val="fr-FR"/>
        </w:rPr>
        <w:t xml:space="preserve">d’une procédure de dépôt de plaintes qui soit </w:t>
      </w:r>
      <w:r w:rsidR="003D0F58" w:rsidRPr="00DD03D6">
        <w:rPr>
          <w:noProof/>
          <w:lang w:val="fr-FR"/>
        </w:rPr>
        <w:t>transparent</w:t>
      </w:r>
      <w:r w:rsidR="00394B22">
        <w:rPr>
          <w:noProof/>
          <w:lang w:val="fr-FR"/>
        </w:rPr>
        <w:t>e</w:t>
      </w:r>
      <w:r w:rsidR="003D0F58" w:rsidRPr="00DD03D6">
        <w:rPr>
          <w:noProof/>
          <w:lang w:val="fr-FR"/>
        </w:rPr>
        <w:t>, o</w:t>
      </w:r>
      <w:r w:rsidR="00394B22">
        <w:rPr>
          <w:noProof/>
          <w:lang w:val="fr-FR"/>
        </w:rPr>
        <w:t xml:space="preserve">uverte et </w:t>
      </w:r>
      <w:r w:rsidR="003D0F58" w:rsidRPr="00DD03D6">
        <w:rPr>
          <w:noProof/>
          <w:lang w:val="fr-FR"/>
        </w:rPr>
        <w:t>accessible.</w:t>
      </w:r>
    </w:p>
    <w:p w:rsidR="003D0F58" w:rsidRPr="00DD03D6" w:rsidRDefault="00BE2191" w:rsidP="00805517">
      <w:pPr>
        <w:pStyle w:val="SingleTxtG"/>
        <w:numPr>
          <w:ilvl w:val="0"/>
          <w:numId w:val="3"/>
        </w:numPr>
        <w:ind w:left="1134" w:firstLine="0"/>
        <w:rPr>
          <w:noProof/>
          <w:lang w:val="fr-FR"/>
        </w:rPr>
      </w:pPr>
      <w:r>
        <w:rPr>
          <w:noProof/>
          <w:lang w:val="fr-FR"/>
        </w:rPr>
        <w:t>La Direction des services de santé s’emploie activement à promouvoir la voix de l’enfant et a mis en place des processus officiels d’inclusion des enfants dans l’élaboration de politiques et services centrés sur les enfants et inspirés par leurs opinions</w:t>
      </w:r>
      <w:r w:rsidR="003D0F58" w:rsidRPr="00DD03D6">
        <w:rPr>
          <w:noProof/>
          <w:lang w:val="fr-FR"/>
        </w:rPr>
        <w:t xml:space="preserve">. </w:t>
      </w:r>
      <w:r>
        <w:rPr>
          <w:noProof/>
          <w:lang w:val="fr-FR"/>
        </w:rPr>
        <w:t xml:space="preserve">Ces processus sont actuellement les suivants </w:t>
      </w:r>
      <w:r w:rsidR="003D0F58" w:rsidRPr="00DD03D6">
        <w:rPr>
          <w:noProof/>
          <w:lang w:val="fr-FR"/>
        </w:rPr>
        <w:t>:</w:t>
      </w:r>
    </w:p>
    <w:p w:rsidR="003D0F58" w:rsidRPr="00DD03D6" w:rsidRDefault="00EA3BD0" w:rsidP="00F57F14">
      <w:pPr>
        <w:pStyle w:val="Bullet1G"/>
        <w:tabs>
          <w:tab w:val="clear" w:pos="1701"/>
        </w:tabs>
        <w:ind w:left="1843" w:hanging="142"/>
        <w:rPr>
          <w:noProof/>
          <w:lang w:val="fr-FR"/>
        </w:rPr>
      </w:pPr>
      <w:r>
        <w:rPr>
          <w:noProof/>
          <w:lang w:val="fr-FR"/>
        </w:rPr>
        <w:t>La Direction appuie l’</w:t>
      </w:r>
      <w:r w:rsidR="003D0F58" w:rsidRPr="00DD03D6">
        <w:rPr>
          <w:noProof/>
          <w:lang w:val="fr-FR"/>
        </w:rPr>
        <w:t xml:space="preserve">EPIC, </w:t>
      </w:r>
      <w:r>
        <w:rPr>
          <w:noProof/>
          <w:lang w:val="fr-FR"/>
        </w:rPr>
        <w:t>organisation qui défend les intérêts des enfants placés</w:t>
      </w:r>
      <w:r w:rsidR="003D0F58" w:rsidRPr="00DD03D6">
        <w:rPr>
          <w:noProof/>
          <w:lang w:val="fr-FR"/>
        </w:rPr>
        <w:t xml:space="preserve">. </w:t>
      </w:r>
      <w:r>
        <w:rPr>
          <w:noProof/>
          <w:lang w:val="fr-FR"/>
        </w:rPr>
        <w:t xml:space="preserve">Un accord a été récemment conclu pour donner une envergure nationale à ce </w:t>
      </w:r>
      <w:r w:rsidR="00E3066E" w:rsidRPr="00DD03D6">
        <w:rPr>
          <w:noProof/>
          <w:lang w:val="fr-FR"/>
        </w:rPr>
        <w:t>service;</w:t>
      </w:r>
    </w:p>
    <w:p w:rsidR="003D0F58" w:rsidRPr="00DD03D6" w:rsidRDefault="00EA3BD0" w:rsidP="00F57F14">
      <w:pPr>
        <w:pStyle w:val="Bullet1G"/>
        <w:tabs>
          <w:tab w:val="clear" w:pos="1701"/>
        </w:tabs>
        <w:ind w:left="1843" w:hanging="142"/>
        <w:rPr>
          <w:noProof/>
          <w:lang w:val="fr-FR"/>
        </w:rPr>
      </w:pPr>
      <w:r>
        <w:rPr>
          <w:noProof/>
          <w:lang w:val="fr-FR"/>
        </w:rPr>
        <w:t>La Direction</w:t>
      </w:r>
      <w:r w:rsidR="003D0F58" w:rsidRPr="00DD03D6">
        <w:rPr>
          <w:noProof/>
          <w:lang w:val="fr-FR"/>
        </w:rPr>
        <w:t xml:space="preserve">, </w:t>
      </w:r>
      <w:r>
        <w:rPr>
          <w:noProof/>
          <w:lang w:val="fr-FR"/>
        </w:rPr>
        <w:t>agissant e</w:t>
      </w:r>
      <w:r w:rsidR="003D0F58" w:rsidRPr="00DD03D6">
        <w:rPr>
          <w:noProof/>
          <w:lang w:val="fr-FR"/>
        </w:rPr>
        <w:t xml:space="preserve">n coordination </w:t>
      </w:r>
      <w:r>
        <w:rPr>
          <w:noProof/>
          <w:lang w:val="fr-FR"/>
        </w:rPr>
        <w:t xml:space="preserve">avec le Ministère de l’enfance et de la jeunesse, anime un </w:t>
      </w:r>
      <w:r w:rsidR="003D0F58" w:rsidRPr="00DD03D6">
        <w:rPr>
          <w:noProof/>
          <w:lang w:val="fr-FR"/>
        </w:rPr>
        <w:t xml:space="preserve">forum </w:t>
      </w:r>
      <w:r>
        <w:rPr>
          <w:noProof/>
          <w:lang w:val="fr-FR"/>
        </w:rPr>
        <w:t>pour les enfants placés qui rencontre régulièrement le Directeur national des services aux enfants et aux familles</w:t>
      </w:r>
      <w:r w:rsidR="003D0F58" w:rsidRPr="00DD03D6">
        <w:rPr>
          <w:noProof/>
          <w:lang w:val="fr-FR"/>
        </w:rPr>
        <w:t xml:space="preserve">. </w:t>
      </w:r>
      <w:r>
        <w:rPr>
          <w:noProof/>
          <w:lang w:val="fr-FR"/>
        </w:rPr>
        <w:t xml:space="preserve">Ce </w:t>
      </w:r>
      <w:r w:rsidR="003D0F58" w:rsidRPr="00DD03D6">
        <w:rPr>
          <w:noProof/>
          <w:lang w:val="fr-FR"/>
        </w:rPr>
        <w:t xml:space="preserve">forum </w:t>
      </w:r>
      <w:r>
        <w:rPr>
          <w:noProof/>
          <w:lang w:val="fr-FR"/>
        </w:rPr>
        <w:t>est à la base des modifications apportées aux plans de prise de charge et élabore des brochures d’information à l’intention des enfants placés</w:t>
      </w:r>
      <w:r w:rsidR="00E3066E" w:rsidRPr="00DD03D6">
        <w:rPr>
          <w:noProof/>
          <w:lang w:val="fr-FR"/>
        </w:rPr>
        <w:t>;</w:t>
      </w:r>
    </w:p>
    <w:p w:rsidR="003D0F58" w:rsidRPr="00DD03D6" w:rsidRDefault="00EA3BD0" w:rsidP="00F57F14">
      <w:pPr>
        <w:pStyle w:val="Bullet1G"/>
        <w:tabs>
          <w:tab w:val="clear" w:pos="1701"/>
        </w:tabs>
        <w:ind w:left="1843" w:hanging="142"/>
        <w:rPr>
          <w:noProof/>
          <w:lang w:val="fr-FR"/>
        </w:rPr>
      </w:pPr>
      <w:r>
        <w:rPr>
          <w:noProof/>
          <w:lang w:val="fr-FR"/>
        </w:rPr>
        <w:t xml:space="preserve">Un guide intitulé </w:t>
      </w:r>
      <w:r>
        <w:rPr>
          <w:i/>
          <w:noProof/>
          <w:lang w:val="fr-FR"/>
        </w:rPr>
        <w:t xml:space="preserve">Guide des modalités de protection de remplacement </w:t>
      </w:r>
      <w:r>
        <w:rPr>
          <w:noProof/>
          <w:lang w:val="fr-FR"/>
        </w:rPr>
        <w:t>(</w:t>
      </w:r>
      <w:r w:rsidR="003D0F58" w:rsidRPr="00DD03D6">
        <w:rPr>
          <w:i/>
          <w:iCs/>
          <w:noProof/>
          <w:lang w:val="fr-FR"/>
        </w:rPr>
        <w:t>Alternative Care Practice Handbook</w:t>
      </w:r>
      <w:r w:rsidR="008E3AAE">
        <w:rPr>
          <w:noProof/>
          <w:lang w:val="fr-FR"/>
        </w:rPr>
        <w:t>), en cours d’élaboration à l’intention des professionnels travaillant avec les enfants placés, fait une place essentielle aux opinions de l’enfant et met en exergue la voix et les droits des enfants</w:t>
      </w:r>
      <w:r w:rsidR="003D0F58" w:rsidRPr="00DD03D6">
        <w:rPr>
          <w:noProof/>
          <w:lang w:val="fr-FR"/>
        </w:rPr>
        <w:t>.</w:t>
      </w:r>
    </w:p>
    <w:p w:rsidR="003D0F58" w:rsidRPr="00DD03D6" w:rsidRDefault="00805517" w:rsidP="00805517">
      <w:pPr>
        <w:pStyle w:val="H23G"/>
        <w:rPr>
          <w:noProof/>
          <w:lang w:val="fr-FR"/>
        </w:rPr>
      </w:pPr>
      <w:r w:rsidRPr="00DD03D6">
        <w:rPr>
          <w:noProof/>
          <w:lang w:val="fr-FR"/>
        </w:rPr>
        <w:tab/>
      </w:r>
      <w:r w:rsidRPr="00DD03D6">
        <w:rPr>
          <w:noProof/>
          <w:lang w:val="fr-FR"/>
        </w:rPr>
        <w:tab/>
      </w:r>
      <w:r w:rsidR="003D0F58" w:rsidRPr="00DD03D6">
        <w:rPr>
          <w:noProof/>
          <w:lang w:val="fr-FR"/>
        </w:rPr>
        <w:t xml:space="preserve">Participation </w:t>
      </w:r>
      <w:r w:rsidR="008E3AAE">
        <w:rPr>
          <w:noProof/>
          <w:lang w:val="fr-FR"/>
        </w:rPr>
        <w:t xml:space="preserve">aux affaires judiciaires </w:t>
      </w:r>
    </w:p>
    <w:p w:rsidR="003D0F58" w:rsidRPr="00DD03D6" w:rsidRDefault="008E3AAE" w:rsidP="00B82FB8">
      <w:pPr>
        <w:pStyle w:val="SingleTxtG"/>
        <w:numPr>
          <w:ilvl w:val="0"/>
          <w:numId w:val="3"/>
        </w:numPr>
        <w:ind w:left="1134" w:firstLine="0"/>
        <w:rPr>
          <w:noProof/>
          <w:lang w:val="fr-FR"/>
        </w:rPr>
      </w:pPr>
      <w:r>
        <w:rPr>
          <w:noProof/>
          <w:lang w:val="fr-FR"/>
        </w:rPr>
        <w:t>L’écoute des opinions de l’enfant dans les procédures relatives à la protection des enfants est prévue par la loi de 1991 sur la protection de l’enfance</w:t>
      </w:r>
      <w:r w:rsidR="003D0F58" w:rsidRPr="00DD03D6">
        <w:rPr>
          <w:noProof/>
          <w:lang w:val="fr-FR"/>
        </w:rPr>
        <w:t xml:space="preserve">. </w:t>
      </w:r>
      <w:r>
        <w:rPr>
          <w:noProof/>
          <w:lang w:val="fr-FR"/>
        </w:rPr>
        <w:t xml:space="preserve">Cette loi autorise la désignation d’un tuteur </w:t>
      </w:r>
      <w:r w:rsidR="003D0F58" w:rsidRPr="00BF7295">
        <w:rPr>
          <w:i/>
          <w:noProof/>
          <w:lang w:val="fr-FR"/>
        </w:rPr>
        <w:t xml:space="preserve">ad </w:t>
      </w:r>
      <w:r w:rsidRPr="00BF7295">
        <w:rPr>
          <w:i/>
          <w:noProof/>
          <w:lang w:val="fr-FR"/>
        </w:rPr>
        <w:t>litem</w:t>
      </w:r>
      <w:r>
        <w:rPr>
          <w:noProof/>
          <w:lang w:val="fr-FR"/>
        </w:rPr>
        <w:t xml:space="preserve"> indépendant lorsque le tribunal considère qu’elle sert l’intérêt supérieur de l’enfant et les intérêts de la justice</w:t>
      </w:r>
      <w:r w:rsidR="003D0F58" w:rsidRPr="00DD03D6">
        <w:rPr>
          <w:noProof/>
          <w:lang w:val="fr-FR"/>
        </w:rPr>
        <w:t xml:space="preserve">. </w:t>
      </w:r>
      <w:r w:rsidR="00916DE1">
        <w:rPr>
          <w:noProof/>
          <w:lang w:val="fr-FR"/>
        </w:rPr>
        <w:t xml:space="preserve">L’ancien Bureau national des enfants a fait réaliser un bilan du service des tuteurs </w:t>
      </w:r>
      <w:r w:rsidR="00916DE1" w:rsidRPr="00BF7295">
        <w:rPr>
          <w:i/>
          <w:noProof/>
          <w:lang w:val="fr-FR"/>
        </w:rPr>
        <w:t>ad litem</w:t>
      </w:r>
      <w:r w:rsidR="00916DE1">
        <w:rPr>
          <w:noProof/>
          <w:lang w:val="fr-FR"/>
        </w:rPr>
        <w:t xml:space="preserve">, achevé en </w:t>
      </w:r>
      <w:r w:rsidR="003D0F58" w:rsidRPr="00DD03D6">
        <w:rPr>
          <w:noProof/>
          <w:lang w:val="fr-FR"/>
        </w:rPr>
        <w:t xml:space="preserve">2005, </w:t>
      </w:r>
      <w:r w:rsidR="00916DE1">
        <w:rPr>
          <w:noProof/>
          <w:lang w:val="fr-FR"/>
        </w:rPr>
        <w:t xml:space="preserve">qui présentait un certain nombre de possibilités de développement </w:t>
      </w:r>
      <w:r w:rsidR="003D0F58" w:rsidRPr="00DD03D6">
        <w:rPr>
          <w:noProof/>
          <w:lang w:val="fr-FR"/>
        </w:rPr>
        <w:t>(</w:t>
      </w:r>
      <w:r w:rsidR="00916DE1">
        <w:rPr>
          <w:noProof/>
          <w:lang w:val="fr-FR"/>
        </w:rPr>
        <w:t>Bureau national des enfants</w:t>
      </w:r>
      <w:r w:rsidR="003D0F58" w:rsidRPr="00DD03D6">
        <w:rPr>
          <w:noProof/>
          <w:lang w:val="fr-FR"/>
        </w:rPr>
        <w:t xml:space="preserve">, 2005b). </w:t>
      </w:r>
      <w:r w:rsidR="00916DE1">
        <w:rPr>
          <w:noProof/>
          <w:lang w:val="fr-FR"/>
        </w:rPr>
        <w:t xml:space="preserve">Tout en reconnaissant que le service n’était pas sans défauts, à savoir, notamment, l’absence de réglementation et son coût relativement élevé </w:t>
      </w:r>
      <w:r w:rsidR="0009399C">
        <w:rPr>
          <w:noProof/>
          <w:lang w:val="fr-FR"/>
        </w:rPr>
        <w:t>par comparaison avec l’étranger</w:t>
      </w:r>
      <w:r w:rsidR="003D0F58" w:rsidRPr="00DD03D6">
        <w:rPr>
          <w:noProof/>
          <w:lang w:val="fr-FR"/>
        </w:rPr>
        <w:t xml:space="preserve">, </w:t>
      </w:r>
      <w:r w:rsidR="0009399C">
        <w:rPr>
          <w:noProof/>
          <w:lang w:val="fr-FR"/>
        </w:rPr>
        <w:t>les auteurs du bilan ont conclu à la nécessité de maintenir ce service ou un type de représentation indépendante analogue des opinions des enfants dans les procédures relatives à la protection des enfants, même si cela devrait se faire dans un cadre réglementé</w:t>
      </w:r>
      <w:r w:rsidR="003D0F58" w:rsidRPr="00DD03D6">
        <w:rPr>
          <w:noProof/>
          <w:lang w:val="fr-FR"/>
        </w:rPr>
        <w:t>.</w:t>
      </w:r>
    </w:p>
    <w:p w:rsidR="003D0F58" w:rsidRPr="00DD03D6" w:rsidRDefault="00E56202" w:rsidP="008D449E">
      <w:pPr>
        <w:pStyle w:val="SingleTxtG"/>
        <w:numPr>
          <w:ilvl w:val="0"/>
          <w:numId w:val="3"/>
        </w:numPr>
        <w:ind w:left="1134" w:firstLine="0"/>
        <w:rPr>
          <w:i/>
          <w:iCs/>
          <w:noProof/>
          <w:lang w:val="fr-FR"/>
        </w:rPr>
      </w:pPr>
      <w:r>
        <w:rPr>
          <w:noProof/>
          <w:lang w:val="fr-FR"/>
        </w:rPr>
        <w:t>E</w:t>
      </w:r>
      <w:r w:rsidR="003D0F58" w:rsidRPr="00DD03D6">
        <w:rPr>
          <w:noProof/>
          <w:lang w:val="fr-FR"/>
        </w:rPr>
        <w:t xml:space="preserve">n 2009, </w:t>
      </w:r>
      <w:r>
        <w:rPr>
          <w:noProof/>
          <w:lang w:val="fr-FR"/>
        </w:rPr>
        <w:t xml:space="preserve">le Conseil consultatif sur les lois relatives aux enfants a, en </w:t>
      </w:r>
      <w:r w:rsidR="003D0F58" w:rsidRPr="00DD03D6">
        <w:rPr>
          <w:noProof/>
          <w:lang w:val="fr-FR"/>
        </w:rPr>
        <w:t xml:space="preserve">consultation </w:t>
      </w:r>
      <w:r>
        <w:rPr>
          <w:noProof/>
          <w:lang w:val="fr-FR"/>
        </w:rPr>
        <w:t xml:space="preserve">avec les </w:t>
      </w:r>
      <w:r w:rsidR="00E83488">
        <w:rPr>
          <w:noProof/>
          <w:lang w:val="fr-FR"/>
        </w:rPr>
        <w:t>acteurs</w:t>
      </w:r>
      <w:r>
        <w:rPr>
          <w:noProof/>
          <w:lang w:val="fr-FR"/>
        </w:rPr>
        <w:t xml:space="preserve"> clefs</w:t>
      </w:r>
      <w:r w:rsidR="003D0F58" w:rsidRPr="00DD03D6">
        <w:rPr>
          <w:noProof/>
          <w:lang w:val="fr-FR"/>
        </w:rPr>
        <w:t>, publi</w:t>
      </w:r>
      <w:r>
        <w:rPr>
          <w:noProof/>
          <w:lang w:val="fr-FR"/>
        </w:rPr>
        <w:t xml:space="preserve">é un texte de référence intitulé </w:t>
      </w:r>
      <w:r>
        <w:rPr>
          <w:i/>
          <w:noProof/>
          <w:lang w:val="fr-FR"/>
        </w:rPr>
        <w:t xml:space="preserve">Permettre aux enfants d’exprimer leurs souhaits, sentiments et intérêts : indications générales portant sur le rôle, </w:t>
      </w:r>
      <w:r>
        <w:rPr>
          <w:i/>
          <w:noProof/>
          <w:lang w:val="fr-FR"/>
        </w:rPr>
        <w:lastRenderedPageBreak/>
        <w:t xml:space="preserve">les critères de nomination, les qualifications et la formation des tuteurs ad litem nommés pour représenter les enfants dans les procédures prévues par la loi de 1991 sur la protection de l’enfance </w:t>
      </w:r>
      <w:r>
        <w:rPr>
          <w:noProof/>
          <w:lang w:val="fr-FR"/>
        </w:rPr>
        <w:t>(</w:t>
      </w:r>
      <w:r w:rsidR="003D0F58" w:rsidRPr="00DD03D6">
        <w:rPr>
          <w:i/>
          <w:iCs/>
          <w:noProof/>
          <w:lang w:val="fr-FR"/>
        </w:rPr>
        <w:t xml:space="preserve">Giving a </w:t>
      </w:r>
      <w:r w:rsidR="008D449E" w:rsidRPr="00DD03D6">
        <w:rPr>
          <w:i/>
          <w:iCs/>
          <w:noProof/>
          <w:lang w:val="fr-FR"/>
        </w:rPr>
        <w:t>V</w:t>
      </w:r>
      <w:r w:rsidR="003D0F58" w:rsidRPr="00DD03D6">
        <w:rPr>
          <w:i/>
          <w:iCs/>
          <w:noProof/>
          <w:lang w:val="fr-FR"/>
        </w:rPr>
        <w:t xml:space="preserve">oice to </w:t>
      </w:r>
      <w:r w:rsidR="008D449E" w:rsidRPr="00DD03D6">
        <w:rPr>
          <w:i/>
          <w:iCs/>
          <w:noProof/>
          <w:lang w:val="fr-FR"/>
        </w:rPr>
        <w:t>C</w:t>
      </w:r>
      <w:r w:rsidR="003D0F58" w:rsidRPr="00DD03D6">
        <w:rPr>
          <w:i/>
          <w:iCs/>
          <w:noProof/>
          <w:lang w:val="fr-FR"/>
        </w:rPr>
        <w:t>hildren</w:t>
      </w:r>
      <w:r w:rsidR="000A2B7B" w:rsidRPr="00DD03D6">
        <w:rPr>
          <w:i/>
          <w:iCs/>
          <w:noProof/>
          <w:lang w:val="fr-FR"/>
        </w:rPr>
        <w:t>’</w:t>
      </w:r>
      <w:r w:rsidR="003D0F58" w:rsidRPr="00DD03D6">
        <w:rPr>
          <w:i/>
          <w:iCs/>
          <w:noProof/>
          <w:lang w:val="fr-FR"/>
        </w:rPr>
        <w:t xml:space="preserve">s </w:t>
      </w:r>
      <w:r w:rsidR="008D449E" w:rsidRPr="00DD03D6">
        <w:rPr>
          <w:i/>
          <w:iCs/>
          <w:noProof/>
          <w:lang w:val="fr-FR"/>
        </w:rPr>
        <w:t>W</w:t>
      </w:r>
      <w:r w:rsidR="003D0F58" w:rsidRPr="00DD03D6">
        <w:rPr>
          <w:i/>
          <w:iCs/>
          <w:noProof/>
          <w:lang w:val="fr-FR"/>
        </w:rPr>
        <w:t xml:space="preserve">ishes, </w:t>
      </w:r>
      <w:r w:rsidR="008D449E" w:rsidRPr="00DD03D6">
        <w:rPr>
          <w:i/>
          <w:iCs/>
          <w:noProof/>
          <w:lang w:val="fr-FR"/>
        </w:rPr>
        <w:t>F</w:t>
      </w:r>
      <w:r w:rsidR="003D0F58" w:rsidRPr="00DD03D6">
        <w:rPr>
          <w:i/>
          <w:iCs/>
          <w:noProof/>
          <w:lang w:val="fr-FR"/>
        </w:rPr>
        <w:t xml:space="preserve">eelings and </w:t>
      </w:r>
      <w:r w:rsidR="008D449E" w:rsidRPr="00DD03D6">
        <w:rPr>
          <w:i/>
          <w:iCs/>
          <w:noProof/>
          <w:lang w:val="fr-FR"/>
        </w:rPr>
        <w:t>I</w:t>
      </w:r>
      <w:r w:rsidR="003D0F58" w:rsidRPr="00DD03D6">
        <w:rPr>
          <w:i/>
          <w:iCs/>
          <w:noProof/>
          <w:lang w:val="fr-FR"/>
        </w:rPr>
        <w:t>nterests: Guidance on the Role, Criteria for Appointment, Qualifications and Training of Guardians ad Litem Appointed for Children in Proceedings under the Child Care Act 1991</w:t>
      </w:r>
      <w:r>
        <w:rPr>
          <w:noProof/>
          <w:lang w:val="fr-FR"/>
        </w:rPr>
        <w:t xml:space="preserve">). Ce texte de référence a été élaboré en tant que mesure essentielle pour remédier à l’absence d’une définition officielle et d’une norme nationale concernant le rôle, les </w:t>
      </w:r>
      <w:r w:rsidR="003D0F58" w:rsidRPr="00DD03D6">
        <w:rPr>
          <w:noProof/>
          <w:lang w:val="fr-FR"/>
        </w:rPr>
        <w:t xml:space="preserve">qualifications, </w:t>
      </w:r>
      <w:r w:rsidR="00C13F52">
        <w:rPr>
          <w:noProof/>
          <w:lang w:val="fr-FR"/>
        </w:rPr>
        <w:t>la nomina</w:t>
      </w:r>
      <w:r>
        <w:rPr>
          <w:noProof/>
          <w:lang w:val="fr-FR"/>
        </w:rPr>
        <w:t xml:space="preserve">tion ou la formation des tuteurs </w:t>
      </w:r>
      <w:r w:rsidRPr="00BF7295">
        <w:rPr>
          <w:i/>
          <w:noProof/>
          <w:lang w:val="fr-FR"/>
        </w:rPr>
        <w:t>ad litem</w:t>
      </w:r>
      <w:r w:rsidR="003D0F58" w:rsidRPr="00DD03D6">
        <w:rPr>
          <w:noProof/>
          <w:lang w:val="fr-FR"/>
        </w:rPr>
        <w:t>.</w:t>
      </w:r>
    </w:p>
    <w:p w:rsidR="003D0F58" w:rsidRPr="00DD03D6" w:rsidRDefault="00C13F52" w:rsidP="00B82FB8">
      <w:pPr>
        <w:pStyle w:val="SingleTxtG"/>
        <w:numPr>
          <w:ilvl w:val="0"/>
          <w:numId w:val="3"/>
        </w:numPr>
        <w:ind w:left="1134" w:firstLine="0"/>
        <w:rPr>
          <w:noProof/>
          <w:lang w:val="fr-FR"/>
        </w:rPr>
      </w:pPr>
      <w:r>
        <w:rPr>
          <w:noProof/>
          <w:lang w:val="fr-FR"/>
        </w:rPr>
        <w:t>La loi de 1964 sur la tutelle des enfants et la loi de 1997 sur les enfants</w:t>
      </w:r>
      <w:r w:rsidRPr="00DD03D6">
        <w:rPr>
          <w:noProof/>
          <w:lang w:val="fr-FR"/>
        </w:rPr>
        <w:t xml:space="preserve"> </w:t>
      </w:r>
      <w:r>
        <w:rPr>
          <w:noProof/>
          <w:lang w:val="fr-FR"/>
        </w:rPr>
        <w:t>régissent la nomination d’un tuteur ad litem dans les procédures de droit privé</w:t>
      </w:r>
      <w:r w:rsidR="003D0F58" w:rsidRPr="00DD03D6">
        <w:rPr>
          <w:noProof/>
          <w:lang w:val="fr-FR"/>
        </w:rPr>
        <w:t xml:space="preserve">. </w:t>
      </w:r>
      <w:r>
        <w:rPr>
          <w:noProof/>
          <w:lang w:val="fr-FR"/>
        </w:rPr>
        <w:t>Elles ne sont pas encore entrées en vigueur</w:t>
      </w:r>
      <w:r w:rsidR="003D0F58" w:rsidRPr="00DD03D6">
        <w:rPr>
          <w:noProof/>
          <w:lang w:val="fr-FR"/>
        </w:rPr>
        <w:t xml:space="preserve">. </w:t>
      </w:r>
      <w:r>
        <w:rPr>
          <w:noProof/>
          <w:lang w:val="fr-FR"/>
        </w:rPr>
        <w:t>Les modalités de la sollicitation des opinions des enfants dans les procédures judiciaires, qu’elles se rapportent à la protection des enfants ou relèvent du droit de la famille, feront l’objet d’un examen supplémentaire compte tenu de l’insertion proposée de cet objectif</w:t>
      </w:r>
      <w:r w:rsidR="00E92D3C">
        <w:rPr>
          <w:noProof/>
          <w:lang w:val="fr-FR"/>
        </w:rPr>
        <w:t xml:space="preserve"> </w:t>
      </w:r>
      <w:r>
        <w:rPr>
          <w:noProof/>
          <w:lang w:val="fr-FR"/>
        </w:rPr>
        <w:t xml:space="preserve">dans la Constitution conformément au projet de loi de 2012 </w:t>
      </w:r>
      <w:r w:rsidR="009D0442">
        <w:rPr>
          <w:noProof/>
          <w:lang w:val="fr-FR"/>
        </w:rPr>
        <w:t xml:space="preserve">sur le </w:t>
      </w:r>
      <w:r>
        <w:rPr>
          <w:noProof/>
          <w:lang w:val="fr-FR"/>
        </w:rPr>
        <w:t xml:space="preserve">trente et unième amendement </w:t>
      </w:r>
      <w:r w:rsidR="009D0442">
        <w:rPr>
          <w:noProof/>
          <w:lang w:val="fr-FR"/>
        </w:rPr>
        <w:t xml:space="preserve">à </w:t>
      </w:r>
      <w:r>
        <w:rPr>
          <w:noProof/>
          <w:lang w:val="fr-FR"/>
        </w:rPr>
        <w:t xml:space="preserve">la </w:t>
      </w:r>
      <w:r w:rsidR="003D0F58" w:rsidRPr="00DD03D6">
        <w:rPr>
          <w:noProof/>
          <w:lang w:val="fr-FR"/>
        </w:rPr>
        <w:t>Constitution (</w:t>
      </w:r>
      <w:r w:rsidR="009D0442">
        <w:rPr>
          <w:noProof/>
          <w:lang w:val="fr-FR"/>
        </w:rPr>
        <w:t xml:space="preserve">relatif aux </w:t>
      </w:r>
      <w:r>
        <w:rPr>
          <w:noProof/>
          <w:lang w:val="fr-FR"/>
        </w:rPr>
        <w:t>enfants</w:t>
      </w:r>
      <w:r w:rsidR="003D0F58" w:rsidRPr="00DD03D6">
        <w:rPr>
          <w:noProof/>
          <w:lang w:val="fr-FR"/>
        </w:rPr>
        <w:t>).</w:t>
      </w:r>
    </w:p>
    <w:p w:rsidR="003D0F58" w:rsidRPr="00DD03D6" w:rsidRDefault="00C13F52" w:rsidP="00805517">
      <w:pPr>
        <w:pStyle w:val="SingleTxtG"/>
        <w:numPr>
          <w:ilvl w:val="0"/>
          <w:numId w:val="3"/>
        </w:numPr>
        <w:ind w:left="1134" w:firstLine="0"/>
        <w:rPr>
          <w:noProof/>
          <w:lang w:val="fr-FR"/>
        </w:rPr>
      </w:pPr>
      <w:r>
        <w:rPr>
          <w:noProof/>
          <w:lang w:val="fr-FR"/>
        </w:rPr>
        <w:t xml:space="preserve">Il est également prévu d’examiner les modalités </w:t>
      </w:r>
      <w:r w:rsidR="003D0F58" w:rsidRPr="00DD03D6">
        <w:rPr>
          <w:noProof/>
          <w:lang w:val="fr-FR"/>
        </w:rPr>
        <w:t>administrative</w:t>
      </w:r>
      <w:r>
        <w:rPr>
          <w:noProof/>
          <w:lang w:val="fr-FR"/>
        </w:rPr>
        <w:t>s</w:t>
      </w:r>
      <w:r w:rsidR="003D0F58" w:rsidRPr="00DD03D6">
        <w:rPr>
          <w:noProof/>
          <w:lang w:val="fr-FR"/>
        </w:rPr>
        <w:t xml:space="preserve"> </w:t>
      </w:r>
      <w:r>
        <w:rPr>
          <w:noProof/>
          <w:lang w:val="fr-FR"/>
        </w:rPr>
        <w:t>conc</w:t>
      </w:r>
      <w:r w:rsidR="00414C6F">
        <w:rPr>
          <w:noProof/>
          <w:lang w:val="fr-FR"/>
        </w:rPr>
        <w:t>rètes à mettre en œuvre pour solliciter les opinions des enfants</w:t>
      </w:r>
      <w:r w:rsidR="003D0F58" w:rsidRPr="00DD03D6">
        <w:rPr>
          <w:noProof/>
          <w:lang w:val="fr-FR"/>
        </w:rPr>
        <w:t>.</w:t>
      </w:r>
    </w:p>
    <w:p w:rsidR="003D0F58" w:rsidRPr="00DD03D6" w:rsidRDefault="00414C6F" w:rsidP="003F52A6">
      <w:pPr>
        <w:pStyle w:val="SingleTxtG"/>
        <w:numPr>
          <w:ilvl w:val="0"/>
          <w:numId w:val="3"/>
        </w:numPr>
        <w:ind w:left="1134" w:firstLine="0"/>
        <w:rPr>
          <w:noProof/>
          <w:lang w:val="fr-FR"/>
        </w:rPr>
      </w:pPr>
      <w:r>
        <w:rPr>
          <w:noProof/>
          <w:lang w:val="fr-FR"/>
        </w:rPr>
        <w:t xml:space="preserve">La loi de 2010 sur la procédure pénale modifie </w:t>
      </w:r>
      <w:r>
        <w:rPr>
          <w:noProof/>
          <w:lang w:val="fr-FR" w:eastAsia="en-GB"/>
        </w:rPr>
        <w:t>la loi sur le témoignage des victimes sur l’impact des infractions et contient une disposition particulière concernant les enfants victimes d’infractions</w:t>
      </w:r>
      <w:r w:rsidRPr="00DD03D6">
        <w:rPr>
          <w:noProof/>
          <w:lang w:val="fr-FR"/>
        </w:rPr>
        <w:t xml:space="preserve"> </w:t>
      </w:r>
      <w:r w:rsidR="003D0F58" w:rsidRPr="00DD03D6">
        <w:rPr>
          <w:noProof/>
          <w:lang w:val="fr-FR"/>
        </w:rPr>
        <w:t>(</w:t>
      </w:r>
      <w:r>
        <w:rPr>
          <w:noProof/>
          <w:lang w:val="fr-FR"/>
        </w:rPr>
        <w:t xml:space="preserve">voir le </w:t>
      </w:r>
      <w:r w:rsidR="003F52A6" w:rsidRPr="00DD03D6">
        <w:rPr>
          <w:noProof/>
          <w:lang w:val="fr-FR"/>
        </w:rPr>
        <w:t>p</w:t>
      </w:r>
      <w:r>
        <w:rPr>
          <w:noProof/>
          <w:lang w:val="fr-FR"/>
        </w:rPr>
        <w:t>ar</w:t>
      </w:r>
      <w:r w:rsidR="00C439D5">
        <w:rPr>
          <w:noProof/>
          <w:lang w:val="fr-FR"/>
        </w:rPr>
        <w:t>agraphe</w:t>
      </w:r>
      <w:r w:rsidR="00796A7C" w:rsidRPr="00DD03D6">
        <w:rPr>
          <w:noProof/>
          <w:lang w:val="fr-FR"/>
        </w:rPr>
        <w:t> </w:t>
      </w:r>
      <w:r w:rsidR="003F52A6" w:rsidRPr="00DD03D6">
        <w:rPr>
          <w:noProof/>
          <w:lang w:val="fr-FR"/>
        </w:rPr>
        <w:t>210</w:t>
      </w:r>
      <w:r w:rsidR="003D0F58" w:rsidRPr="00DD03D6">
        <w:rPr>
          <w:noProof/>
          <w:lang w:val="fr-FR"/>
        </w:rPr>
        <w:t>).</w:t>
      </w:r>
    </w:p>
    <w:p w:rsidR="003D0F58" w:rsidRPr="00DD03D6" w:rsidRDefault="00805517" w:rsidP="00805517">
      <w:pPr>
        <w:pStyle w:val="H23G"/>
        <w:rPr>
          <w:noProof/>
          <w:lang w:val="fr-FR"/>
        </w:rPr>
      </w:pPr>
      <w:r w:rsidRPr="00DD03D6">
        <w:rPr>
          <w:noProof/>
          <w:lang w:val="fr-FR"/>
        </w:rPr>
        <w:tab/>
      </w:r>
      <w:r w:rsidRPr="00DD03D6">
        <w:rPr>
          <w:noProof/>
          <w:lang w:val="fr-FR"/>
        </w:rPr>
        <w:tab/>
      </w:r>
      <w:r w:rsidR="003D0F58" w:rsidRPr="00DD03D6">
        <w:rPr>
          <w:noProof/>
          <w:lang w:val="fr-FR"/>
        </w:rPr>
        <w:t xml:space="preserve">Participation </w:t>
      </w:r>
      <w:r w:rsidR="00414C6F">
        <w:rPr>
          <w:noProof/>
          <w:lang w:val="fr-FR"/>
        </w:rPr>
        <w:t xml:space="preserve">à la prise de décisions </w:t>
      </w:r>
    </w:p>
    <w:p w:rsidR="003D0F58" w:rsidRPr="00BF7295" w:rsidRDefault="00414C6F" w:rsidP="00805517">
      <w:pPr>
        <w:pStyle w:val="SingleTxtG"/>
        <w:numPr>
          <w:ilvl w:val="0"/>
          <w:numId w:val="3"/>
        </w:numPr>
        <w:ind w:left="1134" w:firstLine="0"/>
        <w:rPr>
          <w:noProof/>
          <w:u w:val="single"/>
          <w:lang w:val="fr-FR"/>
        </w:rPr>
      </w:pPr>
      <w:r>
        <w:rPr>
          <w:noProof/>
          <w:lang w:val="fr-FR"/>
        </w:rPr>
        <w:t>Le Ministère de l’enfance et de la jeunesse est déterminé à garantir des résultats fondés sur des faits et permettre à des enfants et à des jeunes que l’on n’entend pas souvent de participer aux</w:t>
      </w:r>
      <w:r w:rsidR="003D0F58" w:rsidRPr="00DD03D6">
        <w:rPr>
          <w:noProof/>
          <w:lang w:val="fr-FR"/>
        </w:rPr>
        <w:t xml:space="preserve"> structures </w:t>
      </w:r>
      <w:r>
        <w:rPr>
          <w:noProof/>
          <w:lang w:val="fr-FR"/>
        </w:rPr>
        <w:t xml:space="preserve">et aux </w:t>
      </w:r>
      <w:r w:rsidR="003D0F58" w:rsidRPr="00DD03D6">
        <w:rPr>
          <w:noProof/>
          <w:lang w:val="fr-FR"/>
        </w:rPr>
        <w:t xml:space="preserve">initiatives. </w:t>
      </w:r>
      <w:r>
        <w:rPr>
          <w:noProof/>
          <w:lang w:val="fr-FR"/>
        </w:rPr>
        <w:t xml:space="preserve">Son activité cible plus </w:t>
      </w:r>
      <w:r w:rsidR="003D0F58" w:rsidRPr="00DD03D6">
        <w:rPr>
          <w:noProof/>
          <w:lang w:val="fr-FR"/>
        </w:rPr>
        <w:t>particul</w:t>
      </w:r>
      <w:r>
        <w:rPr>
          <w:noProof/>
          <w:lang w:val="fr-FR"/>
        </w:rPr>
        <w:t>ièrement les enfants âgés de moins de 18 ans et prend la forme de la mise en place de structures efficaces de participation des enfants à la prise de décisions</w:t>
      </w:r>
      <w:r w:rsidR="000D7730">
        <w:rPr>
          <w:noProof/>
          <w:lang w:val="fr-FR"/>
        </w:rPr>
        <w:t xml:space="preserve">, de l’organisation de </w:t>
      </w:r>
      <w:r w:rsidR="003D0F58" w:rsidRPr="00DD03D6">
        <w:rPr>
          <w:noProof/>
          <w:lang w:val="fr-FR"/>
        </w:rPr>
        <w:t xml:space="preserve">consultations </w:t>
      </w:r>
      <w:r w:rsidR="000D7730">
        <w:rPr>
          <w:noProof/>
          <w:lang w:val="fr-FR"/>
        </w:rPr>
        <w:t>auprès des enfants et des jeunes</w:t>
      </w:r>
      <w:r w:rsidR="003D0F58" w:rsidRPr="00DD03D6">
        <w:rPr>
          <w:noProof/>
          <w:lang w:val="fr-FR"/>
        </w:rPr>
        <w:t xml:space="preserve">, </w:t>
      </w:r>
      <w:r w:rsidR="000D7730">
        <w:rPr>
          <w:noProof/>
          <w:lang w:val="fr-FR"/>
        </w:rPr>
        <w:t>de l’élaboration de politiques fondées sur l’observation des faits et conforme</w:t>
      </w:r>
      <w:r w:rsidR="00715BC8">
        <w:rPr>
          <w:noProof/>
          <w:lang w:val="fr-FR"/>
        </w:rPr>
        <w:t>s</w:t>
      </w:r>
      <w:r w:rsidR="000D7730">
        <w:rPr>
          <w:noProof/>
          <w:lang w:val="fr-FR"/>
        </w:rPr>
        <w:t xml:space="preserve"> aux meilleures pratiques</w:t>
      </w:r>
      <w:r w:rsidR="003D0F58" w:rsidRPr="00DD03D6">
        <w:rPr>
          <w:noProof/>
          <w:lang w:val="fr-FR"/>
        </w:rPr>
        <w:t xml:space="preserve"> national</w:t>
      </w:r>
      <w:r w:rsidR="000D7730">
        <w:rPr>
          <w:noProof/>
          <w:lang w:val="fr-FR"/>
        </w:rPr>
        <w:t>es et</w:t>
      </w:r>
      <w:r w:rsidR="003D0F58" w:rsidRPr="00DD03D6">
        <w:rPr>
          <w:noProof/>
          <w:lang w:val="fr-FR"/>
        </w:rPr>
        <w:t xml:space="preserve"> international</w:t>
      </w:r>
      <w:r w:rsidR="000D7730">
        <w:rPr>
          <w:noProof/>
          <w:lang w:val="fr-FR"/>
        </w:rPr>
        <w:t>es</w:t>
      </w:r>
      <w:r w:rsidR="003D0F58" w:rsidRPr="00DD03D6">
        <w:rPr>
          <w:noProof/>
          <w:lang w:val="fr-FR"/>
        </w:rPr>
        <w:t xml:space="preserve">, </w:t>
      </w:r>
      <w:r w:rsidR="000D7730">
        <w:rPr>
          <w:noProof/>
          <w:lang w:val="fr-FR"/>
        </w:rPr>
        <w:t>et d’un partenariat avec des</w:t>
      </w:r>
      <w:r w:rsidR="003D0F58" w:rsidRPr="00DD03D6">
        <w:rPr>
          <w:noProof/>
          <w:lang w:val="fr-FR"/>
        </w:rPr>
        <w:t xml:space="preserve"> organisations</w:t>
      </w:r>
      <w:r w:rsidR="000D7730">
        <w:rPr>
          <w:noProof/>
          <w:lang w:val="fr-FR"/>
        </w:rPr>
        <w:t xml:space="preserve"> publiques et privées</w:t>
      </w:r>
      <w:r w:rsidR="003D0F58" w:rsidRPr="00DD03D6">
        <w:rPr>
          <w:noProof/>
          <w:lang w:val="fr-FR"/>
        </w:rPr>
        <w:t>.</w:t>
      </w:r>
    </w:p>
    <w:p w:rsidR="003D0F58" w:rsidRPr="00DD03D6" w:rsidRDefault="00715BC8" w:rsidP="00805517">
      <w:pPr>
        <w:pStyle w:val="SingleTxtG"/>
        <w:numPr>
          <w:ilvl w:val="0"/>
          <w:numId w:val="3"/>
        </w:numPr>
        <w:ind w:left="1134" w:firstLine="0"/>
        <w:rPr>
          <w:noProof/>
          <w:lang w:val="fr-FR"/>
        </w:rPr>
      </w:pPr>
      <w:r>
        <w:rPr>
          <w:noProof/>
          <w:lang w:val="fr-FR"/>
        </w:rPr>
        <w:t xml:space="preserve">Depuis </w:t>
      </w:r>
      <w:r w:rsidR="003D0F58" w:rsidRPr="00DD03D6">
        <w:rPr>
          <w:noProof/>
          <w:lang w:val="fr-FR"/>
        </w:rPr>
        <w:t xml:space="preserve">2006, </w:t>
      </w:r>
      <w:r>
        <w:rPr>
          <w:noProof/>
          <w:lang w:val="fr-FR"/>
        </w:rPr>
        <w:t xml:space="preserve">le Service de la </w:t>
      </w:r>
      <w:r w:rsidR="008D2096">
        <w:rPr>
          <w:noProof/>
          <w:lang w:val="fr-FR"/>
        </w:rPr>
        <w:t>p</w:t>
      </w:r>
      <w:r w:rsidR="003D0F58" w:rsidRPr="00DD03D6">
        <w:rPr>
          <w:noProof/>
          <w:lang w:val="fr-FR"/>
        </w:rPr>
        <w:t xml:space="preserve">articipation </w:t>
      </w:r>
      <w:r>
        <w:rPr>
          <w:noProof/>
          <w:lang w:val="fr-FR"/>
        </w:rPr>
        <w:t>du Ministère a mis en place ou a consolidé les structures essentielles ci-après</w:t>
      </w:r>
      <w:r w:rsidR="00E32F89">
        <w:rPr>
          <w:noProof/>
          <w:lang w:val="fr-FR"/>
        </w:rPr>
        <w:t> </w:t>
      </w:r>
      <w:r w:rsidR="003D0F58" w:rsidRPr="00DD03D6">
        <w:rPr>
          <w:noProof/>
          <w:lang w:val="fr-FR"/>
        </w:rPr>
        <w:t>:</w:t>
      </w:r>
    </w:p>
    <w:p w:rsidR="003D0F58" w:rsidRPr="00DD03D6" w:rsidRDefault="003D0F58" w:rsidP="00F57F14">
      <w:pPr>
        <w:pStyle w:val="Bullet1G"/>
        <w:tabs>
          <w:tab w:val="clear" w:pos="1701"/>
        </w:tabs>
        <w:ind w:left="1843" w:hanging="142"/>
        <w:rPr>
          <w:b/>
          <w:bCs/>
          <w:i/>
          <w:iCs/>
          <w:noProof/>
          <w:u w:val="single"/>
          <w:lang w:val="fr-FR"/>
        </w:rPr>
      </w:pPr>
      <w:r w:rsidRPr="00DD03D6">
        <w:rPr>
          <w:noProof/>
          <w:lang w:val="fr-FR"/>
        </w:rPr>
        <w:t>Comhairle na nÓg (</w:t>
      </w:r>
      <w:r w:rsidR="00715BC8">
        <w:rPr>
          <w:noProof/>
          <w:lang w:val="fr-FR"/>
        </w:rPr>
        <w:t xml:space="preserve">conseils </w:t>
      </w:r>
      <w:r w:rsidRPr="00DD03D6">
        <w:rPr>
          <w:noProof/>
          <w:lang w:val="fr-FR"/>
        </w:rPr>
        <w:t>loca</w:t>
      </w:r>
      <w:r w:rsidR="00715BC8">
        <w:rPr>
          <w:noProof/>
          <w:lang w:val="fr-FR"/>
        </w:rPr>
        <w:t>ux d’enfants et de jeunes</w:t>
      </w:r>
      <w:r w:rsidRPr="00DD03D6">
        <w:rPr>
          <w:noProof/>
          <w:lang w:val="fr-FR"/>
        </w:rPr>
        <w:t>)</w:t>
      </w:r>
      <w:r w:rsidR="00E32F89">
        <w:rPr>
          <w:noProof/>
          <w:lang w:val="fr-FR"/>
        </w:rPr>
        <w:t> :</w:t>
      </w:r>
      <w:r w:rsidRPr="00DD03D6">
        <w:rPr>
          <w:noProof/>
          <w:lang w:val="fr-FR"/>
        </w:rPr>
        <w:t xml:space="preserve"> L</w:t>
      </w:r>
      <w:r w:rsidR="00715BC8">
        <w:rPr>
          <w:noProof/>
          <w:lang w:val="fr-FR"/>
        </w:rPr>
        <w:t xml:space="preserve">es conseils locaux d’enfants et de jeunes ont été créés en vertu de la Stratégie nationale en faveur des enfants pour </w:t>
      </w:r>
      <w:r w:rsidRPr="00DD03D6">
        <w:rPr>
          <w:noProof/>
          <w:lang w:val="fr-FR"/>
        </w:rPr>
        <w:t xml:space="preserve">2000-2010 </w:t>
      </w:r>
      <w:r w:rsidR="00DD2B11">
        <w:rPr>
          <w:noProof/>
          <w:lang w:val="fr-FR"/>
        </w:rPr>
        <w:t xml:space="preserve">dans les </w:t>
      </w:r>
      <w:r w:rsidRPr="00DD03D6">
        <w:rPr>
          <w:noProof/>
          <w:lang w:val="fr-FR"/>
        </w:rPr>
        <w:t xml:space="preserve">34 </w:t>
      </w:r>
      <w:r w:rsidR="00DD2B11">
        <w:rPr>
          <w:noProof/>
          <w:lang w:val="fr-FR"/>
        </w:rPr>
        <w:t>Conseils de développement de ville et de comté</w:t>
      </w:r>
      <w:r w:rsidRPr="00DD03D6">
        <w:rPr>
          <w:noProof/>
          <w:lang w:val="fr-FR"/>
        </w:rPr>
        <w:t xml:space="preserve">. </w:t>
      </w:r>
      <w:r w:rsidR="00DD2B11">
        <w:rPr>
          <w:noProof/>
          <w:lang w:val="fr-FR"/>
        </w:rPr>
        <w:t xml:space="preserve">Le Fonds de développement des </w:t>
      </w:r>
      <w:r w:rsidRPr="00DD03D6">
        <w:rPr>
          <w:noProof/>
          <w:lang w:val="fr-FR"/>
        </w:rPr>
        <w:t xml:space="preserve">Comhairle na nÓg </w:t>
      </w:r>
      <w:r w:rsidR="00DD2B11">
        <w:rPr>
          <w:noProof/>
          <w:lang w:val="fr-FR"/>
        </w:rPr>
        <w:t xml:space="preserve">a affecté plus de </w:t>
      </w:r>
      <w:r w:rsidRPr="00DD03D6">
        <w:rPr>
          <w:noProof/>
          <w:lang w:val="fr-FR"/>
        </w:rPr>
        <w:t>3</w:t>
      </w:r>
      <w:r w:rsidR="003F52A6" w:rsidRPr="00DD03D6">
        <w:rPr>
          <w:noProof/>
          <w:lang w:val="fr-FR"/>
        </w:rPr>
        <w:t> </w:t>
      </w:r>
      <w:r w:rsidRPr="00DD03D6">
        <w:rPr>
          <w:noProof/>
          <w:lang w:val="fr-FR"/>
        </w:rPr>
        <w:t>million</w:t>
      </w:r>
      <w:r w:rsidR="00DD2B11">
        <w:rPr>
          <w:noProof/>
          <w:lang w:val="fr-FR"/>
        </w:rPr>
        <w:t xml:space="preserve">s d’euros au </w:t>
      </w:r>
      <w:r w:rsidRPr="00DD03D6">
        <w:rPr>
          <w:noProof/>
          <w:lang w:val="fr-FR"/>
        </w:rPr>
        <w:t xml:space="preserve">34 Comhairle na nÓg </w:t>
      </w:r>
      <w:r w:rsidR="00DD2B11">
        <w:rPr>
          <w:noProof/>
          <w:lang w:val="fr-FR"/>
        </w:rPr>
        <w:t>au cours de la période allant de septembre</w:t>
      </w:r>
      <w:r w:rsidRPr="00DD03D6">
        <w:rPr>
          <w:noProof/>
          <w:lang w:val="fr-FR"/>
        </w:rPr>
        <w:t xml:space="preserve"> 2007 </w:t>
      </w:r>
      <w:r w:rsidR="00DD2B11">
        <w:rPr>
          <w:noProof/>
          <w:lang w:val="fr-FR"/>
        </w:rPr>
        <w:t>à</w:t>
      </w:r>
      <w:r w:rsidRPr="00DD03D6">
        <w:rPr>
          <w:noProof/>
          <w:lang w:val="fr-FR"/>
        </w:rPr>
        <w:t xml:space="preserve"> </w:t>
      </w:r>
      <w:r w:rsidR="00DD2B11">
        <w:rPr>
          <w:noProof/>
          <w:lang w:val="fr-FR"/>
        </w:rPr>
        <w:t xml:space="preserve">décembre </w:t>
      </w:r>
      <w:r w:rsidRPr="00DD03D6">
        <w:rPr>
          <w:noProof/>
          <w:lang w:val="fr-FR"/>
        </w:rPr>
        <w:t>2012.</w:t>
      </w:r>
    </w:p>
    <w:p w:rsidR="003D0F58" w:rsidRPr="00DD03D6" w:rsidRDefault="003D0F58" w:rsidP="00F57F14">
      <w:pPr>
        <w:pStyle w:val="Bullet1G"/>
        <w:tabs>
          <w:tab w:val="clear" w:pos="1701"/>
        </w:tabs>
        <w:ind w:left="1843" w:hanging="142"/>
        <w:rPr>
          <w:noProof/>
          <w:lang w:val="fr-FR"/>
        </w:rPr>
      </w:pPr>
      <w:r w:rsidRPr="00DD03D6">
        <w:rPr>
          <w:noProof/>
          <w:lang w:val="fr-FR"/>
        </w:rPr>
        <w:t>Dáil na nÓg (</w:t>
      </w:r>
      <w:r w:rsidR="00DD2B11">
        <w:rPr>
          <w:noProof/>
          <w:lang w:val="fr-FR"/>
        </w:rPr>
        <w:t xml:space="preserve">parlement </w:t>
      </w:r>
      <w:r w:rsidRPr="00DD03D6">
        <w:rPr>
          <w:noProof/>
          <w:lang w:val="fr-FR"/>
        </w:rPr>
        <w:t xml:space="preserve">national </w:t>
      </w:r>
      <w:r w:rsidR="00DD2B11">
        <w:rPr>
          <w:noProof/>
          <w:lang w:val="fr-FR"/>
        </w:rPr>
        <w:t>des jeunes</w:t>
      </w:r>
      <w:r w:rsidRPr="00DD03D6">
        <w:rPr>
          <w:noProof/>
          <w:lang w:val="fr-FR"/>
        </w:rPr>
        <w:t>)</w:t>
      </w:r>
      <w:r w:rsidR="00DD2B11">
        <w:rPr>
          <w:noProof/>
          <w:lang w:val="fr-FR"/>
        </w:rPr>
        <w:t xml:space="preserve"> </w:t>
      </w:r>
      <w:r w:rsidRPr="00DD03D6">
        <w:rPr>
          <w:noProof/>
          <w:lang w:val="fr-FR"/>
        </w:rPr>
        <w:t xml:space="preserve">: </w:t>
      </w:r>
      <w:r w:rsidR="00DD2B11">
        <w:rPr>
          <w:noProof/>
          <w:lang w:val="fr-FR"/>
        </w:rPr>
        <w:t xml:space="preserve">Le </w:t>
      </w:r>
      <w:r w:rsidRPr="00DD03D6">
        <w:rPr>
          <w:noProof/>
          <w:lang w:val="fr-FR"/>
        </w:rPr>
        <w:t xml:space="preserve">Dáil na nÓg </w:t>
      </w:r>
      <w:r w:rsidR="00DD2B11">
        <w:rPr>
          <w:noProof/>
          <w:lang w:val="fr-FR"/>
        </w:rPr>
        <w:t xml:space="preserve">est le parlement national annuel des jeunes âgés de </w:t>
      </w:r>
      <w:r w:rsidRPr="00DD03D6">
        <w:rPr>
          <w:noProof/>
          <w:lang w:val="fr-FR"/>
        </w:rPr>
        <w:t>12</w:t>
      </w:r>
      <w:r w:rsidR="00DD2B11">
        <w:rPr>
          <w:noProof/>
          <w:lang w:val="fr-FR"/>
        </w:rPr>
        <w:t xml:space="preserve"> à </w:t>
      </w:r>
      <w:r w:rsidRPr="00DD03D6">
        <w:rPr>
          <w:noProof/>
          <w:lang w:val="fr-FR"/>
        </w:rPr>
        <w:t xml:space="preserve">18 </w:t>
      </w:r>
      <w:r w:rsidR="00DD2B11">
        <w:rPr>
          <w:noProof/>
          <w:lang w:val="fr-FR"/>
        </w:rPr>
        <w:t>an</w:t>
      </w:r>
      <w:r w:rsidRPr="00DD03D6">
        <w:rPr>
          <w:noProof/>
          <w:lang w:val="fr-FR"/>
        </w:rPr>
        <w:t xml:space="preserve">s. </w:t>
      </w:r>
      <w:r w:rsidR="00DD2B11">
        <w:rPr>
          <w:noProof/>
          <w:lang w:val="fr-FR"/>
        </w:rPr>
        <w:t xml:space="preserve">Le Ministère finance et supervise le </w:t>
      </w:r>
      <w:r w:rsidRPr="00DD03D6">
        <w:rPr>
          <w:noProof/>
          <w:lang w:val="fr-FR"/>
        </w:rPr>
        <w:t xml:space="preserve">Dáil na nÓg, </w:t>
      </w:r>
      <w:r w:rsidR="00DD2B11">
        <w:rPr>
          <w:noProof/>
          <w:lang w:val="fr-FR"/>
        </w:rPr>
        <w:t>qui est accueilli chaque année par l</w:t>
      </w:r>
      <w:r w:rsidR="008D2096">
        <w:rPr>
          <w:noProof/>
          <w:lang w:val="fr-FR"/>
        </w:rPr>
        <w:t>a</w:t>
      </w:r>
      <w:r w:rsidR="00DD2B11">
        <w:rPr>
          <w:noProof/>
          <w:lang w:val="fr-FR"/>
        </w:rPr>
        <w:t xml:space="preserve"> Ministre de l’enfance et de la jeunesse</w:t>
      </w:r>
      <w:r w:rsidRPr="00DD03D6">
        <w:rPr>
          <w:noProof/>
          <w:lang w:val="fr-FR"/>
        </w:rPr>
        <w:t xml:space="preserve">. </w:t>
      </w:r>
      <w:r w:rsidR="00DD2B11">
        <w:rPr>
          <w:noProof/>
          <w:lang w:val="fr-FR"/>
        </w:rPr>
        <w:t xml:space="preserve">Les délégués envoyés au </w:t>
      </w:r>
      <w:r w:rsidRPr="00DD03D6">
        <w:rPr>
          <w:noProof/>
          <w:lang w:val="fr-FR"/>
        </w:rPr>
        <w:t xml:space="preserve">Dáil na nÓg </w:t>
      </w:r>
      <w:r w:rsidR="00DD2B11">
        <w:rPr>
          <w:noProof/>
          <w:lang w:val="fr-FR"/>
        </w:rPr>
        <w:t xml:space="preserve">sont élus par les </w:t>
      </w:r>
      <w:r w:rsidRPr="00DD03D6">
        <w:rPr>
          <w:noProof/>
          <w:lang w:val="fr-FR"/>
        </w:rPr>
        <w:t>34 Comhairlí na nÓg.</w:t>
      </w:r>
    </w:p>
    <w:p w:rsidR="006660D1" w:rsidRPr="00DD03D6" w:rsidRDefault="00DD2B11" w:rsidP="006660D1">
      <w:pPr>
        <w:pStyle w:val="SingleTxtG"/>
        <w:ind w:left="1701"/>
        <w:rPr>
          <w:noProof/>
          <w:lang w:val="fr-FR"/>
        </w:rPr>
      </w:pPr>
      <w:r>
        <w:rPr>
          <w:noProof/>
          <w:lang w:val="fr-FR"/>
        </w:rPr>
        <w:t>Réalisation</w:t>
      </w:r>
      <w:r w:rsidR="00F94D9C">
        <w:rPr>
          <w:noProof/>
          <w:lang w:val="fr-FR"/>
        </w:rPr>
        <w:t>s</w:t>
      </w:r>
      <w:r>
        <w:rPr>
          <w:noProof/>
          <w:lang w:val="fr-FR"/>
        </w:rPr>
        <w:t xml:space="preserve"> du </w:t>
      </w:r>
      <w:r w:rsidR="006660D1" w:rsidRPr="00DD03D6">
        <w:rPr>
          <w:noProof/>
          <w:lang w:val="fr-FR"/>
        </w:rPr>
        <w:t>Dáil na nÓg</w:t>
      </w:r>
      <w:r>
        <w:rPr>
          <w:noProof/>
          <w:lang w:val="fr-FR"/>
        </w:rPr>
        <w:t xml:space="preserve"> </w:t>
      </w:r>
      <w:r w:rsidR="006660D1" w:rsidRPr="00DD03D6">
        <w:rPr>
          <w:noProof/>
          <w:lang w:val="fr-FR"/>
        </w:rPr>
        <w:t>:</w:t>
      </w:r>
    </w:p>
    <w:p w:rsidR="006660D1" w:rsidRPr="00DD03D6" w:rsidRDefault="00E843E2" w:rsidP="006660D1">
      <w:pPr>
        <w:pStyle w:val="Bullet2G"/>
        <w:rPr>
          <w:noProof/>
          <w:lang w:val="fr-FR"/>
        </w:rPr>
      </w:pPr>
      <w:r>
        <w:rPr>
          <w:iCs/>
          <w:noProof/>
          <w:lang w:val="fr-FR"/>
        </w:rPr>
        <w:t xml:space="preserve">La campagne </w:t>
      </w:r>
      <w:r w:rsidR="006660D1" w:rsidRPr="00DD03D6">
        <w:rPr>
          <w:noProof/>
          <w:lang w:val="fr-FR"/>
        </w:rPr>
        <w:t xml:space="preserve">Fairsay, </w:t>
      </w:r>
      <w:r>
        <w:rPr>
          <w:noProof/>
          <w:lang w:val="fr-FR"/>
        </w:rPr>
        <w:t xml:space="preserve">qui a mis en exergue le portrait négatif que les médias donnent des adolescents et a engagé les médias </w:t>
      </w:r>
      <w:r w:rsidR="00983757">
        <w:rPr>
          <w:noProof/>
          <w:lang w:val="fr-FR"/>
        </w:rPr>
        <w:t>à</w:t>
      </w:r>
      <w:r w:rsidR="006660D1" w:rsidRPr="00DD03D6">
        <w:rPr>
          <w:noProof/>
          <w:lang w:val="fr-FR"/>
        </w:rPr>
        <w:t xml:space="preserve"> </w:t>
      </w:r>
      <w:r w:rsidR="003F36DD">
        <w:rPr>
          <w:noProof/>
          <w:lang w:val="fr-FR"/>
        </w:rPr>
        <w:t>« </w:t>
      </w:r>
      <w:r w:rsidR="00983757">
        <w:rPr>
          <w:noProof/>
          <w:lang w:val="fr-FR"/>
        </w:rPr>
        <w:t>parler aux adolescents</w:t>
      </w:r>
      <w:r w:rsidR="003F36DD">
        <w:rPr>
          <w:noProof/>
          <w:lang w:val="fr-FR"/>
        </w:rPr>
        <w:t> »</w:t>
      </w:r>
      <w:r w:rsidR="006660D1" w:rsidRPr="00DD03D6">
        <w:rPr>
          <w:noProof/>
          <w:lang w:val="fr-FR"/>
        </w:rPr>
        <w:t xml:space="preserve"> </w:t>
      </w:r>
      <w:r w:rsidR="00983757">
        <w:rPr>
          <w:noProof/>
          <w:lang w:val="fr-FR"/>
        </w:rPr>
        <w:t xml:space="preserve">au lieu de </w:t>
      </w:r>
      <w:r w:rsidR="003F36DD">
        <w:rPr>
          <w:noProof/>
          <w:lang w:val="fr-FR"/>
        </w:rPr>
        <w:t>« </w:t>
      </w:r>
      <w:r w:rsidR="00983757">
        <w:rPr>
          <w:noProof/>
          <w:lang w:val="fr-FR"/>
        </w:rPr>
        <w:t>parler des adolescents</w:t>
      </w:r>
      <w:r w:rsidR="003F36DD">
        <w:rPr>
          <w:noProof/>
          <w:lang w:val="fr-FR"/>
        </w:rPr>
        <w:t> »</w:t>
      </w:r>
      <w:r w:rsidR="006660D1" w:rsidRPr="00DD03D6">
        <w:rPr>
          <w:noProof/>
          <w:lang w:val="fr-FR"/>
        </w:rPr>
        <w:t xml:space="preserve"> (2007-2008).</w:t>
      </w:r>
    </w:p>
    <w:p w:rsidR="006660D1" w:rsidRPr="00DD03D6" w:rsidRDefault="00983757" w:rsidP="00665345">
      <w:pPr>
        <w:pStyle w:val="Bullet2G"/>
        <w:rPr>
          <w:noProof/>
          <w:lang w:val="fr-FR"/>
        </w:rPr>
      </w:pPr>
      <w:r>
        <w:rPr>
          <w:noProof/>
          <w:lang w:val="fr-FR"/>
        </w:rPr>
        <w:lastRenderedPageBreak/>
        <w:t xml:space="preserve">A pris </w:t>
      </w:r>
      <w:r w:rsidR="006660D1" w:rsidRPr="00DD03D6">
        <w:rPr>
          <w:noProof/>
          <w:lang w:val="fr-FR"/>
        </w:rPr>
        <w:t xml:space="preserve">part </w:t>
      </w:r>
      <w:r>
        <w:rPr>
          <w:noProof/>
          <w:lang w:val="fr-FR"/>
        </w:rPr>
        <w:t>au groupe de référence composé d’enfants associés à l’élaboration de la publicité télévisuelle et cinématographique qui</w:t>
      </w:r>
      <w:r w:rsidR="008D2096">
        <w:rPr>
          <w:noProof/>
          <w:lang w:val="fr-FR"/>
        </w:rPr>
        <w:t>,</w:t>
      </w:r>
      <w:r>
        <w:rPr>
          <w:noProof/>
          <w:lang w:val="fr-FR"/>
        </w:rPr>
        <w:t xml:space="preserve"> connue sous le nom </w:t>
      </w:r>
      <w:r w:rsidR="00737E66">
        <w:rPr>
          <w:noProof/>
          <w:lang w:val="fr-FR"/>
        </w:rPr>
        <w:t xml:space="preserve">de </w:t>
      </w:r>
      <w:r w:rsidR="003F36DD">
        <w:rPr>
          <w:noProof/>
          <w:lang w:val="fr-FR"/>
        </w:rPr>
        <w:t>« </w:t>
      </w:r>
      <w:r w:rsidR="006660D1" w:rsidRPr="00DD03D6">
        <w:rPr>
          <w:noProof/>
          <w:lang w:val="fr-FR"/>
        </w:rPr>
        <w:t>The boy in the hoodie</w:t>
      </w:r>
      <w:r w:rsidR="003F36DD">
        <w:rPr>
          <w:noProof/>
          <w:lang w:val="fr-FR"/>
        </w:rPr>
        <w:t> »</w:t>
      </w:r>
      <w:r w:rsidR="006660D1" w:rsidRPr="00DD03D6">
        <w:rPr>
          <w:noProof/>
          <w:lang w:val="fr-FR"/>
        </w:rPr>
        <w:t xml:space="preserve"> </w:t>
      </w:r>
      <w:r w:rsidR="00737E66">
        <w:rPr>
          <w:noProof/>
          <w:lang w:val="fr-FR"/>
        </w:rPr>
        <w:t>(Le garçon au capuchon) et réalisée pour la campagne de sensibilisation à la santé mentale des jeunes</w:t>
      </w:r>
      <w:r w:rsidR="006660D1" w:rsidRPr="00DD03D6">
        <w:rPr>
          <w:noProof/>
          <w:lang w:val="fr-FR"/>
        </w:rPr>
        <w:t xml:space="preserve">, </w:t>
      </w:r>
      <w:r w:rsidR="00737E66">
        <w:rPr>
          <w:noProof/>
          <w:lang w:val="fr-FR"/>
        </w:rPr>
        <w:t>en coopé</w:t>
      </w:r>
      <w:r w:rsidR="006660D1" w:rsidRPr="00DD03D6">
        <w:rPr>
          <w:noProof/>
          <w:lang w:val="fr-FR"/>
        </w:rPr>
        <w:t xml:space="preserve">ration </w:t>
      </w:r>
      <w:r w:rsidR="00737E66">
        <w:rPr>
          <w:noProof/>
          <w:lang w:val="fr-FR"/>
        </w:rPr>
        <w:t xml:space="preserve">avec l’Office national de prévention du suicide et le Ministère de l’enfance et de la jeunesse </w:t>
      </w:r>
      <w:r w:rsidR="008D2096">
        <w:rPr>
          <w:noProof/>
          <w:lang w:val="fr-FR"/>
        </w:rPr>
        <w:t>(2008-2009),</w:t>
      </w:r>
      <w:r w:rsidR="008D2096" w:rsidRPr="008D2096">
        <w:rPr>
          <w:noProof/>
          <w:lang w:val="fr-FR"/>
        </w:rPr>
        <w:t xml:space="preserve"> </w:t>
      </w:r>
      <w:r w:rsidR="008D2096">
        <w:rPr>
          <w:noProof/>
          <w:lang w:val="fr-FR"/>
        </w:rPr>
        <w:t>a connu un grand succès.</w:t>
      </w:r>
    </w:p>
    <w:p w:rsidR="006660D1" w:rsidRPr="00DD03D6" w:rsidRDefault="00F94D9C" w:rsidP="006660D1">
      <w:pPr>
        <w:pStyle w:val="Bullet2G"/>
        <w:rPr>
          <w:noProof/>
          <w:lang w:val="fr-FR"/>
        </w:rPr>
      </w:pPr>
      <w:r>
        <w:rPr>
          <w:noProof/>
          <w:lang w:val="fr-FR"/>
        </w:rPr>
        <w:t xml:space="preserve">A influé sur la décision du Ministre de la santé et de l’enfance de mettre en place le programme de vaccination contre le cancer du col de l’utérus pour les filles âgées de </w:t>
      </w:r>
      <w:r w:rsidR="006660D1" w:rsidRPr="00DD03D6">
        <w:rPr>
          <w:noProof/>
          <w:lang w:val="fr-FR"/>
        </w:rPr>
        <w:t>12</w:t>
      </w:r>
      <w:r>
        <w:rPr>
          <w:noProof/>
          <w:lang w:val="fr-FR"/>
        </w:rPr>
        <w:t xml:space="preserve"> ans</w:t>
      </w:r>
      <w:r w:rsidR="006660D1" w:rsidRPr="00DD03D6">
        <w:rPr>
          <w:noProof/>
          <w:lang w:val="fr-FR"/>
        </w:rPr>
        <w:t xml:space="preserve"> (2010).</w:t>
      </w:r>
    </w:p>
    <w:p w:rsidR="006660D1" w:rsidRPr="00DD03D6" w:rsidRDefault="006660D1" w:rsidP="006660D1">
      <w:pPr>
        <w:pStyle w:val="Bullet2G"/>
        <w:rPr>
          <w:noProof/>
          <w:lang w:val="fr-FR"/>
        </w:rPr>
      </w:pPr>
      <w:r w:rsidRPr="00DD03D6">
        <w:rPr>
          <w:noProof/>
          <w:lang w:val="fr-FR"/>
        </w:rPr>
        <w:t>A</w:t>
      </w:r>
      <w:r w:rsidR="00F94D9C">
        <w:rPr>
          <w:noProof/>
          <w:lang w:val="fr-FR"/>
        </w:rPr>
        <w:t xml:space="preserve"> obtenu un engagement selon lequel les </w:t>
      </w:r>
      <w:r w:rsidRPr="00DD03D6">
        <w:rPr>
          <w:noProof/>
          <w:lang w:val="fr-FR"/>
        </w:rPr>
        <w:t xml:space="preserve">questions </w:t>
      </w:r>
      <w:r w:rsidR="00F94D9C">
        <w:rPr>
          <w:noProof/>
          <w:lang w:val="fr-FR"/>
        </w:rPr>
        <w:t xml:space="preserve">sur le comportement sexuel qui ne figuraient pas antérieurement dans l’enquête sur le comportement des enfants d’âge scolaire en matière de santé en Irlande y seraient insérées à l’avenir </w:t>
      </w:r>
      <w:r w:rsidRPr="00DD03D6">
        <w:rPr>
          <w:noProof/>
          <w:lang w:val="fr-FR"/>
        </w:rPr>
        <w:t>(2010).</w:t>
      </w:r>
    </w:p>
    <w:p w:rsidR="006660D1" w:rsidRPr="00DD03D6" w:rsidRDefault="00504F24" w:rsidP="006660D1">
      <w:pPr>
        <w:pStyle w:val="Bullet2G"/>
        <w:rPr>
          <w:noProof/>
          <w:lang w:val="fr-FR"/>
        </w:rPr>
      </w:pPr>
      <w:r>
        <w:rPr>
          <w:noProof/>
          <w:lang w:val="fr-FR"/>
        </w:rPr>
        <w:t>Enquête dirigée par les pairs et fondée sur l’observation des faits menée auprès de</w:t>
      </w:r>
      <w:r w:rsidR="006660D1" w:rsidRPr="00DD03D6">
        <w:rPr>
          <w:noProof/>
          <w:lang w:val="fr-FR"/>
        </w:rPr>
        <w:t xml:space="preserve"> 2</w:t>
      </w:r>
      <w:r>
        <w:rPr>
          <w:noProof/>
          <w:lang w:val="fr-FR"/>
        </w:rPr>
        <w:t xml:space="preserve"> </w:t>
      </w:r>
      <w:r w:rsidR="006660D1" w:rsidRPr="00DD03D6">
        <w:rPr>
          <w:noProof/>
          <w:lang w:val="fr-FR"/>
        </w:rPr>
        <w:t xml:space="preserve">500 </w:t>
      </w:r>
      <w:r>
        <w:rPr>
          <w:noProof/>
          <w:lang w:val="fr-FR"/>
        </w:rPr>
        <w:t>adolescents sur l’</w:t>
      </w:r>
      <w:r w:rsidR="006660D1" w:rsidRPr="00DD03D6">
        <w:rPr>
          <w:noProof/>
          <w:lang w:val="fr-FR"/>
        </w:rPr>
        <w:t xml:space="preserve">image </w:t>
      </w:r>
      <w:r>
        <w:rPr>
          <w:noProof/>
          <w:lang w:val="fr-FR"/>
        </w:rPr>
        <w:t>du corps e</w:t>
      </w:r>
      <w:r w:rsidR="006660D1" w:rsidRPr="00DD03D6">
        <w:rPr>
          <w:noProof/>
          <w:lang w:val="fr-FR"/>
        </w:rPr>
        <w:t xml:space="preserve">n </w:t>
      </w:r>
      <w:r>
        <w:rPr>
          <w:noProof/>
          <w:lang w:val="fr-FR"/>
        </w:rPr>
        <w:t>n</w:t>
      </w:r>
      <w:r w:rsidR="006660D1" w:rsidRPr="00DD03D6">
        <w:rPr>
          <w:noProof/>
          <w:lang w:val="fr-FR"/>
        </w:rPr>
        <w:t>ovemb</w:t>
      </w:r>
      <w:r>
        <w:rPr>
          <w:noProof/>
          <w:lang w:val="fr-FR"/>
        </w:rPr>
        <w:t>re</w:t>
      </w:r>
      <w:r w:rsidR="006660D1" w:rsidRPr="00DD03D6">
        <w:rPr>
          <w:noProof/>
          <w:lang w:val="fr-FR"/>
        </w:rPr>
        <w:t xml:space="preserve"> 2011, </w:t>
      </w:r>
      <w:r>
        <w:rPr>
          <w:noProof/>
          <w:lang w:val="fr-FR"/>
        </w:rPr>
        <w:t>qui a été lancée par les jeunes et l</w:t>
      </w:r>
      <w:r w:rsidR="008D2096">
        <w:rPr>
          <w:noProof/>
          <w:lang w:val="fr-FR"/>
        </w:rPr>
        <w:t>a</w:t>
      </w:r>
      <w:r>
        <w:rPr>
          <w:noProof/>
          <w:lang w:val="fr-FR"/>
        </w:rPr>
        <w:t xml:space="preserve"> Ministre de l’enfance et de la jeunesse en 2012</w:t>
      </w:r>
      <w:r w:rsidR="006660D1" w:rsidRPr="00DD03D6">
        <w:rPr>
          <w:noProof/>
          <w:lang w:val="fr-FR"/>
        </w:rPr>
        <w:t>.</w:t>
      </w:r>
    </w:p>
    <w:p w:rsidR="003D0F58" w:rsidRPr="00DD03D6" w:rsidRDefault="008D2096" w:rsidP="00F57F14">
      <w:pPr>
        <w:pStyle w:val="Bullet1G"/>
        <w:tabs>
          <w:tab w:val="clear" w:pos="1701"/>
        </w:tabs>
        <w:ind w:left="1843" w:hanging="142"/>
        <w:rPr>
          <w:noProof/>
          <w:lang w:val="fr-FR"/>
        </w:rPr>
      </w:pPr>
      <w:r>
        <w:rPr>
          <w:noProof/>
          <w:lang w:val="fr-FR"/>
        </w:rPr>
        <w:t>L</w:t>
      </w:r>
      <w:r w:rsidR="002135F8">
        <w:rPr>
          <w:noProof/>
          <w:lang w:val="fr-FR"/>
        </w:rPr>
        <w:t>e</w:t>
      </w:r>
      <w:r w:rsidR="00504F24">
        <w:rPr>
          <w:noProof/>
          <w:lang w:val="fr-FR"/>
        </w:rPr>
        <w:t xml:space="preserve"> Minist</w:t>
      </w:r>
      <w:r w:rsidR="002135F8">
        <w:rPr>
          <w:noProof/>
          <w:lang w:val="fr-FR"/>
        </w:rPr>
        <w:t>èr</w:t>
      </w:r>
      <w:r w:rsidR="00504F24">
        <w:rPr>
          <w:noProof/>
          <w:lang w:val="fr-FR"/>
        </w:rPr>
        <w:t xml:space="preserve">e de l’enfance et de la jeunesse </w:t>
      </w:r>
      <w:r w:rsidR="007221BF">
        <w:rPr>
          <w:noProof/>
          <w:lang w:val="fr-FR"/>
        </w:rPr>
        <w:t xml:space="preserve">offre aux enfants et aux jeunes des possibilités d’exprimer leurs vues sur des questions d’importance </w:t>
      </w:r>
      <w:r w:rsidR="003D0F58" w:rsidRPr="00DD03D6">
        <w:rPr>
          <w:noProof/>
          <w:lang w:val="fr-FR"/>
        </w:rPr>
        <w:t>national</w:t>
      </w:r>
      <w:r w:rsidR="007221BF">
        <w:rPr>
          <w:noProof/>
          <w:lang w:val="fr-FR"/>
        </w:rPr>
        <w:t>e</w:t>
      </w:r>
      <w:r w:rsidR="003D0F58" w:rsidRPr="00DD03D6">
        <w:rPr>
          <w:noProof/>
          <w:lang w:val="fr-FR"/>
        </w:rPr>
        <w:t xml:space="preserve"> </w:t>
      </w:r>
      <w:r w:rsidR="007221BF">
        <w:rPr>
          <w:noProof/>
          <w:lang w:val="fr-FR"/>
        </w:rPr>
        <w:t xml:space="preserve">et personnelle, et a mené des consultations nationales auprès des enfants et dialogué avec eux sur diverses questions depuis </w:t>
      </w:r>
      <w:r w:rsidR="003D0F58" w:rsidRPr="00DD03D6">
        <w:rPr>
          <w:noProof/>
          <w:lang w:val="fr-FR"/>
        </w:rPr>
        <w:t xml:space="preserve">2005, </w:t>
      </w:r>
      <w:r w:rsidR="00E32F89">
        <w:rPr>
          <w:noProof/>
          <w:lang w:val="fr-FR"/>
        </w:rPr>
        <w:t>parmi lesquelles </w:t>
      </w:r>
      <w:r w:rsidR="003D0F58" w:rsidRPr="00DD03D6">
        <w:rPr>
          <w:noProof/>
          <w:lang w:val="fr-FR"/>
        </w:rPr>
        <w:t>:</w:t>
      </w:r>
    </w:p>
    <w:p w:rsidR="003D0F58" w:rsidRPr="00DD03D6" w:rsidRDefault="007221BF" w:rsidP="006660D1">
      <w:pPr>
        <w:pStyle w:val="Bullet2G"/>
        <w:rPr>
          <w:noProof/>
          <w:lang w:val="fr-FR"/>
        </w:rPr>
      </w:pPr>
      <w:r>
        <w:rPr>
          <w:noProof/>
          <w:lang w:val="fr-FR"/>
        </w:rPr>
        <w:t xml:space="preserve">La mise en place de l’Équipe spéciale sur la citoyenneté active </w:t>
      </w:r>
      <w:r w:rsidR="003D0F58" w:rsidRPr="00DD03D6">
        <w:rPr>
          <w:noProof/>
          <w:lang w:val="fr-FR"/>
        </w:rPr>
        <w:t>(2006);</w:t>
      </w:r>
    </w:p>
    <w:p w:rsidR="003D0F58" w:rsidRPr="00DD03D6" w:rsidRDefault="007221BF" w:rsidP="006660D1">
      <w:pPr>
        <w:pStyle w:val="Bullet2G"/>
        <w:rPr>
          <w:noProof/>
          <w:lang w:val="fr-FR"/>
        </w:rPr>
      </w:pPr>
      <w:r>
        <w:rPr>
          <w:noProof/>
          <w:lang w:val="fr-FR"/>
        </w:rPr>
        <w:t xml:space="preserve">L’âge du consentement sexuel </w:t>
      </w:r>
      <w:r w:rsidR="003D0F58" w:rsidRPr="00DD03D6">
        <w:rPr>
          <w:noProof/>
          <w:lang w:val="fr-FR"/>
        </w:rPr>
        <w:t>(2006);</w:t>
      </w:r>
    </w:p>
    <w:p w:rsidR="003D0F58" w:rsidRPr="00DD03D6" w:rsidRDefault="007221BF" w:rsidP="006660D1">
      <w:pPr>
        <w:pStyle w:val="Bullet2G"/>
        <w:rPr>
          <w:noProof/>
          <w:lang w:val="fr-FR"/>
        </w:rPr>
      </w:pPr>
      <w:r>
        <w:rPr>
          <w:noProof/>
          <w:lang w:val="fr-FR"/>
        </w:rPr>
        <w:t xml:space="preserve">L’élaboration de la Stratégie irlandaise sur la justice pour mineurs </w:t>
      </w:r>
      <w:r w:rsidR="003D0F58" w:rsidRPr="00DD03D6">
        <w:rPr>
          <w:noProof/>
          <w:lang w:val="fr-FR"/>
        </w:rPr>
        <w:t>(2007);</w:t>
      </w:r>
    </w:p>
    <w:p w:rsidR="003D0F58" w:rsidRPr="00DD03D6" w:rsidRDefault="007221BF" w:rsidP="006660D1">
      <w:pPr>
        <w:pStyle w:val="Bullet2G"/>
        <w:rPr>
          <w:noProof/>
          <w:lang w:val="fr-FR"/>
        </w:rPr>
      </w:pPr>
      <w:r>
        <w:rPr>
          <w:noProof/>
          <w:lang w:val="fr-FR"/>
        </w:rPr>
        <w:t xml:space="preserve">L’abus d’alcool parmi les jeunes </w:t>
      </w:r>
      <w:r w:rsidR="003D0F58" w:rsidRPr="00DD03D6">
        <w:rPr>
          <w:noProof/>
          <w:lang w:val="fr-FR"/>
        </w:rPr>
        <w:t>(2007);</w:t>
      </w:r>
    </w:p>
    <w:p w:rsidR="003D0F58" w:rsidRPr="00DD03D6" w:rsidRDefault="007221BF" w:rsidP="006660D1">
      <w:pPr>
        <w:pStyle w:val="Bullet2G"/>
        <w:rPr>
          <w:noProof/>
          <w:lang w:val="fr-FR"/>
        </w:rPr>
      </w:pPr>
      <w:r>
        <w:rPr>
          <w:noProof/>
          <w:lang w:val="fr-FR"/>
        </w:rPr>
        <w:t xml:space="preserve">La santé mentale des adolescents </w:t>
      </w:r>
      <w:r w:rsidR="003D0F58" w:rsidRPr="00DD03D6">
        <w:rPr>
          <w:noProof/>
          <w:lang w:val="fr-FR"/>
        </w:rPr>
        <w:t xml:space="preserve">: </w:t>
      </w:r>
      <w:r>
        <w:rPr>
          <w:noProof/>
          <w:lang w:val="fr-FR"/>
        </w:rPr>
        <w:t xml:space="preserve">ce qui fait du bien et ce qui fait du mal </w:t>
      </w:r>
      <w:r w:rsidR="003D0F58" w:rsidRPr="00DD03D6">
        <w:rPr>
          <w:noProof/>
          <w:lang w:val="fr-FR"/>
        </w:rPr>
        <w:t>(2008);</w:t>
      </w:r>
    </w:p>
    <w:p w:rsidR="003D0F58" w:rsidRPr="00DD03D6" w:rsidRDefault="00E3066E" w:rsidP="006660D1">
      <w:pPr>
        <w:pStyle w:val="Bullet2G"/>
        <w:rPr>
          <w:noProof/>
          <w:lang w:val="fr-FR"/>
        </w:rPr>
      </w:pPr>
      <w:r w:rsidRPr="00DD03D6">
        <w:rPr>
          <w:noProof/>
          <w:lang w:val="fr-FR"/>
        </w:rPr>
        <w:t>C</w:t>
      </w:r>
      <w:r w:rsidR="003D0F58" w:rsidRPr="00DD03D6">
        <w:rPr>
          <w:noProof/>
          <w:lang w:val="fr-FR"/>
        </w:rPr>
        <w:t xml:space="preserve">onsultations </w:t>
      </w:r>
      <w:r w:rsidR="007221BF">
        <w:rPr>
          <w:noProof/>
          <w:lang w:val="fr-FR"/>
        </w:rPr>
        <w:t>auprès de</w:t>
      </w:r>
      <w:r w:rsidR="00704C04">
        <w:rPr>
          <w:noProof/>
          <w:lang w:val="fr-FR"/>
        </w:rPr>
        <w:t>s</w:t>
      </w:r>
      <w:r w:rsidR="007221BF">
        <w:rPr>
          <w:noProof/>
          <w:lang w:val="fr-FR"/>
        </w:rPr>
        <w:t xml:space="preserve"> enfants et des jeunes sur le nouvel </w:t>
      </w:r>
      <w:r w:rsidR="00704C04">
        <w:rPr>
          <w:noProof/>
          <w:lang w:val="fr-FR"/>
        </w:rPr>
        <w:t xml:space="preserve">Hôpital pédiatrique </w:t>
      </w:r>
      <w:r w:rsidR="003D0F58" w:rsidRPr="00DD03D6">
        <w:rPr>
          <w:noProof/>
          <w:lang w:val="fr-FR"/>
        </w:rPr>
        <w:t>(2009);</w:t>
      </w:r>
    </w:p>
    <w:p w:rsidR="003D0F58" w:rsidRPr="00DD03D6" w:rsidRDefault="00704C04" w:rsidP="006660D1">
      <w:pPr>
        <w:pStyle w:val="Bullet2G"/>
        <w:rPr>
          <w:noProof/>
          <w:lang w:val="fr-FR"/>
        </w:rPr>
      </w:pPr>
      <w:r w:rsidRPr="00DD03D6">
        <w:rPr>
          <w:noProof/>
          <w:lang w:val="fr-FR"/>
        </w:rPr>
        <w:t xml:space="preserve">Consultations </w:t>
      </w:r>
      <w:r>
        <w:rPr>
          <w:noProof/>
          <w:lang w:val="fr-FR"/>
        </w:rPr>
        <w:t>auprès des enfants et des jeunes pris en charge par l’État</w:t>
      </w:r>
      <w:r w:rsidR="00E92D3C">
        <w:rPr>
          <w:noProof/>
          <w:lang w:val="fr-FR"/>
        </w:rPr>
        <w:t xml:space="preserve"> </w:t>
      </w:r>
      <w:r w:rsidR="00524AD1" w:rsidRPr="00DD03D6">
        <w:rPr>
          <w:noProof/>
          <w:lang w:val="fr-FR"/>
        </w:rPr>
        <w:t>(</w:t>
      </w:r>
      <w:r>
        <w:rPr>
          <w:noProof/>
          <w:lang w:val="fr-FR"/>
        </w:rPr>
        <w:t xml:space="preserve">janvier-décembre </w:t>
      </w:r>
      <w:r w:rsidR="003D0F58" w:rsidRPr="00DD03D6">
        <w:rPr>
          <w:noProof/>
          <w:lang w:val="fr-FR"/>
        </w:rPr>
        <w:t>2010);</w:t>
      </w:r>
    </w:p>
    <w:p w:rsidR="003D0F58" w:rsidRPr="00DD03D6" w:rsidRDefault="00704C04" w:rsidP="006660D1">
      <w:pPr>
        <w:pStyle w:val="Bullet2G"/>
        <w:rPr>
          <w:noProof/>
          <w:lang w:val="fr-FR"/>
        </w:rPr>
      </w:pPr>
      <w:r w:rsidRPr="00DD03D6">
        <w:rPr>
          <w:noProof/>
          <w:lang w:val="fr-FR"/>
        </w:rPr>
        <w:t xml:space="preserve">Consultations </w:t>
      </w:r>
      <w:r>
        <w:rPr>
          <w:noProof/>
          <w:lang w:val="fr-FR"/>
        </w:rPr>
        <w:t>auprès des jeunes sur la ré</w:t>
      </w:r>
      <w:r w:rsidR="003D0F58" w:rsidRPr="00DD03D6">
        <w:rPr>
          <w:noProof/>
          <w:lang w:val="fr-FR"/>
        </w:rPr>
        <w:t>form</w:t>
      </w:r>
      <w:r>
        <w:rPr>
          <w:noProof/>
          <w:lang w:val="fr-FR"/>
        </w:rPr>
        <w:t>e</w:t>
      </w:r>
      <w:r w:rsidR="003D0F58" w:rsidRPr="00DD03D6">
        <w:rPr>
          <w:noProof/>
          <w:lang w:val="fr-FR"/>
        </w:rPr>
        <w:t xml:space="preserve"> </w:t>
      </w:r>
      <w:r>
        <w:rPr>
          <w:noProof/>
          <w:lang w:val="fr-FR"/>
        </w:rPr>
        <w:t>du premier cycle des écoles secondaires</w:t>
      </w:r>
      <w:r w:rsidR="003D0F58" w:rsidRPr="00DD03D6">
        <w:rPr>
          <w:noProof/>
          <w:lang w:val="fr-FR"/>
        </w:rPr>
        <w:t xml:space="preserve"> (</w:t>
      </w:r>
      <w:r>
        <w:rPr>
          <w:noProof/>
          <w:lang w:val="fr-FR"/>
        </w:rPr>
        <w:t>n</w:t>
      </w:r>
      <w:r w:rsidR="003D0F58" w:rsidRPr="00DD03D6">
        <w:rPr>
          <w:noProof/>
          <w:lang w:val="fr-FR"/>
        </w:rPr>
        <w:t>ovemb</w:t>
      </w:r>
      <w:r>
        <w:rPr>
          <w:noProof/>
          <w:lang w:val="fr-FR"/>
        </w:rPr>
        <w:t>re</w:t>
      </w:r>
      <w:r w:rsidR="003D0F58" w:rsidRPr="00DD03D6">
        <w:rPr>
          <w:noProof/>
          <w:lang w:val="fr-FR"/>
        </w:rPr>
        <w:t xml:space="preserve"> 2010);</w:t>
      </w:r>
    </w:p>
    <w:p w:rsidR="003D0F58" w:rsidRPr="00DD03D6" w:rsidRDefault="00704C04" w:rsidP="006660D1">
      <w:pPr>
        <w:pStyle w:val="Bullet2G"/>
        <w:rPr>
          <w:noProof/>
          <w:lang w:val="fr-FR"/>
        </w:rPr>
      </w:pPr>
      <w:r w:rsidRPr="00DD03D6">
        <w:rPr>
          <w:noProof/>
          <w:lang w:val="fr-FR"/>
        </w:rPr>
        <w:t xml:space="preserve">Consultations </w:t>
      </w:r>
      <w:r>
        <w:rPr>
          <w:noProof/>
          <w:lang w:val="fr-FR"/>
        </w:rPr>
        <w:t xml:space="preserve">auprès des jeunes sur le Livre blanc sur la délinquance </w:t>
      </w:r>
      <w:r w:rsidR="003D0F58" w:rsidRPr="00DD03D6">
        <w:rPr>
          <w:noProof/>
          <w:lang w:val="fr-FR"/>
        </w:rPr>
        <w:t>(</w:t>
      </w:r>
      <w:r>
        <w:rPr>
          <w:noProof/>
          <w:lang w:val="fr-FR"/>
        </w:rPr>
        <w:t>n</w:t>
      </w:r>
      <w:r w:rsidR="003D0F58" w:rsidRPr="00DD03D6">
        <w:rPr>
          <w:noProof/>
          <w:lang w:val="fr-FR"/>
        </w:rPr>
        <w:t>ovemb</w:t>
      </w:r>
      <w:r>
        <w:rPr>
          <w:noProof/>
          <w:lang w:val="fr-FR"/>
        </w:rPr>
        <w:t>re</w:t>
      </w:r>
      <w:r w:rsidR="003D0F58" w:rsidRPr="00DD03D6">
        <w:rPr>
          <w:noProof/>
          <w:lang w:val="fr-FR"/>
        </w:rPr>
        <w:t xml:space="preserve"> 2010);</w:t>
      </w:r>
    </w:p>
    <w:p w:rsidR="003D0F58" w:rsidRPr="00DD03D6" w:rsidRDefault="00704C04" w:rsidP="006660D1">
      <w:pPr>
        <w:pStyle w:val="Bullet2G"/>
        <w:rPr>
          <w:noProof/>
          <w:lang w:val="fr-FR"/>
        </w:rPr>
      </w:pPr>
      <w:r w:rsidRPr="00DD03D6">
        <w:rPr>
          <w:noProof/>
          <w:lang w:val="fr-FR"/>
        </w:rPr>
        <w:t xml:space="preserve">Consultations </w:t>
      </w:r>
      <w:r>
        <w:rPr>
          <w:noProof/>
          <w:lang w:val="fr-FR"/>
        </w:rPr>
        <w:t xml:space="preserve">auprès des enfants et des jeunes sur le nouveau Cadre </w:t>
      </w:r>
      <w:r w:rsidR="00B4218E">
        <w:rPr>
          <w:noProof/>
          <w:lang w:val="fr-FR"/>
        </w:rPr>
        <w:t>directeur</w:t>
      </w:r>
      <w:r>
        <w:rPr>
          <w:noProof/>
          <w:lang w:val="fr-FR"/>
        </w:rPr>
        <w:t xml:space="preserve"> national relatif à l’enfance et à la jeunesse pour </w:t>
      </w:r>
      <w:r w:rsidR="003D0F58" w:rsidRPr="00DD03D6">
        <w:rPr>
          <w:noProof/>
          <w:lang w:val="fr-FR"/>
        </w:rPr>
        <w:t>2012-2017 (</w:t>
      </w:r>
      <w:r>
        <w:rPr>
          <w:noProof/>
          <w:lang w:val="fr-FR"/>
        </w:rPr>
        <w:t>av</w:t>
      </w:r>
      <w:r w:rsidR="003D0F58" w:rsidRPr="00DD03D6">
        <w:rPr>
          <w:noProof/>
          <w:lang w:val="fr-FR"/>
        </w:rPr>
        <w:t>ril 2011);</w:t>
      </w:r>
    </w:p>
    <w:p w:rsidR="003D0F58" w:rsidRPr="00DD03D6" w:rsidRDefault="00704C04" w:rsidP="006660D1">
      <w:pPr>
        <w:pStyle w:val="Bullet2G"/>
        <w:rPr>
          <w:noProof/>
          <w:lang w:val="fr-FR"/>
        </w:rPr>
      </w:pPr>
      <w:r w:rsidRPr="00DD03D6">
        <w:rPr>
          <w:noProof/>
          <w:lang w:val="fr-FR"/>
        </w:rPr>
        <w:t xml:space="preserve">Consultations </w:t>
      </w:r>
      <w:r>
        <w:rPr>
          <w:noProof/>
          <w:lang w:val="fr-FR"/>
        </w:rPr>
        <w:t xml:space="preserve">auprès des enfants et des jeunes concernant le </w:t>
      </w:r>
      <w:r w:rsidRPr="00DD03D6">
        <w:rPr>
          <w:noProof/>
          <w:lang w:val="fr-FR"/>
        </w:rPr>
        <w:t xml:space="preserve">Forum </w:t>
      </w:r>
      <w:r>
        <w:rPr>
          <w:noProof/>
          <w:lang w:val="fr-FR"/>
        </w:rPr>
        <w:t>sur le parrainage et le p</w:t>
      </w:r>
      <w:r w:rsidRPr="00DD03D6">
        <w:rPr>
          <w:noProof/>
          <w:lang w:val="fr-FR"/>
        </w:rPr>
        <w:t>luralism</w:t>
      </w:r>
      <w:r>
        <w:rPr>
          <w:noProof/>
          <w:lang w:val="fr-FR"/>
        </w:rPr>
        <w:t>e dans l</w:t>
      </w:r>
      <w:r w:rsidR="001A19D8">
        <w:rPr>
          <w:noProof/>
          <w:lang w:val="fr-FR"/>
        </w:rPr>
        <w:t xml:space="preserve">e secteur </w:t>
      </w:r>
      <w:r>
        <w:rPr>
          <w:noProof/>
          <w:lang w:val="fr-FR"/>
        </w:rPr>
        <w:t>primaire</w:t>
      </w:r>
      <w:r w:rsidRPr="00DD03D6">
        <w:rPr>
          <w:noProof/>
          <w:lang w:val="fr-FR"/>
        </w:rPr>
        <w:t xml:space="preserve"> </w:t>
      </w:r>
      <w:r w:rsidR="003D0F58" w:rsidRPr="00DD03D6">
        <w:rPr>
          <w:noProof/>
          <w:lang w:val="fr-FR"/>
        </w:rPr>
        <w:t>(</w:t>
      </w:r>
      <w:r>
        <w:rPr>
          <w:noProof/>
          <w:lang w:val="fr-FR"/>
        </w:rPr>
        <w:t>o</w:t>
      </w:r>
      <w:r w:rsidR="003D0F58" w:rsidRPr="00DD03D6">
        <w:rPr>
          <w:noProof/>
          <w:lang w:val="fr-FR"/>
        </w:rPr>
        <w:t>ctob</w:t>
      </w:r>
      <w:r>
        <w:rPr>
          <w:noProof/>
          <w:lang w:val="fr-FR"/>
        </w:rPr>
        <w:t>re</w:t>
      </w:r>
      <w:r w:rsidR="003D0F58" w:rsidRPr="00DD03D6">
        <w:rPr>
          <w:noProof/>
          <w:lang w:val="fr-FR"/>
        </w:rPr>
        <w:t xml:space="preserve"> 2011).</w:t>
      </w:r>
    </w:p>
    <w:p w:rsidR="003D0F58" w:rsidRPr="00DD03D6" w:rsidRDefault="00B4369B" w:rsidP="00524AD1">
      <w:pPr>
        <w:pStyle w:val="SingleTxtG"/>
        <w:ind w:left="1701"/>
        <w:rPr>
          <w:noProof/>
          <w:lang w:val="fr-FR"/>
        </w:rPr>
      </w:pPr>
      <w:r>
        <w:rPr>
          <w:noProof/>
          <w:lang w:val="fr-FR"/>
        </w:rPr>
        <w:t>Les conclusions et les recomma</w:t>
      </w:r>
      <w:r w:rsidR="003D0F58" w:rsidRPr="00DD03D6">
        <w:rPr>
          <w:noProof/>
          <w:lang w:val="fr-FR"/>
        </w:rPr>
        <w:t xml:space="preserve">ndations </w:t>
      </w:r>
      <w:r>
        <w:rPr>
          <w:noProof/>
          <w:lang w:val="fr-FR"/>
        </w:rPr>
        <w:t xml:space="preserve">de la </w:t>
      </w:r>
      <w:r w:rsidR="003D0F58" w:rsidRPr="00DD03D6">
        <w:rPr>
          <w:noProof/>
          <w:lang w:val="fr-FR"/>
        </w:rPr>
        <w:t>majorit</w:t>
      </w:r>
      <w:r>
        <w:rPr>
          <w:noProof/>
          <w:lang w:val="fr-FR"/>
        </w:rPr>
        <w:t>é</w:t>
      </w:r>
      <w:r w:rsidR="003D0F58" w:rsidRPr="00DD03D6">
        <w:rPr>
          <w:noProof/>
          <w:lang w:val="fr-FR"/>
        </w:rPr>
        <w:t xml:space="preserve"> </w:t>
      </w:r>
      <w:r>
        <w:rPr>
          <w:noProof/>
          <w:lang w:val="fr-FR"/>
        </w:rPr>
        <w:t xml:space="preserve">des </w:t>
      </w:r>
      <w:r w:rsidR="003D0F58" w:rsidRPr="00DD03D6">
        <w:rPr>
          <w:noProof/>
          <w:lang w:val="fr-FR"/>
        </w:rPr>
        <w:t xml:space="preserve">consultations </w:t>
      </w:r>
      <w:r>
        <w:rPr>
          <w:noProof/>
          <w:lang w:val="fr-FR"/>
        </w:rPr>
        <w:t>susvisées ont été reprises dans différents rapports</w:t>
      </w:r>
      <w:r w:rsidR="003D0F58" w:rsidRPr="00DD03D6">
        <w:rPr>
          <w:noProof/>
          <w:lang w:val="fr-FR"/>
        </w:rPr>
        <w:t xml:space="preserve">, </w:t>
      </w:r>
      <w:r>
        <w:rPr>
          <w:noProof/>
          <w:lang w:val="fr-FR"/>
        </w:rPr>
        <w:t>qui so</w:t>
      </w:r>
      <w:r w:rsidR="00A72E5A">
        <w:rPr>
          <w:noProof/>
          <w:lang w:val="fr-FR"/>
        </w:rPr>
        <w:t>n</w:t>
      </w:r>
      <w:r>
        <w:rPr>
          <w:noProof/>
          <w:lang w:val="fr-FR"/>
        </w:rPr>
        <w:t xml:space="preserve">t accessibles sur le site Web du Ministère de l’enfance et de la jeunesse </w:t>
      </w:r>
      <w:r w:rsidR="003D0F58" w:rsidRPr="00DD03D6">
        <w:rPr>
          <w:noProof/>
          <w:lang w:val="fr-FR"/>
        </w:rPr>
        <w:t>(</w:t>
      </w:r>
      <w:hyperlink r:id="rId19" w:history="1">
        <w:r w:rsidR="003D0F58" w:rsidRPr="00DD03D6">
          <w:rPr>
            <w:rStyle w:val="Lienhypertexte"/>
            <w:noProof/>
            <w:lang w:val="fr-FR"/>
          </w:rPr>
          <w:t>www.dcya.ie</w:t>
        </w:r>
      </w:hyperlink>
      <w:r w:rsidR="003D0F58" w:rsidRPr="00DD03D6">
        <w:rPr>
          <w:noProof/>
          <w:lang w:val="fr-FR"/>
        </w:rPr>
        <w:t xml:space="preserve">). </w:t>
      </w:r>
      <w:r>
        <w:rPr>
          <w:noProof/>
          <w:lang w:val="fr-FR"/>
        </w:rPr>
        <w:t xml:space="preserve">Plusieurs de ces </w:t>
      </w:r>
      <w:r w:rsidR="003D0F58" w:rsidRPr="00DD03D6">
        <w:rPr>
          <w:noProof/>
          <w:lang w:val="fr-FR"/>
        </w:rPr>
        <w:t xml:space="preserve">consultations </w:t>
      </w:r>
      <w:r>
        <w:rPr>
          <w:noProof/>
          <w:lang w:val="fr-FR"/>
        </w:rPr>
        <w:t>ont débouché sur des éléments nouveaux et des changements importants et durables des politiques et services publics visant à améliorer la vie des enfants et des jeunes</w:t>
      </w:r>
      <w:r w:rsidR="003D0F58" w:rsidRPr="00DD03D6">
        <w:rPr>
          <w:noProof/>
          <w:lang w:val="fr-FR"/>
        </w:rPr>
        <w:t>.</w:t>
      </w:r>
    </w:p>
    <w:tbl>
      <w:tblPr>
        <w:tblW w:w="7371"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tblGrid>
      <w:tr w:rsidR="00DB3424" w:rsidRPr="00DD03D6" w:rsidTr="00DB3424">
        <w:tc>
          <w:tcPr>
            <w:tcW w:w="8234" w:type="dxa"/>
            <w:tcBorders>
              <w:bottom w:val="nil"/>
            </w:tcBorders>
            <w:shd w:val="clear" w:color="auto" w:fill="auto"/>
          </w:tcPr>
          <w:p w:rsidR="00DB3424" w:rsidRPr="00DD03D6" w:rsidRDefault="00B4369B" w:rsidP="00E32F89">
            <w:pPr>
              <w:pStyle w:val="Titre4"/>
              <w:spacing w:before="60" w:after="60" w:line="240" w:lineRule="atLeast"/>
              <w:rPr>
                <w:b/>
                <w:bCs/>
                <w:noProof/>
                <w:lang w:val="fr-FR"/>
              </w:rPr>
            </w:pPr>
            <w:r>
              <w:rPr>
                <w:b/>
                <w:bCs/>
                <w:noProof/>
                <w:lang w:val="fr-FR"/>
              </w:rPr>
              <w:lastRenderedPageBreak/>
              <w:t xml:space="preserve">En quoi une </w:t>
            </w:r>
            <w:r w:rsidR="00DB3424" w:rsidRPr="00DD03D6">
              <w:rPr>
                <w:b/>
                <w:bCs/>
                <w:noProof/>
                <w:lang w:val="fr-FR"/>
              </w:rPr>
              <w:t xml:space="preserve">consultation </w:t>
            </w:r>
            <w:r>
              <w:rPr>
                <w:b/>
                <w:bCs/>
                <w:noProof/>
                <w:lang w:val="fr-FR"/>
              </w:rPr>
              <w:t xml:space="preserve">publique peut influer sur la politique et la pratique </w:t>
            </w:r>
          </w:p>
        </w:tc>
      </w:tr>
      <w:tr w:rsidR="00DB3424" w:rsidRPr="00DD03D6" w:rsidTr="00DB3424">
        <w:tc>
          <w:tcPr>
            <w:tcW w:w="8234" w:type="dxa"/>
            <w:tcBorders>
              <w:top w:val="nil"/>
              <w:bottom w:val="nil"/>
            </w:tcBorders>
            <w:shd w:val="clear" w:color="auto" w:fill="auto"/>
          </w:tcPr>
          <w:p w:rsidR="00DB3424" w:rsidRPr="00DD03D6" w:rsidRDefault="00E32F89" w:rsidP="00E32F89">
            <w:pPr>
              <w:pStyle w:val="DefaultParagraphFontCharChar"/>
              <w:tabs>
                <w:tab w:val="left" w:pos="451"/>
              </w:tabs>
              <w:spacing w:before="60" w:after="60" w:line="240" w:lineRule="atLeast"/>
              <w:jc w:val="both"/>
              <w:rPr>
                <w:rFonts w:ascii="Times New Roman" w:eastAsia="Times New Roman" w:hAnsi="Times New Roman" w:cs="Times New Roman"/>
                <w:noProof/>
                <w:lang w:val="fr-FR" w:eastAsia="en-GB"/>
              </w:rPr>
            </w:pPr>
            <w:r>
              <w:rPr>
                <w:rFonts w:ascii="Times New Roman" w:eastAsia="Times New Roman" w:hAnsi="Times New Roman" w:cs="Times New Roman"/>
                <w:noProof/>
                <w:lang w:val="fr-FR" w:eastAsia="en-GB"/>
              </w:rPr>
              <w:tab/>
            </w:r>
            <w:r w:rsidR="00B4369B">
              <w:rPr>
                <w:rFonts w:ascii="Times New Roman" w:eastAsia="Times New Roman" w:hAnsi="Times New Roman" w:cs="Times New Roman"/>
                <w:noProof/>
                <w:lang w:val="fr-FR" w:eastAsia="en-GB"/>
              </w:rPr>
              <w:t xml:space="preserve">La publicité télévisuelle sur la santé mentale des adolescents, que tout le monde connaît comme </w:t>
            </w:r>
            <w:r w:rsidR="003F36DD">
              <w:rPr>
                <w:rFonts w:ascii="Times New Roman" w:eastAsia="Times New Roman" w:hAnsi="Times New Roman" w:cs="Times New Roman"/>
                <w:noProof/>
                <w:lang w:val="fr-FR" w:eastAsia="en-GB"/>
              </w:rPr>
              <w:t>« </w:t>
            </w:r>
            <w:r w:rsidR="00B4369B">
              <w:rPr>
                <w:rFonts w:ascii="Times New Roman" w:eastAsia="Times New Roman" w:hAnsi="Times New Roman" w:cs="Times New Roman"/>
                <w:noProof/>
                <w:lang w:val="fr-FR" w:eastAsia="en-GB"/>
              </w:rPr>
              <w:t>Le garçon au capuchon</w:t>
            </w:r>
            <w:r w:rsidR="003F36DD">
              <w:rPr>
                <w:rFonts w:ascii="Times New Roman" w:eastAsia="Times New Roman" w:hAnsi="Times New Roman" w:cs="Times New Roman"/>
                <w:noProof/>
                <w:lang w:val="fr-FR" w:eastAsia="en-GB"/>
              </w:rPr>
              <w:t> »</w:t>
            </w:r>
            <w:r w:rsidR="00DB3424" w:rsidRPr="00DD03D6">
              <w:rPr>
                <w:rFonts w:ascii="Times New Roman" w:eastAsia="Times New Roman" w:hAnsi="Times New Roman" w:cs="Times New Roman"/>
                <w:noProof/>
                <w:lang w:val="fr-FR" w:eastAsia="en-GB"/>
              </w:rPr>
              <w:t xml:space="preserve">, </w:t>
            </w:r>
            <w:r w:rsidR="00B4369B">
              <w:rPr>
                <w:rFonts w:ascii="Times New Roman" w:eastAsia="Times New Roman" w:hAnsi="Times New Roman" w:cs="Times New Roman"/>
                <w:noProof/>
                <w:lang w:val="fr-FR" w:eastAsia="en-GB"/>
              </w:rPr>
              <w:t xml:space="preserve">est un modèle </w:t>
            </w:r>
            <w:r w:rsidR="00C538D2">
              <w:rPr>
                <w:rFonts w:ascii="Times New Roman" w:eastAsia="Times New Roman" w:hAnsi="Times New Roman" w:cs="Times New Roman"/>
                <w:noProof/>
                <w:lang w:val="fr-FR" w:eastAsia="en-GB"/>
              </w:rPr>
              <w:t xml:space="preserve">très réussi de bonne pratique en matière de </w:t>
            </w:r>
            <w:r w:rsidR="00DB3424" w:rsidRPr="00DD03D6">
              <w:rPr>
                <w:rFonts w:ascii="Times New Roman" w:eastAsia="Times New Roman" w:hAnsi="Times New Roman" w:cs="Times New Roman"/>
                <w:noProof/>
                <w:lang w:val="fr-FR" w:eastAsia="en-GB"/>
              </w:rPr>
              <w:t xml:space="preserve">participation </w:t>
            </w:r>
            <w:r w:rsidR="00C538D2">
              <w:rPr>
                <w:rFonts w:ascii="Times New Roman" w:eastAsia="Times New Roman" w:hAnsi="Times New Roman" w:cs="Times New Roman"/>
                <w:noProof/>
                <w:lang w:val="fr-FR" w:eastAsia="en-GB"/>
              </w:rPr>
              <w:t>des jeunes à la prise de décisions</w:t>
            </w:r>
            <w:r w:rsidR="00DB3424" w:rsidRPr="00DD03D6">
              <w:rPr>
                <w:rFonts w:ascii="Times New Roman" w:eastAsia="Times New Roman" w:hAnsi="Times New Roman" w:cs="Times New Roman"/>
                <w:noProof/>
                <w:lang w:val="fr-FR" w:eastAsia="en-GB"/>
              </w:rPr>
              <w:t xml:space="preserve"> (</w:t>
            </w:r>
            <w:r w:rsidR="00C538D2">
              <w:rPr>
                <w:rFonts w:ascii="Times New Roman" w:eastAsia="Times New Roman" w:hAnsi="Times New Roman" w:cs="Times New Roman"/>
                <w:noProof/>
                <w:lang w:val="fr-FR" w:eastAsia="en-GB"/>
              </w:rPr>
              <w:t xml:space="preserve">on peut voir cette publicité à l’adresse </w:t>
            </w:r>
            <w:hyperlink r:id="rId20" w:history="1">
              <w:r w:rsidR="00DB3424" w:rsidRPr="00DD03D6">
                <w:rPr>
                  <w:rStyle w:val="Lienhypertexte"/>
                  <w:rFonts w:ascii="Times New Roman" w:hAnsi="Times New Roman" w:cs="Times New Roman"/>
                  <w:noProof/>
                  <w:lang w:val="fr-FR" w:eastAsia="en-GB"/>
                </w:rPr>
                <w:t>www.letsomeoneknow.ie/home/video/</w:t>
              </w:r>
            </w:hyperlink>
            <w:r w:rsidR="00DB3424" w:rsidRPr="00DD03D6">
              <w:rPr>
                <w:rFonts w:ascii="Times New Roman" w:eastAsia="Times New Roman" w:hAnsi="Times New Roman" w:cs="Times New Roman"/>
                <w:noProof/>
                <w:lang w:val="fr-FR" w:eastAsia="en-GB"/>
              </w:rPr>
              <w:t>).</w:t>
            </w:r>
          </w:p>
        </w:tc>
      </w:tr>
      <w:tr w:rsidR="00DB3424" w:rsidRPr="00DD03D6" w:rsidTr="00DB3424">
        <w:tc>
          <w:tcPr>
            <w:tcW w:w="8234" w:type="dxa"/>
            <w:tcBorders>
              <w:top w:val="nil"/>
              <w:bottom w:val="nil"/>
            </w:tcBorders>
            <w:shd w:val="clear" w:color="auto" w:fill="auto"/>
          </w:tcPr>
          <w:p w:rsidR="00DB3424" w:rsidRPr="00DD03D6" w:rsidRDefault="00E32F89" w:rsidP="00E32F89">
            <w:pPr>
              <w:tabs>
                <w:tab w:val="left" w:pos="451"/>
              </w:tabs>
              <w:spacing w:before="60" w:after="60"/>
              <w:jc w:val="both"/>
              <w:rPr>
                <w:noProof/>
                <w:lang w:val="fr-FR" w:eastAsia="en-GB"/>
              </w:rPr>
            </w:pPr>
            <w:r>
              <w:rPr>
                <w:noProof/>
                <w:lang w:val="fr-FR" w:eastAsia="en-GB"/>
              </w:rPr>
              <w:tab/>
            </w:r>
            <w:r w:rsidR="00C538D2">
              <w:rPr>
                <w:noProof/>
                <w:lang w:val="fr-FR" w:eastAsia="en-GB"/>
              </w:rPr>
              <w:t xml:space="preserve">Cette publicité de la Direction des services de santé est le produit d’un certain nombre de processus parallèles sur la santé mentale des adolescents supervisés par l’ancien </w:t>
            </w:r>
            <w:r w:rsidR="00A72E5A">
              <w:rPr>
                <w:noProof/>
                <w:lang w:val="fr-FR" w:eastAsia="en-GB"/>
              </w:rPr>
              <w:t>Cabinet de la M</w:t>
            </w:r>
            <w:r w:rsidR="00D8239B">
              <w:rPr>
                <w:noProof/>
                <w:lang w:val="fr-FR" w:eastAsia="en-GB"/>
              </w:rPr>
              <w:t>inistre de l’enfance et de la jeunesse</w:t>
            </w:r>
            <w:r w:rsidR="00DB3424" w:rsidRPr="00DD03D6">
              <w:rPr>
                <w:noProof/>
                <w:lang w:val="fr-FR" w:eastAsia="en-GB"/>
              </w:rPr>
              <w:t xml:space="preserve">, </w:t>
            </w:r>
            <w:r w:rsidR="00C538D2">
              <w:rPr>
                <w:noProof/>
                <w:lang w:val="fr-FR" w:eastAsia="en-GB"/>
              </w:rPr>
              <w:t xml:space="preserve">le </w:t>
            </w:r>
            <w:r w:rsidR="00C538D2">
              <w:rPr>
                <w:noProof/>
                <w:lang w:val="fr-FR"/>
              </w:rPr>
              <w:t>Bureau chargé du handicap et de la santé mentale</w:t>
            </w:r>
            <w:r w:rsidR="00DB3424" w:rsidRPr="00DD03D6">
              <w:rPr>
                <w:noProof/>
                <w:lang w:val="fr-FR" w:eastAsia="en-GB"/>
              </w:rPr>
              <w:t xml:space="preserve">, </w:t>
            </w:r>
            <w:r w:rsidR="00C538D2">
              <w:rPr>
                <w:noProof/>
                <w:lang w:val="fr-FR" w:eastAsia="en-GB"/>
              </w:rPr>
              <w:t>la Direction des services de santé et son Office national de prévention du s</w:t>
            </w:r>
            <w:r w:rsidR="00DB3424" w:rsidRPr="00DD03D6">
              <w:rPr>
                <w:noProof/>
                <w:lang w:val="fr-FR" w:eastAsia="en-GB"/>
              </w:rPr>
              <w:t>uicide.</w:t>
            </w:r>
          </w:p>
        </w:tc>
      </w:tr>
      <w:tr w:rsidR="00DB3424" w:rsidRPr="00DD03D6" w:rsidTr="00DB3424">
        <w:tc>
          <w:tcPr>
            <w:tcW w:w="8234" w:type="dxa"/>
            <w:tcBorders>
              <w:top w:val="nil"/>
              <w:bottom w:val="nil"/>
            </w:tcBorders>
            <w:shd w:val="clear" w:color="auto" w:fill="auto"/>
          </w:tcPr>
          <w:p w:rsidR="00DB3424" w:rsidRPr="00DD03D6" w:rsidRDefault="00E32F89" w:rsidP="00E32F89">
            <w:pPr>
              <w:tabs>
                <w:tab w:val="left" w:pos="451"/>
              </w:tabs>
              <w:spacing w:before="60" w:after="60"/>
              <w:jc w:val="both"/>
              <w:rPr>
                <w:noProof/>
                <w:lang w:val="fr-FR" w:eastAsia="en-GB"/>
              </w:rPr>
            </w:pPr>
            <w:r>
              <w:rPr>
                <w:noProof/>
                <w:lang w:val="fr-FR" w:eastAsia="en-GB"/>
              </w:rPr>
              <w:tab/>
            </w:r>
            <w:r w:rsidR="00B9090B">
              <w:rPr>
                <w:noProof/>
                <w:lang w:val="fr-FR" w:eastAsia="en-GB"/>
              </w:rPr>
              <w:t xml:space="preserve">Tant le </w:t>
            </w:r>
            <w:r w:rsidR="00DB3424" w:rsidRPr="00DD03D6">
              <w:rPr>
                <w:noProof/>
                <w:lang w:val="fr-FR" w:eastAsia="en-GB"/>
              </w:rPr>
              <w:t xml:space="preserve">Dáil na nÓg </w:t>
            </w:r>
            <w:r w:rsidR="00B9090B">
              <w:rPr>
                <w:noProof/>
                <w:lang w:val="fr-FR" w:eastAsia="en-GB"/>
              </w:rPr>
              <w:t xml:space="preserve">de </w:t>
            </w:r>
            <w:r w:rsidR="00DB3424" w:rsidRPr="00DD03D6">
              <w:rPr>
                <w:noProof/>
                <w:lang w:val="fr-FR" w:eastAsia="en-GB"/>
              </w:rPr>
              <w:t xml:space="preserve">2008 </w:t>
            </w:r>
            <w:r w:rsidR="00B9090B">
              <w:rPr>
                <w:noProof/>
                <w:lang w:val="fr-FR" w:eastAsia="en-GB"/>
              </w:rPr>
              <w:t xml:space="preserve">que les </w:t>
            </w:r>
            <w:r w:rsidR="00DB3424" w:rsidRPr="00DD03D6">
              <w:rPr>
                <w:noProof/>
                <w:lang w:val="fr-FR" w:eastAsia="en-GB"/>
              </w:rPr>
              <w:t xml:space="preserve">consultations </w:t>
            </w:r>
            <w:r w:rsidR="00B9090B">
              <w:rPr>
                <w:noProof/>
                <w:lang w:val="fr-FR" w:eastAsia="en-GB"/>
              </w:rPr>
              <w:t xml:space="preserve">sur la santé mentale menées auprès des adolescents par le </w:t>
            </w:r>
            <w:r w:rsidR="00A72E5A">
              <w:rPr>
                <w:noProof/>
                <w:lang w:val="fr-FR" w:eastAsia="en-GB"/>
              </w:rPr>
              <w:t>Cabinet de la M</w:t>
            </w:r>
            <w:r w:rsidR="00D8239B">
              <w:rPr>
                <w:noProof/>
                <w:lang w:val="fr-FR" w:eastAsia="en-GB"/>
              </w:rPr>
              <w:t>inistre de l’enfance et de la jeunesse</w:t>
            </w:r>
            <w:r w:rsidR="00B9090B">
              <w:rPr>
                <w:noProof/>
                <w:lang w:val="fr-FR" w:eastAsia="en-GB"/>
              </w:rPr>
              <w:t xml:space="preserve"> en </w:t>
            </w:r>
            <w:r w:rsidR="00DB3424" w:rsidRPr="00DD03D6">
              <w:rPr>
                <w:noProof/>
                <w:lang w:val="fr-FR" w:eastAsia="en-GB"/>
              </w:rPr>
              <w:t xml:space="preserve">2008 </w:t>
            </w:r>
            <w:r w:rsidR="00B9090B">
              <w:rPr>
                <w:noProof/>
                <w:lang w:val="fr-FR" w:eastAsia="en-GB"/>
              </w:rPr>
              <w:t>ont souligné la nécessité d’une campagne active de sensibilisation de la population à la santé mentale s’adressant spécifiquement aux adolescents</w:t>
            </w:r>
            <w:r w:rsidR="00DB3424" w:rsidRPr="00DD03D6">
              <w:rPr>
                <w:noProof/>
                <w:lang w:val="fr-FR" w:eastAsia="en-GB"/>
              </w:rPr>
              <w:t xml:space="preserve">. </w:t>
            </w:r>
            <w:r w:rsidR="00B9090B">
              <w:rPr>
                <w:noProof/>
                <w:lang w:val="fr-FR" w:eastAsia="en-GB"/>
              </w:rPr>
              <w:t xml:space="preserve">Après la présentation du rapport sur les </w:t>
            </w:r>
            <w:r w:rsidR="00DB3424" w:rsidRPr="00DD03D6">
              <w:rPr>
                <w:noProof/>
                <w:lang w:val="fr-FR" w:eastAsia="en-GB"/>
              </w:rPr>
              <w:t>consultations</w:t>
            </w:r>
            <w:r w:rsidR="00B9090B">
              <w:rPr>
                <w:noProof/>
                <w:lang w:val="fr-FR" w:eastAsia="en-GB"/>
              </w:rPr>
              <w:t xml:space="preserve"> intitulé</w:t>
            </w:r>
            <w:r w:rsidR="00DB3424" w:rsidRPr="00DD03D6">
              <w:rPr>
                <w:noProof/>
                <w:lang w:val="fr-FR" w:eastAsia="en-GB"/>
              </w:rPr>
              <w:t xml:space="preserve"> </w:t>
            </w:r>
            <w:r w:rsidR="00B9090B">
              <w:rPr>
                <w:i/>
                <w:iCs/>
                <w:noProof/>
                <w:lang w:val="fr-FR" w:eastAsia="en-GB"/>
              </w:rPr>
              <w:t xml:space="preserve">La santé mentale des adolescents </w:t>
            </w:r>
            <w:r w:rsidR="00DB3424" w:rsidRPr="00DD03D6">
              <w:rPr>
                <w:i/>
                <w:iCs/>
                <w:noProof/>
                <w:lang w:val="fr-FR" w:eastAsia="en-GB"/>
              </w:rPr>
              <w:t xml:space="preserve">: </w:t>
            </w:r>
            <w:r w:rsidR="00B9090B">
              <w:rPr>
                <w:i/>
                <w:iCs/>
                <w:noProof/>
                <w:lang w:val="fr-FR" w:eastAsia="en-GB"/>
              </w:rPr>
              <w:t>qu’est-ce qui fait du bi</w:t>
            </w:r>
            <w:r w:rsidR="00BE5B5E">
              <w:rPr>
                <w:i/>
                <w:iCs/>
                <w:noProof/>
                <w:lang w:val="fr-FR" w:eastAsia="en-GB"/>
              </w:rPr>
              <w:t>en et qu’est-ce qui fait du mal</w:t>
            </w:r>
            <w:r w:rsidR="00DB3424" w:rsidRPr="00DD03D6">
              <w:rPr>
                <w:i/>
                <w:iCs/>
                <w:noProof/>
                <w:lang w:val="fr-FR" w:eastAsia="en-GB"/>
              </w:rPr>
              <w:t>?</w:t>
            </w:r>
            <w:r w:rsidR="00DB3424" w:rsidRPr="00DD03D6">
              <w:rPr>
                <w:noProof/>
                <w:lang w:val="fr-FR" w:eastAsia="en-GB"/>
              </w:rPr>
              <w:t xml:space="preserve"> (</w:t>
            </w:r>
            <w:r w:rsidR="00D8239B">
              <w:rPr>
                <w:noProof/>
                <w:lang w:val="fr-FR" w:eastAsia="en-GB"/>
              </w:rPr>
              <w:t xml:space="preserve">Cabinet de la </w:t>
            </w:r>
            <w:r w:rsidR="00A72E5A">
              <w:rPr>
                <w:noProof/>
                <w:lang w:val="fr-FR" w:eastAsia="en-GB"/>
              </w:rPr>
              <w:t>M</w:t>
            </w:r>
            <w:r w:rsidR="00D8239B">
              <w:rPr>
                <w:noProof/>
                <w:lang w:val="fr-FR" w:eastAsia="en-GB"/>
              </w:rPr>
              <w:t>inistre de l’enfance et de la jeunesse</w:t>
            </w:r>
            <w:r w:rsidR="00DB3424" w:rsidRPr="00DD03D6">
              <w:rPr>
                <w:noProof/>
                <w:lang w:val="fr-FR" w:eastAsia="en-GB"/>
              </w:rPr>
              <w:t xml:space="preserve">, 2009), </w:t>
            </w:r>
            <w:r w:rsidR="00625DFD">
              <w:rPr>
                <w:noProof/>
                <w:lang w:val="fr-FR" w:eastAsia="en-GB"/>
              </w:rPr>
              <w:t xml:space="preserve">des </w:t>
            </w:r>
            <w:r w:rsidR="00DB3424" w:rsidRPr="00DD03D6">
              <w:rPr>
                <w:noProof/>
                <w:lang w:val="fr-FR" w:eastAsia="en-GB"/>
              </w:rPr>
              <w:t xml:space="preserve">concepts </w:t>
            </w:r>
            <w:r w:rsidR="00625DFD">
              <w:rPr>
                <w:noProof/>
                <w:lang w:val="fr-FR" w:eastAsia="en-GB"/>
              </w:rPr>
              <w:t xml:space="preserve">de publicité télévisuelle de la Direction des services de santé et de campagne de sensibilisation à la santé mentale des adolescents ont été essayés auprès du groupe cible dans le cadre de plusieurs </w:t>
            </w:r>
            <w:r w:rsidR="00DB3424" w:rsidRPr="00DD03D6">
              <w:rPr>
                <w:noProof/>
                <w:lang w:val="fr-FR" w:eastAsia="en-GB"/>
              </w:rPr>
              <w:t xml:space="preserve">forums </w:t>
            </w:r>
            <w:r w:rsidR="00625DFD">
              <w:rPr>
                <w:noProof/>
                <w:lang w:val="fr-FR" w:eastAsia="en-GB"/>
              </w:rPr>
              <w:t>de jeunesse du pays</w:t>
            </w:r>
            <w:r w:rsidR="00DB3424" w:rsidRPr="00DD03D6">
              <w:rPr>
                <w:noProof/>
                <w:lang w:val="fr-FR" w:eastAsia="en-GB"/>
              </w:rPr>
              <w:t xml:space="preserve">. </w:t>
            </w:r>
            <w:r w:rsidR="00625DFD">
              <w:rPr>
                <w:noProof/>
                <w:lang w:val="fr-FR" w:eastAsia="en-GB"/>
              </w:rPr>
              <w:t xml:space="preserve">Un groupe de </w:t>
            </w:r>
            <w:r w:rsidR="00DB3424" w:rsidRPr="00DD03D6">
              <w:rPr>
                <w:noProof/>
                <w:lang w:val="fr-FR" w:eastAsia="en-GB"/>
              </w:rPr>
              <w:t>r</w:t>
            </w:r>
            <w:r w:rsidR="00625DFD">
              <w:rPr>
                <w:noProof/>
                <w:lang w:val="fr-FR" w:eastAsia="en-GB"/>
              </w:rPr>
              <w:t>é</w:t>
            </w:r>
            <w:r w:rsidR="00DB3424" w:rsidRPr="00DD03D6">
              <w:rPr>
                <w:noProof/>
                <w:lang w:val="fr-FR" w:eastAsia="en-GB"/>
              </w:rPr>
              <w:t>f</w:t>
            </w:r>
            <w:r w:rsidR="00625DFD">
              <w:rPr>
                <w:noProof/>
                <w:lang w:val="fr-FR" w:eastAsia="en-GB"/>
              </w:rPr>
              <w:t>é</w:t>
            </w:r>
            <w:r w:rsidR="00DB3424" w:rsidRPr="00DD03D6">
              <w:rPr>
                <w:noProof/>
                <w:lang w:val="fr-FR" w:eastAsia="en-GB"/>
              </w:rPr>
              <w:t xml:space="preserve">rence </w:t>
            </w:r>
            <w:r w:rsidR="00625DFD">
              <w:rPr>
                <w:noProof/>
                <w:lang w:val="fr-FR" w:eastAsia="en-GB"/>
              </w:rPr>
              <w:t xml:space="preserve">composé de </w:t>
            </w:r>
            <w:r w:rsidR="00DB3424" w:rsidRPr="00DD03D6">
              <w:rPr>
                <w:noProof/>
                <w:lang w:val="fr-FR" w:eastAsia="en-GB"/>
              </w:rPr>
              <w:t xml:space="preserve">25 </w:t>
            </w:r>
            <w:r w:rsidR="00625DFD">
              <w:rPr>
                <w:noProof/>
                <w:lang w:val="fr-FR" w:eastAsia="en-GB"/>
              </w:rPr>
              <w:t xml:space="preserve">jeunes a été créé par le </w:t>
            </w:r>
            <w:r w:rsidR="00D8239B">
              <w:rPr>
                <w:noProof/>
                <w:lang w:val="fr-FR" w:eastAsia="en-GB"/>
              </w:rPr>
              <w:t xml:space="preserve">Cabinet de la </w:t>
            </w:r>
            <w:r w:rsidR="00A72E5A">
              <w:rPr>
                <w:noProof/>
                <w:lang w:val="fr-FR" w:eastAsia="en-GB"/>
              </w:rPr>
              <w:t>M</w:t>
            </w:r>
            <w:r w:rsidR="00D8239B">
              <w:rPr>
                <w:noProof/>
                <w:lang w:val="fr-FR" w:eastAsia="en-GB"/>
              </w:rPr>
              <w:t>inistre de l’enfance et de la jeunesse</w:t>
            </w:r>
            <w:r w:rsidR="00DB3424" w:rsidRPr="00DD03D6">
              <w:rPr>
                <w:noProof/>
                <w:lang w:val="fr-FR" w:eastAsia="en-GB"/>
              </w:rPr>
              <w:t xml:space="preserve"> </w:t>
            </w:r>
            <w:r w:rsidR="00625DFD">
              <w:rPr>
                <w:noProof/>
                <w:lang w:val="fr-FR" w:eastAsia="en-GB"/>
              </w:rPr>
              <w:t>et l’Office national de prévention du suicide pour participer à l’élaboration de la campagne à chaque étape du processus</w:t>
            </w:r>
            <w:r w:rsidR="00DB3424" w:rsidRPr="00DD03D6">
              <w:rPr>
                <w:noProof/>
                <w:lang w:val="fr-FR" w:eastAsia="en-GB"/>
              </w:rPr>
              <w:t xml:space="preserve">. </w:t>
            </w:r>
            <w:r w:rsidR="00625DFD">
              <w:rPr>
                <w:noProof/>
                <w:lang w:val="fr-FR" w:eastAsia="en-GB"/>
              </w:rPr>
              <w:t xml:space="preserve">Les membres du groupe de </w:t>
            </w:r>
            <w:r w:rsidR="00DB3424" w:rsidRPr="00DD03D6">
              <w:rPr>
                <w:noProof/>
                <w:lang w:val="fr-FR" w:eastAsia="en-GB"/>
              </w:rPr>
              <w:t>r</w:t>
            </w:r>
            <w:r w:rsidR="00625DFD">
              <w:rPr>
                <w:noProof/>
                <w:lang w:val="fr-FR" w:eastAsia="en-GB"/>
              </w:rPr>
              <w:t>é</w:t>
            </w:r>
            <w:r w:rsidR="00DB3424" w:rsidRPr="00DD03D6">
              <w:rPr>
                <w:noProof/>
                <w:lang w:val="fr-FR" w:eastAsia="en-GB"/>
              </w:rPr>
              <w:t>f</w:t>
            </w:r>
            <w:r w:rsidR="00625DFD">
              <w:rPr>
                <w:noProof/>
                <w:lang w:val="fr-FR" w:eastAsia="en-GB"/>
              </w:rPr>
              <w:t>é</w:t>
            </w:r>
            <w:r w:rsidR="00DB3424" w:rsidRPr="00DD03D6">
              <w:rPr>
                <w:noProof/>
                <w:lang w:val="fr-FR" w:eastAsia="en-GB"/>
              </w:rPr>
              <w:t xml:space="preserve">rence </w:t>
            </w:r>
            <w:r w:rsidR="00625DFD">
              <w:rPr>
                <w:noProof/>
                <w:lang w:val="fr-FR" w:eastAsia="en-GB"/>
              </w:rPr>
              <w:t>ont communiqué leurs réactions au sujet des concepts et messages créatifs dans l’ensemble du processus d’élaboration de</w:t>
            </w:r>
            <w:r w:rsidR="000540B6">
              <w:rPr>
                <w:noProof/>
                <w:lang w:val="fr-FR" w:eastAsia="en-GB"/>
              </w:rPr>
              <w:t xml:space="preserve"> la publicité</w:t>
            </w:r>
            <w:r w:rsidR="00625DFD">
              <w:rPr>
                <w:noProof/>
                <w:lang w:val="fr-FR" w:eastAsia="en-GB"/>
              </w:rPr>
              <w:t xml:space="preserve"> télévisuelle et cinématographique et de la cam</w:t>
            </w:r>
            <w:r w:rsidR="00DB3424" w:rsidRPr="00DD03D6">
              <w:rPr>
                <w:noProof/>
                <w:lang w:val="fr-FR" w:eastAsia="en-GB"/>
              </w:rPr>
              <w:t>pa</w:t>
            </w:r>
            <w:r w:rsidR="00625DFD">
              <w:rPr>
                <w:noProof/>
                <w:lang w:val="fr-FR" w:eastAsia="en-GB"/>
              </w:rPr>
              <w:t>gne en ligne</w:t>
            </w:r>
            <w:r w:rsidR="00DB3424" w:rsidRPr="00DD03D6">
              <w:rPr>
                <w:noProof/>
                <w:lang w:val="fr-FR" w:eastAsia="en-GB"/>
              </w:rPr>
              <w:t xml:space="preserve">. </w:t>
            </w:r>
            <w:r w:rsidR="00625DFD">
              <w:rPr>
                <w:noProof/>
                <w:lang w:val="fr-FR" w:eastAsia="en-GB"/>
              </w:rPr>
              <w:t>Ils ont donné des avis sur tout, depuis l’accent idéal pour le principal personnage de la publicité</w:t>
            </w:r>
            <w:r w:rsidR="00025E95">
              <w:rPr>
                <w:noProof/>
                <w:lang w:val="fr-FR" w:eastAsia="en-GB"/>
              </w:rPr>
              <w:t xml:space="preserve"> jusqu’à la nécessité d’en appeler à un public d’adolescents le plus vaste possible, en passant par les vêtements les plus appropriés à faire porter par les acteurs</w:t>
            </w:r>
            <w:r w:rsidR="00DB3424" w:rsidRPr="00DD03D6">
              <w:rPr>
                <w:noProof/>
                <w:lang w:val="fr-FR" w:eastAsia="en-GB"/>
              </w:rPr>
              <w:t xml:space="preserve">. </w:t>
            </w:r>
            <w:r w:rsidR="00025E95">
              <w:rPr>
                <w:noProof/>
                <w:lang w:val="fr-FR" w:eastAsia="en-GB"/>
              </w:rPr>
              <w:t>Ils ont également donné des avis sur les créneaux horaires à utiliser pour la diffusion de la publicité à la télévision de manière à garantir qu’elle serait vue par un nombre maximal d’adolescents</w:t>
            </w:r>
            <w:r w:rsidR="00DB3424" w:rsidRPr="00DD03D6">
              <w:rPr>
                <w:noProof/>
                <w:lang w:val="fr-FR" w:eastAsia="en-GB"/>
              </w:rPr>
              <w:t>.</w:t>
            </w:r>
          </w:p>
        </w:tc>
      </w:tr>
      <w:tr w:rsidR="00DB3424" w:rsidRPr="00DD03D6" w:rsidTr="00DB3424">
        <w:tc>
          <w:tcPr>
            <w:tcW w:w="8234" w:type="dxa"/>
            <w:tcBorders>
              <w:top w:val="nil"/>
              <w:bottom w:val="nil"/>
            </w:tcBorders>
            <w:shd w:val="clear" w:color="auto" w:fill="auto"/>
          </w:tcPr>
          <w:p w:rsidR="00DB3424" w:rsidRPr="00DD03D6" w:rsidRDefault="00E32F89" w:rsidP="00E32F89">
            <w:pPr>
              <w:tabs>
                <w:tab w:val="left" w:pos="459"/>
              </w:tabs>
              <w:spacing w:before="60" w:after="60"/>
              <w:jc w:val="both"/>
              <w:rPr>
                <w:noProof/>
                <w:lang w:val="fr-FR" w:eastAsia="en-GB"/>
              </w:rPr>
            </w:pPr>
            <w:r>
              <w:rPr>
                <w:noProof/>
                <w:lang w:val="fr-FR" w:eastAsia="en-GB"/>
              </w:rPr>
              <w:tab/>
            </w:r>
            <w:r w:rsidR="00025E95">
              <w:rPr>
                <w:noProof/>
                <w:lang w:val="fr-FR" w:eastAsia="en-GB"/>
              </w:rPr>
              <w:t>La publicité montre un adolescent avec un capuchon qui ne peut parler de ce qu’il ressent avec personne</w:t>
            </w:r>
            <w:r w:rsidR="00DB3424" w:rsidRPr="00DD03D6">
              <w:rPr>
                <w:noProof/>
                <w:lang w:val="fr-FR" w:eastAsia="en-GB"/>
              </w:rPr>
              <w:t xml:space="preserve">. </w:t>
            </w:r>
            <w:r w:rsidR="00025E95">
              <w:rPr>
                <w:noProof/>
                <w:lang w:val="fr-FR" w:eastAsia="en-GB"/>
              </w:rPr>
              <w:t>Des jeunes du groupe de référence ont joué le rôle de figurants dans la publicité</w:t>
            </w:r>
            <w:r w:rsidR="00DB3424" w:rsidRPr="00DD03D6">
              <w:rPr>
                <w:noProof/>
                <w:lang w:val="fr-FR" w:eastAsia="en-GB"/>
              </w:rPr>
              <w:t>.</w:t>
            </w:r>
          </w:p>
        </w:tc>
      </w:tr>
      <w:tr w:rsidR="00DB3424" w:rsidRPr="00DD03D6" w:rsidTr="00E32F89">
        <w:tc>
          <w:tcPr>
            <w:tcW w:w="8234" w:type="dxa"/>
            <w:tcBorders>
              <w:top w:val="nil"/>
              <w:bottom w:val="nil"/>
            </w:tcBorders>
            <w:shd w:val="clear" w:color="auto" w:fill="auto"/>
          </w:tcPr>
          <w:p w:rsidR="00DB3424" w:rsidRPr="00DD03D6" w:rsidRDefault="00E32F89" w:rsidP="00E32F89">
            <w:pPr>
              <w:tabs>
                <w:tab w:val="left" w:pos="459"/>
              </w:tabs>
              <w:spacing w:before="60" w:after="60"/>
              <w:jc w:val="both"/>
              <w:rPr>
                <w:noProof/>
                <w:lang w:val="fr-FR"/>
              </w:rPr>
            </w:pPr>
            <w:r>
              <w:rPr>
                <w:noProof/>
                <w:lang w:val="fr-FR" w:eastAsia="en-GB"/>
              </w:rPr>
              <w:tab/>
            </w:r>
            <w:r w:rsidR="00025E95">
              <w:rPr>
                <w:noProof/>
                <w:lang w:val="fr-FR" w:eastAsia="en-GB"/>
              </w:rPr>
              <w:t>Une</w:t>
            </w:r>
            <w:r w:rsidR="00025E95">
              <w:rPr>
                <w:noProof/>
                <w:lang w:val="fr-FR"/>
              </w:rPr>
              <w:t xml:space="preserve"> étude q</w:t>
            </w:r>
            <w:r w:rsidR="00DB3424" w:rsidRPr="00DD03D6">
              <w:rPr>
                <w:noProof/>
                <w:lang w:val="fr-FR"/>
              </w:rPr>
              <w:t xml:space="preserve">uantitative </w:t>
            </w:r>
            <w:r w:rsidR="000540B6">
              <w:rPr>
                <w:noProof/>
                <w:lang w:val="fr-FR"/>
              </w:rPr>
              <w:t xml:space="preserve">réalisée pour le compte de la Direction des services de santé auprès de </w:t>
            </w:r>
            <w:r w:rsidR="00DB3424" w:rsidRPr="00DD03D6">
              <w:rPr>
                <w:noProof/>
                <w:lang w:val="fr-FR"/>
              </w:rPr>
              <w:t xml:space="preserve">505 </w:t>
            </w:r>
            <w:r w:rsidR="000540B6">
              <w:rPr>
                <w:noProof/>
                <w:lang w:val="fr-FR"/>
              </w:rPr>
              <w:t xml:space="preserve">jeunes a permis de conclure que </w:t>
            </w:r>
            <w:r w:rsidR="0037731C">
              <w:rPr>
                <w:noProof/>
                <w:lang w:val="fr-FR"/>
              </w:rPr>
              <w:t xml:space="preserve">cette </w:t>
            </w:r>
            <w:r w:rsidR="000540B6">
              <w:rPr>
                <w:noProof/>
                <w:lang w:val="fr-FR"/>
              </w:rPr>
              <w:t xml:space="preserve">publicité </w:t>
            </w:r>
            <w:r w:rsidR="00277DCF" w:rsidRPr="00DD03D6">
              <w:rPr>
                <w:noProof/>
                <w:lang w:val="fr-FR"/>
              </w:rPr>
              <w:t>t</w:t>
            </w:r>
            <w:r w:rsidR="000540B6">
              <w:rPr>
                <w:noProof/>
                <w:lang w:val="fr-FR"/>
              </w:rPr>
              <w:t>é</w:t>
            </w:r>
            <w:r w:rsidR="00277DCF" w:rsidRPr="00DD03D6">
              <w:rPr>
                <w:noProof/>
                <w:lang w:val="fr-FR"/>
              </w:rPr>
              <w:t>l</w:t>
            </w:r>
            <w:r w:rsidR="000540B6">
              <w:rPr>
                <w:noProof/>
                <w:lang w:val="fr-FR"/>
              </w:rPr>
              <w:t>é</w:t>
            </w:r>
            <w:r w:rsidR="00277DCF" w:rsidRPr="00DD03D6">
              <w:rPr>
                <w:noProof/>
                <w:lang w:val="fr-FR"/>
              </w:rPr>
              <w:t>vis</w:t>
            </w:r>
            <w:r w:rsidR="000540B6">
              <w:rPr>
                <w:noProof/>
                <w:lang w:val="fr-FR"/>
              </w:rPr>
              <w:t xml:space="preserve">uelle et </w:t>
            </w:r>
            <w:r w:rsidR="00DB3424" w:rsidRPr="00DD03D6">
              <w:rPr>
                <w:noProof/>
                <w:lang w:val="fr-FR"/>
              </w:rPr>
              <w:t>cin</w:t>
            </w:r>
            <w:r w:rsidR="000540B6">
              <w:rPr>
                <w:noProof/>
                <w:lang w:val="fr-FR"/>
              </w:rPr>
              <w:t>é</w:t>
            </w:r>
            <w:r w:rsidR="00DB3424" w:rsidRPr="00DD03D6">
              <w:rPr>
                <w:noProof/>
                <w:lang w:val="fr-FR"/>
              </w:rPr>
              <w:t>ma</w:t>
            </w:r>
            <w:r w:rsidR="000540B6">
              <w:rPr>
                <w:noProof/>
                <w:lang w:val="fr-FR"/>
              </w:rPr>
              <w:t>tographique a</w:t>
            </w:r>
            <w:r w:rsidR="0037731C">
              <w:rPr>
                <w:noProof/>
                <w:lang w:val="fr-FR"/>
              </w:rPr>
              <w:t>vait</w:t>
            </w:r>
            <w:r w:rsidR="000540B6">
              <w:rPr>
                <w:noProof/>
                <w:lang w:val="fr-FR"/>
              </w:rPr>
              <w:t xml:space="preserve"> obtenu un taux de remémoration parmi les adolescents exceptionnellement élevé : </w:t>
            </w:r>
            <w:r w:rsidR="00DB3424" w:rsidRPr="00DD03D6">
              <w:rPr>
                <w:noProof/>
                <w:lang w:val="fr-FR"/>
              </w:rPr>
              <w:t>87</w:t>
            </w:r>
            <w:r w:rsidR="003F1ADB">
              <w:rPr>
                <w:noProof/>
                <w:lang w:val="fr-FR"/>
              </w:rPr>
              <w:t> %</w:t>
            </w:r>
            <w:r w:rsidR="00DB3424" w:rsidRPr="00DD03D6">
              <w:rPr>
                <w:noProof/>
                <w:lang w:val="fr-FR"/>
              </w:rPr>
              <w:t xml:space="preserve"> (</w:t>
            </w:r>
            <w:r w:rsidR="000540B6">
              <w:rPr>
                <w:noProof/>
                <w:lang w:val="fr-FR"/>
              </w:rPr>
              <w:t>un taux de rémémoration de</w:t>
            </w:r>
            <w:r w:rsidR="00DB3424" w:rsidRPr="00DD03D6">
              <w:rPr>
                <w:noProof/>
                <w:lang w:val="fr-FR"/>
              </w:rPr>
              <w:t xml:space="preserve"> 49</w:t>
            </w:r>
            <w:r w:rsidR="003F1ADB">
              <w:rPr>
                <w:noProof/>
                <w:lang w:val="fr-FR"/>
              </w:rPr>
              <w:t> %</w:t>
            </w:r>
            <w:r w:rsidR="00DB3424" w:rsidRPr="00DD03D6">
              <w:rPr>
                <w:noProof/>
                <w:lang w:val="fr-FR"/>
              </w:rPr>
              <w:t xml:space="preserve"> </w:t>
            </w:r>
            <w:r w:rsidR="000540B6">
              <w:rPr>
                <w:noProof/>
                <w:lang w:val="fr-FR"/>
              </w:rPr>
              <w:t xml:space="preserve">est la norme en Irlande pour les publicités </w:t>
            </w:r>
            <w:r w:rsidR="00277DCF" w:rsidRPr="00DD03D6">
              <w:rPr>
                <w:noProof/>
                <w:lang w:val="fr-FR"/>
              </w:rPr>
              <w:t>t</w:t>
            </w:r>
            <w:r w:rsidR="000540B6">
              <w:rPr>
                <w:noProof/>
                <w:lang w:val="fr-FR"/>
              </w:rPr>
              <w:t>élé</w:t>
            </w:r>
            <w:r w:rsidR="00277DCF" w:rsidRPr="00DD03D6">
              <w:rPr>
                <w:noProof/>
                <w:lang w:val="fr-FR"/>
              </w:rPr>
              <w:t>vis</w:t>
            </w:r>
            <w:r w:rsidR="000540B6">
              <w:rPr>
                <w:noProof/>
                <w:lang w:val="fr-FR"/>
              </w:rPr>
              <w:t xml:space="preserve">uelles ou </w:t>
            </w:r>
            <w:r w:rsidR="00DB3424" w:rsidRPr="00DD03D6">
              <w:rPr>
                <w:noProof/>
                <w:lang w:val="fr-FR"/>
              </w:rPr>
              <w:t>cin</w:t>
            </w:r>
            <w:r w:rsidR="000540B6">
              <w:rPr>
                <w:noProof/>
                <w:lang w:val="fr-FR"/>
              </w:rPr>
              <w:t>é</w:t>
            </w:r>
            <w:r w:rsidR="00DB3424" w:rsidRPr="00DD03D6">
              <w:rPr>
                <w:noProof/>
                <w:lang w:val="fr-FR"/>
              </w:rPr>
              <w:t>ma</w:t>
            </w:r>
            <w:r w:rsidR="000540B6">
              <w:rPr>
                <w:noProof/>
                <w:lang w:val="fr-FR"/>
              </w:rPr>
              <w:t>togrpahiques</w:t>
            </w:r>
            <w:r w:rsidR="00DB3424" w:rsidRPr="00DD03D6">
              <w:rPr>
                <w:noProof/>
                <w:lang w:val="fr-FR"/>
              </w:rPr>
              <w:t xml:space="preserve"> </w:t>
            </w:r>
            <w:r w:rsidR="00E87ABC">
              <w:rPr>
                <w:noProof/>
                <w:lang w:val="fr-FR"/>
              </w:rPr>
              <w:t>réalisées par un échantillon représentatif de secteurs</w:t>
            </w:r>
            <w:r w:rsidR="00DB3424" w:rsidRPr="00DD03D6">
              <w:rPr>
                <w:noProof/>
                <w:lang w:val="fr-FR"/>
              </w:rPr>
              <w:t>)</w:t>
            </w:r>
            <w:r w:rsidR="0037731C">
              <w:rPr>
                <w:noProof/>
                <w:lang w:val="fr-FR"/>
              </w:rPr>
              <w:t>.</w:t>
            </w:r>
          </w:p>
        </w:tc>
      </w:tr>
      <w:tr w:rsidR="00DB3424" w:rsidRPr="00DD03D6" w:rsidTr="00B753FD">
        <w:tc>
          <w:tcPr>
            <w:tcW w:w="8234" w:type="dxa"/>
            <w:tcBorders>
              <w:top w:val="nil"/>
              <w:bottom w:val="nil"/>
            </w:tcBorders>
            <w:shd w:val="clear" w:color="auto" w:fill="auto"/>
          </w:tcPr>
          <w:p w:rsidR="00DB3424" w:rsidRPr="00DD03D6" w:rsidRDefault="00E32F89" w:rsidP="00E32F89">
            <w:pPr>
              <w:tabs>
                <w:tab w:val="left" w:pos="459"/>
              </w:tabs>
              <w:spacing w:before="60" w:after="60"/>
              <w:jc w:val="both"/>
              <w:rPr>
                <w:noProof/>
                <w:lang w:val="fr-FR" w:eastAsia="en-GB"/>
              </w:rPr>
            </w:pPr>
            <w:r>
              <w:rPr>
                <w:noProof/>
                <w:lang w:val="fr-FR" w:eastAsia="en-GB"/>
              </w:rPr>
              <w:tab/>
            </w:r>
            <w:r w:rsidR="000540B6">
              <w:rPr>
                <w:noProof/>
                <w:lang w:val="fr-FR" w:eastAsia="en-GB"/>
              </w:rPr>
              <w:t xml:space="preserve">L’étude </w:t>
            </w:r>
            <w:r w:rsidR="0037731C">
              <w:rPr>
                <w:noProof/>
                <w:lang w:val="fr-FR" w:eastAsia="en-GB"/>
              </w:rPr>
              <w:t xml:space="preserve">indique également que cette publicité a eu les retombées suivantes : elle a </w:t>
            </w:r>
            <w:r w:rsidR="0037731C">
              <w:rPr>
                <w:noProof/>
                <w:lang w:val="fr-FR"/>
              </w:rPr>
              <w:t>motivé</w:t>
            </w:r>
            <w:r w:rsidR="0037731C">
              <w:rPr>
                <w:noProof/>
                <w:lang w:val="fr-FR" w:eastAsia="en-GB"/>
              </w:rPr>
              <w:t xml:space="preserve"> trois jeunes sur quatre à parler avec quelqu’un s’ils sont déprimés</w:t>
            </w:r>
            <w:r w:rsidR="00DB3424" w:rsidRPr="00DD03D6">
              <w:rPr>
                <w:noProof/>
                <w:lang w:val="fr-FR" w:eastAsia="en-GB"/>
              </w:rPr>
              <w:t xml:space="preserve">; </w:t>
            </w:r>
            <w:r w:rsidR="0037731C">
              <w:rPr>
                <w:noProof/>
                <w:lang w:val="fr-FR" w:eastAsia="en-GB"/>
              </w:rPr>
              <w:t>les a incités à en apprendre davantage sur la manière de s’occuper de leur santé mentale</w:t>
            </w:r>
            <w:r w:rsidR="00DB3424" w:rsidRPr="00DD03D6">
              <w:rPr>
                <w:noProof/>
                <w:lang w:val="fr-FR" w:eastAsia="en-GB"/>
              </w:rPr>
              <w:t xml:space="preserve">; </w:t>
            </w:r>
            <w:r w:rsidR="0037731C">
              <w:rPr>
                <w:noProof/>
                <w:lang w:val="fr-FR" w:eastAsia="en-GB"/>
              </w:rPr>
              <w:t>et leur a fait changer de point de vue au sujet de la santé mentale</w:t>
            </w:r>
            <w:r w:rsidR="00DB3424" w:rsidRPr="00DD03D6">
              <w:rPr>
                <w:noProof/>
                <w:lang w:val="fr-FR" w:eastAsia="en-GB"/>
              </w:rPr>
              <w:t>.</w:t>
            </w:r>
          </w:p>
        </w:tc>
      </w:tr>
      <w:tr w:rsidR="00DB3424" w:rsidRPr="00DD03D6" w:rsidTr="00B753FD">
        <w:tc>
          <w:tcPr>
            <w:tcW w:w="8234" w:type="dxa"/>
            <w:tcBorders>
              <w:top w:val="nil"/>
              <w:bottom w:val="nil"/>
            </w:tcBorders>
            <w:shd w:val="clear" w:color="auto" w:fill="auto"/>
          </w:tcPr>
          <w:p w:rsidR="00DB3424" w:rsidRPr="00DD03D6" w:rsidRDefault="00E32F89" w:rsidP="00E32F89">
            <w:pPr>
              <w:keepNext/>
              <w:keepLines/>
              <w:tabs>
                <w:tab w:val="left" w:pos="459"/>
              </w:tabs>
              <w:spacing w:before="60" w:after="60"/>
              <w:jc w:val="both"/>
              <w:rPr>
                <w:noProof/>
                <w:lang w:val="fr-FR" w:eastAsia="en-GB"/>
              </w:rPr>
            </w:pPr>
            <w:r>
              <w:rPr>
                <w:noProof/>
                <w:lang w:val="fr-FR" w:eastAsia="en-GB"/>
              </w:rPr>
              <w:tab/>
            </w:r>
            <w:r w:rsidR="0037731C">
              <w:rPr>
                <w:noProof/>
                <w:lang w:val="fr-FR" w:eastAsia="en-GB"/>
              </w:rPr>
              <w:t xml:space="preserve">L’impact inhabituellement fort </w:t>
            </w:r>
            <w:r w:rsidR="008D7B4D">
              <w:rPr>
                <w:noProof/>
                <w:lang w:val="fr-FR" w:eastAsia="en-GB"/>
              </w:rPr>
              <w:t>de cette campagne de publicité montre bien l’intérêt de la méthode mise en œuvre pour obtenir les opinions des jeunes et les associer à toutes les phases de l’élaboration et de la conduite de la campagne</w:t>
            </w:r>
            <w:r w:rsidR="00DB3424" w:rsidRPr="00DD03D6">
              <w:rPr>
                <w:noProof/>
                <w:lang w:val="fr-FR" w:eastAsia="en-GB"/>
              </w:rPr>
              <w:t>.</w:t>
            </w:r>
          </w:p>
        </w:tc>
      </w:tr>
      <w:tr w:rsidR="00524AD1" w:rsidRPr="00DD03D6" w:rsidTr="00DB3424">
        <w:tc>
          <w:tcPr>
            <w:tcW w:w="8234" w:type="dxa"/>
            <w:tcBorders>
              <w:top w:val="nil"/>
            </w:tcBorders>
            <w:shd w:val="clear" w:color="auto" w:fill="auto"/>
          </w:tcPr>
          <w:p w:rsidR="00524AD1" w:rsidRPr="00DD03D6" w:rsidRDefault="008D7B4D" w:rsidP="00E32F89">
            <w:pPr>
              <w:spacing w:before="60" w:after="60"/>
              <w:rPr>
                <w:noProof/>
                <w:lang w:val="fr-FR"/>
              </w:rPr>
            </w:pPr>
            <w:r>
              <w:rPr>
                <w:noProof/>
                <w:lang w:val="fr-FR"/>
              </w:rPr>
              <w:t>Cette publicité a reçu le prix d’excellence du service public</w:t>
            </w:r>
            <w:r w:rsidR="003057E7">
              <w:rPr>
                <w:noProof/>
                <w:lang w:val="fr-FR"/>
              </w:rPr>
              <w:t xml:space="preserve"> du</w:t>
            </w:r>
            <w:r>
              <w:rPr>
                <w:noProof/>
                <w:lang w:val="fr-FR"/>
              </w:rPr>
              <w:t xml:space="preserve"> </w:t>
            </w:r>
            <w:r w:rsidR="00524AD1" w:rsidRPr="00DD03D6">
              <w:rPr>
                <w:noProof/>
                <w:lang w:val="fr-FR"/>
              </w:rPr>
              <w:t>Taoiseach</w:t>
            </w:r>
            <w:r w:rsidR="003057E7">
              <w:rPr>
                <w:noProof/>
                <w:lang w:val="fr-FR"/>
              </w:rPr>
              <w:t xml:space="preserve"> et continue</w:t>
            </w:r>
            <w:r w:rsidR="00524AD1" w:rsidRPr="00DD03D6">
              <w:rPr>
                <w:noProof/>
                <w:lang w:val="fr-FR"/>
              </w:rPr>
              <w:t xml:space="preserve"> </w:t>
            </w:r>
            <w:r w:rsidR="003057E7">
              <w:rPr>
                <w:noProof/>
                <w:lang w:val="fr-FR"/>
              </w:rPr>
              <w:t>d’être projetée régulièrement dans tous les cinémas d’</w:t>
            </w:r>
            <w:r w:rsidR="00524AD1" w:rsidRPr="00DD03D6">
              <w:rPr>
                <w:noProof/>
                <w:lang w:val="fr-FR"/>
              </w:rPr>
              <w:t>Irland</w:t>
            </w:r>
            <w:r w:rsidR="003057E7">
              <w:rPr>
                <w:noProof/>
                <w:lang w:val="fr-FR"/>
              </w:rPr>
              <w:t>e</w:t>
            </w:r>
            <w:r w:rsidR="00524AD1" w:rsidRPr="00DD03D6">
              <w:rPr>
                <w:noProof/>
                <w:lang w:val="fr-FR"/>
              </w:rPr>
              <w:t>.</w:t>
            </w:r>
          </w:p>
        </w:tc>
      </w:tr>
    </w:tbl>
    <w:p w:rsidR="003D0F58" w:rsidRPr="00DD03D6" w:rsidRDefault="00934D09" w:rsidP="00C458DD">
      <w:pPr>
        <w:pStyle w:val="Bullet1G"/>
        <w:spacing w:before="240"/>
        <w:rPr>
          <w:noProof/>
          <w:lang w:val="fr-FR"/>
        </w:rPr>
      </w:pPr>
      <w:r>
        <w:rPr>
          <w:noProof/>
          <w:lang w:val="fr-FR"/>
        </w:rPr>
        <w:lastRenderedPageBreak/>
        <w:t xml:space="preserve">Équipe d’appui à la participation des enfants et des jeunes </w:t>
      </w:r>
      <w:r w:rsidR="003D0F58" w:rsidRPr="00DD03D6">
        <w:rPr>
          <w:noProof/>
          <w:lang w:val="fr-FR"/>
        </w:rPr>
        <w:t xml:space="preserve">: </w:t>
      </w:r>
      <w:r>
        <w:rPr>
          <w:noProof/>
          <w:lang w:val="fr-FR"/>
        </w:rPr>
        <w:t>E</w:t>
      </w:r>
      <w:r w:rsidR="003D0F58" w:rsidRPr="00DD03D6">
        <w:rPr>
          <w:noProof/>
          <w:lang w:val="fr-FR"/>
        </w:rPr>
        <w:t xml:space="preserve">n </w:t>
      </w:r>
      <w:r>
        <w:rPr>
          <w:noProof/>
          <w:lang w:val="fr-FR"/>
        </w:rPr>
        <w:t xml:space="preserve">mars </w:t>
      </w:r>
      <w:r w:rsidR="003D0F58" w:rsidRPr="00DD03D6">
        <w:rPr>
          <w:noProof/>
          <w:lang w:val="fr-FR"/>
        </w:rPr>
        <w:t xml:space="preserve">2009, </w:t>
      </w:r>
      <w:r>
        <w:rPr>
          <w:noProof/>
          <w:lang w:val="fr-FR"/>
        </w:rPr>
        <w:t>le Ministère de l’enfance et de la jeunesse a créé l’Équipe d’appui à la participation des enfants et des jeunes</w:t>
      </w:r>
      <w:r w:rsidR="003D0F58" w:rsidRPr="00DD03D6">
        <w:rPr>
          <w:noProof/>
          <w:lang w:val="fr-FR"/>
        </w:rPr>
        <w:t xml:space="preserve">. </w:t>
      </w:r>
      <w:r>
        <w:rPr>
          <w:noProof/>
          <w:lang w:val="fr-FR"/>
        </w:rPr>
        <w:t>Elle se compose de membres du Service de la participation du Ministère et de trois responsables de la participation des enfants et des jeunes venus de deux organisations nationales de jeunesse</w:t>
      </w:r>
      <w:r w:rsidR="003D0F58" w:rsidRPr="00DD03D6">
        <w:rPr>
          <w:noProof/>
          <w:lang w:val="fr-FR"/>
        </w:rPr>
        <w:t xml:space="preserve">. </w:t>
      </w:r>
      <w:r>
        <w:rPr>
          <w:noProof/>
          <w:lang w:val="fr-FR"/>
        </w:rPr>
        <w:t>Les responsables de la participation au niveau régional appuient la mise en place de</w:t>
      </w:r>
      <w:r w:rsidR="003D0F58" w:rsidRPr="00DD03D6">
        <w:rPr>
          <w:noProof/>
          <w:lang w:val="fr-FR"/>
        </w:rPr>
        <w:t xml:space="preserve"> Comhairle na nÓg</w:t>
      </w:r>
      <w:r>
        <w:rPr>
          <w:noProof/>
          <w:lang w:val="fr-FR"/>
        </w:rPr>
        <w:t xml:space="preserve"> efficaces</w:t>
      </w:r>
      <w:r w:rsidR="003D0F58" w:rsidRPr="00DD03D6">
        <w:rPr>
          <w:noProof/>
          <w:lang w:val="fr-FR"/>
        </w:rPr>
        <w:t xml:space="preserve">, </w:t>
      </w:r>
      <w:r>
        <w:rPr>
          <w:noProof/>
          <w:lang w:val="fr-FR"/>
        </w:rPr>
        <w:t xml:space="preserve">le déroulement et le développement du processus du </w:t>
      </w:r>
      <w:r w:rsidR="003D0F58" w:rsidRPr="00DD03D6">
        <w:rPr>
          <w:noProof/>
          <w:lang w:val="fr-FR"/>
        </w:rPr>
        <w:t xml:space="preserve">Dáil na nÓg </w:t>
      </w:r>
      <w:r>
        <w:rPr>
          <w:noProof/>
          <w:lang w:val="fr-FR"/>
        </w:rPr>
        <w:t>et les autres initiatives du Ministère en matière de participation des enfants et des jeunes</w:t>
      </w:r>
      <w:r w:rsidR="003D0F58" w:rsidRPr="00DD03D6">
        <w:rPr>
          <w:noProof/>
          <w:lang w:val="fr-FR"/>
        </w:rPr>
        <w:t xml:space="preserve">. </w:t>
      </w:r>
    </w:p>
    <w:p w:rsidR="003D0F58" w:rsidRPr="00DD03D6" w:rsidRDefault="00934D09" w:rsidP="00805517">
      <w:pPr>
        <w:pStyle w:val="SingleTxtG"/>
        <w:numPr>
          <w:ilvl w:val="0"/>
          <w:numId w:val="3"/>
        </w:numPr>
        <w:ind w:left="1134" w:firstLine="0"/>
        <w:rPr>
          <w:noProof/>
          <w:lang w:val="fr-FR"/>
        </w:rPr>
      </w:pPr>
      <w:r>
        <w:rPr>
          <w:noProof/>
          <w:lang w:val="fr-FR"/>
        </w:rPr>
        <w:t>Le Ministère de l’e</w:t>
      </w:r>
      <w:r w:rsidR="00E12D02">
        <w:rPr>
          <w:noProof/>
          <w:lang w:val="fr-FR"/>
        </w:rPr>
        <w:t>nf</w:t>
      </w:r>
      <w:r>
        <w:rPr>
          <w:noProof/>
          <w:lang w:val="fr-FR"/>
        </w:rPr>
        <w:t>ance e</w:t>
      </w:r>
      <w:r w:rsidR="00E12D02">
        <w:rPr>
          <w:noProof/>
          <w:lang w:val="fr-FR"/>
        </w:rPr>
        <w:t>t de la jeunesse est représenté</w:t>
      </w:r>
      <w:r>
        <w:rPr>
          <w:noProof/>
          <w:lang w:val="fr-FR"/>
        </w:rPr>
        <w:t xml:space="preserve"> </w:t>
      </w:r>
      <w:r w:rsidR="00E12D02">
        <w:rPr>
          <w:noProof/>
          <w:lang w:val="fr-FR"/>
        </w:rPr>
        <w:t xml:space="preserve">au sein de </w:t>
      </w:r>
      <w:r>
        <w:rPr>
          <w:noProof/>
          <w:lang w:val="fr-FR"/>
        </w:rPr>
        <w:t xml:space="preserve">deux </w:t>
      </w:r>
      <w:r w:rsidR="003D0F58" w:rsidRPr="00DD03D6">
        <w:rPr>
          <w:noProof/>
          <w:lang w:val="fr-FR"/>
        </w:rPr>
        <w:t>important</w:t>
      </w:r>
      <w:r>
        <w:rPr>
          <w:noProof/>
          <w:lang w:val="fr-FR"/>
        </w:rPr>
        <w:t>s</w:t>
      </w:r>
      <w:r w:rsidR="003D0F58" w:rsidRPr="00DD03D6">
        <w:rPr>
          <w:noProof/>
          <w:lang w:val="fr-FR"/>
        </w:rPr>
        <w:t xml:space="preserve"> </w:t>
      </w:r>
      <w:r>
        <w:rPr>
          <w:noProof/>
          <w:lang w:val="fr-FR"/>
        </w:rPr>
        <w:t>gro</w:t>
      </w:r>
      <w:r w:rsidR="00E12D02">
        <w:rPr>
          <w:noProof/>
          <w:lang w:val="fr-FR"/>
        </w:rPr>
        <w:t>u</w:t>
      </w:r>
      <w:r>
        <w:rPr>
          <w:noProof/>
          <w:lang w:val="fr-FR"/>
        </w:rPr>
        <w:t xml:space="preserve">pes de travail européens, à savoir </w:t>
      </w:r>
      <w:r w:rsidR="007E6DE2">
        <w:rPr>
          <w:noProof/>
          <w:lang w:val="fr-FR"/>
        </w:rPr>
        <w:t>le Comité ad hoc du Conseil de l’Europe sur la p</w:t>
      </w:r>
      <w:r w:rsidR="003D0F58" w:rsidRPr="00DD03D6">
        <w:rPr>
          <w:noProof/>
          <w:lang w:val="fr-FR"/>
        </w:rPr>
        <w:t xml:space="preserve">articipation </w:t>
      </w:r>
      <w:r w:rsidR="007E6DE2">
        <w:rPr>
          <w:noProof/>
          <w:lang w:val="fr-FR"/>
        </w:rPr>
        <w:t>des enfants et d</w:t>
      </w:r>
      <w:r w:rsidR="00E12D02">
        <w:rPr>
          <w:noProof/>
          <w:lang w:val="fr-FR"/>
        </w:rPr>
        <w:t>e</w:t>
      </w:r>
      <w:r w:rsidR="007E6DE2">
        <w:rPr>
          <w:noProof/>
          <w:lang w:val="fr-FR"/>
        </w:rPr>
        <w:t xml:space="preserve">s jeunes à la prise de </w:t>
      </w:r>
      <w:r w:rsidR="00E12D02">
        <w:rPr>
          <w:noProof/>
          <w:lang w:val="fr-FR"/>
        </w:rPr>
        <w:t xml:space="preserve">décisions </w:t>
      </w:r>
      <w:r w:rsidR="00B171B5">
        <w:rPr>
          <w:noProof/>
          <w:lang w:val="fr-FR"/>
        </w:rPr>
        <w:t xml:space="preserve">et le </w:t>
      </w:r>
      <w:r w:rsidR="00E12D02">
        <w:rPr>
          <w:noProof/>
          <w:lang w:val="fr-FR"/>
        </w:rPr>
        <w:t xml:space="preserve">Groupe de travail sur la participation des enfants de </w:t>
      </w:r>
      <w:r w:rsidR="003D0F58" w:rsidRPr="00DD03D6">
        <w:rPr>
          <w:noProof/>
          <w:lang w:val="fr-FR"/>
        </w:rPr>
        <w:t>ChildOne Europe.</w:t>
      </w:r>
    </w:p>
    <w:p w:rsidR="003D0F58" w:rsidRPr="00DD03D6" w:rsidRDefault="00934D09" w:rsidP="004D2C12">
      <w:pPr>
        <w:pStyle w:val="SingleTxtG"/>
        <w:numPr>
          <w:ilvl w:val="0"/>
          <w:numId w:val="3"/>
        </w:numPr>
        <w:ind w:left="1134" w:firstLine="0"/>
        <w:rPr>
          <w:noProof/>
          <w:lang w:val="fr-FR"/>
        </w:rPr>
      </w:pPr>
      <w:r>
        <w:rPr>
          <w:noProof/>
          <w:lang w:val="fr-FR"/>
        </w:rPr>
        <w:t xml:space="preserve">Ce Ministère </w:t>
      </w:r>
      <w:r w:rsidR="00E12D02">
        <w:rPr>
          <w:noProof/>
          <w:lang w:val="fr-FR"/>
        </w:rPr>
        <w:t xml:space="preserve">est attaché à </w:t>
      </w:r>
      <w:r w:rsidR="00E12D02" w:rsidRPr="00E12D02">
        <w:rPr>
          <w:noProof/>
          <w:color w:val="000000"/>
          <w:lang w:val="fr-FR"/>
        </w:rPr>
        <w:t>l</w:t>
      </w:r>
      <w:r w:rsidR="00E12D02">
        <w:rPr>
          <w:noProof/>
          <w:color w:val="000000"/>
          <w:lang w:val="fr-FR"/>
        </w:rPr>
        <w:t>’él</w:t>
      </w:r>
      <w:r w:rsidR="00E12D02" w:rsidRPr="00E12D02">
        <w:rPr>
          <w:noProof/>
          <w:color w:val="000000"/>
          <w:lang w:val="fr-FR"/>
        </w:rPr>
        <w:t>aboration de politiques fondées sur les faits</w:t>
      </w:r>
      <w:r w:rsidR="00E12D02" w:rsidRPr="00DD03D6">
        <w:rPr>
          <w:noProof/>
          <w:lang w:val="fr-FR"/>
        </w:rPr>
        <w:t xml:space="preserve"> </w:t>
      </w:r>
      <w:r w:rsidR="00E12D02">
        <w:rPr>
          <w:noProof/>
          <w:lang w:val="fr-FR"/>
        </w:rPr>
        <w:t xml:space="preserve">et, à cet égard, </w:t>
      </w:r>
      <w:r w:rsidR="002378C4">
        <w:rPr>
          <w:noProof/>
          <w:lang w:val="fr-FR"/>
        </w:rPr>
        <w:t>a entrepris de réaliser diverses études et évaluations destinées à guider l’élaboration d’une po</w:t>
      </w:r>
      <w:r w:rsidR="00955D48">
        <w:rPr>
          <w:noProof/>
          <w:lang w:val="fr-FR"/>
        </w:rPr>
        <w:t>litique nationale sur la parti</w:t>
      </w:r>
      <w:r w:rsidR="002378C4">
        <w:rPr>
          <w:noProof/>
          <w:lang w:val="fr-FR"/>
        </w:rPr>
        <w:t>c</w:t>
      </w:r>
      <w:r w:rsidR="00955D48">
        <w:rPr>
          <w:noProof/>
          <w:lang w:val="fr-FR"/>
        </w:rPr>
        <w:t>i</w:t>
      </w:r>
      <w:r w:rsidR="002378C4">
        <w:rPr>
          <w:noProof/>
          <w:lang w:val="fr-FR"/>
        </w:rPr>
        <w:t>pation des enfants et des jeunes au cours de l’année à venir</w:t>
      </w:r>
      <w:r w:rsidR="003D0F58" w:rsidRPr="00DD03D6">
        <w:rPr>
          <w:noProof/>
          <w:lang w:val="fr-FR"/>
        </w:rPr>
        <w:t xml:space="preserve">. </w:t>
      </w:r>
    </w:p>
    <w:p w:rsidR="003D0F58" w:rsidRPr="00DD03D6" w:rsidRDefault="002378C4" w:rsidP="00654EEC">
      <w:pPr>
        <w:pStyle w:val="SingleTxtG"/>
        <w:numPr>
          <w:ilvl w:val="0"/>
          <w:numId w:val="3"/>
        </w:numPr>
        <w:ind w:left="1134" w:firstLine="0"/>
        <w:rPr>
          <w:noProof/>
          <w:lang w:val="fr-FR"/>
        </w:rPr>
      </w:pPr>
      <w:r>
        <w:rPr>
          <w:noProof/>
          <w:lang w:val="fr-FR"/>
        </w:rPr>
        <w:t xml:space="preserve">L’Inspection du Ministère de l’éducation et de la formation tient systématiquement compte des points de vue des élèves lorsqu’elle </w:t>
      </w:r>
      <w:r w:rsidR="00EB02AF">
        <w:rPr>
          <w:noProof/>
          <w:lang w:val="fr-FR"/>
        </w:rPr>
        <w:t>procède à des inspections des établissements scolaires dans leur ensemble</w:t>
      </w:r>
      <w:r w:rsidR="003D0F58" w:rsidRPr="00DD03D6">
        <w:rPr>
          <w:noProof/>
          <w:lang w:val="fr-FR"/>
        </w:rPr>
        <w:t xml:space="preserve">. </w:t>
      </w:r>
      <w:r w:rsidR="00EB02AF">
        <w:rPr>
          <w:noProof/>
          <w:lang w:val="fr-FR"/>
        </w:rPr>
        <w:t>Les i</w:t>
      </w:r>
      <w:r w:rsidR="003D0F58" w:rsidRPr="00DD03D6">
        <w:rPr>
          <w:noProof/>
          <w:lang w:val="fr-FR"/>
        </w:rPr>
        <w:t>nspect</w:t>
      </w:r>
      <w:r w:rsidR="00EB02AF">
        <w:rPr>
          <w:noProof/>
          <w:lang w:val="fr-FR"/>
        </w:rPr>
        <w:t>eu</w:t>
      </w:r>
      <w:r w:rsidR="003D0F58" w:rsidRPr="00DD03D6">
        <w:rPr>
          <w:noProof/>
          <w:lang w:val="fr-FR"/>
        </w:rPr>
        <w:t xml:space="preserve">rs </w:t>
      </w:r>
      <w:r w:rsidR="00EB02AF">
        <w:rPr>
          <w:noProof/>
          <w:lang w:val="fr-FR"/>
        </w:rPr>
        <w:t>s’entretiennent avec un gro</w:t>
      </w:r>
      <w:r w:rsidR="00D24CCE">
        <w:rPr>
          <w:noProof/>
          <w:lang w:val="fr-FR"/>
        </w:rPr>
        <w:t>u</w:t>
      </w:r>
      <w:r w:rsidR="00EB02AF">
        <w:rPr>
          <w:noProof/>
          <w:lang w:val="fr-FR"/>
        </w:rPr>
        <w:t>pe de discussion composé d’élèves dans les écoles qu’ils sont chargés d’inspecter et</w:t>
      </w:r>
      <w:r w:rsidR="003D0F58" w:rsidRPr="00DD03D6">
        <w:rPr>
          <w:noProof/>
          <w:lang w:val="fr-FR"/>
        </w:rPr>
        <w:t xml:space="preserve">, </w:t>
      </w:r>
      <w:r w:rsidR="00EB02AF">
        <w:rPr>
          <w:noProof/>
          <w:lang w:val="fr-FR"/>
        </w:rPr>
        <w:t>depuis septembre</w:t>
      </w:r>
      <w:r w:rsidR="003D0F58" w:rsidRPr="00DD03D6">
        <w:rPr>
          <w:noProof/>
          <w:lang w:val="fr-FR"/>
        </w:rPr>
        <w:t xml:space="preserve"> 2010, </w:t>
      </w:r>
      <w:r w:rsidR="00D24CCE">
        <w:rPr>
          <w:noProof/>
          <w:lang w:val="fr-FR"/>
        </w:rPr>
        <w:t xml:space="preserve">des </w:t>
      </w:r>
      <w:r w:rsidR="003D0F58" w:rsidRPr="00DD03D6">
        <w:rPr>
          <w:noProof/>
          <w:lang w:val="fr-FR"/>
        </w:rPr>
        <w:t xml:space="preserve">questionnaires </w:t>
      </w:r>
      <w:r w:rsidR="00D24CCE">
        <w:rPr>
          <w:noProof/>
          <w:lang w:val="fr-FR"/>
        </w:rPr>
        <w:t>sont également administrés aux élèves de ces écoles</w:t>
      </w:r>
      <w:r w:rsidR="003D0F58" w:rsidRPr="00DD03D6">
        <w:rPr>
          <w:noProof/>
          <w:lang w:val="fr-FR"/>
        </w:rPr>
        <w:t xml:space="preserve">. </w:t>
      </w:r>
      <w:r w:rsidR="00D24CCE">
        <w:rPr>
          <w:noProof/>
          <w:lang w:val="fr-FR"/>
        </w:rPr>
        <w:t>Ces</w:t>
      </w:r>
      <w:r w:rsidR="003D0F58" w:rsidRPr="00DD03D6">
        <w:rPr>
          <w:noProof/>
          <w:lang w:val="fr-FR"/>
        </w:rPr>
        <w:t xml:space="preserve"> questionnaires </w:t>
      </w:r>
      <w:r w:rsidR="00D24CCE">
        <w:rPr>
          <w:noProof/>
          <w:lang w:val="fr-FR"/>
        </w:rPr>
        <w:t>recueillent les opinions des élèves sur leur établissement et sur leur apprentissage</w:t>
      </w:r>
      <w:r w:rsidR="003D0F58" w:rsidRPr="00DD03D6">
        <w:rPr>
          <w:noProof/>
          <w:lang w:val="fr-FR"/>
        </w:rPr>
        <w:t xml:space="preserve">. </w:t>
      </w:r>
      <w:r w:rsidR="00D24CCE">
        <w:rPr>
          <w:noProof/>
          <w:lang w:val="fr-FR"/>
        </w:rPr>
        <w:t xml:space="preserve">Les données ainsi obtenues sont une source importante d’informations pour les inspecteurs. En 2010 et 2011, </w:t>
      </w:r>
      <w:r w:rsidR="003D0F58" w:rsidRPr="00DD03D6">
        <w:rPr>
          <w:noProof/>
          <w:lang w:val="fr-FR"/>
        </w:rPr>
        <w:t>22</w:t>
      </w:r>
      <w:r w:rsidR="00E32F89">
        <w:rPr>
          <w:noProof/>
          <w:lang w:val="fr-FR"/>
        </w:rPr>
        <w:t> </w:t>
      </w:r>
      <w:r w:rsidR="003D0F58" w:rsidRPr="00DD03D6">
        <w:rPr>
          <w:noProof/>
          <w:lang w:val="fr-FR"/>
        </w:rPr>
        <w:t xml:space="preserve">566 </w:t>
      </w:r>
      <w:r w:rsidR="00D24CCE">
        <w:rPr>
          <w:noProof/>
          <w:lang w:val="fr-FR"/>
        </w:rPr>
        <w:t xml:space="preserve">élèves de l’enseignement primaire et </w:t>
      </w:r>
      <w:r w:rsidR="003D0F58" w:rsidRPr="00DD03D6">
        <w:rPr>
          <w:noProof/>
          <w:lang w:val="fr-FR"/>
        </w:rPr>
        <w:t>13</w:t>
      </w:r>
      <w:r w:rsidR="00E32F89">
        <w:rPr>
          <w:noProof/>
          <w:lang w:val="fr-FR"/>
        </w:rPr>
        <w:t> 642 </w:t>
      </w:r>
      <w:r w:rsidR="00D24CCE">
        <w:rPr>
          <w:noProof/>
          <w:lang w:val="fr-FR"/>
        </w:rPr>
        <w:t xml:space="preserve">élèves de l’enseignement </w:t>
      </w:r>
      <w:r w:rsidR="003D0F58" w:rsidRPr="00DD03D6">
        <w:rPr>
          <w:noProof/>
          <w:lang w:val="fr-FR"/>
        </w:rPr>
        <w:t>postprima</w:t>
      </w:r>
      <w:r w:rsidR="00D24CCE">
        <w:rPr>
          <w:noProof/>
          <w:lang w:val="fr-FR"/>
        </w:rPr>
        <w:t>ire ont rempli un questionnaire</w:t>
      </w:r>
      <w:r w:rsidR="003D0F58" w:rsidRPr="00DD03D6">
        <w:rPr>
          <w:noProof/>
          <w:lang w:val="fr-FR"/>
        </w:rPr>
        <w:t>.</w:t>
      </w:r>
    </w:p>
    <w:p w:rsidR="003D0F58" w:rsidRPr="00DD03D6" w:rsidRDefault="00805517" w:rsidP="003A2811">
      <w:pPr>
        <w:pStyle w:val="HChG"/>
        <w:rPr>
          <w:noProof/>
          <w:lang w:val="fr-FR"/>
        </w:rPr>
      </w:pPr>
      <w:bookmarkStart w:id="29" w:name="_Toc356430857"/>
      <w:r w:rsidRPr="00DD03D6">
        <w:rPr>
          <w:noProof/>
          <w:lang w:val="fr-FR"/>
        </w:rPr>
        <w:tab/>
      </w:r>
      <w:r w:rsidR="00EA2EFE" w:rsidRPr="00DD03D6">
        <w:rPr>
          <w:noProof/>
          <w:lang w:val="fr-FR"/>
        </w:rPr>
        <w:t>IV</w:t>
      </w:r>
      <w:r w:rsidR="003D0F58" w:rsidRPr="00DD03D6">
        <w:rPr>
          <w:noProof/>
          <w:lang w:val="fr-FR"/>
        </w:rPr>
        <w:t>.</w:t>
      </w:r>
      <w:r w:rsidR="003D0F58" w:rsidRPr="00DD03D6">
        <w:rPr>
          <w:noProof/>
          <w:lang w:val="fr-FR"/>
        </w:rPr>
        <w:tab/>
      </w:r>
      <w:r w:rsidR="00955D48">
        <w:rPr>
          <w:noProof/>
          <w:lang w:val="fr-FR"/>
        </w:rPr>
        <w:t xml:space="preserve">Libertés et droits civils </w:t>
      </w:r>
      <w:bookmarkEnd w:id="29"/>
    </w:p>
    <w:p w:rsidR="003D0F58" w:rsidRPr="00DD03D6" w:rsidRDefault="00654EEC" w:rsidP="003A2811">
      <w:pPr>
        <w:pStyle w:val="H1G"/>
        <w:rPr>
          <w:noProof/>
          <w:lang w:val="fr-FR"/>
        </w:rPr>
      </w:pPr>
      <w:bookmarkStart w:id="30" w:name="_Toc356430858"/>
      <w:r w:rsidRPr="00DD03D6">
        <w:rPr>
          <w:noProof/>
          <w:lang w:val="fr-FR"/>
        </w:rPr>
        <w:tab/>
      </w:r>
      <w:r w:rsidR="003D0F58" w:rsidRPr="00DD03D6">
        <w:rPr>
          <w:noProof/>
          <w:lang w:val="fr-FR"/>
        </w:rPr>
        <w:t>A.</w:t>
      </w:r>
      <w:r w:rsidR="003D0F58" w:rsidRPr="00DD03D6">
        <w:rPr>
          <w:noProof/>
          <w:lang w:val="fr-FR"/>
        </w:rPr>
        <w:tab/>
      </w:r>
      <w:bookmarkEnd w:id="30"/>
      <w:r w:rsidR="00955D48">
        <w:rPr>
          <w:noProof/>
          <w:lang w:val="fr-FR"/>
        </w:rPr>
        <w:t>Enregistrement de la naissance</w:t>
      </w:r>
      <w:r w:rsidR="00955D48" w:rsidRPr="00DD03D6">
        <w:rPr>
          <w:noProof/>
          <w:lang w:val="fr-FR"/>
        </w:rPr>
        <w:t>, n</w:t>
      </w:r>
      <w:r w:rsidR="00955D48">
        <w:rPr>
          <w:noProof/>
          <w:lang w:val="fr-FR"/>
        </w:rPr>
        <w:t xml:space="preserve">om et </w:t>
      </w:r>
      <w:r w:rsidR="00955D48" w:rsidRPr="00DD03D6">
        <w:rPr>
          <w:noProof/>
          <w:lang w:val="fr-FR"/>
        </w:rPr>
        <w:t>n</w:t>
      </w:r>
      <w:r w:rsidR="00955D48">
        <w:rPr>
          <w:noProof/>
          <w:lang w:val="fr-FR"/>
        </w:rPr>
        <w:t>ationalité</w:t>
      </w:r>
    </w:p>
    <w:p w:rsidR="003D0F58" w:rsidRPr="00DD03D6" w:rsidRDefault="00955D48" w:rsidP="00654EEC">
      <w:pPr>
        <w:pStyle w:val="SingleTxtG"/>
        <w:numPr>
          <w:ilvl w:val="0"/>
          <w:numId w:val="3"/>
        </w:numPr>
        <w:ind w:left="1134" w:firstLine="0"/>
        <w:rPr>
          <w:noProof/>
          <w:lang w:val="fr-FR"/>
        </w:rPr>
      </w:pPr>
      <w:r>
        <w:rPr>
          <w:noProof/>
          <w:lang w:val="fr-FR"/>
        </w:rPr>
        <w:t>Le titre III de la loi de 2004 sur l’état</w:t>
      </w:r>
      <w:r w:rsidR="003D0F58" w:rsidRPr="00DD03D6">
        <w:rPr>
          <w:noProof/>
          <w:lang w:val="fr-FR"/>
        </w:rPr>
        <w:t xml:space="preserve"> </w:t>
      </w:r>
      <w:r>
        <w:rPr>
          <w:noProof/>
          <w:lang w:val="fr-FR"/>
        </w:rPr>
        <w:t>c</w:t>
      </w:r>
      <w:r w:rsidR="003D0F58" w:rsidRPr="00DD03D6">
        <w:rPr>
          <w:noProof/>
          <w:lang w:val="fr-FR"/>
        </w:rPr>
        <w:t xml:space="preserve">ivil </w:t>
      </w:r>
      <w:r>
        <w:rPr>
          <w:noProof/>
          <w:lang w:val="fr-FR"/>
        </w:rPr>
        <w:t>prévoit l’enregistrement des naissances et des mortinaissances, en disposant notamment que le nom du père doit être mentionné, ou ajouté après l’enregistrement initial, lorsque les parents de l’enfant ne sont pas mariés l’un à l’autre</w:t>
      </w:r>
      <w:r w:rsidR="003D0F58" w:rsidRPr="00DD03D6">
        <w:rPr>
          <w:noProof/>
          <w:lang w:val="fr-FR"/>
        </w:rPr>
        <w:t xml:space="preserve">. </w:t>
      </w:r>
      <w:r>
        <w:rPr>
          <w:noProof/>
          <w:lang w:val="fr-FR"/>
        </w:rPr>
        <w:t>Dans tous les cas, la loi impose l’attribution d’un prénom et d’un nom de famille à l’enfant</w:t>
      </w:r>
      <w:r w:rsidR="003D0F58" w:rsidRPr="00DD03D6">
        <w:rPr>
          <w:noProof/>
          <w:lang w:val="fr-FR"/>
        </w:rPr>
        <w:t xml:space="preserve">. </w:t>
      </w:r>
      <w:r w:rsidR="006F61EF">
        <w:rPr>
          <w:noProof/>
          <w:lang w:val="fr-FR"/>
        </w:rPr>
        <w:t>Si les renseignements concernant le père sont ajoutés après l’enregistrement initial, le nom de famille peut être modifié en conséquence au moment du réenregistrement</w:t>
      </w:r>
      <w:r w:rsidR="003D0F58" w:rsidRPr="00DD03D6">
        <w:rPr>
          <w:noProof/>
          <w:lang w:val="fr-FR"/>
        </w:rPr>
        <w:t>.</w:t>
      </w:r>
    </w:p>
    <w:p w:rsidR="003D0F58" w:rsidRPr="00DD03D6" w:rsidRDefault="006F61EF" w:rsidP="00C44D98">
      <w:pPr>
        <w:pStyle w:val="SingleTxtG"/>
        <w:numPr>
          <w:ilvl w:val="0"/>
          <w:numId w:val="3"/>
        </w:numPr>
        <w:ind w:left="1134" w:firstLine="0"/>
        <w:rPr>
          <w:noProof/>
          <w:lang w:val="fr-FR"/>
        </w:rPr>
      </w:pPr>
      <w:r>
        <w:rPr>
          <w:noProof/>
          <w:lang w:val="fr-FR"/>
        </w:rPr>
        <w:t>E</w:t>
      </w:r>
      <w:r w:rsidR="003D0F58" w:rsidRPr="00DD03D6">
        <w:rPr>
          <w:noProof/>
          <w:lang w:val="fr-FR"/>
        </w:rPr>
        <w:t xml:space="preserve">n 2004, </w:t>
      </w:r>
      <w:r w:rsidR="001557FF">
        <w:rPr>
          <w:noProof/>
          <w:lang w:val="fr-FR"/>
        </w:rPr>
        <w:t>la loi sur le vingt-septième amendement à la</w:t>
      </w:r>
      <w:r w:rsidR="003D0F58" w:rsidRPr="00DD03D6">
        <w:rPr>
          <w:noProof/>
          <w:lang w:val="fr-FR"/>
        </w:rPr>
        <w:t xml:space="preserve"> Constitution </w:t>
      </w:r>
      <w:r w:rsidR="001557FF">
        <w:rPr>
          <w:noProof/>
          <w:lang w:val="fr-FR"/>
        </w:rPr>
        <w:t>e</w:t>
      </w:r>
      <w:r w:rsidR="003D0F58" w:rsidRPr="00DD03D6">
        <w:rPr>
          <w:noProof/>
          <w:lang w:val="fr-FR"/>
        </w:rPr>
        <w:t>t</w:t>
      </w:r>
      <w:r w:rsidR="001557FF" w:rsidRPr="00487473">
        <w:rPr>
          <w:sz w:val="24"/>
          <w:lang w:val="fr-CH"/>
        </w:rPr>
        <w:t xml:space="preserve"> l</w:t>
      </w:r>
      <w:r w:rsidR="001557FF" w:rsidRPr="001557FF">
        <w:rPr>
          <w:noProof/>
          <w:lang w:val="fr-FR"/>
        </w:rPr>
        <w:t xml:space="preserve">a loi de 2004 sur la nationalité et la citoyenneté irlandaises </w:t>
      </w:r>
      <w:r w:rsidR="002D4F78">
        <w:rPr>
          <w:noProof/>
          <w:lang w:val="fr-FR"/>
        </w:rPr>
        <w:t>ont eu pour conséquence que les enfants nés en Irlande de parents non ressortissants ont perdu le droit automatique à la citoyenneté</w:t>
      </w:r>
      <w:r w:rsidR="003D0F58" w:rsidRPr="00DD03D6">
        <w:rPr>
          <w:noProof/>
          <w:lang w:val="fr-FR"/>
        </w:rPr>
        <w:t xml:space="preserve">. </w:t>
      </w:r>
      <w:r w:rsidR="002D4F78">
        <w:rPr>
          <w:noProof/>
          <w:lang w:val="fr-FR"/>
        </w:rPr>
        <w:t>Seuls les enfants nés en Irlande de</w:t>
      </w:r>
      <w:r w:rsidR="003D0F58" w:rsidRPr="00DD03D6">
        <w:rPr>
          <w:noProof/>
          <w:lang w:val="fr-FR"/>
        </w:rPr>
        <w:t xml:space="preserve"> parents </w:t>
      </w:r>
      <w:r w:rsidR="002D4F78" w:rsidRPr="002D4F78">
        <w:rPr>
          <w:noProof/>
          <w:lang w:val="fr-FR"/>
        </w:rPr>
        <w:t>ayant un lien antérieur réel à l’Irlande, attesté par le fait d’y avoir légalement résidé pendant au moins trois de</w:t>
      </w:r>
      <w:r w:rsidR="002D4F78">
        <w:rPr>
          <w:noProof/>
          <w:lang w:val="fr-FR"/>
        </w:rPr>
        <w:t xml:space="preserve">s quatre années précédentes, </w:t>
      </w:r>
      <w:r w:rsidR="002D4F78" w:rsidRPr="002D4F78">
        <w:rPr>
          <w:noProof/>
          <w:lang w:val="fr-FR"/>
        </w:rPr>
        <w:t>ont droit à la citoyenneté irlandaise</w:t>
      </w:r>
      <w:r w:rsidR="002D4F78" w:rsidRPr="00487473">
        <w:rPr>
          <w:sz w:val="24"/>
          <w:lang w:val="fr-CH"/>
        </w:rPr>
        <w:t>.</w:t>
      </w:r>
      <w:r w:rsidR="003D0F58" w:rsidRPr="00DD03D6">
        <w:rPr>
          <w:noProof/>
          <w:lang w:val="fr-FR"/>
        </w:rPr>
        <w:t xml:space="preserve"> </w:t>
      </w:r>
      <w:r w:rsidR="002D4F78">
        <w:rPr>
          <w:noProof/>
          <w:lang w:val="fr-FR"/>
        </w:rPr>
        <w:t>E</w:t>
      </w:r>
      <w:r w:rsidR="003D0F58" w:rsidRPr="00DD03D6">
        <w:rPr>
          <w:noProof/>
          <w:lang w:val="fr-FR"/>
        </w:rPr>
        <w:t xml:space="preserve">n </w:t>
      </w:r>
      <w:r w:rsidR="002D4F78">
        <w:rPr>
          <w:noProof/>
          <w:lang w:val="fr-FR"/>
        </w:rPr>
        <w:t xml:space="preserve">janvier </w:t>
      </w:r>
      <w:r w:rsidR="003D0F58" w:rsidRPr="00DD03D6">
        <w:rPr>
          <w:noProof/>
          <w:lang w:val="fr-FR"/>
        </w:rPr>
        <w:t xml:space="preserve">2005, </w:t>
      </w:r>
      <w:r w:rsidR="002D4F78">
        <w:rPr>
          <w:noProof/>
          <w:lang w:val="fr-FR"/>
        </w:rPr>
        <w:t>le Ministre de la j</w:t>
      </w:r>
      <w:r w:rsidR="003D0F58" w:rsidRPr="00DD03D6">
        <w:rPr>
          <w:noProof/>
          <w:lang w:val="fr-FR"/>
        </w:rPr>
        <w:t xml:space="preserve">ustice </w:t>
      </w:r>
      <w:r w:rsidR="00792FBC">
        <w:rPr>
          <w:noProof/>
          <w:lang w:val="fr-FR"/>
        </w:rPr>
        <w:t xml:space="preserve">a présenté le dispositif applicable aux enfants nés en Irlande, plus connu sous le nom de dispositif </w:t>
      </w:r>
      <w:r w:rsidR="003D0F58" w:rsidRPr="00DD03D6">
        <w:rPr>
          <w:noProof/>
          <w:lang w:val="fr-FR"/>
        </w:rPr>
        <w:t xml:space="preserve">IBC/05. </w:t>
      </w:r>
      <w:r w:rsidR="00792FBC">
        <w:rPr>
          <w:noProof/>
          <w:lang w:val="fr-FR"/>
        </w:rPr>
        <w:t>Les p</w:t>
      </w:r>
      <w:r w:rsidR="003D0F58" w:rsidRPr="00DD03D6">
        <w:rPr>
          <w:noProof/>
          <w:lang w:val="fr-FR"/>
        </w:rPr>
        <w:t xml:space="preserve">arents </w:t>
      </w:r>
      <w:r w:rsidR="00792FBC">
        <w:rPr>
          <w:noProof/>
          <w:lang w:val="fr-FR"/>
        </w:rPr>
        <w:t>autorisés à rester dans le pays en vertu de ce dispositif n’ont pas droit au regroupement familial avec un époux, des enfants ou d’autres membres de la famille résidant à l’étranger</w:t>
      </w:r>
      <w:r w:rsidR="003D0F58" w:rsidRPr="00DD03D6">
        <w:rPr>
          <w:noProof/>
          <w:lang w:val="fr-FR"/>
        </w:rPr>
        <w:t xml:space="preserve">. </w:t>
      </w:r>
      <w:r w:rsidR="00792FBC">
        <w:rPr>
          <w:noProof/>
          <w:lang w:val="fr-FR"/>
        </w:rPr>
        <w:t>Les</w:t>
      </w:r>
      <w:r w:rsidR="003D0F58" w:rsidRPr="00DD03D6">
        <w:rPr>
          <w:noProof/>
          <w:lang w:val="fr-FR"/>
        </w:rPr>
        <w:t xml:space="preserve"> parents </w:t>
      </w:r>
      <w:r w:rsidR="00792FBC">
        <w:rPr>
          <w:noProof/>
          <w:lang w:val="fr-FR"/>
        </w:rPr>
        <w:t xml:space="preserve">non ressortissants d’enfants nés en Irlande après le </w:t>
      </w:r>
      <w:r w:rsidR="003D0F58" w:rsidRPr="00DD03D6">
        <w:rPr>
          <w:noProof/>
          <w:lang w:val="fr-FR"/>
        </w:rPr>
        <w:t>1</w:t>
      </w:r>
      <w:r w:rsidR="00792FBC" w:rsidRPr="00792FBC">
        <w:rPr>
          <w:noProof/>
          <w:vertAlign w:val="superscript"/>
          <w:lang w:val="fr-FR"/>
        </w:rPr>
        <w:t>er</w:t>
      </w:r>
      <w:r w:rsidR="00792FBC">
        <w:rPr>
          <w:noProof/>
          <w:lang w:val="fr-FR"/>
        </w:rPr>
        <w:t xml:space="preserve"> janvier</w:t>
      </w:r>
      <w:r w:rsidR="003D0F58" w:rsidRPr="00DD03D6">
        <w:rPr>
          <w:noProof/>
          <w:lang w:val="fr-FR"/>
        </w:rPr>
        <w:t xml:space="preserve"> 2005 </w:t>
      </w:r>
      <w:r w:rsidR="00792FBC">
        <w:rPr>
          <w:noProof/>
          <w:lang w:val="fr-FR"/>
        </w:rPr>
        <w:t>peuvent demander à ê</w:t>
      </w:r>
      <w:r w:rsidR="00FA68C7">
        <w:rPr>
          <w:noProof/>
          <w:lang w:val="fr-FR"/>
        </w:rPr>
        <w:t>t</w:t>
      </w:r>
      <w:r w:rsidR="00792FBC">
        <w:rPr>
          <w:noProof/>
          <w:lang w:val="fr-FR"/>
        </w:rPr>
        <w:t>re autor</w:t>
      </w:r>
      <w:r w:rsidR="00FA68C7">
        <w:rPr>
          <w:noProof/>
          <w:lang w:val="fr-FR"/>
        </w:rPr>
        <w:t xml:space="preserve">isés à rester dans le pays pendant </w:t>
      </w:r>
      <w:r w:rsidR="00792FBC">
        <w:rPr>
          <w:noProof/>
          <w:lang w:val="fr-FR"/>
        </w:rPr>
        <w:t>deux années supplémentaires</w:t>
      </w:r>
      <w:r w:rsidR="003D0F58" w:rsidRPr="00DD03D6">
        <w:rPr>
          <w:noProof/>
          <w:lang w:val="fr-FR"/>
        </w:rPr>
        <w:t xml:space="preserve">. </w:t>
      </w:r>
      <w:r w:rsidR="00792FBC">
        <w:rPr>
          <w:noProof/>
          <w:lang w:val="fr-FR"/>
        </w:rPr>
        <w:t>E</w:t>
      </w:r>
      <w:r w:rsidR="003D0F58" w:rsidRPr="00DD03D6">
        <w:rPr>
          <w:noProof/>
          <w:lang w:val="fr-FR"/>
        </w:rPr>
        <w:t xml:space="preserve">n 2007 </w:t>
      </w:r>
      <w:r w:rsidR="00792FBC">
        <w:rPr>
          <w:noProof/>
          <w:lang w:val="fr-FR"/>
        </w:rPr>
        <w:t xml:space="preserve">et </w:t>
      </w:r>
      <w:r w:rsidR="003D0F58" w:rsidRPr="00DD03D6">
        <w:rPr>
          <w:noProof/>
          <w:lang w:val="fr-FR"/>
        </w:rPr>
        <w:t xml:space="preserve">2010, </w:t>
      </w:r>
      <w:r w:rsidR="00792FBC">
        <w:rPr>
          <w:noProof/>
          <w:lang w:val="fr-FR"/>
        </w:rPr>
        <w:t xml:space="preserve">de nouveaux dispositifs </w:t>
      </w:r>
      <w:r w:rsidR="003D0F58" w:rsidRPr="00DD03D6">
        <w:rPr>
          <w:noProof/>
          <w:lang w:val="fr-FR"/>
        </w:rPr>
        <w:t xml:space="preserve">IBC </w:t>
      </w:r>
      <w:r w:rsidR="00792FBC">
        <w:rPr>
          <w:noProof/>
          <w:lang w:val="fr-FR"/>
        </w:rPr>
        <w:t xml:space="preserve">ont été mis en place, en vertu desquels </w:t>
      </w:r>
      <w:r w:rsidR="00FA68C7">
        <w:rPr>
          <w:noProof/>
          <w:lang w:val="fr-FR"/>
        </w:rPr>
        <w:t xml:space="preserve">les </w:t>
      </w:r>
      <w:r w:rsidR="003D0F58" w:rsidRPr="00DD03D6">
        <w:rPr>
          <w:noProof/>
          <w:lang w:val="fr-FR"/>
        </w:rPr>
        <w:t xml:space="preserve">parents </w:t>
      </w:r>
      <w:r w:rsidR="00FA68C7">
        <w:rPr>
          <w:noProof/>
          <w:lang w:val="fr-FR"/>
        </w:rPr>
        <w:t xml:space="preserve">non ressortissants peuvent demander à être autorisés à rester dans </w:t>
      </w:r>
      <w:r w:rsidR="00FA68C7">
        <w:rPr>
          <w:noProof/>
          <w:lang w:val="fr-FR"/>
        </w:rPr>
        <w:lastRenderedPageBreak/>
        <w:t xml:space="preserve">le pays trois années supplémentaires sous certaines </w:t>
      </w:r>
      <w:r w:rsidR="003D0F58" w:rsidRPr="00DD03D6">
        <w:rPr>
          <w:noProof/>
          <w:lang w:val="fr-FR"/>
        </w:rPr>
        <w:t xml:space="preserve">conditions. </w:t>
      </w:r>
      <w:r w:rsidR="00FA68C7">
        <w:rPr>
          <w:noProof/>
          <w:lang w:val="fr-FR"/>
        </w:rPr>
        <w:t>E</w:t>
      </w:r>
      <w:r w:rsidR="003D0F58" w:rsidRPr="00DD03D6">
        <w:rPr>
          <w:noProof/>
          <w:lang w:val="fr-FR"/>
        </w:rPr>
        <w:t>n 2005, 16</w:t>
      </w:r>
      <w:r w:rsidR="00FA68C7">
        <w:rPr>
          <w:noProof/>
          <w:lang w:val="fr-FR"/>
        </w:rPr>
        <w:t xml:space="preserve"> </w:t>
      </w:r>
      <w:r w:rsidR="003D0F58" w:rsidRPr="00DD03D6">
        <w:rPr>
          <w:noProof/>
          <w:lang w:val="fr-FR"/>
        </w:rPr>
        <w:t>991 non-</w:t>
      </w:r>
      <w:r w:rsidR="00FA68C7">
        <w:rPr>
          <w:noProof/>
          <w:lang w:val="fr-FR"/>
        </w:rPr>
        <w:t>ressortissants ont été autorisés à rester au motif qu’ils avaient un enfant né en Irlande</w:t>
      </w:r>
      <w:r w:rsidR="003D0F58" w:rsidRPr="00DD03D6">
        <w:rPr>
          <w:noProof/>
          <w:lang w:val="fr-FR"/>
        </w:rPr>
        <w:t xml:space="preserve">. </w:t>
      </w:r>
      <w:r w:rsidR="00FA68C7">
        <w:rPr>
          <w:noProof/>
          <w:lang w:val="fr-FR"/>
        </w:rPr>
        <w:t>E</w:t>
      </w:r>
      <w:r w:rsidR="003D0F58" w:rsidRPr="00DD03D6">
        <w:rPr>
          <w:noProof/>
          <w:lang w:val="fr-FR"/>
        </w:rPr>
        <w:t>n 2007, 15</w:t>
      </w:r>
      <w:r w:rsidR="00FA68C7">
        <w:rPr>
          <w:noProof/>
          <w:lang w:val="fr-FR"/>
        </w:rPr>
        <w:t> </w:t>
      </w:r>
      <w:r w:rsidR="003D0F58" w:rsidRPr="00DD03D6">
        <w:rPr>
          <w:noProof/>
          <w:lang w:val="fr-FR"/>
        </w:rPr>
        <w:t>052</w:t>
      </w:r>
      <w:r w:rsidR="00FA68C7">
        <w:rPr>
          <w:noProof/>
          <w:lang w:val="fr-FR"/>
        </w:rPr>
        <w:t xml:space="preserve"> renouvellements de ce type ont été accordés et </w:t>
      </w:r>
      <w:r w:rsidR="003D0F58" w:rsidRPr="00DD03D6">
        <w:rPr>
          <w:noProof/>
          <w:lang w:val="fr-FR"/>
        </w:rPr>
        <w:t>12</w:t>
      </w:r>
      <w:r w:rsidR="00FA68C7">
        <w:rPr>
          <w:noProof/>
          <w:lang w:val="fr-FR"/>
        </w:rPr>
        <w:t> </w:t>
      </w:r>
      <w:r w:rsidR="003D0F58" w:rsidRPr="00DD03D6">
        <w:rPr>
          <w:noProof/>
          <w:lang w:val="fr-FR"/>
        </w:rPr>
        <w:t>069</w:t>
      </w:r>
      <w:r w:rsidR="00FA68C7">
        <w:rPr>
          <w:noProof/>
          <w:lang w:val="fr-FR"/>
        </w:rPr>
        <w:t xml:space="preserve"> l’ont été en 2010</w:t>
      </w:r>
      <w:r w:rsidR="003D0F58" w:rsidRPr="00DD03D6">
        <w:rPr>
          <w:noProof/>
          <w:lang w:val="fr-FR"/>
        </w:rPr>
        <w:t>.</w:t>
      </w:r>
    </w:p>
    <w:p w:rsidR="003D0F58" w:rsidRPr="00DD03D6" w:rsidRDefault="00654EEC" w:rsidP="003A2811">
      <w:pPr>
        <w:pStyle w:val="H1G"/>
        <w:rPr>
          <w:noProof/>
          <w:lang w:val="fr-FR"/>
        </w:rPr>
      </w:pPr>
      <w:bookmarkStart w:id="31" w:name="_Toc356430859"/>
      <w:r w:rsidRPr="00DD03D6">
        <w:rPr>
          <w:noProof/>
          <w:lang w:val="fr-FR"/>
        </w:rPr>
        <w:tab/>
      </w:r>
      <w:r w:rsidR="003D0F58" w:rsidRPr="00DD03D6">
        <w:rPr>
          <w:noProof/>
          <w:lang w:val="fr-FR"/>
        </w:rPr>
        <w:t>B.</w:t>
      </w:r>
      <w:r w:rsidR="003D0F58" w:rsidRPr="00DD03D6">
        <w:rPr>
          <w:noProof/>
          <w:lang w:val="fr-FR"/>
        </w:rPr>
        <w:tab/>
        <w:t>Pr</w:t>
      </w:r>
      <w:r w:rsidR="00FA68C7">
        <w:rPr>
          <w:noProof/>
          <w:lang w:val="fr-FR"/>
        </w:rPr>
        <w:t>é</w:t>
      </w:r>
      <w:r w:rsidR="003D0F58" w:rsidRPr="00DD03D6">
        <w:rPr>
          <w:noProof/>
          <w:lang w:val="fr-FR"/>
        </w:rPr>
        <w:t xml:space="preserve">servation </w:t>
      </w:r>
      <w:r w:rsidR="00FA68C7">
        <w:rPr>
          <w:noProof/>
          <w:lang w:val="fr-FR"/>
        </w:rPr>
        <w:t>de l’</w:t>
      </w:r>
      <w:r w:rsidR="003A2811" w:rsidRPr="00DD03D6">
        <w:rPr>
          <w:noProof/>
          <w:lang w:val="fr-FR"/>
        </w:rPr>
        <w:t>i</w:t>
      </w:r>
      <w:r w:rsidR="003D0F58" w:rsidRPr="00DD03D6">
        <w:rPr>
          <w:noProof/>
          <w:lang w:val="fr-FR"/>
        </w:rPr>
        <w:t>dentit</w:t>
      </w:r>
      <w:bookmarkEnd w:id="31"/>
      <w:r w:rsidR="00FA68C7">
        <w:rPr>
          <w:noProof/>
          <w:lang w:val="fr-FR"/>
        </w:rPr>
        <w:t>é</w:t>
      </w:r>
    </w:p>
    <w:p w:rsidR="003D0F58" w:rsidRPr="00DD03D6" w:rsidRDefault="00101062" w:rsidP="00C44D98">
      <w:pPr>
        <w:pStyle w:val="SingleTxtG"/>
        <w:numPr>
          <w:ilvl w:val="0"/>
          <w:numId w:val="3"/>
        </w:numPr>
        <w:ind w:left="1134" w:firstLine="0"/>
        <w:rPr>
          <w:b/>
          <w:bCs/>
          <w:noProof/>
          <w:lang w:val="fr-FR"/>
        </w:rPr>
      </w:pPr>
      <w:r>
        <w:rPr>
          <w:noProof/>
          <w:lang w:val="fr-FR"/>
        </w:rPr>
        <w:t>Comme indiqué dans le deuxième rapport périodique de l’Irlande, un enfant ne peut être déchu d’une citoyenneté irlandaise acquise de naissance ou par adoption que dans des conditions strictement définies par la loi</w:t>
      </w:r>
      <w:r w:rsidR="003D0F58" w:rsidRPr="00DD03D6">
        <w:rPr>
          <w:rStyle w:val="Appelnotedebasdep"/>
          <w:noProof/>
          <w:lang w:val="fr-FR"/>
        </w:rPr>
        <w:footnoteReference w:id="14"/>
      </w:r>
      <w:r>
        <w:rPr>
          <w:noProof/>
          <w:lang w:val="fr-FR"/>
        </w:rPr>
        <w:t>.</w:t>
      </w:r>
    </w:p>
    <w:p w:rsidR="003D0F58" w:rsidRPr="00DD03D6" w:rsidRDefault="00654EEC" w:rsidP="003A2811">
      <w:pPr>
        <w:pStyle w:val="H1G"/>
        <w:rPr>
          <w:noProof/>
          <w:lang w:val="fr-FR"/>
        </w:rPr>
      </w:pPr>
      <w:bookmarkStart w:id="32" w:name="_Toc356430860"/>
      <w:r w:rsidRPr="00DD03D6">
        <w:rPr>
          <w:noProof/>
          <w:lang w:val="fr-FR"/>
        </w:rPr>
        <w:tab/>
      </w:r>
      <w:r w:rsidR="003D0F58" w:rsidRPr="00DD03D6">
        <w:rPr>
          <w:noProof/>
          <w:lang w:val="fr-FR"/>
        </w:rPr>
        <w:t>C.</w:t>
      </w:r>
      <w:r w:rsidR="003D0F58" w:rsidRPr="00DD03D6">
        <w:rPr>
          <w:noProof/>
          <w:lang w:val="fr-FR"/>
        </w:rPr>
        <w:tab/>
      </w:r>
      <w:r w:rsidR="00101062">
        <w:rPr>
          <w:noProof/>
          <w:lang w:val="fr-FR"/>
        </w:rPr>
        <w:t>Liberté d’</w:t>
      </w:r>
      <w:r w:rsidR="00101062" w:rsidRPr="00DD03D6">
        <w:rPr>
          <w:noProof/>
          <w:lang w:val="fr-FR"/>
        </w:rPr>
        <w:t xml:space="preserve">expression, </w:t>
      </w:r>
      <w:r w:rsidR="00101062">
        <w:rPr>
          <w:noProof/>
          <w:lang w:val="fr-FR"/>
        </w:rPr>
        <w:t>et droit de rechercner</w:t>
      </w:r>
      <w:r w:rsidR="00101062" w:rsidRPr="00DD03D6">
        <w:rPr>
          <w:noProof/>
          <w:lang w:val="fr-FR"/>
        </w:rPr>
        <w:t>, rece</w:t>
      </w:r>
      <w:r w:rsidR="00101062">
        <w:rPr>
          <w:noProof/>
          <w:lang w:val="fr-FR"/>
        </w:rPr>
        <w:t xml:space="preserve">voir et répandre des </w:t>
      </w:r>
      <w:r w:rsidR="00101062" w:rsidRPr="00DD03D6">
        <w:rPr>
          <w:noProof/>
          <w:lang w:val="fr-FR"/>
        </w:rPr>
        <w:t>information</w:t>
      </w:r>
      <w:r w:rsidR="00101062">
        <w:rPr>
          <w:noProof/>
          <w:lang w:val="fr-FR"/>
        </w:rPr>
        <w:t>s</w:t>
      </w:r>
      <w:bookmarkEnd w:id="32"/>
      <w:r w:rsidR="00E92D3C">
        <w:rPr>
          <w:noProof/>
          <w:lang w:val="fr-FR"/>
        </w:rPr>
        <w:t xml:space="preserve"> </w:t>
      </w:r>
    </w:p>
    <w:p w:rsidR="003D0F58" w:rsidRDefault="00CD1D14" w:rsidP="00654EEC">
      <w:pPr>
        <w:pStyle w:val="SingleTxtG"/>
        <w:numPr>
          <w:ilvl w:val="0"/>
          <w:numId w:val="3"/>
        </w:numPr>
        <w:ind w:left="1134" w:firstLine="0"/>
        <w:rPr>
          <w:noProof/>
          <w:lang w:val="fr-FR"/>
        </w:rPr>
      </w:pPr>
      <w:r>
        <w:rPr>
          <w:noProof/>
          <w:lang w:val="fr-FR"/>
        </w:rPr>
        <w:t>En vertu de l’a</w:t>
      </w:r>
      <w:r w:rsidR="00796A7C" w:rsidRPr="00DD03D6">
        <w:rPr>
          <w:noProof/>
          <w:lang w:val="fr-FR"/>
        </w:rPr>
        <w:t>rticle </w:t>
      </w:r>
      <w:r w:rsidR="003D0F58" w:rsidRPr="00DD03D6">
        <w:rPr>
          <w:noProof/>
          <w:lang w:val="fr-FR"/>
        </w:rPr>
        <w:t xml:space="preserve">40.6.1 </w:t>
      </w:r>
      <w:r>
        <w:rPr>
          <w:noProof/>
          <w:lang w:val="fr-FR"/>
        </w:rPr>
        <w:t xml:space="preserve">de la </w:t>
      </w:r>
      <w:r w:rsidR="003D0F58" w:rsidRPr="00DD03D6">
        <w:rPr>
          <w:noProof/>
          <w:lang w:val="fr-FR"/>
        </w:rPr>
        <w:t>Constitution</w:t>
      </w:r>
      <w:r>
        <w:rPr>
          <w:noProof/>
          <w:lang w:val="fr-FR"/>
        </w:rPr>
        <w:t xml:space="preserve">, le droit des citoyens d’exprimer librement leurs </w:t>
      </w:r>
      <w:r w:rsidR="003D0F58" w:rsidRPr="00DD03D6">
        <w:rPr>
          <w:noProof/>
          <w:lang w:val="fr-FR"/>
        </w:rPr>
        <w:t xml:space="preserve">convictions </w:t>
      </w:r>
      <w:r>
        <w:rPr>
          <w:noProof/>
          <w:lang w:val="fr-FR"/>
        </w:rPr>
        <w:t>et</w:t>
      </w:r>
      <w:r w:rsidR="003D0F58" w:rsidRPr="00DD03D6">
        <w:rPr>
          <w:noProof/>
          <w:lang w:val="fr-FR"/>
        </w:rPr>
        <w:t xml:space="preserve"> opinions</w:t>
      </w:r>
      <w:r>
        <w:rPr>
          <w:noProof/>
          <w:lang w:val="fr-FR"/>
        </w:rPr>
        <w:t xml:space="preserve"> est garanti</w:t>
      </w:r>
      <w:r w:rsidR="003D0F58" w:rsidRPr="00DD03D6">
        <w:rPr>
          <w:noProof/>
          <w:lang w:val="fr-FR"/>
        </w:rPr>
        <w:t>.</w:t>
      </w:r>
    </w:p>
    <w:p w:rsidR="003D0F58" w:rsidRPr="00DD03D6" w:rsidRDefault="00CD1D14" w:rsidP="00C44D98">
      <w:pPr>
        <w:pStyle w:val="SingleTxtG"/>
        <w:numPr>
          <w:ilvl w:val="0"/>
          <w:numId w:val="3"/>
        </w:numPr>
        <w:ind w:left="1134" w:firstLine="0"/>
        <w:rPr>
          <w:noProof/>
          <w:lang w:val="fr-FR"/>
        </w:rPr>
      </w:pPr>
      <w:r>
        <w:rPr>
          <w:noProof/>
          <w:lang w:val="fr-FR"/>
        </w:rPr>
        <w:t>La loi de 1997 sur la liberté de l’i</w:t>
      </w:r>
      <w:r w:rsidR="003D0F58" w:rsidRPr="00DD03D6">
        <w:rPr>
          <w:noProof/>
          <w:lang w:val="fr-FR"/>
        </w:rPr>
        <w:t xml:space="preserve">nformation </w:t>
      </w:r>
      <w:r>
        <w:rPr>
          <w:noProof/>
          <w:lang w:val="fr-FR"/>
        </w:rPr>
        <w:t>et loi de 2003 portant modification de la loi sur la liberté de l’i</w:t>
      </w:r>
      <w:r w:rsidR="003D0F58" w:rsidRPr="00DD03D6">
        <w:rPr>
          <w:noProof/>
          <w:lang w:val="fr-FR"/>
        </w:rPr>
        <w:t xml:space="preserve">nformation </w:t>
      </w:r>
      <w:r>
        <w:rPr>
          <w:noProof/>
          <w:lang w:val="fr-FR"/>
        </w:rPr>
        <w:t xml:space="preserve">font obligation aux ministères et à de nombreux organismes publics de publier des </w:t>
      </w:r>
      <w:r w:rsidR="003D0F58" w:rsidRPr="00DD03D6">
        <w:rPr>
          <w:noProof/>
          <w:lang w:val="fr-FR"/>
        </w:rPr>
        <w:t>information</w:t>
      </w:r>
      <w:r>
        <w:rPr>
          <w:noProof/>
          <w:lang w:val="fr-FR"/>
        </w:rPr>
        <w:t>s sur leurs activité</w:t>
      </w:r>
      <w:r w:rsidR="003D0F58" w:rsidRPr="00DD03D6">
        <w:rPr>
          <w:noProof/>
          <w:lang w:val="fr-FR"/>
        </w:rPr>
        <w:t xml:space="preserve">s </w:t>
      </w:r>
      <w:r>
        <w:rPr>
          <w:noProof/>
          <w:lang w:val="fr-FR"/>
        </w:rPr>
        <w:t>et de mettre les informations à caractère personnel qu’ils détiennent à la disposition des personnes concernées</w:t>
      </w:r>
      <w:r w:rsidR="003D0F58" w:rsidRPr="00DD03D6">
        <w:rPr>
          <w:noProof/>
          <w:lang w:val="fr-FR"/>
        </w:rPr>
        <w:t xml:space="preserve">. </w:t>
      </w:r>
      <w:r>
        <w:rPr>
          <w:noProof/>
          <w:lang w:val="fr-FR"/>
        </w:rPr>
        <w:t xml:space="preserve">Ces lois </w:t>
      </w:r>
      <w:r w:rsidR="00AF3427">
        <w:rPr>
          <w:noProof/>
          <w:lang w:val="fr-FR"/>
        </w:rPr>
        <w:t>consacrent également les droits légaux des citoyens ci-après</w:t>
      </w:r>
      <w:r w:rsidR="002135F8">
        <w:rPr>
          <w:noProof/>
          <w:lang w:val="fr-FR"/>
        </w:rPr>
        <w:t> </w:t>
      </w:r>
      <w:r w:rsidR="003D0F58" w:rsidRPr="00DD03D6">
        <w:rPr>
          <w:noProof/>
          <w:lang w:val="fr-FR"/>
        </w:rPr>
        <w:t>:</w:t>
      </w:r>
    </w:p>
    <w:p w:rsidR="003D0F58" w:rsidRPr="00DD03D6" w:rsidRDefault="00AF3427" w:rsidP="002135F8">
      <w:pPr>
        <w:pStyle w:val="Bullet1G"/>
        <w:tabs>
          <w:tab w:val="clear" w:pos="1701"/>
        </w:tabs>
        <w:ind w:left="1843" w:hanging="142"/>
        <w:rPr>
          <w:noProof/>
          <w:lang w:val="fr-FR"/>
        </w:rPr>
      </w:pPr>
      <w:r>
        <w:rPr>
          <w:noProof/>
          <w:lang w:val="fr-FR"/>
        </w:rPr>
        <w:t>Accéder à l’</w:t>
      </w:r>
      <w:r w:rsidR="003D0F58" w:rsidRPr="00DD03D6">
        <w:rPr>
          <w:noProof/>
          <w:lang w:val="fr-FR"/>
        </w:rPr>
        <w:t xml:space="preserve">information </w:t>
      </w:r>
      <w:r>
        <w:rPr>
          <w:noProof/>
          <w:lang w:val="fr-FR"/>
        </w:rPr>
        <w:t>détenue par des organismes publics et des ministères</w:t>
      </w:r>
      <w:r w:rsidR="003D0F58" w:rsidRPr="00DD03D6">
        <w:rPr>
          <w:noProof/>
          <w:lang w:val="fr-FR"/>
        </w:rPr>
        <w:t>;</w:t>
      </w:r>
    </w:p>
    <w:p w:rsidR="003D0F58" w:rsidRPr="00DD03D6" w:rsidRDefault="00AF3427" w:rsidP="002135F8">
      <w:pPr>
        <w:pStyle w:val="Bullet1G"/>
        <w:tabs>
          <w:tab w:val="clear" w:pos="1701"/>
        </w:tabs>
        <w:ind w:left="1843" w:hanging="142"/>
        <w:rPr>
          <w:noProof/>
          <w:lang w:val="fr-FR"/>
        </w:rPr>
      </w:pPr>
      <w:r>
        <w:rPr>
          <w:noProof/>
          <w:lang w:val="fr-FR"/>
        </w:rPr>
        <w:t xml:space="preserve">Faire modifier les informations officielles les concernant lorsqu’elles sont </w:t>
      </w:r>
      <w:r w:rsidR="003D0F58" w:rsidRPr="00DD03D6">
        <w:rPr>
          <w:noProof/>
          <w:lang w:val="fr-FR"/>
        </w:rPr>
        <w:t>inco</w:t>
      </w:r>
      <w:r w:rsidR="00CA38E1" w:rsidRPr="00DD03D6">
        <w:rPr>
          <w:noProof/>
          <w:lang w:val="fr-FR"/>
        </w:rPr>
        <w:t>mpl</w:t>
      </w:r>
      <w:r>
        <w:rPr>
          <w:noProof/>
          <w:lang w:val="fr-FR"/>
        </w:rPr>
        <w:t>ètes</w:t>
      </w:r>
      <w:r w:rsidR="00CA38E1" w:rsidRPr="00DD03D6">
        <w:rPr>
          <w:noProof/>
          <w:lang w:val="fr-FR"/>
        </w:rPr>
        <w:t>, incorrect</w:t>
      </w:r>
      <w:r>
        <w:rPr>
          <w:noProof/>
          <w:lang w:val="fr-FR"/>
        </w:rPr>
        <w:t>es</w:t>
      </w:r>
      <w:r w:rsidR="00CA38E1" w:rsidRPr="00DD03D6">
        <w:rPr>
          <w:noProof/>
          <w:lang w:val="fr-FR"/>
        </w:rPr>
        <w:t xml:space="preserve"> o</w:t>
      </w:r>
      <w:r>
        <w:rPr>
          <w:noProof/>
          <w:lang w:val="fr-FR"/>
        </w:rPr>
        <w:t>u de nature à induire en erreur</w:t>
      </w:r>
      <w:r w:rsidR="00CA38E1" w:rsidRPr="00DD03D6">
        <w:rPr>
          <w:noProof/>
          <w:lang w:val="fr-FR"/>
        </w:rPr>
        <w:t>;</w:t>
      </w:r>
      <w:r w:rsidR="003D0F58" w:rsidRPr="00DD03D6">
        <w:rPr>
          <w:noProof/>
          <w:lang w:val="fr-FR"/>
        </w:rPr>
        <w:t xml:space="preserve"> </w:t>
      </w:r>
    </w:p>
    <w:p w:rsidR="003D0F58" w:rsidRPr="00DD03D6" w:rsidRDefault="00AF3427" w:rsidP="002135F8">
      <w:pPr>
        <w:pStyle w:val="Bullet1G"/>
        <w:tabs>
          <w:tab w:val="clear" w:pos="1701"/>
        </w:tabs>
        <w:ind w:left="1843" w:hanging="142"/>
        <w:rPr>
          <w:noProof/>
          <w:lang w:val="fr-FR"/>
        </w:rPr>
      </w:pPr>
      <w:r>
        <w:rPr>
          <w:noProof/>
          <w:lang w:val="fr-FR"/>
        </w:rPr>
        <w:t>Obtenir les raisons des décisions qui les concernent</w:t>
      </w:r>
      <w:r w:rsidR="003D0F58" w:rsidRPr="00DD03D6">
        <w:rPr>
          <w:noProof/>
          <w:lang w:val="fr-FR"/>
        </w:rPr>
        <w:t>.</w:t>
      </w:r>
    </w:p>
    <w:p w:rsidR="003D0F58" w:rsidRPr="00DD03D6" w:rsidRDefault="00AF3427" w:rsidP="00C44D98">
      <w:pPr>
        <w:pStyle w:val="SingleTxtG"/>
        <w:numPr>
          <w:ilvl w:val="0"/>
          <w:numId w:val="3"/>
        </w:numPr>
        <w:ind w:left="1134" w:firstLine="0"/>
        <w:rPr>
          <w:noProof/>
          <w:lang w:val="fr-FR"/>
        </w:rPr>
      </w:pPr>
      <w:r>
        <w:rPr>
          <w:noProof/>
          <w:lang w:val="fr-FR"/>
        </w:rPr>
        <w:t>En vertu des lois sur la liberté d’i</w:t>
      </w:r>
      <w:r w:rsidR="003D0F58" w:rsidRPr="00DD03D6">
        <w:rPr>
          <w:noProof/>
          <w:lang w:val="fr-FR"/>
        </w:rPr>
        <w:t xml:space="preserve">nformation, </w:t>
      </w:r>
      <w:r>
        <w:rPr>
          <w:noProof/>
          <w:lang w:val="fr-FR"/>
        </w:rPr>
        <w:t>toute personne peut demander aux ministères et à divers organismes publics qu’ils lui comm</w:t>
      </w:r>
      <w:r w:rsidR="002135F8">
        <w:rPr>
          <w:noProof/>
          <w:lang w:val="fr-FR"/>
        </w:rPr>
        <w:t>uniquent les documents ci-après </w:t>
      </w:r>
      <w:r w:rsidR="003D0F58" w:rsidRPr="00DD03D6">
        <w:rPr>
          <w:noProof/>
          <w:lang w:val="fr-FR"/>
        </w:rPr>
        <w:t>:</w:t>
      </w:r>
    </w:p>
    <w:p w:rsidR="003D0F58" w:rsidRPr="00DD03D6" w:rsidRDefault="00AF3427" w:rsidP="002135F8">
      <w:pPr>
        <w:pStyle w:val="Bullet1G"/>
        <w:tabs>
          <w:tab w:val="clear" w:pos="1701"/>
        </w:tabs>
        <w:ind w:left="1843" w:hanging="142"/>
        <w:rPr>
          <w:noProof/>
          <w:lang w:val="fr-FR"/>
        </w:rPr>
      </w:pPr>
      <w:r>
        <w:rPr>
          <w:noProof/>
          <w:lang w:val="fr-FR"/>
        </w:rPr>
        <w:t>Documents concernant la personne en question, quelle que soit leur date de création</w:t>
      </w:r>
      <w:r w:rsidR="003D0F58" w:rsidRPr="00DD03D6">
        <w:rPr>
          <w:noProof/>
          <w:lang w:val="fr-FR"/>
        </w:rPr>
        <w:t>;</w:t>
      </w:r>
    </w:p>
    <w:p w:rsidR="003D0F58" w:rsidRPr="00DD03D6" w:rsidRDefault="00AF3427" w:rsidP="002135F8">
      <w:pPr>
        <w:pStyle w:val="Bullet1G"/>
        <w:tabs>
          <w:tab w:val="clear" w:pos="1701"/>
        </w:tabs>
        <w:ind w:left="1843" w:hanging="142"/>
        <w:rPr>
          <w:noProof/>
          <w:lang w:val="fr-FR"/>
        </w:rPr>
      </w:pPr>
      <w:r>
        <w:rPr>
          <w:noProof/>
          <w:lang w:val="fr-FR"/>
        </w:rPr>
        <w:t xml:space="preserve">Tous autres documents créés après le </w:t>
      </w:r>
      <w:r w:rsidR="003D0F58" w:rsidRPr="00DD03D6">
        <w:rPr>
          <w:noProof/>
          <w:lang w:val="fr-FR"/>
        </w:rPr>
        <w:t xml:space="preserve">21 </w:t>
      </w:r>
      <w:r>
        <w:rPr>
          <w:noProof/>
          <w:lang w:val="fr-FR"/>
        </w:rPr>
        <w:t>av</w:t>
      </w:r>
      <w:r w:rsidR="003D0F58" w:rsidRPr="00DD03D6">
        <w:rPr>
          <w:noProof/>
          <w:lang w:val="fr-FR"/>
        </w:rPr>
        <w:t>ril 1998.</w:t>
      </w:r>
    </w:p>
    <w:p w:rsidR="003D0F58" w:rsidRPr="00DD03D6" w:rsidRDefault="00654EEC" w:rsidP="003A2811">
      <w:pPr>
        <w:pStyle w:val="H1G"/>
        <w:rPr>
          <w:noProof/>
          <w:lang w:val="fr-FR"/>
        </w:rPr>
      </w:pPr>
      <w:bookmarkStart w:id="33" w:name="_Toc356430861"/>
      <w:r w:rsidRPr="00DD03D6">
        <w:rPr>
          <w:noProof/>
          <w:lang w:val="fr-FR"/>
        </w:rPr>
        <w:tab/>
      </w:r>
      <w:r w:rsidR="003D0F58" w:rsidRPr="00DD03D6">
        <w:rPr>
          <w:noProof/>
          <w:lang w:val="fr-FR"/>
        </w:rPr>
        <w:t>D.</w:t>
      </w:r>
      <w:r w:rsidR="003D0F58" w:rsidRPr="00DD03D6">
        <w:rPr>
          <w:noProof/>
          <w:lang w:val="fr-FR"/>
        </w:rPr>
        <w:tab/>
      </w:r>
      <w:r w:rsidR="00AF3427">
        <w:rPr>
          <w:noProof/>
          <w:lang w:val="fr-FR"/>
        </w:rPr>
        <w:t xml:space="preserve">Liberté de pensée, de </w:t>
      </w:r>
      <w:r w:rsidR="00AF3427" w:rsidRPr="00DD03D6">
        <w:rPr>
          <w:noProof/>
          <w:lang w:val="fr-FR"/>
        </w:rPr>
        <w:t>consci</w:t>
      </w:r>
      <w:r w:rsidR="00AF3427">
        <w:rPr>
          <w:noProof/>
          <w:lang w:val="fr-FR"/>
        </w:rPr>
        <w:t xml:space="preserve">ence et de </w:t>
      </w:r>
      <w:r w:rsidR="00AF3427" w:rsidRPr="00DD03D6">
        <w:rPr>
          <w:noProof/>
          <w:lang w:val="fr-FR"/>
        </w:rPr>
        <w:t>religion</w:t>
      </w:r>
      <w:r w:rsidR="003D0F58" w:rsidRPr="00DD03D6">
        <w:rPr>
          <w:noProof/>
          <w:lang w:val="fr-FR"/>
        </w:rPr>
        <w:t xml:space="preserve"> </w:t>
      </w:r>
      <w:bookmarkEnd w:id="33"/>
    </w:p>
    <w:p w:rsidR="003D0F58" w:rsidRPr="00DD03D6" w:rsidRDefault="001B64D5" w:rsidP="00C44D98">
      <w:pPr>
        <w:pStyle w:val="SingleTxtG"/>
        <w:numPr>
          <w:ilvl w:val="0"/>
          <w:numId w:val="3"/>
        </w:numPr>
        <w:ind w:left="1134" w:firstLine="0"/>
        <w:rPr>
          <w:noProof/>
          <w:lang w:val="fr-FR"/>
        </w:rPr>
      </w:pPr>
      <w:r>
        <w:rPr>
          <w:noProof/>
          <w:lang w:val="fr-FR"/>
        </w:rPr>
        <w:t xml:space="preserve">Le deuxième rapport périodique de l’Irlande décrit les dispositions constitutionnelles relatives à la liberté de pensée et de conscience, à la liberté de pratiquer une religion et au droit des </w:t>
      </w:r>
      <w:r w:rsidR="003D0F58" w:rsidRPr="00DD03D6">
        <w:rPr>
          <w:noProof/>
          <w:lang w:val="fr-FR"/>
        </w:rPr>
        <w:t xml:space="preserve">parents </w:t>
      </w:r>
      <w:r>
        <w:rPr>
          <w:noProof/>
          <w:lang w:val="fr-FR"/>
        </w:rPr>
        <w:t>de garantir l’éducation religieuse de leurs enfants</w:t>
      </w:r>
      <w:r w:rsidR="003D0F58" w:rsidRPr="00DD03D6">
        <w:rPr>
          <w:rStyle w:val="Appelnotedebasdep"/>
          <w:noProof/>
          <w:lang w:val="fr-FR"/>
        </w:rPr>
        <w:footnoteReference w:id="15"/>
      </w:r>
      <w:r>
        <w:rPr>
          <w:noProof/>
          <w:lang w:val="fr-FR"/>
        </w:rPr>
        <w:t>.</w:t>
      </w:r>
    </w:p>
    <w:p w:rsidR="003D0F58" w:rsidRPr="00DD03D6" w:rsidRDefault="00026BDD" w:rsidP="00654EEC">
      <w:pPr>
        <w:pStyle w:val="SingleTxtG"/>
        <w:numPr>
          <w:ilvl w:val="0"/>
          <w:numId w:val="3"/>
        </w:numPr>
        <w:ind w:left="1134" w:firstLine="0"/>
        <w:rPr>
          <w:noProof/>
          <w:lang w:val="fr-FR"/>
        </w:rPr>
      </w:pPr>
      <w:r>
        <w:rPr>
          <w:noProof/>
          <w:lang w:val="fr-FR"/>
        </w:rPr>
        <w:t xml:space="preserve">L’Irlande a signé mais n’a pas encore ratifié le </w:t>
      </w:r>
      <w:r w:rsidR="003D0F58" w:rsidRPr="00DD03D6">
        <w:rPr>
          <w:noProof/>
          <w:lang w:val="fr-FR"/>
        </w:rPr>
        <w:t>Protocol</w:t>
      </w:r>
      <w:r>
        <w:rPr>
          <w:noProof/>
          <w:lang w:val="fr-FR"/>
        </w:rPr>
        <w:t>e n</w:t>
      </w:r>
      <w:r w:rsidR="002135F8" w:rsidRPr="002135F8">
        <w:rPr>
          <w:noProof/>
          <w:vertAlign w:val="superscript"/>
          <w:lang w:val="fr-FR"/>
        </w:rPr>
        <w:t>o</w:t>
      </w:r>
      <w:r w:rsidR="002135F8">
        <w:rPr>
          <w:noProof/>
          <w:lang w:val="fr-FR"/>
        </w:rPr>
        <w:t> </w:t>
      </w:r>
      <w:r w:rsidR="003D0F58" w:rsidRPr="00DD03D6">
        <w:rPr>
          <w:noProof/>
          <w:lang w:val="fr-FR"/>
        </w:rPr>
        <w:t xml:space="preserve">12 </w:t>
      </w:r>
      <w:r>
        <w:rPr>
          <w:noProof/>
          <w:lang w:val="fr-FR"/>
        </w:rPr>
        <w:t>à la Convention européenne des droits de l’homme</w:t>
      </w:r>
      <w:r w:rsidR="003D0F58" w:rsidRPr="00DD03D6">
        <w:rPr>
          <w:noProof/>
          <w:lang w:val="fr-FR"/>
        </w:rPr>
        <w:t xml:space="preserve">. </w:t>
      </w:r>
      <w:r>
        <w:rPr>
          <w:noProof/>
          <w:lang w:val="fr-FR"/>
        </w:rPr>
        <w:t xml:space="preserve">Elle est en effet préoccupée par l’article premier de ce Protocole et par l’incertitude entourant l’étendue exacte des </w:t>
      </w:r>
      <w:r w:rsidR="003D0F58" w:rsidRPr="00DD03D6">
        <w:rPr>
          <w:noProof/>
          <w:lang w:val="fr-FR"/>
        </w:rPr>
        <w:t>obligations impos</w:t>
      </w:r>
      <w:r>
        <w:rPr>
          <w:noProof/>
          <w:lang w:val="fr-FR"/>
        </w:rPr>
        <w:t>é</w:t>
      </w:r>
      <w:r w:rsidR="003D0F58" w:rsidRPr="00DD03D6">
        <w:rPr>
          <w:noProof/>
          <w:lang w:val="fr-FR"/>
        </w:rPr>
        <w:t>e</w:t>
      </w:r>
      <w:r>
        <w:rPr>
          <w:noProof/>
          <w:lang w:val="fr-FR"/>
        </w:rPr>
        <w:t xml:space="preserve">s aux États </w:t>
      </w:r>
      <w:r w:rsidR="003D0F58" w:rsidRPr="00DD03D6">
        <w:rPr>
          <w:noProof/>
          <w:lang w:val="fr-FR"/>
        </w:rPr>
        <w:t xml:space="preserve">parties </w:t>
      </w:r>
      <w:r>
        <w:rPr>
          <w:noProof/>
          <w:lang w:val="fr-FR"/>
        </w:rPr>
        <w:t xml:space="preserve">par l’interdiction générale de la </w:t>
      </w:r>
      <w:r w:rsidR="003D0F58" w:rsidRPr="00DD03D6">
        <w:rPr>
          <w:noProof/>
          <w:lang w:val="fr-FR"/>
        </w:rPr>
        <w:t xml:space="preserve">discrimination. </w:t>
      </w:r>
      <w:r>
        <w:rPr>
          <w:noProof/>
          <w:lang w:val="fr-FR"/>
        </w:rPr>
        <w:t>Le Ministère de la j</w:t>
      </w:r>
      <w:r w:rsidR="003D0F58" w:rsidRPr="00DD03D6">
        <w:rPr>
          <w:noProof/>
          <w:lang w:val="fr-FR"/>
        </w:rPr>
        <w:t xml:space="preserve">ustice </w:t>
      </w:r>
      <w:r>
        <w:rPr>
          <w:noProof/>
          <w:lang w:val="fr-FR"/>
        </w:rPr>
        <w:t xml:space="preserve">et de l’égalité maintient à l’étude la question de la </w:t>
      </w:r>
      <w:r w:rsidR="003D0F58" w:rsidRPr="00DD03D6">
        <w:rPr>
          <w:noProof/>
          <w:lang w:val="fr-FR"/>
        </w:rPr>
        <w:t xml:space="preserve">ratification </w:t>
      </w:r>
      <w:r>
        <w:rPr>
          <w:noProof/>
          <w:lang w:val="fr-FR"/>
        </w:rPr>
        <w:t xml:space="preserve">de ce </w:t>
      </w:r>
      <w:r w:rsidR="003D0F58" w:rsidRPr="00DD03D6">
        <w:rPr>
          <w:noProof/>
          <w:lang w:val="fr-FR"/>
        </w:rPr>
        <w:t>Protocol</w:t>
      </w:r>
      <w:r>
        <w:rPr>
          <w:noProof/>
          <w:lang w:val="fr-FR"/>
        </w:rPr>
        <w:t>e</w:t>
      </w:r>
      <w:r w:rsidR="003D0F58" w:rsidRPr="00DD03D6">
        <w:rPr>
          <w:noProof/>
          <w:lang w:val="fr-FR"/>
        </w:rPr>
        <w:t xml:space="preserve"> </w:t>
      </w:r>
      <w:r>
        <w:rPr>
          <w:noProof/>
          <w:lang w:val="fr-FR"/>
        </w:rPr>
        <w:t>et l’</w:t>
      </w:r>
      <w:r w:rsidR="003D0F58" w:rsidRPr="00DD03D6">
        <w:rPr>
          <w:noProof/>
          <w:lang w:val="fr-FR"/>
        </w:rPr>
        <w:t>interpr</w:t>
      </w:r>
      <w:r>
        <w:rPr>
          <w:noProof/>
          <w:lang w:val="fr-FR"/>
        </w:rPr>
        <w:t>é</w:t>
      </w:r>
      <w:r w:rsidR="003D0F58" w:rsidRPr="00DD03D6">
        <w:rPr>
          <w:noProof/>
          <w:lang w:val="fr-FR"/>
        </w:rPr>
        <w:t xml:space="preserve">tation </w:t>
      </w:r>
      <w:r>
        <w:rPr>
          <w:noProof/>
          <w:lang w:val="fr-FR"/>
        </w:rPr>
        <w:t>de son article premier par la Cour européenne des droits de l’homme</w:t>
      </w:r>
      <w:r w:rsidR="003D0F58" w:rsidRPr="00DD03D6">
        <w:rPr>
          <w:noProof/>
          <w:lang w:val="fr-FR"/>
        </w:rPr>
        <w:t>.</w:t>
      </w:r>
    </w:p>
    <w:p w:rsidR="003D0F58" w:rsidRPr="00DD03D6" w:rsidRDefault="007C153A" w:rsidP="006F6240">
      <w:pPr>
        <w:pStyle w:val="SingleTxtG"/>
        <w:numPr>
          <w:ilvl w:val="0"/>
          <w:numId w:val="3"/>
        </w:numPr>
        <w:ind w:left="1134" w:firstLine="0"/>
        <w:rPr>
          <w:noProof/>
          <w:lang w:val="fr-FR"/>
        </w:rPr>
      </w:pPr>
      <w:r>
        <w:rPr>
          <w:noProof/>
          <w:lang w:val="fr-FR"/>
        </w:rPr>
        <w:lastRenderedPageBreak/>
        <w:t>Le deuxième rapport périodique de l’Irlande a donné des informations sur les dispositions applicables à l’instruction religieuse à l’école</w:t>
      </w:r>
      <w:r w:rsidR="003D0F58" w:rsidRPr="00DD03D6">
        <w:rPr>
          <w:rStyle w:val="Appelnotedebasdep"/>
          <w:noProof/>
          <w:lang w:val="fr-FR"/>
        </w:rPr>
        <w:footnoteReference w:id="16"/>
      </w:r>
      <w:r>
        <w:rPr>
          <w:noProof/>
          <w:lang w:val="fr-FR"/>
        </w:rPr>
        <w:t>.</w:t>
      </w:r>
    </w:p>
    <w:p w:rsidR="003D0F58" w:rsidRPr="00DD03D6" w:rsidRDefault="007C153A" w:rsidP="00654EEC">
      <w:pPr>
        <w:pStyle w:val="SingleTxtG"/>
        <w:numPr>
          <w:ilvl w:val="0"/>
          <w:numId w:val="3"/>
        </w:numPr>
        <w:ind w:left="1134" w:firstLine="0"/>
        <w:rPr>
          <w:noProof/>
          <w:lang w:val="fr-FR"/>
        </w:rPr>
      </w:pPr>
      <w:r>
        <w:rPr>
          <w:noProof/>
          <w:lang w:val="fr-FR"/>
        </w:rPr>
        <w:t>E</w:t>
      </w:r>
      <w:r w:rsidR="003D0F58" w:rsidRPr="00DD03D6">
        <w:rPr>
          <w:noProof/>
          <w:lang w:val="fr-FR"/>
        </w:rPr>
        <w:t xml:space="preserve">n 2011, </w:t>
      </w:r>
      <w:r>
        <w:rPr>
          <w:noProof/>
          <w:lang w:val="fr-FR"/>
        </w:rPr>
        <w:t>le Ministre de l’é</w:t>
      </w:r>
      <w:r w:rsidR="003D0F58" w:rsidRPr="00DD03D6">
        <w:rPr>
          <w:noProof/>
          <w:lang w:val="fr-FR"/>
        </w:rPr>
        <w:t xml:space="preserve">ducation </w:t>
      </w:r>
      <w:r>
        <w:rPr>
          <w:noProof/>
          <w:lang w:val="fr-FR"/>
        </w:rPr>
        <w:t xml:space="preserve">et de la formation a annoncé la création du </w:t>
      </w:r>
      <w:r w:rsidRPr="00DD03D6">
        <w:rPr>
          <w:noProof/>
          <w:lang w:val="fr-FR"/>
        </w:rPr>
        <w:t xml:space="preserve">Forum </w:t>
      </w:r>
      <w:r>
        <w:rPr>
          <w:noProof/>
          <w:lang w:val="fr-FR"/>
        </w:rPr>
        <w:t>sur le parrainage et le p</w:t>
      </w:r>
      <w:r w:rsidRPr="00DD03D6">
        <w:rPr>
          <w:noProof/>
          <w:lang w:val="fr-FR"/>
        </w:rPr>
        <w:t>luralism</w:t>
      </w:r>
      <w:r>
        <w:rPr>
          <w:noProof/>
          <w:lang w:val="fr-FR"/>
        </w:rPr>
        <w:t xml:space="preserve">e dans </w:t>
      </w:r>
      <w:r w:rsidR="001A19D8">
        <w:rPr>
          <w:noProof/>
          <w:lang w:val="fr-FR"/>
        </w:rPr>
        <w:t xml:space="preserve">le secteur </w:t>
      </w:r>
      <w:r>
        <w:rPr>
          <w:noProof/>
          <w:lang w:val="fr-FR"/>
        </w:rPr>
        <w:t xml:space="preserve">primaire et nommé </w:t>
      </w:r>
      <w:r w:rsidR="001A19D8">
        <w:rPr>
          <w:noProof/>
          <w:lang w:val="fr-FR"/>
        </w:rPr>
        <w:t>un</w:t>
      </w:r>
      <w:r>
        <w:rPr>
          <w:noProof/>
          <w:lang w:val="fr-FR"/>
        </w:rPr>
        <w:t xml:space="preserve"> </w:t>
      </w:r>
      <w:r w:rsidR="001A19D8">
        <w:rPr>
          <w:noProof/>
          <w:lang w:val="fr-FR"/>
        </w:rPr>
        <w:t>G</w:t>
      </w:r>
      <w:r>
        <w:rPr>
          <w:noProof/>
          <w:lang w:val="fr-FR"/>
        </w:rPr>
        <w:t xml:space="preserve">roupe consultatif indépendant chargé de donner au Ministre des avis sur les décisions à prendre sur les </w:t>
      </w:r>
      <w:r w:rsidR="00DA5562">
        <w:rPr>
          <w:noProof/>
          <w:lang w:val="fr-FR"/>
        </w:rPr>
        <w:t>point</w:t>
      </w:r>
      <w:r>
        <w:rPr>
          <w:noProof/>
          <w:lang w:val="fr-FR"/>
        </w:rPr>
        <w:t xml:space="preserve">s ci-après </w:t>
      </w:r>
      <w:r w:rsidR="003D0F58" w:rsidRPr="00DD03D6">
        <w:rPr>
          <w:noProof/>
          <w:lang w:val="fr-FR"/>
        </w:rPr>
        <w:t>:</w:t>
      </w:r>
    </w:p>
    <w:p w:rsidR="003D0F58" w:rsidRPr="00DD03D6" w:rsidRDefault="00DA5562" w:rsidP="002135F8">
      <w:pPr>
        <w:pStyle w:val="Bullet1G"/>
        <w:tabs>
          <w:tab w:val="clear" w:pos="1701"/>
        </w:tabs>
        <w:ind w:left="1843" w:hanging="142"/>
        <w:rPr>
          <w:noProof/>
          <w:lang w:val="fr-FR"/>
        </w:rPr>
      </w:pPr>
      <w:r>
        <w:rPr>
          <w:lang w:val="fr-CH"/>
        </w:rPr>
        <w:t>Comment peut-on faire en sorte que le système éducatif propose un éventail suffisamment diversifié d’établissements primaires et que ceux-ci soient suffisamment nombreux pour accueillir les enfants de toutes confessions e</w:t>
      </w:r>
      <w:r w:rsidR="00E92D3C">
        <w:rPr>
          <w:lang w:val="fr-CH"/>
        </w:rPr>
        <w:t>t ceux qui ne sont pas croyants</w:t>
      </w:r>
      <w:r>
        <w:rPr>
          <w:lang w:val="fr-CH"/>
        </w:rPr>
        <w:t>?</w:t>
      </w:r>
      <w:r w:rsidR="00E92D3C">
        <w:rPr>
          <w:noProof/>
          <w:lang w:val="fr-FR"/>
        </w:rPr>
        <w:t xml:space="preserve"> </w:t>
      </w:r>
    </w:p>
    <w:p w:rsidR="003D0F58" w:rsidRPr="00DD03D6" w:rsidRDefault="00DA5562" w:rsidP="002135F8">
      <w:pPr>
        <w:pStyle w:val="Bullet1G"/>
        <w:tabs>
          <w:tab w:val="clear" w:pos="1701"/>
        </w:tabs>
        <w:ind w:left="1843" w:hanging="142"/>
        <w:rPr>
          <w:noProof/>
          <w:lang w:val="fr-FR"/>
        </w:rPr>
      </w:pPr>
      <w:r>
        <w:rPr>
          <w:lang w:val="fr-CH"/>
        </w:rPr>
        <w:t>Comment adapter les aspects pratiques du transfert de parrainage aux établissements primaires des secteurs où un tel transf</w:t>
      </w:r>
      <w:r w:rsidR="00E92D3C">
        <w:rPr>
          <w:lang w:val="fr-CH"/>
        </w:rPr>
        <w:t>ert est approprié et nécessaire</w:t>
      </w:r>
      <w:r>
        <w:rPr>
          <w:lang w:val="fr-CH"/>
        </w:rPr>
        <w:t>?</w:t>
      </w:r>
    </w:p>
    <w:p w:rsidR="003D0F58" w:rsidRPr="00DD03D6" w:rsidRDefault="00DA5562" w:rsidP="002135F8">
      <w:pPr>
        <w:pStyle w:val="Bullet1G"/>
        <w:tabs>
          <w:tab w:val="clear" w:pos="1701"/>
        </w:tabs>
        <w:ind w:left="1843" w:hanging="142"/>
        <w:rPr>
          <w:noProof/>
          <w:lang w:val="fr-FR"/>
        </w:rPr>
      </w:pPr>
      <w:r w:rsidRPr="002135F8">
        <w:rPr>
          <w:noProof/>
          <w:lang w:val="fr-FR"/>
        </w:rPr>
        <w:t>De</w:t>
      </w:r>
      <w:r>
        <w:rPr>
          <w:lang w:val="fr-CH"/>
        </w:rPr>
        <w:t xml:space="preserve"> quelle manière le transfert peut-il être réalisé de sorte que les demandes de diversification des parrainages (notamment dans une perspective d’enseignement en langue irlandaise) puissent être recensées et qu’il soit possible d’y satisfaire le plus largement possible à l’échelle nationale</w:t>
      </w:r>
      <w:r>
        <w:rPr>
          <w:noProof/>
          <w:lang w:val="fr-FR"/>
        </w:rPr>
        <w:t>?</w:t>
      </w:r>
    </w:p>
    <w:p w:rsidR="003D0F58" w:rsidRPr="00DD03D6" w:rsidRDefault="00DA5562" w:rsidP="006F6240">
      <w:pPr>
        <w:pStyle w:val="SingleTxtG"/>
        <w:numPr>
          <w:ilvl w:val="0"/>
          <w:numId w:val="3"/>
        </w:numPr>
        <w:ind w:left="1134" w:firstLine="0"/>
        <w:rPr>
          <w:noProof/>
          <w:lang w:val="fr-FR"/>
        </w:rPr>
      </w:pPr>
      <w:r>
        <w:rPr>
          <w:lang w:val="fr-CH"/>
        </w:rPr>
        <w:t>Le Groupe consultatif a adopté une approche multidimensionnelle dans le cadre de ses travaux. Il a consulté les principa</w:t>
      </w:r>
      <w:r w:rsidR="00507CB2">
        <w:rPr>
          <w:lang w:val="fr-CH"/>
        </w:rPr>
        <w:t>ux</w:t>
      </w:r>
      <w:r>
        <w:rPr>
          <w:lang w:val="fr-CH"/>
        </w:rPr>
        <w:t xml:space="preserve"> </w:t>
      </w:r>
      <w:r w:rsidR="00E83488">
        <w:rPr>
          <w:lang w:val="fr-CH"/>
        </w:rPr>
        <w:t>acteurs</w:t>
      </w:r>
      <w:r>
        <w:rPr>
          <w:lang w:val="fr-CH"/>
        </w:rPr>
        <w:t xml:space="preserve"> ainsi que les jeunes</w:t>
      </w:r>
      <w:r>
        <w:rPr>
          <w:noProof/>
          <w:lang w:val="fr-FR"/>
        </w:rPr>
        <w:t xml:space="preserve">. Son rapport, publié par le Ministre de l’éducation et de la formation en avril 2012, recommande </w:t>
      </w:r>
      <w:r>
        <w:rPr>
          <w:lang w:val="fr-CH"/>
        </w:rPr>
        <w:t xml:space="preserve">de faire en sorte que la diversité soit accrue, mais sur la base des établissements scolaires existants dans les zones où la population est stable </w:t>
      </w:r>
      <w:r w:rsidRPr="00DD03D6">
        <w:rPr>
          <w:noProof/>
          <w:lang w:val="fr-FR"/>
        </w:rPr>
        <w:t xml:space="preserve">(Coolahan </w:t>
      </w:r>
      <w:r w:rsidRPr="00F57F14">
        <w:rPr>
          <w:i/>
          <w:noProof/>
          <w:lang w:val="fr-FR"/>
        </w:rPr>
        <w:t>et al.</w:t>
      </w:r>
      <w:r w:rsidRPr="00DD03D6">
        <w:rPr>
          <w:noProof/>
          <w:lang w:val="fr-FR"/>
        </w:rPr>
        <w:t>, 2012).</w:t>
      </w:r>
      <w:r>
        <w:rPr>
          <w:lang w:val="fr-CH"/>
        </w:rPr>
        <w:t xml:space="preserve"> Dans les endroits où il existe un groupe d’établissements confessionnels et où les parents demandent un transfert de parrainage dans certains établissements, le rapport recommande que ce transfert s’effectue avec l’assistance du Ministère</w:t>
      </w:r>
      <w:r w:rsidR="003D0F58" w:rsidRPr="00DD03D6">
        <w:rPr>
          <w:noProof/>
          <w:lang w:val="fr-FR"/>
        </w:rPr>
        <w:t xml:space="preserve">. </w:t>
      </w:r>
      <w:r>
        <w:rPr>
          <w:lang w:val="fr-CH"/>
        </w:rPr>
        <w:t>Le Groupe consultatif est d’avis que la modification de parrain</w:t>
      </w:r>
      <w:r w:rsidR="0029618C">
        <w:rPr>
          <w:lang w:val="fr-CH"/>
        </w:rPr>
        <w:t>age devrait se faire par</w:t>
      </w:r>
      <w:r w:rsidR="00507CB2">
        <w:rPr>
          <w:lang w:val="fr-CH"/>
        </w:rPr>
        <w:t xml:space="preserve"> paliers</w:t>
      </w:r>
      <w:r>
        <w:rPr>
          <w:lang w:val="fr-CH"/>
        </w:rPr>
        <w:t xml:space="preserve"> et en s’appuyant sur les vœux exprimés par les parents pour déterminer quels établissements inclure dans ce processus</w:t>
      </w:r>
      <w:r w:rsidR="003D0F58" w:rsidRPr="00DD03D6">
        <w:rPr>
          <w:noProof/>
          <w:lang w:val="fr-FR"/>
        </w:rPr>
        <w:t xml:space="preserve">. </w:t>
      </w:r>
      <w:r w:rsidR="009B4021">
        <w:rPr>
          <w:noProof/>
          <w:lang w:val="fr-FR"/>
        </w:rPr>
        <w:t>E</w:t>
      </w:r>
      <w:r w:rsidR="003D0F58" w:rsidRPr="00DD03D6">
        <w:rPr>
          <w:noProof/>
          <w:lang w:val="fr-FR"/>
        </w:rPr>
        <w:t xml:space="preserve">n </w:t>
      </w:r>
      <w:r w:rsidR="009B4021">
        <w:rPr>
          <w:noProof/>
          <w:lang w:val="fr-FR"/>
        </w:rPr>
        <w:t xml:space="preserve">juin </w:t>
      </w:r>
      <w:r w:rsidR="003D0F58" w:rsidRPr="00DD03D6">
        <w:rPr>
          <w:noProof/>
          <w:lang w:val="fr-FR"/>
        </w:rPr>
        <w:t xml:space="preserve">2012, </w:t>
      </w:r>
      <w:r w:rsidR="009B4021">
        <w:rPr>
          <w:noProof/>
          <w:lang w:val="fr-FR"/>
        </w:rPr>
        <w:t>le Ministre a présenté son plan d’action élaboré pour donner suite aux recomm</w:t>
      </w:r>
      <w:r w:rsidR="003D0F58" w:rsidRPr="00DD03D6">
        <w:rPr>
          <w:noProof/>
          <w:lang w:val="fr-FR"/>
        </w:rPr>
        <w:t>an</w:t>
      </w:r>
      <w:r w:rsidR="009B4021">
        <w:rPr>
          <w:noProof/>
          <w:lang w:val="fr-FR"/>
        </w:rPr>
        <w:t>dations du rapport et l’exécution de ce plan suit son cours</w:t>
      </w:r>
      <w:r w:rsidR="003D0F58" w:rsidRPr="00DD03D6">
        <w:rPr>
          <w:noProof/>
          <w:lang w:val="fr-FR"/>
        </w:rPr>
        <w:t xml:space="preserve">. </w:t>
      </w:r>
      <w:r w:rsidR="009B4021">
        <w:rPr>
          <w:noProof/>
          <w:lang w:val="fr-FR"/>
        </w:rPr>
        <w:t xml:space="preserve">Sur la base de ces </w:t>
      </w:r>
      <w:r w:rsidR="003D0F58" w:rsidRPr="00DD03D6">
        <w:rPr>
          <w:noProof/>
          <w:lang w:val="fr-FR"/>
        </w:rPr>
        <w:t>recomm</w:t>
      </w:r>
      <w:r w:rsidR="009B4021">
        <w:rPr>
          <w:noProof/>
          <w:lang w:val="fr-FR"/>
        </w:rPr>
        <w:t>a</w:t>
      </w:r>
      <w:r w:rsidR="003D0F58" w:rsidRPr="00DD03D6">
        <w:rPr>
          <w:noProof/>
          <w:lang w:val="fr-FR"/>
        </w:rPr>
        <w:t xml:space="preserve">ndations, </w:t>
      </w:r>
      <w:r w:rsidR="009B4021">
        <w:rPr>
          <w:noProof/>
          <w:lang w:val="fr-FR"/>
        </w:rPr>
        <w:t xml:space="preserve">des enquêtes ont été menées auprès des </w:t>
      </w:r>
      <w:r w:rsidR="003D0F58" w:rsidRPr="00DD03D6">
        <w:rPr>
          <w:noProof/>
          <w:lang w:val="fr-FR"/>
        </w:rPr>
        <w:t xml:space="preserve">parents </w:t>
      </w:r>
      <w:r w:rsidR="009B4021">
        <w:rPr>
          <w:noProof/>
          <w:lang w:val="fr-FR"/>
        </w:rPr>
        <w:t xml:space="preserve">dans </w:t>
      </w:r>
      <w:r w:rsidR="003D0F58" w:rsidRPr="00DD03D6">
        <w:rPr>
          <w:noProof/>
          <w:lang w:val="fr-FR"/>
        </w:rPr>
        <w:t xml:space="preserve">44 </w:t>
      </w:r>
      <w:r w:rsidR="009B4021">
        <w:rPr>
          <w:noProof/>
          <w:lang w:val="fr-FR"/>
        </w:rPr>
        <w:t>secteurs entre o</w:t>
      </w:r>
      <w:r w:rsidR="003D0F58" w:rsidRPr="00DD03D6">
        <w:rPr>
          <w:noProof/>
          <w:lang w:val="fr-FR"/>
        </w:rPr>
        <w:t>ctob</w:t>
      </w:r>
      <w:r w:rsidR="009B4021">
        <w:rPr>
          <w:noProof/>
          <w:lang w:val="fr-FR"/>
        </w:rPr>
        <w:t>re</w:t>
      </w:r>
      <w:r w:rsidR="003D0F58" w:rsidRPr="00DD03D6">
        <w:rPr>
          <w:noProof/>
          <w:lang w:val="fr-FR"/>
        </w:rPr>
        <w:t xml:space="preserve"> 2012 </w:t>
      </w:r>
      <w:r w:rsidR="009B4021">
        <w:rPr>
          <w:noProof/>
          <w:lang w:val="fr-FR"/>
        </w:rPr>
        <w:t xml:space="preserve">et février </w:t>
      </w:r>
      <w:r w:rsidR="003D0F58" w:rsidRPr="00DD03D6">
        <w:rPr>
          <w:noProof/>
          <w:lang w:val="fr-FR"/>
        </w:rPr>
        <w:t xml:space="preserve">2013. </w:t>
      </w:r>
      <w:r w:rsidR="009B4021">
        <w:rPr>
          <w:noProof/>
          <w:lang w:val="fr-FR"/>
        </w:rPr>
        <w:t xml:space="preserve">Une campagne d’information a fait connaître aux parents les </w:t>
      </w:r>
      <w:r w:rsidR="003D0F58" w:rsidRPr="00DD03D6">
        <w:rPr>
          <w:noProof/>
          <w:lang w:val="fr-FR"/>
        </w:rPr>
        <w:t>diff</w:t>
      </w:r>
      <w:r w:rsidR="009B4021">
        <w:rPr>
          <w:noProof/>
          <w:lang w:val="fr-FR"/>
        </w:rPr>
        <w:t>é</w:t>
      </w:r>
      <w:r w:rsidR="003D0F58" w:rsidRPr="00DD03D6">
        <w:rPr>
          <w:noProof/>
          <w:lang w:val="fr-FR"/>
        </w:rPr>
        <w:t xml:space="preserve">rent types </w:t>
      </w:r>
      <w:r w:rsidR="009B4021">
        <w:rPr>
          <w:noProof/>
          <w:lang w:val="fr-FR"/>
        </w:rPr>
        <w:t xml:space="preserve">d’écoles et d’organismes confessionnels éventuels </w:t>
      </w:r>
      <w:r w:rsidR="0025631F">
        <w:rPr>
          <w:noProof/>
          <w:lang w:val="fr-FR"/>
        </w:rPr>
        <w:t>et un service d’assistance téléphonique a été mis en place pour répondre aux demandes de renseignements</w:t>
      </w:r>
      <w:r w:rsidR="003D0F58" w:rsidRPr="00DD03D6">
        <w:rPr>
          <w:noProof/>
          <w:lang w:val="fr-FR"/>
        </w:rPr>
        <w:t xml:space="preserve">. </w:t>
      </w:r>
      <w:r w:rsidR="0025631F">
        <w:rPr>
          <w:noProof/>
          <w:lang w:val="fr-FR"/>
        </w:rPr>
        <w:t>Une analyse détaillée des résultats de l’enquête est en cours.</w:t>
      </w:r>
      <w:r w:rsidR="003D0F58" w:rsidRPr="00DD03D6">
        <w:rPr>
          <w:noProof/>
          <w:lang w:val="fr-FR"/>
        </w:rPr>
        <w:t xml:space="preserve"> </w:t>
      </w:r>
      <w:r w:rsidR="0025631F">
        <w:rPr>
          <w:noProof/>
          <w:lang w:val="fr-FR"/>
        </w:rPr>
        <w:t>E</w:t>
      </w:r>
      <w:r w:rsidR="003D0F58" w:rsidRPr="00DD03D6">
        <w:rPr>
          <w:noProof/>
          <w:lang w:val="fr-FR"/>
        </w:rPr>
        <w:t xml:space="preserve">n </w:t>
      </w:r>
      <w:r w:rsidR="0025631F">
        <w:rPr>
          <w:noProof/>
          <w:lang w:val="fr-FR"/>
        </w:rPr>
        <w:t>outre, il est prévu de lancer un appel public à la soumission de commentaires sur les moyens de promouvoir une plus grande ouverture dans les écoles primaires et, à cette occasion, une brochure d’</w:t>
      </w:r>
      <w:r w:rsidR="003D0F58" w:rsidRPr="00DD03D6">
        <w:rPr>
          <w:noProof/>
          <w:lang w:val="fr-FR"/>
        </w:rPr>
        <w:t xml:space="preserve">information </w:t>
      </w:r>
      <w:r w:rsidR="0025631F">
        <w:rPr>
          <w:noProof/>
          <w:lang w:val="fr-FR"/>
        </w:rPr>
        <w:t>élaboré</w:t>
      </w:r>
      <w:r w:rsidR="0029618C">
        <w:rPr>
          <w:noProof/>
          <w:lang w:val="fr-FR"/>
        </w:rPr>
        <w:t>e</w:t>
      </w:r>
      <w:r w:rsidR="0025631F">
        <w:rPr>
          <w:noProof/>
          <w:lang w:val="fr-FR"/>
        </w:rPr>
        <w:t xml:space="preserve"> avec le concours du Conseil national des parents (enseignement primaire) sera mise à la disposition des </w:t>
      </w:r>
      <w:r w:rsidR="003D0F58" w:rsidRPr="00DD03D6">
        <w:rPr>
          <w:noProof/>
          <w:lang w:val="fr-FR"/>
        </w:rPr>
        <w:t xml:space="preserve">parents. </w:t>
      </w:r>
      <w:r w:rsidR="00107487">
        <w:rPr>
          <w:noProof/>
          <w:lang w:val="fr-FR"/>
        </w:rPr>
        <w:t xml:space="preserve">Les résultats de cette </w:t>
      </w:r>
      <w:r w:rsidR="003D0F58" w:rsidRPr="00DD03D6">
        <w:rPr>
          <w:noProof/>
          <w:lang w:val="fr-FR"/>
        </w:rPr>
        <w:t xml:space="preserve">consultation </w:t>
      </w:r>
      <w:r w:rsidR="00107487">
        <w:rPr>
          <w:noProof/>
          <w:lang w:val="fr-FR"/>
        </w:rPr>
        <w:t>et les conclusions et recomma</w:t>
      </w:r>
      <w:r w:rsidR="003D0F58" w:rsidRPr="00DD03D6">
        <w:rPr>
          <w:noProof/>
          <w:lang w:val="fr-FR"/>
        </w:rPr>
        <w:t xml:space="preserve">ndations </w:t>
      </w:r>
      <w:r w:rsidR="00107487">
        <w:rPr>
          <w:noProof/>
          <w:lang w:val="fr-FR"/>
        </w:rPr>
        <w:t>du Groupe consultatif concernant l’ouverture seront pris en compte lors de l’élaboration d’un Livre blanc</w:t>
      </w:r>
      <w:r w:rsidR="003D0F58" w:rsidRPr="00DD03D6">
        <w:rPr>
          <w:noProof/>
          <w:lang w:val="fr-FR"/>
        </w:rPr>
        <w:t>.</w:t>
      </w:r>
    </w:p>
    <w:p w:rsidR="003D0F58" w:rsidRPr="00DD03D6" w:rsidRDefault="00654EEC" w:rsidP="00654EEC">
      <w:pPr>
        <w:pStyle w:val="H1G"/>
        <w:rPr>
          <w:noProof/>
          <w:lang w:val="fr-FR"/>
        </w:rPr>
      </w:pPr>
      <w:bookmarkStart w:id="34" w:name="_Toc356430862"/>
      <w:r w:rsidRPr="00DD03D6">
        <w:rPr>
          <w:noProof/>
          <w:lang w:val="fr-FR"/>
        </w:rPr>
        <w:tab/>
      </w:r>
      <w:r w:rsidR="003D0F58" w:rsidRPr="00DD03D6">
        <w:rPr>
          <w:noProof/>
          <w:lang w:val="fr-FR"/>
        </w:rPr>
        <w:t>E.</w:t>
      </w:r>
      <w:r w:rsidR="003D0F58" w:rsidRPr="00DD03D6">
        <w:rPr>
          <w:noProof/>
          <w:lang w:val="fr-FR"/>
        </w:rPr>
        <w:tab/>
      </w:r>
      <w:r w:rsidR="0029618C">
        <w:rPr>
          <w:noProof/>
          <w:lang w:val="fr-FR"/>
        </w:rPr>
        <w:t>Liberté d’</w:t>
      </w:r>
      <w:r w:rsidR="0029618C" w:rsidRPr="00DD03D6">
        <w:rPr>
          <w:noProof/>
          <w:lang w:val="fr-FR"/>
        </w:rPr>
        <w:t xml:space="preserve">association </w:t>
      </w:r>
      <w:r w:rsidR="0029618C">
        <w:rPr>
          <w:noProof/>
          <w:lang w:val="fr-FR"/>
        </w:rPr>
        <w:t>et liberté de réunion pacifique</w:t>
      </w:r>
      <w:r w:rsidR="0029618C" w:rsidRPr="00DD03D6">
        <w:rPr>
          <w:noProof/>
          <w:lang w:val="fr-FR"/>
        </w:rPr>
        <w:t xml:space="preserve"> </w:t>
      </w:r>
      <w:bookmarkEnd w:id="34"/>
    </w:p>
    <w:p w:rsidR="003D0F58" w:rsidRPr="00DD03D6" w:rsidRDefault="002E55E3" w:rsidP="00654EEC">
      <w:pPr>
        <w:pStyle w:val="SingleTxtG"/>
        <w:numPr>
          <w:ilvl w:val="0"/>
          <w:numId w:val="3"/>
        </w:numPr>
        <w:ind w:left="1134" w:firstLine="0"/>
        <w:rPr>
          <w:noProof/>
          <w:lang w:val="fr-FR"/>
        </w:rPr>
      </w:pPr>
      <w:r>
        <w:rPr>
          <w:noProof/>
          <w:lang w:val="fr-FR"/>
        </w:rPr>
        <w:t>L’a</w:t>
      </w:r>
      <w:r w:rsidR="00796A7C" w:rsidRPr="00DD03D6">
        <w:rPr>
          <w:noProof/>
          <w:lang w:val="fr-FR"/>
        </w:rPr>
        <w:t>rticle </w:t>
      </w:r>
      <w:r w:rsidR="003D0F58" w:rsidRPr="00DD03D6">
        <w:rPr>
          <w:noProof/>
          <w:lang w:val="fr-FR"/>
        </w:rPr>
        <w:t xml:space="preserve">40.6.1 </w:t>
      </w:r>
      <w:r>
        <w:rPr>
          <w:noProof/>
          <w:lang w:val="fr-FR"/>
        </w:rPr>
        <w:t xml:space="preserve">de </w:t>
      </w:r>
      <w:r w:rsidR="00507CB2">
        <w:rPr>
          <w:noProof/>
          <w:lang w:val="fr-FR"/>
        </w:rPr>
        <w:t>la</w:t>
      </w:r>
      <w:r w:rsidR="003D0F58" w:rsidRPr="00DD03D6">
        <w:rPr>
          <w:noProof/>
          <w:lang w:val="fr-FR"/>
        </w:rPr>
        <w:t xml:space="preserve"> Constitution garant</w:t>
      </w:r>
      <w:r>
        <w:rPr>
          <w:noProof/>
          <w:lang w:val="fr-FR"/>
        </w:rPr>
        <w:t xml:space="preserve">it le droit de tous les citoyens, </w:t>
      </w:r>
      <w:r w:rsidRPr="002E55E3">
        <w:rPr>
          <w:noProof/>
          <w:color w:val="000000"/>
          <w:lang w:val="fr-FR"/>
        </w:rPr>
        <w:t xml:space="preserve">sous réserve de restrictions </w:t>
      </w:r>
      <w:r>
        <w:rPr>
          <w:noProof/>
          <w:color w:val="000000"/>
          <w:lang w:val="fr-FR"/>
        </w:rPr>
        <w:t xml:space="preserve">imposées </w:t>
      </w:r>
      <w:r w:rsidRPr="002E55E3">
        <w:rPr>
          <w:noProof/>
          <w:color w:val="000000"/>
          <w:lang w:val="fr-FR"/>
        </w:rPr>
        <w:t>dans l’intérêt de l’ordre public et de la moralité</w:t>
      </w:r>
      <w:r>
        <w:rPr>
          <w:noProof/>
          <w:color w:val="000000"/>
          <w:lang w:val="fr-FR"/>
        </w:rPr>
        <w:t>, de</w:t>
      </w:r>
      <w:r w:rsidRPr="002E55E3">
        <w:rPr>
          <w:noProof/>
          <w:color w:val="000000"/>
          <w:lang w:val="fr-FR"/>
        </w:rPr>
        <w:t xml:space="preserve"> former des associations et des syndicats </w:t>
      </w:r>
      <w:r>
        <w:rPr>
          <w:noProof/>
          <w:color w:val="000000"/>
          <w:lang w:val="fr-FR"/>
        </w:rPr>
        <w:t xml:space="preserve">et </w:t>
      </w:r>
      <w:r w:rsidRPr="002E55E3">
        <w:rPr>
          <w:noProof/>
          <w:color w:val="000000"/>
          <w:lang w:val="fr-FR"/>
        </w:rPr>
        <w:t xml:space="preserve">de </w:t>
      </w:r>
      <w:r>
        <w:rPr>
          <w:noProof/>
          <w:color w:val="000000"/>
          <w:lang w:val="fr-FR"/>
        </w:rPr>
        <w:t xml:space="preserve">se </w:t>
      </w:r>
      <w:r w:rsidRPr="002E55E3">
        <w:rPr>
          <w:noProof/>
          <w:color w:val="000000"/>
          <w:lang w:val="fr-FR"/>
        </w:rPr>
        <w:t>réuni</w:t>
      </w:r>
      <w:r>
        <w:rPr>
          <w:noProof/>
          <w:color w:val="000000"/>
          <w:lang w:val="fr-FR"/>
        </w:rPr>
        <w:t>r</w:t>
      </w:r>
      <w:r w:rsidRPr="002E55E3">
        <w:rPr>
          <w:noProof/>
          <w:color w:val="000000"/>
          <w:lang w:val="fr-FR"/>
        </w:rPr>
        <w:t xml:space="preserve"> pacifique</w:t>
      </w:r>
      <w:r>
        <w:rPr>
          <w:noProof/>
          <w:color w:val="000000"/>
          <w:lang w:val="fr-FR"/>
        </w:rPr>
        <w:t>ment</w:t>
      </w:r>
      <w:r w:rsidRPr="002E55E3">
        <w:rPr>
          <w:noProof/>
          <w:color w:val="000000"/>
          <w:lang w:val="fr-FR"/>
        </w:rPr>
        <w:t xml:space="preserve"> et sans armes</w:t>
      </w:r>
      <w:r w:rsidR="003D0F58" w:rsidRPr="00DD03D6">
        <w:rPr>
          <w:noProof/>
          <w:lang w:val="fr-FR"/>
        </w:rPr>
        <w:t>.</w:t>
      </w:r>
    </w:p>
    <w:p w:rsidR="003D0F58" w:rsidRPr="00DD03D6" w:rsidRDefault="00654EEC" w:rsidP="00654EEC">
      <w:pPr>
        <w:pStyle w:val="H1G"/>
        <w:rPr>
          <w:noProof/>
          <w:lang w:val="fr-FR"/>
        </w:rPr>
      </w:pPr>
      <w:bookmarkStart w:id="35" w:name="_Toc356430863"/>
      <w:r w:rsidRPr="00DD03D6">
        <w:rPr>
          <w:noProof/>
          <w:lang w:val="fr-FR"/>
        </w:rPr>
        <w:lastRenderedPageBreak/>
        <w:tab/>
      </w:r>
      <w:r w:rsidR="003D0F58" w:rsidRPr="00DD03D6">
        <w:rPr>
          <w:noProof/>
          <w:lang w:val="fr-FR"/>
        </w:rPr>
        <w:t>F.</w:t>
      </w:r>
      <w:r w:rsidR="003D0F58" w:rsidRPr="00DD03D6">
        <w:rPr>
          <w:noProof/>
          <w:lang w:val="fr-FR"/>
        </w:rPr>
        <w:tab/>
        <w:t xml:space="preserve">Protection </w:t>
      </w:r>
      <w:r w:rsidR="002E55E3">
        <w:rPr>
          <w:noProof/>
          <w:lang w:val="fr-FR"/>
        </w:rPr>
        <w:t xml:space="preserve">de la vie privée et </w:t>
      </w:r>
      <w:r w:rsidR="003D0F58" w:rsidRPr="00DD03D6">
        <w:rPr>
          <w:noProof/>
          <w:lang w:val="fr-FR"/>
        </w:rPr>
        <w:t xml:space="preserve">protection </w:t>
      </w:r>
      <w:r w:rsidR="002E55E3">
        <w:rPr>
          <w:noProof/>
          <w:lang w:val="fr-FR"/>
        </w:rPr>
        <w:t>de l’</w:t>
      </w:r>
      <w:r w:rsidR="003D0F58" w:rsidRPr="00DD03D6">
        <w:rPr>
          <w:noProof/>
          <w:lang w:val="fr-FR"/>
        </w:rPr>
        <w:t>image</w:t>
      </w:r>
      <w:bookmarkEnd w:id="35"/>
    </w:p>
    <w:p w:rsidR="003D0F58" w:rsidRPr="00DD03D6" w:rsidRDefault="002E55E3" w:rsidP="00654EEC">
      <w:pPr>
        <w:pStyle w:val="SingleTxtG"/>
        <w:numPr>
          <w:ilvl w:val="0"/>
          <w:numId w:val="3"/>
        </w:numPr>
        <w:ind w:left="1134" w:firstLine="0"/>
        <w:rPr>
          <w:noProof/>
          <w:lang w:val="fr-FR"/>
        </w:rPr>
      </w:pPr>
      <w:r>
        <w:rPr>
          <w:noProof/>
          <w:lang w:val="fr-FR"/>
        </w:rPr>
        <w:t>La loi de 1998 sur la p</w:t>
      </w:r>
      <w:r w:rsidR="003D0F58" w:rsidRPr="00DD03D6">
        <w:rPr>
          <w:noProof/>
          <w:lang w:val="fr-FR"/>
        </w:rPr>
        <w:t xml:space="preserve">rotection </w:t>
      </w:r>
      <w:r>
        <w:rPr>
          <w:noProof/>
          <w:lang w:val="fr-FR"/>
        </w:rPr>
        <w:t xml:space="preserve">des données et la loi de 2003 portant modification de la loi sur la protection des données </w:t>
      </w:r>
      <w:r w:rsidR="006B5F2F">
        <w:rPr>
          <w:noProof/>
          <w:lang w:val="fr-FR"/>
        </w:rPr>
        <w:t xml:space="preserve">prévoit des </w:t>
      </w:r>
      <w:r w:rsidR="006B5F2F" w:rsidRPr="006B5F2F">
        <w:rPr>
          <w:noProof/>
          <w:color w:val="000000"/>
          <w:lang w:val="fr-FR"/>
        </w:rPr>
        <w:t xml:space="preserve">garanties juridiques </w:t>
      </w:r>
      <w:r w:rsidR="006B5F2F">
        <w:rPr>
          <w:noProof/>
          <w:color w:val="000000"/>
          <w:lang w:val="fr-FR"/>
        </w:rPr>
        <w:t xml:space="preserve">en ce qui concerne </w:t>
      </w:r>
      <w:r w:rsidR="006B5F2F" w:rsidRPr="006B5F2F">
        <w:rPr>
          <w:noProof/>
          <w:color w:val="000000"/>
          <w:lang w:val="fr-FR"/>
        </w:rPr>
        <w:t xml:space="preserve">la rétention </w:t>
      </w:r>
      <w:r w:rsidR="006B5F2F">
        <w:rPr>
          <w:noProof/>
          <w:color w:val="000000"/>
          <w:lang w:val="fr-FR"/>
        </w:rPr>
        <w:t xml:space="preserve">par des tiers </w:t>
      </w:r>
      <w:r w:rsidR="006B5F2F" w:rsidRPr="006B5F2F">
        <w:rPr>
          <w:noProof/>
          <w:color w:val="000000"/>
          <w:lang w:val="fr-FR"/>
        </w:rPr>
        <w:t xml:space="preserve">d’informations personnelles sur </w:t>
      </w:r>
      <w:r w:rsidR="006B5F2F">
        <w:rPr>
          <w:noProof/>
          <w:color w:val="000000"/>
          <w:lang w:val="fr-FR"/>
        </w:rPr>
        <w:t xml:space="preserve">fichier informatisé </w:t>
      </w:r>
      <w:r w:rsidR="006B5F2F" w:rsidRPr="006B5F2F">
        <w:rPr>
          <w:noProof/>
          <w:color w:val="000000"/>
          <w:lang w:val="fr-FR"/>
        </w:rPr>
        <w:t xml:space="preserve">ou </w:t>
      </w:r>
      <w:r w:rsidR="006B5F2F">
        <w:rPr>
          <w:noProof/>
          <w:color w:val="000000"/>
          <w:lang w:val="fr-FR"/>
        </w:rPr>
        <w:t>manuel</w:t>
      </w:r>
      <w:r w:rsidR="003D0F58" w:rsidRPr="00DD03D6">
        <w:rPr>
          <w:rStyle w:val="Appelnotedebasdep"/>
          <w:noProof/>
          <w:lang w:val="fr-FR"/>
        </w:rPr>
        <w:footnoteReference w:id="17"/>
      </w:r>
      <w:r w:rsidR="006B5F2F">
        <w:rPr>
          <w:noProof/>
          <w:color w:val="000000"/>
          <w:lang w:val="fr-FR"/>
        </w:rPr>
        <w:t>.</w:t>
      </w:r>
      <w:r w:rsidR="003D0F58" w:rsidRPr="00DD03D6">
        <w:rPr>
          <w:noProof/>
          <w:lang w:val="fr-FR"/>
        </w:rPr>
        <w:t xml:space="preserve"> </w:t>
      </w:r>
      <w:r w:rsidR="006B5F2F">
        <w:rPr>
          <w:noProof/>
          <w:lang w:val="fr-FR"/>
        </w:rPr>
        <w:t>Ces garanties s’appliquent aussi bien aux enfants qu’aux adultes</w:t>
      </w:r>
      <w:r w:rsidR="003D0F58" w:rsidRPr="00DD03D6">
        <w:rPr>
          <w:noProof/>
          <w:lang w:val="fr-FR"/>
        </w:rPr>
        <w:t>.</w:t>
      </w:r>
      <w:r w:rsidR="006F6240" w:rsidRPr="00DD03D6">
        <w:rPr>
          <w:noProof/>
          <w:lang w:val="fr-FR"/>
        </w:rPr>
        <w:t xml:space="preserve"> </w:t>
      </w:r>
    </w:p>
    <w:p w:rsidR="003D0F58" w:rsidRPr="00DD03D6" w:rsidRDefault="006B5F2F" w:rsidP="00E360A2">
      <w:pPr>
        <w:pStyle w:val="SingleTxtG"/>
        <w:numPr>
          <w:ilvl w:val="0"/>
          <w:numId w:val="3"/>
        </w:numPr>
        <w:ind w:left="1134" w:firstLine="0"/>
        <w:rPr>
          <w:noProof/>
          <w:lang w:val="fr-FR"/>
        </w:rPr>
      </w:pPr>
      <w:r>
        <w:rPr>
          <w:noProof/>
          <w:lang w:val="fr-FR"/>
        </w:rPr>
        <w:t xml:space="preserve">En Irlande, les procédures judiciaires concernant et impliquant des enfants se déroulent </w:t>
      </w:r>
      <w:r w:rsidR="003F36DD">
        <w:rPr>
          <w:noProof/>
          <w:lang w:val="fr-FR"/>
        </w:rPr>
        <w:t>« </w:t>
      </w:r>
      <w:r>
        <w:rPr>
          <w:noProof/>
          <w:lang w:val="fr-FR"/>
        </w:rPr>
        <w:t xml:space="preserve">autrement qu’en </w:t>
      </w:r>
      <w:r w:rsidR="003D0F58" w:rsidRPr="00DD03D6">
        <w:rPr>
          <w:noProof/>
          <w:lang w:val="fr-FR"/>
        </w:rPr>
        <w:t>public</w:t>
      </w:r>
      <w:r w:rsidR="003F36DD">
        <w:rPr>
          <w:noProof/>
          <w:lang w:val="fr-FR"/>
        </w:rPr>
        <w:t> »</w:t>
      </w:r>
      <w:r w:rsidR="003D0F58" w:rsidRPr="00DD03D6">
        <w:rPr>
          <w:noProof/>
          <w:lang w:val="fr-FR"/>
        </w:rPr>
        <w:t xml:space="preserve"> o</w:t>
      </w:r>
      <w:r>
        <w:rPr>
          <w:noProof/>
          <w:lang w:val="fr-FR"/>
        </w:rPr>
        <w:t>u à huis clos</w:t>
      </w:r>
      <w:r w:rsidR="003D0F58" w:rsidRPr="00DD03D6">
        <w:rPr>
          <w:noProof/>
          <w:lang w:val="fr-FR"/>
        </w:rPr>
        <w:t xml:space="preserve">. </w:t>
      </w:r>
      <w:r>
        <w:rPr>
          <w:noProof/>
          <w:lang w:val="fr-FR"/>
        </w:rPr>
        <w:t>La loi de 1989 sur la réforme de la séparation judiciaire et du droit de la famille disp</w:t>
      </w:r>
      <w:r w:rsidR="00BE49CF">
        <w:rPr>
          <w:noProof/>
          <w:lang w:val="fr-FR"/>
        </w:rPr>
        <w:t>os</w:t>
      </w:r>
      <w:r>
        <w:rPr>
          <w:noProof/>
          <w:lang w:val="fr-FR"/>
        </w:rPr>
        <w:t xml:space="preserve">e que les affaires sont examinées autrement qu’en public, ce que la majorité des tribunaux ont interprété comme signifiant </w:t>
      </w:r>
      <w:r w:rsidR="002D1CCB">
        <w:rPr>
          <w:noProof/>
          <w:lang w:val="fr-FR"/>
        </w:rPr>
        <w:t>en privé</w:t>
      </w:r>
      <w:r w:rsidR="003D0F58" w:rsidRPr="00DD03D6">
        <w:rPr>
          <w:noProof/>
          <w:lang w:val="fr-FR"/>
        </w:rPr>
        <w:t xml:space="preserve">. </w:t>
      </w:r>
      <w:r w:rsidR="002D1CCB">
        <w:rPr>
          <w:noProof/>
          <w:lang w:val="fr-FR"/>
        </w:rPr>
        <w:t>La loi de 1996 sur le droit de la famille prévoit aussi que les affaires doivent être examinées autrement qu’en public et l’instrument réglementaire n</w:t>
      </w:r>
      <w:r w:rsidR="002135F8" w:rsidRPr="002135F8">
        <w:rPr>
          <w:noProof/>
          <w:vertAlign w:val="superscript"/>
          <w:lang w:val="fr-FR"/>
        </w:rPr>
        <w:t>o</w:t>
      </w:r>
      <w:r w:rsidR="00D379EE" w:rsidRPr="00DD03D6">
        <w:rPr>
          <w:noProof/>
          <w:lang w:val="fr-FR"/>
        </w:rPr>
        <w:t> </w:t>
      </w:r>
      <w:r w:rsidR="003D0F58" w:rsidRPr="00DD03D6">
        <w:rPr>
          <w:noProof/>
          <w:lang w:val="fr-FR"/>
        </w:rPr>
        <w:t>84</w:t>
      </w:r>
      <w:r w:rsidR="002D1CCB">
        <w:rPr>
          <w:noProof/>
          <w:lang w:val="fr-FR"/>
        </w:rPr>
        <w:t xml:space="preserve"> de</w:t>
      </w:r>
      <w:r w:rsidR="003D0F58" w:rsidRPr="00DD03D6">
        <w:rPr>
          <w:noProof/>
          <w:lang w:val="fr-FR"/>
        </w:rPr>
        <w:t xml:space="preserve"> 1997 </w:t>
      </w:r>
      <w:r w:rsidR="002D1CCB">
        <w:rPr>
          <w:noProof/>
          <w:lang w:val="fr-FR"/>
        </w:rPr>
        <w:t xml:space="preserve">donne à cette </w:t>
      </w:r>
      <w:r w:rsidR="00B15A2E">
        <w:rPr>
          <w:noProof/>
          <w:lang w:val="fr-FR"/>
        </w:rPr>
        <w:t>pr</w:t>
      </w:r>
      <w:r w:rsidR="002D1CCB">
        <w:rPr>
          <w:noProof/>
          <w:lang w:val="fr-FR"/>
        </w:rPr>
        <w:t xml:space="preserve">escription le sens de « à huis clos ». La loi de 2004 sur la responsabilié civile et les tribunaux autorise </w:t>
      </w:r>
      <w:r w:rsidR="006421C4">
        <w:rPr>
          <w:noProof/>
          <w:lang w:val="fr-FR"/>
        </w:rPr>
        <w:t xml:space="preserve">les </w:t>
      </w:r>
      <w:r w:rsidR="009D15F7">
        <w:rPr>
          <w:noProof/>
          <w:lang w:val="fr-FR"/>
        </w:rPr>
        <w:t>juristes</w:t>
      </w:r>
      <w:r w:rsidR="006421C4">
        <w:rPr>
          <w:noProof/>
          <w:lang w:val="fr-FR"/>
        </w:rPr>
        <w:t xml:space="preserve"> et certaines classes de personnes </w:t>
      </w:r>
      <w:r w:rsidR="00B15A2E">
        <w:rPr>
          <w:noProof/>
          <w:lang w:val="fr-FR"/>
        </w:rPr>
        <w:t xml:space="preserve">à déterminer dans </w:t>
      </w:r>
      <w:r w:rsidR="009D15F7">
        <w:rPr>
          <w:noProof/>
          <w:lang w:val="fr-FR"/>
        </w:rPr>
        <w:t>le cadre d</w:t>
      </w:r>
      <w:r w:rsidR="00B15A2E">
        <w:rPr>
          <w:noProof/>
          <w:lang w:val="fr-FR"/>
        </w:rPr>
        <w:t xml:space="preserve">es règlements établis par le Ministre de la justice et de l’égalité </w:t>
      </w:r>
      <w:r w:rsidR="006421C4">
        <w:rPr>
          <w:noProof/>
          <w:lang w:val="fr-FR"/>
        </w:rPr>
        <w:t xml:space="preserve">à rendre compte des procédures </w:t>
      </w:r>
      <w:r w:rsidR="00B15A2E">
        <w:rPr>
          <w:noProof/>
          <w:lang w:val="fr-FR"/>
        </w:rPr>
        <w:t xml:space="preserve">et décisions </w:t>
      </w:r>
      <w:r w:rsidR="006421C4">
        <w:rPr>
          <w:noProof/>
          <w:lang w:val="fr-FR"/>
        </w:rPr>
        <w:t>relevant du droit de la famille</w:t>
      </w:r>
      <w:r w:rsidR="003D0F58" w:rsidRPr="00DD03D6">
        <w:rPr>
          <w:noProof/>
          <w:lang w:val="fr-FR"/>
        </w:rPr>
        <w:t xml:space="preserve">, </w:t>
      </w:r>
      <w:r w:rsidR="00B15A2E">
        <w:rPr>
          <w:noProof/>
          <w:lang w:val="fr-FR"/>
        </w:rPr>
        <w:t xml:space="preserve">mais sans que </w:t>
      </w:r>
      <w:r w:rsidR="009D15F7">
        <w:rPr>
          <w:noProof/>
          <w:lang w:val="fr-FR"/>
        </w:rPr>
        <w:t>ces juristes</w:t>
      </w:r>
      <w:r w:rsidR="00B15A2E">
        <w:rPr>
          <w:noProof/>
          <w:lang w:val="fr-FR"/>
        </w:rPr>
        <w:t xml:space="preserve"> et personnes puissent identifier une partie quelconque aux procédures évoquées par eux</w:t>
      </w:r>
      <w:r w:rsidR="003D0F58" w:rsidRPr="00DD03D6">
        <w:rPr>
          <w:noProof/>
          <w:lang w:val="fr-FR"/>
        </w:rPr>
        <w:t xml:space="preserve">. </w:t>
      </w:r>
      <w:r w:rsidR="00B15A2E">
        <w:rPr>
          <w:noProof/>
          <w:lang w:val="fr-FR"/>
        </w:rPr>
        <w:t>Il est ainsi devenir possible</w:t>
      </w:r>
      <w:r w:rsidR="00BE49CF">
        <w:rPr>
          <w:noProof/>
          <w:lang w:val="fr-FR"/>
        </w:rPr>
        <w:t>, en particulier pour les universitaires,</w:t>
      </w:r>
      <w:r w:rsidR="00B15A2E">
        <w:rPr>
          <w:noProof/>
          <w:lang w:val="fr-FR"/>
        </w:rPr>
        <w:t xml:space="preserve"> d’approfondir l’étude des affaires </w:t>
      </w:r>
      <w:r w:rsidR="00BE49CF">
        <w:rPr>
          <w:noProof/>
          <w:lang w:val="fr-FR"/>
        </w:rPr>
        <w:t>touchant au droit de la famille</w:t>
      </w:r>
      <w:r w:rsidR="003D0F58" w:rsidRPr="00DD03D6">
        <w:rPr>
          <w:noProof/>
          <w:lang w:val="fr-FR"/>
        </w:rPr>
        <w:t>.</w:t>
      </w:r>
    </w:p>
    <w:p w:rsidR="003D0F58" w:rsidRPr="00DD03D6" w:rsidRDefault="00A47F42" w:rsidP="00654EEC">
      <w:pPr>
        <w:pStyle w:val="SingleTxtG"/>
        <w:numPr>
          <w:ilvl w:val="0"/>
          <w:numId w:val="3"/>
        </w:numPr>
        <w:ind w:left="1134" w:firstLine="0"/>
        <w:rPr>
          <w:noProof/>
          <w:lang w:val="fr-FR"/>
        </w:rPr>
      </w:pPr>
      <w:r>
        <w:rPr>
          <w:noProof/>
          <w:lang w:val="fr-FR"/>
        </w:rPr>
        <w:t>La loi de 1991 sur la pro</w:t>
      </w:r>
      <w:r w:rsidR="00144C1C">
        <w:rPr>
          <w:noProof/>
          <w:lang w:val="fr-FR"/>
        </w:rPr>
        <w:t>t</w:t>
      </w:r>
      <w:r>
        <w:rPr>
          <w:noProof/>
          <w:lang w:val="fr-FR"/>
        </w:rPr>
        <w:t xml:space="preserve">ection de l’enfance </w:t>
      </w:r>
      <w:r w:rsidR="00144C1C">
        <w:rPr>
          <w:noProof/>
          <w:lang w:val="fr-FR"/>
        </w:rPr>
        <w:t>prévoit le huis clos pour l’examen des affaires touchant la protection des enfants.</w:t>
      </w:r>
      <w:r w:rsidR="003D0F58" w:rsidRPr="00DD03D6">
        <w:rPr>
          <w:noProof/>
          <w:lang w:val="fr-FR"/>
        </w:rPr>
        <w:t xml:space="preserve"> </w:t>
      </w:r>
      <w:r w:rsidR="00144C1C">
        <w:rPr>
          <w:noProof/>
          <w:lang w:val="fr-FR"/>
        </w:rPr>
        <w:t>L’accès à la salle d’audience est laissé à l’appréciation du juge, qui ne l’autorise que dans le cas d’un éventail limité de professionnels, essentiellement des chercheurs</w:t>
      </w:r>
      <w:r w:rsidR="003D0F58" w:rsidRPr="00DD03D6">
        <w:rPr>
          <w:noProof/>
          <w:lang w:val="fr-FR"/>
        </w:rPr>
        <w:t xml:space="preserve">. </w:t>
      </w:r>
      <w:r w:rsidR="00144C1C">
        <w:rPr>
          <w:noProof/>
          <w:lang w:val="fr-FR"/>
        </w:rPr>
        <w:t>Le règlement relatif à l’article 29-7 de la loi susvisée (instrument réglementaire n</w:t>
      </w:r>
      <w:r w:rsidR="002135F8" w:rsidRPr="002135F8">
        <w:rPr>
          <w:noProof/>
          <w:vertAlign w:val="superscript"/>
          <w:lang w:val="fr-FR"/>
        </w:rPr>
        <w:t>o</w:t>
      </w:r>
      <w:r w:rsidR="002135F8">
        <w:rPr>
          <w:noProof/>
          <w:lang w:val="fr-FR"/>
        </w:rPr>
        <w:t> </w:t>
      </w:r>
      <w:r w:rsidR="003D0F58" w:rsidRPr="00DD03D6">
        <w:rPr>
          <w:noProof/>
          <w:lang w:val="fr-FR"/>
        </w:rPr>
        <w:t xml:space="preserve">467/2012) </w:t>
      </w:r>
      <w:r w:rsidR="00144C1C">
        <w:rPr>
          <w:noProof/>
          <w:lang w:val="fr-FR"/>
        </w:rPr>
        <w:t>dispose qu</w:t>
      </w:r>
      <w:r w:rsidR="00FD6071">
        <w:rPr>
          <w:noProof/>
          <w:lang w:val="fr-FR"/>
        </w:rPr>
        <w:t>’</w:t>
      </w:r>
      <w:r w:rsidR="00144C1C">
        <w:rPr>
          <w:noProof/>
          <w:lang w:val="fr-FR"/>
        </w:rPr>
        <w:t xml:space="preserve">une </w:t>
      </w:r>
      <w:r w:rsidR="00FD6071">
        <w:rPr>
          <w:noProof/>
          <w:lang w:val="fr-FR"/>
        </w:rPr>
        <w:t xml:space="preserve">personne appartenant à une </w:t>
      </w:r>
      <w:r w:rsidR="00144C1C">
        <w:rPr>
          <w:noProof/>
          <w:lang w:val="fr-FR"/>
        </w:rPr>
        <w:t>classe spécif</w:t>
      </w:r>
      <w:r w:rsidR="00FD6071">
        <w:rPr>
          <w:noProof/>
          <w:lang w:val="fr-FR"/>
        </w:rPr>
        <w:t>iée peut</w:t>
      </w:r>
      <w:r w:rsidR="00144C1C">
        <w:rPr>
          <w:noProof/>
          <w:lang w:val="fr-FR"/>
        </w:rPr>
        <w:t xml:space="preserve"> demander à assister aux audiences en vertu des </w:t>
      </w:r>
      <w:r w:rsidR="0028141B">
        <w:rPr>
          <w:noProof/>
          <w:lang w:val="fr-FR"/>
        </w:rPr>
        <w:t>partie</w:t>
      </w:r>
      <w:r w:rsidR="00144C1C">
        <w:rPr>
          <w:noProof/>
          <w:lang w:val="fr-FR"/>
        </w:rPr>
        <w:t xml:space="preserve">s </w:t>
      </w:r>
      <w:r w:rsidR="003D0F58" w:rsidRPr="00DD03D6">
        <w:rPr>
          <w:noProof/>
          <w:lang w:val="fr-FR"/>
        </w:rPr>
        <w:t>III, IV o</w:t>
      </w:r>
      <w:r w:rsidR="00144C1C">
        <w:rPr>
          <w:noProof/>
          <w:lang w:val="fr-FR"/>
        </w:rPr>
        <w:t>u</w:t>
      </w:r>
      <w:r w:rsidR="003D0F58" w:rsidRPr="00DD03D6">
        <w:rPr>
          <w:noProof/>
          <w:lang w:val="fr-FR"/>
        </w:rPr>
        <w:t xml:space="preserve"> VI </w:t>
      </w:r>
      <w:r w:rsidR="00144C1C">
        <w:rPr>
          <w:noProof/>
          <w:lang w:val="fr-FR"/>
        </w:rPr>
        <w:t>de cette loi, s’agissant des affaires touchant la prise en charge et la protection d’enfants</w:t>
      </w:r>
      <w:r w:rsidR="00E92D3C">
        <w:rPr>
          <w:noProof/>
          <w:lang w:val="fr-FR"/>
        </w:rPr>
        <w:t xml:space="preserve"> </w:t>
      </w:r>
      <w:r w:rsidR="00144C1C">
        <w:rPr>
          <w:noProof/>
          <w:lang w:val="fr-FR"/>
        </w:rPr>
        <w:t>dont est saisi le tribunal de district</w:t>
      </w:r>
      <w:r w:rsidR="003D0F58" w:rsidRPr="00DD03D6">
        <w:rPr>
          <w:noProof/>
          <w:lang w:val="fr-FR"/>
        </w:rPr>
        <w:t xml:space="preserve">, </w:t>
      </w:r>
      <w:r w:rsidR="00D95A75">
        <w:rPr>
          <w:noProof/>
          <w:lang w:val="fr-FR"/>
        </w:rPr>
        <w:t>pour établir un rapport sur les affaires afin d’aider à améliorer l’application de cette loi</w:t>
      </w:r>
      <w:r w:rsidR="003D0F58" w:rsidRPr="00DD03D6">
        <w:rPr>
          <w:noProof/>
          <w:lang w:val="fr-FR"/>
        </w:rPr>
        <w:t xml:space="preserve">. </w:t>
      </w:r>
      <w:r w:rsidR="00D95A75">
        <w:rPr>
          <w:noProof/>
          <w:lang w:val="fr-FR"/>
        </w:rPr>
        <w:t xml:space="preserve">La personne qui établit ce rapport doit être associée à la recherche portant sur la législation sur la protection de l’enfance, être nommée par un organe spécifié et être </w:t>
      </w:r>
      <w:r w:rsidR="00FD6071">
        <w:rPr>
          <w:noProof/>
          <w:lang w:val="fr-FR"/>
        </w:rPr>
        <w:t xml:space="preserve">agréée par </w:t>
      </w:r>
      <w:r w:rsidR="0028141B">
        <w:rPr>
          <w:noProof/>
          <w:lang w:val="fr-FR"/>
        </w:rPr>
        <w:t>la</w:t>
      </w:r>
      <w:r w:rsidR="00FD6071">
        <w:rPr>
          <w:noProof/>
          <w:lang w:val="fr-FR"/>
        </w:rPr>
        <w:t xml:space="preserve"> Ministre de l’enfance et de la jeunesse</w:t>
      </w:r>
      <w:r w:rsidR="003D0F58" w:rsidRPr="00DD03D6">
        <w:rPr>
          <w:noProof/>
          <w:lang w:val="fr-FR"/>
        </w:rPr>
        <w:t xml:space="preserve">. </w:t>
      </w:r>
      <w:r w:rsidR="00FD6071">
        <w:rPr>
          <w:noProof/>
          <w:lang w:val="fr-FR"/>
        </w:rPr>
        <w:t xml:space="preserve">Les rapports établis conformément à ce règlement n’identifient pas les </w:t>
      </w:r>
      <w:r w:rsidR="003D0F58" w:rsidRPr="00DD03D6">
        <w:rPr>
          <w:noProof/>
          <w:lang w:val="fr-FR"/>
        </w:rPr>
        <w:t xml:space="preserve">parties </w:t>
      </w:r>
      <w:r w:rsidR="00FD6071">
        <w:rPr>
          <w:noProof/>
          <w:lang w:val="fr-FR"/>
        </w:rPr>
        <w:t>aux procédures dont ils rendent compte</w:t>
      </w:r>
      <w:r w:rsidR="003D0F58" w:rsidRPr="00DD03D6">
        <w:rPr>
          <w:noProof/>
          <w:lang w:val="fr-FR"/>
        </w:rPr>
        <w:t>.</w:t>
      </w:r>
    </w:p>
    <w:p w:rsidR="003D0F58" w:rsidRPr="00DD03D6" w:rsidRDefault="00FD6071" w:rsidP="00B82FB8">
      <w:pPr>
        <w:pStyle w:val="SingleTxtG"/>
        <w:numPr>
          <w:ilvl w:val="0"/>
          <w:numId w:val="3"/>
        </w:numPr>
        <w:ind w:left="1134" w:firstLine="0"/>
        <w:rPr>
          <w:noProof/>
          <w:lang w:val="fr-FR"/>
        </w:rPr>
      </w:pPr>
      <w:r>
        <w:rPr>
          <w:noProof/>
          <w:lang w:val="fr-FR"/>
        </w:rPr>
        <w:t>En Irlande, le Tribunal pour enfants siège également à huis clos et aucue information permettant d’identifier l’une des parties ne peut être communiquée au public</w:t>
      </w:r>
      <w:r w:rsidR="003D0F58" w:rsidRPr="00DD03D6">
        <w:rPr>
          <w:noProof/>
          <w:lang w:val="fr-FR"/>
        </w:rPr>
        <w:t xml:space="preserve">. </w:t>
      </w:r>
      <w:r>
        <w:rPr>
          <w:noProof/>
          <w:lang w:val="fr-FR"/>
        </w:rPr>
        <w:t xml:space="preserve">En ce qui concerne les procédures pénales, la loi de 2001 sur les enfants (telle que modifiée) impose des </w:t>
      </w:r>
      <w:r w:rsidR="003D0F58" w:rsidRPr="00DD03D6">
        <w:rPr>
          <w:noProof/>
          <w:lang w:val="fr-FR"/>
        </w:rPr>
        <w:t xml:space="preserve">restrictions </w:t>
      </w:r>
      <w:r w:rsidR="00E71848">
        <w:rPr>
          <w:noProof/>
          <w:lang w:val="fr-FR"/>
        </w:rPr>
        <w:t xml:space="preserve">au compte rendu des procédures lorsque des enfants sont impliqués </w:t>
      </w:r>
      <w:r w:rsidR="003D0F58" w:rsidRPr="00DD03D6">
        <w:rPr>
          <w:noProof/>
          <w:lang w:val="fr-FR"/>
        </w:rPr>
        <w:t>(</w:t>
      </w:r>
      <w:r w:rsidR="00E71848">
        <w:rPr>
          <w:noProof/>
          <w:lang w:val="fr-FR"/>
        </w:rPr>
        <w:t>ar</w:t>
      </w:r>
      <w:r w:rsidR="002135F8">
        <w:rPr>
          <w:noProof/>
          <w:lang w:val="fr-FR"/>
        </w:rPr>
        <w:t>. </w:t>
      </w:r>
      <w:r w:rsidR="003D0F58" w:rsidRPr="00DD03D6">
        <w:rPr>
          <w:noProof/>
          <w:lang w:val="fr-FR"/>
        </w:rPr>
        <w:t xml:space="preserve">93 </w:t>
      </w:r>
      <w:r w:rsidR="00E71848">
        <w:rPr>
          <w:noProof/>
          <w:lang w:val="fr-FR"/>
        </w:rPr>
        <w:t>de la loi telle que modifiée par la loi de 2006 sur la justice pénale</w:t>
      </w:r>
      <w:r w:rsidR="003D0F58" w:rsidRPr="00DD03D6">
        <w:rPr>
          <w:noProof/>
          <w:lang w:val="fr-FR"/>
        </w:rPr>
        <w:t xml:space="preserve">) </w:t>
      </w:r>
      <w:r w:rsidR="00E71848">
        <w:rPr>
          <w:noProof/>
          <w:lang w:val="fr-FR"/>
        </w:rPr>
        <w:t xml:space="preserve">et indique les personnes qui sont habilitées à assister aux audiences </w:t>
      </w:r>
      <w:r w:rsidR="003D0F58" w:rsidRPr="00DD03D6">
        <w:rPr>
          <w:noProof/>
          <w:lang w:val="fr-FR"/>
        </w:rPr>
        <w:t>(</w:t>
      </w:r>
      <w:r w:rsidR="00E71848">
        <w:rPr>
          <w:noProof/>
          <w:lang w:val="fr-FR"/>
        </w:rPr>
        <w:t>art</w:t>
      </w:r>
      <w:r w:rsidR="002135F8">
        <w:rPr>
          <w:noProof/>
          <w:lang w:val="fr-FR"/>
        </w:rPr>
        <w:t>. </w:t>
      </w:r>
      <w:r w:rsidR="003D0F58" w:rsidRPr="00DD03D6">
        <w:rPr>
          <w:noProof/>
          <w:lang w:val="fr-FR"/>
        </w:rPr>
        <w:t xml:space="preserve">94). </w:t>
      </w:r>
      <w:r w:rsidR="00A101A7">
        <w:rPr>
          <w:noProof/>
          <w:lang w:val="fr-FR"/>
        </w:rPr>
        <w:t>Dans l’application de ces règles, la gravité de l’infraction n’entre pas en ligne de compte</w:t>
      </w:r>
      <w:r w:rsidR="003D0F58" w:rsidRPr="00DD03D6">
        <w:rPr>
          <w:noProof/>
          <w:lang w:val="fr-FR"/>
        </w:rPr>
        <w:t>.</w:t>
      </w:r>
    </w:p>
    <w:p w:rsidR="003D0F58" w:rsidRPr="00DD03D6" w:rsidRDefault="00654EEC" w:rsidP="001D1C06">
      <w:pPr>
        <w:pStyle w:val="H1G"/>
        <w:rPr>
          <w:noProof/>
          <w:lang w:val="fr-FR"/>
        </w:rPr>
      </w:pPr>
      <w:bookmarkStart w:id="36" w:name="_Toc356430864"/>
      <w:r w:rsidRPr="00DD03D6">
        <w:rPr>
          <w:noProof/>
          <w:lang w:val="fr-FR"/>
        </w:rPr>
        <w:tab/>
      </w:r>
      <w:r w:rsidR="003D0F58" w:rsidRPr="00DD03D6">
        <w:rPr>
          <w:noProof/>
          <w:lang w:val="fr-FR"/>
        </w:rPr>
        <w:t>G.</w:t>
      </w:r>
      <w:r w:rsidR="003D0F58" w:rsidRPr="00DD03D6">
        <w:rPr>
          <w:noProof/>
          <w:lang w:val="fr-FR"/>
        </w:rPr>
        <w:tab/>
      </w:r>
      <w:r w:rsidR="004D43A3" w:rsidRPr="00DD03D6">
        <w:rPr>
          <w:noProof/>
          <w:lang w:val="fr-FR"/>
        </w:rPr>
        <w:t>Acc</w:t>
      </w:r>
      <w:r w:rsidR="004D43A3">
        <w:rPr>
          <w:noProof/>
          <w:lang w:val="fr-FR"/>
        </w:rPr>
        <w:t>è</w:t>
      </w:r>
      <w:r w:rsidR="004D43A3" w:rsidRPr="00DD03D6">
        <w:rPr>
          <w:noProof/>
          <w:lang w:val="fr-FR"/>
        </w:rPr>
        <w:t xml:space="preserve">s </w:t>
      </w:r>
      <w:r w:rsidR="004D43A3">
        <w:rPr>
          <w:noProof/>
          <w:lang w:val="fr-FR"/>
        </w:rPr>
        <w:t xml:space="preserve">à une </w:t>
      </w:r>
      <w:r w:rsidR="004D43A3" w:rsidRPr="00DD03D6">
        <w:rPr>
          <w:noProof/>
          <w:lang w:val="fr-FR"/>
        </w:rPr>
        <w:t xml:space="preserve">information </w:t>
      </w:r>
      <w:r w:rsidR="004D43A3">
        <w:rPr>
          <w:noProof/>
          <w:lang w:val="fr-FR"/>
        </w:rPr>
        <w:t>émanant de sources diverses et</w:t>
      </w:r>
      <w:r w:rsidR="004D43A3" w:rsidRPr="00DD03D6">
        <w:rPr>
          <w:noProof/>
          <w:lang w:val="fr-FR"/>
        </w:rPr>
        <w:t xml:space="preserve"> protection</w:t>
      </w:r>
      <w:r w:rsidR="004D43A3">
        <w:rPr>
          <w:noProof/>
          <w:lang w:val="fr-FR"/>
        </w:rPr>
        <w:t xml:space="preserve"> contre les matériels qui nuisent au bien</w:t>
      </w:r>
      <w:r w:rsidR="004D43A3" w:rsidRPr="00DD03D6">
        <w:rPr>
          <w:noProof/>
          <w:lang w:val="fr-FR"/>
        </w:rPr>
        <w:t>-</w:t>
      </w:r>
      <w:r w:rsidR="004D43A3">
        <w:rPr>
          <w:noProof/>
          <w:lang w:val="fr-FR"/>
        </w:rPr>
        <w:t>être des enfants</w:t>
      </w:r>
      <w:bookmarkEnd w:id="36"/>
      <w:r w:rsidR="00E92D3C">
        <w:rPr>
          <w:noProof/>
          <w:lang w:val="fr-FR"/>
        </w:rPr>
        <w:t xml:space="preserve"> </w:t>
      </w:r>
    </w:p>
    <w:p w:rsidR="003D0F58" w:rsidRPr="00DD03D6" w:rsidRDefault="00B1329F" w:rsidP="00135644">
      <w:pPr>
        <w:pStyle w:val="SingleTxtG"/>
        <w:numPr>
          <w:ilvl w:val="0"/>
          <w:numId w:val="3"/>
        </w:numPr>
        <w:ind w:left="1134" w:firstLine="0"/>
        <w:rPr>
          <w:noProof/>
          <w:lang w:val="fr-FR"/>
        </w:rPr>
      </w:pPr>
      <w:r>
        <w:rPr>
          <w:noProof/>
          <w:lang w:val="fr-FR"/>
        </w:rPr>
        <w:t xml:space="preserve">Le deuxième rapport périodique de l’Irlande a traité de la question de l’information appropriée à fournir aux enfants grâce aux services de bibliothèque et </w:t>
      </w:r>
      <w:r w:rsidR="007E2E00">
        <w:rPr>
          <w:noProof/>
          <w:lang w:val="fr-FR"/>
        </w:rPr>
        <w:t>aux services radiophoniques et télévisuels</w:t>
      </w:r>
      <w:r w:rsidR="003D0F58" w:rsidRPr="00DD03D6">
        <w:rPr>
          <w:noProof/>
          <w:lang w:val="fr-FR"/>
        </w:rPr>
        <w:t xml:space="preserve">, </w:t>
      </w:r>
      <w:r>
        <w:rPr>
          <w:noProof/>
          <w:lang w:val="fr-FR"/>
        </w:rPr>
        <w:t xml:space="preserve">et de la </w:t>
      </w:r>
      <w:r w:rsidR="003D0F58" w:rsidRPr="00DD03D6">
        <w:rPr>
          <w:noProof/>
          <w:lang w:val="fr-FR"/>
        </w:rPr>
        <w:t xml:space="preserve">protection </w:t>
      </w:r>
      <w:r>
        <w:rPr>
          <w:noProof/>
          <w:lang w:val="fr-FR"/>
        </w:rPr>
        <w:t xml:space="preserve">des enfants contre les informations </w:t>
      </w:r>
      <w:r w:rsidR="003D0F58" w:rsidRPr="00DD03D6">
        <w:rPr>
          <w:noProof/>
          <w:lang w:val="fr-FR"/>
        </w:rPr>
        <w:t>inappropri</w:t>
      </w:r>
      <w:r>
        <w:rPr>
          <w:noProof/>
          <w:lang w:val="fr-FR"/>
        </w:rPr>
        <w:t xml:space="preserve">ées ou nuisibles véhiculées par les médias, les </w:t>
      </w:r>
      <w:r w:rsidR="003D0F58" w:rsidRPr="00DD03D6">
        <w:rPr>
          <w:noProof/>
          <w:lang w:val="fr-FR"/>
        </w:rPr>
        <w:t xml:space="preserve">films, </w:t>
      </w:r>
      <w:r>
        <w:rPr>
          <w:noProof/>
          <w:lang w:val="fr-FR"/>
        </w:rPr>
        <w:t xml:space="preserve">les enregistrements </w:t>
      </w:r>
      <w:r w:rsidR="003D0F58" w:rsidRPr="00DD03D6">
        <w:rPr>
          <w:noProof/>
          <w:lang w:val="fr-FR"/>
        </w:rPr>
        <w:t>vid</w:t>
      </w:r>
      <w:r>
        <w:rPr>
          <w:noProof/>
          <w:lang w:val="fr-FR"/>
        </w:rPr>
        <w:t>é</w:t>
      </w:r>
      <w:r w:rsidR="003D0F58" w:rsidRPr="00DD03D6">
        <w:rPr>
          <w:noProof/>
          <w:lang w:val="fr-FR"/>
        </w:rPr>
        <w:t xml:space="preserve">o </w:t>
      </w:r>
      <w:r>
        <w:rPr>
          <w:noProof/>
          <w:lang w:val="fr-FR"/>
        </w:rPr>
        <w:t xml:space="preserve">et </w:t>
      </w:r>
      <w:r>
        <w:rPr>
          <w:noProof/>
          <w:lang w:val="fr-FR"/>
        </w:rPr>
        <w:lastRenderedPageBreak/>
        <w:t>l’</w:t>
      </w:r>
      <w:r w:rsidR="003D0F58" w:rsidRPr="00DD03D6">
        <w:rPr>
          <w:noProof/>
          <w:lang w:val="fr-FR"/>
        </w:rPr>
        <w:t>Internet</w:t>
      </w:r>
      <w:r w:rsidR="003D0F58" w:rsidRPr="00DD03D6">
        <w:rPr>
          <w:rStyle w:val="Appelnotedebasdep"/>
          <w:noProof/>
          <w:lang w:val="fr-FR"/>
        </w:rPr>
        <w:footnoteReference w:id="18"/>
      </w:r>
      <w:r>
        <w:rPr>
          <w:noProof/>
          <w:lang w:val="fr-FR"/>
        </w:rPr>
        <w:t>.</w:t>
      </w:r>
      <w:r w:rsidR="003D0F58" w:rsidRPr="00DD03D6">
        <w:rPr>
          <w:noProof/>
          <w:lang w:val="fr-FR"/>
        </w:rPr>
        <w:t xml:space="preserve"> </w:t>
      </w:r>
      <w:r>
        <w:rPr>
          <w:noProof/>
          <w:lang w:val="fr-FR"/>
        </w:rPr>
        <w:t xml:space="preserve">Depuis </w:t>
      </w:r>
      <w:r w:rsidR="003D0F58" w:rsidRPr="00DD03D6">
        <w:rPr>
          <w:noProof/>
          <w:lang w:val="fr-FR"/>
        </w:rPr>
        <w:t xml:space="preserve">2005, </w:t>
      </w:r>
      <w:r w:rsidR="0058339A">
        <w:rPr>
          <w:noProof/>
          <w:lang w:val="fr-FR"/>
        </w:rPr>
        <w:t xml:space="preserve">un certain nombre de nouvelles mesures ont été prises pour </w:t>
      </w:r>
      <w:r w:rsidR="007E2E00">
        <w:rPr>
          <w:noProof/>
          <w:lang w:val="fr-FR"/>
        </w:rPr>
        <w:t>que les enfants puissent avoir accès à des informations appropriées tout en étant protégés contre les matériels nuisibles</w:t>
      </w:r>
      <w:r w:rsidR="003D0F58" w:rsidRPr="00DD03D6">
        <w:rPr>
          <w:noProof/>
          <w:lang w:val="fr-FR"/>
        </w:rPr>
        <w:t>.</w:t>
      </w:r>
    </w:p>
    <w:p w:rsidR="003D0F58" w:rsidRPr="00DD03D6" w:rsidRDefault="007E2E00" w:rsidP="007E2E00">
      <w:pPr>
        <w:pStyle w:val="H23G"/>
        <w:ind w:firstLine="0"/>
        <w:rPr>
          <w:noProof/>
          <w:lang w:val="fr-FR"/>
        </w:rPr>
      </w:pPr>
      <w:r>
        <w:rPr>
          <w:noProof/>
          <w:lang w:val="fr-FR"/>
        </w:rPr>
        <w:t xml:space="preserve">Radiodiffusion et publicité </w:t>
      </w:r>
    </w:p>
    <w:p w:rsidR="003D0F58" w:rsidRPr="00DD03D6" w:rsidRDefault="007E2E00" w:rsidP="00654EEC">
      <w:pPr>
        <w:pStyle w:val="SingleTxtG"/>
        <w:numPr>
          <w:ilvl w:val="0"/>
          <w:numId w:val="3"/>
        </w:numPr>
        <w:ind w:left="1134" w:firstLine="0"/>
        <w:rPr>
          <w:noProof/>
          <w:lang w:val="fr-FR"/>
        </w:rPr>
      </w:pPr>
      <w:r>
        <w:rPr>
          <w:noProof/>
          <w:lang w:val="fr-FR"/>
        </w:rPr>
        <w:t>E</w:t>
      </w:r>
      <w:r w:rsidR="003D0F58" w:rsidRPr="00DD03D6">
        <w:rPr>
          <w:noProof/>
          <w:lang w:val="fr-FR"/>
        </w:rPr>
        <w:t xml:space="preserve">n </w:t>
      </w:r>
      <w:r>
        <w:rPr>
          <w:noProof/>
          <w:lang w:val="fr-FR"/>
        </w:rPr>
        <w:t xml:space="preserve">janvier </w:t>
      </w:r>
      <w:r w:rsidR="003D0F58" w:rsidRPr="00DD03D6">
        <w:rPr>
          <w:noProof/>
          <w:lang w:val="fr-FR"/>
        </w:rPr>
        <w:t xml:space="preserve">2007, </w:t>
      </w:r>
      <w:r>
        <w:rPr>
          <w:noProof/>
          <w:lang w:val="fr-FR"/>
        </w:rPr>
        <w:t>l</w:t>
      </w:r>
      <w:r w:rsidRPr="007E2E00">
        <w:rPr>
          <w:noProof/>
          <w:color w:val="000000"/>
          <w:lang w:val="fr-FR"/>
        </w:rPr>
        <w:t>’Autorité irlandaise en matière de normes publicitaires</w:t>
      </w:r>
      <w:r>
        <w:rPr>
          <w:noProof/>
          <w:color w:val="000000"/>
          <w:lang w:val="fr-FR"/>
        </w:rPr>
        <w:t xml:space="preserve"> a présenté une version révisée du </w:t>
      </w:r>
      <w:r>
        <w:rPr>
          <w:i/>
          <w:noProof/>
          <w:color w:val="000000"/>
          <w:lang w:val="fr-FR"/>
        </w:rPr>
        <w:t xml:space="preserve">Manuel d’autoréglementation de la publicité et </w:t>
      </w:r>
      <w:r w:rsidR="00823EE4">
        <w:rPr>
          <w:i/>
          <w:noProof/>
          <w:color w:val="000000"/>
          <w:lang w:val="fr-FR"/>
        </w:rPr>
        <w:t xml:space="preserve">Ensemble de normes relatives à la publicité et au marketing promotionnel et direct en Irlande </w:t>
      </w:r>
      <w:r w:rsidR="00823EE4">
        <w:rPr>
          <w:noProof/>
          <w:color w:val="000000"/>
          <w:lang w:val="fr-FR"/>
        </w:rPr>
        <w:t>(</w:t>
      </w:r>
      <w:r>
        <w:rPr>
          <w:i/>
          <w:noProof/>
          <w:color w:val="000000"/>
          <w:lang w:val="fr-FR"/>
        </w:rPr>
        <w:t xml:space="preserve">Code </w:t>
      </w:r>
      <w:r w:rsidR="003D0F58" w:rsidRPr="00DD03D6">
        <w:rPr>
          <w:i/>
          <w:iCs/>
          <w:noProof/>
          <w:lang w:val="fr-FR"/>
        </w:rPr>
        <w:t>Manual of Advertising Self-Regulation with the Code of Standards for Advertising, Promotional and Direct Marketing in Ireland</w:t>
      </w:r>
      <w:r w:rsidR="00823EE4">
        <w:rPr>
          <w:noProof/>
          <w:lang w:val="fr-FR"/>
        </w:rPr>
        <w:t xml:space="preserve">) </w:t>
      </w:r>
      <w:r w:rsidR="003D0F58" w:rsidRPr="00DD03D6">
        <w:rPr>
          <w:noProof/>
          <w:lang w:val="fr-FR"/>
        </w:rPr>
        <w:t>(6</w:t>
      </w:r>
      <w:r w:rsidR="00823EE4" w:rsidRPr="00823EE4">
        <w:rPr>
          <w:noProof/>
          <w:vertAlign w:val="superscript"/>
          <w:lang w:val="fr-FR"/>
        </w:rPr>
        <w:t>e</w:t>
      </w:r>
      <w:r w:rsidR="00823EE4">
        <w:rPr>
          <w:noProof/>
          <w:lang w:val="fr-FR"/>
        </w:rPr>
        <w:t xml:space="preserve"> é</w:t>
      </w:r>
      <w:r w:rsidR="003D0F58" w:rsidRPr="00DD03D6">
        <w:rPr>
          <w:noProof/>
          <w:lang w:val="fr-FR"/>
        </w:rPr>
        <w:t xml:space="preserve">dition). </w:t>
      </w:r>
      <w:r w:rsidR="00823EE4">
        <w:rPr>
          <w:noProof/>
          <w:lang w:val="fr-FR"/>
        </w:rPr>
        <w:t xml:space="preserve">Ce manuel contient un </w:t>
      </w:r>
      <w:r w:rsidR="003D0F58" w:rsidRPr="00DD03D6">
        <w:rPr>
          <w:noProof/>
          <w:lang w:val="fr-FR"/>
        </w:rPr>
        <w:t>chap</w:t>
      </w:r>
      <w:r w:rsidR="00823EE4">
        <w:rPr>
          <w:noProof/>
          <w:lang w:val="fr-FR"/>
        </w:rPr>
        <w:t>itre sur la publicité et les enfants</w:t>
      </w:r>
      <w:r w:rsidR="003D0F58" w:rsidRPr="00DD03D6">
        <w:rPr>
          <w:noProof/>
          <w:lang w:val="fr-FR"/>
        </w:rPr>
        <w:t xml:space="preserve">, </w:t>
      </w:r>
      <w:r w:rsidR="00823EE4">
        <w:rPr>
          <w:noProof/>
          <w:lang w:val="fr-FR"/>
        </w:rPr>
        <w:t xml:space="preserve">où sont énoncées diverses normes qui considèrent que les caractéristiques spécifiques aux enfants doivent être respectées, représentent </w:t>
      </w:r>
      <w:r w:rsidR="00BE7CC7">
        <w:rPr>
          <w:noProof/>
          <w:lang w:val="fr-FR"/>
        </w:rPr>
        <w:t>ces derniers</w:t>
      </w:r>
      <w:r w:rsidR="00823EE4">
        <w:rPr>
          <w:noProof/>
          <w:lang w:val="fr-FR"/>
        </w:rPr>
        <w:t xml:space="preserve"> d’une manière appropriée et </w:t>
      </w:r>
      <w:r w:rsidR="003D0F58" w:rsidRPr="00DD03D6">
        <w:rPr>
          <w:noProof/>
          <w:lang w:val="fr-FR"/>
        </w:rPr>
        <w:t xml:space="preserve">inoffensive, </w:t>
      </w:r>
      <w:r w:rsidR="00823EE4">
        <w:rPr>
          <w:noProof/>
          <w:lang w:val="fr-FR"/>
        </w:rPr>
        <w:t xml:space="preserve">les protègent contre les atteintes physiques, psychologiques et </w:t>
      </w:r>
      <w:r w:rsidR="003D0F58" w:rsidRPr="00DD03D6">
        <w:rPr>
          <w:noProof/>
          <w:lang w:val="fr-FR"/>
        </w:rPr>
        <w:t>moral</w:t>
      </w:r>
      <w:r w:rsidR="00823EE4">
        <w:rPr>
          <w:noProof/>
          <w:lang w:val="fr-FR"/>
        </w:rPr>
        <w:t>es</w:t>
      </w:r>
      <w:r w:rsidR="003D0F58" w:rsidRPr="00DD03D6">
        <w:rPr>
          <w:noProof/>
          <w:lang w:val="fr-FR"/>
        </w:rPr>
        <w:t xml:space="preserve">, </w:t>
      </w:r>
      <w:r w:rsidR="00823EE4">
        <w:rPr>
          <w:noProof/>
          <w:lang w:val="fr-FR"/>
        </w:rPr>
        <w:t>fait une publicité appropriée pour les produits alimentaires et les boissons destinés aux jeunes et protègent leur droit au respect de la vie privée</w:t>
      </w:r>
      <w:r w:rsidR="003D0F58" w:rsidRPr="00DD03D6">
        <w:rPr>
          <w:noProof/>
          <w:lang w:val="fr-FR"/>
        </w:rPr>
        <w:t>.</w:t>
      </w:r>
    </w:p>
    <w:p w:rsidR="003D0F58" w:rsidRPr="00DD03D6" w:rsidRDefault="00BE7CC7" w:rsidP="00135644">
      <w:pPr>
        <w:pStyle w:val="SingleTxtG"/>
        <w:numPr>
          <w:ilvl w:val="0"/>
          <w:numId w:val="3"/>
        </w:numPr>
        <w:ind w:left="1134" w:firstLine="0"/>
        <w:rPr>
          <w:noProof/>
          <w:lang w:val="fr-FR"/>
        </w:rPr>
      </w:pPr>
      <w:r>
        <w:rPr>
          <w:noProof/>
          <w:lang w:val="fr-FR"/>
        </w:rPr>
        <w:t>Le deuxième rapport périodique de l’Irlande a traité de la question de l’élaboration d’un Code de</w:t>
      </w:r>
      <w:r w:rsidR="00E12AEA">
        <w:rPr>
          <w:noProof/>
          <w:lang w:val="fr-FR"/>
        </w:rPr>
        <w:t xml:space="preserve"> la publicité destinée aux </w:t>
      </w:r>
      <w:r>
        <w:rPr>
          <w:noProof/>
          <w:lang w:val="fr-FR"/>
        </w:rPr>
        <w:t xml:space="preserve">enfants par la </w:t>
      </w:r>
      <w:r w:rsidRPr="00BE7CC7">
        <w:rPr>
          <w:noProof/>
          <w:color w:val="000000"/>
          <w:lang w:val="fr-FR"/>
        </w:rPr>
        <w:t>Commission des services radiophoniques et télévisuels irlandais</w:t>
      </w:r>
      <w:r w:rsidRPr="00487473">
        <w:rPr>
          <w:color w:val="000000"/>
          <w:sz w:val="24"/>
          <w:lang w:val="fr-CH"/>
        </w:rPr>
        <w:t xml:space="preserve"> </w:t>
      </w:r>
      <w:r w:rsidR="003D0F58" w:rsidRPr="00DD03D6">
        <w:rPr>
          <w:noProof/>
          <w:lang w:val="fr-FR"/>
        </w:rPr>
        <w:t>(</w:t>
      </w:r>
      <w:r>
        <w:rPr>
          <w:noProof/>
          <w:lang w:val="fr-FR"/>
        </w:rPr>
        <w:t>devenue depuis l’Autorité en matière de s</w:t>
      </w:r>
      <w:r w:rsidRPr="00BE7CC7">
        <w:rPr>
          <w:noProof/>
          <w:color w:val="000000"/>
          <w:lang w:val="fr-FR"/>
        </w:rPr>
        <w:t>ervices radiophoniques et télévisuels irlandais</w:t>
      </w:r>
      <w:r w:rsidR="003D0F58" w:rsidRPr="00DD03D6">
        <w:rPr>
          <w:noProof/>
          <w:lang w:val="fr-FR"/>
        </w:rPr>
        <w:t>)</w:t>
      </w:r>
      <w:r w:rsidR="003D0F58" w:rsidRPr="00DD03D6">
        <w:rPr>
          <w:rStyle w:val="Appelnotedebasdep"/>
          <w:noProof/>
          <w:lang w:val="fr-FR"/>
        </w:rPr>
        <w:footnoteReference w:id="19"/>
      </w:r>
      <w:r>
        <w:rPr>
          <w:noProof/>
          <w:lang w:val="fr-FR"/>
        </w:rPr>
        <w:t>.</w:t>
      </w:r>
      <w:r w:rsidR="003D0F58" w:rsidRPr="00DD03D6">
        <w:rPr>
          <w:noProof/>
          <w:lang w:val="fr-FR"/>
        </w:rPr>
        <w:t xml:space="preserve"> </w:t>
      </w:r>
      <w:r w:rsidR="00E12AEA">
        <w:rPr>
          <w:noProof/>
          <w:lang w:val="fr-FR"/>
        </w:rPr>
        <w:t xml:space="preserve">Un examen public de ce </w:t>
      </w:r>
      <w:r w:rsidR="003D0F58" w:rsidRPr="00DD03D6">
        <w:rPr>
          <w:noProof/>
          <w:lang w:val="fr-FR"/>
        </w:rPr>
        <w:t xml:space="preserve">code </w:t>
      </w:r>
      <w:r w:rsidR="00E12AEA">
        <w:rPr>
          <w:noProof/>
          <w:lang w:val="fr-FR"/>
        </w:rPr>
        <w:t xml:space="preserve">a été effectué en </w:t>
      </w:r>
      <w:r w:rsidR="003D0F58" w:rsidRPr="00DD03D6">
        <w:rPr>
          <w:noProof/>
          <w:lang w:val="fr-FR"/>
        </w:rPr>
        <w:t xml:space="preserve">2008 </w:t>
      </w:r>
      <w:r w:rsidR="00E12AEA">
        <w:rPr>
          <w:noProof/>
          <w:lang w:val="fr-FR"/>
        </w:rPr>
        <w:t xml:space="preserve">avec les </w:t>
      </w:r>
      <w:r w:rsidR="00E83488">
        <w:rPr>
          <w:noProof/>
          <w:lang w:val="fr-FR"/>
        </w:rPr>
        <w:t>acteurs</w:t>
      </w:r>
      <w:r w:rsidR="00E12AEA">
        <w:rPr>
          <w:noProof/>
          <w:lang w:val="fr-FR"/>
        </w:rPr>
        <w:t xml:space="preserve"> clefs</w:t>
      </w:r>
      <w:r w:rsidR="003D0F58" w:rsidRPr="00DD03D6">
        <w:rPr>
          <w:noProof/>
          <w:lang w:val="fr-FR"/>
        </w:rPr>
        <w:t xml:space="preserve">. </w:t>
      </w:r>
      <w:r w:rsidR="00AB0E95">
        <w:rPr>
          <w:noProof/>
          <w:lang w:val="fr-FR"/>
        </w:rPr>
        <w:t xml:space="preserve">Les résultats de cet examen, publiés en </w:t>
      </w:r>
      <w:r w:rsidR="003D0F58" w:rsidRPr="00DD03D6">
        <w:rPr>
          <w:noProof/>
          <w:lang w:val="fr-FR"/>
        </w:rPr>
        <w:t xml:space="preserve">2009, </w:t>
      </w:r>
      <w:r w:rsidR="00AB0E95">
        <w:rPr>
          <w:noProof/>
          <w:lang w:val="fr-FR"/>
        </w:rPr>
        <w:t xml:space="preserve">ont permis de </w:t>
      </w:r>
      <w:r w:rsidR="003D0F58" w:rsidRPr="00DD03D6">
        <w:rPr>
          <w:noProof/>
          <w:lang w:val="fr-FR"/>
        </w:rPr>
        <w:t>r</w:t>
      </w:r>
      <w:r w:rsidR="00AB0E95">
        <w:rPr>
          <w:noProof/>
          <w:lang w:val="fr-FR"/>
        </w:rPr>
        <w:t>é</w:t>
      </w:r>
      <w:r w:rsidR="003D0F58" w:rsidRPr="00DD03D6">
        <w:rPr>
          <w:noProof/>
          <w:lang w:val="fr-FR"/>
        </w:rPr>
        <w:t>vise</w:t>
      </w:r>
      <w:r w:rsidR="00AB0E95">
        <w:rPr>
          <w:noProof/>
          <w:lang w:val="fr-FR"/>
        </w:rPr>
        <w:t>r</w:t>
      </w:r>
      <w:r w:rsidR="003D0F58" w:rsidRPr="00DD03D6">
        <w:rPr>
          <w:noProof/>
          <w:lang w:val="fr-FR"/>
        </w:rPr>
        <w:t xml:space="preserve"> </w:t>
      </w:r>
      <w:r w:rsidR="00AB0E95">
        <w:rPr>
          <w:noProof/>
          <w:lang w:val="fr-FR"/>
        </w:rPr>
        <w:t xml:space="preserve">un certain nombre de </w:t>
      </w:r>
      <w:r w:rsidR="003D0F58" w:rsidRPr="00DD03D6">
        <w:rPr>
          <w:noProof/>
          <w:lang w:val="fr-FR"/>
        </w:rPr>
        <w:t>part</w:t>
      </w:r>
      <w:r w:rsidR="00AB0E95">
        <w:rPr>
          <w:noProof/>
          <w:lang w:val="fr-FR"/>
        </w:rPr>
        <w:t>ie</w:t>
      </w:r>
      <w:r w:rsidR="003D0F58" w:rsidRPr="00DD03D6">
        <w:rPr>
          <w:noProof/>
          <w:lang w:val="fr-FR"/>
        </w:rPr>
        <w:t xml:space="preserve">s </w:t>
      </w:r>
      <w:r w:rsidR="00AB0E95">
        <w:rPr>
          <w:noProof/>
          <w:lang w:val="fr-FR"/>
        </w:rPr>
        <w:t xml:space="preserve">de ce </w:t>
      </w:r>
      <w:r w:rsidR="003D0F58" w:rsidRPr="00DD03D6">
        <w:rPr>
          <w:noProof/>
          <w:lang w:val="fr-FR"/>
        </w:rPr>
        <w:t xml:space="preserve">code, </w:t>
      </w:r>
      <w:r w:rsidR="00AB0E95">
        <w:rPr>
          <w:noProof/>
          <w:lang w:val="fr-FR"/>
        </w:rPr>
        <w:t xml:space="preserve">notamment les règles concernant les produits alimentaires et les boissons, et de publier des </w:t>
      </w:r>
      <w:r w:rsidR="005E3A0A">
        <w:rPr>
          <w:noProof/>
          <w:lang w:val="fr-FR"/>
        </w:rPr>
        <w:t xml:space="preserve">notes d’orientation </w:t>
      </w:r>
      <w:r w:rsidR="00EC4153">
        <w:rPr>
          <w:noProof/>
          <w:lang w:val="fr-FR"/>
        </w:rPr>
        <w:t xml:space="preserve">en rapport avec </w:t>
      </w:r>
      <w:r w:rsidR="005E3A0A">
        <w:rPr>
          <w:noProof/>
          <w:lang w:val="fr-FR"/>
        </w:rPr>
        <w:t xml:space="preserve">d’autres règles. </w:t>
      </w:r>
      <w:r w:rsidR="00B531DA">
        <w:rPr>
          <w:noProof/>
          <w:lang w:val="fr-FR"/>
        </w:rPr>
        <w:t>C</w:t>
      </w:r>
      <w:r w:rsidR="005E3A0A">
        <w:rPr>
          <w:noProof/>
          <w:lang w:val="fr-FR"/>
        </w:rPr>
        <w:t xml:space="preserve">e code a ensuite été actualisé afin de transposer en droit irlandais la Directive relative aux services de médias audiovisuels </w:t>
      </w:r>
      <w:r w:rsidR="003D0F58" w:rsidRPr="00DD03D6">
        <w:rPr>
          <w:noProof/>
          <w:lang w:val="fr-FR"/>
        </w:rPr>
        <w:t xml:space="preserve">(Directive </w:t>
      </w:r>
      <w:r w:rsidR="005E3A0A">
        <w:rPr>
          <w:noProof/>
          <w:lang w:val="fr-FR"/>
        </w:rPr>
        <w:t xml:space="preserve">du Conseil </w:t>
      </w:r>
      <w:r w:rsidR="003D0F58" w:rsidRPr="00DD03D6">
        <w:rPr>
          <w:noProof/>
          <w:lang w:val="fr-FR"/>
        </w:rPr>
        <w:t>2010/13/U</w:t>
      </w:r>
      <w:r w:rsidR="005E3A0A">
        <w:rPr>
          <w:noProof/>
          <w:lang w:val="fr-FR"/>
        </w:rPr>
        <w:t>E</w:t>
      </w:r>
      <w:r w:rsidR="003D0F58" w:rsidRPr="00DD03D6">
        <w:rPr>
          <w:noProof/>
          <w:lang w:val="fr-FR"/>
        </w:rPr>
        <w:t xml:space="preserve">) </w:t>
      </w:r>
      <w:r w:rsidR="005E3A0A">
        <w:rPr>
          <w:noProof/>
          <w:lang w:val="fr-FR"/>
        </w:rPr>
        <w:t>et un nouveau Code des commun</w:t>
      </w:r>
      <w:r w:rsidR="00B531DA">
        <w:rPr>
          <w:noProof/>
          <w:lang w:val="fr-FR"/>
        </w:rPr>
        <w:t>ic</w:t>
      </w:r>
      <w:r w:rsidR="005E3A0A">
        <w:rPr>
          <w:noProof/>
          <w:lang w:val="fr-FR"/>
        </w:rPr>
        <w:t xml:space="preserve">ations commerciales s’adressant aux enfants, plus étoffé, est entré en vigueur en mai </w:t>
      </w:r>
      <w:r w:rsidR="003D0F58" w:rsidRPr="00DD03D6">
        <w:rPr>
          <w:noProof/>
          <w:lang w:val="fr-FR"/>
        </w:rPr>
        <w:t xml:space="preserve">2011. </w:t>
      </w:r>
      <w:r w:rsidR="005E3A0A">
        <w:rPr>
          <w:noProof/>
          <w:lang w:val="fr-FR"/>
        </w:rPr>
        <w:t>E</w:t>
      </w:r>
      <w:r w:rsidR="003D0F58" w:rsidRPr="00DD03D6">
        <w:rPr>
          <w:noProof/>
          <w:lang w:val="fr-FR"/>
        </w:rPr>
        <w:t xml:space="preserve">n 2011 </w:t>
      </w:r>
      <w:r w:rsidR="005E3A0A">
        <w:rPr>
          <w:noProof/>
          <w:lang w:val="fr-FR"/>
        </w:rPr>
        <w:t>et</w:t>
      </w:r>
      <w:r w:rsidR="003D0F58" w:rsidRPr="00DD03D6">
        <w:rPr>
          <w:noProof/>
          <w:lang w:val="fr-FR"/>
        </w:rPr>
        <w:t xml:space="preserve"> 2012, </w:t>
      </w:r>
      <w:r w:rsidR="005E3A0A">
        <w:rPr>
          <w:noProof/>
          <w:lang w:val="fr-FR"/>
        </w:rPr>
        <w:t>l’Autorité en matière de s</w:t>
      </w:r>
      <w:r w:rsidR="005E3A0A" w:rsidRPr="00BE7CC7">
        <w:rPr>
          <w:noProof/>
          <w:color w:val="000000"/>
          <w:lang w:val="fr-FR"/>
        </w:rPr>
        <w:t>ervices radiophoniques et télévisuels irlandais</w:t>
      </w:r>
      <w:r w:rsidR="005E3A0A" w:rsidRPr="00DD03D6">
        <w:rPr>
          <w:noProof/>
          <w:lang w:val="fr-FR"/>
        </w:rPr>
        <w:t xml:space="preserve"> </w:t>
      </w:r>
      <w:r w:rsidR="00B531DA">
        <w:rPr>
          <w:noProof/>
          <w:lang w:val="fr-FR"/>
        </w:rPr>
        <w:t xml:space="preserve">a pris conseil en ce qui concerne la réglementation à appliquer à la </w:t>
      </w:r>
      <w:r w:rsidR="003D0F58" w:rsidRPr="00DD03D6">
        <w:rPr>
          <w:noProof/>
          <w:lang w:val="fr-FR"/>
        </w:rPr>
        <w:t xml:space="preserve">promotion, </w:t>
      </w:r>
      <w:r w:rsidR="00B531DA">
        <w:rPr>
          <w:noProof/>
          <w:lang w:val="fr-FR"/>
        </w:rPr>
        <w:t xml:space="preserve">par le biais des </w:t>
      </w:r>
      <w:r w:rsidR="003D0F58" w:rsidRPr="00DD03D6">
        <w:rPr>
          <w:noProof/>
          <w:lang w:val="fr-FR"/>
        </w:rPr>
        <w:t>communications</w:t>
      </w:r>
      <w:r w:rsidR="00B531DA">
        <w:rPr>
          <w:noProof/>
          <w:lang w:val="fr-FR"/>
        </w:rPr>
        <w:t xml:space="preserve"> commerciales s’adressant aux enfants</w:t>
      </w:r>
      <w:r w:rsidR="003D0F58" w:rsidRPr="00DD03D6">
        <w:rPr>
          <w:noProof/>
          <w:lang w:val="fr-FR"/>
        </w:rPr>
        <w:t xml:space="preserve">, </w:t>
      </w:r>
      <w:r w:rsidR="00B531DA">
        <w:rPr>
          <w:noProof/>
          <w:lang w:val="fr-FR"/>
        </w:rPr>
        <w:t>de produits alimentaires riches en graisses, sel et sucre</w:t>
      </w:r>
      <w:r w:rsidR="003D0F58" w:rsidRPr="00DD03D6">
        <w:rPr>
          <w:noProof/>
          <w:lang w:val="fr-FR"/>
        </w:rPr>
        <w:t xml:space="preserve">. </w:t>
      </w:r>
      <w:r w:rsidR="00B531DA">
        <w:rPr>
          <w:noProof/>
          <w:lang w:val="fr-FR"/>
        </w:rPr>
        <w:t xml:space="preserve">Un nouveau </w:t>
      </w:r>
      <w:r w:rsidR="003D0F58" w:rsidRPr="00DD03D6">
        <w:rPr>
          <w:noProof/>
          <w:lang w:val="fr-FR"/>
        </w:rPr>
        <w:t xml:space="preserve">code, </w:t>
      </w:r>
      <w:r w:rsidR="00B531DA">
        <w:rPr>
          <w:noProof/>
          <w:lang w:val="fr-FR"/>
        </w:rPr>
        <w:t xml:space="preserve">contenant notamment des </w:t>
      </w:r>
      <w:r w:rsidR="003D0F58" w:rsidRPr="00DD03D6">
        <w:rPr>
          <w:noProof/>
          <w:lang w:val="fr-FR"/>
        </w:rPr>
        <w:t xml:space="preserve">restrictions </w:t>
      </w:r>
      <w:r w:rsidR="00B531DA">
        <w:rPr>
          <w:noProof/>
          <w:lang w:val="fr-FR"/>
        </w:rPr>
        <w:t xml:space="preserve">et des règles applicables à la </w:t>
      </w:r>
      <w:r w:rsidR="003D0F58" w:rsidRPr="00DD03D6">
        <w:rPr>
          <w:noProof/>
          <w:lang w:val="fr-FR"/>
        </w:rPr>
        <w:t xml:space="preserve">promotion </w:t>
      </w:r>
      <w:r w:rsidR="00B531DA">
        <w:rPr>
          <w:noProof/>
          <w:lang w:val="fr-FR"/>
        </w:rPr>
        <w:t xml:space="preserve">de ces produits alimentaires, sera mis en application au second semestre de </w:t>
      </w:r>
      <w:r w:rsidR="003D0F58" w:rsidRPr="00DD03D6">
        <w:rPr>
          <w:noProof/>
          <w:lang w:val="fr-FR"/>
        </w:rPr>
        <w:t xml:space="preserve">2013. </w:t>
      </w:r>
      <w:r w:rsidR="00B531DA">
        <w:rPr>
          <w:noProof/>
          <w:lang w:val="fr-FR"/>
        </w:rPr>
        <w:t xml:space="preserve">Ce </w:t>
      </w:r>
      <w:r w:rsidR="003D0F58" w:rsidRPr="00DD03D6">
        <w:rPr>
          <w:noProof/>
          <w:lang w:val="fr-FR"/>
        </w:rPr>
        <w:t xml:space="preserve">code </w:t>
      </w:r>
      <w:r w:rsidR="00B531DA">
        <w:rPr>
          <w:noProof/>
          <w:lang w:val="fr-FR"/>
        </w:rPr>
        <w:t xml:space="preserve">s’applique </w:t>
      </w:r>
      <w:r w:rsidR="003D0F58" w:rsidRPr="00DD03D6">
        <w:rPr>
          <w:noProof/>
          <w:lang w:val="fr-FR"/>
        </w:rPr>
        <w:t>sp</w:t>
      </w:r>
      <w:r w:rsidR="00B531DA">
        <w:rPr>
          <w:noProof/>
          <w:lang w:val="fr-FR"/>
        </w:rPr>
        <w:t>é</w:t>
      </w:r>
      <w:r w:rsidR="003D0F58" w:rsidRPr="00DD03D6">
        <w:rPr>
          <w:noProof/>
          <w:lang w:val="fr-FR"/>
        </w:rPr>
        <w:t>cifi</w:t>
      </w:r>
      <w:r w:rsidR="00B531DA">
        <w:rPr>
          <w:noProof/>
          <w:lang w:val="fr-FR"/>
        </w:rPr>
        <w:t xml:space="preserve">quement aux </w:t>
      </w:r>
      <w:r w:rsidR="003D0F58" w:rsidRPr="00DD03D6">
        <w:rPr>
          <w:noProof/>
          <w:lang w:val="fr-FR"/>
        </w:rPr>
        <w:t xml:space="preserve">communications </w:t>
      </w:r>
      <w:r w:rsidR="00B531DA">
        <w:rPr>
          <w:noProof/>
          <w:lang w:val="fr-FR"/>
        </w:rPr>
        <w:t xml:space="preserve">commerciales qui font la promotion de produits, de </w:t>
      </w:r>
      <w:r w:rsidR="003D0F58" w:rsidRPr="00DD03D6">
        <w:rPr>
          <w:noProof/>
          <w:lang w:val="fr-FR"/>
        </w:rPr>
        <w:t xml:space="preserve">services </w:t>
      </w:r>
      <w:r w:rsidR="00B531DA">
        <w:rPr>
          <w:noProof/>
          <w:lang w:val="fr-FR"/>
        </w:rPr>
        <w:t>ou d’activités réputés revêtir une intérêt particulier pour les enfants ou qui sont diffusées pendant les émissions pour enfants et entre ces émissions</w:t>
      </w:r>
      <w:r w:rsidR="003D0F58" w:rsidRPr="00DD03D6">
        <w:rPr>
          <w:noProof/>
          <w:lang w:val="fr-FR"/>
        </w:rPr>
        <w:t xml:space="preserve">. </w:t>
      </w:r>
      <w:r w:rsidR="00B531DA">
        <w:rPr>
          <w:noProof/>
          <w:lang w:val="fr-FR"/>
        </w:rPr>
        <w:t>Il est accessible sur le site Web de l’Autorité en matière de s</w:t>
      </w:r>
      <w:r w:rsidR="00B531DA" w:rsidRPr="00BE7CC7">
        <w:rPr>
          <w:noProof/>
          <w:color w:val="000000"/>
          <w:lang w:val="fr-FR"/>
        </w:rPr>
        <w:t>ervices radiophoniques et télévisuels irlandais</w:t>
      </w:r>
      <w:r w:rsidR="00B531DA" w:rsidRPr="00DD03D6">
        <w:rPr>
          <w:noProof/>
          <w:lang w:val="fr-FR"/>
        </w:rPr>
        <w:t xml:space="preserve"> </w:t>
      </w:r>
      <w:r w:rsidR="003D0F58" w:rsidRPr="00DD03D6">
        <w:rPr>
          <w:noProof/>
          <w:lang w:val="fr-FR"/>
        </w:rPr>
        <w:t>(</w:t>
      </w:r>
      <w:hyperlink r:id="rId21" w:history="1">
        <w:r w:rsidR="003D0F58" w:rsidRPr="00DD03D6">
          <w:rPr>
            <w:rStyle w:val="Lienhypertexte"/>
            <w:noProof/>
            <w:lang w:val="fr-FR"/>
          </w:rPr>
          <w:t>www.bai.ie</w:t>
        </w:r>
      </w:hyperlink>
      <w:r w:rsidR="005D7533" w:rsidRPr="00DD03D6">
        <w:rPr>
          <w:noProof/>
          <w:lang w:val="fr-FR"/>
        </w:rPr>
        <w:t xml:space="preserve">) </w:t>
      </w:r>
      <w:r w:rsidR="00B531DA">
        <w:rPr>
          <w:noProof/>
          <w:lang w:val="fr-FR"/>
        </w:rPr>
        <w:t xml:space="preserve">dans la section intitulée </w:t>
      </w:r>
      <w:r w:rsidR="003D0F58" w:rsidRPr="00DD03D6">
        <w:rPr>
          <w:noProof/>
          <w:lang w:val="fr-FR"/>
        </w:rPr>
        <w:t xml:space="preserve">Codes </w:t>
      </w:r>
      <w:r w:rsidR="00B531DA">
        <w:rPr>
          <w:noProof/>
          <w:lang w:val="fr-FR"/>
        </w:rPr>
        <w:t>et normes</w:t>
      </w:r>
      <w:r w:rsidR="003D0F58" w:rsidRPr="00DD03D6">
        <w:rPr>
          <w:noProof/>
          <w:lang w:val="fr-FR"/>
        </w:rPr>
        <w:t>.</w:t>
      </w:r>
    </w:p>
    <w:p w:rsidR="003D0F58" w:rsidRDefault="0090607A" w:rsidP="00654EEC">
      <w:pPr>
        <w:pStyle w:val="SingleTxtG"/>
        <w:numPr>
          <w:ilvl w:val="0"/>
          <w:numId w:val="3"/>
        </w:numPr>
        <w:ind w:left="1134" w:firstLine="0"/>
        <w:rPr>
          <w:noProof/>
          <w:lang w:val="fr-FR"/>
        </w:rPr>
      </w:pPr>
      <w:r>
        <w:rPr>
          <w:noProof/>
          <w:lang w:val="fr-FR"/>
        </w:rPr>
        <w:t xml:space="preserve">La Ministre de l’enfance et de la jeunesse a collaboré avec le secteur du commerce de détail en ce qui concerne l’habillement des enfants en fonction de leur âge et, en juin 2012, a présenté les directives pour le commerce de détail en matière d’habillement des enfants irlandais, qui sont destinées à </w:t>
      </w:r>
      <w:r w:rsidR="003D0F58" w:rsidRPr="00DD03D6">
        <w:rPr>
          <w:noProof/>
          <w:lang w:val="fr-FR"/>
        </w:rPr>
        <w:t>combat</w:t>
      </w:r>
      <w:r>
        <w:rPr>
          <w:noProof/>
          <w:lang w:val="fr-FR"/>
        </w:rPr>
        <w:t>tre la</w:t>
      </w:r>
      <w:r w:rsidR="003D0F58" w:rsidRPr="00DD03D6">
        <w:rPr>
          <w:noProof/>
          <w:lang w:val="fr-FR"/>
        </w:rPr>
        <w:t xml:space="preserve"> sexualisation </w:t>
      </w:r>
      <w:r>
        <w:rPr>
          <w:noProof/>
          <w:lang w:val="fr-FR"/>
        </w:rPr>
        <w:t xml:space="preserve">des jeunes enfants </w:t>
      </w:r>
      <w:r w:rsidR="003D0F58" w:rsidRPr="00DD03D6">
        <w:rPr>
          <w:noProof/>
          <w:lang w:val="fr-FR"/>
        </w:rPr>
        <w:t>(Retail Ireland, 2012).</w:t>
      </w:r>
    </w:p>
    <w:p w:rsidR="003D0F58" w:rsidRPr="00DD03D6" w:rsidRDefault="00572AF6" w:rsidP="00572AF6">
      <w:pPr>
        <w:pStyle w:val="H23G"/>
        <w:ind w:firstLine="0"/>
        <w:rPr>
          <w:noProof/>
          <w:lang w:val="fr-FR"/>
        </w:rPr>
      </w:pPr>
      <w:r>
        <w:rPr>
          <w:noProof/>
          <w:lang w:val="fr-FR"/>
        </w:rPr>
        <w:t>Sécurité sur l’Internet</w:t>
      </w:r>
    </w:p>
    <w:p w:rsidR="003D0F58" w:rsidRPr="00DD03D6" w:rsidRDefault="00572AF6" w:rsidP="00654EEC">
      <w:pPr>
        <w:pStyle w:val="SingleTxtG"/>
        <w:numPr>
          <w:ilvl w:val="0"/>
          <w:numId w:val="3"/>
        </w:numPr>
        <w:ind w:left="1134" w:firstLine="0"/>
        <w:rPr>
          <w:noProof/>
          <w:lang w:val="fr-FR"/>
        </w:rPr>
      </w:pPr>
      <w:r>
        <w:rPr>
          <w:noProof/>
          <w:lang w:val="fr-FR"/>
        </w:rPr>
        <w:t xml:space="preserve">En </w:t>
      </w:r>
      <w:r w:rsidR="003D0F58" w:rsidRPr="00DD03D6">
        <w:rPr>
          <w:noProof/>
          <w:lang w:val="fr-FR"/>
        </w:rPr>
        <w:t xml:space="preserve">2006 </w:t>
      </w:r>
      <w:r>
        <w:rPr>
          <w:noProof/>
          <w:lang w:val="fr-FR"/>
        </w:rPr>
        <w:t>et</w:t>
      </w:r>
      <w:r w:rsidR="003D0F58" w:rsidRPr="00DD03D6">
        <w:rPr>
          <w:noProof/>
          <w:lang w:val="fr-FR"/>
        </w:rPr>
        <w:t xml:space="preserve"> 2007,</w:t>
      </w:r>
      <w:r>
        <w:rPr>
          <w:noProof/>
          <w:lang w:val="fr-FR"/>
        </w:rPr>
        <w:t xml:space="preserve"> le Conseil consultatif pour l’</w:t>
      </w:r>
      <w:r w:rsidR="003D0F58" w:rsidRPr="00DD03D6">
        <w:rPr>
          <w:noProof/>
          <w:lang w:val="fr-FR"/>
        </w:rPr>
        <w:t xml:space="preserve">Internet </w:t>
      </w:r>
      <w:r>
        <w:rPr>
          <w:noProof/>
          <w:lang w:val="fr-FR"/>
        </w:rPr>
        <w:t>a poursuivi son activité de sensibilisation à la question de la sécurité sur l’Internet et des risques qu’il fait courir aux enfants et aux jeunes</w:t>
      </w:r>
      <w:r w:rsidR="003D0F58" w:rsidRPr="00DD03D6">
        <w:rPr>
          <w:noProof/>
          <w:lang w:val="fr-FR"/>
        </w:rPr>
        <w:t xml:space="preserve">. </w:t>
      </w:r>
      <w:r>
        <w:rPr>
          <w:noProof/>
          <w:lang w:val="fr-FR"/>
        </w:rPr>
        <w:t xml:space="preserve">Il a également continué de superviser le rôle du service d’assistance </w:t>
      </w:r>
      <w:r>
        <w:rPr>
          <w:noProof/>
          <w:lang w:val="fr-FR"/>
        </w:rPr>
        <w:lastRenderedPageBreak/>
        <w:t>téléphonique concernant l’</w:t>
      </w:r>
      <w:r w:rsidR="003D0F58" w:rsidRPr="00DD03D6">
        <w:rPr>
          <w:noProof/>
          <w:lang w:val="fr-FR"/>
        </w:rPr>
        <w:t xml:space="preserve">Internet, </w:t>
      </w:r>
      <w:r>
        <w:rPr>
          <w:noProof/>
          <w:lang w:val="fr-FR"/>
        </w:rPr>
        <w:t>lequel permet de signaler de façon anonyme tout contenu présumé illégal sur l’Internet</w:t>
      </w:r>
      <w:r w:rsidR="003D0F58" w:rsidRPr="00DD03D6">
        <w:rPr>
          <w:noProof/>
          <w:lang w:val="fr-FR"/>
        </w:rPr>
        <w:t>.</w:t>
      </w:r>
    </w:p>
    <w:p w:rsidR="003D0F58" w:rsidRPr="00DD03D6" w:rsidRDefault="00572AF6" w:rsidP="00654EEC">
      <w:pPr>
        <w:pStyle w:val="SingleTxtG"/>
        <w:numPr>
          <w:ilvl w:val="0"/>
          <w:numId w:val="3"/>
        </w:numPr>
        <w:ind w:left="1134" w:firstLine="0"/>
        <w:rPr>
          <w:i/>
          <w:iCs/>
          <w:noProof/>
          <w:lang w:val="fr-FR"/>
        </w:rPr>
      </w:pPr>
      <w:r>
        <w:rPr>
          <w:noProof/>
          <w:lang w:val="fr-FR"/>
        </w:rPr>
        <w:t>Le Bureau de la sécurité sur l’</w:t>
      </w:r>
      <w:r w:rsidR="003D0F58" w:rsidRPr="00DD03D6">
        <w:rPr>
          <w:noProof/>
          <w:lang w:val="fr-FR"/>
        </w:rPr>
        <w:t xml:space="preserve">Internet </w:t>
      </w:r>
      <w:r>
        <w:rPr>
          <w:noProof/>
          <w:lang w:val="fr-FR"/>
        </w:rPr>
        <w:t xml:space="preserve">a été créé en </w:t>
      </w:r>
      <w:r w:rsidR="003D0F58" w:rsidRPr="00DD03D6">
        <w:rPr>
          <w:noProof/>
          <w:lang w:val="fr-FR"/>
        </w:rPr>
        <w:t xml:space="preserve">2008 </w:t>
      </w:r>
      <w:r>
        <w:rPr>
          <w:noProof/>
          <w:lang w:val="fr-FR"/>
        </w:rPr>
        <w:t xml:space="preserve">pour répondre aux préoccupations croissantes </w:t>
      </w:r>
      <w:r w:rsidR="00A32DDC">
        <w:rPr>
          <w:noProof/>
          <w:lang w:val="fr-FR"/>
        </w:rPr>
        <w:t>au sujet de</w:t>
      </w:r>
      <w:r>
        <w:rPr>
          <w:noProof/>
          <w:lang w:val="fr-FR"/>
        </w:rPr>
        <w:t xml:space="preserve"> la sécurité sur l’Internet et </w:t>
      </w:r>
      <w:r w:rsidR="00396E5C">
        <w:rPr>
          <w:noProof/>
          <w:lang w:val="fr-FR"/>
        </w:rPr>
        <w:t>a pris la relève du Conseil consultatif pour l’</w:t>
      </w:r>
      <w:r w:rsidR="00396E5C" w:rsidRPr="00DD03D6">
        <w:rPr>
          <w:noProof/>
          <w:lang w:val="fr-FR"/>
        </w:rPr>
        <w:t>Internet</w:t>
      </w:r>
      <w:r w:rsidR="003D0F58" w:rsidRPr="00DD03D6">
        <w:rPr>
          <w:noProof/>
          <w:lang w:val="fr-FR"/>
        </w:rPr>
        <w:t xml:space="preserve">. </w:t>
      </w:r>
      <w:r w:rsidR="00396E5C">
        <w:rPr>
          <w:noProof/>
          <w:lang w:val="fr-FR"/>
        </w:rPr>
        <w:t xml:space="preserve">Ce Bureau est chargé de </w:t>
      </w:r>
      <w:r w:rsidR="003D0F58" w:rsidRPr="00DD03D6">
        <w:rPr>
          <w:noProof/>
          <w:lang w:val="fr-FR"/>
        </w:rPr>
        <w:t>coord</w:t>
      </w:r>
      <w:r w:rsidR="00396E5C">
        <w:rPr>
          <w:noProof/>
          <w:lang w:val="fr-FR"/>
        </w:rPr>
        <w:t>onner les mesures devant garantir un environnement Internet plus sûr</w:t>
      </w:r>
      <w:r w:rsidR="003D0F58" w:rsidRPr="00DD03D6">
        <w:rPr>
          <w:noProof/>
          <w:lang w:val="fr-FR"/>
        </w:rPr>
        <w:t xml:space="preserve">, </w:t>
      </w:r>
      <w:r w:rsidR="00396E5C">
        <w:rPr>
          <w:noProof/>
          <w:lang w:val="fr-FR"/>
        </w:rPr>
        <w:t xml:space="preserve">en particulier pour les enfants et les jeunes, </w:t>
      </w:r>
      <w:r w:rsidR="00BC18A7">
        <w:rPr>
          <w:noProof/>
          <w:lang w:val="fr-FR"/>
        </w:rPr>
        <w:t>sur la base de l</w:t>
      </w:r>
      <w:r w:rsidR="00396E5C">
        <w:rPr>
          <w:noProof/>
          <w:lang w:val="fr-FR"/>
        </w:rPr>
        <w:t xml:space="preserve">’autorégulation et de </w:t>
      </w:r>
      <w:r w:rsidR="00BC18A7">
        <w:rPr>
          <w:noProof/>
          <w:lang w:val="fr-FR"/>
        </w:rPr>
        <w:t xml:space="preserve">la </w:t>
      </w:r>
      <w:r w:rsidR="00396E5C">
        <w:rPr>
          <w:noProof/>
          <w:lang w:val="fr-FR"/>
        </w:rPr>
        <w:t>coopération, et s’emploie en particulier à combattre la pédopornographie</w:t>
      </w:r>
      <w:r w:rsidR="003D0F58" w:rsidRPr="00DD03D6">
        <w:rPr>
          <w:noProof/>
          <w:lang w:val="fr-FR"/>
        </w:rPr>
        <w:t xml:space="preserve">. </w:t>
      </w:r>
      <w:r w:rsidR="00396E5C">
        <w:rPr>
          <w:noProof/>
          <w:lang w:val="fr-FR"/>
        </w:rPr>
        <w:t xml:space="preserve">Il a d’ores et déjà publié diverses </w:t>
      </w:r>
      <w:r w:rsidR="003D0F58" w:rsidRPr="00DD03D6">
        <w:rPr>
          <w:noProof/>
          <w:lang w:val="fr-FR"/>
        </w:rPr>
        <w:t xml:space="preserve">publications </w:t>
      </w:r>
      <w:r w:rsidR="00BC18A7">
        <w:rPr>
          <w:noProof/>
          <w:lang w:val="fr-FR"/>
        </w:rPr>
        <w:t>qui contiennent des conseils relatifs à la sécurité sur l’Internet</w:t>
      </w:r>
      <w:r w:rsidR="003D0F58" w:rsidRPr="00DD03D6">
        <w:rPr>
          <w:noProof/>
          <w:lang w:val="fr-FR"/>
        </w:rPr>
        <w:t xml:space="preserve">, </w:t>
      </w:r>
      <w:r w:rsidR="00BC18A7">
        <w:rPr>
          <w:noProof/>
          <w:lang w:val="fr-FR"/>
        </w:rPr>
        <w:t xml:space="preserve">et notamment un </w:t>
      </w:r>
      <w:r w:rsidR="00BC18A7" w:rsidRPr="00BC18A7">
        <w:rPr>
          <w:i/>
          <w:lang w:val="fr-CH"/>
        </w:rPr>
        <w:t>Guide des nouvelles technologies de la communication à l’intention des parents</w:t>
      </w:r>
      <w:r w:rsidR="003D0F58" w:rsidRPr="00DD03D6">
        <w:rPr>
          <w:iCs/>
          <w:noProof/>
          <w:lang w:val="fr-FR"/>
        </w:rPr>
        <w:t>,</w:t>
      </w:r>
      <w:r w:rsidR="003D0F58" w:rsidRPr="00DD03D6">
        <w:rPr>
          <w:i/>
          <w:iCs/>
          <w:noProof/>
          <w:lang w:val="fr-FR"/>
        </w:rPr>
        <w:t xml:space="preserve"> </w:t>
      </w:r>
      <w:r w:rsidR="00A32DDC">
        <w:rPr>
          <w:iCs/>
          <w:noProof/>
          <w:lang w:val="fr-FR"/>
        </w:rPr>
        <w:t xml:space="preserve">un </w:t>
      </w:r>
      <w:r w:rsidR="00A32DDC" w:rsidRPr="00A32DDC">
        <w:rPr>
          <w:i/>
          <w:lang w:val="fr-CH"/>
        </w:rPr>
        <w:t>Guide des technologies de filtrage à l’intention des parents</w:t>
      </w:r>
      <w:r w:rsidR="003D0F58" w:rsidRPr="00DD03D6">
        <w:rPr>
          <w:iCs/>
          <w:noProof/>
          <w:lang w:val="fr-FR"/>
        </w:rPr>
        <w:t>,</w:t>
      </w:r>
      <w:r w:rsidR="00A32DDC">
        <w:rPr>
          <w:iCs/>
          <w:noProof/>
          <w:lang w:val="fr-FR"/>
        </w:rPr>
        <w:t xml:space="preserve"> un</w:t>
      </w:r>
      <w:r w:rsidR="003D0F58" w:rsidRPr="00DD03D6">
        <w:rPr>
          <w:i/>
          <w:iCs/>
          <w:noProof/>
          <w:lang w:val="fr-FR"/>
        </w:rPr>
        <w:t xml:space="preserve"> </w:t>
      </w:r>
      <w:r w:rsidR="00A32DDC" w:rsidRPr="00A32DDC">
        <w:rPr>
          <w:i/>
          <w:lang w:val="fr-CH"/>
        </w:rPr>
        <w:t>Guide des réseaux sociaux à l’intention des parents</w:t>
      </w:r>
      <w:r w:rsidR="00A32DDC" w:rsidRPr="00DD03D6">
        <w:rPr>
          <w:i/>
          <w:iCs/>
          <w:noProof/>
          <w:lang w:val="fr-FR"/>
        </w:rPr>
        <w:t xml:space="preserve"> </w:t>
      </w:r>
      <w:r w:rsidR="00A32DDC">
        <w:rPr>
          <w:iCs/>
          <w:noProof/>
          <w:lang w:val="fr-FR"/>
        </w:rPr>
        <w:t xml:space="preserve">et un </w:t>
      </w:r>
      <w:r w:rsidR="00A32DDC" w:rsidRPr="00A32DDC">
        <w:rPr>
          <w:i/>
          <w:noProof/>
          <w:lang w:val="fr-FR"/>
        </w:rPr>
        <w:t>Guide de la cyberintimidation</w:t>
      </w:r>
      <w:r w:rsidR="003D0F58" w:rsidRPr="00DD03D6">
        <w:rPr>
          <w:i/>
          <w:iCs/>
          <w:noProof/>
          <w:lang w:val="fr-FR"/>
        </w:rPr>
        <w:t>.</w:t>
      </w:r>
    </w:p>
    <w:p w:rsidR="003D0F58" w:rsidRPr="00DD03D6" w:rsidRDefault="00887A8E" w:rsidP="00654EEC">
      <w:pPr>
        <w:pStyle w:val="SingleTxtG"/>
        <w:numPr>
          <w:ilvl w:val="0"/>
          <w:numId w:val="3"/>
        </w:numPr>
        <w:ind w:left="1134" w:firstLine="0"/>
        <w:rPr>
          <w:noProof/>
          <w:lang w:val="fr-FR"/>
        </w:rPr>
      </w:pPr>
      <w:r>
        <w:rPr>
          <w:noProof/>
          <w:lang w:val="fr-FR"/>
        </w:rPr>
        <w:t>Le Bureau de la sécurité sur l’</w:t>
      </w:r>
      <w:r w:rsidRPr="00DD03D6">
        <w:rPr>
          <w:noProof/>
          <w:lang w:val="fr-FR"/>
        </w:rPr>
        <w:t xml:space="preserve">Internet </w:t>
      </w:r>
      <w:r>
        <w:rPr>
          <w:lang w:val="fr-CH"/>
        </w:rPr>
        <w:t>gère le projet «</w:t>
      </w:r>
      <w:r w:rsidR="00FD2518">
        <w:rPr>
          <w:lang w:val="fr-CH"/>
        </w:rPr>
        <w:t> </w:t>
      </w:r>
      <w:r>
        <w:rPr>
          <w:lang w:val="fr-CH"/>
        </w:rPr>
        <w:t xml:space="preserve">Pour un Internet plus sûr en </w:t>
      </w:r>
      <w:r w:rsidR="00FD2518">
        <w:rPr>
          <w:lang w:val="fr-CH"/>
        </w:rPr>
        <w:t>Irlande </w:t>
      </w:r>
      <w:r>
        <w:rPr>
          <w:lang w:val="fr-CH"/>
        </w:rPr>
        <w:t xml:space="preserve">», qui est financé par le </w:t>
      </w:r>
      <w:r w:rsidRPr="00887A8E">
        <w:rPr>
          <w:i/>
          <w:lang w:val="fr-CH"/>
        </w:rPr>
        <w:t>Programme pour un Internet plus sûr</w:t>
      </w:r>
      <w:r>
        <w:rPr>
          <w:lang w:val="fr-CH"/>
        </w:rPr>
        <w:t xml:space="preserve"> de l’Union européenne. À cet égard, diverses initiatives sont en cours</w:t>
      </w:r>
      <w:r w:rsidRPr="00DD03D6">
        <w:rPr>
          <w:noProof/>
          <w:lang w:val="fr-FR"/>
        </w:rPr>
        <w:t xml:space="preserve"> </w:t>
      </w:r>
      <w:r w:rsidR="003D0F58" w:rsidRPr="00DD03D6">
        <w:rPr>
          <w:noProof/>
          <w:lang w:val="fr-FR"/>
        </w:rPr>
        <w:t>:</w:t>
      </w:r>
    </w:p>
    <w:p w:rsidR="003D0F58" w:rsidRPr="00DD03D6" w:rsidRDefault="00D2639A" w:rsidP="002135F8">
      <w:pPr>
        <w:pStyle w:val="Bullet1G"/>
        <w:tabs>
          <w:tab w:val="clear" w:pos="1701"/>
        </w:tabs>
        <w:ind w:left="1843" w:hanging="142"/>
        <w:rPr>
          <w:noProof/>
          <w:lang w:val="fr-FR"/>
        </w:rPr>
      </w:pPr>
      <w:r>
        <w:rPr>
          <w:lang w:val="fr-CH"/>
        </w:rPr>
        <w:t>Fonctionnement</w:t>
      </w:r>
      <w:r w:rsidR="00887A8E">
        <w:rPr>
          <w:lang w:val="fr-CH"/>
        </w:rPr>
        <w:t xml:space="preserve"> de la permanence téléphonique (</w:t>
      </w:r>
      <w:hyperlink r:id="rId22" w:history="1">
        <w:r w:rsidRPr="00DD03D6">
          <w:rPr>
            <w:rStyle w:val="Lienhypertexte"/>
            <w:noProof/>
            <w:color w:val="0066FF"/>
            <w:u w:val="single"/>
            <w:lang w:val="fr-FR"/>
          </w:rPr>
          <w:t>www.hotline.ie</w:t>
        </w:r>
      </w:hyperlink>
      <w:r w:rsidR="00887A8E">
        <w:rPr>
          <w:lang w:val="fr-CH"/>
        </w:rPr>
        <w:t xml:space="preserve">), </w:t>
      </w:r>
      <w:r w:rsidR="00C36BC7">
        <w:rPr>
          <w:lang w:val="fr-CH"/>
        </w:rPr>
        <w:t xml:space="preserve">qui est </w:t>
      </w:r>
      <w:r w:rsidR="00887A8E">
        <w:rPr>
          <w:lang w:val="fr-CH"/>
        </w:rPr>
        <w:t xml:space="preserve">cofinancée et gérée par l’Association des fournisseurs d’accès à </w:t>
      </w:r>
      <w:r>
        <w:rPr>
          <w:lang w:val="fr-CH"/>
        </w:rPr>
        <w:t>l’</w:t>
      </w:r>
      <w:r w:rsidR="00887A8E">
        <w:rPr>
          <w:lang w:val="fr-CH"/>
        </w:rPr>
        <w:t>Internet d’</w:t>
      </w:r>
      <w:r w:rsidR="00C36BC7">
        <w:rPr>
          <w:lang w:val="fr-CH"/>
        </w:rPr>
        <w:t>Irlande et est rattachée au Réseau international de permanences téléphoniques Internet (</w:t>
      </w:r>
      <w:hyperlink r:id="rId23" w:history="1">
        <w:r w:rsidR="00C36BC7" w:rsidRPr="00DD03D6">
          <w:rPr>
            <w:rStyle w:val="Lienhypertexte"/>
            <w:noProof/>
            <w:color w:val="0066FF"/>
            <w:u w:val="single"/>
            <w:lang w:val="fr-FR"/>
          </w:rPr>
          <w:t>www.inhope.org</w:t>
        </w:r>
      </w:hyperlink>
      <w:r w:rsidR="00C36BC7" w:rsidRPr="00DD03D6">
        <w:rPr>
          <w:noProof/>
          <w:lang w:val="fr-FR"/>
        </w:rPr>
        <w:t>)</w:t>
      </w:r>
      <w:r w:rsidR="00C36BC7">
        <w:rPr>
          <w:noProof/>
          <w:lang w:val="fr-FR"/>
        </w:rPr>
        <w:t>. Cette permanence</w:t>
      </w:r>
      <w:r w:rsidR="00C36BC7">
        <w:rPr>
          <w:lang w:val="fr-CH"/>
        </w:rPr>
        <w:t xml:space="preserve"> </w:t>
      </w:r>
      <w:r w:rsidR="00887A8E">
        <w:rPr>
          <w:lang w:val="fr-CH"/>
        </w:rPr>
        <w:t xml:space="preserve">traite les informations qui lui sont communiquées confidentiellement au sujet de contenus illégaux sur </w:t>
      </w:r>
      <w:r w:rsidR="00C36BC7">
        <w:rPr>
          <w:lang w:val="fr-CH"/>
        </w:rPr>
        <w:t>l’</w:t>
      </w:r>
      <w:r w:rsidR="00887A8E">
        <w:rPr>
          <w:lang w:val="fr-CH"/>
        </w:rPr>
        <w:t>Internet;</w:t>
      </w:r>
      <w:r w:rsidR="00E92D3C">
        <w:rPr>
          <w:noProof/>
          <w:lang w:val="fr-FR"/>
        </w:rPr>
        <w:t xml:space="preserve"> </w:t>
      </w:r>
    </w:p>
    <w:p w:rsidR="003D0F58" w:rsidRPr="00DD03D6" w:rsidRDefault="00C36BC7" w:rsidP="002135F8">
      <w:pPr>
        <w:pStyle w:val="Bullet1G"/>
        <w:tabs>
          <w:tab w:val="clear" w:pos="1701"/>
        </w:tabs>
        <w:ind w:left="1843" w:hanging="142"/>
        <w:rPr>
          <w:noProof/>
          <w:lang w:val="fr-FR"/>
        </w:rPr>
      </w:pPr>
      <w:r w:rsidRPr="002135F8">
        <w:rPr>
          <w:noProof/>
          <w:lang w:val="fr-FR"/>
        </w:rPr>
        <w:t>Lancement</w:t>
      </w:r>
      <w:r>
        <w:rPr>
          <w:lang w:val="fr-CH"/>
        </w:rPr>
        <w:t xml:space="preserve"> de campagnes pour une navigation en toute sécurité sur l’Internet, notamment en coopération avec le </w:t>
      </w:r>
      <w:r>
        <w:rPr>
          <w:lang w:val="fr-FR"/>
        </w:rPr>
        <w:t>Service de perfectionnement professionnel des enseignants (</w:t>
      </w:r>
      <w:hyperlink r:id="rId24" w:history="1">
        <w:r w:rsidRPr="00DD03D6">
          <w:rPr>
            <w:rStyle w:val="Lienhypertexte"/>
            <w:noProof/>
            <w:color w:val="0066FF"/>
            <w:u w:val="single"/>
            <w:lang w:val="fr-FR"/>
          </w:rPr>
          <w:t>www.ncte.ie</w:t>
        </w:r>
      </w:hyperlink>
      <w:r>
        <w:rPr>
          <w:lang w:val="fr-CH"/>
        </w:rPr>
        <w:t>), qui assure le fonctionnement du nœud de sensibilisation à la sécurité sur l’Internet irlandais (</w:t>
      </w:r>
      <w:hyperlink r:id="rId25" w:history="1">
        <w:r w:rsidRPr="00DD03D6">
          <w:rPr>
            <w:rStyle w:val="Lienhypertexte"/>
            <w:noProof/>
            <w:color w:val="0066FF"/>
            <w:u w:val="single"/>
            <w:lang w:val="fr-FR"/>
          </w:rPr>
          <w:t>www.webwise.ie</w:t>
        </w:r>
      </w:hyperlink>
      <w:r>
        <w:rPr>
          <w:lang w:val="fr-CH"/>
        </w:rPr>
        <w:t>), et diffuse des messages sur la sécurisation de la navigation sur l’Internet dans le cadre des programmes scolaires</w:t>
      </w:r>
      <w:r w:rsidR="003D0F58" w:rsidRPr="00DD03D6">
        <w:rPr>
          <w:noProof/>
          <w:lang w:val="fr-FR"/>
        </w:rPr>
        <w:t xml:space="preserve">. </w:t>
      </w:r>
      <w:r w:rsidR="003D16C2">
        <w:rPr>
          <w:noProof/>
          <w:lang w:val="fr-FR"/>
        </w:rPr>
        <w:t>Le Programme d’initiation au Web à l’école primaire (</w:t>
      </w:r>
      <w:r w:rsidR="003D0F58" w:rsidRPr="00DD03D6">
        <w:rPr>
          <w:noProof/>
          <w:lang w:val="fr-FR"/>
        </w:rPr>
        <w:t>Webwise Primary School Programm</w:t>
      </w:r>
      <w:r w:rsidR="003B6DA2" w:rsidRPr="00DD03D6">
        <w:rPr>
          <w:noProof/>
          <w:lang w:val="fr-FR"/>
        </w:rPr>
        <w:t>e</w:t>
      </w:r>
      <w:r w:rsidR="003D16C2">
        <w:rPr>
          <w:noProof/>
          <w:lang w:val="fr-FR"/>
        </w:rPr>
        <w:t>)</w:t>
      </w:r>
      <w:r w:rsidR="003B6DA2" w:rsidRPr="00DD03D6">
        <w:rPr>
          <w:noProof/>
          <w:lang w:val="fr-FR"/>
        </w:rPr>
        <w:t xml:space="preserve"> </w:t>
      </w:r>
      <w:r w:rsidR="003D16C2">
        <w:rPr>
          <w:noProof/>
          <w:lang w:val="fr-FR"/>
        </w:rPr>
        <w:t xml:space="preserve">a été lancé en février </w:t>
      </w:r>
      <w:r w:rsidR="003B6DA2" w:rsidRPr="00DD03D6">
        <w:rPr>
          <w:noProof/>
          <w:lang w:val="fr-FR"/>
        </w:rPr>
        <w:t>2012;</w:t>
      </w:r>
    </w:p>
    <w:p w:rsidR="003D0F58" w:rsidRPr="00DD03D6" w:rsidRDefault="003D16C2" w:rsidP="002135F8">
      <w:pPr>
        <w:pStyle w:val="Bullet1G"/>
        <w:tabs>
          <w:tab w:val="clear" w:pos="1701"/>
        </w:tabs>
        <w:ind w:left="1843" w:hanging="142"/>
        <w:rPr>
          <w:noProof/>
          <w:lang w:val="fr-FR"/>
        </w:rPr>
      </w:pPr>
      <w:r>
        <w:rPr>
          <w:lang w:val="fr-CH"/>
        </w:rPr>
        <w:t xml:space="preserve">Implication des </w:t>
      </w:r>
      <w:r w:rsidR="000858FD">
        <w:rPr>
          <w:lang w:val="fr-CH"/>
        </w:rPr>
        <w:t>acteurs compétent</w:t>
      </w:r>
      <w:r>
        <w:rPr>
          <w:lang w:val="fr-CH"/>
        </w:rPr>
        <w:t>s, qu’il s’agisse d’organismes publics, d’entreprises travaillant dans le secteur de l’Internet ou d’entités qui s’occupent de la protec</w:t>
      </w:r>
      <w:r w:rsidR="000858FD">
        <w:rPr>
          <w:lang w:val="fr-CH"/>
        </w:rPr>
        <w:t>tion des enfants, par l’entremi</w:t>
      </w:r>
      <w:r>
        <w:rPr>
          <w:lang w:val="fr-CH"/>
        </w:rPr>
        <w:t xml:space="preserve">se du Conseil consultatif pour la sécurité sur l’Internet, qui dispense des avis au </w:t>
      </w:r>
      <w:r w:rsidR="00FC67E4">
        <w:rPr>
          <w:noProof/>
          <w:lang w:val="fr-FR"/>
        </w:rPr>
        <w:t>Bureau de la sécurité sur l’Internet</w:t>
      </w:r>
      <w:r w:rsidR="003B6DA2" w:rsidRPr="00DD03D6">
        <w:rPr>
          <w:noProof/>
          <w:lang w:val="fr-FR"/>
        </w:rPr>
        <w:t>;</w:t>
      </w:r>
    </w:p>
    <w:p w:rsidR="003D0F58" w:rsidRPr="00DD03D6" w:rsidRDefault="00FC67E4" w:rsidP="002135F8">
      <w:pPr>
        <w:pStyle w:val="Bullet1G"/>
        <w:tabs>
          <w:tab w:val="clear" w:pos="1701"/>
        </w:tabs>
        <w:ind w:left="1843" w:hanging="142"/>
        <w:rPr>
          <w:noProof/>
          <w:lang w:val="fr-FR"/>
        </w:rPr>
      </w:pPr>
      <w:r w:rsidRPr="00DD03D6">
        <w:rPr>
          <w:noProof/>
          <w:lang w:val="fr-FR"/>
        </w:rPr>
        <w:t xml:space="preserve">Childline </w:t>
      </w:r>
      <w:r>
        <w:rPr>
          <w:noProof/>
          <w:lang w:val="fr-FR"/>
        </w:rPr>
        <w:t>est un centre d’écoute multimé</w:t>
      </w:r>
      <w:r w:rsidRPr="00DD03D6">
        <w:rPr>
          <w:noProof/>
          <w:lang w:val="fr-FR"/>
        </w:rPr>
        <w:t>dia</w:t>
      </w:r>
      <w:r>
        <w:rPr>
          <w:noProof/>
          <w:lang w:val="fr-FR"/>
        </w:rPr>
        <w:t>s</w:t>
      </w:r>
      <w:r w:rsidRPr="00DD03D6">
        <w:rPr>
          <w:noProof/>
          <w:lang w:val="fr-FR"/>
        </w:rPr>
        <w:t xml:space="preserve"> </w:t>
      </w:r>
      <w:r>
        <w:rPr>
          <w:noProof/>
          <w:lang w:val="fr-FR"/>
        </w:rPr>
        <w:t>pour les enfants et les jeunes jusqu’à l’âge de 18 ans</w:t>
      </w:r>
      <w:r w:rsidRPr="00DD03D6">
        <w:rPr>
          <w:noProof/>
          <w:lang w:val="fr-FR"/>
        </w:rPr>
        <w:t xml:space="preserve">, </w:t>
      </w:r>
      <w:r>
        <w:rPr>
          <w:noProof/>
          <w:lang w:val="fr-FR"/>
        </w:rPr>
        <w:t xml:space="preserve">qui est géré par la </w:t>
      </w:r>
      <w:r>
        <w:rPr>
          <w:lang w:val="fr-CH"/>
        </w:rPr>
        <w:t>Société irlandaise pour la prévention de la cruauté à l’égard des enfants (</w:t>
      </w:r>
      <w:r w:rsidRPr="00DD03D6">
        <w:rPr>
          <w:noProof/>
          <w:lang w:val="fr-FR"/>
        </w:rPr>
        <w:t>ISPCC</w:t>
      </w:r>
      <w:r>
        <w:rPr>
          <w:noProof/>
          <w:lang w:val="fr-FR"/>
        </w:rPr>
        <w:t>)</w:t>
      </w:r>
      <w:r w:rsidRPr="00DD03D6">
        <w:rPr>
          <w:noProof/>
          <w:lang w:val="fr-FR"/>
        </w:rPr>
        <w:t xml:space="preserve"> (</w:t>
      </w:r>
      <w:hyperlink r:id="rId26" w:history="1">
        <w:r w:rsidRPr="00DD03D6">
          <w:rPr>
            <w:rStyle w:val="Lienhypertexte"/>
            <w:noProof/>
            <w:color w:val="0066FF"/>
            <w:u w:val="single"/>
            <w:lang w:val="fr-FR"/>
          </w:rPr>
          <w:t>www.ispcc.ie</w:t>
        </w:r>
      </w:hyperlink>
      <w:r w:rsidRPr="00DD03D6">
        <w:rPr>
          <w:noProof/>
          <w:lang w:val="fr-FR"/>
        </w:rPr>
        <w:t xml:space="preserve">). </w:t>
      </w:r>
      <w:r>
        <w:rPr>
          <w:noProof/>
          <w:lang w:val="fr-FR"/>
        </w:rPr>
        <w:t xml:space="preserve">Ce </w:t>
      </w:r>
      <w:r w:rsidRPr="00DD03D6">
        <w:rPr>
          <w:noProof/>
          <w:lang w:val="fr-FR"/>
        </w:rPr>
        <w:t xml:space="preserve">service </w:t>
      </w:r>
      <w:r>
        <w:rPr>
          <w:noProof/>
          <w:lang w:val="fr-FR"/>
        </w:rPr>
        <w:t>est gratuit et confidentie</w:t>
      </w:r>
      <w:r w:rsidRPr="00DD03D6">
        <w:rPr>
          <w:noProof/>
          <w:lang w:val="fr-FR"/>
        </w:rPr>
        <w:t xml:space="preserve">l </w:t>
      </w:r>
      <w:r>
        <w:rPr>
          <w:noProof/>
          <w:lang w:val="fr-FR"/>
        </w:rPr>
        <w:t xml:space="preserve">et est disponible </w:t>
      </w:r>
      <w:r w:rsidRPr="00DD03D6">
        <w:rPr>
          <w:noProof/>
          <w:lang w:val="fr-FR"/>
        </w:rPr>
        <w:t>24 h</w:t>
      </w:r>
      <w:r>
        <w:rPr>
          <w:noProof/>
          <w:lang w:val="fr-FR"/>
        </w:rPr>
        <w:t>eures sur 24 et sept jours sur sept</w:t>
      </w:r>
      <w:r w:rsidRPr="00DD03D6">
        <w:rPr>
          <w:noProof/>
          <w:lang w:val="fr-FR"/>
        </w:rPr>
        <w:t xml:space="preserve">, 365 </w:t>
      </w:r>
      <w:r>
        <w:rPr>
          <w:noProof/>
          <w:lang w:val="fr-FR"/>
        </w:rPr>
        <w:t xml:space="preserve">jours par an </w:t>
      </w:r>
      <w:r w:rsidRPr="00DD03D6">
        <w:rPr>
          <w:noProof/>
          <w:lang w:val="fr-FR"/>
        </w:rPr>
        <w:t>(</w:t>
      </w:r>
      <w:hyperlink r:id="rId27" w:history="1">
        <w:r w:rsidRPr="00DD03D6">
          <w:rPr>
            <w:rStyle w:val="Lienhypertexte"/>
            <w:noProof/>
            <w:color w:val="0066FF"/>
            <w:u w:val="single"/>
            <w:lang w:val="fr-FR"/>
          </w:rPr>
          <w:t>www.childline.ie</w:t>
        </w:r>
      </w:hyperlink>
      <w:r w:rsidRPr="00DD03D6">
        <w:rPr>
          <w:noProof/>
          <w:lang w:val="fr-FR"/>
        </w:rPr>
        <w:t>);</w:t>
      </w:r>
      <w:r>
        <w:rPr>
          <w:lang w:val="fr-CH"/>
        </w:rPr>
        <w:t xml:space="preserve"> </w:t>
      </w:r>
    </w:p>
    <w:p w:rsidR="003D0F58" w:rsidRPr="00DD03D6" w:rsidRDefault="009417F7" w:rsidP="002135F8">
      <w:pPr>
        <w:pStyle w:val="Bullet1G"/>
        <w:tabs>
          <w:tab w:val="clear" w:pos="1701"/>
        </w:tabs>
        <w:ind w:left="1843" w:hanging="142"/>
        <w:rPr>
          <w:noProof/>
          <w:lang w:val="fr-FR"/>
        </w:rPr>
      </w:pPr>
      <w:r>
        <w:rPr>
          <w:lang w:val="fr-CH"/>
        </w:rPr>
        <w:t xml:space="preserve">Ligne téléphonique confidentielle destinée aux parents, grâce à laquelle ceux-ci peuvent trouver des informations et obtenir un soutien </w:t>
      </w:r>
      <w:r>
        <w:rPr>
          <w:noProof/>
          <w:lang w:val="fr-FR"/>
        </w:rPr>
        <w:t>au sujet des questions concernant</w:t>
      </w:r>
      <w:r w:rsidRPr="00DD03D6">
        <w:rPr>
          <w:noProof/>
          <w:lang w:val="fr-FR"/>
        </w:rPr>
        <w:t xml:space="preserve"> </w:t>
      </w:r>
      <w:r>
        <w:rPr>
          <w:noProof/>
          <w:lang w:val="fr-FR"/>
        </w:rPr>
        <w:t>l’</w:t>
      </w:r>
      <w:r w:rsidRPr="00DD03D6">
        <w:rPr>
          <w:noProof/>
          <w:lang w:val="fr-FR"/>
        </w:rPr>
        <w:t xml:space="preserve">Internet, </w:t>
      </w:r>
      <w:r>
        <w:rPr>
          <w:noProof/>
          <w:lang w:val="fr-FR"/>
        </w:rPr>
        <w:t>en particulie</w:t>
      </w:r>
      <w:r w:rsidRPr="00DD03D6">
        <w:rPr>
          <w:noProof/>
          <w:lang w:val="fr-FR"/>
        </w:rPr>
        <w:t xml:space="preserve">r </w:t>
      </w:r>
      <w:r>
        <w:rPr>
          <w:noProof/>
          <w:lang w:val="fr-FR"/>
        </w:rPr>
        <w:t xml:space="preserve">la </w:t>
      </w:r>
      <w:r w:rsidRPr="00DD03D6">
        <w:rPr>
          <w:noProof/>
          <w:lang w:val="fr-FR"/>
        </w:rPr>
        <w:t>cyber</w:t>
      </w:r>
      <w:r>
        <w:rPr>
          <w:noProof/>
          <w:lang w:val="fr-FR"/>
        </w:rPr>
        <w:t xml:space="preserve">intimidation. Cette ligne est gérée par </w:t>
      </w:r>
      <w:r w:rsidR="000858FD">
        <w:rPr>
          <w:noProof/>
          <w:lang w:val="fr-FR"/>
        </w:rPr>
        <w:t xml:space="preserve">le </w:t>
      </w:r>
      <w:r>
        <w:rPr>
          <w:lang w:val="fr-CH"/>
        </w:rPr>
        <w:t xml:space="preserve">Conseil national des parents (enseignement primaire) </w:t>
      </w:r>
      <w:r w:rsidRPr="00DD03D6">
        <w:rPr>
          <w:noProof/>
          <w:lang w:val="fr-FR"/>
        </w:rPr>
        <w:t>(</w:t>
      </w:r>
      <w:hyperlink r:id="rId28" w:history="1">
        <w:r w:rsidRPr="00DD03D6">
          <w:rPr>
            <w:rStyle w:val="Lienhypertexte"/>
            <w:noProof/>
            <w:color w:val="0066FF"/>
            <w:u w:val="single"/>
            <w:lang w:val="fr-FR"/>
          </w:rPr>
          <w:t>www.npc.ie</w:t>
        </w:r>
      </w:hyperlink>
      <w:r w:rsidRPr="00DD03D6">
        <w:rPr>
          <w:noProof/>
          <w:lang w:val="fr-FR"/>
        </w:rPr>
        <w:t>).</w:t>
      </w:r>
      <w:r>
        <w:rPr>
          <w:noProof/>
          <w:lang w:val="fr-FR"/>
        </w:rPr>
        <w:t xml:space="preserve"> </w:t>
      </w:r>
    </w:p>
    <w:p w:rsidR="003D0F58" w:rsidRPr="00DD03D6" w:rsidRDefault="007C2279" w:rsidP="00654EEC">
      <w:pPr>
        <w:pStyle w:val="SingleTxtG"/>
        <w:numPr>
          <w:ilvl w:val="0"/>
          <w:numId w:val="3"/>
        </w:numPr>
        <w:ind w:left="1134" w:firstLine="0"/>
        <w:rPr>
          <w:noProof/>
          <w:lang w:val="fr-FR"/>
        </w:rPr>
      </w:pPr>
      <w:r>
        <w:rPr>
          <w:lang w:val="fr-CH"/>
        </w:rPr>
        <w:t xml:space="preserve">En 2010, le Groupe consultatif irlandais pour un Internet plus sûr pour les jeunes a été constitué avec pour mission de faire en sorte que les points de vue exprimés par les enfants et les jeunes soient pris en compte dans le cadre des activités de sensibilisation et d’élaboration de politiques du </w:t>
      </w:r>
      <w:r>
        <w:rPr>
          <w:noProof/>
          <w:lang w:val="fr-FR"/>
        </w:rPr>
        <w:t>Bureau de la sécurité sur l’</w:t>
      </w:r>
      <w:r w:rsidRPr="00DD03D6">
        <w:rPr>
          <w:noProof/>
          <w:lang w:val="fr-FR"/>
        </w:rPr>
        <w:t>Internet</w:t>
      </w:r>
      <w:r>
        <w:rPr>
          <w:noProof/>
          <w:lang w:val="fr-FR"/>
        </w:rPr>
        <w:t>.</w:t>
      </w:r>
      <w:r w:rsidRPr="00DD03D6">
        <w:rPr>
          <w:noProof/>
          <w:lang w:val="fr-FR"/>
        </w:rPr>
        <w:t xml:space="preserve"> </w:t>
      </w:r>
      <w:r w:rsidR="004F47FE">
        <w:rPr>
          <w:noProof/>
          <w:lang w:val="fr-FR"/>
        </w:rPr>
        <w:t>Les activités entreprises pour mener plus loin et renforcer toutes les initiatives susvisées se poursuivent</w:t>
      </w:r>
      <w:r w:rsidR="003D0F58" w:rsidRPr="00DD03D6">
        <w:rPr>
          <w:noProof/>
          <w:lang w:val="fr-FR"/>
        </w:rPr>
        <w:t>.</w:t>
      </w:r>
    </w:p>
    <w:p w:rsidR="003D0F58" w:rsidRPr="00DD03D6" w:rsidRDefault="00510086" w:rsidP="00510086">
      <w:pPr>
        <w:pStyle w:val="H1G"/>
        <w:rPr>
          <w:noProof/>
          <w:lang w:val="fr-FR"/>
        </w:rPr>
      </w:pPr>
      <w:bookmarkStart w:id="37" w:name="_Toc356430865"/>
      <w:r w:rsidRPr="00DD03D6">
        <w:rPr>
          <w:noProof/>
          <w:lang w:val="fr-FR"/>
        </w:rPr>
        <w:lastRenderedPageBreak/>
        <w:tab/>
      </w:r>
      <w:r w:rsidR="003D0F58" w:rsidRPr="00DD03D6">
        <w:rPr>
          <w:noProof/>
          <w:lang w:val="fr-FR"/>
        </w:rPr>
        <w:t>H.</w:t>
      </w:r>
      <w:r w:rsidR="003D0F58" w:rsidRPr="00DD03D6">
        <w:rPr>
          <w:noProof/>
          <w:lang w:val="fr-FR"/>
        </w:rPr>
        <w:tab/>
      </w:r>
      <w:r w:rsidR="00301FD4" w:rsidRPr="00FF1DC6">
        <w:rPr>
          <w:lang w:val="fr-FR"/>
        </w:rPr>
        <w:t>Droit de ne pas être soumis à la torture ni à des peines ou traitements cruels, inhumains ou dégradants, y compris les châtiments corporels</w:t>
      </w:r>
      <w:r w:rsidR="00301FD4" w:rsidRPr="00DD03D6">
        <w:rPr>
          <w:noProof/>
          <w:lang w:val="fr-FR"/>
        </w:rPr>
        <w:t xml:space="preserve"> </w:t>
      </w:r>
      <w:bookmarkEnd w:id="37"/>
    </w:p>
    <w:p w:rsidR="003D0F58" w:rsidRPr="00DD03D6" w:rsidRDefault="00301FD4" w:rsidP="00D44C77">
      <w:pPr>
        <w:pStyle w:val="SingleTxtG"/>
        <w:numPr>
          <w:ilvl w:val="0"/>
          <w:numId w:val="3"/>
        </w:numPr>
        <w:ind w:left="1134" w:firstLine="0"/>
        <w:rPr>
          <w:noProof/>
          <w:lang w:val="fr-FR"/>
        </w:rPr>
      </w:pPr>
      <w:r>
        <w:rPr>
          <w:noProof/>
          <w:lang w:val="fr-FR"/>
        </w:rPr>
        <w:t>Le deuxième rapport périodique de l’Irlande a présenté de façon détaillée les dispositions c</w:t>
      </w:r>
      <w:r w:rsidR="003D0F58" w:rsidRPr="00DD03D6">
        <w:rPr>
          <w:noProof/>
          <w:lang w:val="fr-FR"/>
        </w:rPr>
        <w:t>onstitution</w:t>
      </w:r>
      <w:r>
        <w:rPr>
          <w:noProof/>
          <w:lang w:val="fr-FR"/>
        </w:rPr>
        <w:t xml:space="preserve">nelles et </w:t>
      </w:r>
      <w:r w:rsidR="003D0F58" w:rsidRPr="00DD03D6">
        <w:rPr>
          <w:noProof/>
          <w:lang w:val="fr-FR"/>
        </w:rPr>
        <w:t>l</w:t>
      </w:r>
      <w:r>
        <w:rPr>
          <w:noProof/>
          <w:lang w:val="fr-FR"/>
        </w:rPr>
        <w:t>é</w:t>
      </w:r>
      <w:r w:rsidR="003D0F58" w:rsidRPr="00DD03D6">
        <w:rPr>
          <w:noProof/>
          <w:lang w:val="fr-FR"/>
        </w:rPr>
        <w:t>gislative</w:t>
      </w:r>
      <w:r>
        <w:rPr>
          <w:noProof/>
          <w:lang w:val="fr-FR"/>
        </w:rPr>
        <w:t>s</w:t>
      </w:r>
      <w:r w:rsidR="003D0F58" w:rsidRPr="00DD03D6">
        <w:rPr>
          <w:noProof/>
          <w:lang w:val="fr-FR"/>
        </w:rPr>
        <w:t xml:space="preserve"> </w:t>
      </w:r>
      <w:r>
        <w:rPr>
          <w:noProof/>
          <w:lang w:val="fr-FR"/>
        </w:rPr>
        <w:t xml:space="preserve">concernant la </w:t>
      </w:r>
      <w:r w:rsidR="003D0F58" w:rsidRPr="00DD03D6">
        <w:rPr>
          <w:noProof/>
          <w:lang w:val="fr-FR"/>
        </w:rPr>
        <w:t xml:space="preserve">torture, </w:t>
      </w:r>
      <w:r>
        <w:rPr>
          <w:noProof/>
          <w:lang w:val="fr-FR"/>
        </w:rPr>
        <w:t xml:space="preserve">les traitements </w:t>
      </w:r>
      <w:r w:rsidR="003D0F58" w:rsidRPr="00DD03D6">
        <w:rPr>
          <w:noProof/>
          <w:lang w:val="fr-FR"/>
        </w:rPr>
        <w:t>cruel</w:t>
      </w:r>
      <w:r>
        <w:rPr>
          <w:noProof/>
          <w:lang w:val="fr-FR"/>
        </w:rPr>
        <w:t>s</w:t>
      </w:r>
      <w:r w:rsidR="003D0F58" w:rsidRPr="00DD03D6">
        <w:rPr>
          <w:noProof/>
          <w:lang w:val="fr-FR"/>
        </w:rPr>
        <w:t xml:space="preserve"> o</w:t>
      </w:r>
      <w:r>
        <w:rPr>
          <w:noProof/>
          <w:lang w:val="fr-FR"/>
        </w:rPr>
        <w:t>u</w:t>
      </w:r>
      <w:r w:rsidR="003D0F58" w:rsidRPr="00DD03D6">
        <w:rPr>
          <w:noProof/>
          <w:lang w:val="fr-FR"/>
        </w:rPr>
        <w:t xml:space="preserve"> inhuma</w:t>
      </w:r>
      <w:r>
        <w:rPr>
          <w:noProof/>
          <w:lang w:val="fr-FR"/>
        </w:rPr>
        <w:t>ins et les châtiments corpore</w:t>
      </w:r>
      <w:r w:rsidR="003D0F58" w:rsidRPr="00DD03D6">
        <w:rPr>
          <w:noProof/>
          <w:lang w:val="fr-FR"/>
        </w:rPr>
        <w:t>l</w:t>
      </w:r>
      <w:r>
        <w:rPr>
          <w:noProof/>
          <w:lang w:val="fr-FR"/>
        </w:rPr>
        <w:t>s</w:t>
      </w:r>
      <w:r w:rsidR="003D0F58" w:rsidRPr="00DD03D6">
        <w:rPr>
          <w:rStyle w:val="Appelnotedebasdep"/>
          <w:noProof/>
          <w:lang w:val="fr-FR"/>
        </w:rPr>
        <w:footnoteReference w:id="20"/>
      </w:r>
      <w:r>
        <w:rPr>
          <w:noProof/>
          <w:lang w:val="fr-FR"/>
        </w:rPr>
        <w:t>.</w:t>
      </w:r>
      <w:r w:rsidR="003D0F58" w:rsidRPr="00DD03D6">
        <w:rPr>
          <w:noProof/>
          <w:lang w:val="fr-FR"/>
        </w:rPr>
        <w:t xml:space="preserve"> </w:t>
      </w:r>
      <w:r>
        <w:rPr>
          <w:noProof/>
          <w:lang w:val="fr-FR"/>
        </w:rPr>
        <w:t>Ces dispositions restent applicables</w:t>
      </w:r>
      <w:r w:rsidR="003D0F58" w:rsidRPr="00DD03D6">
        <w:rPr>
          <w:noProof/>
          <w:lang w:val="fr-FR"/>
        </w:rPr>
        <w:t>.</w:t>
      </w:r>
    </w:p>
    <w:p w:rsidR="003D0F58" w:rsidRPr="00DD03D6" w:rsidRDefault="00301FD4" w:rsidP="00510086">
      <w:pPr>
        <w:pStyle w:val="SingleTxtG"/>
        <w:numPr>
          <w:ilvl w:val="0"/>
          <w:numId w:val="3"/>
        </w:numPr>
        <w:ind w:left="1134" w:firstLine="0"/>
        <w:rPr>
          <w:noProof/>
          <w:lang w:val="fr-FR"/>
        </w:rPr>
      </w:pPr>
      <w:r>
        <w:rPr>
          <w:noProof/>
          <w:lang w:val="fr-FR"/>
        </w:rPr>
        <w:t>Il</w:t>
      </w:r>
      <w:r w:rsidR="003D0F58" w:rsidRPr="00DD03D6">
        <w:rPr>
          <w:noProof/>
          <w:lang w:val="fr-FR"/>
        </w:rPr>
        <w:t xml:space="preserve"> </w:t>
      </w:r>
      <w:r>
        <w:rPr>
          <w:noProof/>
          <w:lang w:val="fr-FR"/>
        </w:rPr>
        <w:t xml:space="preserve">importe de préciser que l’Irlande ne s’est dotée d’aucune loi qui autorise expressément les châtiments corporels </w:t>
      </w:r>
      <w:r w:rsidR="008205B3">
        <w:rPr>
          <w:noProof/>
          <w:lang w:val="fr-FR"/>
        </w:rPr>
        <w:t>au sein du foyer familial</w:t>
      </w:r>
      <w:r w:rsidR="003D0F58" w:rsidRPr="00DD03D6">
        <w:rPr>
          <w:noProof/>
          <w:lang w:val="fr-FR"/>
        </w:rPr>
        <w:t xml:space="preserve">. </w:t>
      </w:r>
      <w:r w:rsidR="008205B3">
        <w:rPr>
          <w:noProof/>
          <w:lang w:val="fr-FR"/>
        </w:rPr>
        <w:t xml:space="preserve">L’article </w:t>
      </w:r>
      <w:r w:rsidR="008205B3" w:rsidRPr="00DD03D6">
        <w:rPr>
          <w:noProof/>
          <w:lang w:val="fr-FR"/>
        </w:rPr>
        <w:t xml:space="preserve">246 </w:t>
      </w:r>
      <w:r w:rsidR="008205B3">
        <w:rPr>
          <w:noProof/>
          <w:lang w:val="fr-FR"/>
        </w:rPr>
        <w:t xml:space="preserve">de la loi de </w:t>
      </w:r>
      <w:r w:rsidR="008205B3" w:rsidRPr="00DD03D6">
        <w:rPr>
          <w:noProof/>
          <w:lang w:val="fr-FR"/>
        </w:rPr>
        <w:t xml:space="preserve">2001 </w:t>
      </w:r>
      <w:r w:rsidR="008205B3">
        <w:rPr>
          <w:noProof/>
          <w:lang w:val="fr-FR"/>
        </w:rPr>
        <w:t xml:space="preserve">sur les enfants </w:t>
      </w:r>
      <w:r w:rsidR="008205B3">
        <w:rPr>
          <w:lang w:val="fr-FR"/>
        </w:rPr>
        <w:t xml:space="preserve">énonce des mesures juridiques dissuasives claires contre le recours à des châtiments corporels </w:t>
      </w:r>
      <w:r w:rsidR="008205B3" w:rsidRPr="00DD03D6">
        <w:rPr>
          <w:noProof/>
          <w:lang w:val="fr-FR"/>
        </w:rPr>
        <w:t>excessi</w:t>
      </w:r>
      <w:r w:rsidR="008205B3">
        <w:rPr>
          <w:noProof/>
          <w:lang w:val="fr-FR"/>
        </w:rPr>
        <w:t>fs dans la famille et dans les autres contextes</w:t>
      </w:r>
      <w:r w:rsidR="003D0F58" w:rsidRPr="00DD03D6">
        <w:rPr>
          <w:rStyle w:val="Appelnotedebasdep"/>
          <w:noProof/>
          <w:lang w:val="fr-FR"/>
        </w:rPr>
        <w:footnoteReference w:id="21"/>
      </w:r>
      <w:r w:rsidR="008205B3">
        <w:rPr>
          <w:noProof/>
          <w:lang w:val="fr-FR"/>
        </w:rPr>
        <w:t>.</w:t>
      </w:r>
    </w:p>
    <w:p w:rsidR="003D0F58" w:rsidRPr="00DD03D6" w:rsidRDefault="00681C70" w:rsidP="00D44C77">
      <w:pPr>
        <w:pStyle w:val="SingleTxtG"/>
        <w:numPr>
          <w:ilvl w:val="0"/>
          <w:numId w:val="3"/>
        </w:numPr>
        <w:ind w:left="1134" w:firstLine="0"/>
        <w:rPr>
          <w:noProof/>
          <w:lang w:val="fr-FR"/>
        </w:rPr>
      </w:pPr>
      <w:r>
        <w:rPr>
          <w:noProof/>
          <w:lang w:val="fr-FR"/>
        </w:rPr>
        <w:t xml:space="preserve">La </w:t>
      </w:r>
      <w:r w:rsidRPr="00C53F5A">
        <w:rPr>
          <w:i/>
          <w:noProof/>
          <w:lang w:val="fr-FR"/>
        </w:rPr>
        <w:t>common law</w:t>
      </w:r>
      <w:r>
        <w:rPr>
          <w:noProof/>
          <w:lang w:val="fr-FR"/>
        </w:rPr>
        <w:t xml:space="preserve"> </w:t>
      </w:r>
      <w:r>
        <w:rPr>
          <w:noProof/>
          <w:color w:val="000000"/>
          <w:lang w:val="fr-FR"/>
        </w:rPr>
        <w:t xml:space="preserve">prévoit bien un </w:t>
      </w:r>
      <w:r w:rsidRPr="00C53F5A">
        <w:rPr>
          <w:noProof/>
          <w:color w:val="000000"/>
          <w:lang w:val="fr-FR"/>
        </w:rPr>
        <w:t>moyen de défense limité tiré du «</w:t>
      </w:r>
      <w:r w:rsidR="002135F8">
        <w:rPr>
          <w:noProof/>
          <w:color w:val="000000"/>
          <w:lang w:val="fr-FR"/>
        </w:rPr>
        <w:t> </w:t>
      </w:r>
      <w:r w:rsidRPr="00C53F5A">
        <w:rPr>
          <w:noProof/>
          <w:color w:val="000000"/>
          <w:lang w:val="fr-FR"/>
        </w:rPr>
        <w:t>châtiment raisonnable</w:t>
      </w:r>
      <w:r w:rsidR="002135F8">
        <w:rPr>
          <w:noProof/>
          <w:color w:val="000000"/>
          <w:lang w:val="fr-FR"/>
        </w:rPr>
        <w:t> </w:t>
      </w:r>
      <w:r w:rsidRPr="00C53F5A">
        <w:rPr>
          <w:noProof/>
          <w:color w:val="000000"/>
          <w:lang w:val="fr-FR"/>
        </w:rPr>
        <w:t>»,</w:t>
      </w:r>
      <w:r w:rsidRPr="00DD03D6">
        <w:rPr>
          <w:noProof/>
          <w:lang w:val="fr-FR"/>
        </w:rPr>
        <w:t xml:space="preserve"> </w:t>
      </w:r>
      <w:r>
        <w:rPr>
          <w:noProof/>
          <w:lang w:val="fr-FR"/>
        </w:rPr>
        <w:t xml:space="preserve">mais les tribunaux irlandais ont déjà prononcé de lourdes condamnations dans des affaires où des parents avaient agressé leurs enfants ou avaient eu recours de façon </w:t>
      </w:r>
      <w:r w:rsidRPr="00DD03D6">
        <w:rPr>
          <w:noProof/>
          <w:lang w:val="fr-FR"/>
        </w:rPr>
        <w:t>excessive o</w:t>
      </w:r>
      <w:r>
        <w:rPr>
          <w:noProof/>
          <w:lang w:val="fr-FR"/>
        </w:rPr>
        <w:t>u</w:t>
      </w:r>
      <w:r w:rsidRPr="00DD03D6">
        <w:rPr>
          <w:noProof/>
          <w:lang w:val="fr-FR"/>
        </w:rPr>
        <w:t xml:space="preserve"> </w:t>
      </w:r>
      <w:r>
        <w:rPr>
          <w:noProof/>
          <w:lang w:val="fr-FR"/>
        </w:rPr>
        <w:t xml:space="preserve">déraisonnable à la </w:t>
      </w:r>
      <w:r w:rsidRPr="00DD03D6">
        <w:rPr>
          <w:noProof/>
          <w:lang w:val="fr-FR"/>
        </w:rPr>
        <w:t xml:space="preserve">force </w:t>
      </w:r>
      <w:r>
        <w:rPr>
          <w:noProof/>
          <w:lang w:val="fr-FR"/>
        </w:rPr>
        <w:t>à leur égard</w:t>
      </w:r>
      <w:r w:rsidR="003D0F58" w:rsidRPr="00DD03D6">
        <w:rPr>
          <w:noProof/>
          <w:lang w:val="fr-FR"/>
        </w:rPr>
        <w:t xml:space="preserve">. </w:t>
      </w:r>
      <w:r>
        <w:rPr>
          <w:noProof/>
          <w:lang w:val="fr-FR"/>
        </w:rPr>
        <w:t>La pratique des châtiments corporels est expressément interdite dans tou</w:t>
      </w:r>
      <w:r w:rsidR="005A3F4A">
        <w:rPr>
          <w:noProof/>
          <w:lang w:val="fr-FR"/>
        </w:rPr>
        <w:t>te</w:t>
      </w:r>
      <w:r>
        <w:rPr>
          <w:noProof/>
          <w:lang w:val="fr-FR"/>
        </w:rPr>
        <w:t xml:space="preserve">s </w:t>
      </w:r>
      <w:r w:rsidR="005A3F4A">
        <w:rPr>
          <w:noProof/>
          <w:lang w:val="fr-FR"/>
        </w:rPr>
        <w:t xml:space="preserve">les structures professionnelles de protection </w:t>
      </w:r>
      <w:r>
        <w:rPr>
          <w:noProof/>
          <w:lang w:val="fr-FR"/>
        </w:rPr>
        <w:t>depuis quelques années</w:t>
      </w:r>
      <w:r w:rsidR="003D0F58" w:rsidRPr="00DD03D6">
        <w:rPr>
          <w:noProof/>
          <w:lang w:val="fr-FR"/>
        </w:rPr>
        <w:t xml:space="preserve">. </w:t>
      </w:r>
      <w:r w:rsidR="005A3F4A">
        <w:rPr>
          <w:noProof/>
          <w:lang w:val="fr-FR"/>
        </w:rPr>
        <w:t>Si aucune proposition spécifique tendant à interdire les châtiments corporels dans la famille n’a encore été présentée, la question a été maintenue constamment à l’étude</w:t>
      </w:r>
      <w:r w:rsidR="003D0F58" w:rsidRPr="00DD03D6">
        <w:rPr>
          <w:noProof/>
          <w:lang w:val="fr-FR"/>
        </w:rPr>
        <w:t xml:space="preserve">. </w:t>
      </w:r>
      <w:r w:rsidR="005A3F4A">
        <w:rPr>
          <w:noProof/>
          <w:lang w:val="fr-FR"/>
        </w:rPr>
        <w:t>Le Gouvernement considère</w:t>
      </w:r>
      <w:r w:rsidR="00B412C7">
        <w:rPr>
          <w:noProof/>
          <w:lang w:val="fr-FR"/>
        </w:rPr>
        <w:t xml:space="preserve"> qu’un équilibre délicat doit être trouvé entre les priorités en matière de protection des enfants et les tentatives faites pour ériger en infraction pénale le fait pour les parents de </w:t>
      </w:r>
      <w:r w:rsidR="003F36DD">
        <w:rPr>
          <w:noProof/>
          <w:lang w:val="fr-FR"/>
        </w:rPr>
        <w:t>« </w:t>
      </w:r>
      <w:r w:rsidR="00B412C7">
        <w:rPr>
          <w:noProof/>
          <w:lang w:val="fr-FR"/>
        </w:rPr>
        <w:t>gifler</w:t>
      </w:r>
      <w:r w:rsidR="003F36DD">
        <w:rPr>
          <w:noProof/>
          <w:lang w:val="fr-FR"/>
        </w:rPr>
        <w:t> »</w:t>
      </w:r>
      <w:r w:rsidR="003D0F58" w:rsidRPr="00DD03D6">
        <w:rPr>
          <w:noProof/>
          <w:lang w:val="fr-FR"/>
        </w:rPr>
        <w:t xml:space="preserve"> </w:t>
      </w:r>
      <w:r w:rsidR="00B412C7">
        <w:rPr>
          <w:noProof/>
          <w:lang w:val="fr-FR"/>
        </w:rPr>
        <w:t>leurs enfants</w:t>
      </w:r>
      <w:r w:rsidR="003D0F58" w:rsidRPr="00DD03D6">
        <w:rPr>
          <w:noProof/>
          <w:lang w:val="fr-FR"/>
        </w:rPr>
        <w:t xml:space="preserve">. </w:t>
      </w:r>
      <w:r w:rsidR="00B412C7">
        <w:rPr>
          <w:noProof/>
          <w:lang w:val="fr-FR"/>
        </w:rPr>
        <w:t>Tout projet de</w:t>
      </w:r>
      <w:r w:rsidR="00E92D3C">
        <w:rPr>
          <w:noProof/>
          <w:lang w:val="fr-FR"/>
        </w:rPr>
        <w:t xml:space="preserve"> </w:t>
      </w:r>
      <w:r w:rsidR="00B412C7">
        <w:rPr>
          <w:noProof/>
          <w:lang w:val="fr-FR"/>
        </w:rPr>
        <w:t xml:space="preserve">modification de la législation dans ce domaine devra faire </w:t>
      </w:r>
      <w:r w:rsidR="00C60925">
        <w:rPr>
          <w:noProof/>
          <w:lang w:val="fr-FR"/>
        </w:rPr>
        <w:t>l</w:t>
      </w:r>
      <w:r w:rsidR="00B412C7">
        <w:rPr>
          <w:noProof/>
          <w:lang w:val="fr-FR"/>
        </w:rPr>
        <w:t xml:space="preserve">’objet d’un examen minutieux du fait </w:t>
      </w:r>
      <w:r w:rsidR="00E12EA9">
        <w:rPr>
          <w:noProof/>
          <w:lang w:val="fr-FR"/>
        </w:rPr>
        <w:t xml:space="preserve">des avantages respectifs des sanctions pénales et de la promotion positive de </w:t>
      </w:r>
      <w:r w:rsidR="00C60925">
        <w:rPr>
          <w:noProof/>
          <w:lang w:val="fr-FR"/>
        </w:rPr>
        <w:t>bond modèles d’éducation parentale</w:t>
      </w:r>
      <w:r w:rsidR="003D0F58" w:rsidRPr="00DD03D6">
        <w:rPr>
          <w:noProof/>
          <w:lang w:val="fr-FR"/>
        </w:rPr>
        <w:t xml:space="preserve">, </w:t>
      </w:r>
      <w:r w:rsidR="00C60925">
        <w:rPr>
          <w:noProof/>
          <w:lang w:val="fr-FR"/>
        </w:rPr>
        <w:t>et des éventuelles incidences d’ordre constitutionnel liées au rôle de la famille</w:t>
      </w:r>
      <w:r w:rsidR="003D0F58" w:rsidRPr="00DD03D6">
        <w:rPr>
          <w:noProof/>
          <w:lang w:val="fr-FR"/>
        </w:rPr>
        <w:t>.</w:t>
      </w:r>
    </w:p>
    <w:p w:rsidR="003D0F58" w:rsidRPr="00DD03D6" w:rsidRDefault="00C60925" w:rsidP="005D7533">
      <w:pPr>
        <w:pStyle w:val="SingleTxtG"/>
        <w:numPr>
          <w:ilvl w:val="0"/>
          <w:numId w:val="3"/>
        </w:numPr>
        <w:ind w:left="1134" w:firstLine="0"/>
        <w:rPr>
          <w:noProof/>
          <w:lang w:val="fr-FR"/>
        </w:rPr>
      </w:pPr>
      <w:r w:rsidRPr="00DD03D6">
        <w:rPr>
          <w:noProof/>
          <w:lang w:val="fr-FR"/>
        </w:rPr>
        <w:t>I</w:t>
      </w:r>
      <w:r>
        <w:rPr>
          <w:noProof/>
          <w:lang w:val="fr-FR"/>
        </w:rPr>
        <w:t xml:space="preserve">l importe de souligner que des progrès considérables ont été faits ces dernières années s’agissant d’éliminer pratiquement toutes les formes de </w:t>
      </w:r>
      <w:r w:rsidRPr="00DD03D6">
        <w:rPr>
          <w:noProof/>
          <w:lang w:val="fr-FR"/>
        </w:rPr>
        <w:t xml:space="preserve">violence </w:t>
      </w:r>
      <w:r>
        <w:rPr>
          <w:noProof/>
          <w:lang w:val="fr-FR"/>
        </w:rPr>
        <w:t>à l’égard des enfants en Irlande et d’</w:t>
      </w:r>
      <w:r w:rsidRPr="00DD03D6">
        <w:rPr>
          <w:noProof/>
          <w:lang w:val="fr-FR"/>
        </w:rPr>
        <w:t>encourag</w:t>
      </w:r>
      <w:r>
        <w:rPr>
          <w:noProof/>
          <w:lang w:val="fr-FR"/>
        </w:rPr>
        <w:t xml:space="preserve">er les </w:t>
      </w:r>
      <w:r w:rsidRPr="00DD03D6">
        <w:rPr>
          <w:noProof/>
          <w:lang w:val="fr-FR"/>
        </w:rPr>
        <w:t xml:space="preserve">parents </w:t>
      </w:r>
      <w:r>
        <w:rPr>
          <w:noProof/>
          <w:lang w:val="fr-FR"/>
        </w:rPr>
        <w:t xml:space="preserve">à utiliser des </w:t>
      </w:r>
      <w:r>
        <w:rPr>
          <w:lang w:val="fr-FR"/>
        </w:rPr>
        <w:t>formes non violentes de discipline dans la famille</w:t>
      </w:r>
      <w:r w:rsidRPr="00DD03D6">
        <w:rPr>
          <w:noProof/>
          <w:lang w:val="fr-FR"/>
        </w:rPr>
        <w:t xml:space="preserve">. </w:t>
      </w:r>
      <w:r>
        <w:rPr>
          <w:noProof/>
          <w:lang w:val="fr-FR"/>
        </w:rPr>
        <w:t xml:space="preserve">D’après les conclusions récentes tirées de l’étude </w:t>
      </w:r>
      <w:r w:rsidRPr="00DD03D6">
        <w:rPr>
          <w:bCs/>
          <w:i/>
          <w:iCs/>
          <w:noProof/>
          <w:lang w:val="fr-FR" w:eastAsia="en-GB"/>
        </w:rPr>
        <w:t>Gr</w:t>
      </w:r>
      <w:r>
        <w:rPr>
          <w:bCs/>
          <w:i/>
          <w:iCs/>
          <w:noProof/>
          <w:lang w:val="fr-FR" w:eastAsia="en-GB"/>
        </w:rPr>
        <w:t>andir en Irlande : étude nationale l</w:t>
      </w:r>
      <w:r w:rsidRPr="00DD03D6">
        <w:rPr>
          <w:bCs/>
          <w:i/>
          <w:iCs/>
          <w:noProof/>
          <w:lang w:val="fr-FR" w:eastAsia="en-GB"/>
        </w:rPr>
        <w:t>ongitudinal</w:t>
      </w:r>
      <w:r>
        <w:rPr>
          <w:bCs/>
          <w:i/>
          <w:iCs/>
          <w:noProof/>
          <w:lang w:val="fr-FR" w:eastAsia="en-GB"/>
        </w:rPr>
        <w:t>e sur les enfants</w:t>
      </w:r>
      <w:r>
        <w:rPr>
          <w:bCs/>
          <w:noProof/>
          <w:lang w:val="fr-FR" w:eastAsia="en-GB"/>
        </w:rPr>
        <w:t xml:space="preserve">, financée par le Ministère de l’enfance et de la jeunesse, près de </w:t>
      </w:r>
      <w:r w:rsidRPr="00DD03D6">
        <w:rPr>
          <w:bCs/>
          <w:noProof/>
          <w:lang w:val="fr-FR" w:eastAsia="en-GB"/>
        </w:rPr>
        <w:t>90</w:t>
      </w:r>
      <w:r w:rsidR="003F1ADB">
        <w:rPr>
          <w:bCs/>
          <w:noProof/>
          <w:lang w:val="fr-FR" w:eastAsia="en-GB"/>
        </w:rPr>
        <w:t> %</w:t>
      </w:r>
      <w:r w:rsidRPr="00DD03D6">
        <w:rPr>
          <w:bCs/>
          <w:noProof/>
          <w:lang w:val="fr-FR" w:eastAsia="en-GB"/>
        </w:rPr>
        <w:t xml:space="preserve"> </w:t>
      </w:r>
      <w:r>
        <w:rPr>
          <w:bCs/>
          <w:noProof/>
          <w:lang w:val="fr-FR" w:eastAsia="en-GB"/>
        </w:rPr>
        <w:t>des</w:t>
      </w:r>
      <w:r w:rsidRPr="00DD03D6">
        <w:rPr>
          <w:bCs/>
          <w:noProof/>
          <w:lang w:val="fr-FR" w:eastAsia="en-GB"/>
        </w:rPr>
        <w:t xml:space="preserve"> parents </w:t>
      </w:r>
      <w:r>
        <w:rPr>
          <w:bCs/>
          <w:noProof/>
          <w:lang w:val="fr-FR" w:eastAsia="en-GB"/>
        </w:rPr>
        <w:t xml:space="preserve">ont indiqué ne recourir jamais </w:t>
      </w:r>
      <w:r w:rsidRPr="00DD03D6">
        <w:rPr>
          <w:bCs/>
          <w:noProof/>
          <w:lang w:val="fr-FR" w:eastAsia="en-GB"/>
        </w:rPr>
        <w:t>(57</w:t>
      </w:r>
      <w:r w:rsidR="003F1ADB">
        <w:rPr>
          <w:bCs/>
          <w:noProof/>
          <w:lang w:val="fr-FR" w:eastAsia="en-GB"/>
        </w:rPr>
        <w:t> %</w:t>
      </w:r>
      <w:r>
        <w:rPr>
          <w:bCs/>
          <w:noProof/>
          <w:lang w:val="fr-FR" w:eastAsia="en-GB"/>
        </w:rPr>
        <w:t>) ou ne recourir que rarement</w:t>
      </w:r>
      <w:r w:rsidRPr="00DD03D6">
        <w:rPr>
          <w:bCs/>
          <w:noProof/>
          <w:lang w:val="fr-FR" w:eastAsia="en-GB"/>
        </w:rPr>
        <w:t xml:space="preserve"> (32</w:t>
      </w:r>
      <w:r w:rsidR="003F1ADB">
        <w:rPr>
          <w:bCs/>
          <w:noProof/>
          <w:lang w:val="fr-FR" w:eastAsia="en-GB"/>
        </w:rPr>
        <w:t> %</w:t>
      </w:r>
      <w:r w:rsidRPr="00DD03D6">
        <w:rPr>
          <w:bCs/>
          <w:noProof/>
          <w:lang w:val="fr-FR" w:eastAsia="en-GB"/>
        </w:rPr>
        <w:t xml:space="preserve">) </w:t>
      </w:r>
      <w:r>
        <w:rPr>
          <w:bCs/>
          <w:noProof/>
          <w:lang w:val="fr-FR" w:eastAsia="en-GB"/>
        </w:rPr>
        <w:t>aux châtiments corporels et physiques pour discipliner leurs enfants</w:t>
      </w:r>
      <w:r w:rsidRPr="00DD03D6">
        <w:rPr>
          <w:bCs/>
          <w:noProof/>
          <w:lang w:val="fr-FR" w:eastAsia="en-GB"/>
        </w:rPr>
        <w:t xml:space="preserve"> (Williams </w:t>
      </w:r>
      <w:r w:rsidRPr="00F57F14">
        <w:rPr>
          <w:bCs/>
          <w:i/>
          <w:noProof/>
          <w:lang w:val="fr-FR" w:eastAsia="en-GB"/>
        </w:rPr>
        <w:t>et al.</w:t>
      </w:r>
      <w:r w:rsidRPr="00DD03D6">
        <w:rPr>
          <w:bCs/>
          <w:noProof/>
          <w:lang w:val="fr-FR" w:eastAsia="en-GB"/>
        </w:rPr>
        <w:t>, 2009).</w:t>
      </w:r>
      <w:r w:rsidRPr="00DD03D6">
        <w:rPr>
          <w:b/>
          <w:bCs/>
          <w:noProof/>
          <w:color w:val="000000"/>
          <w:lang w:val="fr-FR" w:eastAsia="en-GB"/>
        </w:rPr>
        <w:t xml:space="preserve"> </w:t>
      </w:r>
      <w:r>
        <w:rPr>
          <w:bCs/>
          <w:noProof/>
          <w:color w:val="000000"/>
          <w:lang w:val="fr-FR" w:eastAsia="en-GB"/>
        </w:rPr>
        <w:t>Un large éventail de cours de parentalité sont dispensés dans tout le pays et d’autres études ont montré que les parents voient dans l’influence de l’éducation sur les styles de parentalité l’un des facteurs du recul des châtiments corporels</w:t>
      </w:r>
      <w:r w:rsidRPr="00DD03D6">
        <w:rPr>
          <w:noProof/>
          <w:lang w:val="fr-FR"/>
        </w:rPr>
        <w:t xml:space="preserve">. </w:t>
      </w:r>
      <w:r>
        <w:rPr>
          <w:noProof/>
          <w:lang w:val="fr-FR"/>
        </w:rPr>
        <w:t>E</w:t>
      </w:r>
      <w:r w:rsidRPr="00DD03D6">
        <w:rPr>
          <w:noProof/>
          <w:lang w:val="fr-FR"/>
        </w:rPr>
        <w:t xml:space="preserve">n </w:t>
      </w:r>
      <w:r>
        <w:rPr>
          <w:noProof/>
          <w:lang w:val="fr-FR"/>
        </w:rPr>
        <w:t xml:space="preserve">outre, </w:t>
      </w:r>
      <w:r>
        <w:rPr>
          <w:bCs/>
          <w:noProof/>
          <w:lang w:val="fr-FR" w:eastAsia="en-GB"/>
        </w:rPr>
        <w:t>le Ministère de l’enfance et de la jeunesse</w:t>
      </w:r>
      <w:r w:rsidRPr="00DD03D6">
        <w:rPr>
          <w:noProof/>
          <w:lang w:val="fr-FR"/>
        </w:rPr>
        <w:t xml:space="preserve"> </w:t>
      </w:r>
      <w:r>
        <w:rPr>
          <w:noProof/>
          <w:lang w:val="fr-FR"/>
        </w:rPr>
        <w:t>va s’employer de façon suivie à définir les moyens les plus efficaces d’aider les parents par le biais de l’Agence pour l’enfant et la famille</w:t>
      </w:r>
      <w:r w:rsidR="003D0F58" w:rsidRPr="00DD03D6">
        <w:rPr>
          <w:noProof/>
          <w:lang w:val="fr-FR"/>
        </w:rPr>
        <w:t>.</w:t>
      </w:r>
    </w:p>
    <w:p w:rsidR="003D0F58" w:rsidRPr="00DD03D6" w:rsidRDefault="003D0F58" w:rsidP="00C60925">
      <w:pPr>
        <w:pStyle w:val="H23G"/>
        <w:ind w:firstLine="0"/>
        <w:rPr>
          <w:noProof/>
          <w:lang w:val="fr-FR"/>
        </w:rPr>
      </w:pPr>
      <w:r w:rsidRPr="00DD03D6">
        <w:rPr>
          <w:noProof/>
          <w:lang w:val="fr-FR"/>
        </w:rPr>
        <w:t>Tr</w:t>
      </w:r>
      <w:r w:rsidR="00C60925">
        <w:rPr>
          <w:noProof/>
          <w:lang w:val="fr-FR"/>
        </w:rPr>
        <w:t xml:space="preserve">aitement des enfants </w:t>
      </w:r>
      <w:r w:rsidRPr="00DD03D6">
        <w:rPr>
          <w:noProof/>
          <w:lang w:val="fr-FR"/>
        </w:rPr>
        <w:t>suspects</w:t>
      </w:r>
    </w:p>
    <w:p w:rsidR="003D0F58" w:rsidRPr="00DD03D6" w:rsidRDefault="00EB667E" w:rsidP="00D44C77">
      <w:pPr>
        <w:pStyle w:val="SingleTxtG"/>
        <w:numPr>
          <w:ilvl w:val="0"/>
          <w:numId w:val="3"/>
        </w:numPr>
        <w:ind w:left="1134" w:firstLine="0"/>
        <w:rPr>
          <w:noProof/>
          <w:lang w:val="fr-FR"/>
        </w:rPr>
      </w:pPr>
      <w:r>
        <w:rPr>
          <w:noProof/>
          <w:lang w:val="fr-FR"/>
        </w:rPr>
        <w:t xml:space="preserve">Les exigences définies par la loi en ce qui concerne les enfants en </w:t>
      </w:r>
      <w:r w:rsidR="00E2574F">
        <w:rPr>
          <w:noProof/>
          <w:lang w:val="fr-FR"/>
        </w:rPr>
        <w:t>garde à vue</w:t>
      </w:r>
      <w:r>
        <w:rPr>
          <w:noProof/>
          <w:lang w:val="fr-FR"/>
        </w:rPr>
        <w:t xml:space="preserve"> décrites dans le deuxième rapport périodique de l’Irlande </w:t>
      </w:r>
      <w:r w:rsidR="003D0F58" w:rsidRPr="00DD03D6">
        <w:rPr>
          <w:noProof/>
          <w:lang w:val="fr-FR"/>
        </w:rPr>
        <w:t>continue</w:t>
      </w:r>
      <w:r>
        <w:rPr>
          <w:noProof/>
          <w:lang w:val="fr-FR"/>
        </w:rPr>
        <w:t>nt de s’appliquer</w:t>
      </w:r>
      <w:r w:rsidR="003D0F58" w:rsidRPr="00DD03D6">
        <w:rPr>
          <w:rStyle w:val="Appelnotedebasdep"/>
          <w:noProof/>
          <w:lang w:val="fr-FR"/>
        </w:rPr>
        <w:footnoteReference w:id="22"/>
      </w:r>
      <w:r>
        <w:rPr>
          <w:noProof/>
          <w:lang w:val="fr-FR"/>
        </w:rPr>
        <w:t>.</w:t>
      </w:r>
      <w:r w:rsidR="003D0F58" w:rsidRPr="00DD03D6">
        <w:rPr>
          <w:noProof/>
          <w:lang w:val="fr-FR"/>
        </w:rPr>
        <w:t xml:space="preserve"> </w:t>
      </w:r>
      <w:r>
        <w:rPr>
          <w:noProof/>
          <w:lang w:val="fr-FR"/>
        </w:rPr>
        <w:t>E</w:t>
      </w:r>
      <w:r w:rsidR="003D0F58" w:rsidRPr="00DD03D6">
        <w:rPr>
          <w:noProof/>
          <w:lang w:val="fr-FR"/>
        </w:rPr>
        <w:t xml:space="preserve">n </w:t>
      </w:r>
      <w:r>
        <w:rPr>
          <w:noProof/>
          <w:lang w:val="fr-FR"/>
        </w:rPr>
        <w:t>outre</w:t>
      </w:r>
      <w:r w:rsidR="003D0F58" w:rsidRPr="00DD03D6">
        <w:rPr>
          <w:noProof/>
          <w:lang w:val="fr-FR"/>
        </w:rPr>
        <w:t xml:space="preserve">, </w:t>
      </w:r>
      <w:r>
        <w:rPr>
          <w:noProof/>
          <w:lang w:val="fr-FR"/>
        </w:rPr>
        <w:t>une d</w:t>
      </w:r>
      <w:r w:rsidR="003D0F58" w:rsidRPr="00DD03D6">
        <w:rPr>
          <w:noProof/>
          <w:lang w:val="fr-FR"/>
        </w:rPr>
        <w:t xml:space="preserve">irective </w:t>
      </w:r>
      <w:r>
        <w:rPr>
          <w:noProof/>
          <w:lang w:val="fr-FR"/>
        </w:rPr>
        <w:t xml:space="preserve">du siège de la </w:t>
      </w:r>
      <w:r w:rsidR="003D0F58" w:rsidRPr="00DD03D6">
        <w:rPr>
          <w:noProof/>
          <w:lang w:val="fr-FR"/>
        </w:rPr>
        <w:t xml:space="preserve">Garda </w:t>
      </w:r>
      <w:r>
        <w:rPr>
          <w:noProof/>
          <w:lang w:val="fr-FR"/>
        </w:rPr>
        <w:t xml:space="preserve">a été publiée en </w:t>
      </w:r>
      <w:r w:rsidR="003D0F58" w:rsidRPr="00DD03D6">
        <w:rPr>
          <w:noProof/>
          <w:lang w:val="fr-FR"/>
        </w:rPr>
        <w:t xml:space="preserve">2007 </w:t>
      </w:r>
      <w:r>
        <w:rPr>
          <w:noProof/>
          <w:lang w:val="fr-FR"/>
        </w:rPr>
        <w:t xml:space="preserve">et des notes d’orientation détaillées sur l’application du </w:t>
      </w:r>
      <w:r w:rsidR="00D25AD5" w:rsidRPr="00D25AD5">
        <w:rPr>
          <w:noProof/>
          <w:color w:val="000000"/>
          <w:lang w:val="fr-FR"/>
        </w:rPr>
        <w:t xml:space="preserve">Règlement concernant le traitement des personnes </w:t>
      </w:r>
      <w:r w:rsidR="00E2574F">
        <w:rPr>
          <w:noProof/>
          <w:color w:val="000000"/>
          <w:lang w:val="fr-FR"/>
        </w:rPr>
        <w:t xml:space="preserve">gardées à </w:t>
      </w:r>
      <w:r w:rsidR="00E2574F">
        <w:rPr>
          <w:noProof/>
          <w:color w:val="000000"/>
          <w:lang w:val="fr-FR"/>
        </w:rPr>
        <w:lastRenderedPageBreak/>
        <w:t>vue</w:t>
      </w:r>
      <w:r w:rsidR="00D25AD5" w:rsidRPr="00D25AD5">
        <w:rPr>
          <w:noProof/>
          <w:color w:val="000000"/>
          <w:lang w:val="fr-FR"/>
        </w:rPr>
        <w:t xml:space="preserve"> dans les postes de la Garda</w:t>
      </w:r>
      <w:r w:rsidR="00D25AD5" w:rsidRPr="00D25AD5">
        <w:rPr>
          <w:noProof/>
          <w:lang w:val="fr-FR"/>
        </w:rPr>
        <w:t xml:space="preserve"> </w:t>
      </w:r>
      <w:r w:rsidR="00D25AD5">
        <w:rPr>
          <w:noProof/>
          <w:lang w:val="fr-FR"/>
        </w:rPr>
        <w:t xml:space="preserve">ont été communiquées à chaque membre de la </w:t>
      </w:r>
      <w:r w:rsidR="003D0F58" w:rsidRPr="00DD03D6">
        <w:rPr>
          <w:noProof/>
          <w:lang w:val="fr-FR"/>
        </w:rPr>
        <w:t xml:space="preserve">Garda Síochána </w:t>
      </w:r>
      <w:r w:rsidR="00D25AD5">
        <w:rPr>
          <w:noProof/>
          <w:lang w:val="fr-FR"/>
        </w:rPr>
        <w:t>e</w:t>
      </w:r>
      <w:r w:rsidR="003D0F58" w:rsidRPr="00DD03D6">
        <w:rPr>
          <w:noProof/>
          <w:lang w:val="fr-FR"/>
        </w:rPr>
        <w:t>n 2008.</w:t>
      </w:r>
    </w:p>
    <w:p w:rsidR="003D0F58" w:rsidRPr="00DD03D6" w:rsidRDefault="00D25AD5" w:rsidP="00510086">
      <w:pPr>
        <w:pStyle w:val="SingleTxtG"/>
        <w:numPr>
          <w:ilvl w:val="0"/>
          <w:numId w:val="3"/>
        </w:numPr>
        <w:ind w:left="1134" w:firstLine="0"/>
        <w:rPr>
          <w:noProof/>
          <w:lang w:val="fr-FR"/>
        </w:rPr>
      </w:pPr>
      <w:r>
        <w:rPr>
          <w:noProof/>
          <w:lang w:val="fr-FR"/>
        </w:rPr>
        <w:t xml:space="preserve">Conformément aux </w:t>
      </w:r>
      <w:r w:rsidR="003D0F58" w:rsidRPr="00DD03D6">
        <w:rPr>
          <w:noProof/>
          <w:lang w:val="fr-FR"/>
        </w:rPr>
        <w:t>assurance</w:t>
      </w:r>
      <w:r>
        <w:rPr>
          <w:noProof/>
          <w:lang w:val="fr-FR"/>
        </w:rPr>
        <w:t>s données au Comité européen pour la pré</w:t>
      </w:r>
      <w:r w:rsidR="003D0F58" w:rsidRPr="00DD03D6">
        <w:rPr>
          <w:noProof/>
          <w:lang w:val="fr-FR"/>
        </w:rPr>
        <w:t xml:space="preserve">vention </w:t>
      </w:r>
      <w:r>
        <w:rPr>
          <w:noProof/>
          <w:lang w:val="fr-FR"/>
        </w:rPr>
        <w:t>de la t</w:t>
      </w:r>
      <w:r w:rsidR="003D0F58" w:rsidRPr="00DD03D6">
        <w:rPr>
          <w:noProof/>
          <w:lang w:val="fr-FR"/>
        </w:rPr>
        <w:t xml:space="preserve">orture </w:t>
      </w:r>
      <w:r>
        <w:rPr>
          <w:noProof/>
          <w:lang w:val="fr-FR"/>
        </w:rPr>
        <w:t>e</w:t>
      </w:r>
      <w:r w:rsidR="003D0F58" w:rsidRPr="00DD03D6">
        <w:rPr>
          <w:noProof/>
          <w:lang w:val="fr-FR"/>
        </w:rPr>
        <w:t xml:space="preserve">n 2010, </w:t>
      </w:r>
      <w:r>
        <w:rPr>
          <w:noProof/>
          <w:lang w:val="fr-FR"/>
        </w:rPr>
        <w:t xml:space="preserve">le siège de la </w:t>
      </w:r>
      <w:r w:rsidR="003D0F58" w:rsidRPr="00DD03D6">
        <w:rPr>
          <w:noProof/>
          <w:lang w:val="fr-FR"/>
        </w:rPr>
        <w:t xml:space="preserve">Garda </w:t>
      </w:r>
      <w:r>
        <w:rPr>
          <w:noProof/>
          <w:lang w:val="fr-FR"/>
        </w:rPr>
        <w:t xml:space="preserve">a diffusé un nouveau rappel </w:t>
      </w:r>
      <w:r w:rsidR="002C7974">
        <w:rPr>
          <w:noProof/>
          <w:lang w:val="fr-FR"/>
        </w:rPr>
        <w:t>aux termes duquel il était inacceptable d’infliger des mauvais traitements à des détenus et des sanctions disciplinaires seraient prises contre les contrevenants</w:t>
      </w:r>
      <w:r w:rsidR="003D0F58" w:rsidRPr="00DD03D6">
        <w:rPr>
          <w:noProof/>
          <w:lang w:val="fr-FR"/>
        </w:rPr>
        <w:t>.</w:t>
      </w:r>
    </w:p>
    <w:p w:rsidR="003D0F58" w:rsidRPr="00DD03D6" w:rsidRDefault="002C7974" w:rsidP="005D7533">
      <w:pPr>
        <w:pStyle w:val="SingleTxtG"/>
        <w:numPr>
          <w:ilvl w:val="0"/>
          <w:numId w:val="3"/>
        </w:numPr>
        <w:ind w:left="1134" w:firstLine="0"/>
        <w:rPr>
          <w:noProof/>
          <w:lang w:val="fr-FR"/>
        </w:rPr>
      </w:pPr>
      <w:r>
        <w:rPr>
          <w:noProof/>
          <w:lang w:val="fr-FR"/>
        </w:rPr>
        <w:t xml:space="preserve">Le Commissaire de la </w:t>
      </w:r>
      <w:r w:rsidRPr="00DD03D6">
        <w:rPr>
          <w:noProof/>
          <w:lang w:val="fr-FR"/>
        </w:rPr>
        <w:t>Garda Síochána</w:t>
      </w:r>
      <w:r>
        <w:rPr>
          <w:noProof/>
          <w:lang w:val="fr-FR"/>
        </w:rPr>
        <w:t xml:space="preserve"> a publié une version révisée du formulaire </w:t>
      </w:r>
      <w:r w:rsidR="003F36DD">
        <w:rPr>
          <w:noProof/>
          <w:lang w:val="fr-FR"/>
        </w:rPr>
        <w:t>« </w:t>
      </w:r>
      <w:r w:rsidR="003D0F58" w:rsidRPr="00DD03D6">
        <w:rPr>
          <w:noProof/>
          <w:lang w:val="fr-FR"/>
        </w:rPr>
        <w:t>Information</w:t>
      </w:r>
      <w:r>
        <w:rPr>
          <w:noProof/>
          <w:lang w:val="fr-FR"/>
        </w:rPr>
        <w:t xml:space="preserve">s à l’intention des personnes en </w:t>
      </w:r>
      <w:r w:rsidR="00E2574F">
        <w:rPr>
          <w:noProof/>
          <w:lang w:val="fr-FR"/>
        </w:rPr>
        <w:t>garde à vue</w:t>
      </w:r>
      <w:r w:rsidR="003F36DD">
        <w:rPr>
          <w:noProof/>
          <w:lang w:val="fr-FR"/>
        </w:rPr>
        <w:t> »</w:t>
      </w:r>
      <w:r w:rsidR="003D0F58" w:rsidRPr="00DD03D6">
        <w:rPr>
          <w:noProof/>
          <w:lang w:val="fr-FR"/>
        </w:rPr>
        <w:t xml:space="preserve"> C.72(S). </w:t>
      </w:r>
      <w:r>
        <w:rPr>
          <w:noProof/>
          <w:lang w:val="fr-FR"/>
        </w:rPr>
        <w:t xml:space="preserve">Ce formulaire doit être lu et remis à chaque personne </w:t>
      </w:r>
      <w:r w:rsidR="00E2574F">
        <w:rPr>
          <w:noProof/>
          <w:lang w:val="fr-FR"/>
        </w:rPr>
        <w:t>gardé</w:t>
      </w:r>
      <w:r>
        <w:rPr>
          <w:noProof/>
          <w:lang w:val="fr-FR"/>
        </w:rPr>
        <w:t xml:space="preserve">e </w:t>
      </w:r>
      <w:r w:rsidR="00E2574F">
        <w:rPr>
          <w:noProof/>
          <w:lang w:val="fr-FR"/>
        </w:rPr>
        <w:t xml:space="preserve">à vue </w:t>
      </w:r>
      <w:r>
        <w:rPr>
          <w:noProof/>
          <w:lang w:val="fr-FR"/>
        </w:rPr>
        <w:t xml:space="preserve">pour lui notifier ses droits et l’informer que la </w:t>
      </w:r>
      <w:r w:rsidR="003D0F58" w:rsidRPr="00DD03D6">
        <w:rPr>
          <w:noProof/>
          <w:lang w:val="fr-FR"/>
        </w:rPr>
        <w:t xml:space="preserve">Garda Síochána </w:t>
      </w:r>
      <w:r>
        <w:rPr>
          <w:noProof/>
          <w:lang w:val="fr-FR"/>
        </w:rPr>
        <w:t xml:space="preserve">doit respecter à tout moment ses droits individuels et sa dignité d’être humain et </w:t>
      </w:r>
      <w:r w:rsidR="00BB3A9C">
        <w:rPr>
          <w:noProof/>
          <w:lang w:val="fr-FR"/>
        </w:rPr>
        <w:t>ne doit lui faire subir de mauvais traitements d’aucune sorte</w:t>
      </w:r>
      <w:r w:rsidR="003D0F58" w:rsidRPr="00DD03D6">
        <w:rPr>
          <w:noProof/>
          <w:lang w:val="fr-FR"/>
        </w:rPr>
        <w:t xml:space="preserve">. </w:t>
      </w:r>
      <w:r w:rsidR="00BB3A9C">
        <w:rPr>
          <w:noProof/>
          <w:lang w:val="fr-FR"/>
        </w:rPr>
        <w:t xml:space="preserve">Ce formulaire est établi en plusieurs langues de façon que toutes les personnes </w:t>
      </w:r>
      <w:r w:rsidR="000A4F17">
        <w:rPr>
          <w:noProof/>
          <w:lang w:val="fr-FR"/>
        </w:rPr>
        <w:t>gardée</w:t>
      </w:r>
      <w:r w:rsidR="00BB3A9C">
        <w:rPr>
          <w:noProof/>
          <w:lang w:val="fr-FR"/>
        </w:rPr>
        <w:t xml:space="preserve">s </w:t>
      </w:r>
      <w:r w:rsidR="000A4F17">
        <w:rPr>
          <w:noProof/>
          <w:lang w:val="fr-FR"/>
        </w:rPr>
        <w:t xml:space="preserve">à vue </w:t>
      </w:r>
      <w:r w:rsidR="00BB3A9C">
        <w:rPr>
          <w:noProof/>
          <w:lang w:val="fr-FR"/>
        </w:rPr>
        <w:t xml:space="preserve">par la </w:t>
      </w:r>
      <w:r w:rsidR="003D0F58" w:rsidRPr="00DD03D6">
        <w:rPr>
          <w:noProof/>
          <w:lang w:val="fr-FR"/>
        </w:rPr>
        <w:t xml:space="preserve">Garda </w:t>
      </w:r>
      <w:r w:rsidR="00BB3A9C">
        <w:rPr>
          <w:noProof/>
          <w:lang w:val="fr-FR"/>
        </w:rPr>
        <w:t>puissent être informées de leurs droits par écrit et dans une langue qu’elles comprennent</w:t>
      </w:r>
      <w:r w:rsidR="003D0F58" w:rsidRPr="00DD03D6">
        <w:rPr>
          <w:noProof/>
          <w:lang w:val="fr-FR"/>
        </w:rPr>
        <w:t>.</w:t>
      </w:r>
    </w:p>
    <w:p w:rsidR="003D0F58" w:rsidRPr="00DD03D6" w:rsidRDefault="00E2574F" w:rsidP="00510086">
      <w:pPr>
        <w:pStyle w:val="SingleTxtG"/>
        <w:numPr>
          <w:ilvl w:val="0"/>
          <w:numId w:val="3"/>
        </w:numPr>
        <w:ind w:left="1134" w:firstLine="0"/>
        <w:rPr>
          <w:noProof/>
          <w:lang w:val="fr-FR"/>
        </w:rPr>
      </w:pPr>
      <w:r>
        <w:rPr>
          <w:noProof/>
          <w:lang w:val="fr-FR"/>
        </w:rPr>
        <w:t xml:space="preserve">Un registre de garde à vue </w:t>
      </w:r>
      <w:r w:rsidR="003D0F58" w:rsidRPr="00DD03D6">
        <w:rPr>
          <w:noProof/>
          <w:lang w:val="fr-FR"/>
        </w:rPr>
        <w:t>r</w:t>
      </w:r>
      <w:r>
        <w:rPr>
          <w:noProof/>
          <w:lang w:val="fr-FR"/>
        </w:rPr>
        <w:t>évisé</w:t>
      </w:r>
      <w:r w:rsidR="003D0F58" w:rsidRPr="00DD03D6">
        <w:rPr>
          <w:noProof/>
          <w:lang w:val="fr-FR"/>
        </w:rPr>
        <w:t xml:space="preserve">, </w:t>
      </w:r>
      <w:r>
        <w:rPr>
          <w:noProof/>
          <w:lang w:val="fr-FR"/>
        </w:rPr>
        <w:t xml:space="preserve">publié en </w:t>
      </w:r>
      <w:r w:rsidR="003D0F58" w:rsidRPr="00DD03D6">
        <w:rPr>
          <w:noProof/>
          <w:lang w:val="fr-FR"/>
        </w:rPr>
        <w:t xml:space="preserve">2009, </w:t>
      </w:r>
      <w:r>
        <w:rPr>
          <w:noProof/>
          <w:lang w:val="fr-FR"/>
        </w:rPr>
        <w:t>prévoit une évaluation des risques pour chaque détenu et la satisfaction de toutes les exigence</w:t>
      </w:r>
      <w:r w:rsidR="000A4F17">
        <w:rPr>
          <w:noProof/>
          <w:lang w:val="fr-FR"/>
        </w:rPr>
        <w:t>s</w:t>
      </w:r>
      <w:r>
        <w:rPr>
          <w:noProof/>
          <w:lang w:val="fr-FR"/>
        </w:rPr>
        <w:t xml:space="preserve"> concernant une personne détenue</w:t>
      </w:r>
      <w:r w:rsidR="003D0F58" w:rsidRPr="00DD03D6">
        <w:rPr>
          <w:noProof/>
          <w:lang w:val="fr-FR"/>
        </w:rPr>
        <w:t xml:space="preserve">. </w:t>
      </w:r>
      <w:r>
        <w:rPr>
          <w:noProof/>
          <w:lang w:val="fr-FR"/>
        </w:rPr>
        <w:t xml:space="preserve">Il comprend une nouvelle </w:t>
      </w:r>
      <w:r w:rsidR="00796A7C" w:rsidRPr="00DD03D6">
        <w:rPr>
          <w:noProof/>
          <w:lang w:val="fr-FR"/>
        </w:rPr>
        <w:t xml:space="preserve">section </w:t>
      </w:r>
      <w:r>
        <w:rPr>
          <w:noProof/>
          <w:lang w:val="fr-FR"/>
        </w:rPr>
        <w:t xml:space="preserve">sur les enfants en </w:t>
      </w:r>
      <w:r w:rsidR="000A4F17">
        <w:rPr>
          <w:noProof/>
          <w:lang w:val="fr-FR"/>
        </w:rPr>
        <w:t>garde à vue et traite d’une manière plus détaillée de questions telles que l’état de la personne détenue lors de son arrivée au poste</w:t>
      </w:r>
      <w:r w:rsidR="003D0F58" w:rsidRPr="00DD03D6">
        <w:rPr>
          <w:noProof/>
          <w:lang w:val="fr-FR"/>
        </w:rPr>
        <w:t xml:space="preserve">. </w:t>
      </w:r>
      <w:r w:rsidR="000A4F17">
        <w:rPr>
          <w:noProof/>
          <w:lang w:val="fr-FR"/>
        </w:rPr>
        <w:t xml:space="preserve">Ce registre est une garantie à la fois pour la personne détenue et les membres de la </w:t>
      </w:r>
      <w:r w:rsidR="003D0F58" w:rsidRPr="00DD03D6">
        <w:rPr>
          <w:noProof/>
          <w:lang w:val="fr-FR"/>
        </w:rPr>
        <w:t xml:space="preserve">Garda Síochána. </w:t>
      </w:r>
      <w:r w:rsidR="000A4F17">
        <w:rPr>
          <w:noProof/>
          <w:lang w:val="fr-FR"/>
        </w:rPr>
        <w:t>Tous les cas où une personne détenue a subi des lésions avant, pendant ou après son arrestation sont consignés dans le registre de garde à vue et un rapport médical peut être obtenu en cas de besoin</w:t>
      </w:r>
      <w:r w:rsidR="003D0F58" w:rsidRPr="00DD03D6">
        <w:rPr>
          <w:noProof/>
          <w:lang w:val="fr-FR"/>
        </w:rPr>
        <w:t>.</w:t>
      </w:r>
    </w:p>
    <w:p w:rsidR="003D0F58" w:rsidRPr="00DD03D6" w:rsidRDefault="00066A18" w:rsidP="00510086">
      <w:pPr>
        <w:pStyle w:val="SingleTxtG"/>
        <w:numPr>
          <w:ilvl w:val="0"/>
          <w:numId w:val="3"/>
        </w:numPr>
        <w:ind w:left="1134" w:firstLine="0"/>
        <w:rPr>
          <w:noProof/>
          <w:lang w:val="fr-FR"/>
        </w:rPr>
      </w:pPr>
      <w:r>
        <w:rPr>
          <w:noProof/>
          <w:lang w:val="fr-FR"/>
        </w:rPr>
        <w:t xml:space="preserve">Dans le cadre de sa stratégie </w:t>
      </w:r>
      <w:r w:rsidR="00D31E58">
        <w:rPr>
          <w:noProof/>
          <w:lang w:val="fr-FR"/>
        </w:rPr>
        <w:t xml:space="preserve">actuelle </w:t>
      </w:r>
      <w:r>
        <w:rPr>
          <w:noProof/>
          <w:lang w:val="fr-FR"/>
        </w:rPr>
        <w:t xml:space="preserve">en faveur de l’enfance et de la jeunesse, la </w:t>
      </w:r>
      <w:r w:rsidR="005D7533" w:rsidRPr="00DD03D6">
        <w:rPr>
          <w:noProof/>
          <w:lang w:val="fr-FR"/>
        </w:rPr>
        <w:t xml:space="preserve">Garda Síochána </w:t>
      </w:r>
      <w:r>
        <w:rPr>
          <w:noProof/>
          <w:lang w:val="fr-FR"/>
        </w:rPr>
        <w:t xml:space="preserve">est déterminée </w:t>
      </w:r>
      <w:r w:rsidR="003F36DD">
        <w:rPr>
          <w:noProof/>
          <w:lang w:val="fr-FR"/>
        </w:rPr>
        <w:t>« </w:t>
      </w:r>
      <w:r>
        <w:rPr>
          <w:noProof/>
          <w:lang w:val="fr-FR"/>
        </w:rPr>
        <w:t xml:space="preserve">à fournir un service de police de qualité à tous les enfants et jeunes et à le faire avec dignité et dans le </w:t>
      </w:r>
      <w:r w:rsidR="003D0F58" w:rsidRPr="00DD03D6">
        <w:rPr>
          <w:noProof/>
          <w:lang w:val="fr-FR"/>
        </w:rPr>
        <w:t xml:space="preserve">respect </w:t>
      </w:r>
      <w:r>
        <w:rPr>
          <w:noProof/>
          <w:lang w:val="fr-FR"/>
        </w:rPr>
        <w:t xml:space="preserve">de leurs droits fondamentaux en communiquant avec eux, en les écoutant et en s’employant à instaurer et à maintenir des relations </w:t>
      </w:r>
      <w:r w:rsidR="003D0F58" w:rsidRPr="00DD03D6">
        <w:rPr>
          <w:noProof/>
          <w:lang w:val="fr-FR"/>
        </w:rPr>
        <w:t>positive</w:t>
      </w:r>
      <w:r>
        <w:rPr>
          <w:noProof/>
          <w:lang w:val="fr-FR"/>
        </w:rPr>
        <w:t>s avec eux</w:t>
      </w:r>
      <w:r w:rsidR="003F36DD">
        <w:rPr>
          <w:noProof/>
          <w:lang w:val="fr-FR"/>
        </w:rPr>
        <w:t> »</w:t>
      </w:r>
      <w:r w:rsidR="003D0F58" w:rsidRPr="00DD03D6">
        <w:rPr>
          <w:noProof/>
          <w:lang w:val="fr-FR"/>
        </w:rPr>
        <w:t xml:space="preserve">. </w:t>
      </w:r>
      <w:r>
        <w:rPr>
          <w:noProof/>
          <w:lang w:val="fr-FR"/>
        </w:rPr>
        <w:t xml:space="preserve">Un élément </w:t>
      </w:r>
      <w:r w:rsidR="003D0F58" w:rsidRPr="00DD03D6">
        <w:rPr>
          <w:noProof/>
          <w:lang w:val="fr-FR"/>
        </w:rPr>
        <w:t xml:space="preserve">important </w:t>
      </w:r>
      <w:r>
        <w:rPr>
          <w:noProof/>
          <w:lang w:val="fr-FR"/>
        </w:rPr>
        <w:t xml:space="preserve">de cette </w:t>
      </w:r>
      <w:r w:rsidR="003D0F58" w:rsidRPr="00DD03D6">
        <w:rPr>
          <w:noProof/>
          <w:lang w:val="fr-FR"/>
        </w:rPr>
        <w:t>strat</w:t>
      </w:r>
      <w:r>
        <w:rPr>
          <w:noProof/>
          <w:lang w:val="fr-FR"/>
        </w:rPr>
        <w:t xml:space="preserve">égie consiste à faire en sorte que la </w:t>
      </w:r>
      <w:r w:rsidR="003D0F58" w:rsidRPr="00DD03D6">
        <w:rPr>
          <w:noProof/>
          <w:lang w:val="fr-FR"/>
        </w:rPr>
        <w:t xml:space="preserve">Garda Síochána </w:t>
      </w:r>
      <w:r>
        <w:rPr>
          <w:noProof/>
          <w:lang w:val="fr-FR"/>
        </w:rPr>
        <w:t>soit équipée pour fournir un service de qualité à tous les enfants et jeunes</w:t>
      </w:r>
      <w:r w:rsidR="003D0F58" w:rsidRPr="00DD03D6">
        <w:rPr>
          <w:noProof/>
          <w:lang w:val="fr-FR"/>
        </w:rPr>
        <w:t xml:space="preserve">, </w:t>
      </w:r>
      <w:r>
        <w:rPr>
          <w:noProof/>
          <w:lang w:val="fr-FR"/>
        </w:rPr>
        <w:t xml:space="preserve">et qu’elle s’emploie à maintenir les normes internationalement reconnues les plus </w:t>
      </w:r>
      <w:r w:rsidR="00D31E58">
        <w:rPr>
          <w:noProof/>
          <w:lang w:val="fr-FR"/>
        </w:rPr>
        <w:t>stricte</w:t>
      </w:r>
      <w:r>
        <w:rPr>
          <w:noProof/>
          <w:lang w:val="fr-FR"/>
        </w:rPr>
        <w:t xml:space="preserve">s </w:t>
      </w:r>
      <w:r w:rsidR="00D31E58">
        <w:rPr>
          <w:noProof/>
          <w:lang w:val="fr-FR"/>
        </w:rPr>
        <w:t>en matière de comportement et de meilleures pratiques lorsqu’elle a affaire aux enfants et aux jeunes</w:t>
      </w:r>
      <w:r w:rsidR="003D0F58" w:rsidRPr="00DD03D6">
        <w:rPr>
          <w:noProof/>
          <w:lang w:val="fr-FR"/>
        </w:rPr>
        <w:t>.</w:t>
      </w:r>
    </w:p>
    <w:p w:rsidR="003D0F58" w:rsidRPr="00DD03D6" w:rsidRDefault="00D31E58" w:rsidP="00510086">
      <w:pPr>
        <w:pStyle w:val="SingleTxtG"/>
        <w:numPr>
          <w:ilvl w:val="0"/>
          <w:numId w:val="3"/>
        </w:numPr>
        <w:ind w:left="1134" w:firstLine="0"/>
        <w:rPr>
          <w:b/>
          <w:bCs/>
          <w:noProof/>
          <w:lang w:val="fr-FR"/>
        </w:rPr>
      </w:pPr>
      <w:r>
        <w:rPr>
          <w:noProof/>
          <w:lang w:val="fr-FR"/>
        </w:rPr>
        <w:t>Cette stratégie énonce un certain nombre d’activités de formation, notamment aux instruments internationaux qui se rapportent aux enfants en détention</w:t>
      </w:r>
      <w:r w:rsidR="003D0F58" w:rsidRPr="00DD03D6">
        <w:rPr>
          <w:noProof/>
          <w:lang w:val="fr-FR"/>
        </w:rPr>
        <w:t xml:space="preserve">. </w:t>
      </w:r>
      <w:r>
        <w:rPr>
          <w:noProof/>
          <w:lang w:val="fr-FR"/>
        </w:rPr>
        <w:t xml:space="preserve">Parmi les cours dispensés par la Faculté de formation </w:t>
      </w:r>
      <w:r w:rsidR="00F567B7">
        <w:rPr>
          <w:noProof/>
          <w:lang w:val="fr-FR"/>
        </w:rPr>
        <w:t xml:space="preserve">relative à la criminalité de l’École de la </w:t>
      </w:r>
      <w:r w:rsidR="003D0F58" w:rsidRPr="00DD03D6">
        <w:rPr>
          <w:noProof/>
          <w:lang w:val="fr-FR"/>
        </w:rPr>
        <w:t>Garda</w:t>
      </w:r>
      <w:r w:rsidR="00F567B7">
        <w:rPr>
          <w:noProof/>
          <w:lang w:val="fr-FR"/>
        </w:rPr>
        <w:t xml:space="preserve"> </w:t>
      </w:r>
      <w:r w:rsidR="003D0F58" w:rsidRPr="00DD03D6">
        <w:rPr>
          <w:noProof/>
          <w:lang w:val="fr-FR"/>
        </w:rPr>
        <w:t xml:space="preserve">Síochána </w:t>
      </w:r>
      <w:r w:rsidR="00F567B7">
        <w:rPr>
          <w:noProof/>
          <w:lang w:val="fr-FR"/>
        </w:rPr>
        <w:t xml:space="preserve">de </w:t>
      </w:r>
      <w:r w:rsidR="003D0F58" w:rsidRPr="00DD03D6">
        <w:rPr>
          <w:noProof/>
          <w:lang w:val="fr-FR"/>
        </w:rPr>
        <w:t xml:space="preserve">Templemore </w:t>
      </w:r>
      <w:r w:rsidR="00F567B7">
        <w:rPr>
          <w:noProof/>
          <w:lang w:val="fr-FR"/>
        </w:rPr>
        <w:t xml:space="preserve">figure un cours spécialisé </w:t>
      </w:r>
      <w:r w:rsidR="00071D66">
        <w:rPr>
          <w:noProof/>
          <w:lang w:val="fr-FR"/>
        </w:rPr>
        <w:t xml:space="preserve">dispenseé aux </w:t>
      </w:r>
      <w:r w:rsidR="00F567B7">
        <w:rPr>
          <w:noProof/>
          <w:lang w:val="fr-FR"/>
        </w:rPr>
        <w:t>personnes chargées</w:t>
      </w:r>
      <w:r w:rsidR="00071D66">
        <w:rPr>
          <w:noProof/>
          <w:lang w:val="fr-FR"/>
        </w:rPr>
        <w:t xml:space="preserve"> des entretiens pour leur apprendre à préparer et à conduire des entretiens avec des enfants soupçonnés ou victimes d’une infraction</w:t>
      </w:r>
      <w:r w:rsidR="003D0F58" w:rsidRPr="00DD03D6">
        <w:rPr>
          <w:noProof/>
          <w:lang w:val="fr-FR"/>
        </w:rPr>
        <w:t>.</w:t>
      </w:r>
    </w:p>
    <w:p w:rsidR="003D0F58" w:rsidRPr="00DD03D6" w:rsidRDefault="00510086" w:rsidP="00D24806">
      <w:pPr>
        <w:pStyle w:val="H1G"/>
        <w:rPr>
          <w:noProof/>
          <w:lang w:val="fr-FR"/>
        </w:rPr>
      </w:pPr>
      <w:bookmarkStart w:id="38" w:name="_Toc356430866"/>
      <w:r w:rsidRPr="00DD03D6">
        <w:rPr>
          <w:noProof/>
          <w:lang w:val="fr-FR"/>
        </w:rPr>
        <w:tab/>
      </w:r>
      <w:r w:rsidR="003D0F58" w:rsidRPr="00DD03D6">
        <w:rPr>
          <w:noProof/>
          <w:lang w:val="fr-FR"/>
        </w:rPr>
        <w:t>I.</w:t>
      </w:r>
      <w:r w:rsidR="003D0F58" w:rsidRPr="00DD03D6">
        <w:rPr>
          <w:noProof/>
          <w:lang w:val="fr-FR"/>
        </w:rPr>
        <w:tab/>
      </w:r>
      <w:r w:rsidR="00071D66" w:rsidRPr="00DD03D6">
        <w:rPr>
          <w:noProof/>
          <w:lang w:val="fr-FR"/>
        </w:rPr>
        <w:t xml:space="preserve">Mesures </w:t>
      </w:r>
      <w:r w:rsidR="00071D66">
        <w:rPr>
          <w:noProof/>
          <w:lang w:val="fr-FR"/>
        </w:rPr>
        <w:t xml:space="preserve">prises pour promouvoir </w:t>
      </w:r>
      <w:r w:rsidR="00071D66" w:rsidRPr="00353C98">
        <w:rPr>
          <w:noProof/>
          <w:lang w:val="fr-FR"/>
        </w:rPr>
        <w:t xml:space="preserve">la </w:t>
      </w:r>
      <w:r w:rsidR="00071D66" w:rsidRPr="00353C98">
        <w:rPr>
          <w:lang w:val="fr-FR"/>
        </w:rPr>
        <w:t>réadaptation physique et psychologique et la réinsertion des enfants victim</w:t>
      </w:r>
      <w:r w:rsidR="00071D66">
        <w:rPr>
          <w:lang w:val="fr-FR"/>
        </w:rPr>
        <w:t>e</w:t>
      </w:r>
      <w:r w:rsidR="00071D66" w:rsidRPr="00353C98">
        <w:rPr>
          <w:lang w:val="fr-FR"/>
        </w:rPr>
        <w:t>s</w:t>
      </w:r>
      <w:bookmarkEnd w:id="38"/>
      <w:r w:rsidR="00E92D3C">
        <w:rPr>
          <w:lang w:val="fr-FR"/>
        </w:rPr>
        <w:t xml:space="preserve"> </w:t>
      </w:r>
    </w:p>
    <w:p w:rsidR="003D0F58" w:rsidRPr="00DD03D6" w:rsidRDefault="00EA4451" w:rsidP="00510086">
      <w:pPr>
        <w:pStyle w:val="SingleTxtG"/>
        <w:numPr>
          <w:ilvl w:val="0"/>
          <w:numId w:val="3"/>
        </w:numPr>
        <w:ind w:left="1134" w:firstLine="0"/>
        <w:rPr>
          <w:noProof/>
          <w:lang w:val="fr-FR"/>
        </w:rPr>
      </w:pPr>
      <w:r>
        <w:rPr>
          <w:noProof/>
          <w:lang w:val="fr-FR"/>
        </w:rPr>
        <w:t xml:space="preserve">Les services d’assistance et de </w:t>
      </w:r>
      <w:r w:rsidR="003D0F58" w:rsidRPr="00DD03D6">
        <w:rPr>
          <w:noProof/>
          <w:lang w:val="fr-FR"/>
        </w:rPr>
        <w:t xml:space="preserve">protection </w:t>
      </w:r>
      <w:r>
        <w:rPr>
          <w:noProof/>
          <w:lang w:val="fr-FR"/>
        </w:rPr>
        <w:t>destinés aux enfants so</w:t>
      </w:r>
      <w:r w:rsidR="00F822A2">
        <w:rPr>
          <w:noProof/>
          <w:lang w:val="fr-FR"/>
        </w:rPr>
        <w:t>nt</w:t>
      </w:r>
      <w:r>
        <w:rPr>
          <w:noProof/>
          <w:lang w:val="fr-FR"/>
        </w:rPr>
        <w:t xml:space="preserve"> fournis par la Direction des services de santé dans le cadre de diverses </w:t>
      </w:r>
      <w:r w:rsidR="003D0F58" w:rsidRPr="00DD03D6">
        <w:rPr>
          <w:noProof/>
          <w:lang w:val="fr-FR"/>
        </w:rPr>
        <w:t xml:space="preserve">disciplines </w:t>
      </w:r>
      <w:r>
        <w:rPr>
          <w:noProof/>
          <w:lang w:val="fr-FR"/>
        </w:rPr>
        <w:t>et</w:t>
      </w:r>
      <w:r w:rsidR="003D0F58" w:rsidRPr="00DD03D6">
        <w:rPr>
          <w:noProof/>
          <w:lang w:val="fr-FR"/>
        </w:rPr>
        <w:t xml:space="preserve"> interventions</w:t>
      </w:r>
      <w:r>
        <w:rPr>
          <w:noProof/>
          <w:lang w:val="fr-FR"/>
        </w:rPr>
        <w:t xml:space="preserve"> professionnelles</w:t>
      </w:r>
      <w:r w:rsidR="003D0F58" w:rsidRPr="00DD03D6">
        <w:rPr>
          <w:noProof/>
          <w:lang w:val="fr-FR"/>
        </w:rPr>
        <w:t xml:space="preserve">, </w:t>
      </w:r>
      <w:r>
        <w:rPr>
          <w:noProof/>
          <w:lang w:val="fr-FR"/>
        </w:rPr>
        <w:t xml:space="preserve">conformément aux </w:t>
      </w:r>
      <w:r w:rsidR="004C7931">
        <w:rPr>
          <w:noProof/>
          <w:lang w:val="fr-FR"/>
        </w:rPr>
        <w:t>o</w:t>
      </w:r>
      <w:r>
        <w:rPr>
          <w:noProof/>
          <w:lang w:val="fr-FR"/>
        </w:rPr>
        <w:t>bligations</w:t>
      </w:r>
      <w:r w:rsidR="003D0F58" w:rsidRPr="00DD03D6">
        <w:rPr>
          <w:noProof/>
          <w:lang w:val="fr-FR"/>
        </w:rPr>
        <w:t xml:space="preserve"> l</w:t>
      </w:r>
      <w:r>
        <w:rPr>
          <w:noProof/>
          <w:lang w:val="fr-FR"/>
        </w:rPr>
        <w:t>é</w:t>
      </w:r>
      <w:r w:rsidR="003D0F58" w:rsidRPr="00DD03D6">
        <w:rPr>
          <w:noProof/>
          <w:lang w:val="fr-FR"/>
        </w:rPr>
        <w:t>gislative</w:t>
      </w:r>
      <w:r w:rsidR="00F822A2">
        <w:rPr>
          <w:noProof/>
          <w:lang w:val="fr-FR"/>
        </w:rPr>
        <w:t>s</w:t>
      </w:r>
      <w:r w:rsidR="003D0F58" w:rsidRPr="00DD03D6">
        <w:rPr>
          <w:noProof/>
          <w:lang w:val="fr-FR"/>
        </w:rPr>
        <w:t xml:space="preserve">, </w:t>
      </w:r>
      <w:r w:rsidR="00F822A2">
        <w:rPr>
          <w:noProof/>
          <w:lang w:val="fr-FR"/>
        </w:rPr>
        <w:t xml:space="preserve">aux </w:t>
      </w:r>
      <w:r w:rsidR="003D0F58" w:rsidRPr="00DD03D6">
        <w:rPr>
          <w:noProof/>
          <w:lang w:val="fr-FR"/>
        </w:rPr>
        <w:t xml:space="preserve">documents </w:t>
      </w:r>
      <w:r w:rsidR="00F822A2">
        <w:rPr>
          <w:noProof/>
          <w:lang w:val="fr-FR"/>
        </w:rPr>
        <w:t>directifs et aux directives nationales et aux siennes propres</w:t>
      </w:r>
      <w:r w:rsidR="003D0F58" w:rsidRPr="00DD03D6">
        <w:rPr>
          <w:noProof/>
          <w:lang w:val="fr-FR"/>
        </w:rPr>
        <w:t xml:space="preserve">. </w:t>
      </w:r>
      <w:r w:rsidR="00F822A2">
        <w:rPr>
          <w:noProof/>
          <w:lang w:val="fr-FR"/>
        </w:rPr>
        <w:t xml:space="preserve">L’article </w:t>
      </w:r>
      <w:r w:rsidR="003D0F58" w:rsidRPr="00DD03D6">
        <w:rPr>
          <w:noProof/>
          <w:lang w:val="fr-FR"/>
        </w:rPr>
        <w:t xml:space="preserve">3 </w:t>
      </w:r>
      <w:r w:rsidR="00F822A2">
        <w:rPr>
          <w:noProof/>
          <w:lang w:val="fr-FR"/>
        </w:rPr>
        <w:t>de la loi de 2001 sur les enfants lui fait obligation de recenser les enfants qui ne bénéficient pas de soins et d’une protection adé</w:t>
      </w:r>
      <w:r w:rsidR="003D0F58" w:rsidRPr="00DD03D6">
        <w:rPr>
          <w:noProof/>
          <w:lang w:val="fr-FR"/>
        </w:rPr>
        <w:t>quat</w:t>
      </w:r>
      <w:r w:rsidR="00F822A2">
        <w:rPr>
          <w:noProof/>
          <w:lang w:val="fr-FR"/>
        </w:rPr>
        <w:t xml:space="preserve">s et de fournir un soutien approprié aux familles et des services de </w:t>
      </w:r>
      <w:r w:rsidR="004C7931">
        <w:rPr>
          <w:noProof/>
          <w:lang w:val="fr-FR"/>
        </w:rPr>
        <w:t xml:space="preserve">prise en charge </w:t>
      </w:r>
      <w:r w:rsidR="00F822A2">
        <w:rPr>
          <w:noProof/>
          <w:lang w:val="fr-FR"/>
        </w:rPr>
        <w:t>d’enfants</w:t>
      </w:r>
      <w:r w:rsidR="003D0F58" w:rsidRPr="00DD03D6">
        <w:rPr>
          <w:noProof/>
          <w:lang w:val="fr-FR"/>
        </w:rPr>
        <w:t xml:space="preserve">, </w:t>
      </w:r>
      <w:r w:rsidR="00A25F1C">
        <w:rPr>
          <w:noProof/>
          <w:lang w:val="fr-FR"/>
        </w:rPr>
        <w:t xml:space="preserve">qui </w:t>
      </w:r>
      <w:r w:rsidR="004C7931">
        <w:rPr>
          <w:noProof/>
          <w:lang w:val="fr-FR"/>
        </w:rPr>
        <w:t>sont considérés comme englobant, au besoin, les services de protection destinés aux enfants</w:t>
      </w:r>
      <w:r w:rsidR="003D0F58" w:rsidRPr="00DD03D6">
        <w:rPr>
          <w:noProof/>
          <w:lang w:val="fr-FR"/>
        </w:rPr>
        <w:t xml:space="preserve">. </w:t>
      </w:r>
    </w:p>
    <w:p w:rsidR="003D0F58" w:rsidRPr="00DD03D6" w:rsidRDefault="005640A3" w:rsidP="00905D61">
      <w:pPr>
        <w:pStyle w:val="SingleTxtG"/>
        <w:numPr>
          <w:ilvl w:val="0"/>
          <w:numId w:val="3"/>
        </w:numPr>
        <w:ind w:left="1134" w:firstLine="0"/>
        <w:rPr>
          <w:noProof/>
          <w:lang w:val="fr-FR"/>
        </w:rPr>
      </w:pPr>
      <w:r>
        <w:rPr>
          <w:noProof/>
          <w:lang w:val="fr-FR"/>
        </w:rPr>
        <w:lastRenderedPageBreak/>
        <w:t xml:space="preserve">Les principales dispositions </w:t>
      </w:r>
      <w:r w:rsidR="003D0F58" w:rsidRPr="00DD03D6">
        <w:rPr>
          <w:noProof/>
          <w:lang w:val="fr-FR"/>
        </w:rPr>
        <w:t>l</w:t>
      </w:r>
      <w:r>
        <w:rPr>
          <w:noProof/>
          <w:lang w:val="fr-FR"/>
        </w:rPr>
        <w:t>é</w:t>
      </w:r>
      <w:r w:rsidR="003D0F58" w:rsidRPr="00DD03D6">
        <w:rPr>
          <w:noProof/>
          <w:lang w:val="fr-FR"/>
        </w:rPr>
        <w:t>gislative</w:t>
      </w:r>
      <w:r>
        <w:rPr>
          <w:noProof/>
          <w:lang w:val="fr-FR"/>
        </w:rPr>
        <w:t>s</w:t>
      </w:r>
      <w:r w:rsidR="003D0F58" w:rsidRPr="00DD03D6">
        <w:rPr>
          <w:noProof/>
          <w:lang w:val="fr-FR"/>
        </w:rPr>
        <w:t xml:space="preserve"> </w:t>
      </w:r>
      <w:r>
        <w:rPr>
          <w:noProof/>
          <w:lang w:val="fr-FR"/>
        </w:rPr>
        <w:t xml:space="preserve">régissant les services d’assistance et de protection destinés aux enfants sont indiqués ci-après </w:t>
      </w:r>
      <w:r w:rsidR="003D0F58" w:rsidRPr="00DD03D6">
        <w:rPr>
          <w:noProof/>
          <w:lang w:val="fr-FR"/>
        </w:rPr>
        <w:t>:</w:t>
      </w:r>
    </w:p>
    <w:p w:rsidR="003D0F58" w:rsidRPr="00DD03D6" w:rsidRDefault="005640A3" w:rsidP="003E237D">
      <w:pPr>
        <w:pStyle w:val="Bullet1G"/>
        <w:tabs>
          <w:tab w:val="clear" w:pos="1701"/>
        </w:tabs>
        <w:ind w:left="1843" w:hanging="142"/>
        <w:rPr>
          <w:noProof/>
          <w:lang w:val="fr-FR"/>
        </w:rPr>
      </w:pPr>
      <w:r>
        <w:rPr>
          <w:noProof/>
          <w:lang w:val="fr-FR"/>
        </w:rPr>
        <w:t xml:space="preserve">Loi de </w:t>
      </w:r>
      <w:r w:rsidR="003D0F58" w:rsidRPr="00DD03D6">
        <w:rPr>
          <w:noProof/>
          <w:lang w:val="fr-FR"/>
        </w:rPr>
        <w:t xml:space="preserve">1988 </w:t>
      </w:r>
      <w:r>
        <w:rPr>
          <w:noProof/>
          <w:lang w:val="fr-FR"/>
        </w:rPr>
        <w:t xml:space="preserve">sur la protection des données et loi de </w:t>
      </w:r>
      <w:r w:rsidR="003D0F58" w:rsidRPr="00DD03D6">
        <w:rPr>
          <w:noProof/>
          <w:lang w:val="fr-FR"/>
        </w:rPr>
        <w:t>2003</w:t>
      </w:r>
      <w:r>
        <w:rPr>
          <w:noProof/>
          <w:lang w:val="fr-FR"/>
        </w:rPr>
        <w:t xml:space="preserve"> portant modification de la loi sur la protection des données</w:t>
      </w:r>
      <w:r w:rsidR="001D1C06" w:rsidRPr="00DD03D6">
        <w:rPr>
          <w:noProof/>
          <w:lang w:val="fr-FR"/>
        </w:rPr>
        <w:t>;</w:t>
      </w:r>
    </w:p>
    <w:p w:rsidR="003D0F58" w:rsidRPr="00DD03D6" w:rsidRDefault="005640A3" w:rsidP="003E237D">
      <w:pPr>
        <w:pStyle w:val="Bullet1G"/>
        <w:tabs>
          <w:tab w:val="clear" w:pos="1701"/>
        </w:tabs>
        <w:ind w:left="1843" w:hanging="142"/>
        <w:rPr>
          <w:noProof/>
          <w:lang w:val="fr-FR"/>
        </w:rPr>
      </w:pPr>
      <w:r>
        <w:rPr>
          <w:noProof/>
          <w:lang w:val="fr-FR"/>
        </w:rPr>
        <w:t>Loi de 1991 sur l’enlèvement d’enfants et l’exécution des décisions judiciaires concernant la garde des enfants</w:t>
      </w:r>
      <w:r w:rsidR="001D1C06" w:rsidRPr="00DD03D6">
        <w:rPr>
          <w:noProof/>
          <w:lang w:val="fr-FR"/>
        </w:rPr>
        <w:t>;</w:t>
      </w:r>
    </w:p>
    <w:p w:rsidR="003D0F58" w:rsidRPr="00DD03D6" w:rsidRDefault="005640A3" w:rsidP="003E237D">
      <w:pPr>
        <w:pStyle w:val="Bullet1G"/>
        <w:tabs>
          <w:tab w:val="clear" w:pos="1701"/>
        </w:tabs>
        <w:ind w:left="1843" w:hanging="142"/>
        <w:rPr>
          <w:noProof/>
          <w:lang w:val="fr-FR"/>
        </w:rPr>
      </w:pPr>
      <w:r>
        <w:rPr>
          <w:noProof/>
          <w:lang w:val="fr-FR"/>
        </w:rPr>
        <w:t>Loi de 1991 sur la protection de l’enfance</w:t>
      </w:r>
      <w:r w:rsidR="001D1C06" w:rsidRPr="00DD03D6">
        <w:rPr>
          <w:noProof/>
          <w:lang w:val="fr-FR"/>
        </w:rPr>
        <w:t>;</w:t>
      </w:r>
    </w:p>
    <w:p w:rsidR="003D0F58" w:rsidRPr="00DD03D6" w:rsidRDefault="005640A3" w:rsidP="003E237D">
      <w:pPr>
        <w:pStyle w:val="Bullet1G"/>
        <w:tabs>
          <w:tab w:val="clear" w:pos="1701"/>
        </w:tabs>
        <w:ind w:left="1843" w:hanging="142"/>
        <w:rPr>
          <w:noProof/>
          <w:lang w:val="fr-FR"/>
        </w:rPr>
      </w:pPr>
      <w:r>
        <w:rPr>
          <w:noProof/>
          <w:lang w:val="fr-FR"/>
        </w:rPr>
        <w:t>Loi de 1995 sur le droit de la famille</w:t>
      </w:r>
      <w:r w:rsidR="001D1C06" w:rsidRPr="00DD03D6">
        <w:rPr>
          <w:noProof/>
          <w:lang w:val="fr-FR"/>
        </w:rPr>
        <w:t>;</w:t>
      </w:r>
    </w:p>
    <w:p w:rsidR="003D0F58" w:rsidRPr="00DD03D6" w:rsidRDefault="005640A3" w:rsidP="003E237D">
      <w:pPr>
        <w:pStyle w:val="Bullet1G"/>
        <w:tabs>
          <w:tab w:val="clear" w:pos="1701"/>
        </w:tabs>
        <w:ind w:left="1843" w:hanging="142"/>
        <w:rPr>
          <w:noProof/>
          <w:lang w:val="fr-FR"/>
        </w:rPr>
      </w:pPr>
      <w:r>
        <w:rPr>
          <w:noProof/>
          <w:lang w:val="fr-FR"/>
        </w:rPr>
        <w:t>Loi de 1996 sur la violence familiale</w:t>
      </w:r>
      <w:r w:rsidR="001D1C06" w:rsidRPr="00DD03D6">
        <w:rPr>
          <w:noProof/>
          <w:lang w:val="fr-FR"/>
        </w:rPr>
        <w:t>;</w:t>
      </w:r>
    </w:p>
    <w:p w:rsidR="003D0F58" w:rsidRPr="00DD03D6" w:rsidRDefault="005640A3" w:rsidP="003E237D">
      <w:pPr>
        <w:pStyle w:val="Bullet1G"/>
        <w:tabs>
          <w:tab w:val="clear" w:pos="1701"/>
        </w:tabs>
        <w:ind w:left="1843" w:hanging="142"/>
        <w:rPr>
          <w:noProof/>
          <w:lang w:val="fr-FR"/>
        </w:rPr>
      </w:pPr>
      <w:r>
        <w:rPr>
          <w:noProof/>
          <w:lang w:val="fr-FR"/>
        </w:rPr>
        <w:t>Loi de 1996 sur les réfugiés</w:t>
      </w:r>
      <w:r w:rsidR="001D1C06" w:rsidRPr="00DD03D6">
        <w:rPr>
          <w:noProof/>
          <w:lang w:val="fr-FR"/>
        </w:rPr>
        <w:t>;</w:t>
      </w:r>
    </w:p>
    <w:p w:rsidR="003D0F58" w:rsidRPr="00DD03D6" w:rsidRDefault="005640A3" w:rsidP="003E237D">
      <w:pPr>
        <w:pStyle w:val="Bullet1G"/>
        <w:tabs>
          <w:tab w:val="clear" w:pos="1701"/>
        </w:tabs>
        <w:ind w:left="1843" w:hanging="142"/>
        <w:rPr>
          <w:noProof/>
          <w:lang w:val="fr-FR"/>
        </w:rPr>
      </w:pPr>
      <w:r>
        <w:rPr>
          <w:noProof/>
          <w:lang w:val="fr-FR"/>
        </w:rPr>
        <w:t xml:space="preserve">Loi de </w:t>
      </w:r>
      <w:r w:rsidR="00B54FA6">
        <w:rPr>
          <w:noProof/>
          <w:lang w:val="fr-FR"/>
        </w:rPr>
        <w:t>1997 sur la liberté de l’i</w:t>
      </w:r>
      <w:r w:rsidR="003D0F58" w:rsidRPr="00DD03D6">
        <w:rPr>
          <w:noProof/>
          <w:lang w:val="fr-FR"/>
        </w:rPr>
        <w:t xml:space="preserve">nformation </w:t>
      </w:r>
      <w:r w:rsidR="00B54FA6">
        <w:rPr>
          <w:noProof/>
          <w:lang w:val="fr-FR"/>
        </w:rPr>
        <w:t>et loi de 2003 portant modification de la loi sur l’information</w:t>
      </w:r>
      <w:r w:rsidR="001D1C06" w:rsidRPr="00DD03D6">
        <w:rPr>
          <w:noProof/>
          <w:lang w:val="fr-FR"/>
        </w:rPr>
        <w:t>;</w:t>
      </w:r>
    </w:p>
    <w:p w:rsidR="003D0F58" w:rsidRPr="00DD03D6" w:rsidRDefault="00B54FA6" w:rsidP="003E237D">
      <w:pPr>
        <w:pStyle w:val="Bullet1G"/>
        <w:tabs>
          <w:tab w:val="clear" w:pos="1701"/>
        </w:tabs>
        <w:ind w:left="1843" w:hanging="142"/>
        <w:rPr>
          <w:noProof/>
          <w:lang w:val="fr-FR"/>
        </w:rPr>
      </w:pPr>
      <w:r>
        <w:rPr>
          <w:noProof/>
          <w:lang w:val="fr-FR"/>
        </w:rPr>
        <w:t xml:space="preserve">Loi de 1997 </w:t>
      </w:r>
      <w:r w:rsidRPr="002C5618">
        <w:rPr>
          <w:noProof/>
          <w:color w:val="000000"/>
          <w:lang w:val="fr-FR"/>
        </w:rPr>
        <w:t xml:space="preserve">sur </w:t>
      </w:r>
      <w:r w:rsidRPr="003E237D">
        <w:rPr>
          <w:noProof/>
          <w:lang w:val="fr-FR"/>
        </w:rPr>
        <w:t>les</w:t>
      </w:r>
      <w:r w:rsidRPr="002C5618">
        <w:rPr>
          <w:noProof/>
          <w:color w:val="000000"/>
          <w:lang w:val="fr-FR"/>
        </w:rPr>
        <w:t xml:space="preserve"> atteintes aux personnes ne causant pas la mort</w:t>
      </w:r>
      <w:r w:rsidR="001D1C06" w:rsidRPr="00DD03D6">
        <w:rPr>
          <w:noProof/>
          <w:lang w:val="fr-FR"/>
        </w:rPr>
        <w:t>;</w:t>
      </w:r>
    </w:p>
    <w:p w:rsidR="003D0F58" w:rsidRPr="00DD03D6" w:rsidRDefault="00B54FA6" w:rsidP="003E237D">
      <w:pPr>
        <w:pStyle w:val="Bullet1G"/>
        <w:tabs>
          <w:tab w:val="clear" w:pos="1701"/>
        </w:tabs>
        <w:ind w:left="1843" w:hanging="142"/>
        <w:rPr>
          <w:noProof/>
          <w:lang w:val="fr-FR"/>
        </w:rPr>
      </w:pPr>
      <w:r>
        <w:rPr>
          <w:noProof/>
          <w:lang w:val="fr-FR"/>
        </w:rPr>
        <w:t>Loi de 1998 sur l’é</w:t>
      </w:r>
      <w:r w:rsidR="003D0F58" w:rsidRPr="00DD03D6">
        <w:rPr>
          <w:noProof/>
          <w:lang w:val="fr-FR"/>
        </w:rPr>
        <w:t>ducation</w:t>
      </w:r>
      <w:r w:rsidR="001D1C06" w:rsidRPr="00DD03D6">
        <w:rPr>
          <w:noProof/>
          <w:lang w:val="fr-FR"/>
        </w:rPr>
        <w:t>;</w:t>
      </w:r>
    </w:p>
    <w:p w:rsidR="003D0F58" w:rsidRPr="00DD03D6" w:rsidRDefault="00B54FA6" w:rsidP="003E237D">
      <w:pPr>
        <w:pStyle w:val="Bullet1G"/>
        <w:tabs>
          <w:tab w:val="clear" w:pos="1701"/>
        </w:tabs>
        <w:ind w:left="1843" w:hanging="142"/>
        <w:rPr>
          <w:noProof/>
          <w:lang w:val="fr-FR"/>
        </w:rPr>
      </w:pPr>
      <w:r>
        <w:rPr>
          <w:noProof/>
          <w:lang w:val="fr-FR"/>
        </w:rPr>
        <w:t>Loi de 1998 sur la p</w:t>
      </w:r>
      <w:r w:rsidR="003D0F58" w:rsidRPr="00DD03D6">
        <w:rPr>
          <w:noProof/>
          <w:lang w:val="fr-FR"/>
        </w:rPr>
        <w:t xml:space="preserve">rotection </w:t>
      </w:r>
      <w:r>
        <w:rPr>
          <w:noProof/>
          <w:lang w:val="fr-FR"/>
        </w:rPr>
        <w:t xml:space="preserve">des personnes signalant </w:t>
      </w:r>
      <w:r w:rsidR="00CA6BA5">
        <w:rPr>
          <w:noProof/>
          <w:lang w:val="fr-FR"/>
        </w:rPr>
        <w:t>des cas de maltraitance à enfant</w:t>
      </w:r>
      <w:r w:rsidR="001D1C06" w:rsidRPr="00DD03D6">
        <w:rPr>
          <w:noProof/>
          <w:lang w:val="fr-FR"/>
        </w:rPr>
        <w:t>;</w:t>
      </w:r>
    </w:p>
    <w:p w:rsidR="003D0F58" w:rsidRPr="00DD03D6" w:rsidRDefault="00CA6BA5" w:rsidP="003E237D">
      <w:pPr>
        <w:pStyle w:val="Bullet1G"/>
        <w:tabs>
          <w:tab w:val="clear" w:pos="1701"/>
        </w:tabs>
        <w:ind w:left="1843" w:hanging="142"/>
        <w:rPr>
          <w:noProof/>
          <w:lang w:val="fr-FR"/>
        </w:rPr>
      </w:pPr>
      <w:r>
        <w:rPr>
          <w:noProof/>
          <w:lang w:val="fr-FR"/>
        </w:rPr>
        <w:t>Loi de 2000 sur la p</w:t>
      </w:r>
      <w:r w:rsidR="003D0F58" w:rsidRPr="00DD03D6">
        <w:rPr>
          <w:noProof/>
          <w:lang w:val="fr-FR"/>
        </w:rPr>
        <w:t xml:space="preserve">rotection </w:t>
      </w:r>
      <w:r>
        <w:rPr>
          <w:noProof/>
          <w:lang w:val="fr-FR"/>
        </w:rPr>
        <w:t xml:space="preserve">des enfants </w:t>
      </w:r>
      <w:r w:rsidR="003D0F58" w:rsidRPr="00DD03D6">
        <w:rPr>
          <w:noProof/>
          <w:lang w:val="fr-FR"/>
        </w:rPr>
        <w:t>(Convention</w:t>
      </w:r>
      <w:r>
        <w:rPr>
          <w:noProof/>
          <w:lang w:val="fr-FR"/>
        </w:rPr>
        <w:t xml:space="preserve"> de La Haye</w:t>
      </w:r>
      <w:r w:rsidR="003D0F58" w:rsidRPr="00DD03D6">
        <w:rPr>
          <w:noProof/>
          <w:lang w:val="fr-FR"/>
        </w:rPr>
        <w:t>)</w:t>
      </w:r>
      <w:r w:rsidR="001D1C06" w:rsidRPr="00DD03D6">
        <w:rPr>
          <w:noProof/>
          <w:lang w:val="fr-FR"/>
        </w:rPr>
        <w:t>;</w:t>
      </w:r>
    </w:p>
    <w:p w:rsidR="003D0F58" w:rsidRPr="00DD03D6" w:rsidRDefault="00CA6BA5" w:rsidP="003E237D">
      <w:pPr>
        <w:pStyle w:val="Bullet1G"/>
        <w:tabs>
          <w:tab w:val="clear" w:pos="1701"/>
        </w:tabs>
        <w:ind w:left="1843" w:hanging="142"/>
        <w:rPr>
          <w:noProof/>
          <w:lang w:val="fr-FR"/>
        </w:rPr>
      </w:pPr>
      <w:r>
        <w:rPr>
          <w:noProof/>
          <w:lang w:val="fr-FR"/>
        </w:rPr>
        <w:t>Loi de 2001 sur les enfants</w:t>
      </w:r>
      <w:r w:rsidR="001D1C06" w:rsidRPr="00DD03D6">
        <w:rPr>
          <w:noProof/>
          <w:lang w:val="fr-FR"/>
        </w:rPr>
        <w:t>;</w:t>
      </w:r>
    </w:p>
    <w:p w:rsidR="003D0F58" w:rsidRPr="00DD03D6" w:rsidRDefault="00CA6BA5" w:rsidP="003E237D">
      <w:pPr>
        <w:pStyle w:val="Bullet1G"/>
        <w:tabs>
          <w:tab w:val="clear" w:pos="1701"/>
        </w:tabs>
        <w:ind w:left="1843" w:hanging="142"/>
        <w:rPr>
          <w:noProof/>
          <w:lang w:val="fr-FR"/>
        </w:rPr>
      </w:pPr>
      <w:r>
        <w:rPr>
          <w:noProof/>
          <w:lang w:val="fr-FR"/>
        </w:rPr>
        <w:t>Loi de 2001 sur la santé m</w:t>
      </w:r>
      <w:r w:rsidR="003D0F58" w:rsidRPr="00DD03D6">
        <w:rPr>
          <w:noProof/>
          <w:lang w:val="fr-FR"/>
        </w:rPr>
        <w:t>ental</w:t>
      </w:r>
      <w:r>
        <w:rPr>
          <w:noProof/>
          <w:lang w:val="fr-FR"/>
        </w:rPr>
        <w:t>e</w:t>
      </w:r>
      <w:r w:rsidR="001D1C06" w:rsidRPr="00DD03D6">
        <w:rPr>
          <w:noProof/>
          <w:lang w:val="fr-FR"/>
        </w:rPr>
        <w:t>;</w:t>
      </w:r>
    </w:p>
    <w:p w:rsidR="003D0F58" w:rsidRPr="00DD03D6" w:rsidRDefault="00CA6BA5" w:rsidP="003E237D">
      <w:pPr>
        <w:pStyle w:val="Bullet1G"/>
        <w:tabs>
          <w:tab w:val="clear" w:pos="1701"/>
        </w:tabs>
        <w:ind w:left="1843" w:hanging="142"/>
        <w:rPr>
          <w:noProof/>
          <w:lang w:val="fr-FR"/>
        </w:rPr>
      </w:pPr>
      <w:r>
        <w:rPr>
          <w:noProof/>
          <w:lang w:val="fr-FR"/>
        </w:rPr>
        <w:t>Loi de 2002 sur le Médiateur des enfants</w:t>
      </w:r>
      <w:r w:rsidR="001D1C06" w:rsidRPr="00DD03D6">
        <w:rPr>
          <w:noProof/>
          <w:lang w:val="fr-FR"/>
        </w:rPr>
        <w:t>;</w:t>
      </w:r>
    </w:p>
    <w:p w:rsidR="003D0F58" w:rsidRPr="00DD03D6" w:rsidRDefault="00CA6BA5" w:rsidP="003E237D">
      <w:pPr>
        <w:pStyle w:val="Bullet1G"/>
        <w:tabs>
          <w:tab w:val="clear" w:pos="1701"/>
        </w:tabs>
        <w:ind w:left="1843" w:hanging="142"/>
        <w:rPr>
          <w:noProof/>
          <w:lang w:val="fr-FR"/>
        </w:rPr>
      </w:pPr>
      <w:r>
        <w:rPr>
          <w:noProof/>
          <w:lang w:val="fr-FR"/>
        </w:rPr>
        <w:t>Loi de 2005 sur le handicap</w:t>
      </w:r>
      <w:r w:rsidR="001D1C06" w:rsidRPr="00DD03D6">
        <w:rPr>
          <w:noProof/>
          <w:lang w:val="fr-FR"/>
        </w:rPr>
        <w:t>.</w:t>
      </w:r>
    </w:p>
    <w:p w:rsidR="003D0F58" w:rsidRPr="00DD03D6" w:rsidRDefault="00CA6BA5" w:rsidP="00C27224">
      <w:pPr>
        <w:pStyle w:val="SingleTxtG"/>
        <w:numPr>
          <w:ilvl w:val="0"/>
          <w:numId w:val="3"/>
        </w:numPr>
        <w:ind w:left="1134" w:firstLine="0"/>
        <w:rPr>
          <w:noProof/>
          <w:lang w:val="fr-FR"/>
        </w:rPr>
      </w:pPr>
      <w:r>
        <w:rPr>
          <w:noProof/>
          <w:lang w:val="fr-FR"/>
        </w:rPr>
        <w:t xml:space="preserve">Le cadre </w:t>
      </w:r>
      <w:r w:rsidR="003D0F58" w:rsidRPr="00DD03D6">
        <w:rPr>
          <w:noProof/>
          <w:lang w:val="fr-FR"/>
        </w:rPr>
        <w:t>l</w:t>
      </w:r>
      <w:r>
        <w:rPr>
          <w:noProof/>
          <w:lang w:val="fr-FR"/>
        </w:rPr>
        <w:t xml:space="preserve">égislatif s’appuie sur la </w:t>
      </w:r>
      <w:r w:rsidR="003D0F58" w:rsidRPr="00DD03D6">
        <w:rPr>
          <w:noProof/>
          <w:lang w:val="fr-FR"/>
        </w:rPr>
        <w:t xml:space="preserve">Constitution </w:t>
      </w:r>
      <w:r>
        <w:rPr>
          <w:noProof/>
          <w:lang w:val="fr-FR"/>
        </w:rPr>
        <w:t xml:space="preserve">et la </w:t>
      </w:r>
      <w:r w:rsidR="003D0F58" w:rsidRPr="00DD03D6">
        <w:rPr>
          <w:noProof/>
          <w:lang w:val="fr-FR"/>
        </w:rPr>
        <w:t xml:space="preserve">Convention </w:t>
      </w:r>
      <w:r>
        <w:rPr>
          <w:noProof/>
          <w:lang w:val="fr-FR"/>
        </w:rPr>
        <w:t xml:space="preserve">relative aux droits de l’enfant </w:t>
      </w:r>
      <w:r w:rsidR="003D0F58" w:rsidRPr="00DD03D6">
        <w:rPr>
          <w:noProof/>
          <w:lang w:val="fr-FR"/>
        </w:rPr>
        <w:t>(ratifi</w:t>
      </w:r>
      <w:r>
        <w:rPr>
          <w:noProof/>
          <w:lang w:val="fr-FR"/>
        </w:rPr>
        <w:t>é</w:t>
      </w:r>
      <w:r w:rsidR="003D0F58" w:rsidRPr="00DD03D6">
        <w:rPr>
          <w:noProof/>
          <w:lang w:val="fr-FR"/>
        </w:rPr>
        <w:t>e</w:t>
      </w:r>
      <w:r>
        <w:rPr>
          <w:noProof/>
          <w:lang w:val="fr-FR"/>
        </w:rPr>
        <w:t xml:space="preserve"> par l’</w:t>
      </w:r>
      <w:r w:rsidR="003D0F58" w:rsidRPr="00DD03D6">
        <w:rPr>
          <w:noProof/>
          <w:lang w:val="fr-FR"/>
        </w:rPr>
        <w:t>Irland</w:t>
      </w:r>
      <w:r>
        <w:rPr>
          <w:noProof/>
          <w:lang w:val="fr-FR"/>
        </w:rPr>
        <w:t>e</w:t>
      </w:r>
      <w:r w:rsidR="003D0F58" w:rsidRPr="00DD03D6">
        <w:rPr>
          <w:noProof/>
          <w:lang w:val="fr-FR"/>
        </w:rPr>
        <w:t xml:space="preserve"> </w:t>
      </w:r>
      <w:r>
        <w:rPr>
          <w:noProof/>
          <w:lang w:val="fr-FR"/>
        </w:rPr>
        <w:t>e</w:t>
      </w:r>
      <w:r w:rsidR="003D0F58" w:rsidRPr="00DD03D6">
        <w:rPr>
          <w:noProof/>
          <w:lang w:val="fr-FR"/>
        </w:rPr>
        <w:t xml:space="preserve">n 1992). </w:t>
      </w:r>
      <w:r w:rsidR="00C54826">
        <w:rPr>
          <w:noProof/>
          <w:lang w:val="fr-FR"/>
        </w:rPr>
        <w:t>La loi de 2002 sur le Médiateur des enfants s’applique aux plaintes dont est saisi le Médiateur des enfants</w:t>
      </w:r>
      <w:r w:rsidR="003D0F58" w:rsidRPr="00DD03D6">
        <w:rPr>
          <w:noProof/>
          <w:lang w:val="fr-FR"/>
        </w:rPr>
        <w:t xml:space="preserve">. </w:t>
      </w:r>
      <w:r w:rsidR="00C54826">
        <w:rPr>
          <w:noProof/>
          <w:lang w:val="fr-FR"/>
        </w:rPr>
        <w:t xml:space="preserve">La loi de 2001 sur les enfants fournit un cadre au développement du système de justice pour mineurs et vise à répondre aux besoins d’enfants difficiles à maîtriser ou </w:t>
      </w:r>
      <w:r w:rsidR="00F536F7">
        <w:rPr>
          <w:noProof/>
          <w:lang w:val="fr-FR"/>
        </w:rPr>
        <w:t>non délinquants qui peuvent avoir à comparaître devant les tribunaux</w:t>
      </w:r>
      <w:r w:rsidR="003D0F58" w:rsidRPr="00DD03D6">
        <w:rPr>
          <w:noProof/>
          <w:lang w:val="fr-FR"/>
        </w:rPr>
        <w:t xml:space="preserve">. </w:t>
      </w:r>
      <w:r w:rsidR="00F536F7">
        <w:rPr>
          <w:noProof/>
          <w:lang w:val="fr-FR"/>
        </w:rPr>
        <w:t>Cette loi prévoit deux parcours pour ces enfants, dont l’un est la voie de l’assistance dont ils peuvent bénéficier par l’intermédiaire de la Direction des services de santé</w:t>
      </w:r>
      <w:r w:rsidR="003D0F58" w:rsidRPr="00DD03D6">
        <w:rPr>
          <w:noProof/>
          <w:lang w:val="fr-FR"/>
        </w:rPr>
        <w:t>.</w:t>
      </w:r>
    </w:p>
    <w:p w:rsidR="003D0F58" w:rsidRPr="00DD03D6" w:rsidRDefault="00F536F7" w:rsidP="00905D61">
      <w:pPr>
        <w:pStyle w:val="SingleTxtG"/>
        <w:numPr>
          <w:ilvl w:val="0"/>
          <w:numId w:val="3"/>
        </w:numPr>
        <w:ind w:left="1134" w:firstLine="0"/>
        <w:rPr>
          <w:noProof/>
          <w:lang w:val="fr-FR"/>
        </w:rPr>
      </w:pPr>
      <w:r>
        <w:rPr>
          <w:noProof/>
          <w:lang w:val="fr-FR"/>
        </w:rPr>
        <w:t xml:space="preserve">Un rapport adressé à un service d’aide </w:t>
      </w:r>
      <w:r w:rsidR="003D0F58" w:rsidRPr="00DD03D6">
        <w:rPr>
          <w:noProof/>
          <w:lang w:val="fr-FR"/>
        </w:rPr>
        <w:t>social</w:t>
      </w:r>
      <w:r>
        <w:rPr>
          <w:noProof/>
          <w:lang w:val="fr-FR"/>
        </w:rPr>
        <w:t>e</w:t>
      </w:r>
      <w:r w:rsidR="007654A1">
        <w:rPr>
          <w:noProof/>
          <w:lang w:val="fr-FR"/>
        </w:rPr>
        <w:t xml:space="preserve"> contient toutes les informations reçues</w:t>
      </w:r>
      <w:r w:rsidR="00E92D3C">
        <w:rPr>
          <w:noProof/>
          <w:lang w:val="fr-FR"/>
        </w:rPr>
        <w:t xml:space="preserve"> </w:t>
      </w:r>
      <w:r w:rsidR="007654A1">
        <w:rPr>
          <w:noProof/>
          <w:lang w:val="fr-FR"/>
        </w:rPr>
        <w:t>lorsque</w:t>
      </w:r>
      <w:r w:rsidR="00B715F0">
        <w:rPr>
          <w:noProof/>
          <w:lang w:val="fr-FR"/>
        </w:rPr>
        <w:t xml:space="preserve"> des préoccupations sont exprimées au sujet de la sécurité ou du bien-être d’un enfant</w:t>
      </w:r>
      <w:r w:rsidR="003D0F58" w:rsidRPr="00DD03D6">
        <w:rPr>
          <w:noProof/>
          <w:lang w:val="fr-FR"/>
        </w:rPr>
        <w:t xml:space="preserve">. </w:t>
      </w:r>
      <w:r w:rsidR="00B715F0">
        <w:rPr>
          <w:noProof/>
          <w:lang w:val="fr-FR"/>
        </w:rPr>
        <w:t xml:space="preserve">Les rapports de ce type peuvent émaner de </w:t>
      </w:r>
      <w:r w:rsidR="003D0F58" w:rsidRPr="00DD03D6">
        <w:rPr>
          <w:noProof/>
          <w:lang w:val="fr-FR"/>
        </w:rPr>
        <w:t>profession</w:t>
      </w:r>
      <w:r w:rsidR="00B715F0">
        <w:rPr>
          <w:noProof/>
          <w:lang w:val="fr-FR"/>
        </w:rPr>
        <w:t>nels d’autres organismes, du public ou directement d’une famille qui demande de l’aide et un appui</w:t>
      </w:r>
      <w:r w:rsidR="003D0F58" w:rsidRPr="00DD03D6">
        <w:rPr>
          <w:noProof/>
          <w:lang w:val="fr-FR"/>
        </w:rPr>
        <w:t xml:space="preserve">. </w:t>
      </w:r>
      <w:r w:rsidR="00B715F0">
        <w:rPr>
          <w:noProof/>
          <w:lang w:val="fr-FR"/>
        </w:rPr>
        <w:t xml:space="preserve">La Direction des services de santé est tenue de </w:t>
      </w:r>
      <w:r w:rsidR="008C3EE8">
        <w:rPr>
          <w:noProof/>
          <w:lang w:val="fr-FR"/>
        </w:rPr>
        <w:t xml:space="preserve">prendre au sérieux toutes les préoccupations liées à la protection et au bien-être des enfants, quelle qu’en soit la source, et d’étudier avec soin et équité la </w:t>
      </w:r>
      <w:r w:rsidR="003D0F58" w:rsidRPr="00DD03D6">
        <w:rPr>
          <w:noProof/>
          <w:lang w:val="fr-FR"/>
        </w:rPr>
        <w:t xml:space="preserve">nature </w:t>
      </w:r>
      <w:r w:rsidR="008C3EE8">
        <w:rPr>
          <w:noProof/>
          <w:lang w:val="fr-FR"/>
        </w:rPr>
        <w:t xml:space="preserve">des </w:t>
      </w:r>
      <w:r w:rsidR="003D0F58" w:rsidRPr="00DD03D6">
        <w:rPr>
          <w:noProof/>
          <w:lang w:val="fr-FR"/>
        </w:rPr>
        <w:t>information</w:t>
      </w:r>
      <w:r w:rsidR="008C3EE8">
        <w:rPr>
          <w:noProof/>
          <w:lang w:val="fr-FR"/>
        </w:rPr>
        <w:t>s communiquées</w:t>
      </w:r>
      <w:r w:rsidR="003D0F58" w:rsidRPr="00DD03D6">
        <w:rPr>
          <w:noProof/>
          <w:lang w:val="fr-FR"/>
        </w:rPr>
        <w:t xml:space="preserve">. </w:t>
      </w:r>
      <w:r w:rsidR="008C3EE8">
        <w:rPr>
          <w:noProof/>
          <w:lang w:val="fr-FR"/>
        </w:rPr>
        <w:t>Un équilibre doit être trouvé entre la nécessité de protéger l’enfant et celle d’éviter toute intervention inutile et traumatisante</w:t>
      </w:r>
      <w:r w:rsidR="003D0F58" w:rsidRPr="00DD03D6">
        <w:rPr>
          <w:noProof/>
          <w:lang w:val="fr-FR"/>
        </w:rPr>
        <w:t xml:space="preserve">. </w:t>
      </w:r>
      <w:r w:rsidR="008C3EE8">
        <w:rPr>
          <w:noProof/>
          <w:lang w:val="fr-FR"/>
        </w:rPr>
        <w:t>Un enfant ou un jeune a le droit de se présenter directement aux services d’aide sociale</w:t>
      </w:r>
      <w:r w:rsidR="003D0F58" w:rsidRPr="00DD03D6">
        <w:rPr>
          <w:noProof/>
          <w:lang w:val="fr-FR"/>
        </w:rPr>
        <w:t>.</w:t>
      </w:r>
    </w:p>
    <w:p w:rsidR="003D0F58" w:rsidRPr="00DD03D6" w:rsidRDefault="008C3EE8" w:rsidP="00905D61">
      <w:pPr>
        <w:pStyle w:val="SingleTxtG"/>
        <w:numPr>
          <w:ilvl w:val="0"/>
          <w:numId w:val="3"/>
        </w:numPr>
        <w:ind w:left="1134" w:firstLine="0"/>
        <w:rPr>
          <w:noProof/>
          <w:lang w:val="fr-FR"/>
        </w:rPr>
      </w:pPr>
      <w:r>
        <w:rPr>
          <w:noProof/>
          <w:lang w:val="fr-FR"/>
        </w:rPr>
        <w:t xml:space="preserve">Tous les rapports soumis aux services d’aide sociale de la Direction des services de santé </w:t>
      </w:r>
      <w:r w:rsidR="00466F6D">
        <w:rPr>
          <w:noProof/>
          <w:lang w:val="fr-FR"/>
        </w:rPr>
        <w:t>font l’objet d’un processus de traitement uniformisé en matière d’aiguillages et d’évaluations initiales</w:t>
      </w:r>
      <w:r w:rsidR="003D0F58" w:rsidRPr="00DD03D6">
        <w:rPr>
          <w:noProof/>
          <w:lang w:val="fr-FR"/>
        </w:rPr>
        <w:t xml:space="preserve">. </w:t>
      </w:r>
      <w:r w:rsidR="00466F6D">
        <w:rPr>
          <w:noProof/>
          <w:lang w:val="fr-FR"/>
        </w:rPr>
        <w:t xml:space="preserve">Dans le cadre du processus de traitement uniformisé, </w:t>
      </w:r>
    </w:p>
    <w:p w:rsidR="003D0F58" w:rsidRPr="00DD03D6" w:rsidRDefault="00466F6D" w:rsidP="003E237D">
      <w:pPr>
        <w:pStyle w:val="Bullet1G"/>
        <w:tabs>
          <w:tab w:val="clear" w:pos="1701"/>
        </w:tabs>
        <w:ind w:left="1843" w:hanging="142"/>
        <w:rPr>
          <w:noProof/>
          <w:lang w:val="fr-FR"/>
        </w:rPr>
      </w:pPr>
      <w:r>
        <w:rPr>
          <w:noProof/>
          <w:lang w:val="fr-FR"/>
        </w:rPr>
        <w:t>Un processus de filtrage permet de repérer les rapports qui ne relèvent pas de la responsabilité des Services aux enfants et aux familles de la Direction des services de santé et de les transmettre à des organismes plus appropriés</w:t>
      </w:r>
      <w:r w:rsidR="003D0F58" w:rsidRPr="00DD03D6">
        <w:rPr>
          <w:noProof/>
          <w:lang w:val="fr-FR"/>
        </w:rPr>
        <w:t xml:space="preserve">. </w:t>
      </w:r>
    </w:p>
    <w:p w:rsidR="003D0F58" w:rsidRPr="00DD03D6" w:rsidRDefault="00466F6D" w:rsidP="003E237D">
      <w:pPr>
        <w:pStyle w:val="Bullet1G"/>
        <w:tabs>
          <w:tab w:val="clear" w:pos="1701"/>
        </w:tabs>
        <w:ind w:left="1843" w:hanging="142"/>
        <w:rPr>
          <w:noProof/>
          <w:lang w:val="fr-FR"/>
        </w:rPr>
      </w:pPr>
      <w:r>
        <w:rPr>
          <w:noProof/>
          <w:lang w:val="fr-FR"/>
        </w:rPr>
        <w:lastRenderedPageBreak/>
        <w:t xml:space="preserve">Pour les autres rapports, des enquêtes préliminaires sont effectuées pour confirmer les éléments d’information principaux </w:t>
      </w:r>
      <w:r w:rsidR="003D0F58" w:rsidRPr="00DD03D6">
        <w:rPr>
          <w:noProof/>
          <w:lang w:val="fr-FR"/>
        </w:rPr>
        <w:t>(</w:t>
      </w:r>
      <w:r>
        <w:rPr>
          <w:noProof/>
          <w:lang w:val="fr-FR"/>
        </w:rPr>
        <w:t>par exemple pour</w:t>
      </w:r>
      <w:r w:rsidRPr="00DD03D6">
        <w:rPr>
          <w:noProof/>
          <w:lang w:val="fr-FR"/>
        </w:rPr>
        <w:t xml:space="preserve"> </w:t>
      </w:r>
      <w:r w:rsidR="003D0F58" w:rsidRPr="00DD03D6">
        <w:rPr>
          <w:noProof/>
          <w:lang w:val="fr-FR"/>
        </w:rPr>
        <w:t>v</w:t>
      </w:r>
      <w:r>
        <w:rPr>
          <w:noProof/>
          <w:lang w:val="fr-FR"/>
        </w:rPr>
        <w:t>é</w:t>
      </w:r>
      <w:r w:rsidR="003D0F58" w:rsidRPr="00DD03D6">
        <w:rPr>
          <w:noProof/>
          <w:lang w:val="fr-FR"/>
        </w:rPr>
        <w:t>rif</w:t>
      </w:r>
      <w:r>
        <w:rPr>
          <w:noProof/>
          <w:lang w:val="fr-FR"/>
        </w:rPr>
        <w:t>ier les coordonnées de l’auteur d’un rapport, l’adresse de l’</w:t>
      </w:r>
      <w:r w:rsidR="00381576">
        <w:rPr>
          <w:noProof/>
          <w:lang w:val="fr-FR"/>
        </w:rPr>
        <w:t>enfant et</w:t>
      </w:r>
      <w:r>
        <w:rPr>
          <w:noProof/>
          <w:lang w:val="fr-FR"/>
        </w:rPr>
        <w:t xml:space="preserve"> la </w:t>
      </w:r>
      <w:r w:rsidR="003D0F58" w:rsidRPr="00DD03D6">
        <w:rPr>
          <w:noProof/>
          <w:lang w:val="fr-FR"/>
        </w:rPr>
        <w:t xml:space="preserve">nature </w:t>
      </w:r>
      <w:r>
        <w:rPr>
          <w:noProof/>
          <w:lang w:val="fr-FR"/>
        </w:rPr>
        <w:t>du problème</w:t>
      </w:r>
      <w:r w:rsidR="003D0F58" w:rsidRPr="00DD03D6">
        <w:rPr>
          <w:noProof/>
          <w:lang w:val="fr-FR"/>
        </w:rPr>
        <w:t xml:space="preserve">, </w:t>
      </w:r>
      <w:r w:rsidR="00381576">
        <w:rPr>
          <w:noProof/>
          <w:lang w:val="fr-FR"/>
        </w:rPr>
        <w:t>et si le cas est déjà connu de la Direction des services de santé</w:t>
      </w:r>
      <w:r w:rsidR="003D0F58" w:rsidRPr="00DD03D6">
        <w:rPr>
          <w:noProof/>
          <w:lang w:val="fr-FR"/>
        </w:rPr>
        <w:t xml:space="preserve">). </w:t>
      </w:r>
      <w:r w:rsidR="00381576">
        <w:rPr>
          <w:noProof/>
          <w:lang w:val="fr-FR"/>
        </w:rPr>
        <w:t>Une enquête préliminaire n’est pas une évaluation</w:t>
      </w:r>
      <w:r w:rsidR="003D0F58" w:rsidRPr="00DD03D6">
        <w:rPr>
          <w:noProof/>
          <w:lang w:val="fr-FR"/>
        </w:rPr>
        <w:t xml:space="preserve">. </w:t>
      </w:r>
      <w:r w:rsidR="00381576">
        <w:rPr>
          <w:noProof/>
          <w:lang w:val="fr-FR"/>
        </w:rPr>
        <w:t xml:space="preserve">Il s’agit d’aider le travailleur </w:t>
      </w:r>
      <w:r w:rsidR="003D0F58" w:rsidRPr="00DD03D6">
        <w:rPr>
          <w:noProof/>
          <w:lang w:val="fr-FR"/>
        </w:rPr>
        <w:t xml:space="preserve">social </w:t>
      </w:r>
      <w:r w:rsidR="00381576">
        <w:rPr>
          <w:noProof/>
          <w:lang w:val="fr-FR"/>
        </w:rPr>
        <w:t xml:space="preserve">à décider des mesures à prendre en réponse aux </w:t>
      </w:r>
      <w:r w:rsidR="003D0F58" w:rsidRPr="00DD03D6">
        <w:rPr>
          <w:noProof/>
          <w:lang w:val="fr-FR"/>
        </w:rPr>
        <w:t>information</w:t>
      </w:r>
      <w:r w:rsidR="00381576">
        <w:rPr>
          <w:noProof/>
          <w:lang w:val="fr-FR"/>
        </w:rPr>
        <w:t>s</w:t>
      </w:r>
      <w:r w:rsidR="003D0F58" w:rsidRPr="00DD03D6">
        <w:rPr>
          <w:noProof/>
          <w:lang w:val="fr-FR"/>
        </w:rPr>
        <w:t xml:space="preserve"> </w:t>
      </w:r>
      <w:r w:rsidR="00381576">
        <w:rPr>
          <w:noProof/>
          <w:lang w:val="fr-FR"/>
        </w:rPr>
        <w:t xml:space="preserve">communiquées afin de </w:t>
      </w:r>
      <w:r w:rsidR="003D0F58" w:rsidRPr="00DD03D6">
        <w:rPr>
          <w:noProof/>
          <w:lang w:val="fr-FR"/>
        </w:rPr>
        <w:t>d</w:t>
      </w:r>
      <w:r w:rsidR="00381576">
        <w:rPr>
          <w:noProof/>
          <w:lang w:val="fr-FR"/>
        </w:rPr>
        <w:t>é</w:t>
      </w:r>
      <w:r w:rsidR="003D0F58" w:rsidRPr="00DD03D6">
        <w:rPr>
          <w:noProof/>
          <w:lang w:val="fr-FR"/>
        </w:rPr>
        <w:t>termine</w:t>
      </w:r>
      <w:r w:rsidR="00381576">
        <w:rPr>
          <w:noProof/>
          <w:lang w:val="fr-FR"/>
        </w:rPr>
        <w:t>r</w:t>
      </w:r>
      <w:r w:rsidR="003D0F58" w:rsidRPr="00DD03D6">
        <w:rPr>
          <w:noProof/>
          <w:lang w:val="fr-FR"/>
        </w:rPr>
        <w:t xml:space="preserve"> </w:t>
      </w:r>
      <w:r w:rsidR="00381576">
        <w:rPr>
          <w:noProof/>
          <w:lang w:val="fr-FR"/>
        </w:rPr>
        <w:t>la meilleure solution à apporter au problème de l’enfant qui fait l’objet du rapport</w:t>
      </w:r>
      <w:r w:rsidR="003D0F58" w:rsidRPr="00DD03D6">
        <w:rPr>
          <w:noProof/>
          <w:lang w:val="fr-FR"/>
        </w:rPr>
        <w:t xml:space="preserve">. </w:t>
      </w:r>
      <w:r w:rsidR="00381576">
        <w:rPr>
          <w:noProof/>
          <w:lang w:val="fr-FR"/>
        </w:rPr>
        <w:t>En principe, cette décision ou action est une évaluation ou une évaluation plus une action</w:t>
      </w:r>
      <w:r w:rsidR="003D0F58" w:rsidRPr="00DD03D6">
        <w:rPr>
          <w:noProof/>
          <w:lang w:val="fr-FR"/>
        </w:rPr>
        <w:t xml:space="preserve">. </w:t>
      </w:r>
      <w:r w:rsidR="00381576">
        <w:rPr>
          <w:noProof/>
          <w:lang w:val="fr-FR"/>
        </w:rPr>
        <w:t xml:space="preserve">Le processus de filtrage et d’enquête préliminaire ne doit pas prendre plus de </w:t>
      </w:r>
      <w:r w:rsidR="003D0F58" w:rsidRPr="00DD03D6">
        <w:rPr>
          <w:noProof/>
          <w:lang w:val="fr-FR"/>
        </w:rPr>
        <w:t>24 h</w:t>
      </w:r>
      <w:r w:rsidR="00381576">
        <w:rPr>
          <w:noProof/>
          <w:lang w:val="fr-FR"/>
        </w:rPr>
        <w:t>eu</w:t>
      </w:r>
      <w:r w:rsidR="003D0F58" w:rsidRPr="00DD03D6">
        <w:rPr>
          <w:noProof/>
          <w:lang w:val="fr-FR"/>
        </w:rPr>
        <w:t>r</w:t>
      </w:r>
      <w:r w:rsidR="00381576">
        <w:rPr>
          <w:noProof/>
          <w:lang w:val="fr-FR"/>
        </w:rPr>
        <w:t>e</w:t>
      </w:r>
      <w:r w:rsidR="003D0F58" w:rsidRPr="00DD03D6">
        <w:rPr>
          <w:noProof/>
          <w:lang w:val="fr-FR"/>
        </w:rPr>
        <w:t>s.</w:t>
      </w:r>
    </w:p>
    <w:p w:rsidR="003D0F58" w:rsidRPr="00DD03D6" w:rsidRDefault="00381576" w:rsidP="003E237D">
      <w:pPr>
        <w:pStyle w:val="Bullet1G"/>
        <w:tabs>
          <w:tab w:val="clear" w:pos="1701"/>
        </w:tabs>
        <w:ind w:left="1843" w:hanging="142"/>
        <w:rPr>
          <w:noProof/>
          <w:lang w:val="fr-FR"/>
        </w:rPr>
      </w:pPr>
      <w:r>
        <w:rPr>
          <w:noProof/>
          <w:lang w:val="fr-FR"/>
        </w:rPr>
        <w:t xml:space="preserve">L’évaluation </w:t>
      </w:r>
      <w:r w:rsidR="003D0F58" w:rsidRPr="00DD03D6">
        <w:rPr>
          <w:noProof/>
          <w:lang w:val="fr-FR"/>
        </w:rPr>
        <w:t>initial</w:t>
      </w:r>
      <w:r>
        <w:rPr>
          <w:noProof/>
          <w:lang w:val="fr-FR"/>
        </w:rPr>
        <w:t>e</w:t>
      </w:r>
      <w:r w:rsidR="003D0F58" w:rsidRPr="00DD03D6">
        <w:rPr>
          <w:noProof/>
          <w:lang w:val="fr-FR"/>
        </w:rPr>
        <w:t xml:space="preserve"> </w:t>
      </w:r>
      <w:r w:rsidR="00BC75A6">
        <w:rPr>
          <w:noProof/>
          <w:lang w:val="fr-FR"/>
        </w:rPr>
        <w:t xml:space="preserve">est définie comme étant un processus limité dans le temps qui permet de recueillir suffisamment d’informations sur les besoins et les risques liés à un cas donné, de façon à pouvoir adopter en connaissance de cause les </w:t>
      </w:r>
      <w:r w:rsidR="003D0F58" w:rsidRPr="00DD03D6">
        <w:rPr>
          <w:noProof/>
          <w:lang w:val="fr-FR"/>
        </w:rPr>
        <w:t>d</w:t>
      </w:r>
      <w:r w:rsidR="00BC75A6">
        <w:rPr>
          <w:noProof/>
          <w:lang w:val="fr-FR"/>
        </w:rPr>
        <w:t>écisions, recomma</w:t>
      </w:r>
      <w:r w:rsidR="003D0F58" w:rsidRPr="00DD03D6">
        <w:rPr>
          <w:noProof/>
          <w:lang w:val="fr-FR"/>
        </w:rPr>
        <w:t xml:space="preserve">ndations </w:t>
      </w:r>
      <w:r w:rsidR="00BC75A6">
        <w:rPr>
          <w:noProof/>
          <w:lang w:val="fr-FR"/>
        </w:rPr>
        <w:t>et mesures nécessaires</w:t>
      </w:r>
      <w:r w:rsidR="003D0F58" w:rsidRPr="00DD03D6">
        <w:rPr>
          <w:noProof/>
          <w:lang w:val="fr-FR"/>
        </w:rPr>
        <w:t xml:space="preserve">. </w:t>
      </w:r>
      <w:r w:rsidR="00BC75A6">
        <w:rPr>
          <w:noProof/>
          <w:lang w:val="fr-FR"/>
        </w:rPr>
        <w:t>Les évaluations i</w:t>
      </w:r>
      <w:r w:rsidR="003D0F58" w:rsidRPr="00DD03D6">
        <w:rPr>
          <w:noProof/>
          <w:lang w:val="fr-FR"/>
        </w:rPr>
        <w:t>nitial</w:t>
      </w:r>
      <w:r w:rsidR="00BC75A6">
        <w:rPr>
          <w:noProof/>
          <w:lang w:val="fr-FR"/>
        </w:rPr>
        <w:t>es</w:t>
      </w:r>
      <w:r w:rsidR="003D0F58" w:rsidRPr="00DD03D6">
        <w:rPr>
          <w:noProof/>
          <w:lang w:val="fr-FR"/>
        </w:rPr>
        <w:t xml:space="preserve"> </w:t>
      </w:r>
      <w:r w:rsidR="00BC75A6">
        <w:rPr>
          <w:noProof/>
          <w:lang w:val="fr-FR"/>
        </w:rPr>
        <w:t xml:space="preserve">sont censées être effectuées dans un certain délai </w:t>
      </w:r>
      <w:r w:rsidR="003D0F58" w:rsidRPr="00DD03D6">
        <w:rPr>
          <w:noProof/>
          <w:lang w:val="fr-FR"/>
        </w:rPr>
        <w:t>(</w:t>
      </w:r>
      <w:r w:rsidR="00BC75A6">
        <w:rPr>
          <w:noProof/>
          <w:lang w:val="fr-FR"/>
        </w:rPr>
        <w:t xml:space="preserve">jusqu’à </w:t>
      </w:r>
      <w:r w:rsidR="003D0F58" w:rsidRPr="00DD03D6">
        <w:rPr>
          <w:noProof/>
          <w:lang w:val="fr-FR"/>
        </w:rPr>
        <w:t xml:space="preserve">20 </w:t>
      </w:r>
      <w:r w:rsidR="00BC75A6">
        <w:rPr>
          <w:noProof/>
          <w:lang w:val="fr-FR"/>
        </w:rPr>
        <w:t>jours ouvrés</w:t>
      </w:r>
      <w:r w:rsidR="003D0F58" w:rsidRPr="00DD03D6">
        <w:rPr>
          <w:noProof/>
          <w:lang w:val="fr-FR"/>
        </w:rPr>
        <w:t xml:space="preserve">, </w:t>
      </w:r>
      <w:r w:rsidR="00BC75A6">
        <w:rPr>
          <w:noProof/>
          <w:lang w:val="fr-FR"/>
        </w:rPr>
        <w:t>mais elles peuvent être achevées beaucoup plus tôt</w:t>
      </w:r>
      <w:r w:rsidR="003D0F58" w:rsidRPr="00DD03D6">
        <w:rPr>
          <w:noProof/>
          <w:lang w:val="fr-FR"/>
        </w:rPr>
        <w:t xml:space="preserve">), </w:t>
      </w:r>
      <w:r w:rsidR="00BC75A6">
        <w:rPr>
          <w:noProof/>
          <w:lang w:val="fr-FR"/>
        </w:rPr>
        <w:t>à l’aide de procédure</w:t>
      </w:r>
      <w:r w:rsidR="009445EC">
        <w:rPr>
          <w:noProof/>
          <w:lang w:val="fr-FR"/>
        </w:rPr>
        <w:t>s</w:t>
      </w:r>
      <w:r w:rsidR="00BC75A6">
        <w:rPr>
          <w:noProof/>
          <w:lang w:val="fr-FR"/>
        </w:rPr>
        <w:t xml:space="preserve"> uniformisées et de modèles agréés</w:t>
      </w:r>
      <w:r w:rsidR="003D0F58" w:rsidRPr="00DD03D6">
        <w:rPr>
          <w:noProof/>
          <w:lang w:val="fr-FR"/>
        </w:rPr>
        <w:t xml:space="preserve">. </w:t>
      </w:r>
      <w:r w:rsidR="00BC75A6">
        <w:rPr>
          <w:noProof/>
          <w:lang w:val="fr-FR"/>
        </w:rPr>
        <w:t xml:space="preserve">Une évaluation de ce type est généralement axée sur des entretiens et des visites au domicile ou sur </w:t>
      </w:r>
      <w:r w:rsidR="009445EC">
        <w:rPr>
          <w:noProof/>
          <w:lang w:val="fr-FR"/>
        </w:rPr>
        <w:t>le terrain</w:t>
      </w:r>
      <w:r w:rsidR="005D7533" w:rsidRPr="00DD03D6">
        <w:rPr>
          <w:noProof/>
          <w:lang w:val="fr-FR"/>
        </w:rPr>
        <w:t xml:space="preserve">, </w:t>
      </w:r>
      <w:r w:rsidR="009445EC">
        <w:rPr>
          <w:noProof/>
          <w:lang w:val="fr-FR"/>
        </w:rPr>
        <w:t xml:space="preserve">ce que l’on définit souvent comme du </w:t>
      </w:r>
      <w:r w:rsidR="003F36DD">
        <w:rPr>
          <w:noProof/>
          <w:lang w:val="fr-FR"/>
        </w:rPr>
        <w:t>« </w:t>
      </w:r>
      <w:r w:rsidR="009445EC">
        <w:rPr>
          <w:noProof/>
          <w:lang w:val="fr-FR"/>
        </w:rPr>
        <w:t xml:space="preserve">travail </w:t>
      </w:r>
      <w:r w:rsidR="003D0F58" w:rsidRPr="00DD03D6">
        <w:rPr>
          <w:noProof/>
          <w:lang w:val="fr-FR"/>
        </w:rPr>
        <w:t>direct</w:t>
      </w:r>
      <w:r w:rsidR="003F36DD">
        <w:rPr>
          <w:noProof/>
          <w:lang w:val="fr-FR"/>
        </w:rPr>
        <w:t> »</w:t>
      </w:r>
      <w:r w:rsidR="003D0F58" w:rsidRPr="00DD03D6">
        <w:rPr>
          <w:noProof/>
          <w:lang w:val="fr-FR"/>
        </w:rPr>
        <w:t xml:space="preserve">. </w:t>
      </w:r>
      <w:r w:rsidR="009445EC">
        <w:rPr>
          <w:noProof/>
          <w:lang w:val="fr-FR"/>
        </w:rPr>
        <w:t>Elle vise à dé</w:t>
      </w:r>
      <w:r w:rsidR="003D0F58" w:rsidRPr="00DD03D6">
        <w:rPr>
          <w:noProof/>
          <w:lang w:val="fr-FR"/>
        </w:rPr>
        <w:t>termine</w:t>
      </w:r>
      <w:r w:rsidR="009445EC">
        <w:rPr>
          <w:noProof/>
          <w:lang w:val="fr-FR"/>
        </w:rPr>
        <w:t>r si une autre évaluation, plus approfondie, est nécessaire et à permettre, le cas échéant, de mettre en place un plan d’intervention ou d’appui continu</w:t>
      </w:r>
      <w:r w:rsidR="003D0F58" w:rsidRPr="00DD03D6">
        <w:rPr>
          <w:noProof/>
          <w:lang w:val="fr-FR"/>
        </w:rPr>
        <w:t>.</w:t>
      </w:r>
    </w:p>
    <w:p w:rsidR="003D0F58" w:rsidRPr="00DD03D6" w:rsidRDefault="009445EC" w:rsidP="00C27224">
      <w:pPr>
        <w:pStyle w:val="SingleTxtG"/>
        <w:numPr>
          <w:ilvl w:val="0"/>
          <w:numId w:val="3"/>
        </w:numPr>
        <w:ind w:left="1134" w:firstLine="0"/>
        <w:rPr>
          <w:noProof/>
          <w:lang w:val="fr-FR"/>
        </w:rPr>
      </w:pPr>
      <w:r>
        <w:rPr>
          <w:noProof/>
          <w:lang w:val="fr-FR"/>
        </w:rPr>
        <w:t xml:space="preserve">Le </w:t>
      </w:r>
      <w:r>
        <w:rPr>
          <w:i/>
          <w:iCs/>
          <w:noProof/>
          <w:lang w:val="fr-FR"/>
        </w:rPr>
        <w:t>Rapport d’enquête F</w:t>
      </w:r>
      <w:r w:rsidR="003D0F58" w:rsidRPr="00DD03D6">
        <w:rPr>
          <w:i/>
          <w:iCs/>
          <w:noProof/>
          <w:lang w:val="fr-FR"/>
        </w:rPr>
        <w:t xml:space="preserve">erns </w:t>
      </w:r>
      <w:r w:rsidR="003D0F58" w:rsidRPr="00DD03D6">
        <w:rPr>
          <w:noProof/>
          <w:lang w:val="fr-FR"/>
        </w:rPr>
        <w:t xml:space="preserve">(2005) </w:t>
      </w:r>
      <w:r>
        <w:rPr>
          <w:noProof/>
          <w:lang w:val="fr-FR"/>
        </w:rPr>
        <w:t xml:space="preserve">a recensé plus de </w:t>
      </w:r>
      <w:r w:rsidR="003D0F58" w:rsidRPr="00DD03D6">
        <w:rPr>
          <w:noProof/>
          <w:lang w:val="fr-FR"/>
        </w:rPr>
        <w:t>100 all</w:t>
      </w:r>
      <w:r>
        <w:rPr>
          <w:noProof/>
          <w:lang w:val="fr-FR"/>
        </w:rPr>
        <w:t>é</w:t>
      </w:r>
      <w:r w:rsidR="003D0F58" w:rsidRPr="00DD03D6">
        <w:rPr>
          <w:noProof/>
          <w:lang w:val="fr-FR"/>
        </w:rPr>
        <w:t xml:space="preserve">gations </w:t>
      </w:r>
      <w:r w:rsidR="001D2F73">
        <w:rPr>
          <w:noProof/>
          <w:lang w:val="fr-FR"/>
        </w:rPr>
        <w:t xml:space="preserve">de sévices sexuels à enfant présentées entre </w:t>
      </w:r>
      <w:r w:rsidR="003D0F58" w:rsidRPr="00DD03D6">
        <w:rPr>
          <w:noProof/>
          <w:lang w:val="fr-FR"/>
        </w:rPr>
        <w:t xml:space="preserve">1962 </w:t>
      </w:r>
      <w:r w:rsidR="001D2F73">
        <w:rPr>
          <w:noProof/>
          <w:lang w:val="fr-FR"/>
        </w:rPr>
        <w:t xml:space="preserve">et </w:t>
      </w:r>
      <w:r w:rsidR="003D0F58" w:rsidRPr="00DD03D6">
        <w:rPr>
          <w:noProof/>
          <w:lang w:val="fr-FR"/>
        </w:rPr>
        <w:t xml:space="preserve">2002 </w:t>
      </w:r>
      <w:r w:rsidR="001D2F73">
        <w:rPr>
          <w:noProof/>
          <w:lang w:val="fr-FR"/>
        </w:rPr>
        <w:t xml:space="preserve">contre </w:t>
      </w:r>
      <w:r w:rsidR="003D0F58" w:rsidRPr="00DD03D6">
        <w:rPr>
          <w:noProof/>
          <w:lang w:val="fr-FR"/>
        </w:rPr>
        <w:t>21 pr</w:t>
      </w:r>
      <w:r w:rsidR="001D2F73">
        <w:rPr>
          <w:noProof/>
          <w:lang w:val="fr-FR"/>
        </w:rPr>
        <w:t>êtres du d</w:t>
      </w:r>
      <w:r w:rsidR="003D0F58" w:rsidRPr="00DD03D6">
        <w:rPr>
          <w:noProof/>
          <w:lang w:val="fr-FR"/>
        </w:rPr>
        <w:t>ioc</w:t>
      </w:r>
      <w:r w:rsidR="001D2F73">
        <w:rPr>
          <w:noProof/>
          <w:lang w:val="fr-FR"/>
        </w:rPr>
        <w:t>è</w:t>
      </w:r>
      <w:r w:rsidR="003D0F58" w:rsidRPr="00DD03D6">
        <w:rPr>
          <w:noProof/>
          <w:lang w:val="fr-FR"/>
        </w:rPr>
        <w:t xml:space="preserve">se </w:t>
      </w:r>
      <w:r w:rsidR="001D2F73">
        <w:rPr>
          <w:noProof/>
          <w:lang w:val="fr-FR"/>
        </w:rPr>
        <w:t>de</w:t>
      </w:r>
      <w:r w:rsidR="003D0F58" w:rsidRPr="00DD03D6">
        <w:rPr>
          <w:noProof/>
          <w:lang w:val="fr-FR"/>
        </w:rPr>
        <w:t xml:space="preserve"> Ferns. </w:t>
      </w:r>
      <w:r w:rsidR="001D2F73">
        <w:rPr>
          <w:noProof/>
          <w:lang w:val="fr-FR"/>
        </w:rPr>
        <w:t xml:space="preserve">Plusieurs groupes de travail ont été créés pour donner suite </w:t>
      </w:r>
      <w:r w:rsidR="00CD57C4">
        <w:rPr>
          <w:noProof/>
          <w:lang w:val="fr-FR"/>
        </w:rPr>
        <w:t xml:space="preserve">à ses </w:t>
      </w:r>
      <w:r w:rsidR="003D0F58" w:rsidRPr="00DD03D6">
        <w:rPr>
          <w:noProof/>
          <w:lang w:val="fr-FR"/>
        </w:rPr>
        <w:t>recomm</w:t>
      </w:r>
      <w:r w:rsidR="001D2F73">
        <w:rPr>
          <w:noProof/>
          <w:lang w:val="fr-FR"/>
        </w:rPr>
        <w:t>a</w:t>
      </w:r>
      <w:r w:rsidR="003D0F58" w:rsidRPr="00DD03D6">
        <w:rPr>
          <w:noProof/>
          <w:lang w:val="fr-FR"/>
        </w:rPr>
        <w:t>ndations.</w:t>
      </w:r>
    </w:p>
    <w:p w:rsidR="003D0F58" w:rsidRPr="00DD03D6" w:rsidRDefault="00D775C5" w:rsidP="00905D61">
      <w:pPr>
        <w:pStyle w:val="SingleTxtG"/>
        <w:numPr>
          <w:ilvl w:val="0"/>
          <w:numId w:val="3"/>
        </w:numPr>
        <w:ind w:left="1134" w:firstLine="0"/>
        <w:rPr>
          <w:noProof/>
          <w:lang w:val="fr-FR"/>
        </w:rPr>
      </w:pPr>
      <w:r>
        <w:rPr>
          <w:noProof/>
          <w:lang w:val="fr-FR"/>
        </w:rPr>
        <w:t xml:space="preserve">Le groupe de travail de </w:t>
      </w:r>
      <w:r w:rsidR="003D0F58" w:rsidRPr="00DD03D6">
        <w:rPr>
          <w:noProof/>
          <w:lang w:val="fr-FR"/>
        </w:rPr>
        <w:t xml:space="preserve">Ferns IV </w:t>
      </w:r>
      <w:r>
        <w:rPr>
          <w:noProof/>
          <w:lang w:val="fr-FR"/>
        </w:rPr>
        <w:t xml:space="preserve">a été chargé d’examiner les besoins des enfants et des jeunes qui avaient été victimes de sévices sexuels et de leur famille. Son rapport, intitulé </w:t>
      </w:r>
      <w:r>
        <w:rPr>
          <w:i/>
          <w:iCs/>
          <w:noProof/>
          <w:lang w:val="fr-FR"/>
        </w:rPr>
        <w:t>Besoins d’évaluation</w:t>
      </w:r>
      <w:r w:rsidR="003D0F58" w:rsidRPr="00DD03D6">
        <w:rPr>
          <w:i/>
          <w:iCs/>
          <w:noProof/>
          <w:lang w:val="fr-FR"/>
        </w:rPr>
        <w:t xml:space="preserve">, </w:t>
      </w:r>
      <w:r>
        <w:rPr>
          <w:i/>
          <w:iCs/>
          <w:noProof/>
          <w:lang w:val="fr-FR"/>
        </w:rPr>
        <w:t xml:space="preserve">de </w:t>
      </w:r>
      <w:r w:rsidR="003D0F58" w:rsidRPr="00DD03D6">
        <w:rPr>
          <w:i/>
          <w:iCs/>
          <w:noProof/>
          <w:lang w:val="fr-FR"/>
        </w:rPr>
        <w:t>t</w:t>
      </w:r>
      <w:r>
        <w:rPr>
          <w:i/>
          <w:iCs/>
          <w:noProof/>
          <w:lang w:val="fr-FR"/>
        </w:rPr>
        <w:t>raitement et de soutien psychologique des enfants qui ont été victimes de sévices sexuels, et de leur famille</w:t>
      </w:r>
      <w:r w:rsidR="003D0F58" w:rsidRPr="00DD03D6">
        <w:rPr>
          <w:noProof/>
          <w:lang w:val="fr-FR"/>
        </w:rPr>
        <w:t xml:space="preserve">, </w:t>
      </w:r>
      <w:r>
        <w:rPr>
          <w:noProof/>
          <w:lang w:val="fr-FR"/>
        </w:rPr>
        <w:t>a été finalisé en n</w:t>
      </w:r>
      <w:r w:rsidR="003D0F58" w:rsidRPr="00DD03D6">
        <w:rPr>
          <w:noProof/>
          <w:lang w:val="fr-FR"/>
        </w:rPr>
        <w:t>ovemb</w:t>
      </w:r>
      <w:r>
        <w:rPr>
          <w:noProof/>
          <w:lang w:val="fr-FR"/>
        </w:rPr>
        <w:t>re</w:t>
      </w:r>
      <w:r w:rsidR="003D0F58" w:rsidRPr="00DD03D6">
        <w:rPr>
          <w:noProof/>
          <w:lang w:val="fr-FR"/>
        </w:rPr>
        <w:t xml:space="preserve"> 2009.</w:t>
      </w:r>
    </w:p>
    <w:p w:rsidR="003D0F58" w:rsidRPr="00DD03D6" w:rsidRDefault="00D775C5" w:rsidP="00905D61">
      <w:pPr>
        <w:pStyle w:val="SingleTxtG"/>
        <w:numPr>
          <w:ilvl w:val="0"/>
          <w:numId w:val="3"/>
        </w:numPr>
        <w:ind w:left="1134" w:firstLine="0"/>
        <w:rPr>
          <w:noProof/>
          <w:lang w:val="fr-FR"/>
        </w:rPr>
      </w:pPr>
      <w:r>
        <w:rPr>
          <w:noProof/>
          <w:lang w:val="fr-FR"/>
        </w:rPr>
        <w:t xml:space="preserve">La Direction des services de santé a créé en novembre 2011 le Comité directeur national </w:t>
      </w:r>
      <w:r w:rsidR="003D0F58" w:rsidRPr="00DD03D6">
        <w:rPr>
          <w:noProof/>
          <w:lang w:val="fr-FR"/>
        </w:rPr>
        <w:t xml:space="preserve">Ferns IV </w:t>
      </w:r>
      <w:r>
        <w:rPr>
          <w:noProof/>
          <w:lang w:val="fr-FR"/>
        </w:rPr>
        <w:t xml:space="preserve">chargé de donner suite aux conclusions </w:t>
      </w:r>
      <w:r w:rsidR="00E32151">
        <w:rPr>
          <w:noProof/>
          <w:lang w:val="fr-FR"/>
        </w:rPr>
        <w:t xml:space="preserve">du rapport </w:t>
      </w:r>
      <w:r w:rsidR="003D0F58" w:rsidRPr="00DD03D6">
        <w:rPr>
          <w:noProof/>
          <w:lang w:val="fr-FR"/>
        </w:rPr>
        <w:t xml:space="preserve">Ferns IV </w:t>
      </w:r>
      <w:r w:rsidR="00E32151">
        <w:rPr>
          <w:noProof/>
          <w:lang w:val="fr-FR"/>
        </w:rPr>
        <w:t xml:space="preserve">de </w:t>
      </w:r>
      <w:r w:rsidR="003D0F58" w:rsidRPr="00DD03D6">
        <w:rPr>
          <w:noProof/>
          <w:lang w:val="fr-FR"/>
        </w:rPr>
        <w:t>2009 (</w:t>
      </w:r>
      <w:r w:rsidR="00E32151">
        <w:rPr>
          <w:noProof/>
          <w:lang w:val="fr-FR"/>
        </w:rPr>
        <w:t>voir</w:t>
      </w:r>
      <w:r w:rsidR="003D0F58" w:rsidRPr="00DD03D6">
        <w:rPr>
          <w:noProof/>
          <w:lang w:val="fr-FR"/>
        </w:rPr>
        <w:t xml:space="preserve"> </w:t>
      </w:r>
      <w:r w:rsidR="00E32151">
        <w:rPr>
          <w:noProof/>
          <w:lang w:val="fr-FR"/>
        </w:rPr>
        <w:t>plus haut</w:t>
      </w:r>
      <w:r w:rsidR="003D0F58" w:rsidRPr="00DD03D6">
        <w:rPr>
          <w:noProof/>
          <w:lang w:val="fr-FR"/>
        </w:rPr>
        <w:t xml:space="preserve">) </w:t>
      </w:r>
      <w:r w:rsidR="00B067B8">
        <w:rPr>
          <w:noProof/>
          <w:lang w:val="fr-FR"/>
        </w:rPr>
        <w:t xml:space="preserve">et du rapport de la Direction </w:t>
      </w:r>
      <w:r w:rsidR="003D0F58" w:rsidRPr="00DD03D6">
        <w:rPr>
          <w:noProof/>
          <w:lang w:val="fr-FR"/>
        </w:rPr>
        <w:t xml:space="preserve">(2011c) </w:t>
      </w:r>
      <w:r w:rsidR="00B067B8">
        <w:rPr>
          <w:noProof/>
          <w:lang w:val="fr-FR"/>
        </w:rPr>
        <w:t xml:space="preserve">intitulé </w:t>
      </w:r>
      <w:r w:rsidR="00560E6F">
        <w:rPr>
          <w:i/>
          <w:iCs/>
          <w:noProof/>
          <w:lang w:val="fr-FR"/>
        </w:rPr>
        <w:t xml:space="preserve">Examen national des services </w:t>
      </w:r>
      <w:r w:rsidR="008D2BA9">
        <w:rPr>
          <w:i/>
          <w:iCs/>
          <w:noProof/>
          <w:lang w:val="fr-FR"/>
        </w:rPr>
        <w:t xml:space="preserve">destinés aux enfants et jeunes victimes de sévices sexuels </w:t>
      </w:r>
      <w:r w:rsidR="008D2BA9">
        <w:rPr>
          <w:iCs/>
          <w:noProof/>
          <w:lang w:val="fr-FR"/>
        </w:rPr>
        <w:t>(</w:t>
      </w:r>
      <w:r w:rsidR="00560E6F">
        <w:rPr>
          <w:i/>
          <w:iCs/>
          <w:noProof/>
          <w:lang w:val="fr-FR"/>
        </w:rPr>
        <w:t xml:space="preserve">National </w:t>
      </w:r>
      <w:r w:rsidR="003D0F58" w:rsidRPr="00DD03D6">
        <w:rPr>
          <w:i/>
          <w:iCs/>
          <w:noProof/>
          <w:lang w:val="fr-FR"/>
        </w:rPr>
        <w:t>Review of Sexual Abuse Services for Children and Young People</w:t>
      </w:r>
      <w:r w:rsidR="008D2BA9">
        <w:rPr>
          <w:noProof/>
          <w:lang w:val="fr-FR"/>
        </w:rPr>
        <w:t>). C</w:t>
      </w:r>
      <w:r w:rsidR="00560E6F">
        <w:rPr>
          <w:noProof/>
          <w:lang w:val="fr-FR"/>
        </w:rPr>
        <w:t>e Comité</w:t>
      </w:r>
      <w:r w:rsidR="003D0F58" w:rsidRPr="00DD03D6">
        <w:rPr>
          <w:noProof/>
          <w:lang w:val="fr-FR"/>
        </w:rPr>
        <w:t xml:space="preserve">, </w:t>
      </w:r>
      <w:r w:rsidR="00560E6F">
        <w:rPr>
          <w:noProof/>
          <w:lang w:val="fr-FR"/>
        </w:rPr>
        <w:t xml:space="preserve">qui </w:t>
      </w:r>
      <w:r w:rsidR="003D0F58" w:rsidRPr="00DD03D6">
        <w:rPr>
          <w:noProof/>
          <w:lang w:val="fr-FR"/>
        </w:rPr>
        <w:t>repr</w:t>
      </w:r>
      <w:r w:rsidR="008D2BA9">
        <w:rPr>
          <w:noProof/>
          <w:lang w:val="fr-FR"/>
        </w:rPr>
        <w:t>é</w:t>
      </w:r>
      <w:r w:rsidR="003D0F58" w:rsidRPr="00DD03D6">
        <w:rPr>
          <w:noProof/>
          <w:lang w:val="fr-FR"/>
        </w:rPr>
        <w:t>sent</w:t>
      </w:r>
      <w:r w:rsidR="008D2BA9">
        <w:rPr>
          <w:noProof/>
          <w:lang w:val="fr-FR"/>
        </w:rPr>
        <w:t xml:space="preserve">e l’ensemble des </w:t>
      </w:r>
      <w:r w:rsidR="00E83488">
        <w:rPr>
          <w:noProof/>
          <w:lang w:val="fr-FR"/>
        </w:rPr>
        <w:t>acteurs</w:t>
      </w:r>
      <w:r w:rsidR="008D2BA9">
        <w:rPr>
          <w:noProof/>
          <w:lang w:val="fr-FR"/>
        </w:rPr>
        <w:t xml:space="preserve"> clefs, a élaboré un modèle </w:t>
      </w:r>
      <w:r w:rsidR="003D0F58" w:rsidRPr="00DD03D6">
        <w:rPr>
          <w:noProof/>
          <w:lang w:val="fr-FR"/>
        </w:rPr>
        <w:t xml:space="preserve">national </w:t>
      </w:r>
      <w:r w:rsidR="008D2BA9">
        <w:rPr>
          <w:noProof/>
          <w:lang w:val="fr-FR"/>
        </w:rPr>
        <w:t>de mise en place de services destinés aux victimes de sévices sexuels</w:t>
      </w:r>
      <w:r w:rsidR="003D0F58" w:rsidRPr="00DD03D6">
        <w:rPr>
          <w:noProof/>
          <w:lang w:val="fr-FR"/>
        </w:rPr>
        <w:t>.</w:t>
      </w:r>
    </w:p>
    <w:p w:rsidR="003D0F58" w:rsidRPr="00DD03D6" w:rsidRDefault="001D4F8F" w:rsidP="00905D61">
      <w:pPr>
        <w:pStyle w:val="SingleTxtG"/>
        <w:numPr>
          <w:ilvl w:val="0"/>
          <w:numId w:val="3"/>
        </w:numPr>
        <w:ind w:left="1134" w:firstLine="0"/>
        <w:rPr>
          <w:noProof/>
          <w:lang w:val="fr-FR"/>
        </w:rPr>
      </w:pPr>
      <w:r>
        <w:rPr>
          <w:noProof/>
          <w:lang w:val="fr-FR"/>
        </w:rPr>
        <w:t>Les deux rapports répondent à la même logique consistant à promouvoir un modèle de service national qui</w:t>
      </w:r>
      <w:r w:rsidR="003E237D">
        <w:rPr>
          <w:noProof/>
          <w:lang w:val="fr-FR"/>
        </w:rPr>
        <w:t> </w:t>
      </w:r>
      <w:r w:rsidR="003D0F58" w:rsidRPr="00DD03D6">
        <w:rPr>
          <w:noProof/>
          <w:lang w:val="fr-FR"/>
        </w:rPr>
        <w:t>:</w:t>
      </w:r>
    </w:p>
    <w:p w:rsidR="003D0F58" w:rsidRPr="00DD03D6" w:rsidRDefault="003D0F58" w:rsidP="003E237D">
      <w:pPr>
        <w:pStyle w:val="Bullet1G"/>
        <w:tabs>
          <w:tab w:val="clear" w:pos="1701"/>
        </w:tabs>
        <w:ind w:left="1843" w:hanging="142"/>
        <w:rPr>
          <w:noProof/>
          <w:lang w:val="fr-FR"/>
        </w:rPr>
      </w:pPr>
      <w:r w:rsidRPr="00DD03D6">
        <w:rPr>
          <w:noProof/>
          <w:lang w:val="fr-FR"/>
        </w:rPr>
        <w:t>Incorpor</w:t>
      </w:r>
      <w:r w:rsidR="001D4F8F">
        <w:rPr>
          <w:noProof/>
          <w:lang w:val="fr-FR"/>
        </w:rPr>
        <w:t xml:space="preserve">e toutes les </w:t>
      </w:r>
      <w:r w:rsidRPr="00DD03D6">
        <w:rPr>
          <w:noProof/>
          <w:lang w:val="fr-FR"/>
        </w:rPr>
        <w:t>re</w:t>
      </w:r>
      <w:r w:rsidR="001D4F8F">
        <w:rPr>
          <w:noProof/>
          <w:lang w:val="fr-FR"/>
        </w:rPr>
        <w:t>s</w:t>
      </w:r>
      <w:r w:rsidRPr="00DD03D6">
        <w:rPr>
          <w:noProof/>
          <w:lang w:val="fr-FR"/>
        </w:rPr>
        <w:t xml:space="preserve">sources </w:t>
      </w:r>
      <w:r w:rsidR="001D4F8F">
        <w:rPr>
          <w:noProof/>
          <w:lang w:val="fr-FR"/>
        </w:rPr>
        <w:t>actuellement appliquées dans tous les secteurs aux services destinés aux victimes de sévices sexuels dans un service national unique qui fournit des modèles de services uniformisés et correspondant aux meilleures pratiques</w:t>
      </w:r>
      <w:r w:rsidRPr="00DD03D6">
        <w:rPr>
          <w:noProof/>
          <w:lang w:val="fr-FR"/>
        </w:rPr>
        <w:t xml:space="preserve">. </w:t>
      </w:r>
      <w:r w:rsidR="001D4F8F">
        <w:rPr>
          <w:noProof/>
          <w:lang w:val="fr-FR"/>
        </w:rPr>
        <w:t>Le réseau existant de centres sera utilisé pour créer le nouveau service national</w:t>
      </w:r>
      <w:r w:rsidR="00E86671" w:rsidRPr="00DD03D6">
        <w:rPr>
          <w:noProof/>
          <w:lang w:val="fr-FR"/>
        </w:rPr>
        <w:t>;</w:t>
      </w:r>
    </w:p>
    <w:p w:rsidR="003D0F58" w:rsidRPr="00DD03D6" w:rsidRDefault="003D0F58" w:rsidP="003E237D">
      <w:pPr>
        <w:pStyle w:val="Bullet1G"/>
        <w:tabs>
          <w:tab w:val="clear" w:pos="1701"/>
        </w:tabs>
        <w:ind w:left="1843" w:hanging="142"/>
        <w:rPr>
          <w:noProof/>
          <w:lang w:val="fr-FR"/>
        </w:rPr>
      </w:pPr>
      <w:r w:rsidRPr="00DD03D6">
        <w:rPr>
          <w:noProof/>
          <w:lang w:val="fr-FR"/>
        </w:rPr>
        <w:t>Int</w:t>
      </w:r>
      <w:r w:rsidR="001D4F8F">
        <w:rPr>
          <w:noProof/>
          <w:lang w:val="fr-FR"/>
        </w:rPr>
        <w:t xml:space="preserve">ègre et </w:t>
      </w:r>
      <w:r w:rsidRPr="00DD03D6">
        <w:rPr>
          <w:noProof/>
          <w:lang w:val="fr-FR"/>
        </w:rPr>
        <w:t>coord</w:t>
      </w:r>
      <w:r w:rsidR="001D4F8F">
        <w:rPr>
          <w:noProof/>
          <w:lang w:val="fr-FR"/>
        </w:rPr>
        <w:t xml:space="preserve">onne les </w:t>
      </w:r>
      <w:r w:rsidR="009112A7" w:rsidRPr="00DD03D6">
        <w:rPr>
          <w:noProof/>
          <w:lang w:val="fr-FR"/>
        </w:rPr>
        <w:t>six</w:t>
      </w:r>
      <w:r w:rsidRPr="00DD03D6">
        <w:rPr>
          <w:noProof/>
          <w:lang w:val="fr-FR"/>
        </w:rPr>
        <w:t xml:space="preserve"> </w:t>
      </w:r>
      <w:r w:rsidR="001D4F8F">
        <w:rPr>
          <w:noProof/>
          <w:lang w:val="fr-FR"/>
        </w:rPr>
        <w:t>principales composantes des services destinés aux victimes de sévices sexuels</w:t>
      </w:r>
      <w:r w:rsidRPr="00DD03D6">
        <w:rPr>
          <w:noProof/>
          <w:lang w:val="fr-FR"/>
        </w:rPr>
        <w:t xml:space="preserve">, </w:t>
      </w:r>
      <w:r w:rsidR="003E237D">
        <w:rPr>
          <w:noProof/>
          <w:lang w:val="fr-FR"/>
        </w:rPr>
        <w:t>à savoir </w:t>
      </w:r>
      <w:r w:rsidRPr="00DD03D6">
        <w:rPr>
          <w:noProof/>
          <w:lang w:val="fr-FR"/>
        </w:rPr>
        <w:t xml:space="preserve">: </w:t>
      </w:r>
    </w:p>
    <w:p w:rsidR="003D0F58" w:rsidRPr="00DD03D6" w:rsidRDefault="001D4F8F" w:rsidP="004E1DBA">
      <w:pPr>
        <w:pStyle w:val="Bullet2G"/>
        <w:rPr>
          <w:noProof/>
          <w:lang w:val="fr-FR"/>
        </w:rPr>
      </w:pPr>
      <w:r>
        <w:rPr>
          <w:noProof/>
          <w:lang w:val="fr-FR"/>
        </w:rPr>
        <w:t>Examen mé</w:t>
      </w:r>
      <w:r w:rsidR="003D0F58" w:rsidRPr="00DD03D6">
        <w:rPr>
          <w:noProof/>
          <w:lang w:val="fr-FR"/>
        </w:rPr>
        <w:t>dical/</w:t>
      </w:r>
      <w:r>
        <w:rPr>
          <w:noProof/>
          <w:lang w:val="fr-FR"/>
        </w:rPr>
        <w:t>médico-légal</w:t>
      </w:r>
      <w:r w:rsidR="003D0F58" w:rsidRPr="00DD03D6">
        <w:rPr>
          <w:noProof/>
          <w:lang w:val="fr-FR"/>
        </w:rPr>
        <w:t xml:space="preserve">; </w:t>
      </w:r>
    </w:p>
    <w:p w:rsidR="003D0F58" w:rsidRPr="00DD03D6" w:rsidRDefault="00B9658E" w:rsidP="004E1DBA">
      <w:pPr>
        <w:pStyle w:val="Bullet2G"/>
        <w:rPr>
          <w:noProof/>
          <w:lang w:val="fr-FR"/>
        </w:rPr>
      </w:pPr>
      <w:r>
        <w:rPr>
          <w:noProof/>
          <w:lang w:val="fr-FR"/>
        </w:rPr>
        <w:t>P</w:t>
      </w:r>
      <w:r w:rsidR="003D0F58" w:rsidRPr="00DD03D6">
        <w:rPr>
          <w:noProof/>
          <w:lang w:val="fr-FR"/>
        </w:rPr>
        <w:t>rotection</w:t>
      </w:r>
      <w:r>
        <w:rPr>
          <w:noProof/>
          <w:lang w:val="fr-FR"/>
        </w:rPr>
        <w:t xml:space="preserve"> de l’enfant</w:t>
      </w:r>
      <w:r w:rsidR="003D0F58" w:rsidRPr="00DD03D6">
        <w:rPr>
          <w:noProof/>
          <w:lang w:val="fr-FR"/>
        </w:rPr>
        <w:t>;</w:t>
      </w:r>
    </w:p>
    <w:p w:rsidR="003D0F58" w:rsidRPr="00DD03D6" w:rsidRDefault="00B9658E" w:rsidP="004E1DBA">
      <w:pPr>
        <w:pStyle w:val="Bullet2G"/>
        <w:rPr>
          <w:noProof/>
          <w:lang w:val="fr-FR"/>
        </w:rPr>
      </w:pPr>
      <w:r>
        <w:rPr>
          <w:noProof/>
          <w:lang w:val="fr-FR"/>
        </w:rPr>
        <w:t xml:space="preserve">Enquête de la </w:t>
      </w:r>
      <w:r w:rsidR="003D0F58" w:rsidRPr="00DD03D6">
        <w:rPr>
          <w:noProof/>
          <w:lang w:val="fr-FR"/>
        </w:rPr>
        <w:t>Garda;</w:t>
      </w:r>
    </w:p>
    <w:p w:rsidR="003D0F58" w:rsidRPr="00DD03D6" w:rsidRDefault="00B9658E" w:rsidP="004E1DBA">
      <w:pPr>
        <w:pStyle w:val="Bullet2G"/>
        <w:rPr>
          <w:noProof/>
          <w:lang w:val="fr-FR"/>
        </w:rPr>
      </w:pPr>
      <w:r>
        <w:rPr>
          <w:noProof/>
          <w:lang w:val="fr-FR"/>
        </w:rPr>
        <w:t>Évaluation</w:t>
      </w:r>
      <w:r w:rsidR="003D0F58" w:rsidRPr="00DD03D6">
        <w:rPr>
          <w:noProof/>
          <w:lang w:val="fr-FR"/>
        </w:rPr>
        <w:t>;</w:t>
      </w:r>
    </w:p>
    <w:p w:rsidR="003D0F58" w:rsidRPr="00DD03D6" w:rsidRDefault="00A8045D" w:rsidP="004E1DBA">
      <w:pPr>
        <w:pStyle w:val="Bullet2G"/>
        <w:rPr>
          <w:noProof/>
          <w:lang w:val="fr-FR"/>
        </w:rPr>
      </w:pPr>
      <w:r w:rsidRPr="00DD03D6">
        <w:rPr>
          <w:noProof/>
          <w:lang w:val="fr-FR"/>
        </w:rPr>
        <w:lastRenderedPageBreak/>
        <w:t>T</w:t>
      </w:r>
      <w:r w:rsidR="00B9658E">
        <w:rPr>
          <w:noProof/>
          <w:lang w:val="fr-FR"/>
        </w:rPr>
        <w:t>raitement</w:t>
      </w:r>
      <w:r w:rsidR="003D0F58" w:rsidRPr="00DD03D6">
        <w:rPr>
          <w:noProof/>
          <w:lang w:val="fr-FR"/>
        </w:rPr>
        <w:t>;</w:t>
      </w:r>
    </w:p>
    <w:p w:rsidR="003D0F58" w:rsidRPr="00DD03D6" w:rsidRDefault="00B9658E" w:rsidP="004E1DBA">
      <w:pPr>
        <w:pStyle w:val="Bullet2G"/>
        <w:rPr>
          <w:noProof/>
          <w:lang w:val="fr-FR"/>
        </w:rPr>
      </w:pPr>
      <w:r>
        <w:rPr>
          <w:noProof/>
          <w:lang w:val="fr-FR"/>
        </w:rPr>
        <w:t>Procédure judiciaire</w:t>
      </w:r>
      <w:r w:rsidR="00E86671" w:rsidRPr="00DD03D6">
        <w:rPr>
          <w:noProof/>
          <w:lang w:val="fr-FR"/>
        </w:rPr>
        <w:t>;</w:t>
      </w:r>
    </w:p>
    <w:p w:rsidR="003D0F58" w:rsidRPr="00DD03D6" w:rsidRDefault="00B9658E" w:rsidP="003E237D">
      <w:pPr>
        <w:pStyle w:val="Bullet1G"/>
        <w:tabs>
          <w:tab w:val="clear" w:pos="1701"/>
        </w:tabs>
        <w:ind w:left="1843" w:hanging="142"/>
        <w:rPr>
          <w:noProof/>
          <w:lang w:val="fr-FR"/>
        </w:rPr>
      </w:pPr>
      <w:r>
        <w:rPr>
          <w:noProof/>
          <w:lang w:val="fr-FR"/>
        </w:rPr>
        <w:t xml:space="preserve">Fournit des </w:t>
      </w:r>
      <w:r w:rsidR="003D0F58" w:rsidRPr="00DD03D6">
        <w:rPr>
          <w:noProof/>
          <w:lang w:val="fr-FR"/>
        </w:rPr>
        <w:t xml:space="preserve">services </w:t>
      </w:r>
      <w:r>
        <w:rPr>
          <w:noProof/>
          <w:lang w:val="fr-FR"/>
        </w:rPr>
        <w:t xml:space="preserve">par le biais de Centres régionaux spécialisés, qui appuient les réseaux de cliniciens régionaux et </w:t>
      </w:r>
      <w:r w:rsidR="00D950E8">
        <w:rPr>
          <w:noProof/>
          <w:lang w:val="fr-FR"/>
        </w:rPr>
        <w:t>fournissent des cliniques de proximité en fonction des besoins</w:t>
      </w:r>
      <w:r w:rsidR="003D0F58" w:rsidRPr="00DD03D6">
        <w:rPr>
          <w:noProof/>
          <w:lang w:val="fr-FR"/>
        </w:rPr>
        <w:t>.</w:t>
      </w:r>
    </w:p>
    <w:p w:rsidR="003D0F58" w:rsidRPr="00DD03D6" w:rsidRDefault="00D950E8" w:rsidP="009112A7">
      <w:pPr>
        <w:pStyle w:val="SingleTxtG"/>
        <w:numPr>
          <w:ilvl w:val="0"/>
          <w:numId w:val="3"/>
        </w:numPr>
        <w:ind w:left="1134" w:firstLine="0"/>
        <w:rPr>
          <w:noProof/>
          <w:lang w:val="fr-FR"/>
        </w:rPr>
      </w:pPr>
      <w:r>
        <w:rPr>
          <w:noProof/>
          <w:lang w:val="fr-FR"/>
        </w:rPr>
        <w:t xml:space="preserve">La mise en œuvre du modèle </w:t>
      </w:r>
      <w:r w:rsidR="003D0F58" w:rsidRPr="00DD03D6">
        <w:rPr>
          <w:noProof/>
          <w:lang w:val="fr-FR"/>
        </w:rPr>
        <w:t xml:space="preserve">national </w:t>
      </w:r>
      <w:r>
        <w:rPr>
          <w:noProof/>
          <w:lang w:val="fr-FR"/>
        </w:rPr>
        <w:t xml:space="preserve">devrait </w:t>
      </w:r>
      <w:r w:rsidR="003D0F58" w:rsidRPr="00DD03D6">
        <w:rPr>
          <w:noProof/>
          <w:lang w:val="fr-FR"/>
        </w:rPr>
        <w:t>commence</w:t>
      </w:r>
      <w:r>
        <w:rPr>
          <w:noProof/>
          <w:lang w:val="fr-FR"/>
        </w:rPr>
        <w:t>r</w:t>
      </w:r>
      <w:r w:rsidR="003D0F58" w:rsidRPr="00DD03D6">
        <w:rPr>
          <w:noProof/>
          <w:lang w:val="fr-FR"/>
        </w:rPr>
        <w:t xml:space="preserve"> </w:t>
      </w:r>
      <w:r>
        <w:rPr>
          <w:noProof/>
          <w:lang w:val="fr-FR"/>
        </w:rPr>
        <w:t>e</w:t>
      </w:r>
      <w:r w:rsidR="003D0F58" w:rsidRPr="00DD03D6">
        <w:rPr>
          <w:noProof/>
          <w:lang w:val="fr-FR"/>
        </w:rPr>
        <w:t xml:space="preserve">n 2013. </w:t>
      </w:r>
      <w:r>
        <w:rPr>
          <w:noProof/>
          <w:lang w:val="fr-FR"/>
        </w:rPr>
        <w:t xml:space="preserve">L’organisation </w:t>
      </w:r>
      <w:r w:rsidR="005C2012">
        <w:rPr>
          <w:noProof/>
          <w:lang w:val="fr-FR"/>
        </w:rPr>
        <w:t>bénévole</w:t>
      </w:r>
      <w:r w:rsidR="003D0F58" w:rsidRPr="00DD03D6">
        <w:rPr>
          <w:noProof/>
          <w:lang w:val="fr-FR"/>
        </w:rPr>
        <w:t xml:space="preserve"> CARI </w:t>
      </w:r>
      <w:r w:rsidR="005C2012">
        <w:rPr>
          <w:noProof/>
          <w:lang w:val="fr-FR"/>
        </w:rPr>
        <w:t>offre un traitement adapté aux enfants qui ont été victimes de sévices sexuels ou aux enfants âgés de moins de 12 ans qui manifestent un comportement sexualisé</w:t>
      </w:r>
      <w:r w:rsidR="003D0F58" w:rsidRPr="00DD03D6">
        <w:rPr>
          <w:noProof/>
          <w:lang w:val="fr-FR"/>
        </w:rPr>
        <w:t xml:space="preserve">. </w:t>
      </w:r>
      <w:r w:rsidR="005C2012">
        <w:rPr>
          <w:noProof/>
          <w:lang w:val="fr-FR"/>
        </w:rPr>
        <w:t xml:space="preserve">Elle assure également une permanence téléphonique à l’intention des </w:t>
      </w:r>
      <w:r w:rsidR="003D0F58" w:rsidRPr="00DD03D6">
        <w:rPr>
          <w:noProof/>
          <w:lang w:val="fr-FR"/>
        </w:rPr>
        <w:t>profession</w:t>
      </w:r>
      <w:r w:rsidR="005C2012">
        <w:rPr>
          <w:noProof/>
          <w:lang w:val="fr-FR"/>
        </w:rPr>
        <w:t xml:space="preserve">nels et des </w:t>
      </w:r>
      <w:r w:rsidR="003D0F58" w:rsidRPr="00DD03D6">
        <w:rPr>
          <w:noProof/>
          <w:lang w:val="fr-FR"/>
        </w:rPr>
        <w:t xml:space="preserve">parents </w:t>
      </w:r>
      <w:r w:rsidR="005C2012">
        <w:rPr>
          <w:noProof/>
          <w:lang w:val="fr-FR"/>
        </w:rPr>
        <w:t>souhaitant adresser un enfant à un service. Les s</w:t>
      </w:r>
      <w:r w:rsidR="003D0F58" w:rsidRPr="00DD03D6">
        <w:rPr>
          <w:noProof/>
          <w:lang w:val="fr-FR"/>
        </w:rPr>
        <w:t xml:space="preserve">ervices </w:t>
      </w:r>
      <w:r w:rsidR="005C2012">
        <w:rPr>
          <w:noProof/>
          <w:lang w:val="fr-FR"/>
        </w:rPr>
        <w:t xml:space="preserve">qu’elle propose sont les suivants : appui aux parents </w:t>
      </w:r>
      <w:r w:rsidR="00800684">
        <w:rPr>
          <w:noProof/>
          <w:lang w:val="fr-FR"/>
        </w:rPr>
        <w:t>non enclins à la maltraitance</w:t>
      </w:r>
      <w:r w:rsidR="003D0F58" w:rsidRPr="00DD03D6">
        <w:rPr>
          <w:noProof/>
          <w:lang w:val="fr-FR"/>
        </w:rPr>
        <w:t xml:space="preserve">; </w:t>
      </w:r>
      <w:r w:rsidR="00800684">
        <w:rPr>
          <w:noProof/>
          <w:lang w:val="fr-FR"/>
        </w:rPr>
        <w:t>service d’accompagnement en justice à l’intention des enfants, des</w:t>
      </w:r>
      <w:r w:rsidR="003D0F58" w:rsidRPr="00DD03D6">
        <w:rPr>
          <w:noProof/>
          <w:lang w:val="fr-FR"/>
        </w:rPr>
        <w:t xml:space="preserve"> parents, </w:t>
      </w:r>
      <w:r w:rsidR="00800684">
        <w:rPr>
          <w:noProof/>
          <w:lang w:val="fr-FR"/>
        </w:rPr>
        <w:t>des aidants non professionnels ou des tuteurs</w:t>
      </w:r>
      <w:r w:rsidR="003D0F58" w:rsidRPr="00DD03D6">
        <w:rPr>
          <w:noProof/>
          <w:lang w:val="fr-FR"/>
        </w:rPr>
        <w:t xml:space="preserve">; </w:t>
      </w:r>
      <w:r w:rsidR="00800684">
        <w:rPr>
          <w:noProof/>
          <w:lang w:val="fr-FR"/>
        </w:rPr>
        <w:t>formation des travailleurs sociaux, des thérapeutes et des psychologue</w:t>
      </w:r>
      <w:r w:rsidR="003D0F58" w:rsidRPr="00DD03D6">
        <w:rPr>
          <w:noProof/>
          <w:lang w:val="fr-FR"/>
        </w:rPr>
        <w:t xml:space="preserve">s; </w:t>
      </w:r>
      <w:r w:rsidR="00800684">
        <w:rPr>
          <w:noProof/>
          <w:lang w:val="fr-FR"/>
        </w:rPr>
        <w:t xml:space="preserve">programme d’éducation </w:t>
      </w:r>
      <w:r w:rsidR="003D0F58" w:rsidRPr="00DD03D6">
        <w:rPr>
          <w:noProof/>
          <w:lang w:val="fr-FR"/>
        </w:rPr>
        <w:t>pr</w:t>
      </w:r>
      <w:r w:rsidR="000B3945">
        <w:rPr>
          <w:noProof/>
          <w:lang w:val="fr-FR"/>
        </w:rPr>
        <w:t>é</w:t>
      </w:r>
      <w:r w:rsidR="003D0F58" w:rsidRPr="00DD03D6">
        <w:rPr>
          <w:noProof/>
          <w:lang w:val="fr-FR"/>
        </w:rPr>
        <w:t xml:space="preserve">ventive </w:t>
      </w:r>
      <w:r w:rsidR="000B3945">
        <w:rPr>
          <w:noProof/>
          <w:lang w:val="fr-FR"/>
        </w:rPr>
        <w:t>à l’intention des enfants</w:t>
      </w:r>
      <w:r w:rsidR="003D0F58" w:rsidRPr="00DD03D6">
        <w:rPr>
          <w:noProof/>
          <w:lang w:val="fr-FR"/>
        </w:rPr>
        <w:t xml:space="preserve">; </w:t>
      </w:r>
      <w:r w:rsidR="000B3945">
        <w:rPr>
          <w:noProof/>
          <w:lang w:val="fr-FR"/>
        </w:rPr>
        <w:t xml:space="preserve">et service </w:t>
      </w:r>
      <w:r w:rsidR="00F161BB">
        <w:rPr>
          <w:noProof/>
          <w:lang w:val="fr-FR"/>
        </w:rPr>
        <w:t>de sensibilisation</w:t>
      </w:r>
      <w:r w:rsidR="003D0F58" w:rsidRPr="00DD03D6">
        <w:rPr>
          <w:noProof/>
          <w:lang w:val="fr-FR"/>
        </w:rPr>
        <w:t xml:space="preserve">. </w:t>
      </w:r>
      <w:r w:rsidR="00F161BB">
        <w:rPr>
          <w:noProof/>
          <w:lang w:val="fr-FR"/>
        </w:rPr>
        <w:t>E</w:t>
      </w:r>
      <w:r w:rsidR="003D0F58" w:rsidRPr="00DD03D6">
        <w:rPr>
          <w:noProof/>
          <w:lang w:val="fr-FR"/>
        </w:rPr>
        <w:t xml:space="preserve">n 2012, CARI </w:t>
      </w:r>
      <w:r w:rsidR="00F161BB">
        <w:rPr>
          <w:noProof/>
          <w:lang w:val="fr-FR"/>
        </w:rPr>
        <w:t xml:space="preserve">a reçu près de </w:t>
      </w:r>
      <w:r w:rsidR="003D0F58" w:rsidRPr="00DD03D6">
        <w:rPr>
          <w:noProof/>
          <w:lang w:val="fr-FR"/>
        </w:rPr>
        <w:t>400</w:t>
      </w:r>
      <w:r w:rsidR="003E237D">
        <w:rPr>
          <w:noProof/>
          <w:lang w:val="fr-FR"/>
        </w:rPr>
        <w:t> </w:t>
      </w:r>
      <w:r w:rsidR="003D0F58" w:rsidRPr="00DD03D6">
        <w:rPr>
          <w:noProof/>
          <w:lang w:val="fr-FR"/>
        </w:rPr>
        <w:t xml:space="preserve">000 </w:t>
      </w:r>
      <w:r w:rsidR="00F161BB">
        <w:rPr>
          <w:noProof/>
          <w:lang w:val="fr-FR"/>
        </w:rPr>
        <w:t xml:space="preserve">euros pour fournir ces </w:t>
      </w:r>
      <w:r w:rsidR="003D0F58" w:rsidRPr="00DD03D6">
        <w:rPr>
          <w:noProof/>
          <w:lang w:val="fr-FR"/>
        </w:rPr>
        <w:t>services.</w:t>
      </w:r>
    </w:p>
    <w:p w:rsidR="003D0F58" w:rsidRPr="00DD03D6" w:rsidRDefault="00723F77" w:rsidP="00905D61">
      <w:pPr>
        <w:pStyle w:val="SingleTxtG"/>
        <w:numPr>
          <w:ilvl w:val="0"/>
          <w:numId w:val="3"/>
        </w:numPr>
        <w:ind w:left="1134" w:firstLine="0"/>
        <w:rPr>
          <w:noProof/>
          <w:lang w:val="fr-FR"/>
        </w:rPr>
      </w:pPr>
      <w:r>
        <w:rPr>
          <w:noProof/>
          <w:lang w:val="fr-FR"/>
        </w:rPr>
        <w:t>L’Agence d’aide aux familles</w:t>
      </w:r>
      <w:r w:rsidR="003D0F58" w:rsidRPr="00DD03D6">
        <w:rPr>
          <w:noProof/>
          <w:lang w:val="fr-FR"/>
        </w:rPr>
        <w:t xml:space="preserve">, </w:t>
      </w:r>
      <w:r>
        <w:rPr>
          <w:noProof/>
          <w:lang w:val="fr-FR"/>
        </w:rPr>
        <w:t>qui sera intégrée à la nouvelle Agence pour l’enfant et la famille</w:t>
      </w:r>
      <w:r w:rsidR="003D0F58" w:rsidRPr="00DD03D6">
        <w:rPr>
          <w:noProof/>
          <w:lang w:val="fr-FR"/>
        </w:rPr>
        <w:t xml:space="preserve">, </w:t>
      </w:r>
      <w:r>
        <w:rPr>
          <w:noProof/>
          <w:lang w:val="fr-FR"/>
        </w:rPr>
        <w:t xml:space="preserve">fournit des services de soutien psychologique aux enfants </w:t>
      </w:r>
      <w:r w:rsidR="003D0F58" w:rsidRPr="00DD03D6">
        <w:rPr>
          <w:noProof/>
          <w:lang w:val="fr-FR"/>
        </w:rPr>
        <w:t>victim</w:t>
      </w:r>
      <w:r>
        <w:rPr>
          <w:noProof/>
          <w:lang w:val="fr-FR"/>
        </w:rPr>
        <w:t>e</w:t>
      </w:r>
      <w:r w:rsidR="003D0F58" w:rsidRPr="00DD03D6">
        <w:rPr>
          <w:noProof/>
          <w:lang w:val="fr-FR"/>
        </w:rPr>
        <w:t xml:space="preserve">s </w:t>
      </w:r>
      <w:r>
        <w:rPr>
          <w:noProof/>
          <w:lang w:val="fr-FR"/>
        </w:rPr>
        <w:t>ou témoins de la violence familiale dans un certain nombre de cen</w:t>
      </w:r>
      <w:r w:rsidR="00297DC6">
        <w:rPr>
          <w:noProof/>
          <w:lang w:val="fr-FR"/>
        </w:rPr>
        <w:t>tres répartis à travers le pays</w:t>
      </w:r>
      <w:r w:rsidR="003D0F58" w:rsidRPr="00DD03D6">
        <w:rPr>
          <w:noProof/>
          <w:lang w:val="fr-FR"/>
        </w:rPr>
        <w:t xml:space="preserve">. </w:t>
      </w:r>
    </w:p>
    <w:p w:rsidR="003D0F58" w:rsidRPr="00DD03D6" w:rsidRDefault="00297DC6" w:rsidP="001F3650">
      <w:pPr>
        <w:pStyle w:val="SingleTxtG"/>
        <w:numPr>
          <w:ilvl w:val="0"/>
          <w:numId w:val="3"/>
        </w:numPr>
        <w:ind w:left="1134" w:firstLine="0"/>
        <w:rPr>
          <w:iCs/>
          <w:noProof/>
          <w:lang w:val="fr-FR"/>
        </w:rPr>
      </w:pPr>
      <w:r>
        <w:rPr>
          <w:noProof/>
          <w:lang w:val="fr-FR"/>
        </w:rPr>
        <w:t xml:space="preserve">Les dispositions applicables aux enfants présumés ou déclarés victimes de la traite des êtres humains sont décrites aux </w:t>
      </w:r>
      <w:r w:rsidR="005F6E6E" w:rsidRPr="00DD03D6">
        <w:rPr>
          <w:noProof/>
          <w:lang w:val="fr-FR"/>
        </w:rPr>
        <w:t>p</w:t>
      </w:r>
      <w:r w:rsidR="00796A7C" w:rsidRPr="00DD03D6">
        <w:rPr>
          <w:noProof/>
          <w:lang w:val="fr-FR"/>
        </w:rPr>
        <w:t>aragraph</w:t>
      </w:r>
      <w:r>
        <w:rPr>
          <w:noProof/>
          <w:lang w:val="fr-FR"/>
        </w:rPr>
        <w:t>e</w:t>
      </w:r>
      <w:r w:rsidR="00796A7C" w:rsidRPr="00DD03D6">
        <w:rPr>
          <w:noProof/>
          <w:lang w:val="fr-FR"/>
        </w:rPr>
        <w:t>s </w:t>
      </w:r>
      <w:r w:rsidR="001F3650" w:rsidRPr="00DD03D6">
        <w:rPr>
          <w:noProof/>
          <w:lang w:val="fr-FR"/>
        </w:rPr>
        <w:t>171</w:t>
      </w:r>
      <w:r>
        <w:rPr>
          <w:noProof/>
          <w:lang w:val="fr-FR"/>
        </w:rPr>
        <w:t xml:space="preserve"> à </w:t>
      </w:r>
      <w:r w:rsidR="001F3650" w:rsidRPr="00DD03D6">
        <w:rPr>
          <w:noProof/>
          <w:lang w:val="fr-FR"/>
        </w:rPr>
        <w:t>176</w:t>
      </w:r>
      <w:r w:rsidR="003D0F58" w:rsidRPr="00DD03D6">
        <w:rPr>
          <w:noProof/>
          <w:lang w:val="fr-FR"/>
        </w:rPr>
        <w:t xml:space="preserve"> </w:t>
      </w:r>
      <w:r>
        <w:rPr>
          <w:noProof/>
          <w:lang w:val="fr-FR"/>
        </w:rPr>
        <w:t xml:space="preserve">et </w:t>
      </w:r>
      <w:r w:rsidR="001F3650" w:rsidRPr="00DD03D6">
        <w:rPr>
          <w:iCs/>
          <w:noProof/>
          <w:lang w:val="fr-FR"/>
        </w:rPr>
        <w:t>20</w:t>
      </w:r>
      <w:r w:rsidR="000B5D9E">
        <w:rPr>
          <w:iCs/>
          <w:noProof/>
          <w:lang w:val="fr-FR"/>
        </w:rPr>
        <w:t>6</w:t>
      </w:r>
      <w:r w:rsidR="003E237D">
        <w:rPr>
          <w:iCs/>
          <w:noProof/>
          <w:lang w:val="fr-FR"/>
        </w:rPr>
        <w:t xml:space="preserve"> et </w:t>
      </w:r>
      <w:r w:rsidR="001F3650" w:rsidRPr="00DD03D6">
        <w:rPr>
          <w:iCs/>
          <w:noProof/>
          <w:lang w:val="fr-FR"/>
        </w:rPr>
        <w:t>207</w:t>
      </w:r>
      <w:r w:rsidR="003D0F58" w:rsidRPr="00DD03D6">
        <w:rPr>
          <w:noProof/>
          <w:lang w:val="fr-FR"/>
        </w:rPr>
        <w:t>.</w:t>
      </w:r>
    </w:p>
    <w:p w:rsidR="003D0F58" w:rsidRPr="00DD03D6" w:rsidRDefault="000B5D9E" w:rsidP="00905D61">
      <w:pPr>
        <w:pStyle w:val="SingleTxtG"/>
        <w:numPr>
          <w:ilvl w:val="0"/>
          <w:numId w:val="3"/>
        </w:numPr>
        <w:ind w:left="1134" w:firstLine="0"/>
        <w:rPr>
          <w:noProof/>
          <w:lang w:val="fr-FR"/>
        </w:rPr>
      </w:pPr>
      <w:r>
        <w:rPr>
          <w:noProof/>
          <w:lang w:val="fr-FR"/>
        </w:rPr>
        <w:t>Les besoins immé</w:t>
      </w:r>
      <w:r w:rsidR="003D0F58" w:rsidRPr="00DD03D6">
        <w:rPr>
          <w:noProof/>
          <w:lang w:val="fr-FR"/>
        </w:rPr>
        <w:t>diat</w:t>
      </w:r>
      <w:r>
        <w:rPr>
          <w:noProof/>
          <w:lang w:val="fr-FR"/>
        </w:rPr>
        <w:t xml:space="preserve">s et permanents des enfants séparés demandeurs d’asile en matière de logement et de soins médicaux, la satisfaction de leurs besoins sociaux et leur demande </w:t>
      </w:r>
      <w:r w:rsidR="00787E46">
        <w:rPr>
          <w:noProof/>
          <w:lang w:val="fr-FR"/>
        </w:rPr>
        <w:t xml:space="preserve">d’obtention du statut de réfugié relèvent de la responsabilité de la Direction des services de santé, conformément à la loi de </w:t>
      </w:r>
      <w:r w:rsidR="003D0F58" w:rsidRPr="00DD03D6">
        <w:rPr>
          <w:noProof/>
          <w:lang w:val="fr-FR"/>
        </w:rPr>
        <w:t xml:space="preserve">1996 </w:t>
      </w:r>
      <w:r w:rsidR="00787E46">
        <w:rPr>
          <w:noProof/>
          <w:lang w:val="fr-FR"/>
        </w:rPr>
        <w:t>sur les réfugiés et à la loi de 1991 sur la protection de l’enfance</w:t>
      </w:r>
      <w:r w:rsidR="003D0F58" w:rsidRPr="00DD03D6">
        <w:rPr>
          <w:noProof/>
          <w:lang w:val="fr-FR"/>
        </w:rPr>
        <w:t xml:space="preserve">. </w:t>
      </w:r>
      <w:r w:rsidR="00787E46">
        <w:rPr>
          <w:noProof/>
          <w:lang w:val="fr-FR"/>
        </w:rPr>
        <w:t xml:space="preserve">Un grand nombre de ces enfants ont subi </w:t>
      </w:r>
      <w:r w:rsidR="00D5352B">
        <w:rPr>
          <w:noProof/>
          <w:lang w:val="fr-FR"/>
        </w:rPr>
        <w:t>un grave traumatisme</w:t>
      </w:r>
      <w:r w:rsidR="003D0F58" w:rsidRPr="00DD03D6">
        <w:rPr>
          <w:noProof/>
          <w:lang w:val="fr-FR"/>
        </w:rPr>
        <w:t xml:space="preserve">. </w:t>
      </w:r>
      <w:r w:rsidR="00D5352B">
        <w:rPr>
          <w:noProof/>
          <w:lang w:val="fr-FR"/>
        </w:rPr>
        <w:t>Il incombe principalement à la Direction de déterminer si une demande d’asile sert l’intérêt supérieur de l’enfant et, dans l’</w:t>
      </w:r>
      <w:r w:rsidR="009E0D19">
        <w:rPr>
          <w:noProof/>
          <w:lang w:val="fr-FR"/>
        </w:rPr>
        <w:t>affirmative, de fo</w:t>
      </w:r>
      <w:r w:rsidR="00D5352B">
        <w:rPr>
          <w:noProof/>
          <w:lang w:val="fr-FR"/>
        </w:rPr>
        <w:t>u</w:t>
      </w:r>
      <w:r w:rsidR="009E0D19">
        <w:rPr>
          <w:noProof/>
          <w:lang w:val="fr-FR"/>
        </w:rPr>
        <w:t>r</w:t>
      </w:r>
      <w:r w:rsidR="00D5352B">
        <w:rPr>
          <w:noProof/>
          <w:lang w:val="fr-FR"/>
        </w:rPr>
        <w:t xml:space="preserve">nir un appui à cet enfant </w:t>
      </w:r>
      <w:r w:rsidR="009E0D19">
        <w:rPr>
          <w:noProof/>
          <w:lang w:val="fr-FR"/>
        </w:rPr>
        <w:t>aux fins</w:t>
      </w:r>
      <w:r w:rsidR="00D5352B">
        <w:rPr>
          <w:noProof/>
          <w:lang w:val="fr-FR"/>
        </w:rPr>
        <w:t xml:space="preserve"> de la procédure de demande</w:t>
      </w:r>
      <w:r w:rsidR="006771F9">
        <w:rPr>
          <w:noProof/>
          <w:lang w:val="fr-FR"/>
        </w:rPr>
        <w:t xml:space="preserve"> et de pourvoir à ses besoins immédiats et permanents et à son bien-être en lui assurant un placement adéquat et en lui fournissant un accès aux services de santé, psychologiques</w:t>
      </w:r>
      <w:r w:rsidR="003D0F58" w:rsidRPr="00DD03D6">
        <w:rPr>
          <w:noProof/>
          <w:lang w:val="fr-FR"/>
        </w:rPr>
        <w:t>, socia</w:t>
      </w:r>
      <w:r w:rsidR="006771F9">
        <w:rPr>
          <w:noProof/>
          <w:lang w:val="fr-FR"/>
        </w:rPr>
        <w:t>ux et é</w:t>
      </w:r>
      <w:r w:rsidR="003D0F58" w:rsidRPr="00DD03D6">
        <w:rPr>
          <w:noProof/>
          <w:lang w:val="fr-FR"/>
        </w:rPr>
        <w:t>ducati</w:t>
      </w:r>
      <w:r w:rsidR="006771F9">
        <w:rPr>
          <w:noProof/>
          <w:lang w:val="fr-FR"/>
        </w:rPr>
        <w:t>fs</w:t>
      </w:r>
      <w:r w:rsidR="003D0F58" w:rsidRPr="00DD03D6">
        <w:rPr>
          <w:noProof/>
          <w:lang w:val="fr-FR"/>
        </w:rPr>
        <w:t xml:space="preserve">. </w:t>
      </w:r>
      <w:r w:rsidR="009E0D19">
        <w:rPr>
          <w:noProof/>
          <w:lang w:val="fr-FR"/>
        </w:rPr>
        <w:t>La Direction des services de santé a créé dans la Région orientale une équipe d’aide sociale qui s’occupe exclusivement des enfants séparés</w:t>
      </w:r>
      <w:r w:rsidR="003D0F58" w:rsidRPr="00DD03D6">
        <w:rPr>
          <w:noProof/>
          <w:lang w:val="fr-FR"/>
        </w:rPr>
        <w:t>.</w:t>
      </w:r>
    </w:p>
    <w:p w:rsidR="003D0F58" w:rsidRPr="00DD03D6" w:rsidRDefault="009E0D19" w:rsidP="00905D61">
      <w:pPr>
        <w:pStyle w:val="SingleTxtG"/>
        <w:numPr>
          <w:ilvl w:val="0"/>
          <w:numId w:val="3"/>
        </w:numPr>
        <w:ind w:left="1134" w:firstLine="0"/>
        <w:rPr>
          <w:noProof/>
          <w:lang w:val="fr-FR"/>
        </w:rPr>
      </w:pPr>
      <w:r>
        <w:rPr>
          <w:noProof/>
          <w:lang w:val="fr-FR"/>
        </w:rPr>
        <w:t>À ce jour</w:t>
      </w:r>
      <w:r w:rsidR="003D0F58" w:rsidRPr="00DD03D6">
        <w:rPr>
          <w:noProof/>
          <w:lang w:val="fr-FR"/>
        </w:rPr>
        <w:t xml:space="preserve">, </w:t>
      </w:r>
      <w:r w:rsidR="00D077EE">
        <w:rPr>
          <w:noProof/>
          <w:lang w:val="fr-FR"/>
        </w:rPr>
        <w:t xml:space="preserve">l’immense majorité des mineurs non accompagnés </w:t>
      </w:r>
      <w:r w:rsidR="008A7755">
        <w:rPr>
          <w:noProof/>
          <w:lang w:val="fr-FR"/>
        </w:rPr>
        <w:t>ont été</w:t>
      </w:r>
      <w:r w:rsidR="00D077EE">
        <w:rPr>
          <w:noProof/>
          <w:lang w:val="fr-FR"/>
        </w:rPr>
        <w:t xml:space="preserve"> présenté</w:t>
      </w:r>
      <w:r w:rsidR="008A7755">
        <w:rPr>
          <w:noProof/>
          <w:lang w:val="fr-FR"/>
        </w:rPr>
        <w:t>s</w:t>
      </w:r>
      <w:r w:rsidR="00D077EE">
        <w:rPr>
          <w:noProof/>
          <w:lang w:val="fr-FR"/>
        </w:rPr>
        <w:t xml:space="preserve"> ou </w:t>
      </w:r>
      <w:r w:rsidR="008A7755">
        <w:rPr>
          <w:noProof/>
          <w:lang w:val="fr-FR"/>
        </w:rPr>
        <w:t>signalé</w:t>
      </w:r>
      <w:r w:rsidR="00D077EE">
        <w:rPr>
          <w:noProof/>
          <w:lang w:val="fr-FR"/>
        </w:rPr>
        <w:t>s à la Direction des services de santé dans la Région orientale</w:t>
      </w:r>
      <w:r w:rsidR="003D0F58" w:rsidRPr="00DD03D6">
        <w:rPr>
          <w:noProof/>
          <w:lang w:val="fr-FR"/>
        </w:rPr>
        <w:t xml:space="preserve">. </w:t>
      </w:r>
      <w:r w:rsidR="00D077EE">
        <w:rPr>
          <w:noProof/>
          <w:lang w:val="fr-FR"/>
        </w:rPr>
        <w:t xml:space="preserve">Ils sont </w:t>
      </w:r>
      <w:r w:rsidR="008A7755">
        <w:rPr>
          <w:noProof/>
          <w:lang w:val="fr-FR"/>
        </w:rPr>
        <w:t>signal</w:t>
      </w:r>
      <w:r w:rsidR="00D077EE">
        <w:rPr>
          <w:noProof/>
          <w:lang w:val="fr-FR"/>
        </w:rPr>
        <w:t xml:space="preserve">és par les </w:t>
      </w:r>
      <w:r w:rsidR="008A7755">
        <w:rPr>
          <w:noProof/>
          <w:lang w:val="fr-FR"/>
        </w:rPr>
        <w:t xml:space="preserve">services </w:t>
      </w:r>
      <w:r w:rsidR="00D077EE">
        <w:rPr>
          <w:noProof/>
          <w:lang w:val="fr-FR"/>
        </w:rPr>
        <w:t>d’immigration</w:t>
      </w:r>
      <w:r w:rsidR="008A7755">
        <w:rPr>
          <w:noProof/>
          <w:lang w:val="fr-FR"/>
        </w:rPr>
        <w:t xml:space="preserve"> ou </w:t>
      </w:r>
      <w:r w:rsidR="00D077EE">
        <w:rPr>
          <w:noProof/>
          <w:lang w:val="fr-FR"/>
        </w:rPr>
        <w:t xml:space="preserve">par le </w:t>
      </w:r>
      <w:r w:rsidR="00D077EE" w:rsidRPr="00AC0D1B">
        <w:rPr>
          <w:noProof/>
          <w:color w:val="000000"/>
          <w:lang w:val="fr-FR"/>
        </w:rPr>
        <w:t>Bureau du commissaire aux demandes de statut de réfugié</w:t>
      </w:r>
      <w:r w:rsidR="003D0F58" w:rsidRPr="00DD03D6">
        <w:rPr>
          <w:noProof/>
          <w:lang w:val="fr-FR"/>
        </w:rPr>
        <w:t xml:space="preserve">, </w:t>
      </w:r>
      <w:r w:rsidR="00D077EE">
        <w:rPr>
          <w:noProof/>
          <w:lang w:val="fr-FR"/>
        </w:rPr>
        <w:t xml:space="preserve">et les </w:t>
      </w:r>
      <w:r w:rsidR="003D0F58" w:rsidRPr="00DD03D6">
        <w:rPr>
          <w:noProof/>
          <w:lang w:val="fr-FR"/>
        </w:rPr>
        <w:t xml:space="preserve">services </w:t>
      </w:r>
      <w:r w:rsidR="00D077EE">
        <w:rPr>
          <w:noProof/>
          <w:lang w:val="fr-FR"/>
        </w:rPr>
        <w:t xml:space="preserve">sont assurés par l’équipe spécialisée basée à </w:t>
      </w:r>
      <w:r w:rsidR="003D0F58" w:rsidRPr="00DD03D6">
        <w:rPr>
          <w:noProof/>
          <w:lang w:val="fr-FR"/>
        </w:rPr>
        <w:t xml:space="preserve">Dublin. </w:t>
      </w:r>
      <w:r w:rsidR="008A7755" w:rsidRPr="008A7755">
        <w:rPr>
          <w:noProof/>
          <w:lang w:val="fr-FR"/>
        </w:rPr>
        <w:t>Tous les membres de l’équipe de travailleurs sociaux et de travailleurs de projet contribuent à l’assistance aux personnes ayant présenté une demande d’asile ou engagé une procédure d’appel concernant l’asile</w:t>
      </w:r>
      <w:r w:rsidR="003D0F58" w:rsidRPr="00DD03D6">
        <w:rPr>
          <w:noProof/>
          <w:lang w:val="fr-FR"/>
        </w:rPr>
        <w:t xml:space="preserve">. </w:t>
      </w:r>
      <w:r w:rsidR="008A7755">
        <w:rPr>
          <w:noProof/>
          <w:lang w:val="fr-FR"/>
        </w:rPr>
        <w:t xml:space="preserve">La </w:t>
      </w:r>
      <w:r w:rsidR="003D0F58" w:rsidRPr="00DD03D6">
        <w:rPr>
          <w:noProof/>
          <w:lang w:val="fr-FR"/>
        </w:rPr>
        <w:t>majorit</w:t>
      </w:r>
      <w:r w:rsidR="008A7755">
        <w:rPr>
          <w:noProof/>
          <w:lang w:val="fr-FR"/>
        </w:rPr>
        <w:t>é de ces jeunes sont placés sous la protection de la Direction des services de santé en vertu d’un accord volontaire</w:t>
      </w:r>
      <w:r w:rsidR="008C6A89">
        <w:rPr>
          <w:noProof/>
          <w:lang w:val="fr-FR"/>
        </w:rPr>
        <w:t>,</w:t>
      </w:r>
      <w:r w:rsidR="008A7755">
        <w:rPr>
          <w:noProof/>
          <w:lang w:val="fr-FR"/>
        </w:rPr>
        <w:t xml:space="preserve"> conformément à la loi de 1991 sur la protection de l’enfance</w:t>
      </w:r>
      <w:r w:rsidR="003D0F58" w:rsidRPr="00DD03D6">
        <w:rPr>
          <w:noProof/>
          <w:lang w:val="fr-FR"/>
        </w:rPr>
        <w:t xml:space="preserve">. </w:t>
      </w:r>
      <w:r w:rsidR="008A7755">
        <w:rPr>
          <w:noProof/>
          <w:lang w:val="fr-FR"/>
        </w:rPr>
        <w:t>Le service assuré par la Direction en faveur des enfants séparés demandeurs d’asile a sensiblement évolué depuis 2009; on s’accorde aujourd’hui à dire qu’</w:t>
      </w:r>
      <w:r w:rsidR="008C6A89">
        <w:rPr>
          <w:noProof/>
          <w:lang w:val="fr-FR"/>
        </w:rPr>
        <w:t xml:space="preserve">elle assure une </w:t>
      </w:r>
      <w:r w:rsidR="003D0F58" w:rsidRPr="00DD03D6">
        <w:rPr>
          <w:noProof/>
          <w:lang w:val="fr-FR"/>
        </w:rPr>
        <w:t>excellent</w:t>
      </w:r>
      <w:r w:rsidR="008C6A89">
        <w:rPr>
          <w:noProof/>
          <w:lang w:val="fr-FR"/>
        </w:rPr>
        <w:t>e</w:t>
      </w:r>
      <w:r w:rsidR="003D0F58" w:rsidRPr="00DD03D6">
        <w:rPr>
          <w:noProof/>
          <w:lang w:val="fr-FR"/>
        </w:rPr>
        <w:t xml:space="preserve"> </w:t>
      </w:r>
      <w:r w:rsidR="008C6A89">
        <w:rPr>
          <w:noProof/>
          <w:lang w:val="fr-FR"/>
        </w:rPr>
        <w:t>prestation en appliquant</w:t>
      </w:r>
      <w:r w:rsidR="008A7755">
        <w:rPr>
          <w:noProof/>
          <w:lang w:val="fr-FR"/>
        </w:rPr>
        <w:t xml:space="preserve"> des normes strictes en matière de </w:t>
      </w:r>
      <w:r w:rsidR="008C6A89">
        <w:rPr>
          <w:noProof/>
          <w:lang w:val="fr-FR"/>
        </w:rPr>
        <w:t xml:space="preserve">services d’assistance et de </w:t>
      </w:r>
      <w:r w:rsidR="008A7755">
        <w:rPr>
          <w:noProof/>
          <w:lang w:val="fr-FR"/>
        </w:rPr>
        <w:t>protection des</w:t>
      </w:r>
      <w:r w:rsidR="008C6A89">
        <w:rPr>
          <w:noProof/>
          <w:lang w:val="fr-FR"/>
        </w:rPr>
        <w:t>tinés aux</w:t>
      </w:r>
      <w:r w:rsidR="008A7755">
        <w:rPr>
          <w:noProof/>
          <w:lang w:val="fr-FR"/>
        </w:rPr>
        <w:t xml:space="preserve"> enfants</w:t>
      </w:r>
      <w:r w:rsidR="003D0F58" w:rsidRPr="00DD03D6">
        <w:rPr>
          <w:noProof/>
          <w:lang w:val="fr-FR"/>
        </w:rPr>
        <w:t>.</w:t>
      </w:r>
    </w:p>
    <w:p w:rsidR="003D0F58" w:rsidRPr="00DD03D6" w:rsidRDefault="00905D61" w:rsidP="003A2811">
      <w:pPr>
        <w:pStyle w:val="HChG"/>
        <w:rPr>
          <w:noProof/>
          <w:lang w:val="fr-FR"/>
        </w:rPr>
      </w:pPr>
      <w:bookmarkStart w:id="39" w:name="_Toc356430867"/>
      <w:r w:rsidRPr="00DD03D6">
        <w:rPr>
          <w:noProof/>
          <w:lang w:val="fr-FR"/>
        </w:rPr>
        <w:lastRenderedPageBreak/>
        <w:tab/>
      </w:r>
      <w:r w:rsidR="00DA4BD2" w:rsidRPr="00DD03D6">
        <w:rPr>
          <w:noProof/>
          <w:lang w:val="fr-FR"/>
        </w:rPr>
        <w:t>V</w:t>
      </w:r>
      <w:r w:rsidR="003D0F58" w:rsidRPr="00DD03D6">
        <w:rPr>
          <w:noProof/>
          <w:lang w:val="fr-FR"/>
        </w:rPr>
        <w:t>.</w:t>
      </w:r>
      <w:r w:rsidR="003D0F58" w:rsidRPr="00DD03D6">
        <w:rPr>
          <w:noProof/>
          <w:lang w:val="fr-FR"/>
        </w:rPr>
        <w:tab/>
      </w:r>
      <w:r w:rsidR="008C6A89">
        <w:rPr>
          <w:noProof/>
          <w:lang w:val="fr-FR"/>
        </w:rPr>
        <w:t xml:space="preserve">Milieu familial et protection de remplacement </w:t>
      </w:r>
      <w:bookmarkEnd w:id="39"/>
    </w:p>
    <w:p w:rsidR="003D0F58" w:rsidRPr="00DD03D6" w:rsidRDefault="00905D61" w:rsidP="00905D61">
      <w:pPr>
        <w:pStyle w:val="H1G"/>
        <w:rPr>
          <w:noProof/>
          <w:lang w:val="fr-FR"/>
        </w:rPr>
      </w:pPr>
      <w:bookmarkStart w:id="40" w:name="_Toc356430868"/>
      <w:r w:rsidRPr="00DD03D6">
        <w:rPr>
          <w:noProof/>
          <w:lang w:val="fr-FR"/>
        </w:rPr>
        <w:tab/>
      </w:r>
      <w:r w:rsidR="003D0F58" w:rsidRPr="00DD03D6">
        <w:rPr>
          <w:noProof/>
          <w:lang w:val="fr-FR"/>
        </w:rPr>
        <w:t>A.</w:t>
      </w:r>
      <w:r w:rsidR="003D0F58" w:rsidRPr="00DD03D6">
        <w:rPr>
          <w:noProof/>
          <w:lang w:val="fr-FR"/>
        </w:rPr>
        <w:tab/>
      </w:r>
      <w:r w:rsidR="008C6A89">
        <w:rPr>
          <w:noProof/>
          <w:lang w:val="fr-FR"/>
        </w:rPr>
        <w:t xml:space="preserve">Milieu familial et orientation </w:t>
      </w:r>
      <w:r w:rsidR="004D61D1">
        <w:rPr>
          <w:noProof/>
          <w:lang w:val="fr-FR"/>
        </w:rPr>
        <w:t xml:space="preserve">à </w:t>
      </w:r>
      <w:r w:rsidR="008C6A89">
        <w:rPr>
          <w:noProof/>
          <w:lang w:val="fr-FR"/>
        </w:rPr>
        <w:t>donn</w:t>
      </w:r>
      <w:r w:rsidR="004D61D1">
        <w:rPr>
          <w:noProof/>
          <w:lang w:val="fr-FR"/>
        </w:rPr>
        <w:t>er</w:t>
      </w:r>
      <w:r w:rsidR="008C6A89">
        <w:rPr>
          <w:noProof/>
          <w:lang w:val="fr-FR"/>
        </w:rPr>
        <w:t xml:space="preserve"> par les </w:t>
      </w:r>
      <w:r w:rsidR="008C6A89" w:rsidRPr="00DD03D6">
        <w:rPr>
          <w:noProof/>
          <w:lang w:val="fr-FR"/>
        </w:rPr>
        <w:t>parent</w:t>
      </w:r>
      <w:r w:rsidR="008C6A89">
        <w:rPr>
          <w:noProof/>
          <w:lang w:val="fr-FR"/>
        </w:rPr>
        <w:t xml:space="preserve">s d’une manière qui corresponde au développement des </w:t>
      </w:r>
      <w:r w:rsidR="008C6A89" w:rsidRPr="00DD03D6">
        <w:rPr>
          <w:noProof/>
          <w:lang w:val="fr-FR"/>
        </w:rPr>
        <w:t>capacit</w:t>
      </w:r>
      <w:r w:rsidR="008C6A89">
        <w:rPr>
          <w:noProof/>
          <w:lang w:val="fr-FR"/>
        </w:rPr>
        <w:t>és de l’enfant</w:t>
      </w:r>
      <w:r w:rsidR="008C6A89" w:rsidRPr="00DD03D6">
        <w:rPr>
          <w:noProof/>
          <w:lang w:val="fr-FR"/>
        </w:rPr>
        <w:t xml:space="preserve"> </w:t>
      </w:r>
      <w:bookmarkEnd w:id="40"/>
    </w:p>
    <w:p w:rsidR="003D0F58" w:rsidRDefault="008C6A89" w:rsidP="00E77652">
      <w:pPr>
        <w:pStyle w:val="SingleTxtG"/>
        <w:numPr>
          <w:ilvl w:val="0"/>
          <w:numId w:val="3"/>
        </w:numPr>
        <w:ind w:left="1134" w:firstLine="0"/>
        <w:rPr>
          <w:noProof/>
          <w:lang w:val="fr-FR"/>
        </w:rPr>
      </w:pPr>
      <w:r>
        <w:rPr>
          <w:noProof/>
          <w:lang w:val="fr-FR"/>
        </w:rPr>
        <w:t xml:space="preserve">Les dispositions constitutionnelles et </w:t>
      </w:r>
      <w:r w:rsidR="003D0F58" w:rsidRPr="00DD03D6">
        <w:rPr>
          <w:noProof/>
          <w:lang w:val="fr-FR"/>
        </w:rPr>
        <w:t>l</w:t>
      </w:r>
      <w:r>
        <w:rPr>
          <w:noProof/>
          <w:lang w:val="fr-FR"/>
        </w:rPr>
        <w:t>é</w:t>
      </w:r>
      <w:r w:rsidR="003D0F58" w:rsidRPr="00DD03D6">
        <w:rPr>
          <w:noProof/>
          <w:lang w:val="fr-FR"/>
        </w:rPr>
        <w:t>gislative</w:t>
      </w:r>
      <w:r>
        <w:rPr>
          <w:noProof/>
          <w:lang w:val="fr-FR"/>
        </w:rPr>
        <w:t>s</w:t>
      </w:r>
      <w:r w:rsidR="003D0F58" w:rsidRPr="00DD03D6">
        <w:rPr>
          <w:noProof/>
          <w:lang w:val="fr-FR"/>
        </w:rPr>
        <w:t xml:space="preserve"> </w:t>
      </w:r>
      <w:r>
        <w:rPr>
          <w:noProof/>
          <w:lang w:val="fr-FR"/>
        </w:rPr>
        <w:t xml:space="preserve">relatives aux droits et responsabilités des </w:t>
      </w:r>
      <w:r w:rsidR="003D0F58" w:rsidRPr="00DD03D6">
        <w:rPr>
          <w:noProof/>
          <w:lang w:val="fr-FR"/>
        </w:rPr>
        <w:t>parent</w:t>
      </w:r>
      <w:r>
        <w:rPr>
          <w:noProof/>
          <w:lang w:val="fr-FR"/>
        </w:rPr>
        <w:t>s sont exposées dans le deuxième rapport périodique de l’Irlande</w:t>
      </w:r>
      <w:r w:rsidR="003D0F58" w:rsidRPr="00DD03D6">
        <w:rPr>
          <w:rStyle w:val="Appelnotedebasdep"/>
          <w:noProof/>
          <w:lang w:val="fr-FR"/>
        </w:rPr>
        <w:footnoteReference w:id="23"/>
      </w:r>
      <w:r>
        <w:rPr>
          <w:noProof/>
          <w:lang w:val="fr-FR"/>
        </w:rPr>
        <w:t xml:space="preserve">, qui décrit également les aides à la disposition des </w:t>
      </w:r>
      <w:r w:rsidR="003D0F58" w:rsidRPr="00DD03D6">
        <w:rPr>
          <w:noProof/>
          <w:lang w:val="fr-FR"/>
        </w:rPr>
        <w:t xml:space="preserve">parents </w:t>
      </w:r>
      <w:r>
        <w:rPr>
          <w:noProof/>
          <w:lang w:val="fr-FR"/>
        </w:rPr>
        <w:t>et des tuteurs dans l’exercice de leurs responsabilités parentales</w:t>
      </w:r>
      <w:r w:rsidR="003D0F58" w:rsidRPr="00DD03D6">
        <w:rPr>
          <w:rStyle w:val="Appelnotedebasdep"/>
          <w:noProof/>
          <w:lang w:val="fr-FR"/>
        </w:rPr>
        <w:footnoteReference w:id="24"/>
      </w:r>
      <w:r>
        <w:rPr>
          <w:noProof/>
          <w:lang w:val="fr-FR"/>
        </w:rPr>
        <w:t>.</w:t>
      </w:r>
      <w:r w:rsidR="003D0F58" w:rsidRPr="00DD03D6">
        <w:rPr>
          <w:noProof/>
          <w:lang w:val="fr-FR"/>
        </w:rPr>
        <w:t xml:space="preserve"> </w:t>
      </w:r>
      <w:r>
        <w:rPr>
          <w:noProof/>
          <w:lang w:val="fr-FR"/>
        </w:rPr>
        <w:t xml:space="preserve">Comme en </w:t>
      </w:r>
      <w:r w:rsidR="003D0F58" w:rsidRPr="00DD03D6">
        <w:rPr>
          <w:noProof/>
          <w:lang w:val="fr-FR"/>
        </w:rPr>
        <w:t xml:space="preserve">2005, </w:t>
      </w:r>
      <w:r>
        <w:rPr>
          <w:noProof/>
          <w:lang w:val="fr-FR"/>
        </w:rPr>
        <w:t>la politique publique d’aide aux familles repose sur la conviction que, dans l’immense majorité des cas, c’est la famille qui peut assurer de la façon la plus appropriée la protection des enfants</w:t>
      </w:r>
      <w:r w:rsidR="003D0F58" w:rsidRPr="00DD03D6">
        <w:rPr>
          <w:noProof/>
          <w:lang w:val="fr-FR"/>
        </w:rPr>
        <w:t xml:space="preserve">. </w:t>
      </w:r>
      <w:r w:rsidR="00492EC4">
        <w:rPr>
          <w:noProof/>
          <w:lang w:val="fr-FR"/>
        </w:rPr>
        <w:t xml:space="preserve">Il s’ensuit que l’État n’intervient que pour aider les </w:t>
      </w:r>
      <w:r w:rsidR="003D0F58" w:rsidRPr="00DD03D6">
        <w:rPr>
          <w:noProof/>
          <w:lang w:val="fr-FR"/>
        </w:rPr>
        <w:t xml:space="preserve">parents </w:t>
      </w:r>
      <w:r w:rsidR="00492EC4">
        <w:rPr>
          <w:noProof/>
          <w:lang w:val="fr-FR"/>
        </w:rPr>
        <w:t>ou lorsque ces derniers ont manqué aux obligations découlant de la législation applicable</w:t>
      </w:r>
      <w:r w:rsidR="003D0F58" w:rsidRPr="00DD03D6">
        <w:rPr>
          <w:noProof/>
          <w:lang w:val="fr-FR"/>
        </w:rPr>
        <w:t xml:space="preserve">. </w:t>
      </w:r>
      <w:r w:rsidR="00492EC4">
        <w:rPr>
          <w:noProof/>
          <w:lang w:val="fr-FR"/>
        </w:rPr>
        <w:t xml:space="preserve">Le Gouvernement met depuis quelques années l’accent sur la </w:t>
      </w:r>
      <w:r w:rsidR="003D0F58" w:rsidRPr="00DD03D6">
        <w:rPr>
          <w:noProof/>
          <w:lang w:val="fr-FR"/>
        </w:rPr>
        <w:t>pr</w:t>
      </w:r>
      <w:r w:rsidR="00492EC4">
        <w:rPr>
          <w:noProof/>
          <w:lang w:val="fr-FR"/>
        </w:rPr>
        <w:t>é</w:t>
      </w:r>
      <w:r w:rsidR="003D0F58" w:rsidRPr="00DD03D6">
        <w:rPr>
          <w:noProof/>
          <w:lang w:val="fr-FR"/>
        </w:rPr>
        <w:t xml:space="preserve">vention </w:t>
      </w:r>
      <w:r w:rsidR="00492EC4">
        <w:rPr>
          <w:noProof/>
          <w:lang w:val="fr-FR"/>
        </w:rPr>
        <w:t>et l’</w:t>
      </w:r>
      <w:r w:rsidR="003D0F58" w:rsidRPr="00DD03D6">
        <w:rPr>
          <w:noProof/>
          <w:lang w:val="fr-FR"/>
        </w:rPr>
        <w:t xml:space="preserve">intervention </w:t>
      </w:r>
      <w:r w:rsidR="00492EC4">
        <w:rPr>
          <w:noProof/>
          <w:lang w:val="fr-FR"/>
        </w:rPr>
        <w:t>précoce auprès des familles qui connaissent des difficultés</w:t>
      </w:r>
      <w:r w:rsidR="003D0F58" w:rsidRPr="00DD03D6">
        <w:rPr>
          <w:noProof/>
          <w:lang w:val="fr-FR"/>
        </w:rPr>
        <w:t xml:space="preserve">, </w:t>
      </w:r>
      <w:r w:rsidR="00492EC4">
        <w:rPr>
          <w:noProof/>
          <w:lang w:val="fr-FR"/>
        </w:rPr>
        <w:t xml:space="preserve">dans le but d’aider les </w:t>
      </w:r>
      <w:r w:rsidR="003D0F58" w:rsidRPr="00DD03D6">
        <w:rPr>
          <w:noProof/>
          <w:lang w:val="fr-FR"/>
        </w:rPr>
        <w:t xml:space="preserve">parents </w:t>
      </w:r>
      <w:r w:rsidR="00492EC4">
        <w:rPr>
          <w:noProof/>
          <w:lang w:val="fr-FR"/>
        </w:rPr>
        <w:t xml:space="preserve">à s’acquitter de leurs </w:t>
      </w:r>
      <w:r w:rsidR="003D0F58" w:rsidRPr="00DD03D6">
        <w:rPr>
          <w:noProof/>
          <w:lang w:val="fr-FR"/>
        </w:rPr>
        <w:t>respons</w:t>
      </w:r>
      <w:r w:rsidR="00492EC4">
        <w:rPr>
          <w:noProof/>
          <w:lang w:val="fr-FR"/>
        </w:rPr>
        <w:t>a</w:t>
      </w:r>
      <w:r w:rsidR="003D0F58" w:rsidRPr="00DD03D6">
        <w:rPr>
          <w:noProof/>
          <w:lang w:val="fr-FR"/>
        </w:rPr>
        <w:t>bilit</w:t>
      </w:r>
      <w:r w:rsidR="00492EC4">
        <w:rPr>
          <w:noProof/>
          <w:lang w:val="fr-FR"/>
        </w:rPr>
        <w:t>é</w:t>
      </w:r>
      <w:r w:rsidR="003D0F58" w:rsidRPr="00DD03D6">
        <w:rPr>
          <w:noProof/>
          <w:lang w:val="fr-FR"/>
        </w:rPr>
        <w:t xml:space="preserve">s </w:t>
      </w:r>
      <w:r w:rsidR="00492EC4">
        <w:rPr>
          <w:noProof/>
          <w:lang w:val="fr-FR"/>
        </w:rPr>
        <w:t>et de garder les familles unies</w:t>
      </w:r>
      <w:r w:rsidR="003D0F58" w:rsidRPr="00DD03D6">
        <w:rPr>
          <w:noProof/>
          <w:lang w:val="fr-FR"/>
        </w:rPr>
        <w:t>.</w:t>
      </w:r>
    </w:p>
    <w:p w:rsidR="003D0F58" w:rsidRPr="00DD03D6" w:rsidRDefault="00492EC4" w:rsidP="00905D61">
      <w:pPr>
        <w:pStyle w:val="SingleTxtG"/>
        <w:numPr>
          <w:ilvl w:val="0"/>
          <w:numId w:val="3"/>
        </w:numPr>
        <w:ind w:left="1134" w:firstLine="0"/>
        <w:rPr>
          <w:noProof/>
          <w:lang w:val="fr-FR"/>
        </w:rPr>
      </w:pPr>
      <w:r>
        <w:rPr>
          <w:noProof/>
          <w:lang w:val="fr-FR"/>
        </w:rPr>
        <w:t>L’Agence d’aide aux famil</w:t>
      </w:r>
      <w:r w:rsidR="002B2562">
        <w:rPr>
          <w:noProof/>
          <w:lang w:val="fr-FR"/>
        </w:rPr>
        <w:t>les fera partie intégrante de la</w:t>
      </w:r>
      <w:r>
        <w:rPr>
          <w:noProof/>
          <w:lang w:val="fr-FR"/>
        </w:rPr>
        <w:t xml:space="preserve"> nouvelle </w:t>
      </w:r>
      <w:r w:rsidR="00683028">
        <w:rPr>
          <w:noProof/>
          <w:lang w:val="fr-FR"/>
        </w:rPr>
        <w:t xml:space="preserve">Agence pour l’enfant et la famille en </w:t>
      </w:r>
      <w:r w:rsidR="003D0F58" w:rsidRPr="00DD03D6">
        <w:rPr>
          <w:noProof/>
          <w:lang w:val="fr-FR"/>
        </w:rPr>
        <w:t xml:space="preserve">2013. </w:t>
      </w:r>
      <w:r w:rsidR="00683028">
        <w:rPr>
          <w:noProof/>
          <w:lang w:val="fr-FR"/>
        </w:rPr>
        <w:t xml:space="preserve">L’Agence d’aide aux familles a fourni divers services d’aide aux famille, de </w:t>
      </w:r>
      <w:r w:rsidR="003D0F58" w:rsidRPr="00DD03D6">
        <w:rPr>
          <w:noProof/>
          <w:lang w:val="fr-FR"/>
        </w:rPr>
        <w:t>m</w:t>
      </w:r>
      <w:r w:rsidR="00683028">
        <w:rPr>
          <w:noProof/>
          <w:lang w:val="fr-FR"/>
        </w:rPr>
        <w:t>é</w:t>
      </w:r>
      <w:r w:rsidR="003D0F58" w:rsidRPr="00DD03D6">
        <w:rPr>
          <w:noProof/>
          <w:lang w:val="fr-FR"/>
        </w:rPr>
        <w:t xml:space="preserve">diation </w:t>
      </w:r>
      <w:r w:rsidR="00683028">
        <w:rPr>
          <w:noProof/>
          <w:lang w:val="fr-FR"/>
        </w:rPr>
        <w:t>et d’aide psychologique</w:t>
      </w:r>
      <w:r w:rsidR="003D0F58" w:rsidRPr="00DD03D6">
        <w:rPr>
          <w:noProof/>
          <w:lang w:val="fr-FR"/>
        </w:rPr>
        <w:t xml:space="preserve">. </w:t>
      </w:r>
      <w:r w:rsidR="00683028">
        <w:rPr>
          <w:noProof/>
          <w:lang w:val="fr-FR"/>
        </w:rPr>
        <w:t>Le Service de médiation familiale a été transféré de l’Agence d’aide aux familles au Ministère de la justice et de l’égalité en n</w:t>
      </w:r>
      <w:r w:rsidR="003D0F58" w:rsidRPr="00DD03D6">
        <w:rPr>
          <w:noProof/>
          <w:lang w:val="fr-FR"/>
        </w:rPr>
        <w:t>ovemb</w:t>
      </w:r>
      <w:r w:rsidR="00683028">
        <w:rPr>
          <w:noProof/>
          <w:lang w:val="fr-FR"/>
        </w:rPr>
        <w:t>re</w:t>
      </w:r>
      <w:r w:rsidR="003D0F58" w:rsidRPr="00DD03D6">
        <w:rPr>
          <w:noProof/>
          <w:lang w:val="fr-FR"/>
        </w:rPr>
        <w:t xml:space="preserve"> 2011. </w:t>
      </w:r>
      <w:r w:rsidR="00683028">
        <w:rPr>
          <w:noProof/>
          <w:lang w:val="fr-FR"/>
        </w:rPr>
        <w:t xml:space="preserve">Entre </w:t>
      </w:r>
      <w:r w:rsidR="003D0F58" w:rsidRPr="00DD03D6">
        <w:rPr>
          <w:noProof/>
          <w:lang w:val="fr-FR"/>
        </w:rPr>
        <w:t xml:space="preserve">2007 </w:t>
      </w:r>
      <w:r w:rsidR="00683028">
        <w:rPr>
          <w:noProof/>
          <w:lang w:val="fr-FR"/>
        </w:rPr>
        <w:t>et</w:t>
      </w:r>
      <w:r w:rsidR="003D0F58" w:rsidRPr="00DD03D6">
        <w:rPr>
          <w:noProof/>
          <w:lang w:val="fr-FR"/>
        </w:rPr>
        <w:t xml:space="preserve"> 2010, </w:t>
      </w:r>
      <w:r w:rsidR="00683028">
        <w:rPr>
          <w:noProof/>
          <w:lang w:val="fr-FR"/>
        </w:rPr>
        <w:t xml:space="preserve">ce Service a fait fonctionner quatre centres à plein temps et </w:t>
      </w:r>
      <w:r w:rsidR="003D0F58" w:rsidRPr="00DD03D6">
        <w:rPr>
          <w:noProof/>
          <w:lang w:val="fr-FR"/>
        </w:rPr>
        <w:t xml:space="preserve">12 </w:t>
      </w:r>
      <w:r w:rsidR="00305D52">
        <w:rPr>
          <w:noProof/>
          <w:lang w:val="fr-FR"/>
        </w:rPr>
        <w:t xml:space="preserve">à temps </w:t>
      </w:r>
      <w:r w:rsidR="003D0F58" w:rsidRPr="00DD03D6">
        <w:rPr>
          <w:noProof/>
          <w:lang w:val="fr-FR"/>
        </w:rPr>
        <w:t>part</w:t>
      </w:r>
      <w:r w:rsidR="00305D52">
        <w:rPr>
          <w:noProof/>
          <w:lang w:val="fr-FR"/>
        </w:rPr>
        <w:t>iel à travers le pays</w:t>
      </w:r>
      <w:r w:rsidR="003D0F58" w:rsidRPr="00DD03D6">
        <w:rPr>
          <w:noProof/>
          <w:lang w:val="fr-FR"/>
        </w:rPr>
        <w:t xml:space="preserve">, </w:t>
      </w:r>
      <w:r w:rsidR="00305D52">
        <w:rPr>
          <w:noProof/>
          <w:lang w:val="fr-FR"/>
        </w:rPr>
        <w:t xml:space="preserve">et </w:t>
      </w:r>
      <w:r w:rsidR="003D0F58" w:rsidRPr="00DD03D6">
        <w:rPr>
          <w:noProof/>
          <w:lang w:val="fr-FR"/>
        </w:rPr>
        <w:t>1</w:t>
      </w:r>
      <w:r w:rsidR="001527AA">
        <w:rPr>
          <w:noProof/>
          <w:lang w:val="fr-FR"/>
        </w:rPr>
        <w:t> </w:t>
      </w:r>
      <w:r w:rsidR="003D0F58" w:rsidRPr="00DD03D6">
        <w:rPr>
          <w:noProof/>
          <w:lang w:val="fr-FR"/>
        </w:rPr>
        <w:t xml:space="preserve">500 couples </w:t>
      </w:r>
      <w:r w:rsidR="00305D52">
        <w:rPr>
          <w:noProof/>
          <w:lang w:val="fr-FR"/>
        </w:rPr>
        <w:t>se sont adressés à lui</w:t>
      </w:r>
      <w:r w:rsidR="003D0F58" w:rsidRPr="00DD03D6">
        <w:rPr>
          <w:noProof/>
          <w:lang w:val="fr-FR"/>
        </w:rPr>
        <w:t xml:space="preserve">. </w:t>
      </w:r>
      <w:r w:rsidR="00305D52">
        <w:rPr>
          <w:noProof/>
          <w:lang w:val="fr-FR"/>
        </w:rPr>
        <w:t xml:space="preserve">L’Agence a sensiblement étoffé le soutien, la </w:t>
      </w:r>
      <w:r w:rsidR="003D0F58" w:rsidRPr="00DD03D6">
        <w:rPr>
          <w:noProof/>
          <w:lang w:val="fr-FR"/>
        </w:rPr>
        <w:t xml:space="preserve">promotion </w:t>
      </w:r>
      <w:r w:rsidR="00305D52">
        <w:rPr>
          <w:noProof/>
          <w:lang w:val="fr-FR"/>
        </w:rPr>
        <w:t>et le développement qu’elle apporte au Programme de c</w:t>
      </w:r>
      <w:r w:rsidR="00305D52" w:rsidRPr="00305D52">
        <w:rPr>
          <w:noProof/>
          <w:lang w:val="fr-FR"/>
        </w:rPr>
        <w:t>entre</w:t>
      </w:r>
      <w:r w:rsidR="00305D52">
        <w:rPr>
          <w:noProof/>
          <w:lang w:val="fr-FR"/>
        </w:rPr>
        <w:t>s</w:t>
      </w:r>
      <w:r w:rsidR="00305D52" w:rsidRPr="00305D52">
        <w:rPr>
          <w:noProof/>
          <w:lang w:val="fr-FR"/>
        </w:rPr>
        <w:t xml:space="preserve"> de ressources des services aux familles et aux collectivités</w:t>
      </w:r>
      <w:r w:rsidR="003D0F58" w:rsidRPr="00DD03D6">
        <w:rPr>
          <w:noProof/>
          <w:lang w:val="fr-FR"/>
        </w:rPr>
        <w:t xml:space="preserve">, </w:t>
      </w:r>
      <w:r w:rsidR="00305D52">
        <w:rPr>
          <w:noProof/>
          <w:lang w:val="fr-FR"/>
        </w:rPr>
        <w:t>le nombre de centre</w:t>
      </w:r>
      <w:r w:rsidR="00762AAD">
        <w:rPr>
          <w:noProof/>
          <w:lang w:val="fr-FR"/>
        </w:rPr>
        <w:t xml:space="preserve">s </w:t>
      </w:r>
      <w:r w:rsidR="00762AAD" w:rsidRPr="00762AAD">
        <w:rPr>
          <w:noProof/>
          <w:color w:val="000000"/>
          <w:lang w:val="fr-FR"/>
        </w:rPr>
        <w:t>financés à l’aide des ressources de base</w:t>
      </w:r>
      <w:r w:rsidR="00305D52">
        <w:rPr>
          <w:noProof/>
          <w:lang w:val="fr-FR"/>
        </w:rPr>
        <w:t xml:space="preserve"> </w:t>
      </w:r>
      <w:r w:rsidR="00762AAD">
        <w:rPr>
          <w:noProof/>
          <w:lang w:val="fr-FR"/>
        </w:rPr>
        <w:t xml:space="preserve">étant passé de </w:t>
      </w:r>
      <w:r w:rsidR="003D0F58" w:rsidRPr="00DD03D6">
        <w:rPr>
          <w:noProof/>
          <w:lang w:val="fr-FR"/>
        </w:rPr>
        <w:t xml:space="preserve">59 </w:t>
      </w:r>
      <w:r w:rsidR="00762AAD">
        <w:rPr>
          <w:noProof/>
          <w:lang w:val="fr-FR"/>
        </w:rPr>
        <w:t>e</w:t>
      </w:r>
      <w:r w:rsidR="003D0F58" w:rsidRPr="00DD03D6">
        <w:rPr>
          <w:noProof/>
          <w:lang w:val="fr-FR"/>
        </w:rPr>
        <w:t xml:space="preserve">n 2003 </w:t>
      </w:r>
      <w:r w:rsidR="00762AAD">
        <w:rPr>
          <w:noProof/>
          <w:lang w:val="fr-FR"/>
        </w:rPr>
        <w:t>à</w:t>
      </w:r>
      <w:r w:rsidR="003D0F58" w:rsidRPr="00DD03D6">
        <w:rPr>
          <w:noProof/>
          <w:lang w:val="fr-FR"/>
        </w:rPr>
        <w:t xml:space="preserve"> 107 </w:t>
      </w:r>
      <w:r w:rsidR="00762AAD">
        <w:rPr>
          <w:noProof/>
          <w:lang w:val="fr-FR"/>
        </w:rPr>
        <w:t>e</w:t>
      </w:r>
      <w:r w:rsidR="003D0F58" w:rsidRPr="00DD03D6">
        <w:rPr>
          <w:noProof/>
          <w:lang w:val="fr-FR"/>
        </w:rPr>
        <w:t>n 2010</w:t>
      </w:r>
      <w:r w:rsidR="00762AAD">
        <w:rPr>
          <w:noProof/>
          <w:lang w:val="fr-FR"/>
        </w:rPr>
        <w:t xml:space="preserve">, le financement </w:t>
      </w:r>
      <w:r w:rsidR="002B2562">
        <w:rPr>
          <w:noProof/>
          <w:lang w:val="fr-FR"/>
        </w:rPr>
        <w:t xml:space="preserve">de ce programme </w:t>
      </w:r>
      <w:r w:rsidR="00762AAD">
        <w:rPr>
          <w:noProof/>
          <w:lang w:val="fr-FR"/>
        </w:rPr>
        <w:t>passant dans le même temps de sept millions d’euros à 16 millions</w:t>
      </w:r>
      <w:r w:rsidR="003D0F58" w:rsidRPr="00DD03D6">
        <w:rPr>
          <w:noProof/>
          <w:lang w:val="fr-FR"/>
        </w:rPr>
        <w:t xml:space="preserve">. </w:t>
      </w:r>
      <w:r w:rsidR="00762AAD">
        <w:rPr>
          <w:noProof/>
          <w:lang w:val="fr-FR"/>
        </w:rPr>
        <w:t>Par ailleurs, l’Agence administre le programme de subventions</w:t>
      </w:r>
      <w:r w:rsidR="003D0F58" w:rsidRPr="00DD03D6">
        <w:rPr>
          <w:noProof/>
          <w:lang w:val="fr-FR"/>
        </w:rPr>
        <w:t xml:space="preserve"> </w:t>
      </w:r>
      <w:r w:rsidR="00762AAD">
        <w:rPr>
          <w:noProof/>
          <w:lang w:val="fr-FR"/>
        </w:rPr>
        <w:t>aux organisations bénévoles qui fournissent des services de consultations matrimoniales, de consultation pour enfants et de soutien en cas de deuil</w:t>
      </w:r>
      <w:r w:rsidR="003D0F58" w:rsidRPr="00DD03D6">
        <w:rPr>
          <w:noProof/>
          <w:lang w:val="fr-FR"/>
        </w:rPr>
        <w:t xml:space="preserve">. </w:t>
      </w:r>
      <w:r w:rsidR="00762AAD">
        <w:rPr>
          <w:noProof/>
          <w:lang w:val="fr-FR"/>
        </w:rPr>
        <w:t xml:space="preserve">Ce programme a été financé à hauteur de 9,4 millions d’euros en 2012, contre sept millions en 2003. </w:t>
      </w:r>
    </w:p>
    <w:p w:rsidR="003D0F58" w:rsidRPr="00DD03D6" w:rsidRDefault="002B2562" w:rsidP="00905D61">
      <w:pPr>
        <w:pStyle w:val="SingleTxtG"/>
        <w:numPr>
          <w:ilvl w:val="0"/>
          <w:numId w:val="3"/>
        </w:numPr>
        <w:ind w:left="1134" w:firstLine="0"/>
        <w:rPr>
          <w:noProof/>
          <w:lang w:val="fr-FR"/>
        </w:rPr>
      </w:pPr>
      <w:r>
        <w:rPr>
          <w:noProof/>
          <w:lang w:val="fr-FR"/>
        </w:rPr>
        <w:t>Le Programme de pré</w:t>
      </w:r>
      <w:r w:rsidR="003D0F58" w:rsidRPr="00DD03D6">
        <w:rPr>
          <w:noProof/>
          <w:lang w:val="fr-FR"/>
        </w:rPr>
        <w:t xml:space="preserve">vention </w:t>
      </w:r>
      <w:r>
        <w:rPr>
          <w:noProof/>
          <w:lang w:val="fr-FR"/>
        </w:rPr>
        <w:t>et d’i</w:t>
      </w:r>
      <w:r w:rsidR="003D0F58" w:rsidRPr="00DD03D6">
        <w:rPr>
          <w:noProof/>
          <w:lang w:val="fr-FR"/>
        </w:rPr>
        <w:t xml:space="preserve">ntervention </w:t>
      </w:r>
      <w:r>
        <w:rPr>
          <w:noProof/>
          <w:lang w:val="fr-FR"/>
        </w:rPr>
        <w:t xml:space="preserve">précoce en faveur des enfants </w:t>
      </w:r>
      <w:r w:rsidR="00494F52">
        <w:rPr>
          <w:noProof/>
          <w:lang w:val="fr-FR"/>
        </w:rPr>
        <w:t>est exécuté depuis 2008 par le Ministère de l’enfance et de la jeunesse pour mettre à l’essai des méthodes innovantes d’amélioration de la situation des enfants et des familles</w:t>
      </w:r>
      <w:r w:rsidR="003D0F58" w:rsidRPr="00DD03D6">
        <w:rPr>
          <w:noProof/>
          <w:lang w:val="fr-FR"/>
        </w:rPr>
        <w:t xml:space="preserve">. </w:t>
      </w:r>
      <w:r w:rsidR="00494F52">
        <w:rPr>
          <w:noProof/>
          <w:lang w:val="fr-FR"/>
        </w:rPr>
        <w:t xml:space="preserve">Un financement de </w:t>
      </w:r>
      <w:r w:rsidR="003D0F58" w:rsidRPr="00DD03D6">
        <w:rPr>
          <w:noProof/>
          <w:lang w:val="fr-FR"/>
        </w:rPr>
        <w:t>36 million</w:t>
      </w:r>
      <w:r w:rsidR="00494F52">
        <w:rPr>
          <w:noProof/>
          <w:lang w:val="fr-FR"/>
        </w:rPr>
        <w:t xml:space="preserve">s d’euros a été fourni par le Gouvernement et des partenaires </w:t>
      </w:r>
      <w:r w:rsidR="003D0F58" w:rsidRPr="00DD03D6">
        <w:rPr>
          <w:noProof/>
          <w:lang w:val="fr-FR"/>
        </w:rPr>
        <w:t>philanthrop</w:t>
      </w:r>
      <w:r w:rsidR="00494F52">
        <w:rPr>
          <w:noProof/>
          <w:lang w:val="fr-FR"/>
        </w:rPr>
        <w:t>es</w:t>
      </w:r>
      <w:r w:rsidR="003D0F58" w:rsidRPr="00DD03D6">
        <w:rPr>
          <w:noProof/>
          <w:lang w:val="fr-FR"/>
        </w:rPr>
        <w:t xml:space="preserve">, </w:t>
      </w:r>
      <w:r w:rsidR="00494F52">
        <w:rPr>
          <w:noProof/>
          <w:lang w:val="fr-FR"/>
        </w:rPr>
        <w:t xml:space="preserve">comme les </w:t>
      </w:r>
      <w:r w:rsidR="003D0F58" w:rsidRPr="00DD03D6">
        <w:rPr>
          <w:noProof/>
          <w:lang w:val="fr-FR"/>
        </w:rPr>
        <w:t xml:space="preserve">Atlantic Philanthropies. </w:t>
      </w:r>
      <w:r w:rsidR="00494F52">
        <w:rPr>
          <w:noProof/>
          <w:lang w:val="fr-FR"/>
        </w:rPr>
        <w:t xml:space="preserve">Un volet essentiel du Programme a consisté à suivre et évaluer de façon rigoureuse et en continu les résultats des activités entreprises et à évaluer les différents sites pour déterminer les </w:t>
      </w:r>
      <w:r w:rsidR="003D0F58" w:rsidRPr="00DD03D6">
        <w:rPr>
          <w:noProof/>
          <w:lang w:val="fr-FR"/>
        </w:rPr>
        <w:t xml:space="preserve">interventions </w:t>
      </w:r>
      <w:r w:rsidR="00494F52">
        <w:rPr>
          <w:noProof/>
          <w:lang w:val="fr-FR"/>
        </w:rPr>
        <w:t>qui donnent de bons résultats, la meilleure façon de les mettre en œuvre pour améliorer la prestation des services et la formulation des nouvelles politiques, et où mettre en œuvre ce type d’</w:t>
      </w:r>
      <w:r w:rsidR="00A728F3">
        <w:rPr>
          <w:noProof/>
          <w:lang w:val="fr-FR"/>
        </w:rPr>
        <w:t>interventions avec le plus de chances de succès. Il est prévu d’adopter en 2013 u</w:t>
      </w:r>
      <w:r w:rsidR="00875163">
        <w:rPr>
          <w:noProof/>
          <w:lang w:val="fr-FR"/>
        </w:rPr>
        <w:t xml:space="preserve">ne nouvelle </w:t>
      </w:r>
      <w:r w:rsidR="00A728F3">
        <w:rPr>
          <w:noProof/>
          <w:lang w:val="fr-FR"/>
        </w:rPr>
        <w:t>démarche de proximité en matière de lutte contre la pauvreté des enfants</w:t>
      </w:r>
      <w:r w:rsidR="003D0F58" w:rsidRPr="00DD03D6">
        <w:rPr>
          <w:noProof/>
          <w:lang w:val="fr-FR"/>
        </w:rPr>
        <w:t xml:space="preserve">, </w:t>
      </w:r>
      <w:r w:rsidR="00A728F3">
        <w:rPr>
          <w:noProof/>
          <w:lang w:val="fr-FR"/>
        </w:rPr>
        <w:t>qui poursuivra sur la lancée du Programme susvisé</w:t>
      </w:r>
      <w:r w:rsidR="003D0F58" w:rsidRPr="00DD03D6">
        <w:rPr>
          <w:noProof/>
          <w:lang w:val="fr-FR"/>
        </w:rPr>
        <w:t>.</w:t>
      </w:r>
    </w:p>
    <w:p w:rsidR="003D0F58" w:rsidRPr="00DD03D6" w:rsidRDefault="00A728F3" w:rsidP="00E77652">
      <w:pPr>
        <w:pStyle w:val="SingleTxtG"/>
        <w:numPr>
          <w:ilvl w:val="0"/>
          <w:numId w:val="3"/>
        </w:numPr>
        <w:ind w:left="1134" w:firstLine="0"/>
        <w:rPr>
          <w:noProof/>
          <w:lang w:val="fr-FR"/>
        </w:rPr>
      </w:pPr>
      <w:r>
        <w:rPr>
          <w:noProof/>
          <w:lang w:val="fr-FR"/>
        </w:rPr>
        <w:t xml:space="preserve">Le deuxième rapport périodique de l’Irlande a donné des informations détaillées sur les </w:t>
      </w:r>
      <w:r w:rsidR="003D0F58" w:rsidRPr="008E24E0">
        <w:rPr>
          <w:i/>
          <w:noProof/>
          <w:lang w:val="fr-FR"/>
        </w:rPr>
        <w:t xml:space="preserve">Springboard Family Support </w:t>
      </w:r>
      <w:r w:rsidR="008E24E0" w:rsidRPr="008E24E0">
        <w:rPr>
          <w:i/>
          <w:noProof/>
          <w:lang w:val="fr-FR"/>
        </w:rPr>
        <w:t>P</w:t>
      </w:r>
      <w:r w:rsidR="003D0F58" w:rsidRPr="008E24E0">
        <w:rPr>
          <w:i/>
          <w:noProof/>
          <w:lang w:val="fr-FR"/>
        </w:rPr>
        <w:t>rojects</w:t>
      </w:r>
      <w:r w:rsidR="008E24E0">
        <w:rPr>
          <w:noProof/>
          <w:lang w:val="fr-FR"/>
        </w:rPr>
        <w:t xml:space="preserve"> financés par la Direction des services de santé</w:t>
      </w:r>
      <w:r w:rsidR="003D0F58" w:rsidRPr="00DD03D6">
        <w:rPr>
          <w:rStyle w:val="Appelnotedebasdep"/>
          <w:noProof/>
          <w:lang w:val="fr-FR"/>
        </w:rPr>
        <w:footnoteReference w:id="25"/>
      </w:r>
      <w:r w:rsidR="008E24E0">
        <w:rPr>
          <w:noProof/>
          <w:lang w:val="fr-FR"/>
        </w:rPr>
        <w:t>.</w:t>
      </w:r>
      <w:r w:rsidR="003D0F58" w:rsidRPr="00DD03D6">
        <w:rPr>
          <w:noProof/>
          <w:lang w:val="fr-FR"/>
        </w:rPr>
        <w:t xml:space="preserve"> </w:t>
      </w:r>
      <w:r w:rsidR="008E24E0">
        <w:rPr>
          <w:noProof/>
          <w:lang w:val="fr-FR"/>
        </w:rPr>
        <w:t>Ces projets permanents prennent en charge activ</w:t>
      </w:r>
      <w:r w:rsidR="003D0F58" w:rsidRPr="00DD03D6">
        <w:rPr>
          <w:noProof/>
          <w:lang w:val="fr-FR"/>
        </w:rPr>
        <w:t>e</w:t>
      </w:r>
      <w:r w:rsidR="008E24E0">
        <w:rPr>
          <w:noProof/>
          <w:lang w:val="fr-FR"/>
        </w:rPr>
        <w:t xml:space="preserve">ment les enfants </w:t>
      </w:r>
      <w:r w:rsidR="008E24E0" w:rsidRPr="008E24E0">
        <w:rPr>
          <w:noProof/>
          <w:lang w:val="fr-FR"/>
        </w:rPr>
        <w:t xml:space="preserve">qui risquent d’être </w:t>
      </w:r>
      <w:r w:rsidR="008E24E0" w:rsidRPr="008E24E0">
        <w:rPr>
          <w:noProof/>
          <w:lang w:val="fr-FR"/>
        </w:rPr>
        <w:lastRenderedPageBreak/>
        <w:t xml:space="preserve">envoyés </w:t>
      </w:r>
      <w:r w:rsidR="008E24E0">
        <w:rPr>
          <w:noProof/>
          <w:lang w:val="fr-FR"/>
        </w:rPr>
        <w:t>aux services d’</w:t>
      </w:r>
      <w:r w:rsidR="008E24E0" w:rsidRPr="008E24E0">
        <w:rPr>
          <w:noProof/>
          <w:lang w:val="fr-FR"/>
        </w:rPr>
        <w:t xml:space="preserve">aide à l’enfance ou d’avoir des </w:t>
      </w:r>
      <w:r w:rsidR="008E24E0">
        <w:rPr>
          <w:noProof/>
          <w:lang w:val="fr-FR"/>
        </w:rPr>
        <w:t>problèmes avec leur famille</w:t>
      </w:r>
      <w:r w:rsidR="003D0F58" w:rsidRPr="00DD03D6">
        <w:rPr>
          <w:noProof/>
          <w:lang w:val="fr-FR"/>
        </w:rPr>
        <w:t xml:space="preserve">. </w:t>
      </w:r>
      <w:r w:rsidR="008E24E0">
        <w:rPr>
          <w:noProof/>
          <w:lang w:val="fr-FR"/>
        </w:rPr>
        <w:t>E</w:t>
      </w:r>
      <w:r w:rsidR="003D0F58" w:rsidRPr="00DD03D6">
        <w:rPr>
          <w:noProof/>
          <w:lang w:val="fr-FR"/>
        </w:rPr>
        <w:t>n 2010, 1</w:t>
      </w:r>
      <w:r w:rsidR="001527AA">
        <w:rPr>
          <w:noProof/>
          <w:lang w:val="fr-FR"/>
        </w:rPr>
        <w:t> </w:t>
      </w:r>
      <w:r w:rsidR="003D0F58" w:rsidRPr="00DD03D6">
        <w:rPr>
          <w:noProof/>
          <w:lang w:val="fr-FR"/>
        </w:rPr>
        <w:t>089 famil</w:t>
      </w:r>
      <w:r w:rsidR="008E24E0">
        <w:rPr>
          <w:noProof/>
          <w:lang w:val="fr-FR"/>
        </w:rPr>
        <w:t xml:space="preserve">les ont été dirigés vers ces projets, soit 1 </w:t>
      </w:r>
      <w:r w:rsidR="003D0F58" w:rsidRPr="00DD03D6">
        <w:rPr>
          <w:noProof/>
          <w:lang w:val="fr-FR"/>
        </w:rPr>
        <w:t xml:space="preserve">307 parents </w:t>
      </w:r>
      <w:r w:rsidR="008E24E0">
        <w:rPr>
          <w:noProof/>
          <w:lang w:val="fr-FR"/>
        </w:rPr>
        <w:t xml:space="preserve">et </w:t>
      </w:r>
      <w:r w:rsidR="003D0F58" w:rsidRPr="00DD03D6">
        <w:rPr>
          <w:noProof/>
          <w:lang w:val="fr-FR"/>
        </w:rPr>
        <w:t>1</w:t>
      </w:r>
      <w:r w:rsidR="008E24E0">
        <w:rPr>
          <w:noProof/>
          <w:lang w:val="fr-FR"/>
        </w:rPr>
        <w:t xml:space="preserve"> </w:t>
      </w:r>
      <w:r w:rsidR="003D0F58" w:rsidRPr="00DD03D6">
        <w:rPr>
          <w:noProof/>
          <w:lang w:val="fr-FR"/>
        </w:rPr>
        <w:t xml:space="preserve">651 </w:t>
      </w:r>
      <w:r w:rsidR="008E24E0">
        <w:rPr>
          <w:noProof/>
          <w:lang w:val="fr-FR"/>
        </w:rPr>
        <w:t>enfants</w:t>
      </w:r>
      <w:r w:rsidR="003D0F58" w:rsidRPr="00DD03D6">
        <w:rPr>
          <w:noProof/>
          <w:lang w:val="fr-FR"/>
        </w:rPr>
        <w:t>.</w:t>
      </w:r>
    </w:p>
    <w:p w:rsidR="003D0F58" w:rsidRPr="00DD03D6" w:rsidRDefault="008E24E0" w:rsidP="00E77652">
      <w:pPr>
        <w:pStyle w:val="SingleTxtG"/>
        <w:numPr>
          <w:ilvl w:val="0"/>
          <w:numId w:val="3"/>
        </w:numPr>
        <w:ind w:left="1134" w:firstLine="0"/>
        <w:rPr>
          <w:noProof/>
          <w:lang w:val="fr-FR"/>
        </w:rPr>
      </w:pPr>
      <w:r>
        <w:rPr>
          <w:noProof/>
          <w:lang w:val="fr-FR"/>
        </w:rPr>
        <w:t>Le deuxième rapport a également</w:t>
      </w:r>
      <w:r w:rsidR="00BB24A3">
        <w:rPr>
          <w:noProof/>
          <w:lang w:val="fr-FR"/>
        </w:rPr>
        <w:t xml:space="preserve"> fourni des informations sur l’Initiative de soutien aux parents adolescents</w:t>
      </w:r>
      <w:r w:rsidR="003D0F58" w:rsidRPr="00DD03D6">
        <w:rPr>
          <w:rStyle w:val="Appelnotedebasdep"/>
          <w:noProof/>
          <w:lang w:val="fr-FR"/>
        </w:rPr>
        <w:footnoteReference w:id="26"/>
      </w:r>
      <w:r w:rsidR="00BB24A3">
        <w:rPr>
          <w:noProof/>
          <w:lang w:val="fr-FR"/>
        </w:rPr>
        <w:t>.</w:t>
      </w:r>
      <w:r w:rsidR="003D0F58" w:rsidRPr="00DD03D6">
        <w:rPr>
          <w:noProof/>
          <w:lang w:val="fr-FR"/>
        </w:rPr>
        <w:t xml:space="preserve"> </w:t>
      </w:r>
      <w:r w:rsidR="00262524">
        <w:rPr>
          <w:noProof/>
          <w:lang w:val="fr-FR"/>
        </w:rPr>
        <w:t>Ce</w:t>
      </w:r>
      <w:r w:rsidR="00AB5BF4">
        <w:rPr>
          <w:noProof/>
          <w:lang w:val="fr-FR"/>
        </w:rPr>
        <w:t>lle</w:t>
      </w:r>
      <w:r w:rsidR="00262524">
        <w:rPr>
          <w:noProof/>
          <w:lang w:val="fr-FR"/>
        </w:rPr>
        <w:t>-ci</w:t>
      </w:r>
      <w:r w:rsidR="00AB5BF4">
        <w:rPr>
          <w:noProof/>
          <w:lang w:val="fr-FR"/>
        </w:rPr>
        <w:t xml:space="preserve"> offre un appui aux jeunes parents âgés de 19 ans ou moins jusqu’</w:t>
      </w:r>
      <w:r w:rsidR="00262524">
        <w:rPr>
          <w:noProof/>
          <w:lang w:val="fr-FR"/>
        </w:rPr>
        <w:t>au deuxième anniversaire de</w:t>
      </w:r>
      <w:r w:rsidR="00AB5BF4">
        <w:rPr>
          <w:noProof/>
          <w:lang w:val="fr-FR"/>
        </w:rPr>
        <w:t xml:space="preserve"> </w:t>
      </w:r>
      <w:r w:rsidR="00262524">
        <w:rPr>
          <w:noProof/>
          <w:lang w:val="fr-FR"/>
        </w:rPr>
        <w:t>l’</w:t>
      </w:r>
      <w:r w:rsidR="00AB5BF4">
        <w:rPr>
          <w:noProof/>
          <w:lang w:val="fr-FR"/>
        </w:rPr>
        <w:t>enfant</w:t>
      </w:r>
      <w:r w:rsidR="003D0F58" w:rsidRPr="00DD03D6">
        <w:rPr>
          <w:noProof/>
          <w:lang w:val="fr-FR"/>
        </w:rPr>
        <w:t xml:space="preserve">. </w:t>
      </w:r>
      <w:r w:rsidR="00AB5BF4">
        <w:rPr>
          <w:noProof/>
          <w:lang w:val="fr-FR"/>
        </w:rPr>
        <w:t>Cet appui leur est fourni dans des domaines tels que la santé, les relations, la parentalité, la garde de l’enfant, le logement, les prestations sociales auxquelles ils ont droit</w:t>
      </w:r>
      <w:r w:rsidR="003D0F58" w:rsidRPr="00DD03D6">
        <w:rPr>
          <w:noProof/>
          <w:lang w:val="fr-FR"/>
        </w:rPr>
        <w:t xml:space="preserve">, </w:t>
      </w:r>
      <w:r w:rsidR="00AB5BF4">
        <w:rPr>
          <w:noProof/>
          <w:lang w:val="fr-FR"/>
        </w:rPr>
        <w:t>l’é</w:t>
      </w:r>
      <w:r w:rsidR="003D0F58" w:rsidRPr="00DD03D6">
        <w:rPr>
          <w:noProof/>
          <w:lang w:val="fr-FR"/>
        </w:rPr>
        <w:t xml:space="preserve">ducation, </w:t>
      </w:r>
      <w:r w:rsidR="00AB5BF4">
        <w:rPr>
          <w:noProof/>
          <w:lang w:val="fr-FR"/>
        </w:rPr>
        <w:t xml:space="preserve">la formation et tous autres domaines </w:t>
      </w:r>
      <w:r w:rsidR="00262524">
        <w:rPr>
          <w:noProof/>
          <w:lang w:val="fr-FR"/>
        </w:rPr>
        <w:t xml:space="preserve">les </w:t>
      </w:r>
      <w:r w:rsidR="00AB5BF4">
        <w:rPr>
          <w:noProof/>
          <w:lang w:val="fr-FR"/>
        </w:rPr>
        <w:t>intéressant</w:t>
      </w:r>
      <w:r w:rsidR="003D0F58" w:rsidRPr="00DD03D6">
        <w:rPr>
          <w:noProof/>
          <w:lang w:val="fr-FR"/>
        </w:rPr>
        <w:t xml:space="preserve">. </w:t>
      </w:r>
      <w:r w:rsidR="00AB5BF4">
        <w:rPr>
          <w:noProof/>
          <w:lang w:val="fr-FR"/>
        </w:rPr>
        <w:t>E</w:t>
      </w:r>
      <w:r w:rsidR="003D0F58" w:rsidRPr="00DD03D6">
        <w:rPr>
          <w:noProof/>
          <w:lang w:val="fr-FR"/>
        </w:rPr>
        <w:t xml:space="preserve">n 2010, </w:t>
      </w:r>
      <w:r w:rsidR="00AB5BF4">
        <w:rPr>
          <w:noProof/>
          <w:lang w:val="fr-FR"/>
        </w:rPr>
        <w:t>cette I</w:t>
      </w:r>
      <w:r w:rsidR="003D0F58" w:rsidRPr="00DD03D6">
        <w:rPr>
          <w:noProof/>
          <w:lang w:val="fr-FR"/>
        </w:rPr>
        <w:t xml:space="preserve">nitiative </w:t>
      </w:r>
      <w:r w:rsidR="00AB5BF4">
        <w:rPr>
          <w:noProof/>
          <w:lang w:val="fr-FR"/>
        </w:rPr>
        <w:t xml:space="preserve">a </w:t>
      </w:r>
      <w:r w:rsidR="00262524">
        <w:rPr>
          <w:noProof/>
          <w:lang w:val="fr-FR"/>
        </w:rPr>
        <w:t>été financée à hauteur</w:t>
      </w:r>
      <w:r w:rsidR="00AB5BF4">
        <w:rPr>
          <w:noProof/>
          <w:lang w:val="fr-FR"/>
        </w:rPr>
        <w:t xml:space="preserve"> de </w:t>
      </w:r>
      <w:r w:rsidR="003D0F58" w:rsidRPr="00DD03D6">
        <w:rPr>
          <w:noProof/>
          <w:lang w:val="fr-FR"/>
        </w:rPr>
        <w:t>1</w:t>
      </w:r>
      <w:r w:rsidR="00AB5BF4">
        <w:rPr>
          <w:noProof/>
          <w:lang w:val="fr-FR"/>
        </w:rPr>
        <w:t>,</w:t>
      </w:r>
      <w:r w:rsidR="003D0F58" w:rsidRPr="00DD03D6">
        <w:rPr>
          <w:noProof/>
          <w:lang w:val="fr-FR"/>
        </w:rPr>
        <w:t xml:space="preserve">78 million </w:t>
      </w:r>
      <w:r w:rsidR="00AB5BF4">
        <w:rPr>
          <w:noProof/>
          <w:lang w:val="fr-FR"/>
        </w:rPr>
        <w:t xml:space="preserve">d’euros </w:t>
      </w:r>
      <w:r w:rsidR="00262524">
        <w:rPr>
          <w:noProof/>
          <w:lang w:val="fr-FR"/>
        </w:rPr>
        <w:t xml:space="preserve">par </w:t>
      </w:r>
      <w:r w:rsidR="00AB5BF4">
        <w:rPr>
          <w:noProof/>
          <w:lang w:val="fr-FR"/>
        </w:rPr>
        <w:t xml:space="preserve">la Direction des services de santé et </w:t>
      </w:r>
      <w:r w:rsidR="00D55CE4">
        <w:rPr>
          <w:noProof/>
          <w:lang w:val="fr-FR"/>
        </w:rPr>
        <w:t xml:space="preserve">a permis d’exécuter </w:t>
      </w:r>
      <w:r w:rsidR="003D0F58" w:rsidRPr="00DD03D6">
        <w:rPr>
          <w:noProof/>
          <w:lang w:val="fr-FR"/>
        </w:rPr>
        <w:t xml:space="preserve">11 projets </w:t>
      </w:r>
      <w:r w:rsidR="00D55CE4">
        <w:rPr>
          <w:noProof/>
          <w:lang w:val="fr-FR"/>
        </w:rPr>
        <w:t>à travers le pays</w:t>
      </w:r>
      <w:r w:rsidR="003D0F58" w:rsidRPr="00DD03D6">
        <w:rPr>
          <w:noProof/>
          <w:lang w:val="fr-FR"/>
        </w:rPr>
        <w:t xml:space="preserve">, </w:t>
      </w:r>
      <w:r w:rsidR="00D55CE4">
        <w:rPr>
          <w:noProof/>
          <w:lang w:val="fr-FR"/>
        </w:rPr>
        <w:t>dont chacun était implanté dans une organisation employeuse du secteur public ou bénévole</w:t>
      </w:r>
      <w:r w:rsidR="003D0F58" w:rsidRPr="00DD03D6">
        <w:rPr>
          <w:noProof/>
          <w:lang w:val="fr-FR"/>
        </w:rPr>
        <w:t xml:space="preserve">. </w:t>
      </w:r>
      <w:r w:rsidR="00D55CE4">
        <w:rPr>
          <w:noProof/>
          <w:lang w:val="fr-FR"/>
        </w:rPr>
        <w:t>Elle a un coordonnateur national et un Comité consultatif national</w:t>
      </w:r>
      <w:r w:rsidR="003D0F58" w:rsidRPr="00DD03D6">
        <w:rPr>
          <w:noProof/>
          <w:lang w:val="fr-FR"/>
        </w:rPr>
        <w:t xml:space="preserve">, </w:t>
      </w:r>
      <w:r w:rsidR="00D55CE4">
        <w:rPr>
          <w:noProof/>
          <w:lang w:val="fr-FR"/>
        </w:rPr>
        <w:t xml:space="preserve">qui est </w:t>
      </w:r>
      <w:r w:rsidR="00262524">
        <w:rPr>
          <w:noProof/>
          <w:lang w:val="fr-FR"/>
        </w:rPr>
        <w:t>une i</w:t>
      </w:r>
      <w:r w:rsidR="00D55CE4">
        <w:rPr>
          <w:noProof/>
          <w:lang w:val="fr-FR"/>
        </w:rPr>
        <w:t>nstance de partage d’</w:t>
      </w:r>
      <w:r w:rsidR="003D0F58" w:rsidRPr="00DD03D6">
        <w:rPr>
          <w:noProof/>
          <w:lang w:val="fr-FR"/>
        </w:rPr>
        <w:t>information</w:t>
      </w:r>
      <w:r w:rsidR="00D55CE4">
        <w:rPr>
          <w:noProof/>
          <w:lang w:val="fr-FR"/>
        </w:rPr>
        <w:t>e et de collaboration</w:t>
      </w:r>
      <w:r w:rsidR="003D0F58" w:rsidRPr="00DD03D6">
        <w:rPr>
          <w:noProof/>
          <w:lang w:val="fr-FR"/>
        </w:rPr>
        <w:t xml:space="preserve"> </w:t>
      </w:r>
      <w:r w:rsidR="00D55CE4">
        <w:rPr>
          <w:noProof/>
          <w:lang w:val="fr-FR"/>
        </w:rPr>
        <w:t>interorganis</w:t>
      </w:r>
      <w:r w:rsidR="00F94E0E">
        <w:rPr>
          <w:noProof/>
          <w:lang w:val="fr-FR"/>
        </w:rPr>
        <w:t>mes</w:t>
      </w:r>
      <w:r w:rsidR="003D0F58" w:rsidRPr="00DD03D6">
        <w:rPr>
          <w:noProof/>
          <w:lang w:val="fr-FR"/>
        </w:rPr>
        <w:t>.</w:t>
      </w:r>
    </w:p>
    <w:p w:rsidR="003D0F58" w:rsidRPr="00DD03D6" w:rsidRDefault="00905D61" w:rsidP="00905D61">
      <w:pPr>
        <w:pStyle w:val="H1G"/>
        <w:rPr>
          <w:noProof/>
          <w:lang w:val="fr-FR"/>
        </w:rPr>
      </w:pPr>
      <w:bookmarkStart w:id="41" w:name="_Toc356430869"/>
      <w:r w:rsidRPr="00DD03D6">
        <w:rPr>
          <w:noProof/>
          <w:lang w:val="fr-FR"/>
        </w:rPr>
        <w:tab/>
      </w:r>
      <w:r w:rsidR="003D0F58" w:rsidRPr="00DD03D6">
        <w:rPr>
          <w:noProof/>
          <w:lang w:val="fr-FR"/>
        </w:rPr>
        <w:t>B.</w:t>
      </w:r>
      <w:r w:rsidR="003D0F58" w:rsidRPr="00DD03D6">
        <w:rPr>
          <w:noProof/>
          <w:lang w:val="fr-FR"/>
        </w:rPr>
        <w:tab/>
      </w:r>
      <w:r w:rsidR="00F07BDD">
        <w:rPr>
          <w:noProof/>
          <w:lang w:val="fr-FR"/>
        </w:rPr>
        <w:t>Responsabilité commune des p</w:t>
      </w:r>
      <w:r w:rsidR="00F07BDD" w:rsidRPr="00DD03D6">
        <w:rPr>
          <w:noProof/>
          <w:lang w:val="fr-FR"/>
        </w:rPr>
        <w:t xml:space="preserve">arents </w:t>
      </w:r>
      <w:r w:rsidR="00F07BDD">
        <w:rPr>
          <w:noProof/>
          <w:lang w:val="fr-FR"/>
        </w:rPr>
        <w:t>et protection de remplacement</w:t>
      </w:r>
      <w:r w:rsidR="00F07BDD" w:rsidRPr="00DD03D6">
        <w:rPr>
          <w:noProof/>
          <w:lang w:val="fr-FR"/>
        </w:rPr>
        <w:t>, assistance</w:t>
      </w:r>
      <w:r w:rsidR="00F07BDD">
        <w:rPr>
          <w:noProof/>
          <w:lang w:val="fr-FR"/>
        </w:rPr>
        <w:t xml:space="preserve"> aux</w:t>
      </w:r>
      <w:r w:rsidR="00F07BDD" w:rsidRPr="00DD03D6">
        <w:rPr>
          <w:noProof/>
          <w:lang w:val="fr-FR"/>
        </w:rPr>
        <w:t xml:space="preserve"> parents </w:t>
      </w:r>
      <w:r w:rsidR="00F07BDD">
        <w:rPr>
          <w:noProof/>
          <w:lang w:val="fr-FR"/>
        </w:rPr>
        <w:t>et fourniture de services de garde d’enfants</w:t>
      </w:r>
      <w:bookmarkEnd w:id="41"/>
      <w:r w:rsidR="00E92D3C">
        <w:rPr>
          <w:noProof/>
          <w:lang w:val="fr-FR"/>
        </w:rPr>
        <w:t xml:space="preserve"> </w:t>
      </w:r>
    </w:p>
    <w:p w:rsidR="003D0F58" w:rsidRPr="00DD03D6" w:rsidRDefault="008A56C3" w:rsidP="00696151">
      <w:pPr>
        <w:pStyle w:val="SingleTxtG"/>
        <w:numPr>
          <w:ilvl w:val="0"/>
          <w:numId w:val="3"/>
        </w:numPr>
        <w:ind w:left="1134" w:firstLine="0"/>
        <w:rPr>
          <w:noProof/>
          <w:lang w:val="fr-FR"/>
        </w:rPr>
      </w:pPr>
      <w:r>
        <w:rPr>
          <w:noProof/>
          <w:lang w:val="fr-FR"/>
        </w:rPr>
        <w:t xml:space="preserve">Dans l’UE, les affaires de garde </w:t>
      </w:r>
      <w:r w:rsidR="003D0F58" w:rsidRPr="00DD03D6">
        <w:rPr>
          <w:noProof/>
          <w:lang w:val="fr-FR"/>
        </w:rPr>
        <w:t>concern</w:t>
      </w:r>
      <w:r>
        <w:rPr>
          <w:noProof/>
          <w:lang w:val="fr-FR"/>
        </w:rPr>
        <w:t>ant la compétence, la reconnaissance et l’exécution des décisions en matière</w:t>
      </w:r>
      <w:r w:rsidR="003D0F58" w:rsidRPr="00DD03D6">
        <w:rPr>
          <w:noProof/>
          <w:lang w:val="fr-FR"/>
        </w:rPr>
        <w:t xml:space="preserve"> matrimonial</w:t>
      </w:r>
      <w:r>
        <w:rPr>
          <w:noProof/>
          <w:lang w:val="fr-FR"/>
        </w:rPr>
        <w:t xml:space="preserve">e et en matière de </w:t>
      </w:r>
      <w:r w:rsidR="003D0F58" w:rsidRPr="00DD03D6">
        <w:rPr>
          <w:noProof/>
          <w:lang w:val="fr-FR"/>
        </w:rPr>
        <w:t>respons</w:t>
      </w:r>
      <w:r>
        <w:rPr>
          <w:noProof/>
          <w:lang w:val="fr-FR"/>
        </w:rPr>
        <w:t>abilité parentale sont couvertes par le Règlement (CE) n</w:t>
      </w:r>
      <w:r w:rsidR="001527AA" w:rsidRPr="001527AA">
        <w:rPr>
          <w:noProof/>
          <w:vertAlign w:val="superscript"/>
          <w:lang w:val="fr-FR"/>
        </w:rPr>
        <w:t>o</w:t>
      </w:r>
      <w:r w:rsidR="001527AA">
        <w:rPr>
          <w:noProof/>
          <w:lang w:val="fr-FR"/>
        </w:rPr>
        <w:t> </w:t>
      </w:r>
      <w:r>
        <w:rPr>
          <w:noProof/>
          <w:lang w:val="fr-FR"/>
        </w:rPr>
        <w:t>2201/2003 du Conseil du 27 novembre 2003,</w:t>
      </w:r>
      <w:r w:rsidR="00E92D3C">
        <w:rPr>
          <w:noProof/>
          <w:lang w:val="fr-FR"/>
        </w:rPr>
        <w:t xml:space="preserve"> </w:t>
      </w:r>
      <w:r>
        <w:rPr>
          <w:noProof/>
          <w:lang w:val="fr-FR"/>
        </w:rPr>
        <w:t>qui</w:t>
      </w:r>
      <w:r w:rsidR="003D0F58" w:rsidRPr="00DD03D6">
        <w:rPr>
          <w:noProof/>
          <w:lang w:val="fr-FR"/>
        </w:rPr>
        <w:t xml:space="preserve"> </w:t>
      </w:r>
      <w:r>
        <w:rPr>
          <w:noProof/>
          <w:lang w:val="fr-FR"/>
        </w:rPr>
        <w:t xml:space="preserve">a abrogé le Règlement </w:t>
      </w:r>
      <w:r w:rsidR="003D0F58" w:rsidRPr="00DD03D6">
        <w:rPr>
          <w:noProof/>
          <w:lang w:val="fr-FR"/>
        </w:rPr>
        <w:t>(C</w:t>
      </w:r>
      <w:r>
        <w:rPr>
          <w:noProof/>
          <w:lang w:val="fr-FR"/>
        </w:rPr>
        <w:t>E</w:t>
      </w:r>
      <w:r w:rsidR="003D0F58" w:rsidRPr="00DD03D6">
        <w:rPr>
          <w:noProof/>
          <w:lang w:val="fr-FR"/>
        </w:rPr>
        <w:t>)</w:t>
      </w:r>
      <w:r w:rsidR="00D379EE" w:rsidRPr="00DD03D6">
        <w:rPr>
          <w:noProof/>
          <w:lang w:val="fr-FR"/>
        </w:rPr>
        <w:t xml:space="preserve"> </w:t>
      </w:r>
      <w:r w:rsidR="001527AA">
        <w:rPr>
          <w:noProof/>
          <w:lang w:val="fr-FR"/>
        </w:rPr>
        <w:t>n</w:t>
      </w:r>
      <w:r w:rsidR="001527AA" w:rsidRPr="001527AA">
        <w:rPr>
          <w:noProof/>
          <w:vertAlign w:val="superscript"/>
          <w:lang w:val="fr-FR"/>
        </w:rPr>
        <w:t>o</w:t>
      </w:r>
      <w:r w:rsidR="001527AA">
        <w:rPr>
          <w:noProof/>
          <w:lang w:val="fr-FR"/>
        </w:rPr>
        <w:t> </w:t>
      </w:r>
      <w:r w:rsidR="003D0F58" w:rsidRPr="00DD03D6">
        <w:rPr>
          <w:noProof/>
          <w:lang w:val="fr-FR"/>
        </w:rPr>
        <w:t xml:space="preserve">1347/2000. </w:t>
      </w:r>
      <w:r>
        <w:rPr>
          <w:noProof/>
          <w:lang w:val="fr-FR"/>
        </w:rPr>
        <w:t xml:space="preserve">Ce nouveau Règlement, souvent désigné sous le nom de </w:t>
      </w:r>
      <w:r w:rsidR="003D0F58" w:rsidRPr="00DD03D6">
        <w:rPr>
          <w:noProof/>
          <w:lang w:val="fr-FR"/>
        </w:rPr>
        <w:t>Bru</w:t>
      </w:r>
      <w:r>
        <w:rPr>
          <w:noProof/>
          <w:lang w:val="fr-FR"/>
        </w:rPr>
        <w:t xml:space="preserve">xelles </w:t>
      </w:r>
      <w:r w:rsidR="0048144A">
        <w:rPr>
          <w:noProof/>
          <w:lang w:val="fr-FR"/>
        </w:rPr>
        <w:t xml:space="preserve">II et </w:t>
      </w:r>
      <w:r>
        <w:rPr>
          <w:noProof/>
          <w:lang w:val="fr-FR"/>
        </w:rPr>
        <w:t xml:space="preserve">entré en vigueur le </w:t>
      </w:r>
      <w:r w:rsidR="003D0F58" w:rsidRPr="00DD03D6">
        <w:rPr>
          <w:noProof/>
          <w:lang w:val="fr-FR"/>
        </w:rPr>
        <w:t>1</w:t>
      </w:r>
      <w:r w:rsidRPr="008A56C3">
        <w:rPr>
          <w:noProof/>
          <w:vertAlign w:val="superscript"/>
          <w:lang w:val="fr-FR"/>
        </w:rPr>
        <w:t>er</w:t>
      </w:r>
      <w:r>
        <w:rPr>
          <w:noProof/>
          <w:lang w:val="fr-FR"/>
        </w:rPr>
        <w:t xml:space="preserve"> mars </w:t>
      </w:r>
      <w:r w:rsidR="0048144A">
        <w:rPr>
          <w:noProof/>
          <w:lang w:val="fr-FR"/>
        </w:rPr>
        <w:t>2005, régit la reconnaissance dans tous les États membres de l’UE des décisions en matière de droit de visite, de garde et de tutelle rendues dans chaque d’eux</w:t>
      </w:r>
      <w:r w:rsidR="003D0F58" w:rsidRPr="00DD03D6">
        <w:rPr>
          <w:noProof/>
          <w:lang w:val="fr-FR"/>
        </w:rPr>
        <w:t xml:space="preserve">. </w:t>
      </w:r>
      <w:r w:rsidR="0048144A">
        <w:rPr>
          <w:noProof/>
          <w:lang w:val="fr-FR"/>
        </w:rPr>
        <w:t xml:space="preserve">Afin de garantir l’égalité de tous les enfants, la portée de ce Règlement s’étend à toutes les décisions rendues en matière de responsabilité parentale, que les parents soient mariés ou non ou que les </w:t>
      </w:r>
      <w:r w:rsidR="003D0F58" w:rsidRPr="00DD03D6">
        <w:rPr>
          <w:noProof/>
          <w:lang w:val="fr-FR"/>
        </w:rPr>
        <w:t xml:space="preserve">parties </w:t>
      </w:r>
      <w:r w:rsidR="0048144A">
        <w:rPr>
          <w:noProof/>
          <w:lang w:val="fr-FR"/>
        </w:rPr>
        <w:t xml:space="preserve">à la procédure soient ou non les parents biologiques de l’enfant en </w:t>
      </w:r>
      <w:r w:rsidR="003D0F58" w:rsidRPr="00DD03D6">
        <w:rPr>
          <w:noProof/>
          <w:lang w:val="fr-FR"/>
        </w:rPr>
        <w:t>question.</w:t>
      </w:r>
    </w:p>
    <w:p w:rsidR="003D0F58" w:rsidRPr="00DD03D6" w:rsidRDefault="0048144A" w:rsidP="00696151">
      <w:pPr>
        <w:pStyle w:val="SingleTxtG"/>
        <w:numPr>
          <w:ilvl w:val="0"/>
          <w:numId w:val="3"/>
        </w:numPr>
        <w:ind w:left="1134" w:firstLine="0"/>
        <w:rPr>
          <w:noProof/>
          <w:lang w:val="fr-FR"/>
        </w:rPr>
      </w:pPr>
      <w:r>
        <w:rPr>
          <w:noProof/>
          <w:lang w:val="fr-FR"/>
        </w:rPr>
        <w:t xml:space="preserve">Les dispositions applicables au congé de maternité et au congé </w:t>
      </w:r>
      <w:r w:rsidR="003D0F58" w:rsidRPr="00DD03D6">
        <w:rPr>
          <w:noProof/>
          <w:lang w:val="fr-FR"/>
        </w:rPr>
        <w:t xml:space="preserve">parental </w:t>
      </w:r>
      <w:r>
        <w:rPr>
          <w:noProof/>
          <w:lang w:val="fr-FR"/>
        </w:rPr>
        <w:t xml:space="preserve">sont décrites aux </w:t>
      </w:r>
      <w:r w:rsidR="00696151" w:rsidRPr="00DD03D6">
        <w:rPr>
          <w:noProof/>
          <w:lang w:val="fr-FR"/>
        </w:rPr>
        <w:t>p</w:t>
      </w:r>
      <w:r w:rsidR="00796A7C" w:rsidRPr="00DD03D6">
        <w:rPr>
          <w:noProof/>
          <w:lang w:val="fr-FR"/>
        </w:rPr>
        <w:t>aragraph</w:t>
      </w:r>
      <w:r>
        <w:rPr>
          <w:noProof/>
          <w:lang w:val="fr-FR"/>
        </w:rPr>
        <w:t>e</w:t>
      </w:r>
      <w:r w:rsidR="00796A7C" w:rsidRPr="00DD03D6">
        <w:rPr>
          <w:noProof/>
          <w:lang w:val="fr-FR"/>
        </w:rPr>
        <w:t>s </w:t>
      </w:r>
      <w:r w:rsidR="00696151" w:rsidRPr="00DD03D6">
        <w:rPr>
          <w:noProof/>
          <w:lang w:val="fr-FR"/>
        </w:rPr>
        <w:t>296</w:t>
      </w:r>
      <w:r>
        <w:rPr>
          <w:noProof/>
          <w:lang w:val="fr-FR"/>
        </w:rPr>
        <w:t xml:space="preserve"> à </w:t>
      </w:r>
      <w:r w:rsidR="00696151" w:rsidRPr="00DD03D6">
        <w:rPr>
          <w:noProof/>
          <w:lang w:val="fr-FR"/>
        </w:rPr>
        <w:t>298</w:t>
      </w:r>
      <w:r w:rsidR="003D0F58" w:rsidRPr="00DD03D6">
        <w:rPr>
          <w:noProof/>
          <w:lang w:val="fr-FR"/>
        </w:rPr>
        <w:t xml:space="preserve">. </w:t>
      </w:r>
      <w:r>
        <w:rPr>
          <w:noProof/>
          <w:lang w:val="fr-FR"/>
        </w:rPr>
        <w:t xml:space="preserve">On trouvera des informations sur l’aide financière aux </w:t>
      </w:r>
      <w:r w:rsidR="003D0F58" w:rsidRPr="00DD03D6">
        <w:rPr>
          <w:noProof/>
          <w:lang w:val="fr-FR"/>
        </w:rPr>
        <w:t xml:space="preserve">parents </w:t>
      </w:r>
      <w:r>
        <w:rPr>
          <w:noProof/>
          <w:lang w:val="fr-FR"/>
        </w:rPr>
        <w:t xml:space="preserve">et aux familles aux </w:t>
      </w:r>
      <w:r w:rsidR="00696151" w:rsidRPr="00DD03D6">
        <w:rPr>
          <w:noProof/>
          <w:lang w:val="fr-FR"/>
        </w:rPr>
        <w:t>p</w:t>
      </w:r>
      <w:r w:rsidR="00796A7C" w:rsidRPr="00DD03D6">
        <w:rPr>
          <w:noProof/>
          <w:lang w:val="fr-FR"/>
        </w:rPr>
        <w:t>aragraph</w:t>
      </w:r>
      <w:r>
        <w:rPr>
          <w:noProof/>
          <w:lang w:val="fr-FR"/>
        </w:rPr>
        <w:t>e</w:t>
      </w:r>
      <w:r w:rsidR="00796A7C" w:rsidRPr="00DD03D6">
        <w:rPr>
          <w:noProof/>
          <w:lang w:val="fr-FR"/>
        </w:rPr>
        <w:t>s </w:t>
      </w:r>
      <w:r w:rsidR="00696151" w:rsidRPr="00DD03D6">
        <w:rPr>
          <w:noProof/>
          <w:lang w:val="fr-FR"/>
        </w:rPr>
        <w:t>533</w:t>
      </w:r>
      <w:r>
        <w:rPr>
          <w:noProof/>
          <w:lang w:val="fr-FR"/>
        </w:rPr>
        <w:t xml:space="preserve"> à </w:t>
      </w:r>
      <w:r w:rsidR="00696151" w:rsidRPr="00DD03D6">
        <w:rPr>
          <w:noProof/>
          <w:lang w:val="fr-FR"/>
        </w:rPr>
        <w:t>539</w:t>
      </w:r>
      <w:r w:rsidR="003D0F58" w:rsidRPr="00DD03D6">
        <w:rPr>
          <w:noProof/>
          <w:lang w:val="fr-FR"/>
        </w:rPr>
        <w:t>.</w:t>
      </w:r>
    </w:p>
    <w:p w:rsidR="003D0F58" w:rsidRPr="00DD03D6" w:rsidRDefault="0048144A" w:rsidP="00AA3A0A">
      <w:pPr>
        <w:pStyle w:val="SingleTxtG"/>
        <w:numPr>
          <w:ilvl w:val="0"/>
          <w:numId w:val="3"/>
        </w:numPr>
        <w:ind w:left="1134" w:firstLine="0"/>
        <w:rPr>
          <w:noProof/>
          <w:lang w:val="fr-FR"/>
        </w:rPr>
      </w:pPr>
      <w:r>
        <w:rPr>
          <w:noProof/>
          <w:lang w:val="fr-FR"/>
        </w:rPr>
        <w:t xml:space="preserve">Le Gouvernement irlandais et l’UE ont cofinancé le Programme de garde d’enfants pour l’égalité des chances entre </w:t>
      </w:r>
      <w:r w:rsidR="003D0F58" w:rsidRPr="00DD03D6">
        <w:rPr>
          <w:noProof/>
          <w:lang w:val="fr-FR"/>
        </w:rPr>
        <w:t xml:space="preserve">2000 </w:t>
      </w:r>
      <w:r>
        <w:rPr>
          <w:noProof/>
          <w:lang w:val="fr-FR"/>
        </w:rPr>
        <w:t>et</w:t>
      </w:r>
      <w:r w:rsidR="003D0F58" w:rsidRPr="00DD03D6">
        <w:rPr>
          <w:noProof/>
          <w:lang w:val="fr-FR"/>
        </w:rPr>
        <w:t xml:space="preserve"> 2007. </w:t>
      </w:r>
      <w:r w:rsidR="00330D6E">
        <w:rPr>
          <w:noProof/>
          <w:lang w:val="fr-FR"/>
        </w:rPr>
        <w:t xml:space="preserve">Ce programme avait pour objectif de maintenir et d’augmenter le nombre de structures d’accueil pour les enfants et de places à la disposition des parents, d’adopter une approche coordonnée de la prestation des services de garde d’enfants et d’améliorer la qualité des services disponibles. </w:t>
      </w:r>
    </w:p>
    <w:p w:rsidR="003D0F58" w:rsidRDefault="001B7192" w:rsidP="00AA3A0A">
      <w:pPr>
        <w:pStyle w:val="SingleTxtG"/>
        <w:numPr>
          <w:ilvl w:val="0"/>
          <w:numId w:val="3"/>
        </w:numPr>
        <w:ind w:left="1134" w:firstLine="0"/>
        <w:rPr>
          <w:noProof/>
          <w:lang w:val="fr-FR"/>
        </w:rPr>
      </w:pPr>
      <w:r>
        <w:rPr>
          <w:noProof/>
          <w:lang w:val="fr-FR"/>
        </w:rPr>
        <w:t>Le Programme susvisé a été géré au regard de trois sous-mesures pour lui permettre d’atteindre ses</w:t>
      </w:r>
      <w:r w:rsidR="003D0F58" w:rsidRPr="00DD03D6">
        <w:rPr>
          <w:noProof/>
          <w:lang w:val="fr-FR"/>
        </w:rPr>
        <w:t xml:space="preserve"> </w:t>
      </w:r>
      <w:r>
        <w:rPr>
          <w:noProof/>
          <w:lang w:val="fr-FR"/>
        </w:rPr>
        <w:t>objectif</w:t>
      </w:r>
      <w:r w:rsidR="003D0F58" w:rsidRPr="00DD03D6">
        <w:rPr>
          <w:noProof/>
          <w:lang w:val="fr-FR"/>
        </w:rPr>
        <w:t xml:space="preserve">s. </w:t>
      </w:r>
      <w:r>
        <w:rPr>
          <w:noProof/>
          <w:lang w:val="fr-FR"/>
        </w:rPr>
        <w:t>Il a</w:t>
      </w:r>
      <w:r>
        <w:rPr>
          <w:noProof/>
          <w:lang w:val="fr-FR"/>
        </w:rPr>
        <w:tab/>
        <w:t xml:space="preserve"> fourni des fonds au titre des dépenses d’équipement à la fois à des groupes communautaires sans but lucratif et à des prestataires du secteur privé</w:t>
      </w:r>
      <w:r w:rsidR="003D0F58" w:rsidRPr="00DD03D6">
        <w:rPr>
          <w:noProof/>
          <w:lang w:val="fr-FR"/>
        </w:rPr>
        <w:t>, a</w:t>
      </w:r>
      <w:r>
        <w:rPr>
          <w:noProof/>
          <w:lang w:val="fr-FR"/>
        </w:rPr>
        <w:t>insi qu</w:t>
      </w:r>
      <w:r w:rsidR="00235ECD">
        <w:rPr>
          <w:noProof/>
          <w:lang w:val="fr-FR"/>
        </w:rPr>
        <w:t>’un appui au recrutement aux groupes communautaires des zones défavorisées</w:t>
      </w:r>
      <w:r w:rsidR="003D0F58" w:rsidRPr="00DD03D6">
        <w:rPr>
          <w:noProof/>
          <w:lang w:val="fr-FR"/>
        </w:rPr>
        <w:t xml:space="preserve">. </w:t>
      </w:r>
      <w:r w:rsidR="000C5A2F">
        <w:rPr>
          <w:noProof/>
          <w:lang w:val="fr-FR"/>
        </w:rPr>
        <w:t xml:space="preserve">Des dépenses d’équipement à hauteur d’environ </w:t>
      </w:r>
      <w:r w:rsidR="003D0F58" w:rsidRPr="00DD03D6">
        <w:rPr>
          <w:noProof/>
          <w:lang w:val="fr-FR"/>
        </w:rPr>
        <w:t>230 million</w:t>
      </w:r>
      <w:r w:rsidR="00235ECD">
        <w:rPr>
          <w:noProof/>
          <w:lang w:val="fr-FR"/>
        </w:rPr>
        <w:t>s</w:t>
      </w:r>
      <w:r w:rsidR="003D0F58" w:rsidRPr="00DD03D6">
        <w:rPr>
          <w:noProof/>
          <w:lang w:val="fr-FR"/>
        </w:rPr>
        <w:t xml:space="preserve"> </w:t>
      </w:r>
      <w:r w:rsidR="00235ECD">
        <w:rPr>
          <w:noProof/>
          <w:lang w:val="fr-FR"/>
        </w:rPr>
        <w:t>d’euros ont été financé</w:t>
      </w:r>
      <w:r w:rsidR="000C5A2F">
        <w:rPr>
          <w:noProof/>
          <w:lang w:val="fr-FR"/>
        </w:rPr>
        <w:t>e</w:t>
      </w:r>
      <w:r w:rsidR="00235ECD">
        <w:rPr>
          <w:noProof/>
          <w:lang w:val="fr-FR"/>
        </w:rPr>
        <w:t>s au titre du développement des structures d’accueil pour les enfants; les services communautaires sans but lucra</w:t>
      </w:r>
      <w:r w:rsidR="001527AA">
        <w:rPr>
          <w:noProof/>
          <w:lang w:val="fr-FR"/>
        </w:rPr>
        <w:t>tif ont bénéficié de près de 90</w:t>
      </w:r>
      <w:r w:rsidR="003F1ADB">
        <w:rPr>
          <w:noProof/>
          <w:lang w:val="fr-FR"/>
        </w:rPr>
        <w:t> %</w:t>
      </w:r>
      <w:r w:rsidR="00235ECD">
        <w:rPr>
          <w:noProof/>
          <w:lang w:val="fr-FR"/>
        </w:rPr>
        <w:t xml:space="preserve"> de ce financement</w:t>
      </w:r>
      <w:r w:rsidR="003D0F58" w:rsidRPr="00DD03D6">
        <w:rPr>
          <w:noProof/>
          <w:lang w:val="fr-FR"/>
        </w:rPr>
        <w:t xml:space="preserve">. </w:t>
      </w:r>
      <w:r w:rsidR="005D5821">
        <w:rPr>
          <w:noProof/>
          <w:lang w:val="fr-FR"/>
        </w:rPr>
        <w:t xml:space="preserve">Ce </w:t>
      </w:r>
      <w:r w:rsidR="003D0F58" w:rsidRPr="00DD03D6">
        <w:rPr>
          <w:noProof/>
          <w:lang w:val="fr-FR"/>
        </w:rPr>
        <w:t xml:space="preserve">programme </w:t>
      </w:r>
      <w:r w:rsidR="005D5821">
        <w:rPr>
          <w:noProof/>
          <w:lang w:val="fr-FR"/>
        </w:rPr>
        <w:t>a également appuyé des projets d’amélioration de la qualité</w:t>
      </w:r>
      <w:r w:rsidR="003D0F58" w:rsidRPr="00DD03D6">
        <w:rPr>
          <w:noProof/>
          <w:lang w:val="fr-FR"/>
        </w:rPr>
        <w:t xml:space="preserve">, </w:t>
      </w:r>
      <w:r w:rsidR="005D5821">
        <w:rPr>
          <w:noProof/>
          <w:lang w:val="fr-FR"/>
        </w:rPr>
        <w:t xml:space="preserve">notamment en finançant </w:t>
      </w:r>
      <w:r w:rsidR="001527AA">
        <w:rPr>
          <w:noProof/>
          <w:lang w:val="fr-FR"/>
        </w:rPr>
        <w:t>33 </w:t>
      </w:r>
      <w:r w:rsidR="005D5821">
        <w:rPr>
          <w:noProof/>
          <w:lang w:val="fr-FR"/>
        </w:rPr>
        <w:t xml:space="preserve">comités de garde d’enfants de ville et de comté et sept organisations nationales </w:t>
      </w:r>
      <w:r w:rsidR="000C5A2F">
        <w:rPr>
          <w:noProof/>
          <w:lang w:val="fr-FR"/>
        </w:rPr>
        <w:t xml:space="preserve">bénévoles </w:t>
      </w:r>
      <w:r w:rsidR="005D5821">
        <w:rPr>
          <w:noProof/>
          <w:lang w:val="fr-FR"/>
        </w:rPr>
        <w:t>de garde d’enfants</w:t>
      </w:r>
      <w:r w:rsidR="003D0F58" w:rsidRPr="00DD03D6">
        <w:rPr>
          <w:noProof/>
          <w:lang w:val="fr-FR"/>
        </w:rPr>
        <w:t xml:space="preserve">. </w:t>
      </w:r>
      <w:r w:rsidR="005D5821">
        <w:rPr>
          <w:noProof/>
          <w:lang w:val="fr-FR"/>
        </w:rPr>
        <w:t xml:space="preserve">La création des comités susvisés a marqué une étape importante du programme en </w:t>
      </w:r>
      <w:r w:rsidR="00974EA2">
        <w:rPr>
          <w:noProof/>
          <w:lang w:val="fr-FR"/>
        </w:rPr>
        <w:t xml:space="preserve">permettant à </w:t>
      </w:r>
      <w:r w:rsidR="005D5821">
        <w:rPr>
          <w:noProof/>
          <w:lang w:val="fr-FR"/>
        </w:rPr>
        <w:t xml:space="preserve">la question de la garde d’enfants </w:t>
      </w:r>
      <w:r w:rsidR="00974EA2">
        <w:rPr>
          <w:noProof/>
          <w:lang w:val="fr-FR"/>
        </w:rPr>
        <w:t xml:space="preserve">de tenir </w:t>
      </w:r>
      <w:r w:rsidR="005D5821">
        <w:rPr>
          <w:noProof/>
          <w:lang w:val="fr-FR"/>
        </w:rPr>
        <w:t>une place importante dans tous les débats consacrés au développement local</w:t>
      </w:r>
      <w:r w:rsidR="003D0F58" w:rsidRPr="00DD03D6">
        <w:rPr>
          <w:noProof/>
          <w:lang w:val="fr-FR"/>
        </w:rPr>
        <w:t>.</w:t>
      </w:r>
    </w:p>
    <w:p w:rsidR="003D0F58" w:rsidRPr="00DD03D6" w:rsidRDefault="00974EA2" w:rsidP="00AA3A0A">
      <w:pPr>
        <w:pStyle w:val="SingleTxtG"/>
        <w:numPr>
          <w:ilvl w:val="0"/>
          <w:numId w:val="3"/>
        </w:numPr>
        <w:ind w:left="1134" w:firstLine="0"/>
        <w:rPr>
          <w:noProof/>
          <w:lang w:val="fr-FR"/>
        </w:rPr>
      </w:pPr>
      <w:r>
        <w:rPr>
          <w:noProof/>
          <w:lang w:val="fr-FR"/>
        </w:rPr>
        <w:lastRenderedPageBreak/>
        <w:t>E</w:t>
      </w:r>
      <w:r w:rsidR="003D0F58" w:rsidRPr="00DD03D6">
        <w:rPr>
          <w:noProof/>
          <w:lang w:val="fr-FR"/>
        </w:rPr>
        <w:t xml:space="preserve">n 2006, </w:t>
      </w:r>
      <w:r w:rsidR="005050AB">
        <w:rPr>
          <w:noProof/>
          <w:lang w:val="fr-FR"/>
        </w:rPr>
        <w:t xml:space="preserve">le </w:t>
      </w:r>
      <w:r w:rsidR="005050AB">
        <w:rPr>
          <w:lang w:val="fr-FR"/>
        </w:rPr>
        <w:t>Programme national d’investissement dans la garde d’enfants</w:t>
      </w:r>
      <w:r w:rsidR="003D0F58" w:rsidRPr="00DD03D6">
        <w:rPr>
          <w:noProof/>
          <w:lang w:val="fr-FR"/>
        </w:rPr>
        <w:t xml:space="preserve"> </w:t>
      </w:r>
      <w:r w:rsidR="005050AB">
        <w:rPr>
          <w:noProof/>
          <w:lang w:val="fr-FR"/>
        </w:rPr>
        <w:t>a succédé au Programme de garde d’enfants pour l’égalité des chances</w:t>
      </w:r>
      <w:r w:rsidR="003D0F58" w:rsidRPr="00DD03D6">
        <w:rPr>
          <w:noProof/>
          <w:lang w:val="fr-FR"/>
        </w:rPr>
        <w:t xml:space="preserve">. </w:t>
      </w:r>
      <w:r w:rsidR="005050AB">
        <w:rPr>
          <w:noProof/>
          <w:lang w:val="fr-FR"/>
        </w:rPr>
        <w:t>Intégralement financé par l’État, ce nouveau programme visait à poursuivre sur la lancée du précédent</w:t>
      </w:r>
      <w:r w:rsidR="003D0F58" w:rsidRPr="00DD03D6">
        <w:rPr>
          <w:noProof/>
          <w:lang w:val="fr-FR"/>
        </w:rPr>
        <w:t xml:space="preserve">. </w:t>
      </w:r>
      <w:r w:rsidR="005050AB">
        <w:rPr>
          <w:noProof/>
          <w:lang w:val="fr-FR"/>
        </w:rPr>
        <w:t xml:space="preserve">Entre 2006 et 2011, </w:t>
      </w:r>
      <w:r w:rsidR="003D0F58" w:rsidRPr="00DD03D6">
        <w:rPr>
          <w:noProof/>
          <w:lang w:val="fr-FR"/>
        </w:rPr>
        <w:t>185 million</w:t>
      </w:r>
      <w:r w:rsidR="005050AB">
        <w:rPr>
          <w:noProof/>
          <w:lang w:val="fr-FR"/>
        </w:rPr>
        <w:t>s d’euros ont été fournis au titre des dépenses d’équipement</w:t>
      </w:r>
      <w:r w:rsidR="003D0F58" w:rsidRPr="00DD03D6">
        <w:rPr>
          <w:noProof/>
          <w:lang w:val="fr-FR"/>
        </w:rPr>
        <w:t xml:space="preserve">. </w:t>
      </w:r>
      <w:r w:rsidR="005050AB">
        <w:rPr>
          <w:noProof/>
          <w:lang w:val="fr-FR"/>
        </w:rPr>
        <w:t>E</w:t>
      </w:r>
      <w:r w:rsidR="003D0F58" w:rsidRPr="00DD03D6">
        <w:rPr>
          <w:noProof/>
          <w:lang w:val="fr-FR"/>
        </w:rPr>
        <w:t xml:space="preserve">n </w:t>
      </w:r>
      <w:r w:rsidR="005050AB">
        <w:rPr>
          <w:noProof/>
          <w:lang w:val="fr-FR"/>
        </w:rPr>
        <w:t>outre, les subventions au titre de l’appui au recrutement qui avaient été versées dans le cadre du</w:t>
      </w:r>
      <w:r w:rsidR="00E92D3C">
        <w:rPr>
          <w:noProof/>
          <w:lang w:val="fr-FR"/>
        </w:rPr>
        <w:t xml:space="preserve"> </w:t>
      </w:r>
      <w:r w:rsidR="005050AB">
        <w:rPr>
          <w:noProof/>
          <w:lang w:val="fr-FR"/>
        </w:rPr>
        <w:t>Programme de garde d’enfants pour l’égalité des chances</w:t>
      </w:r>
      <w:r w:rsidR="005050AB" w:rsidRPr="00DD03D6">
        <w:rPr>
          <w:noProof/>
          <w:lang w:val="fr-FR"/>
        </w:rPr>
        <w:t xml:space="preserve"> </w:t>
      </w:r>
      <w:r w:rsidR="005050AB">
        <w:rPr>
          <w:noProof/>
          <w:lang w:val="fr-FR"/>
        </w:rPr>
        <w:t xml:space="preserve">ont été remplacées en </w:t>
      </w:r>
      <w:r w:rsidR="003D0F58" w:rsidRPr="00DD03D6">
        <w:rPr>
          <w:noProof/>
          <w:lang w:val="fr-FR"/>
        </w:rPr>
        <w:t xml:space="preserve">2008 </w:t>
      </w:r>
      <w:r w:rsidR="005050AB">
        <w:rPr>
          <w:noProof/>
          <w:lang w:val="fr-FR"/>
        </w:rPr>
        <w:t xml:space="preserve">par le </w:t>
      </w:r>
      <w:r w:rsidR="002133B9">
        <w:rPr>
          <w:noProof/>
          <w:lang w:val="fr-FR"/>
        </w:rPr>
        <w:t>Programme de subventions aux structures communautaires d’accueil pour les enfants</w:t>
      </w:r>
      <w:r w:rsidR="003D0F58" w:rsidRPr="00DD03D6">
        <w:rPr>
          <w:noProof/>
          <w:lang w:val="fr-FR"/>
        </w:rPr>
        <w:t xml:space="preserve">, </w:t>
      </w:r>
      <w:r w:rsidR="002133B9">
        <w:rPr>
          <w:noProof/>
          <w:lang w:val="fr-FR"/>
        </w:rPr>
        <w:t xml:space="preserve">qui se proposait de réduire les frais de garde pour les </w:t>
      </w:r>
      <w:r w:rsidR="003D0F58" w:rsidRPr="00DD03D6">
        <w:rPr>
          <w:noProof/>
          <w:lang w:val="fr-FR"/>
        </w:rPr>
        <w:t xml:space="preserve">parents </w:t>
      </w:r>
      <w:r w:rsidR="002133B9">
        <w:rPr>
          <w:noProof/>
          <w:lang w:val="fr-FR"/>
        </w:rPr>
        <w:t>à faibles revenus</w:t>
      </w:r>
      <w:r w:rsidR="003D0F58" w:rsidRPr="00DD03D6">
        <w:rPr>
          <w:noProof/>
          <w:lang w:val="fr-FR"/>
        </w:rPr>
        <w:t>.</w:t>
      </w:r>
    </w:p>
    <w:p w:rsidR="003D0F58" w:rsidRPr="00DD03D6" w:rsidRDefault="002133B9" w:rsidP="00AA3A0A">
      <w:pPr>
        <w:pStyle w:val="SingleTxtG"/>
        <w:numPr>
          <w:ilvl w:val="0"/>
          <w:numId w:val="3"/>
        </w:numPr>
        <w:ind w:left="1134" w:firstLine="0"/>
        <w:rPr>
          <w:noProof/>
          <w:lang w:val="fr-FR"/>
        </w:rPr>
      </w:pPr>
      <w:r>
        <w:rPr>
          <w:noProof/>
          <w:lang w:val="fr-FR"/>
        </w:rPr>
        <w:t xml:space="preserve">Entre </w:t>
      </w:r>
      <w:r w:rsidR="003D0F58" w:rsidRPr="00DD03D6">
        <w:rPr>
          <w:noProof/>
          <w:lang w:val="fr-FR"/>
        </w:rPr>
        <w:t>2000</w:t>
      </w:r>
      <w:r>
        <w:rPr>
          <w:noProof/>
          <w:lang w:val="fr-FR"/>
        </w:rPr>
        <w:t xml:space="preserve"> et </w:t>
      </w:r>
      <w:r w:rsidR="003D0F58" w:rsidRPr="00DD03D6">
        <w:rPr>
          <w:noProof/>
          <w:lang w:val="fr-FR"/>
        </w:rPr>
        <w:t xml:space="preserve">2011, </w:t>
      </w:r>
      <w:r>
        <w:rPr>
          <w:noProof/>
          <w:lang w:val="fr-FR"/>
        </w:rPr>
        <w:t xml:space="preserve">quelque </w:t>
      </w:r>
      <w:r w:rsidR="003D0F58" w:rsidRPr="00DD03D6">
        <w:rPr>
          <w:noProof/>
          <w:lang w:val="fr-FR"/>
        </w:rPr>
        <w:t>415 million</w:t>
      </w:r>
      <w:r>
        <w:rPr>
          <w:noProof/>
          <w:lang w:val="fr-FR"/>
        </w:rPr>
        <w:t>s d’euros ont été investis au titre des dépenses d’équipement dans le cadre du</w:t>
      </w:r>
      <w:r w:rsidR="00E92D3C">
        <w:rPr>
          <w:noProof/>
          <w:lang w:val="fr-FR"/>
        </w:rPr>
        <w:t xml:space="preserve"> </w:t>
      </w:r>
      <w:r>
        <w:rPr>
          <w:noProof/>
          <w:lang w:val="fr-FR"/>
        </w:rPr>
        <w:t>Programme de garde d’enfants pour l’égalité des chances</w:t>
      </w:r>
      <w:r w:rsidRPr="00DD03D6">
        <w:rPr>
          <w:noProof/>
          <w:lang w:val="fr-FR"/>
        </w:rPr>
        <w:t xml:space="preserve"> </w:t>
      </w:r>
      <w:r>
        <w:rPr>
          <w:noProof/>
          <w:lang w:val="fr-FR"/>
        </w:rPr>
        <w:t xml:space="preserve">et du </w:t>
      </w:r>
      <w:r>
        <w:rPr>
          <w:lang w:val="fr-FR"/>
        </w:rPr>
        <w:t xml:space="preserve">Programme national d’investissement dans la garde d’enfants. On estime que cet investissement a permis de créer environ </w:t>
      </w:r>
      <w:r w:rsidR="003D0F58" w:rsidRPr="00DD03D6">
        <w:rPr>
          <w:noProof/>
          <w:lang w:val="fr-FR"/>
        </w:rPr>
        <w:t>65</w:t>
      </w:r>
      <w:r w:rsidR="006A6F91">
        <w:rPr>
          <w:noProof/>
          <w:lang w:val="fr-FR"/>
        </w:rPr>
        <w:t> </w:t>
      </w:r>
      <w:r w:rsidR="003D0F58" w:rsidRPr="00DD03D6">
        <w:rPr>
          <w:noProof/>
          <w:lang w:val="fr-FR"/>
        </w:rPr>
        <w:t xml:space="preserve">000 </w:t>
      </w:r>
      <w:r>
        <w:rPr>
          <w:noProof/>
          <w:lang w:val="fr-FR"/>
        </w:rPr>
        <w:t xml:space="preserve">places </w:t>
      </w:r>
      <w:r w:rsidR="00912B48">
        <w:rPr>
          <w:noProof/>
          <w:lang w:val="fr-FR"/>
        </w:rPr>
        <w:t>de garderie supplémentaires en équivalent plein temps</w:t>
      </w:r>
      <w:r w:rsidR="003D0F58" w:rsidRPr="00DD03D6">
        <w:rPr>
          <w:noProof/>
          <w:lang w:val="fr-FR"/>
        </w:rPr>
        <w:t xml:space="preserve">, </w:t>
      </w:r>
      <w:r w:rsidR="006A6F91">
        <w:rPr>
          <w:noProof/>
          <w:lang w:val="fr-FR"/>
        </w:rPr>
        <w:t>dont près de 40 </w:t>
      </w:r>
      <w:r w:rsidR="003D0F58" w:rsidRPr="00DD03D6">
        <w:rPr>
          <w:noProof/>
          <w:lang w:val="fr-FR"/>
        </w:rPr>
        <w:t xml:space="preserve">000 </w:t>
      </w:r>
      <w:r w:rsidR="00912B48">
        <w:rPr>
          <w:noProof/>
          <w:lang w:val="fr-FR"/>
        </w:rPr>
        <w:t>financées au titre du premier de ces programmes</w:t>
      </w:r>
      <w:r w:rsidR="003D0F58" w:rsidRPr="00DD03D6">
        <w:rPr>
          <w:noProof/>
          <w:lang w:val="fr-FR"/>
        </w:rPr>
        <w:t>.</w:t>
      </w:r>
    </w:p>
    <w:p w:rsidR="003D0F58" w:rsidRPr="00DD03D6" w:rsidRDefault="00912B48" w:rsidP="00111EE3">
      <w:pPr>
        <w:pStyle w:val="SingleTxtG"/>
        <w:numPr>
          <w:ilvl w:val="0"/>
          <w:numId w:val="3"/>
        </w:numPr>
        <w:ind w:left="1134" w:firstLine="0"/>
        <w:rPr>
          <w:noProof/>
          <w:lang w:val="fr-FR"/>
        </w:rPr>
      </w:pPr>
      <w:r>
        <w:rPr>
          <w:noProof/>
          <w:lang w:val="fr-FR"/>
        </w:rPr>
        <w:t xml:space="preserve">Le Gouvernement fournit actuellement quelque </w:t>
      </w:r>
      <w:r w:rsidR="003D0F58" w:rsidRPr="00DD03D6">
        <w:rPr>
          <w:noProof/>
          <w:lang w:val="fr-FR"/>
        </w:rPr>
        <w:t>250 million</w:t>
      </w:r>
      <w:r>
        <w:rPr>
          <w:noProof/>
          <w:lang w:val="fr-FR"/>
        </w:rPr>
        <w:t xml:space="preserve">s d’euros à trois programmes d’appui qui permettent aux </w:t>
      </w:r>
      <w:r w:rsidR="003D0F58" w:rsidRPr="00DD03D6">
        <w:rPr>
          <w:noProof/>
          <w:lang w:val="fr-FR"/>
        </w:rPr>
        <w:t xml:space="preserve">parents </w:t>
      </w:r>
      <w:r>
        <w:rPr>
          <w:noProof/>
          <w:lang w:val="fr-FR"/>
        </w:rPr>
        <w:t>d’enfants d’âge préscolaire d’avoir accès à des services de garde et d’éducation de qualité et abordables pour leurs jeunes enfants</w:t>
      </w:r>
      <w:r w:rsidR="003D0F58" w:rsidRPr="00DD03D6">
        <w:rPr>
          <w:noProof/>
          <w:lang w:val="fr-FR"/>
        </w:rPr>
        <w:t xml:space="preserve">. </w:t>
      </w:r>
      <w:r>
        <w:rPr>
          <w:noProof/>
          <w:lang w:val="fr-FR"/>
        </w:rPr>
        <w:t xml:space="preserve">Ces </w:t>
      </w:r>
      <w:r w:rsidR="003D0F58" w:rsidRPr="00DD03D6">
        <w:rPr>
          <w:noProof/>
          <w:lang w:val="fr-FR"/>
        </w:rPr>
        <w:t xml:space="preserve">programmes – </w:t>
      </w:r>
      <w:r>
        <w:rPr>
          <w:noProof/>
          <w:lang w:val="fr-FR"/>
        </w:rPr>
        <w:t xml:space="preserve">le Programme </w:t>
      </w:r>
      <w:r w:rsidR="004972FD">
        <w:rPr>
          <w:noProof/>
          <w:lang w:val="fr-FR"/>
        </w:rPr>
        <w:t>relatif à l’année d’éducation préscolaire gratuite au titre de l</w:t>
      </w:r>
      <w:r w:rsidR="00DC69C8">
        <w:rPr>
          <w:noProof/>
          <w:lang w:val="fr-FR"/>
        </w:rPr>
        <w:t>’</w:t>
      </w:r>
      <w:r w:rsidR="004972FD">
        <w:rPr>
          <w:noProof/>
          <w:lang w:val="fr-FR"/>
        </w:rPr>
        <w:t>a</w:t>
      </w:r>
      <w:r w:rsidR="00DC69C8">
        <w:rPr>
          <w:noProof/>
          <w:lang w:val="fr-FR"/>
        </w:rPr>
        <w:t>ccueil</w:t>
      </w:r>
      <w:r w:rsidR="004972FD">
        <w:rPr>
          <w:noProof/>
          <w:lang w:val="fr-FR"/>
        </w:rPr>
        <w:t xml:space="preserve"> et de l’éducation du jeune enfant</w:t>
      </w:r>
      <w:r w:rsidR="003D0F58" w:rsidRPr="00DD03D6">
        <w:rPr>
          <w:noProof/>
          <w:lang w:val="fr-FR"/>
        </w:rPr>
        <w:t xml:space="preserve">, </w:t>
      </w:r>
      <w:r w:rsidR="004972FD">
        <w:rPr>
          <w:noProof/>
          <w:lang w:val="fr-FR"/>
        </w:rPr>
        <w:t xml:space="preserve">le Programme de subventions aux structures communautaires d’accueil pour les enfants et le Programme </w:t>
      </w:r>
      <w:r w:rsidR="005A518C">
        <w:rPr>
          <w:noProof/>
          <w:lang w:val="fr-FR"/>
        </w:rPr>
        <w:t xml:space="preserve">de garde d’enfants à l’appui d’une formation </w:t>
      </w:r>
      <w:r w:rsidR="003D0F58" w:rsidRPr="00DD03D6">
        <w:rPr>
          <w:noProof/>
          <w:lang w:val="fr-FR"/>
        </w:rPr>
        <w:t xml:space="preserve">– </w:t>
      </w:r>
      <w:r w:rsidR="005A518C">
        <w:rPr>
          <w:noProof/>
          <w:lang w:val="fr-FR"/>
        </w:rPr>
        <w:t>sont exécutés par le Ministère de l’enfance et de la jeunesse</w:t>
      </w:r>
      <w:r w:rsidR="003D0F58" w:rsidRPr="00DD03D6">
        <w:rPr>
          <w:noProof/>
          <w:lang w:val="fr-FR"/>
        </w:rPr>
        <w:t>.</w:t>
      </w:r>
    </w:p>
    <w:p w:rsidR="003D0F58" w:rsidRPr="00DD03D6" w:rsidRDefault="005A518C" w:rsidP="00111EE3">
      <w:pPr>
        <w:pStyle w:val="SingleTxtG"/>
        <w:numPr>
          <w:ilvl w:val="0"/>
          <w:numId w:val="3"/>
        </w:numPr>
        <w:ind w:left="1134" w:firstLine="0"/>
        <w:rPr>
          <w:noProof/>
          <w:lang w:val="fr-FR"/>
        </w:rPr>
      </w:pPr>
      <w:r>
        <w:rPr>
          <w:noProof/>
          <w:lang w:val="fr-FR"/>
        </w:rPr>
        <w:t>Le Programme relatif à l’année d’éducation préscolaire gratuite au titre de l</w:t>
      </w:r>
      <w:r w:rsidR="00DC69C8">
        <w:rPr>
          <w:noProof/>
          <w:lang w:val="fr-FR"/>
        </w:rPr>
        <w:t>’</w:t>
      </w:r>
      <w:r>
        <w:rPr>
          <w:noProof/>
          <w:lang w:val="fr-FR"/>
        </w:rPr>
        <w:t>a</w:t>
      </w:r>
      <w:r w:rsidR="00DC69C8">
        <w:rPr>
          <w:noProof/>
          <w:lang w:val="fr-FR"/>
        </w:rPr>
        <w:t>ccueil</w:t>
      </w:r>
      <w:r>
        <w:rPr>
          <w:noProof/>
          <w:lang w:val="fr-FR"/>
        </w:rPr>
        <w:t xml:space="preserve"> et de l’éducation du jeune enfant</w:t>
      </w:r>
      <w:r w:rsidRPr="00DD03D6">
        <w:rPr>
          <w:noProof/>
          <w:lang w:val="fr-FR"/>
        </w:rPr>
        <w:t xml:space="preserve"> </w:t>
      </w:r>
      <w:r>
        <w:rPr>
          <w:noProof/>
          <w:lang w:val="fr-FR"/>
        </w:rPr>
        <w:t xml:space="preserve">a été mis en place en janvier </w:t>
      </w:r>
      <w:r w:rsidR="003D0F58" w:rsidRPr="00DD03D6">
        <w:rPr>
          <w:noProof/>
          <w:lang w:val="fr-FR"/>
        </w:rPr>
        <w:t xml:space="preserve">2010. </w:t>
      </w:r>
      <w:r w:rsidR="00D8085C">
        <w:rPr>
          <w:noProof/>
          <w:lang w:val="fr-FR"/>
        </w:rPr>
        <w:t>C’est un programme qui offre une année préscolaire gratuite à tous les enfants réunissant les conditions requises pendant l’année qui précède l’entrée à l’école primaire et qui permet à tous les enfants d’accéder à l’éducation préscolaire</w:t>
      </w:r>
      <w:r w:rsidR="003D0F58" w:rsidRPr="00DD03D6">
        <w:rPr>
          <w:noProof/>
          <w:lang w:val="fr-FR"/>
        </w:rPr>
        <w:t xml:space="preserve">. </w:t>
      </w:r>
      <w:r w:rsidR="00D8085C">
        <w:rPr>
          <w:noProof/>
          <w:lang w:val="fr-FR"/>
        </w:rPr>
        <w:t xml:space="preserve">Quelque </w:t>
      </w:r>
      <w:r w:rsidR="003D0F58" w:rsidRPr="00DD03D6">
        <w:rPr>
          <w:noProof/>
          <w:lang w:val="fr-FR"/>
        </w:rPr>
        <w:t>65</w:t>
      </w:r>
      <w:r w:rsidR="006A6F91">
        <w:rPr>
          <w:noProof/>
          <w:lang w:val="fr-FR"/>
        </w:rPr>
        <w:t> </w:t>
      </w:r>
      <w:r w:rsidR="003D0F58" w:rsidRPr="00DD03D6">
        <w:rPr>
          <w:noProof/>
          <w:lang w:val="fr-FR"/>
        </w:rPr>
        <w:t xml:space="preserve">000 </w:t>
      </w:r>
      <w:r w:rsidR="00D8085C">
        <w:rPr>
          <w:noProof/>
          <w:lang w:val="fr-FR"/>
        </w:rPr>
        <w:t xml:space="preserve">enfants </w:t>
      </w:r>
      <w:r w:rsidR="003D0F58" w:rsidRPr="00DD03D6">
        <w:rPr>
          <w:noProof/>
          <w:lang w:val="fr-FR"/>
        </w:rPr>
        <w:t>(</w:t>
      </w:r>
      <w:r w:rsidR="00D8085C">
        <w:rPr>
          <w:noProof/>
          <w:lang w:val="fr-FR"/>
        </w:rPr>
        <w:t xml:space="preserve">soit environ </w:t>
      </w:r>
      <w:r w:rsidR="003D0F58" w:rsidRPr="00DD03D6">
        <w:rPr>
          <w:noProof/>
          <w:lang w:val="fr-FR"/>
        </w:rPr>
        <w:t>95</w:t>
      </w:r>
      <w:r w:rsidR="003F1ADB">
        <w:rPr>
          <w:noProof/>
          <w:lang w:val="fr-FR"/>
        </w:rPr>
        <w:t> %</w:t>
      </w:r>
      <w:r w:rsidR="003D0F58" w:rsidRPr="00DD03D6">
        <w:rPr>
          <w:noProof/>
          <w:lang w:val="fr-FR"/>
        </w:rPr>
        <w:t xml:space="preserve"> </w:t>
      </w:r>
      <w:r w:rsidR="00D8085C">
        <w:rPr>
          <w:noProof/>
          <w:lang w:val="fr-FR"/>
        </w:rPr>
        <w:t>des enfants dans l’année précédant l’entrée à l’école</w:t>
      </w:r>
      <w:r w:rsidR="003D0F58" w:rsidRPr="00DD03D6">
        <w:rPr>
          <w:noProof/>
          <w:lang w:val="fr-FR"/>
        </w:rPr>
        <w:t xml:space="preserve">) </w:t>
      </w:r>
      <w:r w:rsidR="00AC5657">
        <w:rPr>
          <w:noProof/>
          <w:lang w:val="fr-FR"/>
        </w:rPr>
        <w:t xml:space="preserve">profitent de cette année préscolaire gratuite, pour un coût annuel de </w:t>
      </w:r>
      <w:r w:rsidR="003D0F58" w:rsidRPr="00DD03D6">
        <w:rPr>
          <w:noProof/>
          <w:lang w:val="fr-FR"/>
        </w:rPr>
        <w:t>175 million</w:t>
      </w:r>
      <w:r w:rsidR="00AC5657">
        <w:rPr>
          <w:noProof/>
          <w:lang w:val="fr-FR"/>
        </w:rPr>
        <w:t>s d’euros</w:t>
      </w:r>
      <w:r w:rsidR="003D0F58" w:rsidRPr="00DD03D6">
        <w:rPr>
          <w:noProof/>
          <w:lang w:val="fr-FR"/>
        </w:rPr>
        <w:t xml:space="preserve">. </w:t>
      </w:r>
    </w:p>
    <w:p w:rsidR="003D0F58" w:rsidRPr="00DD03D6" w:rsidRDefault="00147C9C" w:rsidP="00AA3A0A">
      <w:pPr>
        <w:pStyle w:val="SingleTxtG"/>
        <w:numPr>
          <w:ilvl w:val="0"/>
          <w:numId w:val="3"/>
        </w:numPr>
        <w:ind w:left="1134" w:firstLine="0"/>
        <w:rPr>
          <w:noProof/>
          <w:lang w:val="fr-FR"/>
        </w:rPr>
      </w:pPr>
      <w:r>
        <w:rPr>
          <w:noProof/>
          <w:lang w:val="fr-FR"/>
        </w:rPr>
        <w:t>Mis en place en s</w:t>
      </w:r>
      <w:r w:rsidRPr="00DD03D6">
        <w:rPr>
          <w:noProof/>
          <w:lang w:val="fr-FR"/>
        </w:rPr>
        <w:t>eptemb</w:t>
      </w:r>
      <w:r>
        <w:rPr>
          <w:noProof/>
          <w:lang w:val="fr-FR"/>
        </w:rPr>
        <w:t>re</w:t>
      </w:r>
      <w:r w:rsidRPr="00DD03D6">
        <w:rPr>
          <w:noProof/>
          <w:lang w:val="fr-FR"/>
        </w:rPr>
        <w:t xml:space="preserve"> 2010</w:t>
      </w:r>
      <w:r>
        <w:rPr>
          <w:noProof/>
          <w:lang w:val="fr-FR"/>
        </w:rPr>
        <w:t>, le</w:t>
      </w:r>
      <w:r w:rsidR="00AC5657">
        <w:rPr>
          <w:noProof/>
          <w:lang w:val="fr-FR"/>
        </w:rPr>
        <w:t xml:space="preserve"> Programme de subventions aux structures communautaires d’accueil pour les enfants</w:t>
      </w:r>
      <w:r w:rsidR="00AC5657" w:rsidRPr="00DD03D6">
        <w:rPr>
          <w:noProof/>
          <w:lang w:val="fr-FR"/>
        </w:rPr>
        <w:t xml:space="preserve"> </w:t>
      </w:r>
      <w:r>
        <w:rPr>
          <w:noProof/>
          <w:lang w:val="fr-FR"/>
        </w:rPr>
        <w:t>permet aux services communautaires de garde d’enfants d</w:t>
      </w:r>
      <w:r w:rsidR="00DC69C8">
        <w:rPr>
          <w:noProof/>
          <w:lang w:val="fr-FR"/>
        </w:rPr>
        <w:t>e fournir un service de qualité</w:t>
      </w:r>
      <w:r>
        <w:rPr>
          <w:noProof/>
          <w:lang w:val="fr-FR"/>
        </w:rPr>
        <w:t xml:space="preserve"> à un coût réduit pour les parents</w:t>
      </w:r>
      <w:r w:rsidR="006E70F9">
        <w:rPr>
          <w:noProof/>
          <w:lang w:val="fr-FR"/>
        </w:rPr>
        <w:t xml:space="preserve"> défavorisés et à faible revenu qui travaillent</w:t>
      </w:r>
      <w:r w:rsidR="003D0F58" w:rsidRPr="00DD03D6">
        <w:rPr>
          <w:noProof/>
          <w:lang w:val="fr-FR"/>
        </w:rPr>
        <w:t xml:space="preserve">. </w:t>
      </w:r>
      <w:r w:rsidR="006E70F9">
        <w:rPr>
          <w:noProof/>
          <w:lang w:val="fr-FR"/>
        </w:rPr>
        <w:t>Le statut de parents défavorisés et à faible revenu est reconnu sur la base des prestations accordées en fonction des ressources, telles que la prestation d’aide sociale</w:t>
      </w:r>
      <w:r w:rsidR="003D0F58" w:rsidRPr="00DD03D6">
        <w:rPr>
          <w:noProof/>
          <w:lang w:val="fr-FR"/>
        </w:rPr>
        <w:t xml:space="preserve">, </w:t>
      </w:r>
      <w:r w:rsidR="00C147B2">
        <w:rPr>
          <w:noProof/>
          <w:lang w:val="fr-FR"/>
        </w:rPr>
        <w:t>le complément familial</w:t>
      </w:r>
      <w:r w:rsidR="003D0F58" w:rsidRPr="00DD03D6">
        <w:rPr>
          <w:noProof/>
          <w:lang w:val="fr-FR"/>
        </w:rPr>
        <w:t xml:space="preserve">, </w:t>
      </w:r>
      <w:r w:rsidR="00C147B2">
        <w:rPr>
          <w:noProof/>
          <w:lang w:val="fr-FR"/>
        </w:rPr>
        <w:t xml:space="preserve">la carte de visites chez le généraliste ou </w:t>
      </w:r>
      <w:r w:rsidR="00A038DA">
        <w:rPr>
          <w:noProof/>
          <w:lang w:val="fr-FR"/>
        </w:rPr>
        <w:t>la carte médicale</w:t>
      </w:r>
      <w:r w:rsidR="003D0F58" w:rsidRPr="00DD03D6">
        <w:rPr>
          <w:noProof/>
          <w:lang w:val="fr-FR"/>
        </w:rPr>
        <w:t xml:space="preserve">. </w:t>
      </w:r>
      <w:r w:rsidR="00A038DA">
        <w:rPr>
          <w:noProof/>
          <w:lang w:val="fr-FR"/>
        </w:rPr>
        <w:t xml:space="preserve">À l’heure actuelle, </w:t>
      </w:r>
      <w:r w:rsidR="003D0F58" w:rsidRPr="00DD03D6">
        <w:rPr>
          <w:noProof/>
          <w:lang w:val="fr-FR"/>
        </w:rPr>
        <w:t>25</w:t>
      </w:r>
      <w:r w:rsidR="006A6F91">
        <w:rPr>
          <w:noProof/>
          <w:lang w:val="fr-FR"/>
        </w:rPr>
        <w:t> </w:t>
      </w:r>
      <w:r w:rsidR="003D0F58" w:rsidRPr="00DD03D6">
        <w:rPr>
          <w:noProof/>
          <w:lang w:val="fr-FR"/>
        </w:rPr>
        <w:t xml:space="preserve">000 </w:t>
      </w:r>
      <w:r w:rsidR="00A038DA">
        <w:rPr>
          <w:noProof/>
          <w:lang w:val="fr-FR"/>
        </w:rPr>
        <w:t>enfants sont subventionnés par le programme, pour un coût annuel de plus de 40 millions d’euros</w:t>
      </w:r>
      <w:r w:rsidR="003D0F58" w:rsidRPr="00DD03D6">
        <w:rPr>
          <w:noProof/>
          <w:lang w:val="fr-FR"/>
        </w:rPr>
        <w:t>.</w:t>
      </w:r>
    </w:p>
    <w:p w:rsidR="003D0F58" w:rsidRPr="00DD03D6" w:rsidRDefault="00AC5657" w:rsidP="00AA3A0A">
      <w:pPr>
        <w:pStyle w:val="SingleTxtG"/>
        <w:numPr>
          <w:ilvl w:val="0"/>
          <w:numId w:val="3"/>
        </w:numPr>
        <w:ind w:left="1134" w:firstLine="0"/>
        <w:rPr>
          <w:noProof/>
          <w:lang w:val="fr-FR"/>
        </w:rPr>
      </w:pPr>
      <w:r>
        <w:rPr>
          <w:noProof/>
          <w:lang w:val="fr-FR"/>
        </w:rPr>
        <w:t>Le Programme de garde d’enfants à l’appui d’une formation</w:t>
      </w:r>
      <w:r w:rsidRPr="00DD03D6">
        <w:rPr>
          <w:noProof/>
          <w:lang w:val="fr-FR"/>
        </w:rPr>
        <w:t xml:space="preserve"> </w:t>
      </w:r>
      <w:r w:rsidR="00A038DA">
        <w:rPr>
          <w:noProof/>
          <w:lang w:val="fr-FR"/>
        </w:rPr>
        <w:t>a également été mis en place en septembre</w:t>
      </w:r>
      <w:r w:rsidR="003D0F58" w:rsidRPr="00DD03D6">
        <w:rPr>
          <w:noProof/>
          <w:lang w:val="fr-FR"/>
        </w:rPr>
        <w:t xml:space="preserve"> 2010. </w:t>
      </w:r>
      <w:r w:rsidR="008858AF">
        <w:rPr>
          <w:noProof/>
          <w:lang w:val="fr-FR"/>
        </w:rPr>
        <w:t>Des contrats sont passés avec des entreprises spécialisées</w:t>
      </w:r>
      <w:r w:rsidR="00BA6422">
        <w:rPr>
          <w:noProof/>
          <w:lang w:val="fr-FR"/>
        </w:rPr>
        <w:t xml:space="preserve"> pour fournir gratuitement </w:t>
      </w:r>
      <w:r w:rsidR="008858AF">
        <w:rPr>
          <w:noProof/>
          <w:lang w:val="fr-FR"/>
        </w:rPr>
        <w:t xml:space="preserve">des places de garderie aux parents </w:t>
      </w:r>
      <w:r w:rsidR="00BA6422">
        <w:rPr>
          <w:noProof/>
          <w:lang w:val="fr-FR"/>
        </w:rPr>
        <w:t xml:space="preserve">admis à </w:t>
      </w:r>
      <w:r w:rsidR="008858AF">
        <w:rPr>
          <w:noProof/>
          <w:lang w:val="fr-FR"/>
        </w:rPr>
        <w:t>suiv</w:t>
      </w:r>
      <w:r w:rsidR="00BA6422">
        <w:rPr>
          <w:noProof/>
          <w:lang w:val="fr-FR"/>
        </w:rPr>
        <w:t>re</w:t>
      </w:r>
      <w:r w:rsidR="008858AF">
        <w:rPr>
          <w:noProof/>
          <w:lang w:val="fr-FR"/>
        </w:rPr>
        <w:t xml:space="preserve"> certains programmes</w:t>
      </w:r>
      <w:r w:rsidR="008858AF" w:rsidRPr="00DD03D6">
        <w:rPr>
          <w:noProof/>
          <w:lang w:val="fr-FR"/>
        </w:rPr>
        <w:t xml:space="preserve"> </w:t>
      </w:r>
      <w:r w:rsidR="008858AF">
        <w:rPr>
          <w:noProof/>
          <w:lang w:val="fr-FR"/>
        </w:rPr>
        <w:t>de formation du Service national irlandais de formation</w:t>
      </w:r>
      <w:r w:rsidR="008858AF" w:rsidRPr="00DD03D6">
        <w:rPr>
          <w:noProof/>
          <w:lang w:val="fr-FR"/>
        </w:rPr>
        <w:t xml:space="preserve"> </w:t>
      </w:r>
      <w:r w:rsidR="00DC69C8">
        <w:rPr>
          <w:noProof/>
          <w:lang w:val="fr-FR"/>
        </w:rPr>
        <w:t>ou des</w:t>
      </w:r>
      <w:r w:rsidR="008858AF">
        <w:rPr>
          <w:noProof/>
          <w:lang w:val="fr-FR"/>
        </w:rPr>
        <w:t xml:space="preserve"> </w:t>
      </w:r>
      <w:r w:rsidR="00DC69C8">
        <w:rPr>
          <w:noProof/>
          <w:lang w:val="fr-FR"/>
        </w:rPr>
        <w:t>c</w:t>
      </w:r>
      <w:r w:rsidR="008858AF">
        <w:rPr>
          <w:noProof/>
          <w:lang w:val="fr-FR"/>
        </w:rPr>
        <w:t>omité</w:t>
      </w:r>
      <w:r w:rsidR="00DC69C8">
        <w:rPr>
          <w:noProof/>
          <w:lang w:val="fr-FR"/>
        </w:rPr>
        <w:t>s</w:t>
      </w:r>
      <w:r w:rsidR="008858AF">
        <w:rPr>
          <w:noProof/>
          <w:lang w:val="fr-FR"/>
        </w:rPr>
        <w:t xml:space="preserve"> pour l’enseignement professionnel</w:t>
      </w:r>
      <w:r w:rsidR="00BA6422">
        <w:rPr>
          <w:noProof/>
          <w:lang w:val="fr-FR"/>
        </w:rPr>
        <w:t xml:space="preserve"> pendant la durée de cette formation</w:t>
      </w:r>
      <w:r w:rsidR="008858AF" w:rsidRPr="00DD03D6">
        <w:rPr>
          <w:noProof/>
          <w:lang w:val="fr-FR"/>
        </w:rPr>
        <w:t>.</w:t>
      </w:r>
      <w:r w:rsidR="003D0F58" w:rsidRPr="00DD03D6">
        <w:rPr>
          <w:noProof/>
          <w:lang w:val="fr-FR"/>
        </w:rPr>
        <w:t xml:space="preserve"> </w:t>
      </w:r>
      <w:r w:rsidR="00BA6422">
        <w:rPr>
          <w:noProof/>
          <w:lang w:val="fr-FR"/>
        </w:rPr>
        <w:t xml:space="preserve">Quelque </w:t>
      </w:r>
      <w:r w:rsidR="003D0F58" w:rsidRPr="00DD03D6">
        <w:rPr>
          <w:noProof/>
          <w:lang w:val="fr-FR"/>
        </w:rPr>
        <w:t>2</w:t>
      </w:r>
      <w:r w:rsidR="00BA6422">
        <w:rPr>
          <w:noProof/>
          <w:lang w:val="fr-FR"/>
        </w:rPr>
        <w:t xml:space="preserve"> </w:t>
      </w:r>
      <w:r w:rsidR="003D0F58" w:rsidRPr="00DD03D6">
        <w:rPr>
          <w:noProof/>
          <w:lang w:val="fr-FR"/>
        </w:rPr>
        <w:t xml:space="preserve">500 </w:t>
      </w:r>
      <w:r w:rsidR="00BA6422">
        <w:rPr>
          <w:noProof/>
          <w:lang w:val="fr-FR"/>
        </w:rPr>
        <w:t>places en équivalent plein temps ont été fournies dans le cadre de ce</w:t>
      </w:r>
      <w:r w:rsidR="003D0F58" w:rsidRPr="00DD03D6">
        <w:rPr>
          <w:noProof/>
          <w:lang w:val="fr-FR"/>
        </w:rPr>
        <w:t xml:space="preserve"> programme </w:t>
      </w:r>
      <w:r w:rsidR="00BA6422">
        <w:rPr>
          <w:noProof/>
          <w:lang w:val="fr-FR"/>
        </w:rPr>
        <w:t>e</w:t>
      </w:r>
      <w:r w:rsidR="003D0F58" w:rsidRPr="00DD03D6">
        <w:rPr>
          <w:noProof/>
          <w:lang w:val="fr-FR"/>
        </w:rPr>
        <w:t xml:space="preserve">n 2011, </w:t>
      </w:r>
      <w:r w:rsidR="00BA6422">
        <w:rPr>
          <w:noProof/>
          <w:lang w:val="fr-FR"/>
        </w:rPr>
        <w:t>pour un coût de plus de 20 millions d’euros</w:t>
      </w:r>
      <w:r w:rsidR="003D0F58" w:rsidRPr="00DD03D6">
        <w:rPr>
          <w:noProof/>
          <w:lang w:val="fr-FR"/>
        </w:rPr>
        <w:t>.</w:t>
      </w:r>
    </w:p>
    <w:p w:rsidR="003D0F58" w:rsidRPr="00DD03D6" w:rsidRDefault="00BA6422" w:rsidP="00280125">
      <w:pPr>
        <w:pStyle w:val="SingleTxtG"/>
        <w:numPr>
          <w:ilvl w:val="0"/>
          <w:numId w:val="3"/>
        </w:numPr>
        <w:ind w:left="1134" w:firstLine="0"/>
        <w:rPr>
          <w:noProof/>
          <w:lang w:val="fr-FR"/>
        </w:rPr>
      </w:pPr>
      <w:r>
        <w:rPr>
          <w:noProof/>
          <w:lang w:val="fr-FR"/>
        </w:rPr>
        <w:t>Un Groupe consultatif d’e</w:t>
      </w:r>
      <w:r w:rsidR="003D0F58" w:rsidRPr="00DD03D6">
        <w:rPr>
          <w:noProof/>
          <w:lang w:val="fr-FR"/>
        </w:rPr>
        <w:t>xpert</w:t>
      </w:r>
      <w:r>
        <w:rPr>
          <w:noProof/>
          <w:lang w:val="fr-FR"/>
        </w:rPr>
        <w:t>s</w:t>
      </w:r>
      <w:r w:rsidR="003D0F58" w:rsidRPr="00DD03D6">
        <w:rPr>
          <w:noProof/>
          <w:lang w:val="fr-FR"/>
        </w:rPr>
        <w:t xml:space="preserve"> </w:t>
      </w:r>
      <w:r>
        <w:rPr>
          <w:noProof/>
          <w:lang w:val="fr-FR"/>
        </w:rPr>
        <w:t>a été créé pour donner des avis sur l’élaboration de la Stratégie de la petite enfance, une première en Irlande</w:t>
      </w:r>
      <w:r w:rsidR="003D0F58" w:rsidRPr="00DD03D6">
        <w:rPr>
          <w:noProof/>
          <w:lang w:val="fr-FR"/>
        </w:rPr>
        <w:t xml:space="preserve">. </w:t>
      </w:r>
      <w:r>
        <w:rPr>
          <w:noProof/>
          <w:lang w:val="fr-FR"/>
        </w:rPr>
        <w:t>Ce groupe réuni</w:t>
      </w:r>
      <w:r w:rsidR="00DC69C8">
        <w:rPr>
          <w:noProof/>
          <w:lang w:val="fr-FR"/>
        </w:rPr>
        <w:t>t</w:t>
      </w:r>
      <w:r>
        <w:rPr>
          <w:noProof/>
          <w:lang w:val="fr-FR"/>
        </w:rPr>
        <w:t xml:space="preserve"> des praticiens et des universitaires</w:t>
      </w:r>
      <w:r w:rsidR="0041376B">
        <w:rPr>
          <w:noProof/>
          <w:lang w:val="fr-FR"/>
        </w:rPr>
        <w:t xml:space="preserve"> spécialisés dans les domaines suivants : éducation préscolaire, psychologie</w:t>
      </w:r>
      <w:r w:rsidR="003D0F58" w:rsidRPr="00DD03D6">
        <w:rPr>
          <w:noProof/>
          <w:lang w:val="fr-FR"/>
        </w:rPr>
        <w:t xml:space="preserve">, </w:t>
      </w:r>
      <w:r w:rsidR="0041376B">
        <w:rPr>
          <w:noProof/>
          <w:lang w:val="fr-FR"/>
        </w:rPr>
        <w:t>développement de l’enfant</w:t>
      </w:r>
      <w:r w:rsidR="003D0F58" w:rsidRPr="00DD03D6">
        <w:rPr>
          <w:noProof/>
          <w:lang w:val="fr-FR"/>
        </w:rPr>
        <w:t xml:space="preserve">, </w:t>
      </w:r>
      <w:r w:rsidR="0041376B">
        <w:rPr>
          <w:noProof/>
          <w:lang w:val="fr-FR"/>
        </w:rPr>
        <w:t>santé</w:t>
      </w:r>
      <w:r w:rsidR="003D0F58" w:rsidRPr="00DD03D6">
        <w:rPr>
          <w:noProof/>
          <w:lang w:val="fr-FR"/>
        </w:rPr>
        <w:t xml:space="preserve">, </w:t>
      </w:r>
      <w:r w:rsidR="0041376B">
        <w:rPr>
          <w:noProof/>
          <w:lang w:val="fr-FR"/>
        </w:rPr>
        <w:t xml:space="preserve">intégration </w:t>
      </w:r>
      <w:r w:rsidR="003D0F58" w:rsidRPr="00DD03D6">
        <w:rPr>
          <w:noProof/>
          <w:lang w:val="fr-FR"/>
        </w:rPr>
        <w:t>social</w:t>
      </w:r>
      <w:r w:rsidR="0041376B">
        <w:rPr>
          <w:noProof/>
          <w:lang w:val="fr-FR"/>
        </w:rPr>
        <w:t>e</w:t>
      </w:r>
      <w:r w:rsidR="003D0F58" w:rsidRPr="00DD03D6">
        <w:rPr>
          <w:noProof/>
          <w:lang w:val="fr-FR"/>
        </w:rPr>
        <w:t xml:space="preserve"> </w:t>
      </w:r>
      <w:r w:rsidR="0041376B">
        <w:rPr>
          <w:noProof/>
          <w:lang w:val="fr-FR"/>
        </w:rPr>
        <w:t xml:space="preserve">et prestation de </w:t>
      </w:r>
      <w:r w:rsidR="003D0F58" w:rsidRPr="00DD03D6">
        <w:rPr>
          <w:noProof/>
          <w:lang w:val="fr-FR"/>
        </w:rPr>
        <w:t>service</w:t>
      </w:r>
      <w:r w:rsidR="0041376B">
        <w:rPr>
          <w:noProof/>
          <w:lang w:val="fr-FR"/>
        </w:rPr>
        <w:t>s</w:t>
      </w:r>
      <w:r w:rsidR="003D0F58" w:rsidRPr="00DD03D6">
        <w:rPr>
          <w:noProof/>
          <w:lang w:val="fr-FR"/>
        </w:rPr>
        <w:t xml:space="preserve">. </w:t>
      </w:r>
      <w:r w:rsidR="0041376B">
        <w:rPr>
          <w:noProof/>
          <w:lang w:val="fr-FR"/>
        </w:rPr>
        <w:t>Il est prévu que la future stratégie contiendra des mesures destinées à améliorer la qualité</w:t>
      </w:r>
      <w:r w:rsidR="003D0F58" w:rsidRPr="00DD03D6">
        <w:rPr>
          <w:noProof/>
          <w:lang w:val="fr-FR"/>
        </w:rPr>
        <w:t xml:space="preserve"> </w:t>
      </w:r>
      <w:r w:rsidR="0041376B">
        <w:rPr>
          <w:noProof/>
          <w:lang w:val="fr-FR"/>
        </w:rPr>
        <w:t>de la prise en charge des jeunes enfants, de l’éducation</w:t>
      </w:r>
      <w:r w:rsidR="000C6044">
        <w:rPr>
          <w:noProof/>
          <w:lang w:val="fr-FR"/>
        </w:rPr>
        <w:t xml:space="preserve"> et de</w:t>
      </w:r>
      <w:r w:rsidR="0041376B">
        <w:rPr>
          <w:noProof/>
          <w:lang w:val="fr-FR"/>
        </w:rPr>
        <w:t xml:space="preserve"> la garde d’enfants</w:t>
      </w:r>
      <w:r w:rsidR="000C6044">
        <w:rPr>
          <w:noProof/>
          <w:lang w:val="fr-FR"/>
        </w:rPr>
        <w:t>, ainsi que</w:t>
      </w:r>
      <w:r w:rsidR="0041376B">
        <w:rPr>
          <w:noProof/>
          <w:lang w:val="fr-FR"/>
        </w:rPr>
        <w:t xml:space="preserve"> les résultats scolaires, à avancer la réalisation des objectifs de la Stratégie nationale </w:t>
      </w:r>
      <w:r w:rsidR="0041376B">
        <w:rPr>
          <w:noProof/>
          <w:lang w:val="fr-FR"/>
        </w:rPr>
        <w:lastRenderedPageBreak/>
        <w:t>d’amélioration de l’apprentissage de la lecture, de l’écriture et du calcul</w:t>
      </w:r>
      <w:r w:rsidR="00E92D3C">
        <w:rPr>
          <w:noProof/>
          <w:lang w:val="fr-FR"/>
        </w:rPr>
        <w:t xml:space="preserve"> </w:t>
      </w:r>
      <w:r w:rsidR="0041376B">
        <w:rPr>
          <w:noProof/>
          <w:lang w:val="fr-FR"/>
        </w:rPr>
        <w:t>(</w:t>
      </w:r>
      <w:r w:rsidR="003D0F58" w:rsidRPr="00DD03D6">
        <w:rPr>
          <w:noProof/>
          <w:lang w:val="fr-FR"/>
        </w:rPr>
        <w:t xml:space="preserve">2011), </w:t>
      </w:r>
      <w:r w:rsidR="0041376B">
        <w:rPr>
          <w:noProof/>
          <w:lang w:val="fr-FR"/>
        </w:rPr>
        <w:t>à améliorer la santé et le bien-être physique, y compris en donnant suite aux conclusion</w:t>
      </w:r>
      <w:r w:rsidR="00DC69C8">
        <w:rPr>
          <w:noProof/>
          <w:lang w:val="fr-FR"/>
        </w:rPr>
        <w:t>s</w:t>
      </w:r>
      <w:r w:rsidR="0041376B">
        <w:rPr>
          <w:noProof/>
          <w:lang w:val="fr-FR"/>
        </w:rPr>
        <w:t xml:space="preserve"> de l’étude </w:t>
      </w:r>
      <w:r w:rsidR="0041376B" w:rsidRPr="00DD03D6">
        <w:rPr>
          <w:i/>
          <w:iCs/>
          <w:noProof/>
          <w:lang w:val="fr-FR"/>
        </w:rPr>
        <w:t>Gr</w:t>
      </w:r>
      <w:r w:rsidR="0041376B">
        <w:rPr>
          <w:i/>
          <w:iCs/>
          <w:noProof/>
          <w:lang w:val="fr-FR"/>
        </w:rPr>
        <w:t xml:space="preserve">andir en </w:t>
      </w:r>
      <w:r w:rsidR="0041376B" w:rsidRPr="00DD03D6">
        <w:rPr>
          <w:i/>
          <w:iCs/>
          <w:noProof/>
          <w:lang w:val="fr-FR"/>
        </w:rPr>
        <w:t>Irland</w:t>
      </w:r>
      <w:r w:rsidR="0041376B">
        <w:rPr>
          <w:i/>
          <w:iCs/>
          <w:noProof/>
          <w:lang w:val="fr-FR"/>
        </w:rPr>
        <w:t>e</w:t>
      </w:r>
      <w:r w:rsidR="0041376B" w:rsidRPr="00DD03D6">
        <w:rPr>
          <w:noProof/>
          <w:lang w:val="fr-FR"/>
        </w:rPr>
        <w:t xml:space="preserve"> </w:t>
      </w:r>
      <w:r w:rsidR="0041376B">
        <w:rPr>
          <w:noProof/>
          <w:lang w:val="fr-FR"/>
        </w:rPr>
        <w:t xml:space="preserve">en ce qui concerne le poids et l’obésité, à </w:t>
      </w:r>
      <w:r w:rsidR="003D0F58" w:rsidRPr="00DD03D6">
        <w:rPr>
          <w:noProof/>
          <w:lang w:val="fr-FR"/>
        </w:rPr>
        <w:t>examine</w:t>
      </w:r>
      <w:r w:rsidR="0041376B">
        <w:rPr>
          <w:noProof/>
          <w:lang w:val="fr-FR"/>
        </w:rPr>
        <w:t>r les approches ciblées concernant les enfants défavorisés et à amener les parents à s’impliquer d’une manière plus positive dans les soins et l’éducation à donner à leurs jeunes enfants</w:t>
      </w:r>
      <w:r w:rsidR="003D0F58" w:rsidRPr="00DD03D6">
        <w:rPr>
          <w:noProof/>
          <w:lang w:val="fr-FR"/>
        </w:rPr>
        <w:t>.</w:t>
      </w:r>
    </w:p>
    <w:p w:rsidR="003D0F58" w:rsidRPr="00DD03D6" w:rsidRDefault="00280125" w:rsidP="00280125">
      <w:pPr>
        <w:pStyle w:val="H1G"/>
        <w:rPr>
          <w:noProof/>
          <w:lang w:val="fr-FR"/>
        </w:rPr>
      </w:pPr>
      <w:bookmarkStart w:id="42" w:name="_Toc356430870"/>
      <w:r w:rsidRPr="00DD03D6">
        <w:rPr>
          <w:noProof/>
          <w:lang w:val="fr-FR"/>
        </w:rPr>
        <w:tab/>
      </w:r>
      <w:r w:rsidR="003D0F58" w:rsidRPr="00DD03D6">
        <w:rPr>
          <w:noProof/>
          <w:lang w:val="fr-FR"/>
        </w:rPr>
        <w:t>C.</w:t>
      </w:r>
      <w:r w:rsidR="003D0F58" w:rsidRPr="00DD03D6">
        <w:rPr>
          <w:noProof/>
          <w:lang w:val="fr-FR"/>
        </w:rPr>
        <w:tab/>
      </w:r>
      <w:bookmarkEnd w:id="42"/>
      <w:r w:rsidR="0067612A" w:rsidRPr="00DD03D6">
        <w:rPr>
          <w:noProof/>
          <w:lang w:val="fr-FR"/>
        </w:rPr>
        <w:t>S</w:t>
      </w:r>
      <w:r w:rsidR="0067612A">
        <w:rPr>
          <w:noProof/>
          <w:lang w:val="fr-FR"/>
        </w:rPr>
        <w:t>é</w:t>
      </w:r>
      <w:r w:rsidR="0067612A" w:rsidRPr="00DD03D6">
        <w:rPr>
          <w:noProof/>
          <w:lang w:val="fr-FR"/>
        </w:rPr>
        <w:t xml:space="preserve">paration </w:t>
      </w:r>
      <w:r w:rsidR="0067612A">
        <w:rPr>
          <w:noProof/>
          <w:lang w:val="fr-FR"/>
        </w:rPr>
        <w:t xml:space="preserve">d’avec les </w:t>
      </w:r>
      <w:r w:rsidR="0067612A" w:rsidRPr="00DD03D6">
        <w:rPr>
          <w:noProof/>
          <w:lang w:val="fr-FR"/>
        </w:rPr>
        <w:t>parents</w:t>
      </w:r>
    </w:p>
    <w:p w:rsidR="003D0F58" w:rsidRPr="00DD03D6" w:rsidRDefault="0067612A" w:rsidP="00E77652">
      <w:pPr>
        <w:pStyle w:val="SingleTxtG"/>
        <w:numPr>
          <w:ilvl w:val="0"/>
          <w:numId w:val="3"/>
        </w:numPr>
        <w:ind w:left="1134" w:firstLine="0"/>
        <w:rPr>
          <w:noProof/>
          <w:lang w:val="fr-FR"/>
        </w:rPr>
      </w:pPr>
      <w:r>
        <w:rPr>
          <w:noProof/>
          <w:lang w:val="fr-FR"/>
        </w:rPr>
        <w:t>Cette question a été traitée de façon dé</w:t>
      </w:r>
      <w:r w:rsidR="00DC69C8">
        <w:rPr>
          <w:noProof/>
          <w:lang w:val="fr-FR"/>
        </w:rPr>
        <w:t>t</w:t>
      </w:r>
      <w:r>
        <w:rPr>
          <w:noProof/>
          <w:lang w:val="fr-FR"/>
        </w:rPr>
        <w:t>aillée dans le rapport initial et le deuxième rapport périodique de l’Irlande</w:t>
      </w:r>
      <w:r w:rsidR="003D0F58" w:rsidRPr="00DD03D6">
        <w:rPr>
          <w:rStyle w:val="Appelnotedebasdep"/>
          <w:noProof/>
          <w:lang w:val="fr-FR"/>
        </w:rPr>
        <w:footnoteReference w:id="27"/>
      </w:r>
      <w:r>
        <w:rPr>
          <w:noProof/>
          <w:lang w:val="fr-FR"/>
        </w:rPr>
        <w:t>.</w:t>
      </w:r>
      <w:r w:rsidR="003D0F58" w:rsidRPr="00DD03D6">
        <w:rPr>
          <w:noProof/>
          <w:lang w:val="fr-FR"/>
        </w:rPr>
        <w:t xml:space="preserve"> </w:t>
      </w:r>
      <w:r>
        <w:rPr>
          <w:noProof/>
          <w:lang w:val="fr-FR"/>
        </w:rPr>
        <w:t>Les dispositions décrites dans ces rapports demeurent en vigueur</w:t>
      </w:r>
      <w:r w:rsidR="003D0F58" w:rsidRPr="00DD03D6">
        <w:rPr>
          <w:noProof/>
          <w:lang w:val="fr-FR"/>
        </w:rPr>
        <w:t>.</w:t>
      </w:r>
    </w:p>
    <w:p w:rsidR="003D0F58" w:rsidRPr="00DD03D6" w:rsidRDefault="0067612A" w:rsidP="00280125">
      <w:pPr>
        <w:pStyle w:val="SingleTxtG"/>
        <w:numPr>
          <w:ilvl w:val="0"/>
          <w:numId w:val="3"/>
        </w:numPr>
        <w:ind w:left="1134" w:firstLine="0"/>
        <w:rPr>
          <w:noProof/>
          <w:lang w:val="fr-FR"/>
        </w:rPr>
      </w:pPr>
      <w:r>
        <w:rPr>
          <w:noProof/>
          <w:lang w:val="fr-FR"/>
        </w:rPr>
        <w:t xml:space="preserve">La Direction des services de santé </w:t>
      </w:r>
      <w:r w:rsidR="005B69F6">
        <w:rPr>
          <w:noProof/>
          <w:lang w:val="fr-FR"/>
        </w:rPr>
        <w:t xml:space="preserve">assure des services en dehors des heures </w:t>
      </w:r>
      <w:r w:rsidR="00DC69C8">
        <w:rPr>
          <w:noProof/>
          <w:lang w:val="fr-FR"/>
        </w:rPr>
        <w:t xml:space="preserve">habituelles </w:t>
      </w:r>
      <w:r w:rsidR="005B69F6">
        <w:rPr>
          <w:noProof/>
          <w:lang w:val="fr-FR"/>
        </w:rPr>
        <w:t>de travail dans l’agglomération de</w:t>
      </w:r>
      <w:r w:rsidR="003D0F58" w:rsidRPr="00DD03D6">
        <w:rPr>
          <w:noProof/>
          <w:lang w:val="fr-FR"/>
        </w:rPr>
        <w:t xml:space="preserve"> </w:t>
      </w:r>
      <w:r w:rsidR="005B69F6" w:rsidRPr="00DD03D6">
        <w:rPr>
          <w:noProof/>
          <w:lang w:val="fr-FR"/>
        </w:rPr>
        <w:t xml:space="preserve">Dublin </w:t>
      </w:r>
      <w:r w:rsidR="005B69F6">
        <w:rPr>
          <w:noProof/>
          <w:lang w:val="fr-FR"/>
        </w:rPr>
        <w:t>par le biais du Service d’i</w:t>
      </w:r>
      <w:r w:rsidR="003D0F58" w:rsidRPr="00DD03D6">
        <w:rPr>
          <w:noProof/>
          <w:lang w:val="fr-FR"/>
        </w:rPr>
        <w:t xml:space="preserve">ntervention </w:t>
      </w:r>
      <w:r w:rsidR="005B69F6">
        <w:rPr>
          <w:noProof/>
          <w:lang w:val="fr-FR"/>
        </w:rPr>
        <w:t xml:space="preserve">en cas de crise et, en dehors de cette agglomération, </w:t>
      </w:r>
      <w:r w:rsidR="00B86C13">
        <w:rPr>
          <w:noProof/>
          <w:lang w:val="fr-FR"/>
        </w:rPr>
        <w:t>du Service de placement en lieu sûr en cas d’urgence</w:t>
      </w:r>
      <w:r w:rsidR="003D0F58" w:rsidRPr="00DD03D6">
        <w:rPr>
          <w:noProof/>
          <w:lang w:val="fr-FR"/>
        </w:rPr>
        <w:t xml:space="preserve">. </w:t>
      </w:r>
      <w:r w:rsidR="00054543">
        <w:rPr>
          <w:noProof/>
          <w:lang w:val="fr-FR"/>
        </w:rPr>
        <w:t>Le Service d’i</w:t>
      </w:r>
      <w:r w:rsidR="00054543" w:rsidRPr="00DD03D6">
        <w:rPr>
          <w:noProof/>
          <w:lang w:val="fr-FR"/>
        </w:rPr>
        <w:t xml:space="preserve">ntervention </w:t>
      </w:r>
      <w:r w:rsidR="00054543">
        <w:rPr>
          <w:noProof/>
          <w:lang w:val="fr-FR"/>
        </w:rPr>
        <w:t xml:space="preserve">en cas de crise fonctionne dans </w:t>
      </w:r>
      <w:r w:rsidR="003D0F58" w:rsidRPr="00DD03D6">
        <w:rPr>
          <w:noProof/>
          <w:lang w:val="fr-FR"/>
        </w:rPr>
        <w:t xml:space="preserve">10 </w:t>
      </w:r>
      <w:r w:rsidR="00054543">
        <w:rPr>
          <w:noProof/>
          <w:lang w:val="fr-FR"/>
        </w:rPr>
        <w:t xml:space="preserve">bureaux de santé locaux et fournit une aide sociale d’urgence en dehors des heures </w:t>
      </w:r>
      <w:r w:rsidR="00DC69C8">
        <w:rPr>
          <w:noProof/>
          <w:lang w:val="fr-FR"/>
        </w:rPr>
        <w:t xml:space="preserve">habituelles </w:t>
      </w:r>
      <w:r w:rsidR="00054543">
        <w:rPr>
          <w:noProof/>
          <w:lang w:val="fr-FR"/>
        </w:rPr>
        <w:t>de travail aux jeunes en situation de crise</w:t>
      </w:r>
      <w:r w:rsidR="003D0F58" w:rsidRPr="00DD03D6">
        <w:rPr>
          <w:noProof/>
          <w:lang w:val="fr-FR"/>
        </w:rPr>
        <w:t xml:space="preserve">. </w:t>
      </w:r>
      <w:r w:rsidR="00054543">
        <w:rPr>
          <w:noProof/>
          <w:lang w:val="fr-FR"/>
        </w:rPr>
        <w:t>Créé en 1992, ce Service a initialement répondu aux besoins des jeunes âgés de 12 à 18 ans</w:t>
      </w:r>
      <w:r w:rsidR="003D0F58" w:rsidRPr="00DD03D6">
        <w:rPr>
          <w:noProof/>
          <w:lang w:val="fr-FR"/>
        </w:rPr>
        <w:t xml:space="preserve">. </w:t>
      </w:r>
      <w:r w:rsidR="00054543">
        <w:rPr>
          <w:noProof/>
          <w:lang w:val="fr-FR"/>
        </w:rPr>
        <w:t xml:space="preserve">Depuis </w:t>
      </w:r>
      <w:r w:rsidR="003D0F58" w:rsidRPr="00DD03D6">
        <w:rPr>
          <w:noProof/>
          <w:lang w:val="fr-FR"/>
        </w:rPr>
        <w:t xml:space="preserve">2005, </w:t>
      </w:r>
      <w:r w:rsidR="00054543">
        <w:rPr>
          <w:noProof/>
          <w:lang w:val="fr-FR"/>
        </w:rPr>
        <w:t>il s’adresse à tous les enfants jusqu’à l’âge de 18 ans</w:t>
      </w:r>
      <w:r w:rsidR="003D0F58" w:rsidRPr="00DD03D6">
        <w:rPr>
          <w:noProof/>
          <w:lang w:val="fr-FR"/>
        </w:rPr>
        <w:t xml:space="preserve">. </w:t>
      </w:r>
      <w:r w:rsidR="00054543">
        <w:rPr>
          <w:noProof/>
          <w:lang w:val="fr-FR"/>
        </w:rPr>
        <w:t>E</w:t>
      </w:r>
      <w:r w:rsidR="003D0F58" w:rsidRPr="00DD03D6">
        <w:rPr>
          <w:noProof/>
          <w:lang w:val="fr-FR"/>
        </w:rPr>
        <w:t xml:space="preserve">n </w:t>
      </w:r>
      <w:r w:rsidR="00054543">
        <w:rPr>
          <w:noProof/>
          <w:lang w:val="fr-FR"/>
        </w:rPr>
        <w:t xml:space="preserve">juin </w:t>
      </w:r>
      <w:r w:rsidR="003D0F58" w:rsidRPr="00DD03D6">
        <w:rPr>
          <w:noProof/>
          <w:lang w:val="fr-FR"/>
        </w:rPr>
        <w:t xml:space="preserve">2009, </w:t>
      </w:r>
      <w:r w:rsidR="00054543">
        <w:rPr>
          <w:noProof/>
          <w:lang w:val="fr-FR"/>
        </w:rPr>
        <w:t xml:space="preserve">la Direction des services de santé a créé </w:t>
      </w:r>
      <w:r w:rsidR="006043C7">
        <w:rPr>
          <w:noProof/>
          <w:lang w:val="fr-FR"/>
        </w:rPr>
        <w:t xml:space="preserve">le </w:t>
      </w:r>
      <w:r w:rsidR="00054543">
        <w:rPr>
          <w:noProof/>
          <w:lang w:val="fr-FR"/>
        </w:rPr>
        <w:t>Service de placement en lieu sûr en cas d’urgence</w:t>
      </w:r>
      <w:r w:rsidR="003D0F58" w:rsidRPr="00DD03D6">
        <w:rPr>
          <w:noProof/>
          <w:lang w:val="fr-FR"/>
        </w:rPr>
        <w:t xml:space="preserve">, </w:t>
      </w:r>
      <w:r w:rsidR="00054543">
        <w:rPr>
          <w:noProof/>
          <w:lang w:val="fr-FR"/>
        </w:rPr>
        <w:t xml:space="preserve">grâce auquel les </w:t>
      </w:r>
      <w:r w:rsidR="00DC69C8">
        <w:rPr>
          <w:noProof/>
          <w:lang w:val="fr-FR"/>
        </w:rPr>
        <w:t>membres de la Garda</w:t>
      </w:r>
      <w:r w:rsidR="003D0F58" w:rsidRPr="00DD03D6">
        <w:rPr>
          <w:noProof/>
          <w:lang w:val="fr-FR"/>
        </w:rPr>
        <w:t xml:space="preserve"> </w:t>
      </w:r>
      <w:r w:rsidR="00054543">
        <w:rPr>
          <w:noProof/>
          <w:lang w:val="fr-FR"/>
        </w:rPr>
        <w:t>peuvent</w:t>
      </w:r>
      <w:r w:rsidR="006043C7">
        <w:rPr>
          <w:noProof/>
          <w:lang w:val="fr-FR"/>
        </w:rPr>
        <w:t>,</w:t>
      </w:r>
      <w:r w:rsidR="00054543">
        <w:rPr>
          <w:noProof/>
          <w:lang w:val="fr-FR"/>
        </w:rPr>
        <w:t xml:space="preserve"> </w:t>
      </w:r>
      <w:r w:rsidR="006043C7">
        <w:rPr>
          <w:noProof/>
          <w:lang w:val="fr-FR"/>
        </w:rPr>
        <w:t xml:space="preserve">en vertu de l’article 12 de la loi de 1991 sur la protection de l’enfance, </w:t>
      </w:r>
      <w:r w:rsidR="00054543">
        <w:rPr>
          <w:noProof/>
          <w:lang w:val="fr-FR"/>
        </w:rPr>
        <w:t xml:space="preserve">trouver en dehors des heures </w:t>
      </w:r>
      <w:r w:rsidR="00DC69C8">
        <w:rPr>
          <w:noProof/>
          <w:lang w:val="fr-FR"/>
        </w:rPr>
        <w:t xml:space="preserve">habituelles </w:t>
      </w:r>
      <w:r w:rsidR="00054543">
        <w:rPr>
          <w:noProof/>
          <w:lang w:val="fr-FR"/>
        </w:rPr>
        <w:t>de travail un lieu sûr pour les enfants et les jeunes qu’ils considèrent comme exposés à un risque</w:t>
      </w:r>
      <w:r w:rsidR="003D0F58" w:rsidRPr="00DD03D6">
        <w:rPr>
          <w:noProof/>
          <w:lang w:val="fr-FR"/>
        </w:rPr>
        <w:t xml:space="preserve">. </w:t>
      </w:r>
      <w:r w:rsidR="006043C7">
        <w:rPr>
          <w:noProof/>
          <w:lang w:val="fr-FR"/>
        </w:rPr>
        <w:t xml:space="preserve">Ce </w:t>
      </w:r>
      <w:r w:rsidR="003D0F58" w:rsidRPr="00DD03D6">
        <w:rPr>
          <w:noProof/>
          <w:lang w:val="fr-FR"/>
        </w:rPr>
        <w:t xml:space="preserve">Service </w:t>
      </w:r>
      <w:r w:rsidR="006043C7">
        <w:rPr>
          <w:noProof/>
          <w:lang w:val="fr-FR"/>
        </w:rPr>
        <w:t>prend en charge d’une manière uniformisée à l’échelle du pays les enfants qui peuvent faire l’objet d’un placement approprié dans un cadre familial</w:t>
      </w:r>
      <w:r w:rsidR="003D0F58" w:rsidRPr="00DD03D6">
        <w:rPr>
          <w:noProof/>
          <w:lang w:val="fr-FR"/>
        </w:rPr>
        <w:t xml:space="preserve">. </w:t>
      </w:r>
      <w:r w:rsidR="006043C7">
        <w:rPr>
          <w:noProof/>
          <w:lang w:val="fr-FR"/>
        </w:rPr>
        <w:t xml:space="preserve">Il </w:t>
      </w:r>
      <w:r w:rsidR="00602BDA">
        <w:rPr>
          <w:noProof/>
          <w:lang w:val="fr-FR"/>
        </w:rPr>
        <w:t xml:space="preserve">fonctionne </w:t>
      </w:r>
      <w:r w:rsidR="006043C7">
        <w:rPr>
          <w:noProof/>
          <w:lang w:val="fr-FR"/>
        </w:rPr>
        <w:t xml:space="preserve">en dehors </w:t>
      </w:r>
      <w:r w:rsidR="00602BDA">
        <w:rPr>
          <w:noProof/>
          <w:lang w:val="fr-FR"/>
        </w:rPr>
        <w:t xml:space="preserve">des </w:t>
      </w:r>
      <w:r w:rsidR="00121739">
        <w:rPr>
          <w:noProof/>
          <w:lang w:val="fr-FR"/>
        </w:rPr>
        <w:t>zones</w:t>
      </w:r>
      <w:r w:rsidR="00602BDA">
        <w:rPr>
          <w:noProof/>
          <w:lang w:val="fr-FR"/>
        </w:rPr>
        <w:t xml:space="preserve"> de </w:t>
      </w:r>
      <w:r w:rsidR="003D0F58" w:rsidRPr="00DD03D6">
        <w:rPr>
          <w:noProof/>
          <w:lang w:val="fr-FR"/>
        </w:rPr>
        <w:t xml:space="preserve">Dublin, Kildare </w:t>
      </w:r>
      <w:r w:rsidR="00602BDA">
        <w:rPr>
          <w:noProof/>
          <w:lang w:val="fr-FR"/>
        </w:rPr>
        <w:t xml:space="preserve">et </w:t>
      </w:r>
      <w:r w:rsidR="003D0F58" w:rsidRPr="00DD03D6">
        <w:rPr>
          <w:noProof/>
          <w:lang w:val="fr-FR"/>
        </w:rPr>
        <w:t xml:space="preserve">Wicklow. </w:t>
      </w:r>
      <w:r w:rsidR="00121739">
        <w:rPr>
          <w:noProof/>
          <w:lang w:val="fr-FR"/>
        </w:rPr>
        <w:t xml:space="preserve">Ces </w:t>
      </w:r>
      <w:r w:rsidR="003D0F58" w:rsidRPr="00DD03D6">
        <w:rPr>
          <w:noProof/>
          <w:lang w:val="fr-FR"/>
        </w:rPr>
        <w:t xml:space="preserve">services </w:t>
      </w:r>
      <w:r w:rsidR="00121739">
        <w:rPr>
          <w:noProof/>
          <w:lang w:val="fr-FR"/>
        </w:rPr>
        <w:t>sont actuellement disponbles pour ces zones</w:t>
      </w:r>
      <w:r w:rsidR="003D0F58" w:rsidRPr="00DD03D6">
        <w:rPr>
          <w:noProof/>
          <w:lang w:val="fr-FR"/>
        </w:rPr>
        <w:t xml:space="preserve">. </w:t>
      </w:r>
      <w:r w:rsidR="00121739">
        <w:rPr>
          <w:noProof/>
          <w:lang w:val="fr-FR"/>
        </w:rPr>
        <w:t xml:space="preserve">En 2011, deux projets pilotes ont commencé à être exécutés, à </w:t>
      </w:r>
      <w:r w:rsidR="003D0F58" w:rsidRPr="00DD03D6">
        <w:rPr>
          <w:noProof/>
          <w:lang w:val="fr-FR"/>
        </w:rPr>
        <w:t xml:space="preserve">Cork </w:t>
      </w:r>
      <w:r w:rsidR="00121739">
        <w:rPr>
          <w:noProof/>
          <w:lang w:val="fr-FR"/>
        </w:rPr>
        <w:t>et</w:t>
      </w:r>
      <w:r w:rsidR="003D0F58" w:rsidRPr="00DD03D6">
        <w:rPr>
          <w:noProof/>
          <w:lang w:val="fr-FR"/>
        </w:rPr>
        <w:t xml:space="preserve"> Donegal, </w:t>
      </w:r>
      <w:r w:rsidR="00121739">
        <w:rPr>
          <w:noProof/>
          <w:lang w:val="fr-FR"/>
        </w:rPr>
        <w:t xml:space="preserve">pour élaborer un modèle de prestation d’aide sociale en dehors des heures </w:t>
      </w:r>
      <w:r w:rsidR="00DC69C8">
        <w:rPr>
          <w:noProof/>
          <w:lang w:val="fr-FR"/>
        </w:rPr>
        <w:t xml:space="preserve">habituelles </w:t>
      </w:r>
      <w:r w:rsidR="00121739">
        <w:rPr>
          <w:noProof/>
          <w:lang w:val="fr-FR"/>
        </w:rPr>
        <w:t>de travail</w:t>
      </w:r>
      <w:r w:rsidR="003D0F58" w:rsidRPr="00DD03D6">
        <w:rPr>
          <w:noProof/>
          <w:lang w:val="fr-FR"/>
        </w:rPr>
        <w:t xml:space="preserve">. </w:t>
      </w:r>
      <w:r w:rsidR="00121739">
        <w:rPr>
          <w:noProof/>
          <w:lang w:val="fr-FR"/>
        </w:rPr>
        <w:t xml:space="preserve">Ils ont fait l’objet d’une évaluation </w:t>
      </w:r>
      <w:r w:rsidR="003D0F58" w:rsidRPr="00DD03D6">
        <w:rPr>
          <w:noProof/>
          <w:lang w:val="fr-FR"/>
        </w:rPr>
        <w:t>ind</w:t>
      </w:r>
      <w:r w:rsidR="00121739">
        <w:rPr>
          <w:noProof/>
          <w:lang w:val="fr-FR"/>
        </w:rPr>
        <w:t>épendante</w:t>
      </w:r>
      <w:r w:rsidR="003D0F58" w:rsidRPr="00DD03D6">
        <w:rPr>
          <w:noProof/>
          <w:lang w:val="fr-FR"/>
        </w:rPr>
        <w:t>.</w:t>
      </w:r>
    </w:p>
    <w:p w:rsidR="003D0F58" w:rsidRPr="00DD03D6" w:rsidRDefault="00280125" w:rsidP="0079249F">
      <w:pPr>
        <w:pStyle w:val="H1G"/>
        <w:rPr>
          <w:noProof/>
          <w:lang w:val="fr-FR"/>
        </w:rPr>
      </w:pPr>
      <w:bookmarkStart w:id="43" w:name="_Toc356430871"/>
      <w:r w:rsidRPr="00DD03D6">
        <w:rPr>
          <w:noProof/>
          <w:lang w:val="fr-FR"/>
        </w:rPr>
        <w:tab/>
      </w:r>
      <w:r w:rsidR="003D0F58" w:rsidRPr="00DD03D6">
        <w:rPr>
          <w:noProof/>
          <w:lang w:val="fr-FR"/>
        </w:rPr>
        <w:t>D.</w:t>
      </w:r>
      <w:r w:rsidR="003D0F58" w:rsidRPr="00DD03D6">
        <w:rPr>
          <w:noProof/>
          <w:lang w:val="fr-FR"/>
        </w:rPr>
        <w:tab/>
      </w:r>
      <w:bookmarkEnd w:id="43"/>
      <w:r w:rsidR="00121739">
        <w:rPr>
          <w:noProof/>
          <w:lang w:val="fr-FR"/>
        </w:rPr>
        <w:t>Regroupement familial</w:t>
      </w:r>
    </w:p>
    <w:p w:rsidR="00CB5702" w:rsidRPr="00DD03D6" w:rsidRDefault="00121739" w:rsidP="00E77652">
      <w:pPr>
        <w:pStyle w:val="SingleTxtG"/>
        <w:numPr>
          <w:ilvl w:val="0"/>
          <w:numId w:val="3"/>
        </w:numPr>
        <w:ind w:left="1134" w:firstLine="0"/>
        <w:rPr>
          <w:noProof/>
          <w:lang w:val="fr-FR"/>
        </w:rPr>
      </w:pPr>
      <w:r>
        <w:rPr>
          <w:noProof/>
          <w:lang w:val="fr-FR"/>
        </w:rPr>
        <w:t>Le deuxième rapport périodique de l’Irlande a décrit en détail les dispositions régissant le regroupement familial contenues dans la loi de 1996 sur les réfugiés (telle que modifiée)</w:t>
      </w:r>
      <w:r w:rsidR="003D0F58" w:rsidRPr="00DD03D6">
        <w:rPr>
          <w:rStyle w:val="Appelnotedebasdep"/>
          <w:noProof/>
          <w:lang w:val="fr-FR"/>
        </w:rPr>
        <w:footnoteReference w:id="28"/>
      </w:r>
      <w:r>
        <w:rPr>
          <w:noProof/>
          <w:lang w:val="fr-FR"/>
        </w:rPr>
        <w:t>.</w:t>
      </w:r>
      <w:r w:rsidR="003D0F58" w:rsidRPr="00DD03D6">
        <w:rPr>
          <w:noProof/>
          <w:lang w:val="fr-FR"/>
        </w:rPr>
        <w:t xml:space="preserve"> </w:t>
      </w:r>
      <w:r>
        <w:rPr>
          <w:noProof/>
          <w:lang w:val="fr-FR"/>
        </w:rPr>
        <w:t>Ces dispositions sont toujours en vigueur</w:t>
      </w:r>
      <w:r w:rsidR="003D0F58" w:rsidRPr="00DD03D6">
        <w:rPr>
          <w:noProof/>
          <w:lang w:val="fr-FR"/>
        </w:rPr>
        <w:t>.</w:t>
      </w:r>
    </w:p>
    <w:p w:rsidR="003D0F58" w:rsidRPr="00DD03D6" w:rsidRDefault="00CD34E8" w:rsidP="00CB5702">
      <w:pPr>
        <w:pStyle w:val="SingleTxtG"/>
        <w:numPr>
          <w:ilvl w:val="0"/>
          <w:numId w:val="3"/>
        </w:numPr>
        <w:ind w:left="1134" w:firstLine="0"/>
        <w:rPr>
          <w:noProof/>
          <w:lang w:val="fr-FR"/>
        </w:rPr>
      </w:pPr>
      <w:r>
        <w:rPr>
          <w:noProof/>
          <w:lang w:val="fr-FR"/>
        </w:rPr>
        <w:t xml:space="preserve">Le nombre de demandes d’asile présentées par des mineurs non accompagnés a continué de diminuer depuis son pic de 600 atteint en </w:t>
      </w:r>
      <w:r w:rsidR="003D0F58" w:rsidRPr="00DD03D6">
        <w:rPr>
          <w:noProof/>
          <w:lang w:val="fr-FR"/>
        </w:rPr>
        <w:t xml:space="preserve">2001. </w:t>
      </w:r>
      <w:r w:rsidR="00D9176C">
        <w:rPr>
          <w:noProof/>
          <w:lang w:val="fr-FR"/>
        </w:rPr>
        <w:t>Le tableau 5 montre le nombre de demandes présentées par des garçons et des filles âgés de moins de 18 ans</w:t>
      </w:r>
      <w:r w:rsidR="003D0F58" w:rsidRPr="00DD03D6">
        <w:rPr>
          <w:noProof/>
          <w:lang w:val="fr-FR"/>
        </w:rPr>
        <w:t>.</w:t>
      </w:r>
    </w:p>
    <w:p w:rsidR="003D0F58" w:rsidRPr="00DD03D6" w:rsidRDefault="00952CC1" w:rsidP="006A6F91">
      <w:pPr>
        <w:pStyle w:val="H23G"/>
        <w:rPr>
          <w:noProof/>
          <w:lang w:val="fr-FR"/>
        </w:rPr>
      </w:pPr>
      <w:bookmarkStart w:id="44" w:name="_Toc362485748"/>
      <w:r w:rsidRPr="00DD03D6">
        <w:rPr>
          <w:noProof/>
          <w:lang w:val="fr-FR"/>
        </w:rPr>
        <w:tab/>
      </w:r>
      <w:r w:rsidRPr="00DD03D6">
        <w:rPr>
          <w:noProof/>
          <w:lang w:val="fr-FR"/>
        </w:rPr>
        <w:tab/>
      </w:r>
      <w:r w:rsidRPr="00DD03D6">
        <w:rPr>
          <w:b w:val="0"/>
          <w:bCs/>
          <w:noProof/>
          <w:lang w:val="fr-FR"/>
        </w:rPr>
        <w:t>Table</w:t>
      </w:r>
      <w:r w:rsidR="00BE0709">
        <w:rPr>
          <w:b w:val="0"/>
          <w:bCs/>
          <w:noProof/>
          <w:lang w:val="fr-FR"/>
        </w:rPr>
        <w:t>au</w:t>
      </w:r>
      <w:r w:rsidRPr="00DD03D6">
        <w:rPr>
          <w:b w:val="0"/>
          <w:bCs/>
          <w:noProof/>
          <w:lang w:val="fr-FR"/>
        </w:rPr>
        <w:t xml:space="preserve"> 5</w:t>
      </w:r>
      <w:r w:rsidR="00CB5702" w:rsidRPr="00DD03D6">
        <w:rPr>
          <w:noProof/>
          <w:lang w:val="fr-FR"/>
        </w:rPr>
        <w:br/>
      </w:r>
      <w:r w:rsidR="00BE0709">
        <w:rPr>
          <w:noProof/>
          <w:lang w:val="fr-FR"/>
        </w:rPr>
        <w:t>Nombre de demandes d’asile présentées par des mineurs non accompagnés</w:t>
      </w:r>
      <w:r w:rsidR="003D0F58" w:rsidRPr="00DD03D6">
        <w:rPr>
          <w:noProof/>
          <w:lang w:val="fr-FR"/>
        </w:rPr>
        <w:t>, 2006</w:t>
      </w:r>
      <w:r w:rsidRPr="00DD03D6">
        <w:rPr>
          <w:noProof/>
          <w:lang w:val="fr-FR"/>
        </w:rPr>
        <w:noBreakHyphen/>
      </w:r>
      <w:r w:rsidR="003D0F58" w:rsidRPr="00DD03D6">
        <w:rPr>
          <w:noProof/>
          <w:lang w:val="fr-FR"/>
        </w:rPr>
        <w:t>2011</w:t>
      </w:r>
      <w:bookmarkEnd w:id="44"/>
    </w:p>
    <w:tbl>
      <w:tblPr>
        <w:tblW w:w="0" w:type="auto"/>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268"/>
        <w:gridCol w:w="1701"/>
        <w:gridCol w:w="1701"/>
        <w:gridCol w:w="1701"/>
      </w:tblGrid>
      <w:tr w:rsidR="00280125" w:rsidRPr="00DD03D6" w:rsidTr="00952CC1">
        <w:trPr>
          <w:trHeight w:val="240"/>
          <w:tblHeader/>
        </w:trPr>
        <w:tc>
          <w:tcPr>
            <w:tcW w:w="2268" w:type="dxa"/>
            <w:tcBorders>
              <w:top w:val="single" w:sz="4" w:space="0" w:color="auto"/>
              <w:bottom w:val="single" w:sz="12" w:space="0" w:color="auto"/>
            </w:tcBorders>
            <w:shd w:val="clear" w:color="auto" w:fill="auto"/>
            <w:vAlign w:val="bottom"/>
          </w:tcPr>
          <w:p w:rsidR="003D0F58" w:rsidRPr="00DD03D6" w:rsidRDefault="00BE0709" w:rsidP="006A6F91">
            <w:pPr>
              <w:pStyle w:val="SingleTxtG"/>
              <w:keepNext/>
              <w:keepLines/>
              <w:suppressAutoHyphens w:val="0"/>
              <w:spacing w:before="80" w:after="80" w:line="200" w:lineRule="exact"/>
              <w:ind w:left="0" w:right="0"/>
              <w:jc w:val="left"/>
              <w:rPr>
                <w:bCs/>
                <w:i/>
                <w:noProof/>
                <w:sz w:val="16"/>
                <w:lang w:val="fr-FR"/>
              </w:rPr>
            </w:pPr>
            <w:r>
              <w:rPr>
                <w:bCs/>
                <w:i/>
                <w:noProof/>
                <w:sz w:val="16"/>
                <w:lang w:val="fr-FR"/>
              </w:rPr>
              <w:t>Année</w:t>
            </w:r>
          </w:p>
        </w:tc>
        <w:tc>
          <w:tcPr>
            <w:tcW w:w="1701" w:type="dxa"/>
            <w:tcBorders>
              <w:top w:val="single" w:sz="4" w:space="0" w:color="auto"/>
              <w:bottom w:val="single" w:sz="12" w:space="0" w:color="auto"/>
            </w:tcBorders>
            <w:shd w:val="clear" w:color="auto" w:fill="auto"/>
            <w:vAlign w:val="bottom"/>
          </w:tcPr>
          <w:p w:rsidR="003D0F58" w:rsidRPr="00DD03D6" w:rsidRDefault="00BE0709" w:rsidP="006A6F91">
            <w:pPr>
              <w:pStyle w:val="SingleTxtG"/>
              <w:keepNext/>
              <w:keepLines/>
              <w:suppressAutoHyphens w:val="0"/>
              <w:spacing w:before="80" w:after="80" w:line="200" w:lineRule="exact"/>
              <w:ind w:left="0" w:right="0"/>
              <w:jc w:val="right"/>
              <w:rPr>
                <w:bCs/>
                <w:i/>
                <w:noProof/>
                <w:sz w:val="16"/>
                <w:lang w:val="fr-FR"/>
              </w:rPr>
            </w:pPr>
            <w:r>
              <w:rPr>
                <w:bCs/>
                <w:i/>
                <w:noProof/>
                <w:sz w:val="16"/>
                <w:lang w:val="fr-FR"/>
              </w:rPr>
              <w:t>Garçons</w:t>
            </w:r>
          </w:p>
        </w:tc>
        <w:tc>
          <w:tcPr>
            <w:tcW w:w="1701" w:type="dxa"/>
            <w:tcBorders>
              <w:top w:val="single" w:sz="4" w:space="0" w:color="auto"/>
              <w:bottom w:val="single" w:sz="12" w:space="0" w:color="auto"/>
            </w:tcBorders>
            <w:shd w:val="clear" w:color="auto" w:fill="auto"/>
            <w:vAlign w:val="bottom"/>
          </w:tcPr>
          <w:p w:rsidR="003D0F58" w:rsidRPr="00DD03D6" w:rsidRDefault="00BE0709" w:rsidP="006A6F91">
            <w:pPr>
              <w:pStyle w:val="SingleTxtG"/>
              <w:keepNext/>
              <w:keepLines/>
              <w:suppressAutoHyphens w:val="0"/>
              <w:spacing w:before="80" w:after="80" w:line="200" w:lineRule="exact"/>
              <w:ind w:left="0" w:right="0"/>
              <w:jc w:val="right"/>
              <w:rPr>
                <w:bCs/>
                <w:i/>
                <w:noProof/>
                <w:sz w:val="16"/>
                <w:lang w:val="fr-FR"/>
              </w:rPr>
            </w:pPr>
            <w:r>
              <w:rPr>
                <w:bCs/>
                <w:i/>
                <w:noProof/>
                <w:sz w:val="16"/>
                <w:lang w:val="fr-FR"/>
              </w:rPr>
              <w:t>Filles</w:t>
            </w:r>
          </w:p>
        </w:tc>
        <w:tc>
          <w:tcPr>
            <w:tcW w:w="1701" w:type="dxa"/>
            <w:tcBorders>
              <w:top w:val="single" w:sz="4" w:space="0" w:color="auto"/>
              <w:bottom w:val="single" w:sz="12" w:space="0" w:color="auto"/>
            </w:tcBorders>
            <w:shd w:val="clear" w:color="auto" w:fill="auto"/>
            <w:vAlign w:val="bottom"/>
          </w:tcPr>
          <w:p w:rsidR="003D0F58" w:rsidRPr="00DD03D6" w:rsidRDefault="003D0F58" w:rsidP="006A6F91">
            <w:pPr>
              <w:pStyle w:val="SingleTxtG"/>
              <w:keepNext/>
              <w:keepLines/>
              <w:suppressAutoHyphens w:val="0"/>
              <w:spacing w:before="80" w:after="80" w:line="200" w:lineRule="exact"/>
              <w:ind w:left="0" w:right="0"/>
              <w:jc w:val="right"/>
              <w:rPr>
                <w:b/>
                <w:i/>
                <w:noProof/>
                <w:sz w:val="16"/>
                <w:lang w:val="fr-FR"/>
              </w:rPr>
            </w:pPr>
            <w:r w:rsidRPr="00DD03D6">
              <w:rPr>
                <w:b/>
                <w:i/>
                <w:noProof/>
                <w:sz w:val="16"/>
                <w:lang w:val="fr-FR"/>
              </w:rPr>
              <w:t>Total</w:t>
            </w:r>
          </w:p>
        </w:tc>
      </w:tr>
      <w:tr w:rsidR="00280125" w:rsidRPr="00DD03D6" w:rsidTr="00952CC1">
        <w:trPr>
          <w:trHeight w:val="240"/>
        </w:trPr>
        <w:tc>
          <w:tcPr>
            <w:tcW w:w="2268" w:type="dxa"/>
            <w:tcBorders>
              <w:top w:val="single" w:sz="12" w:space="0" w:color="auto"/>
            </w:tcBorders>
            <w:shd w:val="clear" w:color="auto" w:fill="auto"/>
          </w:tcPr>
          <w:p w:rsidR="003D0F58" w:rsidRPr="00DD03D6" w:rsidRDefault="003D0F58" w:rsidP="006A6F91">
            <w:pPr>
              <w:pStyle w:val="SingleTxtG"/>
              <w:keepNext/>
              <w:keepLines/>
              <w:suppressAutoHyphens w:val="0"/>
              <w:spacing w:before="40" w:after="40" w:line="220" w:lineRule="exact"/>
              <w:ind w:left="0" w:right="0"/>
              <w:jc w:val="left"/>
              <w:rPr>
                <w:noProof/>
                <w:sz w:val="18"/>
                <w:lang w:val="fr-FR"/>
              </w:rPr>
            </w:pPr>
            <w:r w:rsidRPr="00DD03D6">
              <w:rPr>
                <w:noProof/>
                <w:sz w:val="18"/>
                <w:lang w:val="fr-FR"/>
              </w:rPr>
              <w:t>2006</w:t>
            </w:r>
          </w:p>
        </w:tc>
        <w:tc>
          <w:tcPr>
            <w:tcW w:w="1701" w:type="dxa"/>
            <w:tcBorders>
              <w:top w:val="single" w:sz="12" w:space="0" w:color="auto"/>
            </w:tcBorders>
            <w:shd w:val="clear" w:color="auto" w:fill="auto"/>
            <w:vAlign w:val="bottom"/>
          </w:tcPr>
          <w:p w:rsidR="003D0F58" w:rsidRPr="00DD03D6" w:rsidRDefault="003D0F58" w:rsidP="006A6F91">
            <w:pPr>
              <w:pStyle w:val="SingleTxtG"/>
              <w:keepNext/>
              <w:keepLines/>
              <w:suppressAutoHyphens w:val="0"/>
              <w:spacing w:before="40" w:after="40" w:line="220" w:lineRule="exact"/>
              <w:ind w:left="0" w:right="0"/>
              <w:jc w:val="right"/>
              <w:rPr>
                <w:noProof/>
                <w:sz w:val="18"/>
                <w:lang w:val="fr-FR"/>
              </w:rPr>
            </w:pPr>
            <w:r w:rsidRPr="00DD03D6">
              <w:rPr>
                <w:noProof/>
                <w:sz w:val="18"/>
                <w:lang w:val="fr-FR"/>
              </w:rPr>
              <w:t>70</w:t>
            </w:r>
          </w:p>
        </w:tc>
        <w:tc>
          <w:tcPr>
            <w:tcW w:w="1701" w:type="dxa"/>
            <w:tcBorders>
              <w:top w:val="single" w:sz="12" w:space="0" w:color="auto"/>
            </w:tcBorders>
            <w:shd w:val="clear" w:color="auto" w:fill="auto"/>
            <w:vAlign w:val="bottom"/>
          </w:tcPr>
          <w:p w:rsidR="003D0F58" w:rsidRPr="00DD03D6" w:rsidRDefault="003D0F58" w:rsidP="006A6F91">
            <w:pPr>
              <w:pStyle w:val="SingleTxtG"/>
              <w:keepNext/>
              <w:keepLines/>
              <w:suppressAutoHyphens w:val="0"/>
              <w:spacing w:before="40" w:after="40" w:line="220" w:lineRule="exact"/>
              <w:ind w:left="0" w:right="0"/>
              <w:jc w:val="right"/>
              <w:rPr>
                <w:noProof/>
                <w:sz w:val="18"/>
                <w:lang w:val="fr-FR"/>
              </w:rPr>
            </w:pPr>
            <w:r w:rsidRPr="00DD03D6">
              <w:rPr>
                <w:noProof/>
                <w:sz w:val="18"/>
                <w:lang w:val="fr-FR"/>
              </w:rPr>
              <w:t>61</w:t>
            </w:r>
          </w:p>
        </w:tc>
        <w:tc>
          <w:tcPr>
            <w:tcW w:w="1701" w:type="dxa"/>
            <w:tcBorders>
              <w:top w:val="single" w:sz="12" w:space="0" w:color="auto"/>
            </w:tcBorders>
            <w:shd w:val="clear" w:color="auto" w:fill="auto"/>
            <w:vAlign w:val="bottom"/>
          </w:tcPr>
          <w:p w:rsidR="003D0F58" w:rsidRPr="00DD03D6" w:rsidRDefault="003D0F58" w:rsidP="006A6F91">
            <w:pPr>
              <w:pStyle w:val="SingleTxtG"/>
              <w:keepNext/>
              <w:keepLines/>
              <w:suppressAutoHyphens w:val="0"/>
              <w:spacing w:before="40" w:after="40" w:line="220" w:lineRule="exact"/>
              <w:ind w:left="0" w:right="0"/>
              <w:jc w:val="right"/>
              <w:rPr>
                <w:b/>
                <w:noProof/>
                <w:sz w:val="18"/>
                <w:lang w:val="fr-FR"/>
              </w:rPr>
            </w:pPr>
            <w:r w:rsidRPr="00DD03D6">
              <w:rPr>
                <w:b/>
                <w:noProof/>
                <w:sz w:val="18"/>
                <w:lang w:val="fr-FR"/>
              </w:rPr>
              <w:t>131</w:t>
            </w:r>
          </w:p>
        </w:tc>
      </w:tr>
      <w:tr w:rsidR="00280125" w:rsidRPr="00DD03D6" w:rsidTr="00952CC1">
        <w:trPr>
          <w:trHeight w:val="240"/>
        </w:trPr>
        <w:tc>
          <w:tcPr>
            <w:tcW w:w="2268" w:type="dxa"/>
            <w:shd w:val="clear" w:color="auto" w:fill="auto"/>
          </w:tcPr>
          <w:p w:rsidR="003D0F58" w:rsidRPr="00DD03D6" w:rsidRDefault="003D0F58" w:rsidP="00952CC1">
            <w:pPr>
              <w:pStyle w:val="SingleTxtG"/>
              <w:suppressAutoHyphens w:val="0"/>
              <w:spacing w:before="40" w:after="40" w:line="220" w:lineRule="exact"/>
              <w:ind w:left="0" w:right="0"/>
              <w:jc w:val="left"/>
              <w:rPr>
                <w:noProof/>
                <w:sz w:val="18"/>
                <w:lang w:val="fr-FR"/>
              </w:rPr>
            </w:pPr>
            <w:r w:rsidRPr="00DD03D6">
              <w:rPr>
                <w:noProof/>
                <w:sz w:val="18"/>
                <w:lang w:val="fr-FR"/>
              </w:rPr>
              <w:t>2007</w:t>
            </w:r>
          </w:p>
        </w:tc>
        <w:tc>
          <w:tcPr>
            <w:tcW w:w="1701" w:type="dxa"/>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noProof/>
                <w:sz w:val="18"/>
                <w:lang w:val="fr-FR"/>
              </w:rPr>
            </w:pPr>
            <w:r w:rsidRPr="00DD03D6">
              <w:rPr>
                <w:noProof/>
                <w:sz w:val="18"/>
                <w:lang w:val="fr-FR"/>
              </w:rPr>
              <w:t>39</w:t>
            </w:r>
          </w:p>
        </w:tc>
        <w:tc>
          <w:tcPr>
            <w:tcW w:w="1701" w:type="dxa"/>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noProof/>
                <w:sz w:val="18"/>
                <w:lang w:val="fr-FR"/>
              </w:rPr>
            </w:pPr>
            <w:r w:rsidRPr="00DD03D6">
              <w:rPr>
                <w:noProof/>
                <w:sz w:val="18"/>
                <w:lang w:val="fr-FR"/>
              </w:rPr>
              <w:t>55</w:t>
            </w:r>
          </w:p>
        </w:tc>
        <w:tc>
          <w:tcPr>
            <w:tcW w:w="1701" w:type="dxa"/>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b/>
                <w:noProof/>
                <w:sz w:val="18"/>
                <w:lang w:val="fr-FR"/>
              </w:rPr>
            </w:pPr>
            <w:r w:rsidRPr="00DD03D6">
              <w:rPr>
                <w:b/>
                <w:noProof/>
                <w:sz w:val="18"/>
                <w:lang w:val="fr-FR"/>
              </w:rPr>
              <w:t>94</w:t>
            </w:r>
          </w:p>
        </w:tc>
      </w:tr>
      <w:tr w:rsidR="00280125" w:rsidRPr="00DD03D6" w:rsidTr="00952CC1">
        <w:trPr>
          <w:trHeight w:val="240"/>
        </w:trPr>
        <w:tc>
          <w:tcPr>
            <w:tcW w:w="2268" w:type="dxa"/>
            <w:shd w:val="clear" w:color="auto" w:fill="auto"/>
          </w:tcPr>
          <w:p w:rsidR="003D0F58" w:rsidRPr="00DD03D6" w:rsidRDefault="003D0F58" w:rsidP="00952CC1">
            <w:pPr>
              <w:pStyle w:val="SingleTxtG"/>
              <w:suppressAutoHyphens w:val="0"/>
              <w:spacing w:before="40" w:after="40" w:line="220" w:lineRule="exact"/>
              <w:ind w:left="0" w:right="0"/>
              <w:jc w:val="left"/>
              <w:rPr>
                <w:noProof/>
                <w:sz w:val="18"/>
                <w:lang w:val="fr-FR"/>
              </w:rPr>
            </w:pPr>
            <w:r w:rsidRPr="00DD03D6">
              <w:rPr>
                <w:noProof/>
                <w:sz w:val="18"/>
                <w:lang w:val="fr-FR"/>
              </w:rPr>
              <w:t>2008</w:t>
            </w:r>
          </w:p>
        </w:tc>
        <w:tc>
          <w:tcPr>
            <w:tcW w:w="1701" w:type="dxa"/>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noProof/>
                <w:sz w:val="18"/>
                <w:lang w:val="fr-FR"/>
              </w:rPr>
            </w:pPr>
            <w:r w:rsidRPr="00DD03D6">
              <w:rPr>
                <w:noProof/>
                <w:sz w:val="18"/>
                <w:lang w:val="fr-FR"/>
              </w:rPr>
              <w:t>51</w:t>
            </w:r>
          </w:p>
        </w:tc>
        <w:tc>
          <w:tcPr>
            <w:tcW w:w="1701" w:type="dxa"/>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noProof/>
                <w:sz w:val="18"/>
                <w:lang w:val="fr-FR"/>
              </w:rPr>
            </w:pPr>
            <w:r w:rsidRPr="00DD03D6">
              <w:rPr>
                <w:noProof/>
                <w:sz w:val="18"/>
                <w:lang w:val="fr-FR"/>
              </w:rPr>
              <w:t>47</w:t>
            </w:r>
          </w:p>
        </w:tc>
        <w:tc>
          <w:tcPr>
            <w:tcW w:w="1701" w:type="dxa"/>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b/>
                <w:noProof/>
                <w:sz w:val="18"/>
                <w:lang w:val="fr-FR"/>
              </w:rPr>
            </w:pPr>
            <w:r w:rsidRPr="00DD03D6">
              <w:rPr>
                <w:b/>
                <w:noProof/>
                <w:sz w:val="18"/>
                <w:lang w:val="fr-FR"/>
              </w:rPr>
              <w:t>98</w:t>
            </w:r>
          </w:p>
        </w:tc>
      </w:tr>
      <w:tr w:rsidR="00280125" w:rsidRPr="00DD03D6" w:rsidTr="00952CC1">
        <w:trPr>
          <w:trHeight w:val="240"/>
        </w:trPr>
        <w:tc>
          <w:tcPr>
            <w:tcW w:w="2268" w:type="dxa"/>
            <w:shd w:val="clear" w:color="auto" w:fill="auto"/>
          </w:tcPr>
          <w:p w:rsidR="003D0F58" w:rsidRPr="00DD03D6" w:rsidRDefault="003D0F58" w:rsidP="00952CC1">
            <w:pPr>
              <w:pStyle w:val="SingleTxtG"/>
              <w:suppressAutoHyphens w:val="0"/>
              <w:spacing w:before="40" w:after="40" w:line="220" w:lineRule="exact"/>
              <w:ind w:left="0" w:right="0"/>
              <w:jc w:val="left"/>
              <w:rPr>
                <w:noProof/>
                <w:sz w:val="18"/>
                <w:lang w:val="fr-FR"/>
              </w:rPr>
            </w:pPr>
            <w:r w:rsidRPr="00DD03D6">
              <w:rPr>
                <w:noProof/>
                <w:sz w:val="18"/>
                <w:lang w:val="fr-FR"/>
              </w:rPr>
              <w:lastRenderedPageBreak/>
              <w:t>2009</w:t>
            </w:r>
          </w:p>
        </w:tc>
        <w:tc>
          <w:tcPr>
            <w:tcW w:w="1701" w:type="dxa"/>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noProof/>
                <w:sz w:val="18"/>
                <w:lang w:val="fr-FR"/>
              </w:rPr>
            </w:pPr>
            <w:r w:rsidRPr="00DD03D6">
              <w:rPr>
                <w:noProof/>
                <w:sz w:val="18"/>
                <w:lang w:val="fr-FR"/>
              </w:rPr>
              <w:t>28</w:t>
            </w:r>
          </w:p>
        </w:tc>
        <w:tc>
          <w:tcPr>
            <w:tcW w:w="1701" w:type="dxa"/>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noProof/>
                <w:sz w:val="18"/>
                <w:lang w:val="fr-FR"/>
              </w:rPr>
            </w:pPr>
            <w:r w:rsidRPr="00DD03D6">
              <w:rPr>
                <w:noProof/>
                <w:sz w:val="18"/>
                <w:lang w:val="fr-FR"/>
              </w:rPr>
              <w:t>28</w:t>
            </w:r>
          </w:p>
        </w:tc>
        <w:tc>
          <w:tcPr>
            <w:tcW w:w="1701" w:type="dxa"/>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b/>
                <w:noProof/>
                <w:sz w:val="18"/>
                <w:lang w:val="fr-FR"/>
              </w:rPr>
            </w:pPr>
            <w:r w:rsidRPr="00DD03D6">
              <w:rPr>
                <w:b/>
                <w:noProof/>
                <w:sz w:val="18"/>
                <w:lang w:val="fr-FR"/>
              </w:rPr>
              <w:t>56</w:t>
            </w:r>
          </w:p>
        </w:tc>
      </w:tr>
      <w:tr w:rsidR="00280125" w:rsidRPr="00DD03D6" w:rsidTr="00952CC1">
        <w:trPr>
          <w:trHeight w:val="240"/>
        </w:trPr>
        <w:tc>
          <w:tcPr>
            <w:tcW w:w="2268" w:type="dxa"/>
            <w:shd w:val="clear" w:color="auto" w:fill="auto"/>
          </w:tcPr>
          <w:p w:rsidR="003D0F58" w:rsidRPr="00DD03D6" w:rsidRDefault="003D0F58" w:rsidP="00952CC1">
            <w:pPr>
              <w:pStyle w:val="SingleTxtG"/>
              <w:suppressAutoHyphens w:val="0"/>
              <w:spacing w:before="40" w:after="40" w:line="220" w:lineRule="exact"/>
              <w:ind w:left="0" w:right="0"/>
              <w:jc w:val="left"/>
              <w:rPr>
                <w:noProof/>
                <w:sz w:val="18"/>
                <w:lang w:val="fr-FR"/>
              </w:rPr>
            </w:pPr>
            <w:r w:rsidRPr="00DD03D6">
              <w:rPr>
                <w:noProof/>
                <w:sz w:val="18"/>
                <w:lang w:val="fr-FR"/>
              </w:rPr>
              <w:t>2010</w:t>
            </w:r>
          </w:p>
        </w:tc>
        <w:tc>
          <w:tcPr>
            <w:tcW w:w="1701" w:type="dxa"/>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noProof/>
                <w:sz w:val="18"/>
                <w:lang w:val="fr-FR"/>
              </w:rPr>
            </w:pPr>
            <w:r w:rsidRPr="00DD03D6">
              <w:rPr>
                <w:noProof/>
                <w:sz w:val="18"/>
                <w:lang w:val="fr-FR"/>
              </w:rPr>
              <w:t>12</w:t>
            </w:r>
          </w:p>
        </w:tc>
        <w:tc>
          <w:tcPr>
            <w:tcW w:w="1701" w:type="dxa"/>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noProof/>
                <w:sz w:val="18"/>
                <w:lang w:val="fr-FR"/>
              </w:rPr>
            </w:pPr>
            <w:r w:rsidRPr="00DD03D6">
              <w:rPr>
                <w:noProof/>
                <w:sz w:val="18"/>
                <w:lang w:val="fr-FR"/>
              </w:rPr>
              <w:t>25</w:t>
            </w:r>
          </w:p>
        </w:tc>
        <w:tc>
          <w:tcPr>
            <w:tcW w:w="1701" w:type="dxa"/>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b/>
                <w:noProof/>
                <w:sz w:val="18"/>
                <w:lang w:val="fr-FR"/>
              </w:rPr>
            </w:pPr>
            <w:r w:rsidRPr="00DD03D6">
              <w:rPr>
                <w:b/>
                <w:noProof/>
                <w:sz w:val="18"/>
                <w:lang w:val="fr-FR"/>
              </w:rPr>
              <w:t>37</w:t>
            </w:r>
          </w:p>
        </w:tc>
      </w:tr>
      <w:tr w:rsidR="00280125" w:rsidRPr="00DD03D6" w:rsidTr="00FE4D7A">
        <w:trPr>
          <w:trHeight w:val="240"/>
        </w:trPr>
        <w:tc>
          <w:tcPr>
            <w:tcW w:w="2268" w:type="dxa"/>
            <w:tcBorders>
              <w:bottom w:val="single" w:sz="4" w:space="0" w:color="auto"/>
            </w:tcBorders>
            <w:shd w:val="clear" w:color="auto" w:fill="auto"/>
          </w:tcPr>
          <w:p w:rsidR="003D0F58" w:rsidRPr="00DD03D6" w:rsidRDefault="003D0F58" w:rsidP="00952CC1">
            <w:pPr>
              <w:pStyle w:val="SingleTxtG"/>
              <w:suppressAutoHyphens w:val="0"/>
              <w:spacing w:before="40" w:after="40" w:line="220" w:lineRule="exact"/>
              <w:ind w:left="0" w:right="0"/>
              <w:jc w:val="left"/>
              <w:rPr>
                <w:noProof/>
                <w:sz w:val="18"/>
                <w:lang w:val="fr-FR"/>
              </w:rPr>
            </w:pPr>
            <w:r w:rsidRPr="00DD03D6">
              <w:rPr>
                <w:noProof/>
                <w:sz w:val="18"/>
                <w:lang w:val="fr-FR"/>
              </w:rPr>
              <w:t>2011</w:t>
            </w:r>
          </w:p>
        </w:tc>
        <w:tc>
          <w:tcPr>
            <w:tcW w:w="1701" w:type="dxa"/>
            <w:tcBorders>
              <w:bottom w:val="single" w:sz="4" w:space="0" w:color="auto"/>
            </w:tcBorders>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noProof/>
                <w:sz w:val="18"/>
                <w:lang w:val="fr-FR"/>
              </w:rPr>
            </w:pPr>
            <w:r w:rsidRPr="00DD03D6">
              <w:rPr>
                <w:noProof/>
                <w:sz w:val="18"/>
                <w:lang w:val="fr-FR"/>
              </w:rPr>
              <w:t>17</w:t>
            </w:r>
          </w:p>
        </w:tc>
        <w:tc>
          <w:tcPr>
            <w:tcW w:w="1701" w:type="dxa"/>
            <w:tcBorders>
              <w:bottom w:val="single" w:sz="4" w:space="0" w:color="auto"/>
            </w:tcBorders>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noProof/>
                <w:sz w:val="18"/>
                <w:lang w:val="fr-FR"/>
              </w:rPr>
            </w:pPr>
            <w:r w:rsidRPr="00DD03D6">
              <w:rPr>
                <w:noProof/>
                <w:sz w:val="18"/>
                <w:lang w:val="fr-FR"/>
              </w:rPr>
              <w:t>9</w:t>
            </w:r>
          </w:p>
        </w:tc>
        <w:tc>
          <w:tcPr>
            <w:tcW w:w="1701" w:type="dxa"/>
            <w:tcBorders>
              <w:bottom w:val="single" w:sz="4" w:space="0" w:color="auto"/>
            </w:tcBorders>
            <w:shd w:val="clear" w:color="auto" w:fill="auto"/>
            <w:vAlign w:val="bottom"/>
          </w:tcPr>
          <w:p w:rsidR="003D0F58" w:rsidRPr="00DD03D6" w:rsidRDefault="003D0F58" w:rsidP="00952CC1">
            <w:pPr>
              <w:pStyle w:val="SingleTxtG"/>
              <w:suppressAutoHyphens w:val="0"/>
              <w:spacing w:before="40" w:after="40" w:line="220" w:lineRule="exact"/>
              <w:ind w:left="0" w:right="0"/>
              <w:jc w:val="right"/>
              <w:rPr>
                <w:b/>
                <w:noProof/>
                <w:sz w:val="18"/>
                <w:lang w:val="fr-FR"/>
              </w:rPr>
            </w:pPr>
            <w:r w:rsidRPr="00DD03D6">
              <w:rPr>
                <w:b/>
                <w:noProof/>
                <w:sz w:val="18"/>
                <w:lang w:val="fr-FR"/>
              </w:rPr>
              <w:t>26</w:t>
            </w:r>
          </w:p>
        </w:tc>
      </w:tr>
      <w:tr w:rsidR="00280125" w:rsidRPr="00DD03D6" w:rsidTr="00FE4D7A">
        <w:trPr>
          <w:trHeight w:val="240"/>
        </w:trPr>
        <w:tc>
          <w:tcPr>
            <w:tcW w:w="2268" w:type="dxa"/>
            <w:tcBorders>
              <w:top w:val="single" w:sz="4" w:space="0" w:color="auto"/>
              <w:bottom w:val="single" w:sz="12" w:space="0" w:color="auto"/>
            </w:tcBorders>
            <w:shd w:val="clear" w:color="auto" w:fill="auto"/>
          </w:tcPr>
          <w:p w:rsidR="003D0F58" w:rsidRPr="00DD03D6" w:rsidRDefault="003D0F58" w:rsidP="00FE4D7A">
            <w:pPr>
              <w:pStyle w:val="SingleTxtG"/>
              <w:suppressAutoHyphens w:val="0"/>
              <w:spacing w:before="80" w:after="80" w:line="220" w:lineRule="exact"/>
              <w:ind w:left="284" w:right="0"/>
              <w:jc w:val="left"/>
              <w:rPr>
                <w:b/>
                <w:bCs/>
                <w:noProof/>
                <w:sz w:val="18"/>
                <w:lang w:val="fr-FR"/>
              </w:rPr>
            </w:pPr>
            <w:r w:rsidRPr="00DD03D6">
              <w:rPr>
                <w:b/>
                <w:bCs/>
                <w:noProof/>
                <w:sz w:val="18"/>
                <w:lang w:val="fr-FR"/>
              </w:rPr>
              <w:t>Total</w:t>
            </w:r>
          </w:p>
        </w:tc>
        <w:tc>
          <w:tcPr>
            <w:tcW w:w="1701" w:type="dxa"/>
            <w:tcBorders>
              <w:top w:val="single" w:sz="4" w:space="0" w:color="auto"/>
              <w:bottom w:val="single" w:sz="12" w:space="0" w:color="auto"/>
            </w:tcBorders>
            <w:shd w:val="clear" w:color="auto" w:fill="auto"/>
            <w:vAlign w:val="bottom"/>
          </w:tcPr>
          <w:p w:rsidR="003D0F58" w:rsidRPr="00DD03D6" w:rsidRDefault="003D0F58" w:rsidP="00272679">
            <w:pPr>
              <w:pStyle w:val="SingleTxtG"/>
              <w:suppressAutoHyphens w:val="0"/>
              <w:spacing w:before="80" w:after="80" w:line="220" w:lineRule="exact"/>
              <w:ind w:left="0" w:right="0"/>
              <w:jc w:val="right"/>
              <w:rPr>
                <w:b/>
                <w:bCs/>
                <w:noProof/>
                <w:sz w:val="18"/>
                <w:lang w:val="fr-FR"/>
              </w:rPr>
            </w:pPr>
            <w:r w:rsidRPr="00DD03D6">
              <w:rPr>
                <w:b/>
                <w:bCs/>
                <w:noProof/>
                <w:sz w:val="18"/>
                <w:lang w:val="fr-FR"/>
              </w:rPr>
              <w:t>217</w:t>
            </w:r>
          </w:p>
        </w:tc>
        <w:tc>
          <w:tcPr>
            <w:tcW w:w="1701" w:type="dxa"/>
            <w:tcBorders>
              <w:top w:val="single" w:sz="4" w:space="0" w:color="auto"/>
              <w:bottom w:val="single" w:sz="12" w:space="0" w:color="auto"/>
            </w:tcBorders>
            <w:shd w:val="clear" w:color="auto" w:fill="auto"/>
            <w:vAlign w:val="bottom"/>
          </w:tcPr>
          <w:p w:rsidR="003D0F58" w:rsidRPr="00DD03D6" w:rsidRDefault="003D0F58" w:rsidP="00272679">
            <w:pPr>
              <w:pStyle w:val="SingleTxtG"/>
              <w:suppressAutoHyphens w:val="0"/>
              <w:spacing w:before="80" w:after="80" w:line="220" w:lineRule="exact"/>
              <w:ind w:left="0" w:right="0"/>
              <w:jc w:val="right"/>
              <w:rPr>
                <w:b/>
                <w:bCs/>
                <w:noProof/>
                <w:sz w:val="18"/>
                <w:lang w:val="fr-FR"/>
              </w:rPr>
            </w:pPr>
            <w:r w:rsidRPr="00DD03D6">
              <w:rPr>
                <w:b/>
                <w:bCs/>
                <w:noProof/>
                <w:sz w:val="18"/>
                <w:lang w:val="fr-FR"/>
              </w:rPr>
              <w:t>225</w:t>
            </w:r>
          </w:p>
        </w:tc>
        <w:tc>
          <w:tcPr>
            <w:tcW w:w="1701" w:type="dxa"/>
            <w:tcBorders>
              <w:top w:val="single" w:sz="4" w:space="0" w:color="auto"/>
              <w:bottom w:val="single" w:sz="12" w:space="0" w:color="auto"/>
            </w:tcBorders>
            <w:shd w:val="clear" w:color="auto" w:fill="auto"/>
            <w:vAlign w:val="bottom"/>
          </w:tcPr>
          <w:p w:rsidR="003D0F58" w:rsidRPr="00DD03D6" w:rsidRDefault="003D0F58" w:rsidP="00272679">
            <w:pPr>
              <w:pStyle w:val="SingleTxtG"/>
              <w:suppressAutoHyphens w:val="0"/>
              <w:spacing w:before="80" w:after="80" w:line="220" w:lineRule="exact"/>
              <w:ind w:left="0" w:right="0"/>
              <w:jc w:val="right"/>
              <w:rPr>
                <w:b/>
                <w:bCs/>
                <w:noProof/>
                <w:sz w:val="18"/>
                <w:lang w:val="fr-FR"/>
              </w:rPr>
            </w:pPr>
            <w:r w:rsidRPr="00DD03D6">
              <w:rPr>
                <w:b/>
                <w:bCs/>
                <w:noProof/>
                <w:sz w:val="18"/>
                <w:lang w:val="fr-FR"/>
              </w:rPr>
              <w:t>442</w:t>
            </w:r>
          </w:p>
        </w:tc>
      </w:tr>
    </w:tbl>
    <w:p w:rsidR="003D0F58" w:rsidRPr="00DD03D6" w:rsidRDefault="003D0F58" w:rsidP="00952CC1">
      <w:pPr>
        <w:pStyle w:val="SingleTxtG"/>
        <w:spacing w:before="120" w:after="240"/>
        <w:ind w:firstLine="170"/>
        <w:jc w:val="left"/>
        <w:rPr>
          <w:iCs/>
          <w:noProof/>
          <w:sz w:val="18"/>
          <w:szCs w:val="18"/>
          <w:lang w:val="fr-FR"/>
        </w:rPr>
      </w:pPr>
      <w:r w:rsidRPr="00DD03D6">
        <w:rPr>
          <w:i/>
          <w:noProof/>
          <w:sz w:val="18"/>
          <w:szCs w:val="18"/>
          <w:lang w:val="fr-FR"/>
        </w:rPr>
        <w:t>Source</w:t>
      </w:r>
      <w:r w:rsidR="00BE0709">
        <w:rPr>
          <w:i/>
          <w:noProof/>
          <w:sz w:val="18"/>
          <w:szCs w:val="18"/>
          <w:lang w:val="fr-FR"/>
        </w:rPr>
        <w:t xml:space="preserve"> </w:t>
      </w:r>
      <w:r w:rsidRPr="00DD03D6">
        <w:rPr>
          <w:iCs/>
          <w:noProof/>
          <w:sz w:val="18"/>
          <w:szCs w:val="18"/>
          <w:lang w:val="fr-FR"/>
        </w:rPr>
        <w:t xml:space="preserve">: </w:t>
      </w:r>
      <w:r w:rsidR="00BE0709" w:rsidRPr="00AC0D1B">
        <w:rPr>
          <w:noProof/>
          <w:color w:val="000000"/>
          <w:lang w:val="fr-FR"/>
        </w:rPr>
        <w:t>Bureau du commissaire aux demandes de statut de réfugié</w:t>
      </w:r>
      <w:r w:rsidR="00BE0709" w:rsidRPr="00DD03D6">
        <w:rPr>
          <w:noProof/>
          <w:lang w:val="fr-FR" w:eastAsia="en-GB"/>
        </w:rPr>
        <w:t xml:space="preserve"> </w:t>
      </w:r>
      <w:r w:rsidRPr="00DD03D6">
        <w:rPr>
          <w:iCs/>
          <w:noProof/>
          <w:sz w:val="18"/>
          <w:szCs w:val="18"/>
          <w:lang w:val="fr-FR"/>
        </w:rPr>
        <w:t>(2011)</w:t>
      </w:r>
      <w:r w:rsidR="00952CC1" w:rsidRPr="00DD03D6">
        <w:rPr>
          <w:iCs/>
          <w:noProof/>
          <w:sz w:val="18"/>
          <w:szCs w:val="18"/>
          <w:lang w:val="fr-FR"/>
        </w:rPr>
        <w:t>.</w:t>
      </w:r>
    </w:p>
    <w:p w:rsidR="003D0F58" w:rsidRPr="00DD03D6" w:rsidRDefault="00BE0709" w:rsidP="0079249F">
      <w:pPr>
        <w:pStyle w:val="SingleTxtG"/>
        <w:numPr>
          <w:ilvl w:val="0"/>
          <w:numId w:val="3"/>
        </w:numPr>
        <w:ind w:left="1134" w:firstLine="0"/>
        <w:rPr>
          <w:noProof/>
          <w:lang w:val="fr-FR"/>
        </w:rPr>
      </w:pPr>
      <w:r>
        <w:rPr>
          <w:noProof/>
          <w:lang w:val="fr-FR"/>
        </w:rPr>
        <w:t>Le Ministère de la j</w:t>
      </w:r>
      <w:r w:rsidR="003D0F58" w:rsidRPr="00DD03D6">
        <w:rPr>
          <w:noProof/>
          <w:lang w:val="fr-FR"/>
        </w:rPr>
        <w:t xml:space="preserve">ustice </w:t>
      </w:r>
      <w:r>
        <w:rPr>
          <w:noProof/>
          <w:lang w:val="fr-FR"/>
        </w:rPr>
        <w:t xml:space="preserve">et de l’égalité </w:t>
      </w:r>
      <w:r w:rsidR="00E07AFA">
        <w:rPr>
          <w:noProof/>
          <w:lang w:val="fr-FR"/>
        </w:rPr>
        <w:t>ne dispose pas de statistique</w:t>
      </w:r>
      <w:r w:rsidR="003D0F58" w:rsidRPr="00DD03D6">
        <w:rPr>
          <w:noProof/>
          <w:lang w:val="fr-FR"/>
        </w:rPr>
        <w:t xml:space="preserve">s </w:t>
      </w:r>
      <w:r w:rsidR="00E07AFA">
        <w:rPr>
          <w:noProof/>
          <w:lang w:val="fr-FR"/>
        </w:rPr>
        <w:t>concernant le nombre de mineurs non accompagnés ayant rejoint leur famille dans le pays</w:t>
      </w:r>
      <w:r w:rsidR="003D0F58" w:rsidRPr="00DD03D6">
        <w:rPr>
          <w:noProof/>
          <w:lang w:val="fr-FR"/>
        </w:rPr>
        <w:t>. I</w:t>
      </w:r>
      <w:r w:rsidR="00E07AFA">
        <w:rPr>
          <w:noProof/>
          <w:lang w:val="fr-FR"/>
        </w:rPr>
        <w:t xml:space="preserve">l ne </w:t>
      </w:r>
      <w:r w:rsidR="003D0F58" w:rsidRPr="00DD03D6">
        <w:rPr>
          <w:noProof/>
          <w:lang w:val="fr-FR"/>
        </w:rPr>
        <w:t>t</w:t>
      </w:r>
      <w:r w:rsidR="00E07AFA">
        <w:rPr>
          <w:noProof/>
          <w:lang w:val="fr-FR"/>
        </w:rPr>
        <w:t xml:space="preserve">ient pas de </w:t>
      </w:r>
      <w:r w:rsidR="003D0F58" w:rsidRPr="00DD03D6">
        <w:rPr>
          <w:noProof/>
          <w:lang w:val="fr-FR"/>
        </w:rPr>
        <w:t>statisti</w:t>
      </w:r>
      <w:r w:rsidR="00E07AFA">
        <w:rPr>
          <w:noProof/>
          <w:lang w:val="fr-FR"/>
        </w:rPr>
        <w:t>que</w:t>
      </w:r>
      <w:r w:rsidR="003D0F58" w:rsidRPr="00DD03D6">
        <w:rPr>
          <w:noProof/>
          <w:lang w:val="fr-FR"/>
        </w:rPr>
        <w:t xml:space="preserve">s </w:t>
      </w:r>
      <w:r w:rsidR="00E07AFA">
        <w:rPr>
          <w:noProof/>
          <w:lang w:val="fr-FR"/>
        </w:rPr>
        <w:t xml:space="preserve">concernant </w:t>
      </w:r>
      <w:r w:rsidR="003D0F58" w:rsidRPr="00DD03D6">
        <w:rPr>
          <w:noProof/>
          <w:lang w:val="fr-FR"/>
        </w:rPr>
        <w:t>sp</w:t>
      </w:r>
      <w:r w:rsidR="00E07AFA">
        <w:rPr>
          <w:noProof/>
          <w:lang w:val="fr-FR"/>
        </w:rPr>
        <w:t>é</w:t>
      </w:r>
      <w:r w:rsidR="003D0F58" w:rsidRPr="00DD03D6">
        <w:rPr>
          <w:noProof/>
          <w:lang w:val="fr-FR"/>
        </w:rPr>
        <w:t>cifi</w:t>
      </w:r>
      <w:r w:rsidR="00E07AFA">
        <w:rPr>
          <w:noProof/>
          <w:lang w:val="fr-FR"/>
        </w:rPr>
        <w:t>quement le nombre de demandes de regroupement familial présentées par des mineurs, car le chiffre en est extrêmement faible</w:t>
      </w:r>
      <w:r w:rsidR="003D0F58" w:rsidRPr="00DD03D6">
        <w:rPr>
          <w:noProof/>
          <w:lang w:val="fr-FR"/>
        </w:rPr>
        <w:t xml:space="preserve">. </w:t>
      </w:r>
      <w:r w:rsidR="00E07AFA">
        <w:rPr>
          <w:noProof/>
          <w:lang w:val="fr-FR"/>
        </w:rPr>
        <w:t xml:space="preserve">Les mineurs non accompagnés qui arrivent en </w:t>
      </w:r>
      <w:r w:rsidR="003D0F58" w:rsidRPr="00DD03D6">
        <w:rPr>
          <w:noProof/>
          <w:lang w:val="fr-FR"/>
        </w:rPr>
        <w:t>Irland</w:t>
      </w:r>
      <w:r w:rsidR="00E07AFA">
        <w:rPr>
          <w:noProof/>
          <w:lang w:val="fr-FR"/>
        </w:rPr>
        <w:t>e</w:t>
      </w:r>
      <w:r w:rsidR="003D0F58" w:rsidRPr="00DD03D6">
        <w:rPr>
          <w:noProof/>
          <w:lang w:val="fr-FR"/>
        </w:rPr>
        <w:t xml:space="preserve"> </w:t>
      </w:r>
      <w:r w:rsidR="00E07AFA">
        <w:rPr>
          <w:noProof/>
          <w:lang w:val="fr-FR"/>
        </w:rPr>
        <w:t>sont tr</w:t>
      </w:r>
      <w:r w:rsidR="003D0F58" w:rsidRPr="00DD03D6">
        <w:rPr>
          <w:noProof/>
          <w:lang w:val="fr-FR"/>
        </w:rPr>
        <w:t>a</w:t>
      </w:r>
      <w:r w:rsidR="00E07AFA">
        <w:rPr>
          <w:noProof/>
          <w:lang w:val="fr-FR"/>
        </w:rPr>
        <w:t>ités conformémen</w:t>
      </w:r>
      <w:r w:rsidR="006A6F91">
        <w:rPr>
          <w:noProof/>
          <w:lang w:val="fr-FR"/>
        </w:rPr>
        <w:t>t aux dispositions de l’article </w:t>
      </w:r>
      <w:r w:rsidR="003D0F58" w:rsidRPr="00DD03D6">
        <w:rPr>
          <w:noProof/>
          <w:lang w:val="fr-FR"/>
        </w:rPr>
        <w:t>8</w:t>
      </w:r>
      <w:r w:rsidR="00E07AFA">
        <w:rPr>
          <w:noProof/>
          <w:lang w:val="fr-FR"/>
        </w:rPr>
        <w:t>-</w:t>
      </w:r>
      <w:r w:rsidR="003D0F58" w:rsidRPr="00DD03D6">
        <w:rPr>
          <w:noProof/>
          <w:lang w:val="fr-FR"/>
        </w:rPr>
        <w:t xml:space="preserve">5 </w:t>
      </w:r>
      <w:r w:rsidR="00E07AFA">
        <w:rPr>
          <w:noProof/>
          <w:lang w:val="fr-FR"/>
        </w:rPr>
        <w:t xml:space="preserve">de la Loi de 1996 sur les réfugiés </w:t>
      </w:r>
      <w:r w:rsidR="003D0F58" w:rsidRPr="00DD03D6">
        <w:rPr>
          <w:noProof/>
          <w:lang w:val="fr-FR"/>
        </w:rPr>
        <w:t>(</w:t>
      </w:r>
      <w:r w:rsidR="00E07AFA">
        <w:rPr>
          <w:noProof/>
          <w:lang w:val="fr-FR"/>
        </w:rPr>
        <w:t>telle que modifiée</w:t>
      </w:r>
      <w:r w:rsidR="003D0F58" w:rsidRPr="00DD03D6">
        <w:rPr>
          <w:noProof/>
          <w:lang w:val="fr-FR"/>
        </w:rPr>
        <w:t xml:space="preserve">), </w:t>
      </w:r>
      <w:r w:rsidR="00E07AFA">
        <w:rPr>
          <w:noProof/>
          <w:lang w:val="fr-FR"/>
        </w:rPr>
        <w:t>l’enfant étant alors, dans la majorité des cas, confié à la Direction des services de santé</w:t>
      </w:r>
      <w:r w:rsidR="003D0F58" w:rsidRPr="00DD03D6">
        <w:rPr>
          <w:noProof/>
          <w:lang w:val="fr-FR"/>
        </w:rPr>
        <w:t xml:space="preserve">. </w:t>
      </w:r>
      <w:r w:rsidR="00E07AFA">
        <w:rPr>
          <w:noProof/>
          <w:lang w:val="fr-FR"/>
        </w:rPr>
        <w:t xml:space="preserve">Lorsqu’un mineur non </w:t>
      </w:r>
      <w:r w:rsidR="003D0F58" w:rsidRPr="00DD03D6">
        <w:rPr>
          <w:noProof/>
          <w:lang w:val="fr-FR"/>
        </w:rPr>
        <w:t>accompa</w:t>
      </w:r>
      <w:r w:rsidR="00E07AFA">
        <w:rPr>
          <w:noProof/>
          <w:lang w:val="fr-FR"/>
        </w:rPr>
        <w:t xml:space="preserve">gné est confié à cette dernière, conformément à la loi de 1996 sur les réfugiés, c’est à elle qu’incombe la décision </w:t>
      </w:r>
      <w:r w:rsidR="00F42198">
        <w:rPr>
          <w:noProof/>
          <w:lang w:val="fr-FR"/>
        </w:rPr>
        <w:t xml:space="preserve">à prendre </w:t>
      </w:r>
      <w:r w:rsidR="00E07AFA">
        <w:rPr>
          <w:noProof/>
          <w:lang w:val="fr-FR"/>
        </w:rPr>
        <w:t xml:space="preserve">concernant la présentation d’une demande en vertu de ladite loi (demande </w:t>
      </w:r>
      <w:r w:rsidR="009917EF">
        <w:rPr>
          <w:noProof/>
          <w:lang w:val="fr-FR"/>
        </w:rPr>
        <w:t xml:space="preserve">de </w:t>
      </w:r>
      <w:r w:rsidR="00E07AFA">
        <w:rPr>
          <w:noProof/>
          <w:lang w:val="fr-FR"/>
        </w:rPr>
        <w:t>protection ou d’asile)</w:t>
      </w:r>
      <w:r w:rsidR="003D0F58" w:rsidRPr="00DD03D6">
        <w:rPr>
          <w:noProof/>
          <w:lang w:val="fr-FR"/>
        </w:rPr>
        <w:t xml:space="preserve">. </w:t>
      </w:r>
      <w:r w:rsidR="00F42198">
        <w:rPr>
          <w:noProof/>
          <w:lang w:val="fr-FR"/>
        </w:rPr>
        <w:t xml:space="preserve">Dans certains cas, elle peut décider que la présentation d’une demande d’asile par le mineur non accompagné n’est pas appropriée; </w:t>
      </w:r>
      <w:r w:rsidR="009917EF">
        <w:rPr>
          <w:noProof/>
          <w:lang w:val="fr-FR"/>
        </w:rPr>
        <w:t>le cas des</w:t>
      </w:r>
      <w:r w:rsidR="00F42198">
        <w:rPr>
          <w:noProof/>
          <w:lang w:val="fr-FR"/>
        </w:rPr>
        <w:t xml:space="preserve"> mineurs concernés </w:t>
      </w:r>
      <w:r w:rsidR="009917EF">
        <w:rPr>
          <w:noProof/>
          <w:lang w:val="fr-FR"/>
        </w:rPr>
        <w:t>n’est alors jamais porté à l’attention du</w:t>
      </w:r>
      <w:r w:rsidR="00F42198">
        <w:rPr>
          <w:noProof/>
          <w:lang w:val="fr-FR"/>
        </w:rPr>
        <w:t xml:space="preserve"> </w:t>
      </w:r>
      <w:r w:rsidR="009917EF" w:rsidRPr="00AC0D1B">
        <w:rPr>
          <w:noProof/>
          <w:color w:val="000000"/>
          <w:lang w:val="fr-FR"/>
        </w:rPr>
        <w:t>Bureau du commissaire aux demandes de statut de réfugié</w:t>
      </w:r>
      <w:r w:rsidR="003D0F58" w:rsidRPr="00DD03D6">
        <w:rPr>
          <w:noProof/>
          <w:lang w:val="fr-FR"/>
        </w:rPr>
        <w:t>.</w:t>
      </w:r>
    </w:p>
    <w:p w:rsidR="003D0F58" w:rsidRPr="00DD03D6" w:rsidRDefault="00280125" w:rsidP="00280125">
      <w:pPr>
        <w:pStyle w:val="H1G"/>
        <w:rPr>
          <w:noProof/>
          <w:lang w:val="fr-FR"/>
        </w:rPr>
      </w:pPr>
      <w:bookmarkStart w:id="45" w:name="_Toc356430872"/>
      <w:r w:rsidRPr="00DD03D6">
        <w:rPr>
          <w:noProof/>
          <w:lang w:val="fr-FR"/>
        </w:rPr>
        <w:tab/>
      </w:r>
      <w:r w:rsidR="003D0F58" w:rsidRPr="00DD03D6">
        <w:rPr>
          <w:noProof/>
          <w:lang w:val="fr-FR"/>
        </w:rPr>
        <w:t>E.</w:t>
      </w:r>
      <w:r w:rsidR="003D0F58" w:rsidRPr="00DD03D6">
        <w:rPr>
          <w:noProof/>
          <w:lang w:val="fr-FR"/>
        </w:rPr>
        <w:tab/>
      </w:r>
      <w:bookmarkEnd w:id="45"/>
      <w:r w:rsidR="009917EF" w:rsidRPr="00DD03D6">
        <w:rPr>
          <w:noProof/>
          <w:lang w:val="fr-FR"/>
        </w:rPr>
        <w:t>Reco</w:t>
      </w:r>
      <w:r w:rsidR="009917EF">
        <w:rPr>
          <w:noProof/>
          <w:lang w:val="fr-FR"/>
        </w:rPr>
        <w:t>uvrement de la pension alimentaire de l’enfant</w:t>
      </w:r>
    </w:p>
    <w:p w:rsidR="003D0F58" w:rsidRPr="00DD03D6" w:rsidRDefault="00863031" w:rsidP="007F5F30">
      <w:pPr>
        <w:pStyle w:val="SingleTxtG"/>
        <w:numPr>
          <w:ilvl w:val="0"/>
          <w:numId w:val="3"/>
        </w:numPr>
        <w:ind w:left="1134" w:firstLine="0"/>
        <w:rPr>
          <w:noProof/>
          <w:lang w:val="fr-FR"/>
        </w:rPr>
      </w:pPr>
      <w:r>
        <w:rPr>
          <w:noProof/>
          <w:lang w:val="fr-FR"/>
        </w:rPr>
        <w:t xml:space="preserve">Depuis le deuxième rapport périodique de l’Irlande </w:t>
      </w:r>
      <w:r w:rsidR="003D0F58" w:rsidRPr="00DD03D6">
        <w:rPr>
          <w:noProof/>
          <w:lang w:val="fr-FR"/>
        </w:rPr>
        <w:t xml:space="preserve">(2005), </w:t>
      </w:r>
      <w:r>
        <w:rPr>
          <w:noProof/>
          <w:lang w:val="fr-FR"/>
        </w:rPr>
        <w:t>le pays a mis en application le Règlement 4 de 2009 de l’UE relatif au recouvrement transfrontière de la pension alimentaire dans le cadre de l’Union européenne</w:t>
      </w:r>
      <w:r w:rsidR="003D0F58" w:rsidRPr="00DD03D6">
        <w:rPr>
          <w:noProof/>
          <w:lang w:val="fr-FR"/>
        </w:rPr>
        <w:t xml:space="preserve">. </w:t>
      </w:r>
      <w:r>
        <w:rPr>
          <w:noProof/>
          <w:lang w:val="fr-FR"/>
        </w:rPr>
        <w:t xml:space="preserve">Appliqué depuis mai 2011, ce règlement aidera à faire en sorte que la pension alimentaire de l’enfant puisse être recouvrée auprès de </w:t>
      </w:r>
      <w:r w:rsidR="003D0F58" w:rsidRPr="00DD03D6">
        <w:rPr>
          <w:noProof/>
          <w:lang w:val="fr-FR"/>
        </w:rPr>
        <w:t xml:space="preserve">parents </w:t>
      </w:r>
      <w:r>
        <w:rPr>
          <w:noProof/>
          <w:lang w:val="fr-FR"/>
        </w:rPr>
        <w:t>vivant dans d’autres pays membres de l’UE</w:t>
      </w:r>
      <w:r w:rsidR="003D0F58" w:rsidRPr="00DD03D6">
        <w:rPr>
          <w:noProof/>
          <w:lang w:val="fr-FR"/>
        </w:rPr>
        <w:t>.</w:t>
      </w:r>
    </w:p>
    <w:p w:rsidR="003D0F58" w:rsidRPr="00DD03D6" w:rsidRDefault="00863031" w:rsidP="007F5F30">
      <w:pPr>
        <w:pStyle w:val="SingleTxtG"/>
        <w:numPr>
          <w:ilvl w:val="0"/>
          <w:numId w:val="3"/>
        </w:numPr>
        <w:ind w:left="1134" w:firstLine="0"/>
        <w:rPr>
          <w:noProof/>
          <w:lang w:val="fr-FR"/>
        </w:rPr>
      </w:pPr>
      <w:r>
        <w:rPr>
          <w:noProof/>
          <w:lang w:val="fr-FR"/>
        </w:rPr>
        <w:t>Par ailleurs, l’</w:t>
      </w:r>
      <w:r w:rsidR="003D0F58" w:rsidRPr="00DD03D6">
        <w:rPr>
          <w:noProof/>
          <w:lang w:val="fr-FR"/>
        </w:rPr>
        <w:t>Irland</w:t>
      </w:r>
      <w:r>
        <w:rPr>
          <w:noProof/>
          <w:lang w:val="fr-FR"/>
        </w:rPr>
        <w:t>e</w:t>
      </w:r>
      <w:r w:rsidR="003D0F58" w:rsidRPr="00DD03D6">
        <w:rPr>
          <w:noProof/>
          <w:lang w:val="fr-FR"/>
        </w:rPr>
        <w:t xml:space="preserve"> </w:t>
      </w:r>
      <w:r>
        <w:rPr>
          <w:noProof/>
          <w:lang w:val="fr-FR"/>
        </w:rPr>
        <w:t xml:space="preserve">a participé à la négociation de la </w:t>
      </w:r>
      <w:r w:rsidR="00237F96">
        <w:rPr>
          <w:noProof/>
          <w:lang w:val="fr-FR"/>
        </w:rPr>
        <w:t xml:space="preserve">Convention de La Haye </w:t>
      </w:r>
      <w:r w:rsidR="00237F96">
        <w:rPr>
          <w:lang w:val="fr-FR"/>
        </w:rPr>
        <w:t>sur le recouvrement international des aliments destinés aux enfants et à d’autres membres de la famille</w:t>
      </w:r>
      <w:r w:rsidR="003D0F58" w:rsidRPr="00DD03D6">
        <w:rPr>
          <w:noProof/>
          <w:lang w:val="fr-FR"/>
        </w:rPr>
        <w:t xml:space="preserve">. </w:t>
      </w:r>
      <w:r w:rsidR="00237F96">
        <w:rPr>
          <w:noProof/>
          <w:lang w:val="fr-FR"/>
        </w:rPr>
        <w:t xml:space="preserve">Cette </w:t>
      </w:r>
      <w:r w:rsidR="003D0F58" w:rsidRPr="00DD03D6">
        <w:rPr>
          <w:noProof/>
          <w:lang w:val="fr-FR"/>
        </w:rPr>
        <w:t>Convention</w:t>
      </w:r>
      <w:r w:rsidR="00237F96">
        <w:rPr>
          <w:noProof/>
          <w:lang w:val="fr-FR"/>
        </w:rPr>
        <w:t>, qui</w:t>
      </w:r>
      <w:r w:rsidR="003D0F58" w:rsidRPr="00DD03D6">
        <w:rPr>
          <w:noProof/>
          <w:lang w:val="fr-FR"/>
        </w:rPr>
        <w:t xml:space="preserve"> </w:t>
      </w:r>
      <w:r w:rsidR="00237F96">
        <w:rPr>
          <w:noProof/>
          <w:lang w:val="fr-FR"/>
        </w:rPr>
        <w:t xml:space="preserve">devrait être ratifiée dans l’ensemble de l’UE à la fin de </w:t>
      </w:r>
      <w:r w:rsidR="003D0F58" w:rsidRPr="00DD03D6">
        <w:rPr>
          <w:noProof/>
          <w:lang w:val="fr-FR"/>
        </w:rPr>
        <w:t>2012</w:t>
      </w:r>
      <w:r w:rsidR="00237F96">
        <w:rPr>
          <w:noProof/>
          <w:lang w:val="fr-FR"/>
        </w:rPr>
        <w:t xml:space="preserve">, </w:t>
      </w:r>
      <w:r w:rsidR="003D0F58" w:rsidRPr="00DD03D6">
        <w:rPr>
          <w:noProof/>
          <w:lang w:val="fr-FR"/>
        </w:rPr>
        <w:t>re</w:t>
      </w:r>
      <w:r w:rsidR="00237F96">
        <w:rPr>
          <w:noProof/>
          <w:lang w:val="fr-FR"/>
        </w:rPr>
        <w:t>m</w:t>
      </w:r>
      <w:r w:rsidR="003D0F58" w:rsidRPr="00DD03D6">
        <w:rPr>
          <w:noProof/>
          <w:lang w:val="fr-FR"/>
        </w:rPr>
        <w:t>place</w:t>
      </w:r>
      <w:r w:rsidR="00237F96">
        <w:rPr>
          <w:noProof/>
          <w:lang w:val="fr-FR"/>
        </w:rPr>
        <w:t>ra des</w:t>
      </w:r>
      <w:r w:rsidR="003D0F58" w:rsidRPr="00DD03D6">
        <w:rPr>
          <w:noProof/>
          <w:lang w:val="fr-FR"/>
        </w:rPr>
        <w:t xml:space="preserve"> conventions </w:t>
      </w:r>
      <w:r w:rsidR="00237F96">
        <w:rPr>
          <w:noProof/>
          <w:lang w:val="fr-FR"/>
        </w:rPr>
        <w:t xml:space="preserve">plus anciennes </w:t>
      </w:r>
      <w:r w:rsidR="003D0F58" w:rsidRPr="00DD03D6">
        <w:rPr>
          <w:noProof/>
          <w:lang w:val="fr-FR"/>
        </w:rPr>
        <w:t>(</w:t>
      </w:r>
      <w:r w:rsidR="00237F96">
        <w:rPr>
          <w:noProof/>
          <w:lang w:val="fr-FR"/>
        </w:rPr>
        <w:t>e</w:t>
      </w:r>
      <w:r w:rsidR="003D0F58" w:rsidRPr="00DD03D6">
        <w:rPr>
          <w:noProof/>
          <w:lang w:val="fr-FR"/>
        </w:rPr>
        <w:t>n particul</w:t>
      </w:r>
      <w:r w:rsidR="00237F96">
        <w:rPr>
          <w:noProof/>
          <w:lang w:val="fr-FR"/>
        </w:rPr>
        <w:t>ie</w:t>
      </w:r>
      <w:r w:rsidR="003D0F58" w:rsidRPr="00DD03D6">
        <w:rPr>
          <w:noProof/>
          <w:lang w:val="fr-FR"/>
        </w:rPr>
        <w:t xml:space="preserve">r </w:t>
      </w:r>
      <w:r w:rsidR="00237F96">
        <w:rPr>
          <w:noProof/>
          <w:lang w:val="fr-FR"/>
        </w:rPr>
        <w:t xml:space="preserve">la Convention de </w:t>
      </w:r>
      <w:r w:rsidR="003D0F58" w:rsidRPr="00DD03D6">
        <w:rPr>
          <w:noProof/>
          <w:lang w:val="fr-FR"/>
        </w:rPr>
        <w:t xml:space="preserve">New York) </w:t>
      </w:r>
      <w:r w:rsidR="00237F96">
        <w:rPr>
          <w:noProof/>
          <w:lang w:val="fr-FR"/>
        </w:rPr>
        <w:t>par des procédures plus simples</w:t>
      </w:r>
      <w:r w:rsidR="003D0F58" w:rsidRPr="00DD03D6">
        <w:rPr>
          <w:noProof/>
          <w:lang w:val="fr-FR"/>
        </w:rPr>
        <w:t>.</w:t>
      </w:r>
    </w:p>
    <w:p w:rsidR="003D0F58" w:rsidRPr="00DD03D6" w:rsidRDefault="00280125" w:rsidP="00280125">
      <w:pPr>
        <w:pStyle w:val="H1G"/>
        <w:rPr>
          <w:noProof/>
          <w:lang w:val="fr-FR"/>
        </w:rPr>
      </w:pPr>
      <w:bookmarkStart w:id="46" w:name="_Toc356430873"/>
      <w:r w:rsidRPr="00DD03D6">
        <w:rPr>
          <w:noProof/>
          <w:lang w:val="fr-FR"/>
        </w:rPr>
        <w:tab/>
      </w:r>
      <w:r w:rsidR="003D0F58" w:rsidRPr="00DD03D6">
        <w:rPr>
          <w:noProof/>
          <w:lang w:val="fr-FR"/>
        </w:rPr>
        <w:t>F.</w:t>
      </w:r>
      <w:r w:rsidR="003D0F58" w:rsidRPr="00DD03D6">
        <w:rPr>
          <w:noProof/>
          <w:lang w:val="fr-FR"/>
        </w:rPr>
        <w:tab/>
      </w:r>
      <w:r w:rsidR="00237F96">
        <w:rPr>
          <w:noProof/>
          <w:lang w:val="fr-FR"/>
        </w:rPr>
        <w:t>Enfants privés de leur milieu familial</w:t>
      </w:r>
      <w:r w:rsidR="00237F96" w:rsidRPr="00DD03D6">
        <w:rPr>
          <w:noProof/>
          <w:lang w:val="fr-FR"/>
        </w:rPr>
        <w:t xml:space="preserve"> </w:t>
      </w:r>
      <w:bookmarkEnd w:id="46"/>
    </w:p>
    <w:p w:rsidR="003D0F58" w:rsidRDefault="00963C2E" w:rsidP="007F5F30">
      <w:pPr>
        <w:pStyle w:val="SingleTxtG"/>
        <w:numPr>
          <w:ilvl w:val="0"/>
          <w:numId w:val="3"/>
        </w:numPr>
        <w:ind w:left="1134" w:firstLine="0"/>
        <w:rPr>
          <w:noProof/>
          <w:lang w:val="fr-FR"/>
        </w:rPr>
      </w:pPr>
      <w:r>
        <w:rPr>
          <w:noProof/>
          <w:lang w:val="fr-FR"/>
        </w:rPr>
        <w:t xml:space="preserve">En Irlande, la </w:t>
      </w:r>
      <w:r w:rsidR="003D0F58" w:rsidRPr="00DD03D6">
        <w:rPr>
          <w:noProof/>
          <w:lang w:val="fr-FR"/>
        </w:rPr>
        <w:t xml:space="preserve">protection </w:t>
      </w:r>
      <w:r>
        <w:rPr>
          <w:noProof/>
          <w:lang w:val="fr-FR"/>
        </w:rPr>
        <w:t>et le bien-être des enfants reposent sur la loi de 1991 sur la protection de l’enfance</w:t>
      </w:r>
      <w:r w:rsidR="003D0F58" w:rsidRPr="00DD03D6">
        <w:rPr>
          <w:noProof/>
          <w:lang w:val="fr-FR"/>
        </w:rPr>
        <w:t xml:space="preserve">. </w:t>
      </w:r>
      <w:r>
        <w:rPr>
          <w:noProof/>
          <w:lang w:val="fr-FR"/>
        </w:rPr>
        <w:t>En vertu de cette loi, la Direction des services de santé est tenue de promouvoir le bien-être des enfants qui ne bénéficient pas de soins et d’une protection adéquats</w:t>
      </w:r>
      <w:r w:rsidR="003D0F58" w:rsidRPr="00DD03D6">
        <w:rPr>
          <w:noProof/>
          <w:lang w:val="fr-FR"/>
        </w:rPr>
        <w:t xml:space="preserve">. </w:t>
      </w:r>
      <w:r>
        <w:rPr>
          <w:noProof/>
          <w:lang w:val="fr-FR"/>
        </w:rPr>
        <w:t xml:space="preserve">La loi lui fait également obligation de s’assurer que chaque enfant placé peut compter à la fois sur un travailleur social </w:t>
      </w:r>
      <w:r w:rsidR="00E85504">
        <w:rPr>
          <w:noProof/>
          <w:lang w:val="fr-FR"/>
        </w:rPr>
        <w:t xml:space="preserve">qui s’occupe de son cas et sur </w:t>
      </w:r>
      <w:r w:rsidR="005276DC">
        <w:rPr>
          <w:noProof/>
          <w:lang w:val="fr-FR"/>
        </w:rPr>
        <w:t>un plan de prise en charge écrit</w:t>
      </w:r>
      <w:r w:rsidR="003D0F58" w:rsidRPr="00DD03D6">
        <w:rPr>
          <w:noProof/>
          <w:lang w:val="fr-FR"/>
        </w:rPr>
        <w:t xml:space="preserve">. </w:t>
      </w:r>
      <w:r w:rsidR="005276DC">
        <w:rPr>
          <w:noProof/>
          <w:lang w:val="fr-FR"/>
        </w:rPr>
        <w:t xml:space="preserve">Dans le cadre de son </w:t>
      </w:r>
      <w:r w:rsidR="005276DC">
        <w:rPr>
          <w:lang w:val="fr-CH"/>
        </w:rPr>
        <w:t xml:space="preserve">Plan national de prestation de services, la Direction fixe annuellement le niveau de </w:t>
      </w:r>
      <w:r w:rsidR="003D0F58" w:rsidRPr="00DD03D6">
        <w:rPr>
          <w:noProof/>
          <w:lang w:val="fr-FR"/>
        </w:rPr>
        <w:t xml:space="preserve">services </w:t>
      </w:r>
      <w:r w:rsidR="005276DC">
        <w:rPr>
          <w:noProof/>
          <w:lang w:val="fr-FR"/>
        </w:rPr>
        <w:t>à fournir au nom de l’État</w:t>
      </w:r>
      <w:r w:rsidR="003D0F58" w:rsidRPr="00DD03D6">
        <w:rPr>
          <w:noProof/>
          <w:lang w:val="fr-FR"/>
        </w:rPr>
        <w:t xml:space="preserve">. </w:t>
      </w:r>
      <w:r w:rsidR="003C62DB">
        <w:rPr>
          <w:noProof/>
          <w:lang w:val="fr-FR"/>
        </w:rPr>
        <w:t>Le</w:t>
      </w:r>
      <w:r w:rsidR="004B64DE">
        <w:rPr>
          <w:noProof/>
          <w:lang w:val="fr-FR"/>
        </w:rPr>
        <w:t>s</w:t>
      </w:r>
      <w:r w:rsidR="003C62DB">
        <w:rPr>
          <w:noProof/>
          <w:lang w:val="fr-FR"/>
        </w:rPr>
        <w:t xml:space="preserve"> service</w:t>
      </w:r>
      <w:r w:rsidR="004B64DE">
        <w:rPr>
          <w:noProof/>
          <w:lang w:val="fr-FR"/>
        </w:rPr>
        <w:t>s</w:t>
      </w:r>
      <w:r w:rsidR="003C62DB">
        <w:rPr>
          <w:noProof/>
          <w:lang w:val="fr-FR"/>
        </w:rPr>
        <w:t xml:space="preserve"> d’assistance et de </w:t>
      </w:r>
      <w:r w:rsidR="003D0F58" w:rsidRPr="00DD03D6">
        <w:rPr>
          <w:noProof/>
          <w:lang w:val="fr-FR"/>
        </w:rPr>
        <w:t xml:space="preserve">protection </w:t>
      </w:r>
      <w:r w:rsidR="003C62DB">
        <w:rPr>
          <w:noProof/>
          <w:lang w:val="fr-FR"/>
        </w:rPr>
        <w:t>destinés aux enfants sont principalement fournis par elle</w:t>
      </w:r>
      <w:r w:rsidR="003D0F58" w:rsidRPr="00DD03D6">
        <w:rPr>
          <w:noProof/>
          <w:lang w:val="fr-FR"/>
        </w:rPr>
        <w:t xml:space="preserve">, </w:t>
      </w:r>
      <w:r w:rsidR="004B64DE">
        <w:rPr>
          <w:noProof/>
          <w:lang w:val="fr-FR"/>
        </w:rPr>
        <w:t xml:space="preserve">les </w:t>
      </w:r>
      <w:r w:rsidR="003D0F58" w:rsidRPr="00DD03D6">
        <w:rPr>
          <w:noProof/>
          <w:lang w:val="fr-FR"/>
        </w:rPr>
        <w:t xml:space="preserve">services </w:t>
      </w:r>
      <w:r w:rsidR="004B64DE">
        <w:rPr>
          <w:noProof/>
          <w:lang w:val="fr-FR"/>
        </w:rPr>
        <w:t>d’appui étant assurés dans le cadre d’accords de prestation de services conclus avec le secteur non gouvernemental</w:t>
      </w:r>
      <w:r w:rsidR="003D0F58" w:rsidRPr="00DD03D6">
        <w:rPr>
          <w:noProof/>
          <w:lang w:val="fr-FR"/>
        </w:rPr>
        <w:t xml:space="preserve">. </w:t>
      </w:r>
      <w:r w:rsidR="004B64DE">
        <w:rPr>
          <w:noProof/>
          <w:lang w:val="fr-FR"/>
        </w:rPr>
        <w:t xml:space="preserve">On observe depuis quelques années une amélioration dans la prestation des </w:t>
      </w:r>
      <w:r w:rsidR="003D0F58" w:rsidRPr="00DD03D6">
        <w:rPr>
          <w:noProof/>
          <w:lang w:val="fr-FR"/>
        </w:rPr>
        <w:t xml:space="preserve">services, </w:t>
      </w:r>
      <w:r w:rsidR="004B64DE">
        <w:rPr>
          <w:noProof/>
          <w:lang w:val="fr-FR"/>
        </w:rPr>
        <w:t>s’agissant en particulier de la qualité des</w:t>
      </w:r>
      <w:r w:rsidR="003D0F58" w:rsidRPr="00DD03D6">
        <w:rPr>
          <w:noProof/>
          <w:lang w:val="fr-FR"/>
        </w:rPr>
        <w:t xml:space="preserve"> services </w:t>
      </w:r>
      <w:r w:rsidR="004B64DE">
        <w:rPr>
          <w:noProof/>
          <w:lang w:val="fr-FR"/>
        </w:rPr>
        <w:t xml:space="preserve">destinés aux enfants placés en institution et en famille d’accueil, ce qui est attesté par les conclusions principalement </w:t>
      </w:r>
      <w:r w:rsidR="004B64DE">
        <w:rPr>
          <w:noProof/>
          <w:lang w:val="fr-FR"/>
        </w:rPr>
        <w:lastRenderedPageBreak/>
        <w:t xml:space="preserve">positives des rapports d’inspection du Bureau de l’informatiion sanitaire et de la qualité des services sanitaires </w:t>
      </w:r>
      <w:r w:rsidR="003D0F58" w:rsidRPr="00DD03D6">
        <w:rPr>
          <w:noProof/>
          <w:lang w:val="fr-FR"/>
        </w:rPr>
        <w:t>(</w:t>
      </w:r>
      <w:r w:rsidR="004B64DE">
        <w:rPr>
          <w:noProof/>
          <w:lang w:val="fr-FR"/>
        </w:rPr>
        <w:t xml:space="preserve">voir </w:t>
      </w:r>
      <w:hyperlink r:id="rId29" w:history="1">
        <w:r w:rsidR="003D0F58" w:rsidRPr="00DD03D6">
          <w:rPr>
            <w:rStyle w:val="Lienhypertexte"/>
            <w:noProof/>
            <w:lang w:val="fr-FR"/>
          </w:rPr>
          <w:t>www.hiqa.ie</w:t>
        </w:r>
      </w:hyperlink>
      <w:r w:rsidR="003D0F58" w:rsidRPr="00DD03D6">
        <w:rPr>
          <w:noProof/>
          <w:lang w:val="fr-FR"/>
        </w:rPr>
        <w:t>).</w:t>
      </w:r>
    </w:p>
    <w:p w:rsidR="003D0F58" w:rsidRPr="00DD03D6" w:rsidRDefault="00175AB7" w:rsidP="00280125">
      <w:pPr>
        <w:pStyle w:val="SingleTxtG"/>
        <w:numPr>
          <w:ilvl w:val="0"/>
          <w:numId w:val="3"/>
        </w:numPr>
        <w:ind w:left="1134" w:firstLine="0"/>
        <w:rPr>
          <w:noProof/>
          <w:lang w:val="fr-FR"/>
        </w:rPr>
      </w:pPr>
      <w:r>
        <w:rPr>
          <w:noProof/>
          <w:lang w:val="fr-FR"/>
        </w:rPr>
        <w:t xml:space="preserve">Toutefois, </w:t>
      </w:r>
      <w:r w:rsidR="004D7B50">
        <w:rPr>
          <w:noProof/>
          <w:lang w:val="fr-FR"/>
        </w:rPr>
        <w:t xml:space="preserve">il est largement reconnu que </w:t>
      </w:r>
      <w:r w:rsidR="00A624D9">
        <w:rPr>
          <w:noProof/>
          <w:lang w:val="fr-FR"/>
        </w:rPr>
        <w:t xml:space="preserve">les services d’assistance et de protection destinés aux enfants </w:t>
      </w:r>
      <w:r w:rsidR="00315951">
        <w:rPr>
          <w:noProof/>
          <w:lang w:val="fr-FR"/>
        </w:rPr>
        <w:t>doivent être réorganisés et réformés</w:t>
      </w:r>
      <w:r w:rsidR="003D0F58" w:rsidRPr="00DD03D6">
        <w:rPr>
          <w:noProof/>
          <w:lang w:val="fr-FR"/>
        </w:rPr>
        <w:t xml:space="preserve">. </w:t>
      </w:r>
      <w:r w:rsidR="00315951">
        <w:rPr>
          <w:noProof/>
          <w:lang w:val="fr-FR"/>
        </w:rPr>
        <w:t>Un</w:t>
      </w:r>
      <w:r w:rsidR="003D0F58" w:rsidRPr="00DD03D6">
        <w:rPr>
          <w:noProof/>
          <w:lang w:val="fr-FR"/>
        </w:rPr>
        <w:t xml:space="preserve"> programme </w:t>
      </w:r>
      <w:r w:rsidR="00315951">
        <w:rPr>
          <w:noProof/>
          <w:lang w:val="fr-FR"/>
        </w:rPr>
        <w:t xml:space="preserve">de réformes de vaste portée a été mis en chantier, dont les éléments essentiels sont les suivants </w:t>
      </w:r>
      <w:r w:rsidR="003D0F58" w:rsidRPr="00DD03D6">
        <w:rPr>
          <w:noProof/>
          <w:lang w:val="fr-FR"/>
        </w:rPr>
        <w:t>:</w:t>
      </w:r>
    </w:p>
    <w:p w:rsidR="003D0F58" w:rsidRPr="00DD03D6" w:rsidRDefault="00EF33C8" w:rsidP="00B95BA9">
      <w:pPr>
        <w:pStyle w:val="Bullet1G"/>
        <w:tabs>
          <w:tab w:val="clear" w:pos="1701"/>
        </w:tabs>
        <w:ind w:left="1843" w:hanging="142"/>
        <w:rPr>
          <w:noProof/>
          <w:lang w:val="fr-FR"/>
        </w:rPr>
      </w:pPr>
      <w:r>
        <w:rPr>
          <w:noProof/>
          <w:lang w:val="fr-FR"/>
        </w:rPr>
        <w:t xml:space="preserve">Poursuite de la mutation culturelle majeure que réclame la prestation aux enfants et à leur famille de services qui soient adaptés à l’enfant, </w:t>
      </w:r>
      <w:r w:rsidRPr="00DD03D6">
        <w:rPr>
          <w:noProof/>
          <w:lang w:val="fr-FR"/>
        </w:rPr>
        <w:t>transparent</w:t>
      </w:r>
      <w:r>
        <w:rPr>
          <w:noProof/>
          <w:lang w:val="fr-FR"/>
        </w:rPr>
        <w:t>s</w:t>
      </w:r>
      <w:r w:rsidRPr="00DD03D6">
        <w:rPr>
          <w:noProof/>
          <w:lang w:val="fr-FR"/>
        </w:rPr>
        <w:t xml:space="preserve">, </w:t>
      </w:r>
      <w:r>
        <w:rPr>
          <w:noProof/>
          <w:lang w:val="fr-FR"/>
        </w:rPr>
        <w:t>d’une qualité garantie</w:t>
      </w:r>
      <w:r w:rsidRPr="00DD03D6">
        <w:rPr>
          <w:noProof/>
          <w:lang w:val="fr-FR"/>
        </w:rPr>
        <w:t>, profession</w:t>
      </w:r>
      <w:r>
        <w:rPr>
          <w:noProof/>
          <w:lang w:val="fr-FR"/>
        </w:rPr>
        <w:t>nels et responsables</w:t>
      </w:r>
      <w:r w:rsidR="003D0F58" w:rsidRPr="00DD03D6">
        <w:rPr>
          <w:noProof/>
          <w:lang w:val="fr-FR"/>
        </w:rPr>
        <w:t>;</w:t>
      </w:r>
    </w:p>
    <w:p w:rsidR="003D0F58" w:rsidRPr="00DD03D6" w:rsidRDefault="00EF33C8" w:rsidP="00B95BA9">
      <w:pPr>
        <w:pStyle w:val="Bullet1G"/>
        <w:tabs>
          <w:tab w:val="clear" w:pos="1701"/>
        </w:tabs>
        <w:ind w:left="1843" w:hanging="142"/>
        <w:rPr>
          <w:noProof/>
          <w:lang w:val="fr-FR"/>
        </w:rPr>
      </w:pPr>
      <w:r>
        <w:rPr>
          <w:noProof/>
          <w:lang w:val="fr-FR"/>
        </w:rPr>
        <w:t xml:space="preserve">Application de procédures de protection des enfants uniformes conformément aux directives nationales révisées de </w:t>
      </w:r>
      <w:r w:rsidRPr="00DD03D6">
        <w:rPr>
          <w:noProof/>
          <w:lang w:val="fr-FR"/>
        </w:rPr>
        <w:t xml:space="preserve">2011 </w:t>
      </w:r>
      <w:r>
        <w:rPr>
          <w:noProof/>
          <w:lang w:val="fr-FR"/>
        </w:rPr>
        <w:t xml:space="preserve">intitulées </w:t>
      </w:r>
      <w:r w:rsidRPr="00FD2518">
        <w:rPr>
          <w:lang w:val="fr-CH"/>
        </w:rPr>
        <w:t>«</w:t>
      </w:r>
      <w:r w:rsidR="00FD2518">
        <w:rPr>
          <w:i/>
          <w:lang w:val="fr-CH"/>
        </w:rPr>
        <w:t> </w:t>
      </w:r>
      <w:r w:rsidRPr="007B3894">
        <w:rPr>
          <w:i/>
          <w:lang w:val="fr-CH"/>
        </w:rPr>
        <w:t>Les enfants d’abord</w:t>
      </w:r>
      <w:r>
        <w:rPr>
          <w:i/>
          <w:lang w:val="fr-CH"/>
        </w:rPr>
        <w:t xml:space="preserve"> </w:t>
      </w:r>
      <w:r w:rsidRPr="007B3894">
        <w:rPr>
          <w:i/>
          <w:lang w:val="fr-CH"/>
        </w:rPr>
        <w:t>: directives nationales pour la protecti</w:t>
      </w:r>
      <w:r>
        <w:rPr>
          <w:i/>
          <w:lang w:val="fr-CH"/>
        </w:rPr>
        <w:t>on et le bien-être des enfants</w:t>
      </w:r>
      <w:r w:rsidR="00FD2518">
        <w:rPr>
          <w:i/>
          <w:lang w:val="fr-CH"/>
        </w:rPr>
        <w:t> </w:t>
      </w:r>
      <w:r w:rsidRPr="00FD2518">
        <w:rPr>
          <w:lang w:val="fr-CH"/>
        </w:rPr>
        <w:t>»</w:t>
      </w:r>
      <w:r>
        <w:rPr>
          <w:noProof/>
          <w:lang w:val="fr-FR"/>
        </w:rPr>
        <w:t xml:space="preserve"> </w:t>
      </w:r>
      <w:r w:rsidR="003D0F58" w:rsidRPr="00DD03D6">
        <w:rPr>
          <w:noProof/>
          <w:lang w:val="fr-FR"/>
        </w:rPr>
        <w:t>(</w:t>
      </w:r>
      <w:r>
        <w:rPr>
          <w:noProof/>
          <w:lang w:val="fr-FR"/>
        </w:rPr>
        <w:t>Ministère de l’enfance et de</w:t>
      </w:r>
      <w:r w:rsidR="00D234E7">
        <w:rPr>
          <w:noProof/>
          <w:lang w:val="fr-FR"/>
        </w:rPr>
        <w:t xml:space="preserve"> la jeunesse</w:t>
      </w:r>
      <w:r w:rsidR="003D0F58" w:rsidRPr="00DD03D6">
        <w:rPr>
          <w:noProof/>
          <w:lang w:val="fr-FR"/>
        </w:rPr>
        <w:t>, 2011);</w:t>
      </w:r>
    </w:p>
    <w:p w:rsidR="003D0F58" w:rsidRPr="00DD03D6" w:rsidRDefault="00D234E7" w:rsidP="00B95BA9">
      <w:pPr>
        <w:pStyle w:val="Bullet1G"/>
        <w:tabs>
          <w:tab w:val="clear" w:pos="1701"/>
        </w:tabs>
        <w:ind w:left="1843" w:hanging="142"/>
        <w:rPr>
          <w:noProof/>
          <w:lang w:val="fr-FR"/>
        </w:rPr>
      </w:pPr>
      <w:r>
        <w:rPr>
          <w:noProof/>
          <w:lang w:val="fr-FR"/>
        </w:rPr>
        <w:t xml:space="preserve">Poursuite des </w:t>
      </w:r>
      <w:r w:rsidRPr="00DD03D6">
        <w:rPr>
          <w:noProof/>
          <w:lang w:val="fr-FR"/>
        </w:rPr>
        <w:t>r</w:t>
      </w:r>
      <w:r>
        <w:rPr>
          <w:noProof/>
          <w:lang w:val="fr-FR"/>
        </w:rPr>
        <w:t>é</w:t>
      </w:r>
      <w:r w:rsidRPr="00DD03D6">
        <w:rPr>
          <w:noProof/>
          <w:lang w:val="fr-FR"/>
        </w:rPr>
        <w:t>form</w:t>
      </w:r>
      <w:r>
        <w:rPr>
          <w:noProof/>
          <w:lang w:val="fr-FR"/>
        </w:rPr>
        <w:t>e</w:t>
      </w:r>
      <w:r w:rsidRPr="00DD03D6">
        <w:rPr>
          <w:noProof/>
          <w:lang w:val="fr-FR"/>
        </w:rPr>
        <w:t xml:space="preserve">s </w:t>
      </w:r>
      <w:r>
        <w:rPr>
          <w:noProof/>
          <w:lang w:val="fr-FR"/>
        </w:rPr>
        <w:t>à mener pour fournir aux enfants placés des services plus sûrs, fiables et efficaces</w:t>
      </w:r>
      <w:r w:rsidR="003D0F58" w:rsidRPr="00DD03D6">
        <w:rPr>
          <w:noProof/>
          <w:lang w:val="fr-FR"/>
        </w:rPr>
        <w:t>;</w:t>
      </w:r>
    </w:p>
    <w:p w:rsidR="003D0F58" w:rsidRPr="00DD03D6" w:rsidRDefault="00D234E7" w:rsidP="00B95BA9">
      <w:pPr>
        <w:pStyle w:val="Bullet1G"/>
        <w:tabs>
          <w:tab w:val="clear" w:pos="1701"/>
        </w:tabs>
        <w:ind w:left="1843" w:hanging="142"/>
        <w:rPr>
          <w:noProof/>
          <w:lang w:val="fr-FR"/>
        </w:rPr>
      </w:pPr>
      <w:r>
        <w:rPr>
          <w:noProof/>
          <w:lang w:val="fr-FR"/>
        </w:rPr>
        <w:t xml:space="preserve">Poursuite de la mise en œuvre des conclusions du rapport </w:t>
      </w:r>
      <w:r w:rsidRPr="00DD03D6">
        <w:rPr>
          <w:noProof/>
          <w:lang w:val="fr-FR"/>
        </w:rPr>
        <w:t>Ryan</w:t>
      </w:r>
      <w:r>
        <w:rPr>
          <w:noProof/>
          <w:lang w:val="fr-FR"/>
        </w:rPr>
        <w:t xml:space="preserve"> (Commission d’enquête sur </w:t>
      </w:r>
      <w:r w:rsidR="00CC6538">
        <w:rPr>
          <w:noProof/>
          <w:lang w:val="fr-FR"/>
        </w:rPr>
        <w:t>les sévices</w:t>
      </w:r>
      <w:r>
        <w:rPr>
          <w:noProof/>
          <w:lang w:val="fr-FR"/>
        </w:rPr>
        <w:t xml:space="preserve"> à enfant, 2009)</w:t>
      </w:r>
      <w:r w:rsidR="003D0F58" w:rsidRPr="00DD03D6">
        <w:rPr>
          <w:noProof/>
          <w:lang w:val="fr-FR"/>
        </w:rPr>
        <w:t>.</w:t>
      </w:r>
    </w:p>
    <w:p w:rsidR="003D0F58" w:rsidRPr="00DD03D6" w:rsidRDefault="00FF47CB" w:rsidP="009E353E">
      <w:pPr>
        <w:pStyle w:val="SingleTxtG"/>
        <w:numPr>
          <w:ilvl w:val="0"/>
          <w:numId w:val="3"/>
        </w:numPr>
        <w:ind w:left="1134" w:firstLine="0"/>
        <w:rPr>
          <w:noProof/>
          <w:lang w:val="fr-FR"/>
        </w:rPr>
      </w:pPr>
      <w:r>
        <w:rPr>
          <w:noProof/>
          <w:lang w:val="fr-FR"/>
        </w:rPr>
        <w:t xml:space="preserve">Ce </w:t>
      </w:r>
      <w:r w:rsidR="003D0F58" w:rsidRPr="00DD03D6">
        <w:rPr>
          <w:noProof/>
          <w:lang w:val="fr-FR"/>
        </w:rPr>
        <w:t xml:space="preserve">programme </w:t>
      </w:r>
      <w:r>
        <w:rPr>
          <w:noProof/>
          <w:lang w:val="fr-FR"/>
        </w:rPr>
        <w:t xml:space="preserve">de réformes s’inscrit dans le </w:t>
      </w:r>
      <w:r w:rsidR="003D0F58" w:rsidRPr="00DD03D6">
        <w:rPr>
          <w:noProof/>
          <w:lang w:val="fr-FR"/>
        </w:rPr>
        <w:t>context</w:t>
      </w:r>
      <w:r>
        <w:rPr>
          <w:noProof/>
          <w:lang w:val="fr-FR"/>
        </w:rPr>
        <w:t>e</w:t>
      </w:r>
      <w:r w:rsidR="003D0F58" w:rsidRPr="00DD03D6">
        <w:rPr>
          <w:noProof/>
          <w:lang w:val="fr-FR"/>
        </w:rPr>
        <w:t xml:space="preserve"> </w:t>
      </w:r>
      <w:r>
        <w:rPr>
          <w:noProof/>
          <w:lang w:val="fr-FR"/>
        </w:rPr>
        <w:t xml:space="preserve">de l’engagement pris par le Gouvernement de remanier fondamentalement la prestation des services de protection des enfants en retirant à la Direction des services de santé la responsabilité de la </w:t>
      </w:r>
      <w:r w:rsidRPr="00DD03D6">
        <w:rPr>
          <w:noProof/>
          <w:lang w:val="fr-FR"/>
        </w:rPr>
        <w:t xml:space="preserve">protection </w:t>
      </w:r>
      <w:r>
        <w:rPr>
          <w:noProof/>
          <w:lang w:val="fr-FR"/>
        </w:rPr>
        <w:t>et du bien-être des enfants et en créant un organisme spécialisé dans la prestation de services d’assistance et de protection destinés aux enfants, en réformant le modèle de prestation de services et en améliorant l</w:t>
      </w:r>
      <w:r w:rsidR="00E21347">
        <w:rPr>
          <w:noProof/>
          <w:lang w:val="fr-FR"/>
        </w:rPr>
        <w:t>e respect du principe de responsabilité</w:t>
      </w:r>
      <w:r w:rsidR="003D0F58" w:rsidRPr="00DD03D6">
        <w:rPr>
          <w:noProof/>
          <w:lang w:val="fr-FR"/>
        </w:rPr>
        <w:t>.</w:t>
      </w:r>
    </w:p>
    <w:p w:rsidR="003D0F58" w:rsidRPr="00DD03D6" w:rsidRDefault="00E21347" w:rsidP="009E353E">
      <w:pPr>
        <w:pStyle w:val="SingleTxtG"/>
        <w:numPr>
          <w:ilvl w:val="0"/>
          <w:numId w:val="3"/>
        </w:numPr>
        <w:ind w:left="1134" w:firstLine="0"/>
        <w:rPr>
          <w:noProof/>
          <w:lang w:val="fr-FR"/>
        </w:rPr>
      </w:pPr>
      <w:r>
        <w:rPr>
          <w:noProof/>
          <w:lang w:val="fr-FR"/>
        </w:rPr>
        <w:t>E</w:t>
      </w:r>
      <w:r w:rsidR="003D0F58" w:rsidRPr="00DD03D6">
        <w:rPr>
          <w:noProof/>
          <w:lang w:val="fr-FR"/>
        </w:rPr>
        <w:t xml:space="preserve">n 2012, </w:t>
      </w:r>
      <w:r>
        <w:rPr>
          <w:noProof/>
          <w:lang w:val="fr-FR"/>
        </w:rPr>
        <w:t>pour la première fois, le</w:t>
      </w:r>
      <w:r w:rsidR="003D0F58" w:rsidRPr="00DD03D6">
        <w:rPr>
          <w:noProof/>
          <w:lang w:val="fr-FR"/>
        </w:rPr>
        <w:t xml:space="preserve"> budget vot</w:t>
      </w:r>
      <w:r>
        <w:rPr>
          <w:noProof/>
          <w:lang w:val="fr-FR"/>
        </w:rPr>
        <w:t>é par l’</w:t>
      </w:r>
      <w:r w:rsidR="003D0F58" w:rsidRPr="00E21347">
        <w:rPr>
          <w:i/>
          <w:noProof/>
          <w:lang w:val="fr-FR"/>
        </w:rPr>
        <w:t>Oireachtas</w:t>
      </w:r>
      <w:r w:rsidR="003D0F58" w:rsidRPr="00DD03D6">
        <w:rPr>
          <w:noProof/>
          <w:lang w:val="fr-FR"/>
        </w:rPr>
        <w:t xml:space="preserve"> </w:t>
      </w:r>
      <w:r>
        <w:rPr>
          <w:noProof/>
          <w:lang w:val="fr-FR"/>
        </w:rPr>
        <w:t xml:space="preserve">pour les services de santé fournis par la Direction des services de santé </w:t>
      </w:r>
      <w:r w:rsidR="003D0F58" w:rsidRPr="00DD03D6">
        <w:rPr>
          <w:noProof/>
          <w:lang w:val="fr-FR"/>
        </w:rPr>
        <w:t>cont</w:t>
      </w:r>
      <w:r>
        <w:rPr>
          <w:noProof/>
          <w:lang w:val="fr-FR"/>
        </w:rPr>
        <w:t xml:space="preserve">enait un article </w:t>
      </w:r>
      <w:r w:rsidR="00662759">
        <w:rPr>
          <w:noProof/>
          <w:lang w:val="fr-FR"/>
        </w:rPr>
        <w:t>intitulé</w:t>
      </w:r>
      <w:r>
        <w:rPr>
          <w:noProof/>
          <w:lang w:val="fr-FR"/>
        </w:rPr>
        <w:t xml:space="preserve"> </w:t>
      </w:r>
      <w:r w:rsidR="00662759">
        <w:rPr>
          <w:noProof/>
          <w:lang w:val="fr-FR"/>
        </w:rPr>
        <w:t>« </w:t>
      </w:r>
      <w:r>
        <w:rPr>
          <w:noProof/>
          <w:lang w:val="fr-FR"/>
        </w:rPr>
        <w:t>Services destinés aux enfants et aux familles</w:t>
      </w:r>
      <w:r w:rsidR="00662759">
        <w:rPr>
          <w:noProof/>
          <w:lang w:val="fr-FR"/>
        </w:rPr>
        <w:t> »</w:t>
      </w:r>
      <w:r w:rsidR="003D0F58" w:rsidRPr="00DD03D6">
        <w:rPr>
          <w:noProof/>
          <w:lang w:val="fr-FR"/>
        </w:rPr>
        <w:t xml:space="preserve">. </w:t>
      </w:r>
      <w:r>
        <w:rPr>
          <w:noProof/>
          <w:lang w:val="fr-FR"/>
        </w:rPr>
        <w:t>Ce crédit budgétaire spécialisé a amélioré la transparence et le contrôle de la gestion budgé</w:t>
      </w:r>
      <w:r w:rsidR="003D0F58" w:rsidRPr="00DD03D6">
        <w:rPr>
          <w:noProof/>
          <w:lang w:val="fr-FR"/>
        </w:rPr>
        <w:t>ta</w:t>
      </w:r>
      <w:r>
        <w:rPr>
          <w:noProof/>
          <w:lang w:val="fr-FR"/>
        </w:rPr>
        <w:t xml:space="preserve">ire et facilitera la mise en place de la nouvelle </w:t>
      </w:r>
      <w:r w:rsidR="00662759">
        <w:rPr>
          <w:noProof/>
          <w:lang w:val="fr-FR"/>
        </w:rPr>
        <w:t xml:space="preserve">Agence pour l’enfant et la famille en </w:t>
      </w:r>
      <w:r w:rsidR="003D0F58" w:rsidRPr="00DD03D6">
        <w:rPr>
          <w:noProof/>
          <w:lang w:val="fr-FR"/>
        </w:rPr>
        <w:t>2013.</w:t>
      </w:r>
    </w:p>
    <w:p w:rsidR="003D0F58" w:rsidRPr="00DD03D6" w:rsidRDefault="00662759" w:rsidP="00662759">
      <w:pPr>
        <w:pStyle w:val="H23G"/>
        <w:ind w:firstLine="0"/>
        <w:rPr>
          <w:noProof/>
          <w:lang w:val="fr-FR"/>
        </w:rPr>
      </w:pPr>
      <w:r>
        <w:rPr>
          <w:noProof/>
          <w:lang w:val="fr-FR"/>
        </w:rPr>
        <w:t xml:space="preserve">Enfants placés </w:t>
      </w:r>
    </w:p>
    <w:p w:rsidR="003D0F58" w:rsidRPr="00DD03D6" w:rsidRDefault="00662759" w:rsidP="00351372">
      <w:pPr>
        <w:pStyle w:val="SingleTxtG"/>
        <w:numPr>
          <w:ilvl w:val="0"/>
          <w:numId w:val="3"/>
        </w:numPr>
        <w:ind w:left="1134" w:firstLine="0"/>
        <w:rPr>
          <w:noProof/>
          <w:lang w:val="fr-FR"/>
        </w:rPr>
      </w:pPr>
      <w:r>
        <w:rPr>
          <w:noProof/>
          <w:lang w:val="fr-FR"/>
        </w:rPr>
        <w:t xml:space="preserve">Entre </w:t>
      </w:r>
      <w:r w:rsidR="003D0F58" w:rsidRPr="00DD03D6">
        <w:rPr>
          <w:noProof/>
          <w:lang w:val="fr-FR"/>
        </w:rPr>
        <w:t xml:space="preserve">2007 </w:t>
      </w:r>
      <w:r>
        <w:rPr>
          <w:noProof/>
          <w:lang w:val="fr-FR"/>
        </w:rPr>
        <w:t>et</w:t>
      </w:r>
      <w:r w:rsidR="003D0F58" w:rsidRPr="00DD03D6">
        <w:rPr>
          <w:noProof/>
          <w:lang w:val="fr-FR"/>
        </w:rPr>
        <w:t xml:space="preserve"> 2012, </w:t>
      </w:r>
      <w:r w:rsidR="009C1F39">
        <w:rPr>
          <w:noProof/>
          <w:lang w:val="fr-FR"/>
        </w:rPr>
        <w:t xml:space="preserve">le nombre d’enfants placés a augmenté de près de </w:t>
      </w:r>
      <w:r w:rsidR="003D0F58" w:rsidRPr="00DD03D6">
        <w:rPr>
          <w:noProof/>
          <w:lang w:val="fr-FR"/>
        </w:rPr>
        <w:t>17</w:t>
      </w:r>
      <w:r w:rsidR="003F1ADB">
        <w:rPr>
          <w:noProof/>
          <w:lang w:val="fr-FR"/>
        </w:rPr>
        <w:t> %</w:t>
      </w:r>
      <w:r w:rsidR="003D0F58" w:rsidRPr="00DD03D6">
        <w:rPr>
          <w:noProof/>
          <w:lang w:val="fr-FR"/>
        </w:rPr>
        <w:t xml:space="preserve">. </w:t>
      </w:r>
      <w:r w:rsidR="00790CBE">
        <w:rPr>
          <w:noProof/>
          <w:lang w:val="fr-FR"/>
        </w:rPr>
        <w:t xml:space="preserve">Cette augmentation tient à un certain nombre de facteurs, parmi lesquels l’accroissement de la </w:t>
      </w:r>
      <w:r w:rsidR="003D0F58" w:rsidRPr="00DD03D6">
        <w:rPr>
          <w:noProof/>
          <w:lang w:val="fr-FR"/>
        </w:rPr>
        <w:t>population</w:t>
      </w:r>
      <w:r w:rsidR="00790CBE" w:rsidRPr="00790CBE">
        <w:rPr>
          <w:noProof/>
          <w:lang w:val="fr-FR"/>
        </w:rPr>
        <w:t xml:space="preserve"> </w:t>
      </w:r>
      <w:r w:rsidR="00790CBE">
        <w:rPr>
          <w:noProof/>
          <w:lang w:val="fr-FR"/>
        </w:rPr>
        <w:t>générale</w:t>
      </w:r>
      <w:r w:rsidR="003D0F58" w:rsidRPr="00DD03D6">
        <w:rPr>
          <w:noProof/>
          <w:lang w:val="fr-FR"/>
        </w:rPr>
        <w:t xml:space="preserve">, </w:t>
      </w:r>
      <w:r w:rsidR="00790CBE">
        <w:rPr>
          <w:noProof/>
          <w:lang w:val="fr-FR"/>
        </w:rPr>
        <w:t xml:space="preserve">une meilleure prise de conscience des répercussions du défaut de soins de longue durée et les incidences de la récession sur les parents </w:t>
      </w:r>
      <w:r w:rsidR="003D0F58" w:rsidRPr="00DD03D6">
        <w:rPr>
          <w:noProof/>
          <w:lang w:val="fr-FR"/>
        </w:rPr>
        <w:t>vuln</w:t>
      </w:r>
      <w:r w:rsidR="00790CBE">
        <w:rPr>
          <w:noProof/>
          <w:lang w:val="fr-FR"/>
        </w:rPr>
        <w:t>é</w:t>
      </w:r>
      <w:r w:rsidR="003D0F58" w:rsidRPr="00DD03D6">
        <w:rPr>
          <w:noProof/>
          <w:lang w:val="fr-FR"/>
        </w:rPr>
        <w:t>rable</w:t>
      </w:r>
      <w:r w:rsidR="00790CBE">
        <w:rPr>
          <w:noProof/>
          <w:lang w:val="fr-FR"/>
        </w:rPr>
        <w:t>s</w:t>
      </w:r>
      <w:r w:rsidR="003D0F58" w:rsidRPr="00DD03D6">
        <w:rPr>
          <w:noProof/>
          <w:lang w:val="fr-FR"/>
        </w:rPr>
        <w:t xml:space="preserve">. </w:t>
      </w:r>
      <w:r w:rsidR="00790CBE">
        <w:rPr>
          <w:noProof/>
          <w:lang w:val="fr-FR"/>
        </w:rPr>
        <w:t>Toutefois, la proportion d’enfants irlandais pris en charge par l’État demeure faible (</w:t>
      </w:r>
      <w:r w:rsidR="003D0F58" w:rsidRPr="00DD03D6">
        <w:rPr>
          <w:noProof/>
          <w:lang w:val="fr-FR"/>
        </w:rPr>
        <w:t>5</w:t>
      </w:r>
      <w:r w:rsidR="00790CBE">
        <w:rPr>
          <w:noProof/>
          <w:lang w:val="fr-FR"/>
        </w:rPr>
        <w:t>,</w:t>
      </w:r>
      <w:r w:rsidR="003D0F58" w:rsidRPr="00DD03D6">
        <w:rPr>
          <w:noProof/>
          <w:lang w:val="fr-FR"/>
        </w:rPr>
        <w:t>4 p</w:t>
      </w:r>
      <w:r w:rsidR="00790CBE">
        <w:rPr>
          <w:noProof/>
          <w:lang w:val="fr-FR"/>
        </w:rPr>
        <w:t>ou</w:t>
      </w:r>
      <w:r w:rsidR="003D0F58" w:rsidRPr="00DD03D6">
        <w:rPr>
          <w:noProof/>
          <w:lang w:val="fr-FR"/>
        </w:rPr>
        <w:t>r 1</w:t>
      </w:r>
      <w:r w:rsidR="00790CBE">
        <w:rPr>
          <w:noProof/>
          <w:lang w:val="fr-FR"/>
        </w:rPr>
        <w:t> </w:t>
      </w:r>
      <w:r w:rsidR="003D0F58" w:rsidRPr="00DD03D6">
        <w:rPr>
          <w:noProof/>
          <w:lang w:val="fr-FR"/>
        </w:rPr>
        <w:t>000</w:t>
      </w:r>
      <w:r w:rsidR="00790CBE">
        <w:rPr>
          <w:noProof/>
          <w:lang w:val="fr-FR"/>
        </w:rPr>
        <w:t>)</w:t>
      </w:r>
      <w:r w:rsidR="003D0F58" w:rsidRPr="00DD03D6">
        <w:rPr>
          <w:noProof/>
          <w:lang w:val="fr-FR"/>
        </w:rPr>
        <w:t>.</w:t>
      </w:r>
    </w:p>
    <w:p w:rsidR="003D0F58" w:rsidRPr="00DD03D6" w:rsidRDefault="00973657" w:rsidP="00973657">
      <w:pPr>
        <w:pStyle w:val="H23G"/>
        <w:rPr>
          <w:noProof/>
          <w:lang w:val="fr-FR"/>
        </w:rPr>
      </w:pPr>
      <w:bookmarkStart w:id="47" w:name="_Toc362485749"/>
      <w:r w:rsidRPr="00DD03D6">
        <w:rPr>
          <w:noProof/>
          <w:lang w:val="fr-FR"/>
        </w:rPr>
        <w:tab/>
      </w:r>
      <w:r w:rsidRPr="00DD03D6">
        <w:rPr>
          <w:noProof/>
          <w:lang w:val="fr-FR"/>
        </w:rPr>
        <w:tab/>
      </w:r>
      <w:r w:rsidR="003D0F58" w:rsidRPr="00DD03D6">
        <w:rPr>
          <w:b w:val="0"/>
          <w:bCs/>
          <w:noProof/>
          <w:lang w:val="fr-FR"/>
        </w:rPr>
        <w:t>Table</w:t>
      </w:r>
      <w:r w:rsidR="00790CBE">
        <w:rPr>
          <w:b w:val="0"/>
          <w:bCs/>
          <w:noProof/>
          <w:lang w:val="fr-FR"/>
        </w:rPr>
        <w:t>au</w:t>
      </w:r>
      <w:r w:rsidR="003D0F58" w:rsidRPr="00DD03D6">
        <w:rPr>
          <w:b w:val="0"/>
          <w:bCs/>
          <w:noProof/>
          <w:lang w:val="fr-FR"/>
        </w:rPr>
        <w:t xml:space="preserve"> </w:t>
      </w:r>
      <w:r w:rsidRPr="00DD03D6">
        <w:rPr>
          <w:b w:val="0"/>
          <w:bCs/>
          <w:noProof/>
          <w:lang w:val="fr-FR"/>
        </w:rPr>
        <w:t>6</w:t>
      </w:r>
      <w:r w:rsidR="009E353E" w:rsidRPr="00DD03D6">
        <w:rPr>
          <w:noProof/>
          <w:lang w:val="fr-FR"/>
        </w:rPr>
        <w:br/>
      </w:r>
      <w:r w:rsidR="00790CBE">
        <w:rPr>
          <w:noProof/>
          <w:lang w:val="fr-FR"/>
        </w:rPr>
        <w:t>Évolution du nombre des enfants placés</w:t>
      </w:r>
      <w:r w:rsidR="003D0F58" w:rsidRPr="00DD03D6">
        <w:rPr>
          <w:noProof/>
          <w:lang w:val="fr-FR"/>
        </w:rPr>
        <w:t>, 2007-2011</w:t>
      </w:r>
      <w:bookmarkEnd w:id="47"/>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FD64FD" w:rsidRPr="00DD03D6" w:rsidTr="00973657">
        <w:trPr>
          <w:trHeight w:val="240"/>
          <w:tblHeader/>
        </w:trPr>
        <w:tc>
          <w:tcPr>
            <w:tcW w:w="1474" w:type="dxa"/>
            <w:tcBorders>
              <w:top w:val="single" w:sz="4" w:space="0" w:color="auto"/>
              <w:bottom w:val="single" w:sz="12" w:space="0" w:color="auto"/>
            </w:tcBorders>
            <w:shd w:val="clear" w:color="auto" w:fill="auto"/>
            <w:vAlign w:val="bottom"/>
          </w:tcPr>
          <w:p w:rsidR="003D0F58" w:rsidRPr="00DD03D6" w:rsidRDefault="003D0F58" w:rsidP="00973657">
            <w:pPr>
              <w:pStyle w:val="SingleTxtG"/>
              <w:suppressAutoHyphens w:val="0"/>
              <w:spacing w:before="80" w:after="80" w:line="200" w:lineRule="exact"/>
              <w:ind w:left="0" w:right="0"/>
              <w:jc w:val="left"/>
              <w:rPr>
                <w:bCs/>
                <w:i/>
                <w:noProof/>
                <w:sz w:val="16"/>
                <w:lang w:val="fr-FR"/>
              </w:rPr>
            </w:pPr>
            <w:r w:rsidRPr="00DD03D6">
              <w:rPr>
                <w:bCs/>
                <w:i/>
                <w:noProof/>
                <w:sz w:val="16"/>
                <w:lang w:val="fr-FR"/>
              </w:rPr>
              <w:t>2007</w:t>
            </w:r>
          </w:p>
        </w:tc>
        <w:tc>
          <w:tcPr>
            <w:tcW w:w="1474" w:type="dxa"/>
            <w:tcBorders>
              <w:top w:val="single" w:sz="4" w:space="0" w:color="auto"/>
              <w:bottom w:val="single" w:sz="12" w:space="0" w:color="auto"/>
            </w:tcBorders>
            <w:shd w:val="clear" w:color="auto" w:fill="auto"/>
            <w:vAlign w:val="bottom"/>
          </w:tcPr>
          <w:p w:rsidR="003D0F58" w:rsidRPr="00DD03D6" w:rsidRDefault="003D0F58" w:rsidP="00973657">
            <w:pPr>
              <w:pStyle w:val="SingleTxtG"/>
              <w:suppressAutoHyphens w:val="0"/>
              <w:spacing w:before="80" w:after="80" w:line="200" w:lineRule="exact"/>
              <w:ind w:left="0" w:right="0"/>
              <w:jc w:val="right"/>
              <w:rPr>
                <w:bCs/>
                <w:i/>
                <w:noProof/>
                <w:sz w:val="16"/>
                <w:lang w:val="fr-FR"/>
              </w:rPr>
            </w:pPr>
            <w:r w:rsidRPr="00DD03D6">
              <w:rPr>
                <w:bCs/>
                <w:i/>
                <w:noProof/>
                <w:sz w:val="16"/>
                <w:lang w:val="fr-FR"/>
              </w:rPr>
              <w:t>2008</w:t>
            </w:r>
          </w:p>
        </w:tc>
        <w:tc>
          <w:tcPr>
            <w:tcW w:w="1474" w:type="dxa"/>
            <w:tcBorders>
              <w:top w:val="single" w:sz="4" w:space="0" w:color="auto"/>
              <w:bottom w:val="single" w:sz="12" w:space="0" w:color="auto"/>
            </w:tcBorders>
            <w:shd w:val="clear" w:color="auto" w:fill="auto"/>
            <w:vAlign w:val="bottom"/>
          </w:tcPr>
          <w:p w:rsidR="003D0F58" w:rsidRPr="00DD03D6" w:rsidRDefault="003D0F58" w:rsidP="00973657">
            <w:pPr>
              <w:pStyle w:val="SingleTxtG"/>
              <w:suppressAutoHyphens w:val="0"/>
              <w:spacing w:before="80" w:after="80" w:line="200" w:lineRule="exact"/>
              <w:ind w:left="0" w:right="0"/>
              <w:jc w:val="right"/>
              <w:rPr>
                <w:bCs/>
                <w:i/>
                <w:noProof/>
                <w:sz w:val="16"/>
                <w:lang w:val="fr-FR"/>
              </w:rPr>
            </w:pPr>
            <w:r w:rsidRPr="00DD03D6">
              <w:rPr>
                <w:bCs/>
                <w:i/>
                <w:noProof/>
                <w:sz w:val="16"/>
                <w:lang w:val="fr-FR"/>
              </w:rPr>
              <w:t>2009</w:t>
            </w:r>
          </w:p>
        </w:tc>
        <w:tc>
          <w:tcPr>
            <w:tcW w:w="1474" w:type="dxa"/>
            <w:tcBorders>
              <w:top w:val="single" w:sz="4" w:space="0" w:color="auto"/>
              <w:bottom w:val="single" w:sz="12" w:space="0" w:color="auto"/>
            </w:tcBorders>
            <w:shd w:val="clear" w:color="auto" w:fill="auto"/>
            <w:vAlign w:val="bottom"/>
          </w:tcPr>
          <w:p w:rsidR="003D0F58" w:rsidRPr="00DD03D6" w:rsidRDefault="003D0F58" w:rsidP="00973657">
            <w:pPr>
              <w:pStyle w:val="SingleTxtG"/>
              <w:suppressAutoHyphens w:val="0"/>
              <w:spacing w:before="80" w:after="80" w:line="200" w:lineRule="exact"/>
              <w:ind w:left="0" w:right="0"/>
              <w:jc w:val="right"/>
              <w:rPr>
                <w:bCs/>
                <w:i/>
                <w:noProof/>
                <w:sz w:val="16"/>
                <w:lang w:val="fr-FR"/>
              </w:rPr>
            </w:pPr>
            <w:r w:rsidRPr="00DD03D6">
              <w:rPr>
                <w:bCs/>
                <w:i/>
                <w:noProof/>
                <w:sz w:val="16"/>
                <w:lang w:val="fr-FR"/>
              </w:rPr>
              <w:t>2010</w:t>
            </w:r>
          </w:p>
        </w:tc>
        <w:tc>
          <w:tcPr>
            <w:tcW w:w="1474" w:type="dxa"/>
            <w:tcBorders>
              <w:top w:val="single" w:sz="4" w:space="0" w:color="auto"/>
              <w:bottom w:val="single" w:sz="12" w:space="0" w:color="auto"/>
            </w:tcBorders>
            <w:shd w:val="clear" w:color="auto" w:fill="auto"/>
            <w:vAlign w:val="bottom"/>
          </w:tcPr>
          <w:p w:rsidR="003D0F58" w:rsidRPr="00DD03D6" w:rsidRDefault="003D0F58" w:rsidP="00973657">
            <w:pPr>
              <w:pStyle w:val="SingleTxtG"/>
              <w:suppressAutoHyphens w:val="0"/>
              <w:spacing w:before="80" w:after="80" w:line="200" w:lineRule="exact"/>
              <w:ind w:left="0" w:right="0"/>
              <w:jc w:val="right"/>
              <w:rPr>
                <w:bCs/>
                <w:i/>
                <w:noProof/>
                <w:sz w:val="16"/>
                <w:lang w:val="fr-FR"/>
              </w:rPr>
            </w:pPr>
            <w:r w:rsidRPr="00DD03D6">
              <w:rPr>
                <w:bCs/>
                <w:i/>
                <w:noProof/>
                <w:sz w:val="16"/>
                <w:lang w:val="fr-FR"/>
              </w:rPr>
              <w:t>2011</w:t>
            </w:r>
          </w:p>
        </w:tc>
      </w:tr>
      <w:tr w:rsidR="00FD64FD" w:rsidRPr="00DD03D6" w:rsidTr="00973657">
        <w:trPr>
          <w:trHeight w:val="240"/>
        </w:trPr>
        <w:tc>
          <w:tcPr>
            <w:tcW w:w="1474" w:type="dxa"/>
            <w:tcBorders>
              <w:top w:val="single" w:sz="12" w:space="0" w:color="auto"/>
            </w:tcBorders>
            <w:shd w:val="clear" w:color="auto" w:fill="auto"/>
          </w:tcPr>
          <w:p w:rsidR="003D0F58" w:rsidRPr="00DD03D6" w:rsidRDefault="003D0F58" w:rsidP="00973657">
            <w:pPr>
              <w:pStyle w:val="SingleTxtG"/>
              <w:suppressAutoHyphens w:val="0"/>
              <w:spacing w:before="40" w:after="40" w:line="220" w:lineRule="exact"/>
              <w:ind w:left="0" w:right="0"/>
              <w:jc w:val="left"/>
              <w:rPr>
                <w:noProof/>
                <w:sz w:val="18"/>
                <w:lang w:val="fr-FR"/>
              </w:rPr>
            </w:pPr>
            <w:r w:rsidRPr="00DD03D6">
              <w:rPr>
                <w:noProof/>
                <w:sz w:val="18"/>
                <w:lang w:val="fr-FR"/>
              </w:rPr>
              <w:t>5,307</w:t>
            </w:r>
          </w:p>
        </w:tc>
        <w:tc>
          <w:tcPr>
            <w:tcW w:w="1474" w:type="dxa"/>
            <w:tcBorders>
              <w:top w:val="single" w:sz="12" w:space="0" w:color="auto"/>
            </w:tcBorders>
            <w:shd w:val="clear" w:color="auto" w:fill="auto"/>
            <w:vAlign w:val="bottom"/>
          </w:tcPr>
          <w:p w:rsidR="003D0F58" w:rsidRPr="00DD03D6" w:rsidRDefault="003D0F58" w:rsidP="00973657">
            <w:pPr>
              <w:pStyle w:val="SingleTxtG"/>
              <w:suppressAutoHyphens w:val="0"/>
              <w:spacing w:before="40" w:after="40" w:line="220" w:lineRule="exact"/>
              <w:ind w:left="0" w:right="0"/>
              <w:jc w:val="right"/>
              <w:rPr>
                <w:noProof/>
                <w:sz w:val="18"/>
                <w:lang w:val="fr-FR"/>
              </w:rPr>
            </w:pPr>
            <w:r w:rsidRPr="00DD03D6">
              <w:rPr>
                <w:noProof/>
                <w:sz w:val="18"/>
                <w:lang w:val="fr-FR"/>
              </w:rPr>
              <w:t>5,357</w:t>
            </w:r>
          </w:p>
        </w:tc>
        <w:tc>
          <w:tcPr>
            <w:tcW w:w="1474" w:type="dxa"/>
            <w:tcBorders>
              <w:top w:val="single" w:sz="12" w:space="0" w:color="auto"/>
            </w:tcBorders>
            <w:shd w:val="clear" w:color="auto" w:fill="auto"/>
            <w:vAlign w:val="bottom"/>
          </w:tcPr>
          <w:p w:rsidR="003D0F58" w:rsidRPr="00DD03D6" w:rsidRDefault="003D0F58" w:rsidP="00973657">
            <w:pPr>
              <w:pStyle w:val="SingleTxtG"/>
              <w:suppressAutoHyphens w:val="0"/>
              <w:spacing w:before="40" w:after="40" w:line="220" w:lineRule="exact"/>
              <w:ind w:left="0" w:right="0"/>
              <w:jc w:val="right"/>
              <w:rPr>
                <w:noProof/>
                <w:sz w:val="18"/>
                <w:lang w:val="fr-FR"/>
              </w:rPr>
            </w:pPr>
            <w:r w:rsidRPr="00DD03D6">
              <w:rPr>
                <w:noProof/>
                <w:sz w:val="18"/>
                <w:lang w:val="fr-FR"/>
              </w:rPr>
              <w:t>5,674</w:t>
            </w:r>
          </w:p>
        </w:tc>
        <w:tc>
          <w:tcPr>
            <w:tcW w:w="1474" w:type="dxa"/>
            <w:tcBorders>
              <w:top w:val="single" w:sz="12" w:space="0" w:color="auto"/>
            </w:tcBorders>
            <w:shd w:val="clear" w:color="auto" w:fill="auto"/>
            <w:vAlign w:val="bottom"/>
          </w:tcPr>
          <w:p w:rsidR="003D0F58" w:rsidRPr="00DD03D6" w:rsidRDefault="003D0F58" w:rsidP="00973657">
            <w:pPr>
              <w:pStyle w:val="SingleTxtG"/>
              <w:suppressAutoHyphens w:val="0"/>
              <w:spacing w:before="40" w:after="40" w:line="220" w:lineRule="exact"/>
              <w:ind w:left="0" w:right="0"/>
              <w:jc w:val="right"/>
              <w:rPr>
                <w:noProof/>
                <w:sz w:val="18"/>
                <w:lang w:val="fr-FR"/>
              </w:rPr>
            </w:pPr>
            <w:r w:rsidRPr="00DD03D6">
              <w:rPr>
                <w:noProof/>
                <w:sz w:val="18"/>
                <w:lang w:val="fr-FR"/>
              </w:rPr>
              <w:t>5,965</w:t>
            </w:r>
          </w:p>
        </w:tc>
        <w:tc>
          <w:tcPr>
            <w:tcW w:w="1474" w:type="dxa"/>
            <w:tcBorders>
              <w:top w:val="single" w:sz="12" w:space="0" w:color="auto"/>
            </w:tcBorders>
            <w:shd w:val="clear" w:color="auto" w:fill="auto"/>
            <w:vAlign w:val="bottom"/>
          </w:tcPr>
          <w:p w:rsidR="003D0F58" w:rsidRPr="00DD03D6" w:rsidRDefault="003D0F58" w:rsidP="00973657">
            <w:pPr>
              <w:pStyle w:val="SingleTxtG"/>
              <w:suppressAutoHyphens w:val="0"/>
              <w:spacing w:before="40" w:after="40" w:line="220" w:lineRule="exact"/>
              <w:ind w:left="0" w:right="0"/>
              <w:jc w:val="right"/>
              <w:rPr>
                <w:noProof/>
                <w:sz w:val="18"/>
                <w:lang w:val="fr-FR"/>
              </w:rPr>
            </w:pPr>
            <w:r w:rsidRPr="00DD03D6">
              <w:rPr>
                <w:noProof/>
                <w:sz w:val="18"/>
                <w:lang w:val="fr-FR"/>
              </w:rPr>
              <w:t>6,160</w:t>
            </w:r>
          </w:p>
        </w:tc>
      </w:tr>
    </w:tbl>
    <w:p w:rsidR="003D0F58" w:rsidRPr="00DD03D6" w:rsidRDefault="00973657" w:rsidP="00973657">
      <w:pPr>
        <w:pStyle w:val="H23G"/>
        <w:rPr>
          <w:noProof/>
          <w:lang w:val="fr-FR"/>
        </w:rPr>
      </w:pPr>
      <w:bookmarkStart w:id="48" w:name="_Toc362485750"/>
      <w:r w:rsidRPr="00DD03D6">
        <w:rPr>
          <w:noProof/>
          <w:lang w:val="fr-FR"/>
        </w:rPr>
        <w:tab/>
      </w:r>
      <w:r w:rsidRPr="00DD03D6">
        <w:rPr>
          <w:noProof/>
          <w:lang w:val="fr-FR"/>
        </w:rPr>
        <w:tab/>
      </w:r>
      <w:r w:rsidRPr="00DD03D6">
        <w:rPr>
          <w:b w:val="0"/>
          <w:bCs/>
          <w:noProof/>
          <w:lang w:val="fr-FR"/>
        </w:rPr>
        <w:t>Table</w:t>
      </w:r>
      <w:r w:rsidR="00790CBE">
        <w:rPr>
          <w:b w:val="0"/>
          <w:bCs/>
          <w:noProof/>
          <w:lang w:val="fr-FR"/>
        </w:rPr>
        <w:t>au</w:t>
      </w:r>
      <w:r w:rsidRPr="00DD03D6">
        <w:rPr>
          <w:b w:val="0"/>
          <w:bCs/>
          <w:noProof/>
          <w:lang w:val="fr-FR"/>
        </w:rPr>
        <w:t xml:space="preserve"> 7</w:t>
      </w:r>
      <w:r w:rsidR="009E353E" w:rsidRPr="00DD03D6">
        <w:rPr>
          <w:noProof/>
          <w:lang w:val="fr-FR"/>
        </w:rPr>
        <w:br/>
      </w:r>
      <w:r w:rsidR="00790CBE">
        <w:rPr>
          <w:noProof/>
          <w:lang w:val="fr-FR"/>
        </w:rPr>
        <w:t>Enfants placés, par</w:t>
      </w:r>
      <w:r w:rsidR="003D0F58" w:rsidRPr="00DD03D6">
        <w:rPr>
          <w:noProof/>
          <w:lang w:val="fr-FR"/>
        </w:rPr>
        <w:t xml:space="preserve"> type </w:t>
      </w:r>
      <w:r w:rsidR="00790CBE">
        <w:rPr>
          <w:noProof/>
          <w:lang w:val="fr-FR"/>
        </w:rPr>
        <w:t>de</w:t>
      </w:r>
      <w:r w:rsidR="003D0F58" w:rsidRPr="00DD03D6">
        <w:rPr>
          <w:noProof/>
          <w:lang w:val="fr-FR"/>
        </w:rPr>
        <w:t xml:space="preserve"> placement, </w:t>
      </w:r>
      <w:r w:rsidR="00790CBE">
        <w:rPr>
          <w:noProof/>
          <w:lang w:val="fr-FR"/>
        </w:rPr>
        <w:t>av</w:t>
      </w:r>
      <w:r w:rsidR="003D0F58" w:rsidRPr="00DD03D6">
        <w:rPr>
          <w:noProof/>
          <w:lang w:val="fr-FR"/>
        </w:rPr>
        <w:t>ril 2012</w:t>
      </w:r>
      <w:bookmarkEnd w:id="48"/>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6"/>
      </w:tblGrid>
      <w:tr w:rsidR="00FD64FD" w:rsidRPr="00DD03D6" w:rsidTr="00973657">
        <w:trPr>
          <w:trHeight w:val="240"/>
          <w:tblHeader/>
        </w:trPr>
        <w:tc>
          <w:tcPr>
            <w:tcW w:w="3686" w:type="dxa"/>
            <w:tcBorders>
              <w:top w:val="single" w:sz="4" w:space="0" w:color="auto"/>
              <w:bottom w:val="single" w:sz="12" w:space="0" w:color="auto"/>
            </w:tcBorders>
            <w:shd w:val="clear" w:color="auto" w:fill="auto"/>
            <w:vAlign w:val="bottom"/>
          </w:tcPr>
          <w:p w:rsidR="003D0F58" w:rsidRPr="00DD03D6" w:rsidRDefault="00AF02EA" w:rsidP="00973657">
            <w:pPr>
              <w:pStyle w:val="SingleTxtG"/>
              <w:suppressAutoHyphens w:val="0"/>
              <w:spacing w:before="80" w:after="80" w:line="200" w:lineRule="exact"/>
              <w:ind w:left="0" w:right="0"/>
              <w:jc w:val="left"/>
              <w:rPr>
                <w:i/>
                <w:noProof/>
                <w:sz w:val="16"/>
                <w:lang w:val="fr-FR"/>
              </w:rPr>
            </w:pPr>
            <w:r>
              <w:rPr>
                <w:bCs/>
                <w:i/>
                <w:noProof/>
                <w:sz w:val="16"/>
                <w:lang w:val="fr-FR"/>
              </w:rPr>
              <w:t>Cadre de prise en charge</w:t>
            </w:r>
          </w:p>
        </w:tc>
        <w:tc>
          <w:tcPr>
            <w:tcW w:w="3686" w:type="dxa"/>
            <w:tcBorders>
              <w:top w:val="single" w:sz="4" w:space="0" w:color="auto"/>
              <w:bottom w:val="single" w:sz="12" w:space="0" w:color="auto"/>
            </w:tcBorders>
            <w:shd w:val="clear" w:color="auto" w:fill="auto"/>
            <w:vAlign w:val="bottom"/>
          </w:tcPr>
          <w:p w:rsidR="003D0F58" w:rsidRPr="00DD03D6" w:rsidRDefault="003D0F58" w:rsidP="00AF02EA">
            <w:pPr>
              <w:pStyle w:val="SingleTxtG"/>
              <w:suppressAutoHyphens w:val="0"/>
              <w:spacing w:before="80" w:after="80" w:line="200" w:lineRule="exact"/>
              <w:ind w:left="0" w:right="0"/>
              <w:jc w:val="right"/>
              <w:rPr>
                <w:bCs/>
                <w:i/>
                <w:noProof/>
                <w:sz w:val="16"/>
                <w:lang w:val="fr-FR"/>
              </w:rPr>
            </w:pPr>
            <w:r w:rsidRPr="00DD03D6">
              <w:rPr>
                <w:bCs/>
                <w:i/>
                <w:noProof/>
                <w:sz w:val="16"/>
                <w:lang w:val="fr-FR"/>
              </w:rPr>
              <w:t>N</w:t>
            </w:r>
            <w:r w:rsidR="00AF02EA">
              <w:rPr>
                <w:bCs/>
                <w:i/>
                <w:noProof/>
                <w:sz w:val="16"/>
                <w:lang w:val="fr-FR"/>
              </w:rPr>
              <w:t>ombre d’enfants</w:t>
            </w:r>
          </w:p>
        </w:tc>
      </w:tr>
      <w:tr w:rsidR="00FD64FD" w:rsidRPr="00DD03D6" w:rsidTr="00973657">
        <w:trPr>
          <w:trHeight w:val="240"/>
        </w:trPr>
        <w:tc>
          <w:tcPr>
            <w:tcW w:w="3686" w:type="dxa"/>
            <w:tcBorders>
              <w:top w:val="single" w:sz="12" w:space="0" w:color="auto"/>
            </w:tcBorders>
            <w:shd w:val="clear" w:color="auto" w:fill="auto"/>
          </w:tcPr>
          <w:p w:rsidR="003D0F58" w:rsidRPr="00DD03D6" w:rsidRDefault="00AF02EA" w:rsidP="00AF02EA">
            <w:pPr>
              <w:pStyle w:val="SingleTxtG"/>
              <w:suppressAutoHyphens w:val="0"/>
              <w:spacing w:before="40" w:after="40" w:line="220" w:lineRule="exact"/>
              <w:ind w:left="0" w:right="0"/>
              <w:jc w:val="left"/>
              <w:rPr>
                <w:noProof/>
                <w:sz w:val="18"/>
                <w:lang w:val="fr-FR"/>
              </w:rPr>
            </w:pPr>
            <w:r>
              <w:rPr>
                <w:noProof/>
                <w:sz w:val="18"/>
                <w:lang w:val="fr-FR"/>
              </w:rPr>
              <w:t>Placement dans une famille d’accueil</w:t>
            </w:r>
          </w:p>
        </w:tc>
        <w:tc>
          <w:tcPr>
            <w:tcW w:w="3686" w:type="dxa"/>
            <w:tcBorders>
              <w:top w:val="single" w:sz="12" w:space="0" w:color="auto"/>
            </w:tcBorders>
            <w:shd w:val="clear" w:color="auto" w:fill="auto"/>
            <w:vAlign w:val="bottom"/>
          </w:tcPr>
          <w:p w:rsidR="003D0F58" w:rsidRPr="00DD03D6" w:rsidRDefault="003D0F58" w:rsidP="00973657">
            <w:pPr>
              <w:pStyle w:val="SingleTxtG"/>
              <w:suppressAutoHyphens w:val="0"/>
              <w:spacing w:before="40" w:after="40" w:line="220" w:lineRule="exact"/>
              <w:ind w:left="0" w:right="0"/>
              <w:jc w:val="right"/>
              <w:rPr>
                <w:noProof/>
                <w:sz w:val="18"/>
                <w:lang w:val="fr-FR"/>
              </w:rPr>
            </w:pPr>
            <w:r w:rsidRPr="00DD03D6">
              <w:rPr>
                <w:noProof/>
                <w:sz w:val="18"/>
                <w:lang w:val="fr-FR"/>
              </w:rPr>
              <w:t>3,880</w:t>
            </w:r>
          </w:p>
        </w:tc>
      </w:tr>
      <w:tr w:rsidR="00FD64FD" w:rsidRPr="00DD03D6" w:rsidTr="00973657">
        <w:trPr>
          <w:trHeight w:val="240"/>
        </w:trPr>
        <w:tc>
          <w:tcPr>
            <w:tcW w:w="3686" w:type="dxa"/>
            <w:shd w:val="clear" w:color="auto" w:fill="auto"/>
          </w:tcPr>
          <w:p w:rsidR="003D0F58" w:rsidRPr="00DD03D6" w:rsidRDefault="00AF02EA" w:rsidP="00AF02EA">
            <w:pPr>
              <w:pStyle w:val="SingleTxtG"/>
              <w:suppressAutoHyphens w:val="0"/>
              <w:spacing w:before="40" w:after="40" w:line="220" w:lineRule="exact"/>
              <w:ind w:left="0" w:right="0"/>
              <w:jc w:val="left"/>
              <w:rPr>
                <w:noProof/>
                <w:sz w:val="18"/>
                <w:lang w:val="fr-FR"/>
              </w:rPr>
            </w:pPr>
            <w:r>
              <w:rPr>
                <w:noProof/>
                <w:sz w:val="18"/>
                <w:lang w:val="fr-FR"/>
              </w:rPr>
              <w:t xml:space="preserve">Placement chez des membres de la famille </w:t>
            </w:r>
          </w:p>
        </w:tc>
        <w:tc>
          <w:tcPr>
            <w:tcW w:w="3686" w:type="dxa"/>
            <w:shd w:val="clear" w:color="auto" w:fill="auto"/>
            <w:vAlign w:val="bottom"/>
          </w:tcPr>
          <w:p w:rsidR="003D0F58" w:rsidRPr="00DD03D6" w:rsidRDefault="003D0F58" w:rsidP="00973657">
            <w:pPr>
              <w:pStyle w:val="SingleTxtG"/>
              <w:suppressAutoHyphens w:val="0"/>
              <w:spacing w:before="40" w:after="40" w:line="220" w:lineRule="exact"/>
              <w:ind w:left="0" w:right="0"/>
              <w:jc w:val="right"/>
              <w:rPr>
                <w:noProof/>
                <w:sz w:val="18"/>
                <w:lang w:val="fr-FR"/>
              </w:rPr>
            </w:pPr>
            <w:r w:rsidRPr="00DD03D6">
              <w:rPr>
                <w:noProof/>
                <w:sz w:val="18"/>
                <w:lang w:val="fr-FR"/>
              </w:rPr>
              <w:t>1,781</w:t>
            </w:r>
          </w:p>
        </w:tc>
      </w:tr>
      <w:tr w:rsidR="00FD64FD" w:rsidRPr="00DD03D6" w:rsidTr="00973657">
        <w:trPr>
          <w:trHeight w:val="240"/>
        </w:trPr>
        <w:tc>
          <w:tcPr>
            <w:tcW w:w="3686" w:type="dxa"/>
            <w:shd w:val="clear" w:color="auto" w:fill="auto"/>
          </w:tcPr>
          <w:p w:rsidR="003D0F58" w:rsidRPr="00DD03D6" w:rsidRDefault="00AF02EA" w:rsidP="00017F39">
            <w:pPr>
              <w:pStyle w:val="SingleTxtG"/>
              <w:suppressAutoHyphens w:val="0"/>
              <w:spacing w:before="40" w:after="40" w:line="220" w:lineRule="exact"/>
              <w:ind w:left="0" w:right="0"/>
              <w:jc w:val="left"/>
              <w:rPr>
                <w:noProof/>
                <w:sz w:val="18"/>
                <w:lang w:val="fr-FR"/>
              </w:rPr>
            </w:pPr>
            <w:r>
              <w:rPr>
                <w:noProof/>
                <w:sz w:val="18"/>
                <w:lang w:val="fr-FR"/>
              </w:rPr>
              <w:t xml:space="preserve">Placement en institution </w:t>
            </w:r>
          </w:p>
        </w:tc>
        <w:tc>
          <w:tcPr>
            <w:tcW w:w="3686" w:type="dxa"/>
            <w:shd w:val="clear" w:color="auto" w:fill="auto"/>
            <w:vAlign w:val="bottom"/>
          </w:tcPr>
          <w:p w:rsidR="003D0F58" w:rsidRPr="00DD03D6" w:rsidRDefault="003D0F58" w:rsidP="00973657">
            <w:pPr>
              <w:pStyle w:val="SingleTxtG"/>
              <w:suppressAutoHyphens w:val="0"/>
              <w:spacing w:before="40" w:after="40" w:line="220" w:lineRule="exact"/>
              <w:ind w:left="0" w:right="0"/>
              <w:jc w:val="right"/>
              <w:rPr>
                <w:noProof/>
                <w:sz w:val="18"/>
                <w:lang w:val="fr-FR"/>
              </w:rPr>
            </w:pPr>
            <w:r w:rsidRPr="00DD03D6">
              <w:rPr>
                <w:noProof/>
                <w:sz w:val="18"/>
                <w:lang w:val="fr-FR"/>
              </w:rPr>
              <w:t>415</w:t>
            </w:r>
          </w:p>
        </w:tc>
      </w:tr>
      <w:tr w:rsidR="00FD64FD" w:rsidRPr="00DD03D6" w:rsidTr="0017398E">
        <w:trPr>
          <w:trHeight w:val="240"/>
        </w:trPr>
        <w:tc>
          <w:tcPr>
            <w:tcW w:w="3686" w:type="dxa"/>
            <w:tcBorders>
              <w:bottom w:val="single" w:sz="4" w:space="0" w:color="auto"/>
            </w:tcBorders>
            <w:shd w:val="clear" w:color="auto" w:fill="auto"/>
          </w:tcPr>
          <w:p w:rsidR="003D0F58" w:rsidRPr="00DD03D6" w:rsidRDefault="00AF02EA" w:rsidP="00AF02EA">
            <w:pPr>
              <w:pStyle w:val="SingleTxtG"/>
              <w:suppressAutoHyphens w:val="0"/>
              <w:spacing w:before="40" w:after="40" w:line="220" w:lineRule="exact"/>
              <w:ind w:left="0" w:right="0"/>
              <w:jc w:val="left"/>
              <w:rPr>
                <w:noProof/>
                <w:sz w:val="18"/>
                <w:lang w:val="fr-FR"/>
              </w:rPr>
            </w:pPr>
            <w:r>
              <w:rPr>
                <w:noProof/>
                <w:sz w:val="18"/>
                <w:lang w:val="fr-FR"/>
              </w:rPr>
              <w:lastRenderedPageBreak/>
              <w:t xml:space="preserve">Autres types de placement en dehors de la famille </w:t>
            </w:r>
          </w:p>
        </w:tc>
        <w:tc>
          <w:tcPr>
            <w:tcW w:w="3686" w:type="dxa"/>
            <w:tcBorders>
              <w:bottom w:val="single" w:sz="4" w:space="0" w:color="auto"/>
            </w:tcBorders>
            <w:shd w:val="clear" w:color="auto" w:fill="auto"/>
            <w:vAlign w:val="bottom"/>
          </w:tcPr>
          <w:p w:rsidR="003D0F58" w:rsidRPr="00DD03D6" w:rsidRDefault="003D0F58" w:rsidP="00973657">
            <w:pPr>
              <w:pStyle w:val="SingleTxtG"/>
              <w:suppressAutoHyphens w:val="0"/>
              <w:spacing w:before="40" w:after="40" w:line="220" w:lineRule="exact"/>
              <w:ind w:left="0" w:right="0"/>
              <w:jc w:val="right"/>
              <w:rPr>
                <w:noProof/>
                <w:sz w:val="18"/>
                <w:lang w:val="fr-FR"/>
              </w:rPr>
            </w:pPr>
            <w:r w:rsidRPr="00DD03D6">
              <w:rPr>
                <w:noProof/>
                <w:sz w:val="18"/>
                <w:lang w:val="fr-FR"/>
              </w:rPr>
              <w:t>143</w:t>
            </w:r>
          </w:p>
        </w:tc>
      </w:tr>
      <w:tr w:rsidR="00FD64FD" w:rsidRPr="00DD03D6" w:rsidTr="0017398E">
        <w:trPr>
          <w:trHeight w:val="240"/>
        </w:trPr>
        <w:tc>
          <w:tcPr>
            <w:tcW w:w="3686" w:type="dxa"/>
            <w:tcBorders>
              <w:top w:val="single" w:sz="4" w:space="0" w:color="auto"/>
              <w:bottom w:val="single" w:sz="12" w:space="0" w:color="auto"/>
            </w:tcBorders>
            <w:shd w:val="clear" w:color="auto" w:fill="auto"/>
          </w:tcPr>
          <w:p w:rsidR="003D0F58" w:rsidRPr="00DD03D6" w:rsidRDefault="003D0F58" w:rsidP="0017398E">
            <w:pPr>
              <w:pStyle w:val="SingleTxtG"/>
              <w:suppressAutoHyphens w:val="0"/>
              <w:spacing w:before="80" w:after="80" w:line="220" w:lineRule="exact"/>
              <w:ind w:left="284" w:right="0"/>
              <w:jc w:val="left"/>
              <w:rPr>
                <w:b/>
                <w:noProof/>
                <w:sz w:val="18"/>
                <w:lang w:val="fr-FR"/>
              </w:rPr>
            </w:pPr>
            <w:r w:rsidRPr="00DD03D6">
              <w:rPr>
                <w:b/>
                <w:noProof/>
                <w:sz w:val="18"/>
                <w:lang w:val="fr-FR"/>
              </w:rPr>
              <w:t>Total</w:t>
            </w:r>
          </w:p>
        </w:tc>
        <w:tc>
          <w:tcPr>
            <w:tcW w:w="3686" w:type="dxa"/>
            <w:tcBorders>
              <w:top w:val="single" w:sz="4" w:space="0" w:color="auto"/>
              <w:bottom w:val="single" w:sz="12" w:space="0" w:color="auto"/>
            </w:tcBorders>
            <w:shd w:val="clear" w:color="auto" w:fill="auto"/>
            <w:vAlign w:val="bottom"/>
          </w:tcPr>
          <w:p w:rsidR="003D0F58" w:rsidRPr="00DD03D6" w:rsidRDefault="003D0F58" w:rsidP="0017398E">
            <w:pPr>
              <w:pStyle w:val="SingleTxtG"/>
              <w:suppressAutoHyphens w:val="0"/>
              <w:spacing w:before="80" w:after="80" w:line="220" w:lineRule="exact"/>
              <w:ind w:left="0" w:right="0"/>
              <w:jc w:val="right"/>
              <w:rPr>
                <w:b/>
                <w:noProof/>
                <w:sz w:val="18"/>
                <w:lang w:val="fr-FR"/>
              </w:rPr>
            </w:pPr>
            <w:r w:rsidRPr="00DD03D6">
              <w:rPr>
                <w:b/>
                <w:noProof/>
                <w:sz w:val="18"/>
                <w:lang w:val="fr-FR"/>
              </w:rPr>
              <w:t>6,219</w:t>
            </w:r>
          </w:p>
        </w:tc>
      </w:tr>
    </w:tbl>
    <w:p w:rsidR="003D0F58" w:rsidRPr="00DD03D6" w:rsidRDefault="00FD64FD" w:rsidP="00FD64FD">
      <w:pPr>
        <w:pStyle w:val="H23G"/>
        <w:rPr>
          <w:noProof/>
          <w:lang w:val="fr-FR"/>
        </w:rPr>
      </w:pPr>
      <w:r w:rsidRPr="00DD03D6">
        <w:rPr>
          <w:noProof/>
          <w:lang w:val="fr-FR"/>
        </w:rPr>
        <w:tab/>
      </w:r>
      <w:r w:rsidRPr="00DD03D6">
        <w:rPr>
          <w:noProof/>
          <w:lang w:val="fr-FR"/>
        </w:rPr>
        <w:tab/>
      </w:r>
      <w:r w:rsidR="00AF02EA">
        <w:rPr>
          <w:noProof/>
          <w:lang w:val="fr-FR"/>
        </w:rPr>
        <w:t xml:space="preserve">Placement </w:t>
      </w:r>
      <w:r w:rsidR="00592E6C">
        <w:rPr>
          <w:noProof/>
          <w:lang w:val="fr-FR"/>
        </w:rPr>
        <w:t>familial</w:t>
      </w:r>
      <w:r w:rsidR="00AF02EA">
        <w:rPr>
          <w:noProof/>
          <w:lang w:val="fr-FR"/>
        </w:rPr>
        <w:t xml:space="preserve"> </w:t>
      </w:r>
    </w:p>
    <w:p w:rsidR="003D0F58" w:rsidRPr="00DD03D6" w:rsidRDefault="00B06478" w:rsidP="00FD64FD">
      <w:pPr>
        <w:pStyle w:val="SingleTxtG"/>
        <w:numPr>
          <w:ilvl w:val="0"/>
          <w:numId w:val="3"/>
        </w:numPr>
        <w:ind w:left="1134" w:firstLine="0"/>
        <w:rPr>
          <w:noProof/>
          <w:u w:val="single"/>
          <w:lang w:val="fr-FR"/>
        </w:rPr>
      </w:pPr>
      <w:r>
        <w:rPr>
          <w:noProof/>
          <w:lang w:val="fr-FR"/>
        </w:rPr>
        <w:t xml:space="preserve">La </w:t>
      </w:r>
      <w:r w:rsidR="003D0F58" w:rsidRPr="00DD03D6">
        <w:rPr>
          <w:noProof/>
          <w:lang w:val="fr-FR"/>
        </w:rPr>
        <w:t>majorit</w:t>
      </w:r>
      <w:r>
        <w:rPr>
          <w:noProof/>
          <w:lang w:val="fr-FR"/>
        </w:rPr>
        <w:t>é</w:t>
      </w:r>
      <w:r w:rsidR="003D0F58" w:rsidRPr="00DD03D6">
        <w:rPr>
          <w:noProof/>
          <w:lang w:val="fr-FR"/>
        </w:rPr>
        <w:t xml:space="preserve"> (91</w:t>
      </w:r>
      <w:r w:rsidR="003F1ADB">
        <w:rPr>
          <w:noProof/>
          <w:lang w:val="fr-FR"/>
        </w:rPr>
        <w:t> %</w:t>
      </w:r>
      <w:r w:rsidR="003D0F58" w:rsidRPr="00DD03D6">
        <w:rPr>
          <w:noProof/>
          <w:lang w:val="fr-FR"/>
        </w:rPr>
        <w:t xml:space="preserve">) </w:t>
      </w:r>
      <w:r>
        <w:rPr>
          <w:noProof/>
          <w:lang w:val="fr-FR"/>
        </w:rPr>
        <w:t xml:space="preserve">des enfants bénéficiant d’une protection de remplacement en Irlande </w:t>
      </w:r>
      <w:r w:rsidR="00592E6C">
        <w:rPr>
          <w:noProof/>
          <w:lang w:val="fr-FR"/>
        </w:rPr>
        <w:t xml:space="preserve">vivent en </w:t>
      </w:r>
      <w:r>
        <w:rPr>
          <w:noProof/>
          <w:lang w:val="fr-FR"/>
        </w:rPr>
        <w:t>plac</w:t>
      </w:r>
      <w:r w:rsidR="00592E6C">
        <w:rPr>
          <w:noProof/>
          <w:lang w:val="fr-FR"/>
        </w:rPr>
        <w:t>ement familial</w:t>
      </w:r>
      <w:r w:rsidR="003D0F58" w:rsidRPr="00DD03D6">
        <w:rPr>
          <w:noProof/>
          <w:lang w:val="fr-FR"/>
        </w:rPr>
        <w:t xml:space="preserve">. </w:t>
      </w:r>
      <w:r>
        <w:rPr>
          <w:noProof/>
          <w:lang w:val="fr-FR"/>
        </w:rPr>
        <w:t xml:space="preserve">Lorsqu’un enfant ne peut pas vivre avec ses </w:t>
      </w:r>
      <w:r w:rsidR="003D0F58" w:rsidRPr="00DD03D6">
        <w:rPr>
          <w:noProof/>
          <w:lang w:val="fr-FR"/>
        </w:rPr>
        <w:t xml:space="preserve">parents, </w:t>
      </w:r>
      <w:r>
        <w:rPr>
          <w:noProof/>
          <w:lang w:val="fr-FR"/>
        </w:rPr>
        <w:t>que ce soit à court ou à long terme, la Direction des services de santé s’emploie, dans un premier temps, à rechercher un membre de la famille</w:t>
      </w:r>
      <w:r w:rsidR="0033487C">
        <w:rPr>
          <w:noProof/>
          <w:lang w:val="fr-FR"/>
        </w:rPr>
        <w:t xml:space="preserve"> ou une personne connue de l’enfant en mesure de le prendre en charge</w:t>
      </w:r>
      <w:r w:rsidR="003D0F58" w:rsidRPr="00DD03D6">
        <w:rPr>
          <w:noProof/>
          <w:lang w:val="fr-FR"/>
        </w:rPr>
        <w:t xml:space="preserve">. </w:t>
      </w:r>
      <w:r w:rsidR="00871EA9">
        <w:rPr>
          <w:noProof/>
          <w:lang w:val="fr-FR"/>
        </w:rPr>
        <w:t>Les membres de la famille font tout autant que les parents d’accueil l’objet d’une évaluation et d’un agrément</w:t>
      </w:r>
      <w:r w:rsidR="003D0F58" w:rsidRPr="00DD03D6">
        <w:rPr>
          <w:noProof/>
          <w:lang w:val="fr-FR"/>
        </w:rPr>
        <w:t xml:space="preserve">. </w:t>
      </w:r>
      <w:r w:rsidR="00871EA9">
        <w:rPr>
          <w:noProof/>
          <w:lang w:val="fr-FR"/>
        </w:rPr>
        <w:t>E</w:t>
      </w:r>
      <w:r w:rsidR="003D0F58" w:rsidRPr="00DD03D6">
        <w:rPr>
          <w:noProof/>
          <w:lang w:val="fr-FR"/>
        </w:rPr>
        <w:t xml:space="preserve">n </w:t>
      </w:r>
      <w:r w:rsidR="00871EA9">
        <w:rPr>
          <w:noProof/>
          <w:lang w:val="fr-FR"/>
        </w:rPr>
        <w:t>av</w:t>
      </w:r>
      <w:r w:rsidR="003D0F58" w:rsidRPr="00DD03D6">
        <w:rPr>
          <w:noProof/>
          <w:lang w:val="fr-FR"/>
        </w:rPr>
        <w:t>ril 2012, 31</w:t>
      </w:r>
      <w:r w:rsidR="003F1ADB">
        <w:rPr>
          <w:noProof/>
          <w:lang w:val="fr-FR"/>
        </w:rPr>
        <w:t> %</w:t>
      </w:r>
      <w:r w:rsidR="003D0F58" w:rsidRPr="00DD03D6">
        <w:rPr>
          <w:noProof/>
          <w:lang w:val="fr-FR"/>
        </w:rPr>
        <w:t xml:space="preserve"> </w:t>
      </w:r>
      <w:r w:rsidR="00871EA9">
        <w:rPr>
          <w:noProof/>
          <w:lang w:val="fr-FR"/>
        </w:rPr>
        <w:t>des enfants en placement familial étaient placés chez des membres de leur famille</w:t>
      </w:r>
      <w:r w:rsidR="003D0F58" w:rsidRPr="00DD03D6">
        <w:rPr>
          <w:noProof/>
          <w:lang w:val="fr-FR"/>
        </w:rPr>
        <w:t xml:space="preserve">. </w:t>
      </w:r>
      <w:r w:rsidR="00592E6C">
        <w:rPr>
          <w:noProof/>
          <w:lang w:val="fr-FR"/>
        </w:rPr>
        <w:t>Un petit nombre d’enfants sont placés chez des membres de leur famille vivant à l’étranger</w:t>
      </w:r>
      <w:r w:rsidR="003D0F58" w:rsidRPr="00DD03D6">
        <w:rPr>
          <w:noProof/>
          <w:lang w:val="fr-FR"/>
        </w:rPr>
        <w:t>.</w:t>
      </w:r>
    </w:p>
    <w:p w:rsidR="003D0F58" w:rsidRPr="00DD03D6" w:rsidRDefault="00592E6C" w:rsidP="0024179B">
      <w:pPr>
        <w:pStyle w:val="SingleTxtG"/>
        <w:numPr>
          <w:ilvl w:val="0"/>
          <w:numId w:val="3"/>
        </w:numPr>
        <w:ind w:left="1134" w:firstLine="0"/>
        <w:rPr>
          <w:noProof/>
          <w:lang w:val="fr-FR"/>
        </w:rPr>
      </w:pPr>
      <w:r>
        <w:rPr>
          <w:noProof/>
          <w:lang w:val="fr-FR"/>
        </w:rPr>
        <w:t xml:space="preserve">L’article </w:t>
      </w:r>
      <w:r w:rsidR="003D0F58" w:rsidRPr="00DD03D6">
        <w:rPr>
          <w:noProof/>
          <w:lang w:val="fr-FR"/>
        </w:rPr>
        <w:t xml:space="preserve">4 </w:t>
      </w:r>
      <w:r>
        <w:rPr>
          <w:noProof/>
          <w:lang w:val="fr-FR"/>
        </w:rPr>
        <w:t xml:space="preserve">de la loi de 2007 portant modification de la loi sur la protection de l’enfance est entré en vigueur en juillet </w:t>
      </w:r>
      <w:r w:rsidR="003D0F58" w:rsidRPr="00DD03D6">
        <w:rPr>
          <w:noProof/>
          <w:lang w:val="fr-FR"/>
        </w:rPr>
        <w:t xml:space="preserve">2007. </w:t>
      </w:r>
      <w:r w:rsidR="00D14427">
        <w:rPr>
          <w:noProof/>
          <w:lang w:val="fr-FR"/>
        </w:rPr>
        <w:t>Il dispose pour l’essentiel qu’un parent d’accueil ou un membre de la famille qui a pris en charge un enfant pendant une période ininterrompue de cinq ans, l’enfant lui ayant été confié par la Direction des services de santé</w:t>
      </w:r>
      <w:r w:rsidR="00D14427" w:rsidRPr="00DD03D6">
        <w:rPr>
          <w:noProof/>
          <w:lang w:val="fr-FR"/>
        </w:rPr>
        <w:t xml:space="preserve">, </w:t>
      </w:r>
      <w:r w:rsidR="00D14427">
        <w:rPr>
          <w:noProof/>
          <w:lang w:val="fr-FR"/>
        </w:rPr>
        <w:t>peut demander à un tribunal de rendre une ordonnance d’extension d’autonomie en ce qui concerne la protection de l’enfant</w:t>
      </w:r>
      <w:r w:rsidR="00D14427" w:rsidRPr="00DD03D6">
        <w:rPr>
          <w:noProof/>
          <w:lang w:val="fr-FR"/>
        </w:rPr>
        <w:t>.</w:t>
      </w:r>
      <w:r w:rsidR="00D14427">
        <w:rPr>
          <w:noProof/>
          <w:lang w:val="fr-FR"/>
        </w:rPr>
        <w:t xml:space="preserve"> Cette ordonnance confère </w:t>
      </w:r>
      <w:r w:rsidR="00BC4C61">
        <w:rPr>
          <w:noProof/>
          <w:lang w:val="fr-FR"/>
        </w:rPr>
        <w:t>aux familles d’accueil une plus grande autonomie en ce qui concerne certaines questions, telles que le consentement à un traitement médical</w:t>
      </w:r>
      <w:r w:rsidR="00B545FB">
        <w:rPr>
          <w:noProof/>
          <w:lang w:val="fr-FR"/>
        </w:rPr>
        <w:t xml:space="preserve">, la délivrance d’un passeport et d’autres </w:t>
      </w:r>
      <w:r w:rsidR="00B545FB" w:rsidRPr="00487473">
        <w:rPr>
          <w:lang w:val="fr-CH"/>
        </w:rPr>
        <w:t xml:space="preserve">questions </w:t>
      </w:r>
      <w:r w:rsidR="00B545FB" w:rsidRPr="00B545FB">
        <w:rPr>
          <w:noProof/>
          <w:lang w:val="fr-FR"/>
        </w:rPr>
        <w:t>courantes liées aux soins assurés à l’enfant</w:t>
      </w:r>
      <w:r w:rsidR="003D0F58" w:rsidRPr="00DD03D6">
        <w:rPr>
          <w:noProof/>
          <w:lang w:val="fr-FR"/>
        </w:rPr>
        <w:t>.</w:t>
      </w:r>
    </w:p>
    <w:p w:rsidR="003D0F58" w:rsidRPr="00DD03D6" w:rsidRDefault="00B545FB" w:rsidP="00FD64FD">
      <w:pPr>
        <w:pStyle w:val="SingleTxtG"/>
        <w:numPr>
          <w:ilvl w:val="0"/>
          <w:numId w:val="3"/>
        </w:numPr>
        <w:ind w:left="1134" w:firstLine="0"/>
        <w:rPr>
          <w:noProof/>
          <w:lang w:val="fr-FR"/>
        </w:rPr>
      </w:pPr>
      <w:r>
        <w:rPr>
          <w:noProof/>
          <w:lang w:val="fr-FR"/>
        </w:rPr>
        <w:t>E</w:t>
      </w:r>
      <w:r w:rsidR="003D0F58" w:rsidRPr="00DD03D6">
        <w:rPr>
          <w:noProof/>
          <w:lang w:val="fr-FR"/>
        </w:rPr>
        <w:t xml:space="preserve">n 2009, </w:t>
      </w:r>
      <w:r>
        <w:rPr>
          <w:noProof/>
          <w:lang w:val="fr-FR"/>
        </w:rPr>
        <w:t xml:space="preserve">la Direction des services de santé </w:t>
      </w:r>
      <w:r w:rsidR="00260544">
        <w:rPr>
          <w:noProof/>
          <w:lang w:val="fr-FR"/>
        </w:rPr>
        <w:t>a effectué un audit n</w:t>
      </w:r>
      <w:r w:rsidR="003D0F58" w:rsidRPr="00DD03D6">
        <w:rPr>
          <w:noProof/>
          <w:lang w:val="fr-FR"/>
        </w:rPr>
        <w:t xml:space="preserve">ational </w:t>
      </w:r>
      <w:r w:rsidR="00260544">
        <w:rPr>
          <w:noProof/>
          <w:lang w:val="fr-FR"/>
        </w:rPr>
        <w:t xml:space="preserve">des services de placement familial; le rapport définitif a été publié en </w:t>
      </w:r>
      <w:r w:rsidR="003D0F58" w:rsidRPr="00DD03D6">
        <w:rPr>
          <w:noProof/>
          <w:lang w:val="fr-FR"/>
        </w:rPr>
        <w:t xml:space="preserve">2010. </w:t>
      </w:r>
      <w:r w:rsidR="00260544">
        <w:rPr>
          <w:noProof/>
          <w:lang w:val="fr-FR"/>
        </w:rPr>
        <w:t>E</w:t>
      </w:r>
      <w:r w:rsidR="003D0F58" w:rsidRPr="00DD03D6">
        <w:rPr>
          <w:noProof/>
          <w:lang w:val="fr-FR"/>
        </w:rPr>
        <w:t xml:space="preserve">n </w:t>
      </w:r>
      <w:r w:rsidR="00260544">
        <w:rPr>
          <w:noProof/>
          <w:lang w:val="fr-FR"/>
        </w:rPr>
        <w:t xml:space="preserve">juin de cette année-là, elle a publié le </w:t>
      </w:r>
      <w:r w:rsidR="002E49FE">
        <w:rPr>
          <w:noProof/>
          <w:lang w:val="fr-FR"/>
        </w:rPr>
        <w:t>P</w:t>
      </w:r>
      <w:r w:rsidR="00260544">
        <w:rPr>
          <w:noProof/>
          <w:lang w:val="fr-FR"/>
        </w:rPr>
        <w:t>lan d’a</w:t>
      </w:r>
      <w:r w:rsidR="003D0F58" w:rsidRPr="00DD03D6">
        <w:rPr>
          <w:noProof/>
          <w:lang w:val="fr-FR"/>
        </w:rPr>
        <w:t xml:space="preserve">ction </w:t>
      </w:r>
      <w:r w:rsidR="00260544">
        <w:rPr>
          <w:noProof/>
          <w:lang w:val="fr-FR"/>
        </w:rPr>
        <w:t>visant à donner suite aux recomma</w:t>
      </w:r>
      <w:r w:rsidR="003D0F58" w:rsidRPr="00DD03D6">
        <w:rPr>
          <w:noProof/>
          <w:lang w:val="fr-FR"/>
        </w:rPr>
        <w:t xml:space="preserve">ndations </w:t>
      </w:r>
      <w:r w:rsidR="00260544">
        <w:rPr>
          <w:noProof/>
          <w:lang w:val="fr-FR"/>
        </w:rPr>
        <w:t>de l’audit n</w:t>
      </w:r>
      <w:r w:rsidR="003D0F58" w:rsidRPr="00DD03D6">
        <w:rPr>
          <w:noProof/>
          <w:lang w:val="fr-FR"/>
        </w:rPr>
        <w:t xml:space="preserve">ational </w:t>
      </w:r>
      <w:r w:rsidR="00260544">
        <w:rPr>
          <w:noProof/>
          <w:lang w:val="fr-FR"/>
        </w:rPr>
        <w:t xml:space="preserve">des services de placement familial, qui se composait d’un plan d’action </w:t>
      </w:r>
      <w:r w:rsidR="003D0F58" w:rsidRPr="00DD03D6">
        <w:rPr>
          <w:noProof/>
          <w:lang w:val="fr-FR"/>
        </w:rPr>
        <w:t xml:space="preserve">national </w:t>
      </w:r>
      <w:r w:rsidR="00260544">
        <w:rPr>
          <w:noProof/>
          <w:lang w:val="fr-FR"/>
        </w:rPr>
        <w:t>et de quatre plans d’</w:t>
      </w:r>
      <w:r w:rsidR="003D0F58" w:rsidRPr="00DD03D6">
        <w:rPr>
          <w:noProof/>
          <w:lang w:val="fr-FR"/>
        </w:rPr>
        <w:t>action r</w:t>
      </w:r>
      <w:r w:rsidR="00260544">
        <w:rPr>
          <w:noProof/>
          <w:lang w:val="fr-FR"/>
        </w:rPr>
        <w:t>é</w:t>
      </w:r>
      <w:r w:rsidR="003D0F58" w:rsidRPr="00DD03D6">
        <w:rPr>
          <w:noProof/>
          <w:lang w:val="fr-FR"/>
        </w:rPr>
        <w:t>giona</w:t>
      </w:r>
      <w:r w:rsidR="00260544">
        <w:rPr>
          <w:noProof/>
          <w:lang w:val="fr-FR"/>
        </w:rPr>
        <w:t>ux</w:t>
      </w:r>
      <w:r w:rsidR="003D0F58" w:rsidRPr="00DD03D6">
        <w:rPr>
          <w:noProof/>
          <w:lang w:val="fr-FR"/>
        </w:rPr>
        <w:t xml:space="preserve">. </w:t>
      </w:r>
      <w:r w:rsidR="00260544">
        <w:rPr>
          <w:noProof/>
          <w:lang w:val="fr-FR"/>
        </w:rPr>
        <w:t xml:space="preserve">L’exécution du </w:t>
      </w:r>
      <w:r w:rsidR="002E49FE">
        <w:rPr>
          <w:noProof/>
          <w:lang w:val="fr-FR"/>
        </w:rPr>
        <w:t>P</w:t>
      </w:r>
      <w:r w:rsidR="00260544">
        <w:rPr>
          <w:noProof/>
          <w:lang w:val="fr-FR"/>
        </w:rPr>
        <w:t>lan d’action s’est poursuivie et a été incorporée dans l’actuel Programme de réforme des services destinés aux enfants et aux familles</w:t>
      </w:r>
      <w:r w:rsidR="003D0F58" w:rsidRPr="00DD03D6">
        <w:rPr>
          <w:noProof/>
          <w:lang w:val="fr-FR"/>
        </w:rPr>
        <w:t xml:space="preserve">. </w:t>
      </w:r>
      <w:r w:rsidR="00260544">
        <w:rPr>
          <w:noProof/>
          <w:lang w:val="fr-FR"/>
        </w:rPr>
        <w:t xml:space="preserve">Le Gouvernement appuie ces améliorations </w:t>
      </w:r>
      <w:r w:rsidR="003D0F58" w:rsidRPr="00DD03D6">
        <w:rPr>
          <w:noProof/>
          <w:lang w:val="fr-FR"/>
        </w:rPr>
        <w:t>op</w:t>
      </w:r>
      <w:r w:rsidR="00260544">
        <w:rPr>
          <w:noProof/>
          <w:lang w:val="fr-FR"/>
        </w:rPr>
        <w:t>é</w:t>
      </w:r>
      <w:r w:rsidR="003D0F58" w:rsidRPr="00DD03D6">
        <w:rPr>
          <w:noProof/>
          <w:lang w:val="fr-FR"/>
        </w:rPr>
        <w:t>ration</w:t>
      </w:r>
      <w:r w:rsidR="00260544">
        <w:rPr>
          <w:noProof/>
          <w:lang w:val="fr-FR"/>
        </w:rPr>
        <w:t xml:space="preserve">nelles en mettant en place des réformes structurelles fondamentales, dont un volet </w:t>
      </w:r>
      <w:r w:rsidR="003D0F58" w:rsidRPr="00DD03D6">
        <w:rPr>
          <w:noProof/>
          <w:lang w:val="fr-FR"/>
        </w:rPr>
        <w:t xml:space="preserve">important </w:t>
      </w:r>
      <w:r w:rsidR="00260544">
        <w:rPr>
          <w:noProof/>
          <w:lang w:val="fr-FR"/>
        </w:rPr>
        <w:t>est constitué par la création de la nouvelle Agence pour l’enfant et la famille</w:t>
      </w:r>
      <w:r w:rsidR="003D0F58" w:rsidRPr="00DD03D6">
        <w:rPr>
          <w:noProof/>
          <w:lang w:val="fr-FR"/>
        </w:rPr>
        <w:t>.</w:t>
      </w:r>
    </w:p>
    <w:p w:rsidR="00FD64FD" w:rsidRPr="00DD03D6" w:rsidRDefault="005D4482" w:rsidP="005D7533">
      <w:pPr>
        <w:pStyle w:val="SingleTxtG"/>
        <w:numPr>
          <w:ilvl w:val="0"/>
          <w:numId w:val="3"/>
        </w:numPr>
        <w:ind w:left="1134" w:firstLine="0"/>
        <w:rPr>
          <w:bCs/>
          <w:noProof/>
          <w:lang w:val="fr-FR"/>
        </w:rPr>
      </w:pPr>
      <w:r>
        <w:rPr>
          <w:noProof/>
          <w:lang w:val="fr-FR"/>
        </w:rPr>
        <w:t>Le programme de placement familial aux fins d’un traitement multidimensionnel</w:t>
      </w:r>
      <w:r w:rsidR="003D0F58" w:rsidRPr="00DD03D6">
        <w:rPr>
          <w:noProof/>
          <w:lang w:val="fr-FR"/>
        </w:rPr>
        <w:t xml:space="preserve"> (MTFC), </w:t>
      </w:r>
      <w:r w:rsidR="0083517B">
        <w:rPr>
          <w:noProof/>
          <w:lang w:val="fr-FR"/>
        </w:rPr>
        <w:t xml:space="preserve">d’abord </w:t>
      </w:r>
      <w:r>
        <w:rPr>
          <w:noProof/>
          <w:lang w:val="fr-FR"/>
        </w:rPr>
        <w:t xml:space="preserve">conçu dans les années 80 pour remplacer le placement en institution </w:t>
      </w:r>
      <w:r w:rsidR="0083517B">
        <w:rPr>
          <w:noProof/>
          <w:lang w:val="fr-FR"/>
        </w:rPr>
        <w:t>ou en groupe de garçons au comportement délictueux grave et chronique</w:t>
      </w:r>
      <w:r w:rsidR="003D0F58" w:rsidRPr="00DD03D6">
        <w:rPr>
          <w:noProof/>
          <w:lang w:val="fr-FR"/>
        </w:rPr>
        <w:t xml:space="preserve">, </w:t>
      </w:r>
      <w:r w:rsidR="0083517B">
        <w:rPr>
          <w:noProof/>
          <w:lang w:val="fr-FR"/>
        </w:rPr>
        <w:t xml:space="preserve">a été adapté </w:t>
      </w:r>
      <w:r w:rsidR="00415517">
        <w:rPr>
          <w:noProof/>
          <w:lang w:val="fr-FR"/>
        </w:rPr>
        <w:t>au cas d’enfants et d’</w:t>
      </w:r>
      <w:r w:rsidR="003D0F58" w:rsidRPr="00DD03D6">
        <w:rPr>
          <w:noProof/>
          <w:lang w:val="fr-FR"/>
        </w:rPr>
        <w:t xml:space="preserve">adolescents </w:t>
      </w:r>
      <w:r w:rsidR="00415517">
        <w:rPr>
          <w:noProof/>
          <w:lang w:val="fr-FR"/>
        </w:rPr>
        <w:t>présentant de graves troubles psychologiques et comportementaux</w:t>
      </w:r>
      <w:r w:rsidR="003D0F58" w:rsidRPr="00DD03D6">
        <w:rPr>
          <w:noProof/>
          <w:lang w:val="fr-FR"/>
        </w:rPr>
        <w:t xml:space="preserve">, </w:t>
      </w:r>
      <w:r w:rsidR="00415517">
        <w:rPr>
          <w:noProof/>
          <w:lang w:val="fr-FR"/>
        </w:rPr>
        <w:t xml:space="preserve">de filles </w:t>
      </w:r>
      <w:r w:rsidR="002256E8" w:rsidRPr="002256E8">
        <w:rPr>
          <w:noProof/>
          <w:color w:val="000000"/>
          <w:lang w:val="fr-FR"/>
        </w:rPr>
        <w:t>ayant fait l’objet d’une mesure de dessaisissement</w:t>
      </w:r>
      <w:r w:rsidR="003D0F58" w:rsidRPr="00DD03D6">
        <w:rPr>
          <w:noProof/>
          <w:lang w:val="fr-FR"/>
        </w:rPr>
        <w:t xml:space="preserve"> </w:t>
      </w:r>
      <w:r w:rsidR="002256E8">
        <w:rPr>
          <w:noProof/>
          <w:lang w:val="fr-FR"/>
        </w:rPr>
        <w:t>pour acte de délinquance grave et de jeunes en</w:t>
      </w:r>
      <w:r w:rsidR="003927CE">
        <w:rPr>
          <w:noProof/>
          <w:lang w:val="fr-FR"/>
        </w:rPr>
        <w:t xml:space="preserve"> </w:t>
      </w:r>
      <w:r w:rsidR="002256E8">
        <w:rPr>
          <w:noProof/>
          <w:lang w:val="fr-FR"/>
        </w:rPr>
        <w:t>placement familial ordinaire appuyé par l’État</w:t>
      </w:r>
      <w:r w:rsidR="00BA503A" w:rsidRPr="00DD03D6">
        <w:rPr>
          <w:noProof/>
          <w:lang w:val="fr-FR"/>
        </w:rPr>
        <w:t>,</w:t>
      </w:r>
      <w:r w:rsidR="003D0F58" w:rsidRPr="00DD03D6">
        <w:rPr>
          <w:noProof/>
          <w:lang w:val="fr-FR"/>
        </w:rPr>
        <w:t xml:space="preserve"> </w:t>
      </w:r>
      <w:r w:rsidR="00415517">
        <w:rPr>
          <w:noProof/>
          <w:lang w:val="fr-FR"/>
        </w:rPr>
        <w:t>et test</w:t>
      </w:r>
      <w:r w:rsidR="002256E8">
        <w:rPr>
          <w:noProof/>
          <w:lang w:val="fr-FR"/>
        </w:rPr>
        <w:t>é auprès d’eux</w:t>
      </w:r>
      <w:r w:rsidR="003D0F58" w:rsidRPr="00DD03D6">
        <w:rPr>
          <w:noProof/>
          <w:lang w:val="fr-FR"/>
        </w:rPr>
        <w:t xml:space="preserve">. </w:t>
      </w:r>
      <w:r w:rsidR="002256E8">
        <w:rPr>
          <w:noProof/>
          <w:lang w:val="fr-FR"/>
        </w:rPr>
        <w:t>E</w:t>
      </w:r>
      <w:r w:rsidR="003D0F58" w:rsidRPr="00DD03D6">
        <w:rPr>
          <w:noProof/>
          <w:lang w:val="fr-FR"/>
        </w:rPr>
        <w:t xml:space="preserve">n 2008, </w:t>
      </w:r>
      <w:r w:rsidR="002256E8">
        <w:rPr>
          <w:noProof/>
          <w:lang w:val="fr-FR"/>
        </w:rPr>
        <w:t xml:space="preserve">la Direction des services de santé a créé un programme </w:t>
      </w:r>
      <w:r w:rsidR="005D7533" w:rsidRPr="00DD03D6">
        <w:rPr>
          <w:noProof/>
          <w:lang w:val="fr-FR"/>
        </w:rPr>
        <w:t xml:space="preserve">MTFC </w:t>
      </w:r>
      <w:r w:rsidR="002256E8">
        <w:rPr>
          <w:noProof/>
          <w:lang w:val="fr-FR"/>
        </w:rPr>
        <w:t xml:space="preserve">intitulé </w:t>
      </w:r>
      <w:r w:rsidR="003F36DD">
        <w:rPr>
          <w:noProof/>
          <w:lang w:val="fr-FR"/>
        </w:rPr>
        <w:t>« </w:t>
      </w:r>
      <w:r w:rsidR="003D0F58" w:rsidRPr="00DD03D6">
        <w:rPr>
          <w:noProof/>
          <w:lang w:val="fr-FR"/>
        </w:rPr>
        <w:t>Time Wise Fostering</w:t>
      </w:r>
      <w:r w:rsidR="003F36DD">
        <w:rPr>
          <w:noProof/>
          <w:lang w:val="fr-FR"/>
        </w:rPr>
        <w:t> »</w:t>
      </w:r>
      <w:r w:rsidR="003D0F58" w:rsidRPr="00DD03D6">
        <w:rPr>
          <w:noProof/>
          <w:lang w:val="fr-FR"/>
        </w:rPr>
        <w:t xml:space="preserve"> </w:t>
      </w:r>
      <w:r w:rsidR="002256E8">
        <w:rPr>
          <w:noProof/>
          <w:lang w:val="fr-FR"/>
        </w:rPr>
        <w:t>e</w:t>
      </w:r>
      <w:r w:rsidR="003D0F58" w:rsidRPr="00DD03D6">
        <w:rPr>
          <w:noProof/>
          <w:lang w:val="fr-FR"/>
        </w:rPr>
        <w:t xml:space="preserve">n </w:t>
      </w:r>
      <w:r w:rsidR="002256E8">
        <w:rPr>
          <w:noProof/>
          <w:lang w:val="fr-FR"/>
        </w:rPr>
        <w:t>partenariat avec les Filles de la Charité à Dublin Nord</w:t>
      </w:r>
      <w:r w:rsidR="003D0F58" w:rsidRPr="00DD03D6">
        <w:rPr>
          <w:noProof/>
          <w:lang w:val="fr-FR"/>
        </w:rPr>
        <w:t>.</w:t>
      </w:r>
      <w:r w:rsidR="003D0F58" w:rsidRPr="00DD03D6">
        <w:rPr>
          <w:b/>
          <w:bCs/>
          <w:noProof/>
          <w:lang w:val="fr-FR"/>
        </w:rPr>
        <w:t xml:space="preserve"> </w:t>
      </w:r>
      <w:r w:rsidR="002256E8" w:rsidRPr="002E49FE">
        <w:rPr>
          <w:bCs/>
          <w:noProof/>
          <w:lang w:val="fr-FR"/>
        </w:rPr>
        <w:t>Ce</w:t>
      </w:r>
      <w:r w:rsidR="002256E8">
        <w:rPr>
          <w:b/>
          <w:bCs/>
          <w:noProof/>
          <w:lang w:val="fr-FR"/>
        </w:rPr>
        <w:t xml:space="preserve"> </w:t>
      </w:r>
      <w:r w:rsidR="003D0F58" w:rsidRPr="00DD03D6">
        <w:rPr>
          <w:bCs/>
          <w:noProof/>
          <w:lang w:val="fr-FR"/>
        </w:rPr>
        <w:t xml:space="preserve">service </w:t>
      </w:r>
      <w:r w:rsidR="002256E8">
        <w:rPr>
          <w:bCs/>
          <w:noProof/>
          <w:lang w:val="fr-FR"/>
        </w:rPr>
        <w:t xml:space="preserve">est pleinement </w:t>
      </w:r>
      <w:r w:rsidR="003D0F58" w:rsidRPr="00DD03D6">
        <w:rPr>
          <w:bCs/>
          <w:noProof/>
          <w:lang w:val="fr-FR"/>
        </w:rPr>
        <w:t>op</w:t>
      </w:r>
      <w:r w:rsidR="002256E8">
        <w:rPr>
          <w:bCs/>
          <w:noProof/>
          <w:lang w:val="fr-FR"/>
        </w:rPr>
        <w:t>é</w:t>
      </w:r>
      <w:r w:rsidR="003D0F58" w:rsidRPr="00DD03D6">
        <w:rPr>
          <w:bCs/>
          <w:noProof/>
          <w:lang w:val="fr-FR"/>
        </w:rPr>
        <w:t>ration</w:t>
      </w:r>
      <w:r w:rsidR="002256E8">
        <w:rPr>
          <w:bCs/>
          <w:noProof/>
          <w:lang w:val="fr-FR"/>
        </w:rPr>
        <w:t xml:space="preserve">nel et </w:t>
      </w:r>
      <w:r w:rsidR="009452BF">
        <w:rPr>
          <w:bCs/>
          <w:noProof/>
          <w:lang w:val="fr-FR"/>
        </w:rPr>
        <w:t>atteint ses objectifs concernant le placement d’enfants et d’</w:t>
      </w:r>
      <w:r w:rsidR="003D0F58" w:rsidRPr="00DD03D6">
        <w:rPr>
          <w:bCs/>
          <w:noProof/>
          <w:lang w:val="fr-FR"/>
        </w:rPr>
        <w:t xml:space="preserve">adolescents </w:t>
      </w:r>
      <w:r w:rsidR="009452BF">
        <w:rPr>
          <w:bCs/>
          <w:noProof/>
          <w:lang w:val="fr-FR"/>
        </w:rPr>
        <w:t xml:space="preserve">présentant de graves troubles </w:t>
      </w:r>
      <w:r w:rsidR="009452BF">
        <w:rPr>
          <w:noProof/>
          <w:lang w:val="fr-FR"/>
        </w:rPr>
        <w:t>psychologiques et comportementaux</w:t>
      </w:r>
      <w:r w:rsidR="003D0F58" w:rsidRPr="00DD03D6">
        <w:rPr>
          <w:bCs/>
          <w:noProof/>
          <w:lang w:val="fr-FR"/>
        </w:rPr>
        <w:t xml:space="preserve"> </w:t>
      </w:r>
      <w:r w:rsidR="00C92048">
        <w:rPr>
          <w:bCs/>
          <w:noProof/>
          <w:lang w:val="fr-FR"/>
        </w:rPr>
        <w:t>en tant que solution de substitution à la détention</w:t>
      </w:r>
      <w:r w:rsidR="003D0F58" w:rsidRPr="00DD03D6">
        <w:rPr>
          <w:bCs/>
          <w:noProof/>
          <w:lang w:val="fr-FR"/>
        </w:rPr>
        <w:t xml:space="preserve">. </w:t>
      </w:r>
      <w:r w:rsidR="00C92048">
        <w:rPr>
          <w:bCs/>
          <w:noProof/>
          <w:lang w:val="fr-FR"/>
        </w:rPr>
        <w:t xml:space="preserve">En moyenne, on compte </w:t>
      </w:r>
      <w:r w:rsidR="003927CE">
        <w:rPr>
          <w:bCs/>
          <w:noProof/>
          <w:lang w:val="fr-FR"/>
        </w:rPr>
        <w:t xml:space="preserve">en permanence </w:t>
      </w:r>
      <w:r w:rsidR="00C92048">
        <w:rPr>
          <w:bCs/>
          <w:noProof/>
          <w:lang w:val="fr-FR"/>
        </w:rPr>
        <w:t>cinq ou six jeunes ainsi placés</w:t>
      </w:r>
      <w:r w:rsidR="003D0F58" w:rsidRPr="00DD03D6">
        <w:rPr>
          <w:bCs/>
          <w:noProof/>
          <w:lang w:val="fr-FR"/>
        </w:rPr>
        <w:t>.</w:t>
      </w:r>
    </w:p>
    <w:p w:rsidR="003D0F58" w:rsidRPr="00B95BA9" w:rsidRDefault="00FD64FD" w:rsidP="00FD64FD">
      <w:pPr>
        <w:pStyle w:val="H23G"/>
        <w:rPr>
          <w:noProof/>
          <w:lang w:val="fr-FR"/>
        </w:rPr>
      </w:pPr>
      <w:r w:rsidRPr="00DD03D6">
        <w:rPr>
          <w:noProof/>
          <w:lang w:val="fr-FR"/>
        </w:rPr>
        <w:tab/>
      </w:r>
      <w:r w:rsidRPr="00DD03D6">
        <w:rPr>
          <w:noProof/>
          <w:lang w:val="fr-FR"/>
        </w:rPr>
        <w:tab/>
      </w:r>
      <w:r w:rsidR="00017F39" w:rsidRPr="00B95BA9">
        <w:rPr>
          <w:noProof/>
          <w:lang w:val="fr-FR"/>
        </w:rPr>
        <w:t>Placement en institution</w:t>
      </w:r>
    </w:p>
    <w:p w:rsidR="003D0F58" w:rsidRPr="00DD03D6" w:rsidRDefault="003927CE" w:rsidP="00FD64FD">
      <w:pPr>
        <w:pStyle w:val="SingleTxtG"/>
        <w:numPr>
          <w:ilvl w:val="0"/>
          <w:numId w:val="3"/>
        </w:numPr>
        <w:ind w:left="1134" w:firstLine="0"/>
        <w:rPr>
          <w:noProof/>
          <w:lang w:val="fr-FR"/>
        </w:rPr>
      </w:pPr>
      <w:r>
        <w:rPr>
          <w:noProof/>
          <w:lang w:val="fr-FR"/>
        </w:rPr>
        <w:t>Il existe trois formes principales de placement en institution</w:t>
      </w:r>
      <w:r w:rsidR="003D0F58" w:rsidRPr="00DD03D6">
        <w:rPr>
          <w:noProof/>
          <w:lang w:val="fr-FR"/>
        </w:rPr>
        <w:t>.</w:t>
      </w:r>
    </w:p>
    <w:p w:rsidR="003D0F58" w:rsidRPr="00DD03D6" w:rsidRDefault="005E20F2" w:rsidP="00FD64FD">
      <w:pPr>
        <w:pStyle w:val="SingleTxtG"/>
        <w:numPr>
          <w:ilvl w:val="0"/>
          <w:numId w:val="3"/>
        </w:numPr>
        <w:ind w:left="1134" w:firstLine="0"/>
        <w:rPr>
          <w:noProof/>
          <w:lang w:val="fr-FR"/>
        </w:rPr>
      </w:pPr>
      <w:r>
        <w:rPr>
          <w:noProof/>
          <w:lang w:val="fr-FR"/>
        </w:rPr>
        <w:t xml:space="preserve">Les établissements de séjour pour enfants sont installés dans des maisons </w:t>
      </w:r>
      <w:r w:rsidR="00443462">
        <w:rPr>
          <w:noProof/>
          <w:lang w:val="fr-FR"/>
        </w:rPr>
        <w:t xml:space="preserve">occupant </w:t>
      </w:r>
      <w:r>
        <w:rPr>
          <w:noProof/>
          <w:lang w:val="fr-FR"/>
        </w:rPr>
        <w:t>de</w:t>
      </w:r>
      <w:r w:rsidR="00443462">
        <w:rPr>
          <w:noProof/>
          <w:lang w:val="fr-FR"/>
        </w:rPr>
        <w:t>s</w:t>
      </w:r>
      <w:r>
        <w:rPr>
          <w:noProof/>
          <w:lang w:val="fr-FR"/>
        </w:rPr>
        <w:t xml:space="preserve"> lotissements situés à la périphérie des villes et des villages</w:t>
      </w:r>
      <w:r w:rsidR="003D0F58" w:rsidRPr="00DD03D6">
        <w:rPr>
          <w:noProof/>
          <w:lang w:val="fr-FR"/>
        </w:rPr>
        <w:t xml:space="preserve">. </w:t>
      </w:r>
      <w:r>
        <w:rPr>
          <w:noProof/>
          <w:lang w:val="fr-FR"/>
        </w:rPr>
        <w:t xml:space="preserve">Ils accueillent en général </w:t>
      </w:r>
      <w:r>
        <w:rPr>
          <w:noProof/>
          <w:lang w:val="fr-FR"/>
        </w:rPr>
        <w:lastRenderedPageBreak/>
        <w:t>entre deux et six enfants, qui sont généralement des adolescents</w:t>
      </w:r>
      <w:r w:rsidR="003D0F58" w:rsidRPr="00DD03D6">
        <w:rPr>
          <w:noProof/>
          <w:lang w:val="fr-FR"/>
        </w:rPr>
        <w:t xml:space="preserve">. </w:t>
      </w:r>
      <w:r>
        <w:rPr>
          <w:noProof/>
          <w:lang w:val="fr-FR"/>
        </w:rPr>
        <w:t>Ces enfants fréquentent les écoles locales et prennent part aux activités sportives et communautaires locales</w:t>
      </w:r>
      <w:r w:rsidR="003D0F58" w:rsidRPr="00DD03D6">
        <w:rPr>
          <w:noProof/>
          <w:lang w:val="fr-FR"/>
        </w:rPr>
        <w:t xml:space="preserve">. </w:t>
      </w:r>
      <w:r>
        <w:rPr>
          <w:noProof/>
          <w:lang w:val="fr-FR"/>
        </w:rPr>
        <w:t>Ces établissements sont inspectés par le Bureau de l’information sanitaire et de la qualité des services sanitaires au regard des normes n</w:t>
      </w:r>
      <w:r w:rsidR="003D0F58" w:rsidRPr="00DD03D6">
        <w:rPr>
          <w:noProof/>
          <w:lang w:val="fr-FR"/>
        </w:rPr>
        <w:t>ational</w:t>
      </w:r>
      <w:r>
        <w:rPr>
          <w:noProof/>
          <w:lang w:val="fr-FR"/>
        </w:rPr>
        <w:t>es</w:t>
      </w:r>
      <w:r w:rsidR="003D0F58" w:rsidRPr="00DD03D6">
        <w:rPr>
          <w:noProof/>
          <w:lang w:val="fr-FR"/>
        </w:rPr>
        <w:t xml:space="preserve"> </w:t>
      </w:r>
      <w:r>
        <w:rPr>
          <w:noProof/>
          <w:lang w:val="fr-FR"/>
        </w:rPr>
        <w:t>applicables aux établissements de séjour pour enfants</w:t>
      </w:r>
      <w:r w:rsidR="003D0F58" w:rsidRPr="00DD03D6">
        <w:rPr>
          <w:noProof/>
          <w:lang w:val="fr-FR"/>
        </w:rPr>
        <w:t xml:space="preserve"> </w:t>
      </w:r>
      <w:r w:rsidR="00F32F05">
        <w:rPr>
          <w:noProof/>
          <w:lang w:val="fr-FR"/>
        </w:rPr>
        <w:t>et les rapports d’</w:t>
      </w:r>
      <w:r w:rsidR="003D0F58" w:rsidRPr="00DD03D6">
        <w:rPr>
          <w:noProof/>
          <w:lang w:val="fr-FR"/>
        </w:rPr>
        <w:t xml:space="preserve">inspection </w:t>
      </w:r>
      <w:r w:rsidR="00F32F05">
        <w:rPr>
          <w:noProof/>
          <w:lang w:val="fr-FR"/>
        </w:rPr>
        <w:t>sont publiés de façon anonyme</w:t>
      </w:r>
      <w:r w:rsidR="003D0F58" w:rsidRPr="00DD03D6">
        <w:rPr>
          <w:noProof/>
          <w:lang w:val="fr-FR"/>
        </w:rPr>
        <w:t xml:space="preserve">. </w:t>
      </w:r>
      <w:r w:rsidR="00443462">
        <w:rPr>
          <w:noProof/>
          <w:lang w:val="fr-FR"/>
        </w:rPr>
        <w:t>La Direction des services de santé a pour politique et pratique de ne placer en institution des enfants âgés de 12 ans ou moins que dans des cas exceptionnels</w:t>
      </w:r>
      <w:r w:rsidR="003D0F58" w:rsidRPr="00DD03D6">
        <w:rPr>
          <w:noProof/>
          <w:lang w:val="fr-FR"/>
        </w:rPr>
        <w:t>.</w:t>
      </w:r>
    </w:p>
    <w:p w:rsidR="003D0F58" w:rsidRPr="00DD03D6" w:rsidRDefault="00443462" w:rsidP="005D7533">
      <w:pPr>
        <w:pStyle w:val="SingleTxtG"/>
        <w:numPr>
          <w:ilvl w:val="0"/>
          <w:numId w:val="3"/>
        </w:numPr>
        <w:ind w:left="1134" w:firstLine="0"/>
        <w:rPr>
          <w:noProof/>
          <w:lang w:val="fr-FR"/>
        </w:rPr>
      </w:pPr>
      <w:r>
        <w:rPr>
          <w:noProof/>
          <w:lang w:val="fr-FR"/>
        </w:rPr>
        <w:t xml:space="preserve">Il existe </w:t>
      </w:r>
      <w:r w:rsidR="00FB7786">
        <w:rPr>
          <w:noProof/>
          <w:lang w:val="fr-FR"/>
        </w:rPr>
        <w:t xml:space="preserve">en Irlande </w:t>
      </w:r>
      <w:r>
        <w:rPr>
          <w:noProof/>
          <w:lang w:val="fr-FR"/>
        </w:rPr>
        <w:t>deux unités nationales de soutien</w:t>
      </w:r>
      <w:r w:rsidR="00FB7786">
        <w:rPr>
          <w:noProof/>
          <w:lang w:val="fr-FR"/>
        </w:rPr>
        <w:t xml:space="preserve"> intensif </w:t>
      </w:r>
      <w:r w:rsidR="00084E5D">
        <w:rPr>
          <w:noProof/>
          <w:lang w:val="fr-FR"/>
        </w:rPr>
        <w:t xml:space="preserve">comportant </w:t>
      </w:r>
      <w:r w:rsidR="00FB7786">
        <w:rPr>
          <w:noProof/>
          <w:lang w:val="fr-FR"/>
        </w:rPr>
        <w:t xml:space="preserve">16 </w:t>
      </w:r>
      <w:r w:rsidR="00084E5D">
        <w:rPr>
          <w:noProof/>
          <w:lang w:val="fr-FR"/>
        </w:rPr>
        <w:t xml:space="preserve">places </w:t>
      </w:r>
      <w:r w:rsidR="00FB7786">
        <w:rPr>
          <w:noProof/>
          <w:lang w:val="fr-FR"/>
        </w:rPr>
        <w:t>au total</w:t>
      </w:r>
      <w:r w:rsidR="003D0F58" w:rsidRPr="00DD03D6">
        <w:rPr>
          <w:noProof/>
          <w:lang w:val="fr-FR"/>
        </w:rPr>
        <w:t xml:space="preserve">. </w:t>
      </w:r>
      <w:r w:rsidR="00084E5D">
        <w:rPr>
          <w:noProof/>
          <w:lang w:val="fr-FR"/>
        </w:rPr>
        <w:t xml:space="preserve">Ces unités accueillent des enfants et des jeunes </w:t>
      </w:r>
      <w:r w:rsidR="00770E8E">
        <w:rPr>
          <w:noProof/>
          <w:lang w:val="fr-FR"/>
        </w:rPr>
        <w:t xml:space="preserve">ayant besoin d’interventions ciblées spécialisées et sont </w:t>
      </w:r>
      <w:r w:rsidR="003F36DD">
        <w:rPr>
          <w:noProof/>
          <w:lang w:val="fr-FR"/>
        </w:rPr>
        <w:t>« </w:t>
      </w:r>
      <w:r w:rsidR="003D0F58" w:rsidRPr="00DD03D6">
        <w:rPr>
          <w:noProof/>
          <w:lang w:val="fr-FR"/>
        </w:rPr>
        <w:t>o</w:t>
      </w:r>
      <w:r w:rsidR="00770E8E">
        <w:rPr>
          <w:noProof/>
          <w:lang w:val="fr-FR"/>
        </w:rPr>
        <w:t>uvertes</w:t>
      </w:r>
      <w:r w:rsidR="003F36DD">
        <w:rPr>
          <w:noProof/>
          <w:lang w:val="fr-FR"/>
        </w:rPr>
        <w:t> »</w:t>
      </w:r>
      <w:r w:rsidR="003D0F58" w:rsidRPr="00DD03D6">
        <w:rPr>
          <w:noProof/>
          <w:lang w:val="fr-FR"/>
        </w:rPr>
        <w:t xml:space="preserve"> </w:t>
      </w:r>
      <w:r w:rsidR="00770E8E">
        <w:rPr>
          <w:noProof/>
          <w:lang w:val="fr-FR"/>
        </w:rPr>
        <w:t>e</w:t>
      </w:r>
      <w:r w:rsidR="003D0F58" w:rsidRPr="00DD03D6">
        <w:rPr>
          <w:noProof/>
          <w:lang w:val="fr-FR"/>
        </w:rPr>
        <w:t xml:space="preserve">n </w:t>
      </w:r>
      <w:r w:rsidR="00770E8E">
        <w:rPr>
          <w:noProof/>
          <w:lang w:val="fr-FR"/>
        </w:rPr>
        <w:t>ce sens que ces jeunes ne sont pas détenus</w:t>
      </w:r>
      <w:r w:rsidR="003D0F58" w:rsidRPr="00DD03D6">
        <w:rPr>
          <w:noProof/>
          <w:lang w:val="fr-FR"/>
        </w:rPr>
        <w:t xml:space="preserve">. </w:t>
      </w:r>
      <w:r w:rsidR="00770E8E">
        <w:rPr>
          <w:noProof/>
          <w:lang w:val="fr-FR"/>
        </w:rPr>
        <w:t xml:space="preserve">Ces unités </w:t>
      </w:r>
      <w:r w:rsidR="0087181D">
        <w:rPr>
          <w:noProof/>
          <w:lang w:val="fr-FR"/>
        </w:rPr>
        <w:t>di</w:t>
      </w:r>
      <w:r w:rsidR="00770E8E">
        <w:rPr>
          <w:noProof/>
          <w:lang w:val="fr-FR"/>
        </w:rPr>
        <w:t xml:space="preserve">ffèrent du placement en institution ordinaire en ce qu’elles offrent </w:t>
      </w:r>
      <w:r w:rsidR="00DE633F">
        <w:rPr>
          <w:noProof/>
          <w:lang w:val="fr-FR"/>
        </w:rPr>
        <w:t xml:space="preserve">des ratios d’encadrement supérieurs et une éducation sur site ainsi qu’une assistance </w:t>
      </w:r>
      <w:r w:rsidR="003D0F58" w:rsidRPr="00DD03D6">
        <w:rPr>
          <w:noProof/>
          <w:lang w:val="fr-FR"/>
        </w:rPr>
        <w:t>sp</w:t>
      </w:r>
      <w:r w:rsidR="00DE633F">
        <w:rPr>
          <w:noProof/>
          <w:lang w:val="fr-FR"/>
        </w:rPr>
        <w:t>é</w:t>
      </w:r>
      <w:r w:rsidR="003D0F58" w:rsidRPr="00DD03D6">
        <w:rPr>
          <w:noProof/>
          <w:lang w:val="fr-FR"/>
        </w:rPr>
        <w:t>cialis</w:t>
      </w:r>
      <w:r w:rsidR="00DE633F">
        <w:rPr>
          <w:noProof/>
          <w:lang w:val="fr-FR"/>
        </w:rPr>
        <w:t>é</w:t>
      </w:r>
      <w:r w:rsidR="003D0F58" w:rsidRPr="00DD03D6">
        <w:rPr>
          <w:noProof/>
          <w:lang w:val="fr-FR"/>
        </w:rPr>
        <w:t>e</w:t>
      </w:r>
      <w:r w:rsidR="00DE633F">
        <w:rPr>
          <w:noProof/>
          <w:lang w:val="fr-FR"/>
        </w:rPr>
        <w:t xml:space="preserve">, telle que des services </w:t>
      </w:r>
      <w:r w:rsidR="003D0F58" w:rsidRPr="00DD03D6">
        <w:rPr>
          <w:noProof/>
          <w:lang w:val="fr-FR"/>
        </w:rPr>
        <w:t>psycholog</w:t>
      </w:r>
      <w:r w:rsidR="00DE633F">
        <w:rPr>
          <w:noProof/>
          <w:lang w:val="fr-FR"/>
        </w:rPr>
        <w:t>iques</w:t>
      </w:r>
      <w:r w:rsidR="003D0F58" w:rsidRPr="00DD03D6">
        <w:rPr>
          <w:noProof/>
          <w:lang w:val="fr-FR"/>
        </w:rPr>
        <w:t xml:space="preserve">. </w:t>
      </w:r>
      <w:r w:rsidR="00DE633F">
        <w:rPr>
          <w:noProof/>
          <w:lang w:val="fr-FR"/>
        </w:rPr>
        <w:t>Elles sont inspectées par le Bureau de l’information sanitaire et de la qualité des services sanitaires au regard des normes n</w:t>
      </w:r>
      <w:r w:rsidR="00DE633F" w:rsidRPr="00DD03D6">
        <w:rPr>
          <w:noProof/>
          <w:lang w:val="fr-FR"/>
        </w:rPr>
        <w:t>ational</w:t>
      </w:r>
      <w:r w:rsidR="00DE633F">
        <w:rPr>
          <w:noProof/>
          <w:lang w:val="fr-FR"/>
        </w:rPr>
        <w:t>es</w:t>
      </w:r>
      <w:r w:rsidR="00DE633F" w:rsidRPr="00DD03D6">
        <w:rPr>
          <w:noProof/>
          <w:lang w:val="fr-FR"/>
        </w:rPr>
        <w:t xml:space="preserve"> </w:t>
      </w:r>
      <w:r w:rsidR="00DE633F">
        <w:rPr>
          <w:noProof/>
          <w:lang w:val="fr-FR"/>
        </w:rPr>
        <w:t>applicables aux établissements de séjour pour enfants</w:t>
      </w:r>
      <w:r w:rsidR="00DE633F" w:rsidRPr="00DD03D6">
        <w:rPr>
          <w:noProof/>
          <w:lang w:val="fr-FR"/>
        </w:rPr>
        <w:t xml:space="preserve"> </w:t>
      </w:r>
      <w:r w:rsidR="00DE633F">
        <w:rPr>
          <w:noProof/>
          <w:lang w:val="fr-FR"/>
        </w:rPr>
        <w:t>et les rapports d’</w:t>
      </w:r>
      <w:r w:rsidR="00DE633F" w:rsidRPr="00DD03D6">
        <w:rPr>
          <w:noProof/>
          <w:lang w:val="fr-FR"/>
        </w:rPr>
        <w:t xml:space="preserve">inspection </w:t>
      </w:r>
      <w:r w:rsidR="00DE633F">
        <w:rPr>
          <w:noProof/>
          <w:lang w:val="fr-FR"/>
        </w:rPr>
        <w:t>sont publiés de façon anonyme</w:t>
      </w:r>
      <w:r w:rsidR="003D0F58" w:rsidRPr="00DD03D6">
        <w:rPr>
          <w:noProof/>
          <w:lang w:val="fr-FR"/>
        </w:rPr>
        <w:t>.</w:t>
      </w:r>
    </w:p>
    <w:p w:rsidR="003D0F58" w:rsidRPr="00DD03D6" w:rsidRDefault="00354CB1" w:rsidP="00FD64FD">
      <w:pPr>
        <w:pStyle w:val="SingleTxtG"/>
        <w:numPr>
          <w:ilvl w:val="0"/>
          <w:numId w:val="3"/>
        </w:numPr>
        <w:ind w:left="1134" w:firstLine="0"/>
        <w:rPr>
          <w:noProof/>
          <w:lang w:val="fr-FR"/>
        </w:rPr>
      </w:pPr>
      <w:r>
        <w:rPr>
          <w:noProof/>
          <w:lang w:val="fr-FR"/>
        </w:rPr>
        <w:t xml:space="preserve">Les soins spéciaux impliquent </w:t>
      </w:r>
      <w:r w:rsidR="005254D6">
        <w:rPr>
          <w:noProof/>
          <w:lang w:val="fr-FR"/>
        </w:rPr>
        <w:t>la détent</w:t>
      </w:r>
      <w:r w:rsidR="0087181D">
        <w:rPr>
          <w:noProof/>
          <w:lang w:val="fr-FR"/>
        </w:rPr>
        <w:t xml:space="preserve">ion d’un enfant, pour son propre bien-être et sa propre protection, dans une unité </w:t>
      </w:r>
      <w:r>
        <w:rPr>
          <w:noProof/>
          <w:lang w:val="fr-FR"/>
        </w:rPr>
        <w:t xml:space="preserve">de soins spéciaux </w:t>
      </w:r>
      <w:r w:rsidR="0087181D">
        <w:rPr>
          <w:noProof/>
          <w:lang w:val="fr-FR"/>
        </w:rPr>
        <w:t>avec aides éducatives et thérapeutiques sur site</w:t>
      </w:r>
      <w:r w:rsidR="003D0F58" w:rsidRPr="00DD03D6">
        <w:rPr>
          <w:noProof/>
          <w:lang w:val="fr-FR"/>
        </w:rPr>
        <w:t xml:space="preserve">. </w:t>
      </w:r>
      <w:r w:rsidR="0087181D">
        <w:rPr>
          <w:noProof/>
          <w:lang w:val="fr-FR"/>
        </w:rPr>
        <w:t xml:space="preserve">Comme dans le cas du soutien intensif, les unités de soins spéciaux diffèrent du placement en institution ordinaire en ce qu’elles offrent des ratios d’encadrement supérieurs, une éducation sur site et une assistance </w:t>
      </w:r>
      <w:r w:rsidR="0087181D" w:rsidRPr="00DD03D6">
        <w:rPr>
          <w:noProof/>
          <w:lang w:val="fr-FR"/>
        </w:rPr>
        <w:t>sp</w:t>
      </w:r>
      <w:r w:rsidR="0087181D">
        <w:rPr>
          <w:noProof/>
          <w:lang w:val="fr-FR"/>
        </w:rPr>
        <w:t>é</w:t>
      </w:r>
      <w:r w:rsidR="0087181D" w:rsidRPr="00DD03D6">
        <w:rPr>
          <w:noProof/>
          <w:lang w:val="fr-FR"/>
        </w:rPr>
        <w:t>cialis</w:t>
      </w:r>
      <w:r w:rsidR="0087181D">
        <w:rPr>
          <w:noProof/>
          <w:lang w:val="fr-FR"/>
        </w:rPr>
        <w:t>é</w:t>
      </w:r>
      <w:r w:rsidR="0087181D" w:rsidRPr="00DD03D6">
        <w:rPr>
          <w:noProof/>
          <w:lang w:val="fr-FR"/>
        </w:rPr>
        <w:t>e</w:t>
      </w:r>
      <w:r w:rsidR="0087181D">
        <w:rPr>
          <w:noProof/>
          <w:lang w:val="fr-FR"/>
        </w:rPr>
        <w:t xml:space="preserve">. </w:t>
      </w:r>
      <w:r w:rsidR="00872AB5">
        <w:rPr>
          <w:noProof/>
          <w:lang w:val="fr-FR"/>
        </w:rPr>
        <w:t xml:space="preserve">Le placement d’un enfant en détention dans une unité de soins spéciaux sur décision de la </w:t>
      </w:r>
      <w:r w:rsidR="003D0F58" w:rsidRPr="00872AB5">
        <w:rPr>
          <w:i/>
          <w:noProof/>
          <w:lang w:val="fr-FR"/>
        </w:rPr>
        <w:t>High Court</w:t>
      </w:r>
      <w:r w:rsidR="003D0F58" w:rsidRPr="00DD03D6">
        <w:rPr>
          <w:noProof/>
          <w:lang w:val="fr-FR"/>
        </w:rPr>
        <w:t xml:space="preserve"> </w:t>
      </w:r>
      <w:r w:rsidR="00872AB5">
        <w:rPr>
          <w:noProof/>
          <w:lang w:val="fr-FR"/>
        </w:rPr>
        <w:t>n’est envisagée qu’en dernier recours et pour une durée la plus courte possible</w:t>
      </w:r>
      <w:r w:rsidR="003D0F58" w:rsidRPr="00DD03D6">
        <w:rPr>
          <w:noProof/>
          <w:lang w:val="fr-FR"/>
        </w:rPr>
        <w:t xml:space="preserve">. </w:t>
      </w:r>
      <w:r w:rsidR="00872AB5">
        <w:rPr>
          <w:noProof/>
          <w:lang w:val="fr-FR"/>
        </w:rPr>
        <w:t>Le pays compte trois unités de soins spéciaux, qui sont gérées par la Direction des services de santé dans le cadre d’un dispositif national de gouvernance unique</w:t>
      </w:r>
      <w:r w:rsidR="003D0F58" w:rsidRPr="00DD03D6">
        <w:rPr>
          <w:noProof/>
          <w:lang w:val="fr-FR"/>
        </w:rPr>
        <w:t>.</w:t>
      </w:r>
    </w:p>
    <w:p w:rsidR="003D0F58" w:rsidRPr="00DD03D6" w:rsidRDefault="00872AB5" w:rsidP="00134D6B">
      <w:pPr>
        <w:pStyle w:val="SingleTxtG"/>
        <w:numPr>
          <w:ilvl w:val="0"/>
          <w:numId w:val="3"/>
        </w:numPr>
        <w:ind w:left="1134" w:firstLine="0"/>
        <w:rPr>
          <w:noProof/>
          <w:lang w:val="fr-FR"/>
        </w:rPr>
      </w:pPr>
      <w:r>
        <w:rPr>
          <w:noProof/>
          <w:lang w:val="fr-FR"/>
        </w:rPr>
        <w:t xml:space="preserve">La loi de 2011 portant modification de la loi sur la protection de l’enfance crée un cadre </w:t>
      </w:r>
      <w:r w:rsidR="00CA6668">
        <w:rPr>
          <w:noProof/>
          <w:lang w:val="fr-FR"/>
        </w:rPr>
        <w:t xml:space="preserve">légal permettant à la </w:t>
      </w:r>
      <w:r w:rsidR="00CA6668" w:rsidRPr="00660134">
        <w:rPr>
          <w:i/>
          <w:noProof/>
          <w:lang w:val="fr-FR"/>
        </w:rPr>
        <w:t>High Court</w:t>
      </w:r>
      <w:r w:rsidR="00CA6668" w:rsidRPr="00DD03D6">
        <w:rPr>
          <w:noProof/>
          <w:lang w:val="fr-FR"/>
        </w:rPr>
        <w:t xml:space="preserve"> </w:t>
      </w:r>
      <w:r w:rsidR="00CA6668">
        <w:rPr>
          <w:noProof/>
          <w:lang w:val="fr-FR"/>
        </w:rPr>
        <w:t>de connaître d’affaires liées aux soins spéciaux sans exercer sa compétence inhérente</w:t>
      </w:r>
      <w:r w:rsidR="003D0F58" w:rsidRPr="00DD03D6">
        <w:rPr>
          <w:noProof/>
          <w:lang w:val="fr-FR"/>
        </w:rPr>
        <w:t xml:space="preserve">. </w:t>
      </w:r>
      <w:r w:rsidR="00CA6668">
        <w:rPr>
          <w:noProof/>
          <w:lang w:val="fr-FR"/>
        </w:rPr>
        <w:t>Des dispositions ont été prises pour mettre cette loi en application</w:t>
      </w:r>
      <w:r w:rsidR="003D0F58" w:rsidRPr="00DD03D6">
        <w:rPr>
          <w:noProof/>
          <w:lang w:val="fr-FR"/>
        </w:rPr>
        <w:t xml:space="preserve">. </w:t>
      </w:r>
      <w:r w:rsidR="00CA6668">
        <w:rPr>
          <w:noProof/>
          <w:lang w:val="fr-FR"/>
        </w:rPr>
        <w:t>Les unités de soins spéciaux sont actuellement inspectées chaque année par le Bureau de l’information sanitaire et de la qualité des services sanitaires et les rapports d’inspection sont publiés</w:t>
      </w:r>
      <w:r w:rsidR="003D0F58" w:rsidRPr="00DD03D6">
        <w:rPr>
          <w:noProof/>
          <w:lang w:val="fr-FR"/>
        </w:rPr>
        <w:t xml:space="preserve">. </w:t>
      </w:r>
      <w:r w:rsidR="00C4355A">
        <w:rPr>
          <w:noProof/>
          <w:lang w:val="fr-FR"/>
        </w:rPr>
        <w:t>Le Ministère de l’enfance et de la jeunesse a entrepris d’élaborer le règlement d’application de la loi de 2007 sur la santé, telle que modifiée par la loi de 2011 portant modification de la loi sur la protection de l’enfance</w:t>
      </w:r>
      <w:r w:rsidR="003D0F58" w:rsidRPr="00DD03D6">
        <w:rPr>
          <w:noProof/>
          <w:lang w:val="fr-FR"/>
        </w:rPr>
        <w:t xml:space="preserve">, </w:t>
      </w:r>
      <w:r w:rsidR="00C4355A">
        <w:rPr>
          <w:noProof/>
          <w:lang w:val="fr-FR"/>
        </w:rPr>
        <w:t>afin d’autoriser le Bureau à enregistrer ces unités</w:t>
      </w:r>
      <w:r w:rsidR="003D0F58" w:rsidRPr="00DD03D6">
        <w:rPr>
          <w:noProof/>
          <w:lang w:val="fr-FR"/>
        </w:rPr>
        <w:t xml:space="preserve">. </w:t>
      </w:r>
      <w:r w:rsidR="00C4355A">
        <w:rPr>
          <w:noProof/>
          <w:lang w:val="fr-FR"/>
        </w:rPr>
        <w:t xml:space="preserve">Le nombre d’enfants admis au bénéfice des soins spéciaux a varié au fil des ans; on compte actuellement trois unités de soins spéciaux, pouvant accueillir au total </w:t>
      </w:r>
      <w:r w:rsidR="003D0F58" w:rsidRPr="00DD03D6">
        <w:rPr>
          <w:noProof/>
          <w:lang w:val="fr-FR"/>
        </w:rPr>
        <w:t xml:space="preserve">17 </w:t>
      </w:r>
      <w:r w:rsidR="00C4355A">
        <w:rPr>
          <w:noProof/>
          <w:lang w:val="fr-FR"/>
        </w:rPr>
        <w:t>jeunes</w:t>
      </w:r>
      <w:r w:rsidR="003D0F58" w:rsidRPr="00DD03D6">
        <w:rPr>
          <w:noProof/>
          <w:lang w:val="fr-FR"/>
        </w:rPr>
        <w:t>.</w:t>
      </w:r>
    </w:p>
    <w:p w:rsidR="003D0F58" w:rsidRPr="00DD03D6" w:rsidRDefault="00C4355A" w:rsidP="00FD64FD">
      <w:pPr>
        <w:pStyle w:val="SingleTxtG"/>
        <w:numPr>
          <w:ilvl w:val="0"/>
          <w:numId w:val="3"/>
        </w:numPr>
        <w:ind w:left="1134" w:firstLine="0"/>
        <w:rPr>
          <w:noProof/>
          <w:lang w:val="fr-FR"/>
        </w:rPr>
      </w:pPr>
      <w:r>
        <w:rPr>
          <w:noProof/>
          <w:lang w:val="fr-FR"/>
        </w:rPr>
        <w:t xml:space="preserve">La Direction des services de santé envisage d’augmenter le nombre de places pour les enfants ayant besoin de soins spéciaux au cours de la période </w:t>
      </w:r>
      <w:r w:rsidR="003D0F58" w:rsidRPr="00DD03D6">
        <w:rPr>
          <w:noProof/>
          <w:lang w:val="fr-FR"/>
        </w:rPr>
        <w:t>2011-2014</w:t>
      </w:r>
      <w:r w:rsidR="00974EA3">
        <w:rPr>
          <w:noProof/>
          <w:lang w:val="fr-FR"/>
        </w:rPr>
        <w:t>, et des projets d’équipement</w:t>
      </w:r>
      <w:r w:rsidR="003D0F58" w:rsidRPr="00DD03D6">
        <w:rPr>
          <w:noProof/>
          <w:lang w:val="fr-FR"/>
        </w:rPr>
        <w:t xml:space="preserve"> </w:t>
      </w:r>
      <w:r w:rsidR="00974EA3">
        <w:rPr>
          <w:noProof/>
          <w:lang w:val="fr-FR"/>
        </w:rPr>
        <w:t xml:space="preserve">et des plans concernant la fourniture de trois unités supplémentaires </w:t>
      </w:r>
      <w:r w:rsidR="00BC2277">
        <w:rPr>
          <w:noProof/>
          <w:lang w:val="fr-FR"/>
        </w:rPr>
        <w:t xml:space="preserve">sont à un stade </w:t>
      </w:r>
      <w:r w:rsidR="00FB1BB3">
        <w:rPr>
          <w:noProof/>
          <w:lang w:val="fr-FR"/>
        </w:rPr>
        <w:t xml:space="preserve">d’élaboration </w:t>
      </w:r>
      <w:r w:rsidR="00BC2277">
        <w:rPr>
          <w:noProof/>
          <w:lang w:val="fr-FR"/>
        </w:rPr>
        <w:t>avancé</w:t>
      </w:r>
      <w:r w:rsidR="003D0F58" w:rsidRPr="00DD03D6">
        <w:rPr>
          <w:noProof/>
          <w:lang w:val="fr-FR"/>
        </w:rPr>
        <w:t>.</w:t>
      </w:r>
    </w:p>
    <w:p w:rsidR="003D0F58" w:rsidRPr="00DD03D6" w:rsidRDefault="00BC2277" w:rsidP="00BC2277">
      <w:pPr>
        <w:pStyle w:val="H23G"/>
        <w:ind w:firstLine="0"/>
        <w:rPr>
          <w:noProof/>
          <w:lang w:val="fr-FR"/>
        </w:rPr>
      </w:pPr>
      <w:r>
        <w:rPr>
          <w:noProof/>
          <w:lang w:val="fr-FR"/>
        </w:rPr>
        <w:t xml:space="preserve">Enquêtes sur des cas de </w:t>
      </w:r>
      <w:r w:rsidR="00F73C88">
        <w:rPr>
          <w:noProof/>
          <w:lang w:val="fr-FR"/>
        </w:rPr>
        <w:t>sévices</w:t>
      </w:r>
      <w:r>
        <w:rPr>
          <w:noProof/>
          <w:lang w:val="fr-FR"/>
        </w:rPr>
        <w:t xml:space="preserve"> à enfant </w:t>
      </w:r>
    </w:p>
    <w:p w:rsidR="003D0F58" w:rsidRPr="00DD03D6" w:rsidRDefault="00BC2277" w:rsidP="00FD64FD">
      <w:pPr>
        <w:pStyle w:val="SingleTxtG"/>
        <w:numPr>
          <w:ilvl w:val="0"/>
          <w:numId w:val="3"/>
        </w:numPr>
        <w:ind w:left="1134" w:firstLine="0"/>
        <w:rPr>
          <w:noProof/>
          <w:lang w:val="fr-FR"/>
        </w:rPr>
      </w:pPr>
      <w:r>
        <w:rPr>
          <w:noProof/>
          <w:lang w:val="fr-FR"/>
        </w:rPr>
        <w:t xml:space="preserve">Au cours de la décennie écoulée, l’Irlande a connu quatre enquêtes importantes sur des cas de </w:t>
      </w:r>
      <w:r w:rsidR="00F73C88">
        <w:rPr>
          <w:noProof/>
          <w:lang w:val="fr-FR"/>
        </w:rPr>
        <w:t>sévices</w:t>
      </w:r>
      <w:r>
        <w:rPr>
          <w:noProof/>
          <w:lang w:val="fr-FR"/>
        </w:rPr>
        <w:t xml:space="preserve"> à enfant, qui ont toutes été publiées</w:t>
      </w:r>
      <w:r w:rsidR="003D0F58" w:rsidRPr="00DD03D6">
        <w:rPr>
          <w:noProof/>
          <w:lang w:val="fr-FR"/>
        </w:rPr>
        <w:t xml:space="preserve">. </w:t>
      </w:r>
      <w:r>
        <w:rPr>
          <w:noProof/>
          <w:lang w:val="fr-FR"/>
        </w:rPr>
        <w:t xml:space="preserve">Ce sont le </w:t>
      </w:r>
      <w:r>
        <w:rPr>
          <w:i/>
          <w:iCs/>
          <w:noProof/>
          <w:lang w:val="fr-FR"/>
        </w:rPr>
        <w:t>Rapport d’enquête F</w:t>
      </w:r>
      <w:r w:rsidRPr="00DD03D6">
        <w:rPr>
          <w:i/>
          <w:iCs/>
          <w:noProof/>
          <w:lang w:val="fr-FR"/>
        </w:rPr>
        <w:t xml:space="preserve">erns </w:t>
      </w:r>
      <w:r>
        <w:rPr>
          <w:iCs/>
          <w:noProof/>
          <w:lang w:val="fr-FR"/>
        </w:rPr>
        <w:t>(</w:t>
      </w:r>
      <w:r w:rsidR="003D0F58" w:rsidRPr="00DD03D6">
        <w:rPr>
          <w:i/>
          <w:iCs/>
          <w:noProof/>
          <w:lang w:val="fr-FR"/>
        </w:rPr>
        <w:t>Ferns Inquiry Report</w:t>
      </w:r>
      <w:r>
        <w:rPr>
          <w:iCs/>
          <w:noProof/>
          <w:lang w:val="fr-FR"/>
        </w:rPr>
        <w:t>)</w:t>
      </w:r>
      <w:r w:rsidR="003D0F58" w:rsidRPr="00DD03D6">
        <w:rPr>
          <w:i/>
          <w:iCs/>
          <w:noProof/>
          <w:lang w:val="fr-FR"/>
        </w:rPr>
        <w:t xml:space="preserve"> </w:t>
      </w:r>
      <w:r w:rsidR="003D0F58" w:rsidRPr="00DD03D6">
        <w:rPr>
          <w:noProof/>
          <w:lang w:val="fr-FR"/>
        </w:rPr>
        <w:t xml:space="preserve">(2005), </w:t>
      </w:r>
      <w:r>
        <w:rPr>
          <w:noProof/>
          <w:lang w:val="fr-FR"/>
        </w:rPr>
        <w:t xml:space="preserve">la </w:t>
      </w:r>
      <w:r>
        <w:rPr>
          <w:i/>
          <w:iCs/>
          <w:noProof/>
          <w:lang w:val="fr-FR"/>
        </w:rPr>
        <w:t xml:space="preserve">Commission d’enquête </w:t>
      </w:r>
      <w:r w:rsidR="00F73C88">
        <w:rPr>
          <w:i/>
          <w:iCs/>
          <w:noProof/>
          <w:lang w:val="fr-FR"/>
        </w:rPr>
        <w:t>–</w:t>
      </w:r>
      <w:r>
        <w:rPr>
          <w:i/>
          <w:iCs/>
          <w:noProof/>
          <w:lang w:val="fr-FR"/>
        </w:rPr>
        <w:t xml:space="preserve"> </w:t>
      </w:r>
      <w:r w:rsidR="00F73C88">
        <w:rPr>
          <w:i/>
          <w:iCs/>
          <w:noProof/>
          <w:lang w:val="fr-FR"/>
        </w:rPr>
        <w:t>Archidiocèse de Dublin</w:t>
      </w:r>
      <w:r w:rsidR="00E92D3C">
        <w:rPr>
          <w:i/>
          <w:iCs/>
          <w:noProof/>
          <w:lang w:val="fr-FR"/>
        </w:rPr>
        <w:t xml:space="preserve"> </w:t>
      </w:r>
      <w:r w:rsidR="00F73C88">
        <w:rPr>
          <w:iCs/>
          <w:noProof/>
          <w:lang w:val="fr-FR"/>
        </w:rPr>
        <w:t>(</w:t>
      </w:r>
      <w:r w:rsidRPr="00DD03D6">
        <w:rPr>
          <w:i/>
          <w:iCs/>
          <w:noProof/>
          <w:lang w:val="fr-FR"/>
        </w:rPr>
        <w:t xml:space="preserve">Commission </w:t>
      </w:r>
      <w:r w:rsidR="003D0F58" w:rsidRPr="00DD03D6">
        <w:rPr>
          <w:i/>
          <w:iCs/>
          <w:noProof/>
          <w:lang w:val="fr-FR"/>
        </w:rPr>
        <w:t>of Inv</w:t>
      </w:r>
      <w:r w:rsidR="00F73C88">
        <w:rPr>
          <w:i/>
          <w:iCs/>
          <w:noProof/>
          <w:lang w:val="fr-FR"/>
        </w:rPr>
        <w:t>estigation – Dublin Archdiocese</w:t>
      </w:r>
      <w:r w:rsidR="00F73C88">
        <w:rPr>
          <w:iCs/>
          <w:noProof/>
          <w:lang w:val="fr-FR"/>
        </w:rPr>
        <w:t xml:space="preserve">) </w:t>
      </w:r>
      <w:r w:rsidR="003D0F58" w:rsidRPr="00DD03D6">
        <w:rPr>
          <w:noProof/>
          <w:lang w:val="fr-FR"/>
        </w:rPr>
        <w:t xml:space="preserve">(2009), </w:t>
      </w:r>
      <w:r w:rsidR="00F73C88">
        <w:rPr>
          <w:noProof/>
          <w:lang w:val="fr-FR"/>
        </w:rPr>
        <w:t>la</w:t>
      </w:r>
      <w:r w:rsidR="003D0F58" w:rsidRPr="00DD03D6">
        <w:rPr>
          <w:noProof/>
          <w:lang w:val="fr-FR"/>
        </w:rPr>
        <w:t xml:space="preserve"> </w:t>
      </w:r>
      <w:r w:rsidR="00F73C88">
        <w:rPr>
          <w:i/>
          <w:noProof/>
          <w:lang w:val="fr-FR"/>
        </w:rPr>
        <w:t xml:space="preserve">Commission d’enquête sur les cas de sévices à enfant </w:t>
      </w:r>
      <w:r w:rsidR="00F73C88">
        <w:rPr>
          <w:noProof/>
          <w:lang w:val="fr-FR"/>
        </w:rPr>
        <w:t>(</w:t>
      </w:r>
      <w:r w:rsidR="003D0F58" w:rsidRPr="00DD03D6">
        <w:rPr>
          <w:i/>
          <w:iCs/>
          <w:noProof/>
          <w:lang w:val="fr-FR"/>
        </w:rPr>
        <w:t>Commission to Inquire into Child Abuse</w:t>
      </w:r>
      <w:r w:rsidR="00F73C88">
        <w:rPr>
          <w:iCs/>
          <w:noProof/>
          <w:lang w:val="fr-FR"/>
        </w:rPr>
        <w:t>)</w:t>
      </w:r>
      <w:r w:rsidR="003D0F58" w:rsidRPr="00DD03D6">
        <w:rPr>
          <w:i/>
          <w:iCs/>
          <w:noProof/>
          <w:lang w:val="fr-FR"/>
        </w:rPr>
        <w:t xml:space="preserve"> </w:t>
      </w:r>
      <w:r w:rsidR="003D0F58" w:rsidRPr="00DD03D6">
        <w:rPr>
          <w:noProof/>
          <w:lang w:val="fr-FR"/>
        </w:rPr>
        <w:t xml:space="preserve">(2009) </w:t>
      </w:r>
      <w:r w:rsidR="00F73C88">
        <w:rPr>
          <w:noProof/>
          <w:lang w:val="fr-FR"/>
        </w:rPr>
        <w:t xml:space="preserve">et le </w:t>
      </w:r>
      <w:r w:rsidR="00F73C88">
        <w:rPr>
          <w:i/>
          <w:noProof/>
          <w:lang w:val="fr-FR"/>
        </w:rPr>
        <w:t xml:space="preserve">Rapport de la Commission d’enquête sur le diocèse catholique de Cloyne </w:t>
      </w:r>
      <w:r w:rsidR="00F73C88">
        <w:rPr>
          <w:noProof/>
          <w:lang w:val="fr-FR"/>
        </w:rPr>
        <w:t>(</w:t>
      </w:r>
      <w:r w:rsidR="003D0F58" w:rsidRPr="00DD03D6">
        <w:rPr>
          <w:i/>
          <w:iCs/>
          <w:noProof/>
          <w:lang w:val="fr-FR"/>
        </w:rPr>
        <w:t>Report of Commission of Investigation into Catholic Diocese of Cloyne</w:t>
      </w:r>
      <w:r w:rsidR="00F73C88">
        <w:rPr>
          <w:iCs/>
          <w:noProof/>
          <w:lang w:val="fr-FR"/>
        </w:rPr>
        <w:t>)</w:t>
      </w:r>
      <w:r w:rsidR="003D0F58" w:rsidRPr="00DD03D6">
        <w:rPr>
          <w:noProof/>
          <w:lang w:val="fr-FR"/>
        </w:rPr>
        <w:t xml:space="preserve"> (2011). </w:t>
      </w:r>
      <w:r w:rsidR="00F73C88">
        <w:rPr>
          <w:noProof/>
          <w:lang w:val="fr-FR"/>
        </w:rPr>
        <w:t>Chacune de ces enquêtes a souligné les difficultés et les carences dans le traitement des sévices à enfant</w:t>
      </w:r>
      <w:r w:rsidR="003D0F58" w:rsidRPr="00DD03D6">
        <w:rPr>
          <w:noProof/>
          <w:lang w:val="fr-FR"/>
        </w:rPr>
        <w:t xml:space="preserve">, </w:t>
      </w:r>
      <w:r w:rsidR="00F73C88">
        <w:rPr>
          <w:noProof/>
          <w:lang w:val="fr-FR"/>
        </w:rPr>
        <w:t xml:space="preserve">qu’ils aient été infligés par des ecclésiastiques, des </w:t>
      </w:r>
      <w:r w:rsidR="003F45CF">
        <w:rPr>
          <w:noProof/>
          <w:lang w:val="fr-FR"/>
        </w:rPr>
        <w:t>agents de l’État</w:t>
      </w:r>
      <w:r w:rsidR="00F73C88">
        <w:rPr>
          <w:noProof/>
          <w:lang w:val="fr-FR"/>
        </w:rPr>
        <w:t xml:space="preserve">, des membres de la famille ou d’autres </w:t>
      </w:r>
      <w:r w:rsidR="00F73C88">
        <w:rPr>
          <w:noProof/>
          <w:lang w:val="fr-FR"/>
        </w:rPr>
        <w:lastRenderedPageBreak/>
        <w:t>personnes</w:t>
      </w:r>
      <w:r w:rsidR="003D0F58" w:rsidRPr="00DD03D6">
        <w:rPr>
          <w:noProof/>
          <w:lang w:val="fr-FR"/>
        </w:rPr>
        <w:t xml:space="preserve">. </w:t>
      </w:r>
      <w:r w:rsidR="00F73C88">
        <w:rPr>
          <w:noProof/>
          <w:lang w:val="fr-FR"/>
        </w:rPr>
        <w:t xml:space="preserve">Un large éventail de mesures ont été appliquées ou adoptées, </w:t>
      </w:r>
      <w:r w:rsidR="003F45CF">
        <w:rPr>
          <w:noProof/>
          <w:lang w:val="fr-FR"/>
        </w:rPr>
        <w:t>en écho à un certain nombre de thèmes communs à toutes les enquêtes, parmi lesquels la nécessité de renforcer la législation concernant la protection des enfants, d’améliorer les mécanismes de notification et la suite donnée aux allégations de sévices à enfant, de renforcer et d’améliorer la prestation de services aux enfants et aux familles, et les mesures de réparation et d’appui pour les enfants auxquels des sévices avaient été infligés par des ecclésiastiques ou des agents de l’État, et d’améliorer les mesures à prendre pour écouter les enfants</w:t>
      </w:r>
      <w:r w:rsidR="003D0F58" w:rsidRPr="00DD03D6">
        <w:rPr>
          <w:noProof/>
          <w:lang w:val="fr-FR"/>
        </w:rPr>
        <w:t>.</w:t>
      </w:r>
    </w:p>
    <w:p w:rsidR="003D0F58" w:rsidRPr="00DD03D6" w:rsidRDefault="00313E99" w:rsidP="00FD64FD">
      <w:pPr>
        <w:pStyle w:val="SingleTxtG"/>
        <w:numPr>
          <w:ilvl w:val="0"/>
          <w:numId w:val="3"/>
        </w:numPr>
        <w:ind w:left="1134" w:firstLine="0"/>
        <w:rPr>
          <w:noProof/>
          <w:lang w:val="fr-FR"/>
        </w:rPr>
      </w:pPr>
      <w:r>
        <w:rPr>
          <w:noProof/>
          <w:lang w:val="fr-FR"/>
        </w:rPr>
        <w:t xml:space="preserve">Le </w:t>
      </w:r>
      <w:r>
        <w:rPr>
          <w:i/>
          <w:iCs/>
          <w:noProof/>
          <w:lang w:val="fr-FR"/>
        </w:rPr>
        <w:t>Rapport d’enquête F</w:t>
      </w:r>
      <w:r w:rsidRPr="00DD03D6">
        <w:rPr>
          <w:i/>
          <w:iCs/>
          <w:noProof/>
          <w:lang w:val="fr-FR"/>
        </w:rPr>
        <w:t>erns</w:t>
      </w:r>
      <w:r w:rsidR="003D0F58" w:rsidRPr="00DD03D6">
        <w:rPr>
          <w:i/>
          <w:noProof/>
          <w:lang w:val="fr-FR"/>
        </w:rPr>
        <w:t xml:space="preserve"> </w:t>
      </w:r>
      <w:r w:rsidR="003D0F58" w:rsidRPr="00DD03D6">
        <w:rPr>
          <w:noProof/>
          <w:lang w:val="fr-FR"/>
        </w:rPr>
        <w:t xml:space="preserve">(2005) </w:t>
      </w:r>
      <w:r>
        <w:rPr>
          <w:noProof/>
          <w:lang w:val="fr-FR"/>
        </w:rPr>
        <w:t xml:space="preserve">a enquêté sur des </w:t>
      </w:r>
      <w:r w:rsidR="003D0F58" w:rsidRPr="00DD03D6">
        <w:rPr>
          <w:noProof/>
          <w:lang w:val="fr-FR"/>
        </w:rPr>
        <w:t>all</w:t>
      </w:r>
      <w:r>
        <w:rPr>
          <w:noProof/>
          <w:lang w:val="fr-FR"/>
        </w:rPr>
        <w:t>é</w:t>
      </w:r>
      <w:r w:rsidR="003D0F58" w:rsidRPr="00DD03D6">
        <w:rPr>
          <w:noProof/>
          <w:lang w:val="fr-FR"/>
        </w:rPr>
        <w:t xml:space="preserve">gations </w:t>
      </w:r>
      <w:r>
        <w:rPr>
          <w:noProof/>
          <w:lang w:val="fr-FR"/>
        </w:rPr>
        <w:t>de sévices infligés par des ecclésiastiques du diocès</w:t>
      </w:r>
      <w:r w:rsidR="00FB1BB3">
        <w:rPr>
          <w:noProof/>
          <w:lang w:val="fr-FR"/>
        </w:rPr>
        <w:t>e</w:t>
      </w:r>
      <w:r>
        <w:rPr>
          <w:noProof/>
          <w:lang w:val="fr-FR"/>
        </w:rPr>
        <w:t xml:space="preserve"> catholique irlandais de </w:t>
      </w:r>
      <w:r w:rsidR="003D0F58" w:rsidRPr="00DD03D6">
        <w:rPr>
          <w:noProof/>
          <w:lang w:val="fr-FR"/>
        </w:rPr>
        <w:t xml:space="preserve">Ferns. </w:t>
      </w:r>
      <w:r>
        <w:rPr>
          <w:noProof/>
          <w:lang w:val="fr-FR"/>
        </w:rPr>
        <w:t xml:space="preserve">Il a recensé plus de </w:t>
      </w:r>
      <w:r w:rsidR="003D0F58" w:rsidRPr="00DD03D6">
        <w:rPr>
          <w:noProof/>
          <w:lang w:val="fr-FR"/>
        </w:rPr>
        <w:t>100 all</w:t>
      </w:r>
      <w:r>
        <w:rPr>
          <w:noProof/>
          <w:lang w:val="fr-FR"/>
        </w:rPr>
        <w:t>é</w:t>
      </w:r>
      <w:r w:rsidR="003D0F58" w:rsidRPr="00DD03D6">
        <w:rPr>
          <w:noProof/>
          <w:lang w:val="fr-FR"/>
        </w:rPr>
        <w:t xml:space="preserve">gations </w:t>
      </w:r>
      <w:r>
        <w:rPr>
          <w:noProof/>
          <w:lang w:val="fr-FR"/>
        </w:rPr>
        <w:t xml:space="preserve">de sévices sexuels infligés à des enfants entre </w:t>
      </w:r>
      <w:r w:rsidR="003D0F58" w:rsidRPr="00DD03D6">
        <w:rPr>
          <w:noProof/>
          <w:lang w:val="fr-FR"/>
        </w:rPr>
        <w:t xml:space="preserve">1962 </w:t>
      </w:r>
      <w:r>
        <w:rPr>
          <w:noProof/>
          <w:lang w:val="fr-FR"/>
        </w:rPr>
        <w:t xml:space="preserve">et </w:t>
      </w:r>
      <w:r w:rsidR="003D0F58" w:rsidRPr="00DD03D6">
        <w:rPr>
          <w:noProof/>
          <w:lang w:val="fr-FR"/>
        </w:rPr>
        <w:t xml:space="preserve">2002 </w:t>
      </w:r>
      <w:r>
        <w:rPr>
          <w:noProof/>
          <w:lang w:val="fr-FR"/>
        </w:rPr>
        <w:t xml:space="preserve">portées contre </w:t>
      </w:r>
      <w:r w:rsidR="00B95BA9">
        <w:rPr>
          <w:noProof/>
          <w:lang w:val="fr-FR"/>
        </w:rPr>
        <w:t>21 </w:t>
      </w:r>
      <w:r w:rsidR="003D0F58" w:rsidRPr="00DD03D6">
        <w:rPr>
          <w:noProof/>
          <w:lang w:val="fr-FR"/>
        </w:rPr>
        <w:t>pr</w:t>
      </w:r>
      <w:r>
        <w:rPr>
          <w:noProof/>
          <w:lang w:val="fr-FR"/>
        </w:rPr>
        <w:t xml:space="preserve">êtres </w:t>
      </w:r>
      <w:r w:rsidR="005E4DA7">
        <w:rPr>
          <w:noProof/>
          <w:lang w:val="fr-FR"/>
        </w:rPr>
        <w:t>sous tutelle du diocèse</w:t>
      </w:r>
      <w:r w:rsidR="003D0F58" w:rsidRPr="00DD03D6">
        <w:rPr>
          <w:noProof/>
          <w:lang w:val="fr-FR"/>
        </w:rPr>
        <w:t xml:space="preserve">. </w:t>
      </w:r>
      <w:r w:rsidR="005E4DA7">
        <w:rPr>
          <w:noProof/>
          <w:lang w:val="fr-FR"/>
        </w:rPr>
        <w:t xml:space="preserve">Il a examiné la réponse des autorités ecclésiastiques du diocèse en question aux </w:t>
      </w:r>
      <w:r w:rsidR="003D0F58" w:rsidRPr="00DD03D6">
        <w:rPr>
          <w:noProof/>
          <w:lang w:val="fr-FR"/>
        </w:rPr>
        <w:t>all</w:t>
      </w:r>
      <w:r w:rsidR="005E4DA7">
        <w:rPr>
          <w:noProof/>
          <w:lang w:val="fr-FR"/>
        </w:rPr>
        <w:t>é</w:t>
      </w:r>
      <w:r w:rsidR="003D0F58" w:rsidRPr="00DD03D6">
        <w:rPr>
          <w:noProof/>
          <w:lang w:val="fr-FR"/>
        </w:rPr>
        <w:t xml:space="preserve">gations </w:t>
      </w:r>
      <w:r w:rsidR="005E4DA7">
        <w:rPr>
          <w:noProof/>
          <w:lang w:val="fr-FR"/>
        </w:rPr>
        <w:t xml:space="preserve">de sévices sexuels à enfant infligés par des prêtres de ce diocèse au cours des 40 années considérées. </w:t>
      </w:r>
      <w:r w:rsidR="00A61D44">
        <w:rPr>
          <w:noProof/>
          <w:lang w:val="fr-FR"/>
        </w:rPr>
        <w:t>Le Gouvernement d’alors a accepté toutes les recomma</w:t>
      </w:r>
      <w:r w:rsidR="003D0F58" w:rsidRPr="00DD03D6">
        <w:rPr>
          <w:noProof/>
          <w:lang w:val="fr-FR"/>
        </w:rPr>
        <w:t xml:space="preserve">ndations </w:t>
      </w:r>
      <w:r w:rsidR="00A61D44">
        <w:rPr>
          <w:noProof/>
          <w:lang w:val="fr-FR"/>
        </w:rPr>
        <w:t xml:space="preserve">du rapport, dont un grand nombre se rapportaient à la fourniture de </w:t>
      </w:r>
      <w:r w:rsidR="003D0F58" w:rsidRPr="00DD03D6">
        <w:rPr>
          <w:noProof/>
          <w:lang w:val="fr-FR"/>
        </w:rPr>
        <w:t xml:space="preserve">services. </w:t>
      </w:r>
      <w:r w:rsidR="00A61D44">
        <w:rPr>
          <w:noProof/>
          <w:lang w:val="fr-FR"/>
        </w:rPr>
        <w:t xml:space="preserve">En conséquence, </w:t>
      </w:r>
      <w:r w:rsidR="00CD35A8">
        <w:rPr>
          <w:noProof/>
          <w:lang w:val="fr-FR"/>
        </w:rPr>
        <w:t xml:space="preserve">dans la perspective </w:t>
      </w:r>
      <w:r w:rsidR="00A61D44">
        <w:rPr>
          <w:noProof/>
          <w:lang w:val="fr-FR"/>
        </w:rPr>
        <w:t>de l’assistan</w:t>
      </w:r>
      <w:r w:rsidR="00CD35A8">
        <w:rPr>
          <w:noProof/>
          <w:lang w:val="fr-FR"/>
        </w:rPr>
        <w:t>ce et de la protection à fournir</w:t>
      </w:r>
      <w:r w:rsidR="00A61D44">
        <w:rPr>
          <w:noProof/>
          <w:lang w:val="fr-FR"/>
        </w:rPr>
        <w:t xml:space="preserve"> aux enfants, l’application de ces recommandations a été prise en charge par la Direction des services de santé, conformément aux responsabilités </w:t>
      </w:r>
      <w:r w:rsidR="00A730D9">
        <w:rPr>
          <w:noProof/>
          <w:lang w:val="fr-FR"/>
        </w:rPr>
        <w:t>légales qui sont les siennes dans ce domaine.</w:t>
      </w:r>
      <w:r w:rsidR="003D0F58" w:rsidRPr="00DD03D6">
        <w:rPr>
          <w:noProof/>
          <w:lang w:val="fr-FR"/>
        </w:rPr>
        <w:t xml:space="preserve"> </w:t>
      </w:r>
      <w:r w:rsidR="00A730D9">
        <w:rPr>
          <w:noProof/>
          <w:lang w:val="fr-FR"/>
        </w:rPr>
        <w:t>Ces recomma</w:t>
      </w:r>
      <w:r w:rsidR="003D0F58" w:rsidRPr="00DD03D6">
        <w:rPr>
          <w:noProof/>
          <w:lang w:val="fr-FR"/>
        </w:rPr>
        <w:t xml:space="preserve">ndations </w:t>
      </w:r>
      <w:r w:rsidR="00A730D9">
        <w:rPr>
          <w:noProof/>
          <w:lang w:val="fr-FR"/>
        </w:rPr>
        <w:t>portent notamment sur la création de cinq groupes de travail</w:t>
      </w:r>
      <w:r w:rsidR="003D0F58" w:rsidRPr="00DD03D6">
        <w:rPr>
          <w:noProof/>
          <w:lang w:val="fr-FR"/>
        </w:rPr>
        <w:t xml:space="preserve">; </w:t>
      </w:r>
      <w:r w:rsidR="00A730D9">
        <w:rPr>
          <w:noProof/>
          <w:lang w:val="fr-FR"/>
        </w:rPr>
        <w:t xml:space="preserve">un </w:t>
      </w:r>
      <w:r w:rsidR="003D0F58" w:rsidRPr="00DD03D6">
        <w:rPr>
          <w:noProof/>
          <w:lang w:val="fr-FR"/>
        </w:rPr>
        <w:t xml:space="preserve">audit </w:t>
      </w:r>
      <w:r w:rsidR="00A730D9">
        <w:rPr>
          <w:noProof/>
          <w:lang w:val="fr-FR"/>
        </w:rPr>
        <w:t>des politiques, procédures et pratiques de l’Église catholique en matière de protection de l’enfance</w:t>
      </w:r>
      <w:r w:rsidR="003D0F58" w:rsidRPr="00DD03D6">
        <w:rPr>
          <w:noProof/>
          <w:lang w:val="fr-FR"/>
        </w:rPr>
        <w:t xml:space="preserve">; </w:t>
      </w:r>
      <w:r w:rsidR="00CD35A8">
        <w:rPr>
          <w:noProof/>
          <w:lang w:val="fr-FR"/>
        </w:rPr>
        <w:t xml:space="preserve">un audit permanent distinct </w:t>
      </w:r>
      <w:r w:rsidR="00272CBB">
        <w:rPr>
          <w:noProof/>
          <w:lang w:val="fr-FR"/>
        </w:rPr>
        <w:t>concernant l</w:t>
      </w:r>
      <w:r w:rsidR="00CD35A8">
        <w:rPr>
          <w:noProof/>
          <w:lang w:val="fr-FR"/>
        </w:rPr>
        <w:t>es ordres religieux</w:t>
      </w:r>
      <w:r w:rsidR="003D0F58" w:rsidRPr="00DD03D6">
        <w:rPr>
          <w:noProof/>
          <w:lang w:val="fr-FR"/>
        </w:rPr>
        <w:t xml:space="preserve">; </w:t>
      </w:r>
      <w:r w:rsidR="00CD35A8">
        <w:rPr>
          <w:noProof/>
          <w:lang w:val="fr-FR"/>
        </w:rPr>
        <w:t xml:space="preserve">une campagne nationale de publicité </w:t>
      </w:r>
      <w:r w:rsidR="00272CBB">
        <w:rPr>
          <w:noProof/>
          <w:lang w:val="fr-FR"/>
        </w:rPr>
        <w:t xml:space="preserve">sur </w:t>
      </w:r>
      <w:r w:rsidR="00CD35A8">
        <w:rPr>
          <w:noProof/>
          <w:lang w:val="fr-FR"/>
        </w:rPr>
        <w:t>les sévices sexuels à enfant, axée sur la parentalité et l’</w:t>
      </w:r>
      <w:r w:rsidR="003D0F58" w:rsidRPr="00DD03D6">
        <w:rPr>
          <w:noProof/>
          <w:lang w:val="fr-FR"/>
        </w:rPr>
        <w:t xml:space="preserve">importance </w:t>
      </w:r>
      <w:r w:rsidR="00CD35A8">
        <w:rPr>
          <w:noProof/>
          <w:lang w:val="fr-FR"/>
        </w:rPr>
        <w:t>d’écouter les enfants</w:t>
      </w:r>
      <w:r w:rsidR="003D0F58" w:rsidRPr="00DD03D6">
        <w:rPr>
          <w:noProof/>
          <w:lang w:val="fr-FR"/>
        </w:rPr>
        <w:t xml:space="preserve">; </w:t>
      </w:r>
      <w:r w:rsidR="00CD35A8">
        <w:rPr>
          <w:noProof/>
          <w:lang w:val="fr-FR"/>
        </w:rPr>
        <w:t xml:space="preserve">les </w:t>
      </w:r>
      <w:r w:rsidR="003D0F58" w:rsidRPr="00DD03D6">
        <w:rPr>
          <w:noProof/>
          <w:lang w:val="fr-FR"/>
        </w:rPr>
        <w:t xml:space="preserve">contributions </w:t>
      </w:r>
      <w:r w:rsidR="00786A43">
        <w:rPr>
          <w:noProof/>
          <w:lang w:val="fr-FR"/>
        </w:rPr>
        <w:t>au contrôle</w:t>
      </w:r>
      <w:r w:rsidR="00CD35A8">
        <w:rPr>
          <w:noProof/>
          <w:lang w:val="fr-FR"/>
        </w:rPr>
        <w:t xml:space="preserve"> du respect </w:t>
      </w:r>
      <w:r w:rsidR="00786A43">
        <w:rPr>
          <w:noProof/>
          <w:lang w:val="fr-FR"/>
        </w:rPr>
        <w:t>des d</w:t>
      </w:r>
      <w:r w:rsidR="00786A43">
        <w:rPr>
          <w:iCs/>
          <w:noProof/>
          <w:lang w:val="fr-FR"/>
        </w:rPr>
        <w:t xml:space="preserve">irectives nationales intitulées </w:t>
      </w:r>
      <w:r w:rsidR="00786A43" w:rsidRPr="00B95BA9">
        <w:rPr>
          <w:lang w:val="fr-CH"/>
        </w:rPr>
        <w:t>«</w:t>
      </w:r>
      <w:r w:rsidR="00B95BA9">
        <w:rPr>
          <w:i/>
          <w:lang w:val="fr-CH"/>
        </w:rPr>
        <w:t> </w:t>
      </w:r>
      <w:r w:rsidR="00786A43" w:rsidRPr="007B3894">
        <w:rPr>
          <w:i/>
          <w:lang w:val="fr-CH"/>
        </w:rPr>
        <w:t>Les enfants d’abord</w:t>
      </w:r>
      <w:r w:rsidR="00786A43">
        <w:rPr>
          <w:i/>
          <w:lang w:val="fr-CH"/>
        </w:rPr>
        <w:t xml:space="preserve"> </w:t>
      </w:r>
      <w:r w:rsidR="00786A43" w:rsidRPr="007B3894">
        <w:rPr>
          <w:i/>
          <w:lang w:val="fr-CH"/>
        </w:rPr>
        <w:t>: directives nationales pour la protecti</w:t>
      </w:r>
      <w:r w:rsidR="00786A43">
        <w:rPr>
          <w:i/>
          <w:lang w:val="fr-CH"/>
        </w:rPr>
        <w:t>on et le bien-être des enfants</w:t>
      </w:r>
      <w:r w:rsidR="00B95BA9">
        <w:rPr>
          <w:i/>
          <w:lang w:val="fr-CH"/>
        </w:rPr>
        <w:t> </w:t>
      </w:r>
      <w:r w:rsidR="00786A43" w:rsidRPr="00B95BA9">
        <w:rPr>
          <w:lang w:val="fr-CH"/>
        </w:rPr>
        <w:t>»</w:t>
      </w:r>
      <w:r w:rsidR="003D0F58" w:rsidRPr="00DD03D6">
        <w:rPr>
          <w:noProof/>
          <w:lang w:val="fr-FR"/>
        </w:rPr>
        <w:t xml:space="preserve">; </w:t>
      </w:r>
      <w:r w:rsidR="00786A43">
        <w:rPr>
          <w:noProof/>
          <w:lang w:val="fr-FR"/>
        </w:rPr>
        <w:t>la fourniture de services supplémentaires de soutien psychologique aux enfants victimes de sévices sexuels</w:t>
      </w:r>
      <w:r w:rsidR="003D0F58" w:rsidRPr="00DD03D6">
        <w:rPr>
          <w:noProof/>
          <w:lang w:val="fr-FR"/>
        </w:rPr>
        <w:t xml:space="preserve">; </w:t>
      </w:r>
      <w:r w:rsidR="00786A43">
        <w:rPr>
          <w:noProof/>
          <w:lang w:val="fr-FR"/>
        </w:rPr>
        <w:t>l’engagement à appliquer et financer les recomma</w:t>
      </w:r>
      <w:r w:rsidR="003D0F58" w:rsidRPr="00DD03D6">
        <w:rPr>
          <w:noProof/>
          <w:lang w:val="fr-FR"/>
        </w:rPr>
        <w:t xml:space="preserve">ndations </w:t>
      </w:r>
      <w:r w:rsidR="00786A43">
        <w:rPr>
          <w:noProof/>
          <w:lang w:val="fr-FR"/>
        </w:rPr>
        <w:t xml:space="preserve">du </w:t>
      </w:r>
      <w:r w:rsidR="00786A43">
        <w:rPr>
          <w:i/>
          <w:noProof/>
          <w:lang w:val="fr-FR"/>
        </w:rPr>
        <w:t xml:space="preserve">Rapport sur les services de traitement destinés aux personnes qui </w:t>
      </w:r>
      <w:r w:rsidR="002408C0">
        <w:rPr>
          <w:i/>
          <w:noProof/>
          <w:lang w:val="fr-FR"/>
        </w:rPr>
        <w:t xml:space="preserve">ont manifesté </w:t>
      </w:r>
      <w:r w:rsidR="005A4F14">
        <w:rPr>
          <w:i/>
          <w:noProof/>
          <w:lang w:val="fr-FR"/>
        </w:rPr>
        <w:t xml:space="preserve">un comportement sexuellement préjudiciable </w:t>
      </w:r>
      <w:r w:rsidR="005A4F14">
        <w:rPr>
          <w:noProof/>
          <w:lang w:val="fr-FR"/>
        </w:rPr>
        <w:t>(</w:t>
      </w:r>
      <w:r w:rsidR="003D0F58" w:rsidRPr="00DD03D6">
        <w:rPr>
          <w:i/>
          <w:iCs/>
          <w:noProof/>
          <w:lang w:val="fr-FR"/>
        </w:rPr>
        <w:t>Report on Treatment Services for Persons who Have Exhibited Sexually Harmful Behaviour</w:t>
      </w:r>
      <w:r w:rsidR="005A4F14">
        <w:rPr>
          <w:iCs/>
          <w:noProof/>
          <w:lang w:val="fr-FR"/>
        </w:rPr>
        <w:t>)</w:t>
      </w:r>
      <w:r w:rsidR="003D0F58" w:rsidRPr="00DD03D6">
        <w:rPr>
          <w:noProof/>
          <w:lang w:val="fr-FR"/>
        </w:rPr>
        <w:t>;</w:t>
      </w:r>
      <w:r w:rsidR="003D0F58" w:rsidRPr="00DD03D6">
        <w:rPr>
          <w:i/>
          <w:iCs/>
          <w:noProof/>
          <w:lang w:val="fr-FR"/>
        </w:rPr>
        <w:t xml:space="preserve"> </w:t>
      </w:r>
      <w:r w:rsidR="005A4F14">
        <w:rPr>
          <w:iCs/>
          <w:noProof/>
          <w:lang w:val="fr-FR"/>
        </w:rPr>
        <w:t xml:space="preserve">et </w:t>
      </w:r>
      <w:r w:rsidR="00272CBB">
        <w:rPr>
          <w:iCs/>
          <w:noProof/>
          <w:lang w:val="fr-FR"/>
        </w:rPr>
        <w:t xml:space="preserve">la fourniture au personnel d’orientations supplémentaires sur ce qui précède et sur les interventions en cas de sévices infligés par des personnes non membres de la famille, dans le cadre du guide récemment publié intitulé </w:t>
      </w:r>
      <w:r w:rsidR="00272CBB">
        <w:rPr>
          <w:i/>
          <w:iCs/>
          <w:noProof/>
          <w:lang w:val="fr-FR"/>
        </w:rPr>
        <w:t xml:space="preserve">Guide des pratiques en matière de services d’assistance et de protection destinés aux enfants </w:t>
      </w:r>
      <w:r w:rsidR="00272CBB">
        <w:rPr>
          <w:iCs/>
          <w:noProof/>
          <w:lang w:val="fr-FR"/>
        </w:rPr>
        <w:t>(</w:t>
      </w:r>
      <w:r w:rsidR="003D0F58" w:rsidRPr="00DD03D6">
        <w:rPr>
          <w:i/>
          <w:iCs/>
          <w:noProof/>
          <w:lang w:val="fr-FR"/>
        </w:rPr>
        <w:t>Child Protection and Welfare Practice Handbook</w:t>
      </w:r>
      <w:r w:rsidR="00272CBB">
        <w:rPr>
          <w:iCs/>
          <w:noProof/>
          <w:lang w:val="fr-FR"/>
        </w:rPr>
        <w:t>)</w:t>
      </w:r>
      <w:r w:rsidR="003D0F58" w:rsidRPr="00DD03D6">
        <w:rPr>
          <w:noProof/>
          <w:lang w:val="fr-FR"/>
        </w:rPr>
        <w:t xml:space="preserve"> (</w:t>
      </w:r>
      <w:r w:rsidR="00272CBB">
        <w:rPr>
          <w:noProof/>
          <w:lang w:val="fr-FR"/>
        </w:rPr>
        <w:t>Direction des services de santé</w:t>
      </w:r>
      <w:r w:rsidR="003D0F58" w:rsidRPr="00DD03D6">
        <w:rPr>
          <w:noProof/>
          <w:lang w:val="fr-FR"/>
        </w:rPr>
        <w:t>, 2011b).</w:t>
      </w:r>
    </w:p>
    <w:p w:rsidR="001B2F58" w:rsidRPr="00DD03D6" w:rsidRDefault="00272CBB" w:rsidP="001B2F58">
      <w:pPr>
        <w:pStyle w:val="SingleTxtG"/>
        <w:numPr>
          <w:ilvl w:val="0"/>
          <w:numId w:val="3"/>
        </w:numPr>
        <w:ind w:left="1134" w:firstLine="0"/>
        <w:rPr>
          <w:noProof/>
          <w:lang w:val="fr-FR"/>
        </w:rPr>
      </w:pPr>
      <w:r>
        <w:rPr>
          <w:noProof/>
          <w:lang w:val="fr-FR"/>
        </w:rPr>
        <w:t xml:space="preserve">Le rapport de la </w:t>
      </w:r>
      <w:r>
        <w:rPr>
          <w:i/>
          <w:iCs/>
          <w:noProof/>
          <w:lang w:val="fr-FR"/>
        </w:rPr>
        <w:t>Commission d’enquête – Archidiocèse de Dublin</w:t>
      </w:r>
      <w:r w:rsidR="00E92D3C">
        <w:rPr>
          <w:i/>
          <w:iCs/>
          <w:noProof/>
          <w:lang w:val="fr-FR"/>
        </w:rPr>
        <w:t xml:space="preserve"> </w:t>
      </w:r>
      <w:r>
        <w:rPr>
          <w:iCs/>
          <w:noProof/>
          <w:lang w:val="fr-FR"/>
        </w:rPr>
        <w:t>(</w:t>
      </w:r>
      <w:r w:rsidRPr="00DD03D6">
        <w:rPr>
          <w:i/>
          <w:iCs/>
          <w:noProof/>
          <w:lang w:val="fr-FR"/>
        </w:rPr>
        <w:t>Commission of Inv</w:t>
      </w:r>
      <w:r>
        <w:rPr>
          <w:i/>
          <w:iCs/>
          <w:noProof/>
          <w:lang w:val="fr-FR"/>
        </w:rPr>
        <w:t>estigation – Dublin Archdiocese</w:t>
      </w:r>
      <w:r>
        <w:rPr>
          <w:iCs/>
          <w:noProof/>
          <w:lang w:val="fr-FR"/>
        </w:rPr>
        <w:t xml:space="preserve">) </w:t>
      </w:r>
      <w:r w:rsidR="001B2F58" w:rsidRPr="00DD03D6">
        <w:rPr>
          <w:noProof/>
          <w:lang w:val="fr-FR"/>
        </w:rPr>
        <w:t>(</w:t>
      </w:r>
      <w:r>
        <w:rPr>
          <w:noProof/>
          <w:lang w:val="fr-FR"/>
        </w:rPr>
        <w:t xml:space="preserve">ou Commission </w:t>
      </w:r>
      <w:r w:rsidR="001B2F58" w:rsidRPr="00DD03D6">
        <w:rPr>
          <w:noProof/>
          <w:lang w:val="fr-FR"/>
        </w:rPr>
        <w:t xml:space="preserve">Murphy) </w:t>
      </w:r>
      <w:r>
        <w:rPr>
          <w:noProof/>
          <w:lang w:val="fr-FR"/>
        </w:rPr>
        <w:t>a été publié, en partie expurgé, en novembre</w:t>
      </w:r>
      <w:r w:rsidR="001B2F58" w:rsidRPr="00DD03D6">
        <w:rPr>
          <w:noProof/>
          <w:lang w:val="fr-FR"/>
        </w:rPr>
        <w:t xml:space="preserve"> 2009. </w:t>
      </w:r>
      <w:r w:rsidR="00E46087">
        <w:rPr>
          <w:noProof/>
          <w:lang w:val="fr-FR"/>
        </w:rPr>
        <w:t xml:space="preserve">Cette </w:t>
      </w:r>
      <w:r w:rsidR="001B2F58" w:rsidRPr="00DD03D6">
        <w:rPr>
          <w:noProof/>
          <w:lang w:val="fr-FR"/>
        </w:rPr>
        <w:t xml:space="preserve">Commission </w:t>
      </w:r>
      <w:r w:rsidR="00E46087">
        <w:rPr>
          <w:noProof/>
          <w:lang w:val="fr-FR"/>
        </w:rPr>
        <w:t xml:space="preserve">avait pour objectif de rendre compte de la manière dont les autorités ecclésiastiques et </w:t>
      </w:r>
      <w:r w:rsidR="00CC6538">
        <w:rPr>
          <w:noProof/>
          <w:lang w:val="fr-FR"/>
        </w:rPr>
        <w:t>civile</w:t>
      </w:r>
      <w:r w:rsidR="00E46087">
        <w:rPr>
          <w:noProof/>
          <w:lang w:val="fr-FR"/>
        </w:rPr>
        <w:t>s avaient traité un échantillon représentatif d’allé</w:t>
      </w:r>
      <w:r w:rsidR="001B2F58" w:rsidRPr="00DD03D6">
        <w:rPr>
          <w:noProof/>
          <w:lang w:val="fr-FR"/>
        </w:rPr>
        <w:t xml:space="preserve">gations </w:t>
      </w:r>
      <w:r w:rsidR="00E46087">
        <w:rPr>
          <w:noProof/>
          <w:lang w:val="fr-FR"/>
        </w:rPr>
        <w:t>de sévices sexuels à enfant portées contre des ecclésiastiques sous tutelle de l’archidiocèse de Dublin au cours de la période allant de 1975 à 2004</w:t>
      </w:r>
      <w:r w:rsidR="00E92D3C">
        <w:rPr>
          <w:noProof/>
          <w:lang w:val="fr-FR"/>
        </w:rPr>
        <w:t xml:space="preserve"> </w:t>
      </w:r>
      <w:r w:rsidR="00E46087">
        <w:rPr>
          <w:noProof/>
          <w:lang w:val="fr-FR"/>
        </w:rPr>
        <w:t>et de soupçons dont ils avaient été l’objet</w:t>
      </w:r>
      <w:r w:rsidR="001B2F58" w:rsidRPr="00DD03D6">
        <w:rPr>
          <w:noProof/>
          <w:lang w:val="fr-FR"/>
        </w:rPr>
        <w:t xml:space="preserve">. </w:t>
      </w:r>
      <w:r w:rsidR="00F879BB">
        <w:rPr>
          <w:noProof/>
          <w:lang w:val="fr-FR"/>
        </w:rPr>
        <w:t>Le rapport a montré que ces sévices avaient été tolérés et occultés par l’</w:t>
      </w:r>
      <w:r w:rsidR="001B2F58" w:rsidRPr="00DD03D6">
        <w:rPr>
          <w:noProof/>
          <w:lang w:val="fr-FR"/>
        </w:rPr>
        <w:t>Arch</w:t>
      </w:r>
      <w:r w:rsidR="00F879BB">
        <w:rPr>
          <w:noProof/>
          <w:lang w:val="fr-FR"/>
        </w:rPr>
        <w:t>i</w:t>
      </w:r>
      <w:r w:rsidR="001B2F58" w:rsidRPr="00DD03D6">
        <w:rPr>
          <w:noProof/>
          <w:lang w:val="fr-FR"/>
        </w:rPr>
        <w:t>dioc</w:t>
      </w:r>
      <w:r w:rsidR="00F879BB">
        <w:rPr>
          <w:noProof/>
          <w:lang w:val="fr-FR"/>
        </w:rPr>
        <w:t>è</w:t>
      </w:r>
      <w:r w:rsidR="001B2F58" w:rsidRPr="00DD03D6">
        <w:rPr>
          <w:noProof/>
          <w:lang w:val="fr-FR"/>
        </w:rPr>
        <w:t xml:space="preserve">se </w:t>
      </w:r>
      <w:r w:rsidR="00F879BB">
        <w:rPr>
          <w:noProof/>
          <w:lang w:val="fr-FR"/>
        </w:rPr>
        <w:t>de</w:t>
      </w:r>
      <w:r w:rsidR="001B2F58" w:rsidRPr="00DD03D6">
        <w:rPr>
          <w:noProof/>
          <w:lang w:val="fr-FR"/>
        </w:rPr>
        <w:t xml:space="preserve"> Dublin </w:t>
      </w:r>
      <w:r w:rsidR="00F879BB">
        <w:rPr>
          <w:noProof/>
          <w:lang w:val="fr-FR"/>
        </w:rPr>
        <w:t>et d’autres autorités ecclésiastiques</w:t>
      </w:r>
      <w:r w:rsidR="001B2F58" w:rsidRPr="00DD03D6">
        <w:rPr>
          <w:noProof/>
          <w:lang w:val="fr-FR"/>
        </w:rPr>
        <w:t xml:space="preserve">. </w:t>
      </w:r>
      <w:r w:rsidR="00F879BB">
        <w:rPr>
          <w:noProof/>
          <w:lang w:val="fr-FR"/>
        </w:rPr>
        <w:t xml:space="preserve">Ces autorités avaient </w:t>
      </w:r>
      <w:r w:rsidR="00973448">
        <w:rPr>
          <w:noProof/>
          <w:lang w:val="fr-FR"/>
        </w:rPr>
        <w:t>accord</w:t>
      </w:r>
      <w:r w:rsidR="00F879BB">
        <w:rPr>
          <w:noProof/>
          <w:lang w:val="fr-FR"/>
        </w:rPr>
        <w:t xml:space="preserve">é </w:t>
      </w:r>
      <w:r w:rsidR="00973448">
        <w:rPr>
          <w:noProof/>
          <w:lang w:val="fr-FR"/>
        </w:rPr>
        <w:t xml:space="preserve">plus d’importance à </w:t>
      </w:r>
      <w:r w:rsidR="00F879BB">
        <w:rPr>
          <w:noProof/>
          <w:lang w:val="fr-FR"/>
        </w:rPr>
        <w:t xml:space="preserve">la nécessité d’éviter le </w:t>
      </w:r>
      <w:r w:rsidR="001B2F58" w:rsidRPr="00DD03D6">
        <w:rPr>
          <w:noProof/>
          <w:lang w:val="fr-FR"/>
        </w:rPr>
        <w:t>scandal</w:t>
      </w:r>
      <w:r w:rsidR="00F879BB">
        <w:rPr>
          <w:noProof/>
          <w:lang w:val="fr-FR"/>
        </w:rPr>
        <w:t>e</w:t>
      </w:r>
      <w:r w:rsidR="001B2F58" w:rsidRPr="00DD03D6">
        <w:rPr>
          <w:noProof/>
          <w:lang w:val="fr-FR"/>
        </w:rPr>
        <w:t xml:space="preserve"> </w:t>
      </w:r>
      <w:r w:rsidR="00F879BB">
        <w:rPr>
          <w:noProof/>
          <w:lang w:val="fr-FR"/>
        </w:rPr>
        <w:t>à l’Église et de préserver la réputation, le statut et les biens de l’</w:t>
      </w:r>
      <w:r w:rsidR="001B2F58" w:rsidRPr="00DD03D6">
        <w:rPr>
          <w:noProof/>
          <w:lang w:val="fr-FR"/>
        </w:rPr>
        <w:t>institution</w:t>
      </w:r>
      <w:r w:rsidR="00973448">
        <w:rPr>
          <w:noProof/>
          <w:lang w:val="fr-FR"/>
        </w:rPr>
        <w:t xml:space="preserve"> qu’au bien-être des enfants concernés</w:t>
      </w:r>
      <w:r w:rsidR="001B2F58" w:rsidRPr="00DD03D6">
        <w:rPr>
          <w:noProof/>
          <w:lang w:val="fr-FR"/>
        </w:rPr>
        <w:t xml:space="preserve">. </w:t>
      </w:r>
      <w:r w:rsidR="00973448">
        <w:rPr>
          <w:noProof/>
          <w:lang w:val="fr-FR"/>
        </w:rPr>
        <w:t xml:space="preserve">Le rapport a soulevé un certain nombre de questions d’ordre juridique et opérationnel pour l’État, notamment le fait que la </w:t>
      </w:r>
      <w:r w:rsidR="001B2F58" w:rsidRPr="00DD03D6">
        <w:rPr>
          <w:noProof/>
          <w:lang w:val="fr-FR"/>
        </w:rPr>
        <w:t xml:space="preserve">Garda </w:t>
      </w:r>
      <w:r w:rsidR="00973448">
        <w:rPr>
          <w:noProof/>
          <w:lang w:val="fr-FR"/>
        </w:rPr>
        <w:t>n’</w:t>
      </w:r>
      <w:r w:rsidR="00CC6538">
        <w:rPr>
          <w:noProof/>
          <w:lang w:val="fr-FR"/>
        </w:rPr>
        <w:t>avai</w:t>
      </w:r>
      <w:r w:rsidR="00973448">
        <w:rPr>
          <w:noProof/>
          <w:lang w:val="fr-FR"/>
        </w:rPr>
        <w:t>t pas enquêté sur certains auteurs de sévices</w:t>
      </w:r>
      <w:r w:rsidR="001B2F58" w:rsidRPr="00DD03D6">
        <w:rPr>
          <w:noProof/>
          <w:lang w:val="fr-FR"/>
        </w:rPr>
        <w:t xml:space="preserve">, </w:t>
      </w:r>
      <w:r w:rsidR="00F024BA">
        <w:rPr>
          <w:noProof/>
          <w:lang w:val="fr-FR"/>
        </w:rPr>
        <w:t xml:space="preserve">l’autorité légale de la Direction des services de santé pour agir en cas de sévices infligés par des tiers ou par une personne non membre de la famille, et les modalités d’enregistrement des </w:t>
      </w:r>
      <w:r w:rsidR="001B2F58" w:rsidRPr="00DD03D6">
        <w:rPr>
          <w:noProof/>
          <w:lang w:val="fr-FR"/>
        </w:rPr>
        <w:t>information</w:t>
      </w:r>
      <w:r w:rsidR="00F024BA">
        <w:rPr>
          <w:noProof/>
          <w:lang w:val="fr-FR"/>
        </w:rPr>
        <w:t>s</w:t>
      </w:r>
      <w:r w:rsidR="001B2F58" w:rsidRPr="00DD03D6">
        <w:rPr>
          <w:noProof/>
          <w:lang w:val="fr-FR"/>
        </w:rPr>
        <w:t xml:space="preserve"> </w:t>
      </w:r>
      <w:r w:rsidR="00F024BA">
        <w:rPr>
          <w:noProof/>
          <w:lang w:val="fr-FR"/>
        </w:rPr>
        <w:t xml:space="preserve">sur les auteurs de sévices par les autorités </w:t>
      </w:r>
      <w:r w:rsidR="00CC6538">
        <w:rPr>
          <w:noProof/>
          <w:lang w:val="fr-FR"/>
        </w:rPr>
        <w:t>administratives</w:t>
      </w:r>
      <w:r w:rsidR="001B2F58" w:rsidRPr="00DD03D6">
        <w:rPr>
          <w:noProof/>
          <w:lang w:val="fr-FR"/>
        </w:rPr>
        <w:t>.</w:t>
      </w:r>
    </w:p>
    <w:p w:rsidR="001B2F58" w:rsidRPr="00DD03D6" w:rsidRDefault="0052401E" w:rsidP="005D7533">
      <w:pPr>
        <w:pStyle w:val="SingleTxtG"/>
        <w:numPr>
          <w:ilvl w:val="0"/>
          <w:numId w:val="3"/>
        </w:numPr>
        <w:ind w:left="1134" w:firstLine="0"/>
        <w:rPr>
          <w:noProof/>
          <w:lang w:val="fr-FR"/>
        </w:rPr>
      </w:pPr>
      <w:r>
        <w:rPr>
          <w:noProof/>
          <w:lang w:val="fr-FR"/>
        </w:rPr>
        <w:t xml:space="preserve">Le </w:t>
      </w:r>
      <w:r w:rsidRPr="00DD03D6">
        <w:rPr>
          <w:i/>
          <w:noProof/>
          <w:lang w:val="fr-FR"/>
        </w:rPr>
        <w:t>R</w:t>
      </w:r>
      <w:r>
        <w:rPr>
          <w:i/>
          <w:noProof/>
          <w:lang w:val="fr-FR"/>
        </w:rPr>
        <w:t xml:space="preserve">apport de la </w:t>
      </w:r>
      <w:r w:rsidRPr="00DD03D6">
        <w:rPr>
          <w:i/>
          <w:noProof/>
          <w:lang w:val="fr-FR"/>
        </w:rPr>
        <w:t xml:space="preserve">Commission </w:t>
      </w:r>
      <w:r>
        <w:rPr>
          <w:i/>
          <w:noProof/>
          <w:lang w:val="fr-FR"/>
        </w:rPr>
        <w:t xml:space="preserve">d’enquête sur les sévices à enfant </w:t>
      </w:r>
      <w:r>
        <w:rPr>
          <w:noProof/>
          <w:lang w:val="fr-FR"/>
        </w:rPr>
        <w:t>(</w:t>
      </w:r>
      <w:r w:rsidRPr="00DD03D6">
        <w:rPr>
          <w:i/>
          <w:noProof/>
          <w:lang w:val="fr-FR"/>
        </w:rPr>
        <w:t>Report of the Commission to Inquire into Child Abuse</w:t>
      </w:r>
      <w:r>
        <w:rPr>
          <w:noProof/>
          <w:lang w:val="fr-FR"/>
        </w:rPr>
        <w:t>)</w:t>
      </w:r>
      <w:r w:rsidRPr="00DD03D6">
        <w:rPr>
          <w:i/>
          <w:noProof/>
          <w:lang w:val="fr-FR"/>
        </w:rPr>
        <w:t xml:space="preserve"> </w:t>
      </w:r>
      <w:r w:rsidRPr="00DD03D6">
        <w:rPr>
          <w:noProof/>
          <w:lang w:val="fr-FR"/>
        </w:rPr>
        <w:t>(</w:t>
      </w:r>
      <w:r>
        <w:rPr>
          <w:noProof/>
          <w:lang w:val="fr-FR"/>
        </w:rPr>
        <w:t>ou Rapport Ryan),</w:t>
      </w:r>
      <w:r w:rsidR="001B2F58" w:rsidRPr="00DD03D6">
        <w:rPr>
          <w:noProof/>
          <w:lang w:val="fr-FR"/>
        </w:rPr>
        <w:t xml:space="preserve"> publi</w:t>
      </w:r>
      <w:r>
        <w:rPr>
          <w:noProof/>
          <w:lang w:val="fr-FR"/>
        </w:rPr>
        <w:t xml:space="preserve">é en mai </w:t>
      </w:r>
      <w:r w:rsidR="001B2F58" w:rsidRPr="00DD03D6">
        <w:rPr>
          <w:noProof/>
          <w:lang w:val="fr-FR"/>
        </w:rPr>
        <w:t xml:space="preserve">2009, </w:t>
      </w:r>
      <w:r w:rsidR="00C405D1">
        <w:rPr>
          <w:noProof/>
          <w:lang w:val="fr-FR"/>
        </w:rPr>
        <w:t xml:space="preserve">a rendu </w:t>
      </w:r>
      <w:r w:rsidR="00C405D1">
        <w:rPr>
          <w:noProof/>
          <w:lang w:val="fr-FR"/>
        </w:rPr>
        <w:lastRenderedPageBreak/>
        <w:t>compte du traitement des enfants dans différentes institutions</w:t>
      </w:r>
      <w:r w:rsidR="001B2F58" w:rsidRPr="00DD03D6">
        <w:rPr>
          <w:noProof/>
          <w:lang w:val="fr-FR"/>
        </w:rPr>
        <w:t xml:space="preserve">, </w:t>
      </w:r>
      <w:r w:rsidR="009261C7">
        <w:rPr>
          <w:noProof/>
          <w:lang w:val="fr-FR"/>
        </w:rPr>
        <w:t>notamment les écoles techniques</w:t>
      </w:r>
      <w:r w:rsidR="001B2F58" w:rsidRPr="00DD03D6">
        <w:rPr>
          <w:noProof/>
          <w:lang w:val="fr-FR"/>
        </w:rPr>
        <w:t xml:space="preserve">, </w:t>
      </w:r>
      <w:r w:rsidR="009261C7">
        <w:rPr>
          <w:noProof/>
          <w:lang w:val="fr-FR"/>
        </w:rPr>
        <w:t xml:space="preserve">gérées par des organisations religieuses et l’État entre </w:t>
      </w:r>
      <w:r w:rsidR="001B2F58" w:rsidRPr="00DD03D6">
        <w:rPr>
          <w:noProof/>
          <w:lang w:val="fr-FR"/>
        </w:rPr>
        <w:t xml:space="preserve">1932 </w:t>
      </w:r>
      <w:r w:rsidR="009261C7">
        <w:rPr>
          <w:noProof/>
          <w:lang w:val="fr-FR"/>
        </w:rPr>
        <w:t>et</w:t>
      </w:r>
      <w:r w:rsidR="001B2F58" w:rsidRPr="00DD03D6">
        <w:rPr>
          <w:noProof/>
          <w:lang w:val="fr-FR"/>
        </w:rPr>
        <w:t xml:space="preserve"> 2000. </w:t>
      </w:r>
      <w:r w:rsidR="009261C7">
        <w:rPr>
          <w:noProof/>
          <w:lang w:val="fr-FR"/>
        </w:rPr>
        <w:t>Fruit d’une enquête qui s’est étalée sur une décennie, ce rapport a établi que des sévices de tous types avaient été systématiquement infligés aux enfants dans ces institutions</w:t>
      </w:r>
      <w:r w:rsidR="001B2F58" w:rsidRPr="00DD03D6">
        <w:rPr>
          <w:noProof/>
          <w:lang w:val="fr-FR"/>
        </w:rPr>
        <w:t>. I</w:t>
      </w:r>
      <w:r w:rsidR="009261C7">
        <w:rPr>
          <w:noProof/>
          <w:lang w:val="fr-FR"/>
        </w:rPr>
        <w:t>l a souligné la nécessité de renforcer l’</w:t>
      </w:r>
      <w:r w:rsidR="001B2F58" w:rsidRPr="00DD03D6">
        <w:rPr>
          <w:noProof/>
          <w:lang w:val="fr-FR"/>
        </w:rPr>
        <w:t xml:space="preserve">organisation </w:t>
      </w:r>
      <w:r w:rsidR="009261C7">
        <w:rPr>
          <w:noProof/>
          <w:lang w:val="fr-FR"/>
        </w:rPr>
        <w:t>et la prestation de services d’assistance et de protection aux enfants à l’échelon national</w:t>
      </w:r>
      <w:r w:rsidR="001B2F58" w:rsidRPr="00DD03D6">
        <w:rPr>
          <w:noProof/>
          <w:lang w:val="fr-FR"/>
        </w:rPr>
        <w:t xml:space="preserve">. </w:t>
      </w:r>
      <w:r w:rsidR="009261C7">
        <w:rPr>
          <w:noProof/>
          <w:lang w:val="fr-FR"/>
        </w:rPr>
        <w:t xml:space="preserve">À la suite de la publication du rapport Ryan, le </w:t>
      </w:r>
      <w:r w:rsidR="00AC279A">
        <w:rPr>
          <w:noProof/>
          <w:lang w:val="fr-FR"/>
        </w:rPr>
        <w:t>Cabinet de la M</w:t>
      </w:r>
      <w:r w:rsidR="00D8239B">
        <w:rPr>
          <w:noProof/>
          <w:lang w:val="fr-FR"/>
        </w:rPr>
        <w:t>inistre de l’enfance et de la jeunesse</w:t>
      </w:r>
      <w:r w:rsidR="009261C7">
        <w:rPr>
          <w:noProof/>
          <w:lang w:val="fr-FR"/>
        </w:rPr>
        <w:t xml:space="preserve"> a établi, et publié en juillet 2009, un plan de mise en œuvre détaillé</w:t>
      </w:r>
      <w:r w:rsidR="001B2F58" w:rsidRPr="00DD03D6">
        <w:rPr>
          <w:noProof/>
          <w:lang w:val="fr-FR"/>
        </w:rPr>
        <w:t xml:space="preserve">. </w:t>
      </w:r>
      <w:r w:rsidR="009261C7">
        <w:rPr>
          <w:noProof/>
          <w:lang w:val="fr-FR"/>
        </w:rPr>
        <w:t>Ce p</w:t>
      </w:r>
      <w:r w:rsidR="001B2F58" w:rsidRPr="00DD03D6">
        <w:rPr>
          <w:noProof/>
          <w:lang w:val="fr-FR"/>
        </w:rPr>
        <w:t xml:space="preserve">lan </w:t>
      </w:r>
      <w:r w:rsidR="009261C7">
        <w:rPr>
          <w:noProof/>
          <w:lang w:val="fr-FR"/>
        </w:rPr>
        <w:t xml:space="preserve">énonce une </w:t>
      </w:r>
      <w:r w:rsidR="001B2F58" w:rsidRPr="00DD03D6">
        <w:rPr>
          <w:noProof/>
          <w:lang w:val="fr-FR"/>
        </w:rPr>
        <w:t>s</w:t>
      </w:r>
      <w:r w:rsidR="009261C7">
        <w:rPr>
          <w:noProof/>
          <w:lang w:val="fr-FR"/>
        </w:rPr>
        <w:t>é</w:t>
      </w:r>
      <w:r w:rsidR="001B2F58" w:rsidRPr="00DD03D6">
        <w:rPr>
          <w:noProof/>
          <w:lang w:val="fr-FR"/>
        </w:rPr>
        <w:t>rie</w:t>
      </w:r>
      <w:r w:rsidR="009261C7">
        <w:rPr>
          <w:noProof/>
          <w:lang w:val="fr-FR"/>
        </w:rPr>
        <w:t xml:space="preserve"> de </w:t>
      </w:r>
      <w:r w:rsidR="001B2F58" w:rsidRPr="00DD03D6">
        <w:rPr>
          <w:noProof/>
          <w:lang w:val="fr-FR"/>
        </w:rPr>
        <w:t xml:space="preserve">99 </w:t>
      </w:r>
      <w:r w:rsidR="009261C7">
        <w:rPr>
          <w:noProof/>
          <w:lang w:val="fr-FR"/>
        </w:rPr>
        <w:t xml:space="preserve">mesures visant à remédier aux conséquences des sévices passés, à réformer et renforcer la prestation des services et à faire en sorte que les enfants et les jeunes puissent </w:t>
      </w:r>
      <w:r w:rsidR="00497F0D">
        <w:rPr>
          <w:noProof/>
          <w:lang w:val="fr-FR"/>
        </w:rPr>
        <w:t>faire davantage entendre leur voix</w:t>
      </w:r>
      <w:r w:rsidR="001B2F58" w:rsidRPr="00DD03D6">
        <w:rPr>
          <w:noProof/>
          <w:lang w:val="fr-FR"/>
        </w:rPr>
        <w:t xml:space="preserve">. </w:t>
      </w:r>
      <w:r w:rsidR="00497F0D">
        <w:rPr>
          <w:noProof/>
          <w:lang w:val="fr-FR"/>
        </w:rPr>
        <w:t xml:space="preserve">Sur les </w:t>
      </w:r>
      <w:r w:rsidR="001B2F58" w:rsidRPr="00DD03D6">
        <w:rPr>
          <w:noProof/>
          <w:lang w:val="fr-FR"/>
        </w:rPr>
        <w:t xml:space="preserve">99 </w:t>
      </w:r>
      <w:r w:rsidR="00497F0D">
        <w:rPr>
          <w:noProof/>
          <w:lang w:val="fr-FR"/>
        </w:rPr>
        <w:t xml:space="preserve">mesures en question, </w:t>
      </w:r>
      <w:r w:rsidR="005D7533" w:rsidRPr="00DD03D6">
        <w:rPr>
          <w:noProof/>
          <w:lang w:val="fr-FR"/>
        </w:rPr>
        <w:t xml:space="preserve">37 </w:t>
      </w:r>
      <w:r w:rsidR="00497F0D">
        <w:rPr>
          <w:noProof/>
          <w:lang w:val="fr-FR"/>
        </w:rPr>
        <w:t>ont été mentionnées comme étant</w:t>
      </w:r>
      <w:r w:rsidR="005D7533" w:rsidRPr="00DD03D6">
        <w:rPr>
          <w:noProof/>
          <w:lang w:val="fr-FR"/>
        </w:rPr>
        <w:t xml:space="preserve"> </w:t>
      </w:r>
      <w:r w:rsidR="003F36DD">
        <w:rPr>
          <w:noProof/>
          <w:lang w:val="fr-FR"/>
        </w:rPr>
        <w:t>« </w:t>
      </w:r>
      <w:r w:rsidR="00497F0D">
        <w:rPr>
          <w:noProof/>
          <w:lang w:val="fr-FR"/>
        </w:rPr>
        <w:t>permanentes</w:t>
      </w:r>
      <w:r w:rsidR="003F36DD">
        <w:rPr>
          <w:noProof/>
          <w:lang w:val="fr-FR"/>
        </w:rPr>
        <w:t> »</w:t>
      </w:r>
      <w:r w:rsidR="001B2F58" w:rsidRPr="00DD03D6">
        <w:rPr>
          <w:noProof/>
          <w:lang w:val="fr-FR"/>
        </w:rPr>
        <w:t xml:space="preserve">, </w:t>
      </w:r>
      <w:r w:rsidR="00497F0D">
        <w:rPr>
          <w:noProof/>
          <w:lang w:val="fr-FR"/>
        </w:rPr>
        <w:t>tandis que les autres étaient assorties d’un délai d’exécution. La mise en œuvre</w:t>
      </w:r>
      <w:r w:rsidR="001B2F58" w:rsidRPr="00DD03D6">
        <w:rPr>
          <w:noProof/>
          <w:lang w:val="fr-FR"/>
        </w:rPr>
        <w:t xml:space="preserve"> </w:t>
      </w:r>
      <w:r w:rsidR="00497F0D">
        <w:rPr>
          <w:noProof/>
          <w:lang w:val="fr-FR"/>
        </w:rPr>
        <w:t>du plan est supervisée par un groupe de haut niveau présidé par l</w:t>
      </w:r>
      <w:r w:rsidR="00AC279A">
        <w:rPr>
          <w:noProof/>
          <w:lang w:val="fr-FR"/>
        </w:rPr>
        <w:t>a</w:t>
      </w:r>
      <w:r w:rsidR="00497F0D">
        <w:rPr>
          <w:noProof/>
          <w:lang w:val="fr-FR"/>
        </w:rPr>
        <w:t xml:space="preserve"> Ministre de l’enfance et de la jeunesse</w:t>
      </w:r>
      <w:r w:rsidR="001B2F58" w:rsidRPr="00DD03D6">
        <w:rPr>
          <w:noProof/>
          <w:lang w:val="fr-FR"/>
        </w:rPr>
        <w:t xml:space="preserve">. </w:t>
      </w:r>
      <w:r w:rsidR="00497F0D">
        <w:rPr>
          <w:noProof/>
          <w:lang w:val="fr-FR"/>
        </w:rPr>
        <w:t xml:space="preserve">Ce </w:t>
      </w:r>
      <w:r w:rsidR="001B2F58" w:rsidRPr="00DD03D6">
        <w:rPr>
          <w:noProof/>
          <w:lang w:val="fr-FR"/>
        </w:rPr>
        <w:t>group</w:t>
      </w:r>
      <w:r w:rsidR="00497F0D">
        <w:rPr>
          <w:noProof/>
          <w:lang w:val="fr-FR"/>
        </w:rPr>
        <w:t>e</w:t>
      </w:r>
      <w:r w:rsidR="001B2F58" w:rsidRPr="00DD03D6">
        <w:rPr>
          <w:noProof/>
          <w:lang w:val="fr-FR"/>
        </w:rPr>
        <w:t xml:space="preserve"> </w:t>
      </w:r>
      <w:r w:rsidR="00497F0D">
        <w:rPr>
          <w:noProof/>
          <w:lang w:val="fr-FR"/>
        </w:rPr>
        <w:t xml:space="preserve">est composé de </w:t>
      </w:r>
      <w:r w:rsidR="001B2F58" w:rsidRPr="00DD03D6">
        <w:rPr>
          <w:noProof/>
          <w:lang w:val="fr-FR"/>
        </w:rPr>
        <w:t>repr</w:t>
      </w:r>
      <w:r w:rsidR="00497F0D">
        <w:rPr>
          <w:noProof/>
          <w:lang w:val="fr-FR"/>
        </w:rPr>
        <w:t>é</w:t>
      </w:r>
      <w:r w:rsidR="001B2F58" w:rsidRPr="00DD03D6">
        <w:rPr>
          <w:noProof/>
          <w:lang w:val="fr-FR"/>
        </w:rPr>
        <w:t>senta</w:t>
      </w:r>
      <w:r w:rsidR="00497F0D">
        <w:rPr>
          <w:noProof/>
          <w:lang w:val="fr-FR"/>
        </w:rPr>
        <w:t>nts des entités ci-après : Ministère de l’enfance et de la jeunesse, Direction des services de santé</w:t>
      </w:r>
      <w:r w:rsidR="001B2F58" w:rsidRPr="00DD03D6">
        <w:rPr>
          <w:noProof/>
          <w:lang w:val="fr-FR"/>
        </w:rPr>
        <w:t xml:space="preserve">, </w:t>
      </w:r>
      <w:r w:rsidR="00497F0D">
        <w:rPr>
          <w:noProof/>
          <w:lang w:val="fr-FR"/>
        </w:rPr>
        <w:t>Bureau de l’information sanitaire et de la qualité des services sanitaires</w:t>
      </w:r>
      <w:r w:rsidR="001B2F58" w:rsidRPr="00DD03D6">
        <w:rPr>
          <w:noProof/>
          <w:lang w:val="fr-FR"/>
        </w:rPr>
        <w:t xml:space="preserve">, </w:t>
      </w:r>
      <w:r w:rsidR="00497F0D">
        <w:rPr>
          <w:noProof/>
          <w:lang w:val="fr-FR"/>
        </w:rPr>
        <w:t>Service de la justice pour mineurs</w:t>
      </w:r>
      <w:r w:rsidR="001B2F58" w:rsidRPr="00DD03D6">
        <w:rPr>
          <w:noProof/>
          <w:lang w:val="fr-FR"/>
        </w:rPr>
        <w:t xml:space="preserve">, </w:t>
      </w:r>
      <w:r w:rsidR="00497F0D">
        <w:rPr>
          <w:noProof/>
          <w:lang w:val="fr-FR"/>
        </w:rPr>
        <w:t>Ministère de l’éducation et de la formation</w:t>
      </w:r>
      <w:r w:rsidR="001B2F58" w:rsidRPr="00DD03D6">
        <w:rPr>
          <w:noProof/>
          <w:lang w:val="fr-FR"/>
        </w:rPr>
        <w:t xml:space="preserve">, Garda Síochána </w:t>
      </w:r>
      <w:r w:rsidR="00497F0D">
        <w:rPr>
          <w:noProof/>
          <w:lang w:val="fr-FR"/>
        </w:rPr>
        <w:t xml:space="preserve">et </w:t>
      </w:r>
      <w:r w:rsidR="001B2F58" w:rsidRPr="00DD03D6">
        <w:rPr>
          <w:noProof/>
          <w:lang w:val="fr-FR"/>
        </w:rPr>
        <w:t>Alliance</w:t>
      </w:r>
      <w:r w:rsidR="00497F0D">
        <w:rPr>
          <w:noProof/>
          <w:lang w:val="fr-FR"/>
        </w:rPr>
        <w:t xml:space="preserve"> pour les droits des enfants</w:t>
      </w:r>
      <w:r w:rsidR="001B2F58" w:rsidRPr="00DD03D6">
        <w:rPr>
          <w:noProof/>
          <w:lang w:val="fr-FR"/>
        </w:rPr>
        <w:t>.</w:t>
      </w:r>
    </w:p>
    <w:p w:rsidR="001B2F58" w:rsidRPr="00DD03D6" w:rsidRDefault="00C73489" w:rsidP="00BE7DB0">
      <w:pPr>
        <w:pStyle w:val="SingleTxtG"/>
        <w:numPr>
          <w:ilvl w:val="0"/>
          <w:numId w:val="3"/>
        </w:numPr>
        <w:ind w:left="1134" w:firstLine="0"/>
        <w:rPr>
          <w:noProof/>
          <w:lang w:val="fr-FR"/>
        </w:rPr>
      </w:pPr>
      <w:r>
        <w:rPr>
          <w:noProof/>
          <w:lang w:val="fr-FR" w:eastAsia="en-GB"/>
        </w:rPr>
        <w:t xml:space="preserve">En octobre </w:t>
      </w:r>
      <w:r w:rsidR="001B2F58" w:rsidRPr="00DD03D6">
        <w:rPr>
          <w:noProof/>
          <w:lang w:val="fr-FR" w:eastAsia="en-GB"/>
        </w:rPr>
        <w:t xml:space="preserve">2012, 59 </w:t>
      </w:r>
      <w:r>
        <w:rPr>
          <w:noProof/>
          <w:lang w:val="fr-FR" w:eastAsia="en-GB"/>
        </w:rPr>
        <w:t>des mesures prévues par le plan de mis</w:t>
      </w:r>
      <w:r w:rsidR="00992AD6">
        <w:rPr>
          <w:noProof/>
          <w:lang w:val="fr-FR" w:eastAsia="en-GB"/>
        </w:rPr>
        <w:t>e</w:t>
      </w:r>
      <w:r>
        <w:rPr>
          <w:noProof/>
          <w:lang w:val="fr-FR" w:eastAsia="en-GB"/>
        </w:rPr>
        <w:t xml:space="preserve"> en œuvre avaient été exécutées</w:t>
      </w:r>
      <w:r w:rsidR="0055759A">
        <w:rPr>
          <w:noProof/>
          <w:lang w:val="fr-FR" w:eastAsia="en-GB"/>
        </w:rPr>
        <w:t xml:space="preserve">, la mise en œuvre était devenue permanente dans le cas de 13 autres et était en passe de le devenir dans le cas </w:t>
      </w:r>
      <w:r w:rsidR="00C220E1">
        <w:rPr>
          <w:noProof/>
          <w:lang w:val="fr-FR" w:eastAsia="en-GB"/>
        </w:rPr>
        <w:t>des 27 restantes</w:t>
      </w:r>
      <w:r w:rsidR="001B2F58" w:rsidRPr="00DD03D6">
        <w:rPr>
          <w:noProof/>
          <w:lang w:val="fr-FR" w:eastAsia="en-GB"/>
        </w:rPr>
        <w:t xml:space="preserve">. </w:t>
      </w:r>
      <w:r w:rsidR="00577BE3">
        <w:rPr>
          <w:noProof/>
          <w:lang w:val="fr-FR" w:eastAsia="en-GB"/>
        </w:rPr>
        <w:t>L’une des plus importantes de ces mesures a été l’affectation de ressources supplémentaires aux Service</w:t>
      </w:r>
      <w:r w:rsidR="00992AD6">
        <w:rPr>
          <w:noProof/>
          <w:lang w:val="fr-FR" w:eastAsia="en-GB"/>
        </w:rPr>
        <w:t>s</w:t>
      </w:r>
      <w:r w:rsidR="00577BE3">
        <w:rPr>
          <w:noProof/>
          <w:lang w:val="fr-FR" w:eastAsia="en-GB"/>
        </w:rPr>
        <w:t xml:space="preserve"> aux enfants et aux familles de la Direction des services de santé :</w:t>
      </w:r>
      <w:r w:rsidR="001B2F58" w:rsidRPr="00DD03D6">
        <w:rPr>
          <w:noProof/>
          <w:lang w:val="fr-FR" w:eastAsia="en-GB"/>
        </w:rPr>
        <w:t xml:space="preserve"> 200 </w:t>
      </w:r>
      <w:r w:rsidR="00577BE3">
        <w:rPr>
          <w:noProof/>
          <w:lang w:val="fr-FR" w:eastAsia="en-GB"/>
        </w:rPr>
        <w:t>travailleurs sociaux supplémentaires ont été recru</w:t>
      </w:r>
      <w:r w:rsidR="00444D6B">
        <w:rPr>
          <w:noProof/>
          <w:lang w:val="fr-FR" w:eastAsia="en-GB"/>
        </w:rPr>
        <w:t>t</w:t>
      </w:r>
      <w:r w:rsidR="00577BE3">
        <w:rPr>
          <w:noProof/>
          <w:lang w:val="fr-FR" w:eastAsia="en-GB"/>
        </w:rPr>
        <w:t xml:space="preserve">és en </w:t>
      </w:r>
      <w:r w:rsidR="001B2F58" w:rsidRPr="00DD03D6">
        <w:rPr>
          <w:noProof/>
          <w:lang w:val="fr-FR" w:eastAsia="en-GB"/>
        </w:rPr>
        <w:t xml:space="preserve">2010, </w:t>
      </w:r>
      <w:r w:rsidR="00577BE3">
        <w:rPr>
          <w:noProof/>
          <w:lang w:val="fr-FR" w:eastAsia="en-GB"/>
        </w:rPr>
        <w:t>e</w:t>
      </w:r>
      <w:r w:rsidR="001B2F58" w:rsidRPr="00DD03D6">
        <w:rPr>
          <w:noProof/>
          <w:lang w:val="fr-FR" w:eastAsia="en-GB"/>
        </w:rPr>
        <w:t xml:space="preserve">n </w:t>
      </w:r>
      <w:r w:rsidR="00577BE3">
        <w:rPr>
          <w:noProof/>
          <w:lang w:val="fr-FR" w:eastAsia="en-GB"/>
        </w:rPr>
        <w:t xml:space="preserve">plus </w:t>
      </w:r>
      <w:r w:rsidR="00444D6B">
        <w:rPr>
          <w:noProof/>
          <w:lang w:val="fr-FR" w:eastAsia="en-GB"/>
        </w:rPr>
        <w:t xml:space="preserve">des </w:t>
      </w:r>
      <w:r w:rsidR="001B2F58" w:rsidRPr="00DD03D6">
        <w:rPr>
          <w:noProof/>
          <w:lang w:val="fr-FR" w:eastAsia="en-GB"/>
        </w:rPr>
        <w:t xml:space="preserve">249 </w:t>
      </w:r>
      <w:r w:rsidR="00444D6B">
        <w:rPr>
          <w:noProof/>
          <w:lang w:val="fr-FR" w:eastAsia="en-GB"/>
        </w:rPr>
        <w:t xml:space="preserve">postes de travailleur social pourvus pendant l’année, et 60 nouveaux travailleurs sociaux ont été recrutés en </w:t>
      </w:r>
      <w:r w:rsidR="001B2F58" w:rsidRPr="00DD03D6">
        <w:rPr>
          <w:noProof/>
          <w:lang w:val="fr-FR" w:eastAsia="en-GB"/>
        </w:rPr>
        <w:t xml:space="preserve">2011. </w:t>
      </w:r>
      <w:r w:rsidR="00992AD6">
        <w:rPr>
          <w:noProof/>
          <w:lang w:val="fr-FR" w:eastAsia="en-GB"/>
        </w:rPr>
        <w:t>La phase suivante de mise en œ</w:t>
      </w:r>
      <w:r w:rsidR="003F1E9F">
        <w:rPr>
          <w:noProof/>
          <w:lang w:val="fr-FR" w:eastAsia="en-GB"/>
        </w:rPr>
        <w:t>uvre mettra</w:t>
      </w:r>
      <w:r w:rsidR="00992AD6">
        <w:rPr>
          <w:noProof/>
          <w:lang w:val="fr-FR" w:eastAsia="en-GB"/>
        </w:rPr>
        <w:t xml:space="preserve"> plus particulièrement l’accent sur la réorganisation fondamentale des Services aux enfants et aux familles de la Direction des services de santé, appelés à devenir l’Agence pour l’enfant et la famille</w:t>
      </w:r>
      <w:r w:rsidR="001B2F58" w:rsidRPr="00DD03D6">
        <w:rPr>
          <w:noProof/>
          <w:lang w:val="fr-FR" w:eastAsia="en-GB"/>
        </w:rPr>
        <w:t xml:space="preserve">. </w:t>
      </w:r>
      <w:r w:rsidR="00992AD6">
        <w:rPr>
          <w:noProof/>
          <w:lang w:val="fr-FR" w:eastAsia="en-GB"/>
        </w:rPr>
        <w:t>E</w:t>
      </w:r>
      <w:r w:rsidR="001B2F58" w:rsidRPr="00DD03D6">
        <w:rPr>
          <w:noProof/>
          <w:lang w:val="fr-FR" w:eastAsia="en-GB"/>
        </w:rPr>
        <w:t xml:space="preserve">n </w:t>
      </w:r>
      <w:r w:rsidR="00035DE7">
        <w:rPr>
          <w:noProof/>
          <w:lang w:val="fr-FR" w:eastAsia="en-GB"/>
        </w:rPr>
        <w:t>outre, la</w:t>
      </w:r>
      <w:r w:rsidR="00992AD6">
        <w:rPr>
          <w:noProof/>
          <w:lang w:val="fr-FR" w:eastAsia="en-GB"/>
        </w:rPr>
        <w:t xml:space="preserve"> Ministre de l’enfance et de la jeunesse </w:t>
      </w:r>
      <w:r w:rsidR="003F1E9F">
        <w:rPr>
          <w:noProof/>
          <w:lang w:val="fr-FR" w:eastAsia="en-GB"/>
        </w:rPr>
        <w:t xml:space="preserve">s’emploiera </w:t>
      </w:r>
      <w:r w:rsidR="00370BE8">
        <w:rPr>
          <w:noProof/>
          <w:lang w:val="fr-FR" w:eastAsia="en-GB"/>
        </w:rPr>
        <w:t>en p</w:t>
      </w:r>
      <w:r w:rsidR="003F1E9F">
        <w:rPr>
          <w:noProof/>
          <w:lang w:val="fr-FR" w:eastAsia="en-GB"/>
        </w:rPr>
        <w:t>riorité à exécuter</w:t>
      </w:r>
      <w:r w:rsidR="00370BE8">
        <w:rPr>
          <w:noProof/>
          <w:lang w:val="fr-FR" w:eastAsia="en-GB"/>
        </w:rPr>
        <w:t xml:space="preserve"> une série de mesures relatives aux Enfants d’abord</w:t>
      </w:r>
      <w:r w:rsidR="001B2F58" w:rsidRPr="00DD03D6">
        <w:rPr>
          <w:noProof/>
          <w:lang w:val="fr-FR" w:eastAsia="en-GB"/>
        </w:rPr>
        <w:t xml:space="preserve">, </w:t>
      </w:r>
      <w:r w:rsidR="003F1E9F">
        <w:rPr>
          <w:noProof/>
          <w:lang w:val="fr-FR" w:eastAsia="en-GB"/>
        </w:rPr>
        <w:t>notamment la pré</w:t>
      </w:r>
      <w:r w:rsidR="001B2F58" w:rsidRPr="00DD03D6">
        <w:rPr>
          <w:noProof/>
          <w:lang w:val="fr-FR" w:eastAsia="en-GB"/>
        </w:rPr>
        <w:t xml:space="preserve">paration </w:t>
      </w:r>
      <w:r w:rsidR="003F1E9F">
        <w:rPr>
          <w:noProof/>
          <w:lang w:val="fr-FR" w:eastAsia="en-GB"/>
        </w:rPr>
        <w:t xml:space="preserve">d’une </w:t>
      </w:r>
      <w:r w:rsidR="001B2F58" w:rsidRPr="00DD03D6">
        <w:rPr>
          <w:noProof/>
          <w:lang w:val="fr-FR" w:eastAsia="en-GB"/>
        </w:rPr>
        <w:t>l</w:t>
      </w:r>
      <w:r w:rsidR="003F1E9F">
        <w:rPr>
          <w:noProof/>
          <w:lang w:val="fr-FR" w:eastAsia="en-GB"/>
        </w:rPr>
        <w:t>é</w:t>
      </w:r>
      <w:r w:rsidR="001B2F58" w:rsidRPr="00DD03D6">
        <w:rPr>
          <w:noProof/>
          <w:lang w:val="fr-FR" w:eastAsia="en-GB"/>
        </w:rPr>
        <w:t xml:space="preserve">gislation </w:t>
      </w:r>
      <w:r w:rsidR="003F1E9F">
        <w:rPr>
          <w:noProof/>
          <w:lang w:val="fr-FR" w:eastAsia="en-GB"/>
        </w:rPr>
        <w:t>devant étayer l’application de ces directives nationales, et à appliquer le cadre national de la mise en œuvre de ces dernières dans tous les ministères, organismes et secteurs qui sont en contact avec des enfants et des jeunes</w:t>
      </w:r>
      <w:r w:rsidR="001B2F58" w:rsidRPr="00DD03D6">
        <w:rPr>
          <w:noProof/>
          <w:lang w:val="fr-FR" w:eastAsia="en-GB"/>
        </w:rPr>
        <w:t>.</w:t>
      </w:r>
    </w:p>
    <w:p w:rsidR="001B2F58" w:rsidRPr="00DD03D6" w:rsidRDefault="000D0A87" w:rsidP="001B2F58">
      <w:pPr>
        <w:pStyle w:val="SingleTxtG"/>
        <w:numPr>
          <w:ilvl w:val="0"/>
          <w:numId w:val="3"/>
        </w:numPr>
        <w:ind w:left="1134" w:firstLine="0"/>
        <w:rPr>
          <w:noProof/>
          <w:lang w:val="fr-FR"/>
        </w:rPr>
      </w:pPr>
      <w:r>
        <w:rPr>
          <w:noProof/>
          <w:lang w:val="fr-FR"/>
        </w:rPr>
        <w:t>L’éventail des mesures décrites plus haut s’</w:t>
      </w:r>
      <w:r w:rsidR="00A26ABE">
        <w:rPr>
          <w:noProof/>
          <w:lang w:val="fr-FR"/>
        </w:rPr>
        <w:t>inscri</w:t>
      </w:r>
      <w:r>
        <w:rPr>
          <w:noProof/>
          <w:lang w:val="fr-FR"/>
        </w:rPr>
        <w:t>t dans le cadre d’une réponse aussi vigoureuse que nécessaire du Gouvernement aux enquêtes menées sur les sévices à enfant</w:t>
      </w:r>
      <w:r w:rsidR="001B2F58" w:rsidRPr="00DD03D6">
        <w:rPr>
          <w:noProof/>
          <w:lang w:val="fr-FR"/>
        </w:rPr>
        <w:t xml:space="preserve">. </w:t>
      </w:r>
      <w:r>
        <w:rPr>
          <w:noProof/>
          <w:lang w:val="fr-FR"/>
        </w:rPr>
        <w:t>Par ailleurs, le Directeur n</w:t>
      </w:r>
      <w:r w:rsidR="001B2F58" w:rsidRPr="00DD03D6">
        <w:rPr>
          <w:noProof/>
          <w:lang w:val="fr-FR"/>
        </w:rPr>
        <w:t xml:space="preserve">ational </w:t>
      </w:r>
      <w:r>
        <w:rPr>
          <w:noProof/>
          <w:lang w:val="fr-FR"/>
        </w:rPr>
        <w:t>des services aux enfants et aux jeunes de la Direction des services de santé collab</w:t>
      </w:r>
      <w:r w:rsidR="00035DE7">
        <w:rPr>
          <w:noProof/>
          <w:lang w:val="fr-FR"/>
        </w:rPr>
        <w:t xml:space="preserve">ore directement avec le Conseil </w:t>
      </w:r>
      <w:r>
        <w:rPr>
          <w:noProof/>
          <w:lang w:val="fr-FR"/>
        </w:rPr>
        <w:t xml:space="preserve">national de protection de l’enfance dans l’Église catholique à l’élaboration d’un </w:t>
      </w:r>
      <w:r w:rsidR="001B2F58" w:rsidRPr="00DD03D6">
        <w:rPr>
          <w:noProof/>
          <w:lang w:val="fr-FR"/>
        </w:rPr>
        <w:t xml:space="preserve">programme </w:t>
      </w:r>
      <w:r>
        <w:rPr>
          <w:noProof/>
          <w:lang w:val="fr-FR"/>
        </w:rPr>
        <w:t>d’</w:t>
      </w:r>
      <w:r w:rsidR="001B2F58" w:rsidRPr="00DD03D6">
        <w:rPr>
          <w:noProof/>
          <w:lang w:val="fr-FR"/>
        </w:rPr>
        <w:t xml:space="preserve">action </w:t>
      </w:r>
      <w:r>
        <w:rPr>
          <w:noProof/>
          <w:lang w:val="fr-FR"/>
        </w:rPr>
        <w:t>destiné à faire en sorte que l’Église catholique réponde de façon appropriée et complète à toutes les préoccupations en matière de protection des enfants</w:t>
      </w:r>
      <w:r w:rsidR="001B2F58" w:rsidRPr="00DD03D6">
        <w:rPr>
          <w:noProof/>
          <w:lang w:val="fr-FR"/>
        </w:rPr>
        <w:t>.</w:t>
      </w:r>
    </w:p>
    <w:p w:rsidR="001B2F58" w:rsidRPr="00DD03D6" w:rsidRDefault="00A26ABE" w:rsidP="001B2F58">
      <w:pPr>
        <w:pStyle w:val="SingleTxtG"/>
        <w:numPr>
          <w:ilvl w:val="0"/>
          <w:numId w:val="3"/>
        </w:numPr>
        <w:ind w:left="1134" w:firstLine="0"/>
        <w:rPr>
          <w:noProof/>
          <w:lang w:val="fr-FR"/>
        </w:rPr>
      </w:pPr>
      <w:r>
        <w:rPr>
          <w:noProof/>
          <w:lang w:val="fr-FR"/>
        </w:rPr>
        <w:t>En</w:t>
      </w:r>
      <w:r w:rsidR="001B2F58" w:rsidRPr="00DD03D6">
        <w:rPr>
          <w:noProof/>
          <w:lang w:val="fr-FR"/>
        </w:rPr>
        <w:t xml:space="preserve"> 2009, </w:t>
      </w:r>
      <w:r>
        <w:rPr>
          <w:noProof/>
          <w:lang w:val="fr-FR"/>
        </w:rPr>
        <w:t>la Direction des services de santé</w:t>
      </w:r>
      <w:r w:rsidRPr="00DD03D6">
        <w:rPr>
          <w:noProof/>
          <w:lang w:val="fr-FR"/>
        </w:rPr>
        <w:t xml:space="preserve"> </w:t>
      </w:r>
      <w:r>
        <w:rPr>
          <w:noProof/>
          <w:lang w:val="fr-FR"/>
        </w:rPr>
        <w:t xml:space="preserve">a ouvert une enquête indépendante sur une affaire spécifique très médiatisée qui était jugée à </w:t>
      </w:r>
      <w:r w:rsidR="001B2F58" w:rsidRPr="00DD03D6">
        <w:rPr>
          <w:noProof/>
          <w:lang w:val="fr-FR"/>
        </w:rPr>
        <w:t>Roscommon</w:t>
      </w:r>
      <w:r>
        <w:rPr>
          <w:noProof/>
          <w:lang w:val="fr-FR"/>
        </w:rPr>
        <w:t>, dans laquelle le président du tribunal avait conclu à des défaillances de la part de la Direction et du Bureau de la santé de l’Ouest. En octobre</w:t>
      </w:r>
      <w:r w:rsidR="001B2F58" w:rsidRPr="00DD03D6">
        <w:rPr>
          <w:noProof/>
          <w:lang w:val="fr-FR"/>
        </w:rPr>
        <w:t xml:space="preserve"> 2010</w:t>
      </w:r>
      <w:r>
        <w:rPr>
          <w:noProof/>
          <w:lang w:val="fr-FR"/>
        </w:rPr>
        <w:t>,</w:t>
      </w:r>
      <w:r w:rsidR="001B2F58" w:rsidRPr="00DD03D6">
        <w:rPr>
          <w:noProof/>
          <w:lang w:val="fr-FR"/>
        </w:rPr>
        <w:t xml:space="preserve"> </w:t>
      </w:r>
      <w:r w:rsidR="006F7CE6">
        <w:rPr>
          <w:noProof/>
          <w:lang w:val="fr-FR"/>
        </w:rPr>
        <w:t xml:space="preserve">le rapport intitulé </w:t>
      </w:r>
      <w:r w:rsidR="006F7CE6">
        <w:rPr>
          <w:i/>
          <w:noProof/>
          <w:lang w:val="fr-FR"/>
        </w:rPr>
        <w:t xml:space="preserve">Affaire de garde d’enfants de Roscommon : Rapport de l’équipe d’enquête à la Direction des services de santé </w:t>
      </w:r>
      <w:r w:rsidR="006F7CE6">
        <w:rPr>
          <w:noProof/>
          <w:lang w:val="fr-FR"/>
        </w:rPr>
        <w:t>(</w:t>
      </w:r>
      <w:r w:rsidR="001B2F58" w:rsidRPr="00DD03D6">
        <w:rPr>
          <w:i/>
          <w:iCs/>
          <w:noProof/>
          <w:lang w:val="fr-FR"/>
        </w:rPr>
        <w:t>Roscommon Child Care Case: Report of the Inquiry Team to the Health Service Executive</w:t>
      </w:r>
      <w:r w:rsidR="006F7CE6">
        <w:rPr>
          <w:iCs/>
          <w:noProof/>
          <w:lang w:val="fr-FR"/>
        </w:rPr>
        <w:t>)</w:t>
      </w:r>
      <w:r w:rsidR="001B2F58" w:rsidRPr="00DD03D6">
        <w:rPr>
          <w:i/>
          <w:iCs/>
          <w:noProof/>
          <w:lang w:val="fr-FR"/>
        </w:rPr>
        <w:t xml:space="preserve"> </w:t>
      </w:r>
      <w:r w:rsidR="006F7CE6">
        <w:rPr>
          <w:iCs/>
          <w:noProof/>
          <w:lang w:val="fr-FR"/>
        </w:rPr>
        <w:t xml:space="preserve">a été publié, assorti d’une série de </w:t>
      </w:r>
      <w:r w:rsidR="006F7CE6">
        <w:rPr>
          <w:noProof/>
          <w:lang w:val="fr-FR"/>
        </w:rPr>
        <w:t>recomma</w:t>
      </w:r>
      <w:r w:rsidR="001B2F58" w:rsidRPr="00DD03D6">
        <w:rPr>
          <w:noProof/>
          <w:lang w:val="fr-FR"/>
        </w:rPr>
        <w:t xml:space="preserve">ndations. </w:t>
      </w:r>
      <w:r w:rsidR="006F7CE6">
        <w:rPr>
          <w:noProof/>
          <w:lang w:val="fr-FR"/>
        </w:rPr>
        <w:t xml:space="preserve">Un plan d’action détaillé a été mis en </w:t>
      </w:r>
      <w:r w:rsidR="001B2F58" w:rsidRPr="00DD03D6">
        <w:rPr>
          <w:noProof/>
          <w:lang w:val="fr-FR"/>
        </w:rPr>
        <w:t xml:space="preserve">place </w:t>
      </w:r>
      <w:r w:rsidR="006F7CE6">
        <w:rPr>
          <w:noProof/>
          <w:lang w:val="fr-FR"/>
        </w:rPr>
        <w:t>pour donner suite à ces recomma</w:t>
      </w:r>
      <w:r w:rsidR="001B2F58" w:rsidRPr="00DD03D6">
        <w:rPr>
          <w:noProof/>
          <w:lang w:val="fr-FR"/>
        </w:rPr>
        <w:t xml:space="preserve">ndations </w:t>
      </w:r>
      <w:r w:rsidR="006F7CE6">
        <w:rPr>
          <w:noProof/>
          <w:lang w:val="fr-FR"/>
        </w:rPr>
        <w:t xml:space="preserve">à compter de </w:t>
      </w:r>
      <w:r w:rsidR="001B2F58" w:rsidRPr="00DD03D6">
        <w:rPr>
          <w:noProof/>
          <w:lang w:val="fr-FR"/>
        </w:rPr>
        <w:t xml:space="preserve">2010. </w:t>
      </w:r>
      <w:r w:rsidR="006F7CE6">
        <w:rPr>
          <w:noProof/>
          <w:lang w:val="fr-FR"/>
        </w:rPr>
        <w:t xml:space="preserve">L’une des principales interventions en ce sens a consisté en un </w:t>
      </w:r>
      <w:r w:rsidR="001B2F58" w:rsidRPr="00DD03D6">
        <w:rPr>
          <w:noProof/>
          <w:lang w:val="fr-FR"/>
        </w:rPr>
        <w:t xml:space="preserve">audit </w:t>
      </w:r>
      <w:r w:rsidR="006F7CE6">
        <w:rPr>
          <w:noProof/>
          <w:lang w:val="fr-FR"/>
        </w:rPr>
        <w:t>des cas de défaut de soins</w:t>
      </w:r>
      <w:r w:rsidR="001B2F58" w:rsidRPr="00DD03D6">
        <w:rPr>
          <w:noProof/>
          <w:lang w:val="fr-FR"/>
        </w:rPr>
        <w:t xml:space="preserve">. </w:t>
      </w:r>
      <w:r w:rsidR="006F7CE6">
        <w:rPr>
          <w:noProof/>
          <w:lang w:val="fr-FR"/>
        </w:rPr>
        <w:t xml:space="preserve">Cet </w:t>
      </w:r>
      <w:r w:rsidR="001B2F58" w:rsidRPr="00DD03D6">
        <w:rPr>
          <w:noProof/>
          <w:lang w:val="fr-FR"/>
        </w:rPr>
        <w:t xml:space="preserve">audit </w:t>
      </w:r>
      <w:r w:rsidR="006F7CE6">
        <w:rPr>
          <w:noProof/>
          <w:lang w:val="fr-FR"/>
        </w:rPr>
        <w:t>a été mené à</w:t>
      </w:r>
      <w:r w:rsidR="008935A1">
        <w:rPr>
          <w:noProof/>
          <w:lang w:val="fr-FR"/>
        </w:rPr>
        <w:t xml:space="preserve"> bien par la Direction des serv</w:t>
      </w:r>
      <w:r w:rsidR="006F7CE6">
        <w:rPr>
          <w:noProof/>
          <w:lang w:val="fr-FR"/>
        </w:rPr>
        <w:t>i</w:t>
      </w:r>
      <w:r w:rsidR="008935A1">
        <w:rPr>
          <w:noProof/>
          <w:lang w:val="fr-FR"/>
        </w:rPr>
        <w:t>c</w:t>
      </w:r>
      <w:r w:rsidR="006F7CE6">
        <w:rPr>
          <w:noProof/>
          <w:lang w:val="fr-FR"/>
        </w:rPr>
        <w:t xml:space="preserve">es de santé à </w:t>
      </w:r>
      <w:r w:rsidR="001B2F58" w:rsidRPr="00DD03D6">
        <w:rPr>
          <w:noProof/>
          <w:lang w:val="fr-FR"/>
        </w:rPr>
        <w:t xml:space="preserve">Roscommon, Waterford </w:t>
      </w:r>
      <w:r w:rsidR="006F7CE6">
        <w:rPr>
          <w:noProof/>
          <w:lang w:val="fr-FR"/>
        </w:rPr>
        <w:t>et</w:t>
      </w:r>
      <w:r w:rsidR="001B2F58" w:rsidRPr="00DD03D6">
        <w:rPr>
          <w:noProof/>
          <w:lang w:val="fr-FR"/>
        </w:rPr>
        <w:t xml:space="preserve"> Dublin S</w:t>
      </w:r>
      <w:r w:rsidR="006F7CE6">
        <w:rPr>
          <w:noProof/>
          <w:lang w:val="fr-FR"/>
        </w:rPr>
        <w:t>ud-Est</w:t>
      </w:r>
      <w:r w:rsidR="001B2F58" w:rsidRPr="00DD03D6">
        <w:rPr>
          <w:noProof/>
          <w:lang w:val="fr-FR"/>
        </w:rPr>
        <w:t xml:space="preserve">, </w:t>
      </w:r>
      <w:r w:rsidR="008935A1">
        <w:rPr>
          <w:noProof/>
          <w:lang w:val="fr-FR"/>
        </w:rPr>
        <w:t xml:space="preserve">et un rapport </w:t>
      </w:r>
      <w:r w:rsidR="001B2F58" w:rsidRPr="00DD03D6">
        <w:rPr>
          <w:noProof/>
          <w:lang w:val="fr-FR"/>
        </w:rPr>
        <w:t xml:space="preserve">composite </w:t>
      </w:r>
      <w:r w:rsidR="008935A1">
        <w:rPr>
          <w:noProof/>
          <w:lang w:val="fr-FR"/>
        </w:rPr>
        <w:t>sera établi</w:t>
      </w:r>
      <w:r w:rsidR="001B2F58" w:rsidRPr="00DD03D6">
        <w:rPr>
          <w:noProof/>
          <w:lang w:val="fr-FR"/>
        </w:rPr>
        <w:t>.</w:t>
      </w:r>
    </w:p>
    <w:p w:rsidR="001B2F58" w:rsidRPr="00DD03D6" w:rsidRDefault="008935A1" w:rsidP="00AB4A45">
      <w:pPr>
        <w:pStyle w:val="SingleTxtG"/>
        <w:numPr>
          <w:ilvl w:val="0"/>
          <w:numId w:val="3"/>
        </w:numPr>
        <w:ind w:left="1134" w:firstLine="0"/>
        <w:rPr>
          <w:noProof/>
          <w:lang w:val="fr-FR"/>
        </w:rPr>
      </w:pPr>
      <w:r>
        <w:rPr>
          <w:noProof/>
          <w:lang w:val="fr-FR" w:eastAsia="en-IE"/>
        </w:rPr>
        <w:lastRenderedPageBreak/>
        <w:t xml:space="preserve">La </w:t>
      </w:r>
      <w:r w:rsidR="001B2F58" w:rsidRPr="00DD03D6">
        <w:rPr>
          <w:noProof/>
          <w:lang w:val="fr-FR" w:eastAsia="en-IE"/>
        </w:rPr>
        <w:t xml:space="preserve">Commission </w:t>
      </w:r>
      <w:r>
        <w:rPr>
          <w:noProof/>
          <w:lang w:val="fr-FR" w:eastAsia="en-IE"/>
        </w:rPr>
        <w:t xml:space="preserve">d’enquête sur le diocèse catholique de </w:t>
      </w:r>
      <w:r w:rsidR="001B2F58" w:rsidRPr="00DD03D6">
        <w:rPr>
          <w:noProof/>
          <w:lang w:val="fr-FR" w:eastAsia="en-IE"/>
        </w:rPr>
        <w:t xml:space="preserve">Cloyne </w:t>
      </w:r>
      <w:r>
        <w:rPr>
          <w:noProof/>
          <w:lang w:val="fr-FR" w:eastAsia="en-IE"/>
        </w:rPr>
        <w:t xml:space="preserve">a </w:t>
      </w:r>
      <w:r w:rsidR="001B2F58" w:rsidRPr="00DD03D6">
        <w:rPr>
          <w:noProof/>
          <w:lang w:val="fr-FR" w:eastAsia="en-IE"/>
        </w:rPr>
        <w:t>examin</w:t>
      </w:r>
      <w:r>
        <w:rPr>
          <w:noProof/>
          <w:lang w:val="fr-FR" w:eastAsia="en-IE"/>
        </w:rPr>
        <w:t xml:space="preserve">é toutes les plaintes, </w:t>
      </w:r>
      <w:r w:rsidR="001B2F58" w:rsidRPr="00DD03D6">
        <w:rPr>
          <w:noProof/>
          <w:lang w:val="fr-FR" w:eastAsia="en-GB"/>
        </w:rPr>
        <w:t>all</w:t>
      </w:r>
      <w:r>
        <w:rPr>
          <w:noProof/>
          <w:lang w:val="fr-FR" w:eastAsia="en-GB"/>
        </w:rPr>
        <w:t>é</w:t>
      </w:r>
      <w:r w:rsidR="001B2F58" w:rsidRPr="00DD03D6">
        <w:rPr>
          <w:noProof/>
          <w:lang w:val="fr-FR" w:eastAsia="en-GB"/>
        </w:rPr>
        <w:t>gations</w:t>
      </w:r>
      <w:r w:rsidR="001B2F58" w:rsidRPr="00DD03D6">
        <w:rPr>
          <w:noProof/>
          <w:lang w:val="fr-FR" w:eastAsia="en-IE"/>
        </w:rPr>
        <w:t xml:space="preserve">, </w:t>
      </w:r>
      <w:r>
        <w:rPr>
          <w:noProof/>
          <w:lang w:val="fr-FR" w:eastAsia="en-IE"/>
        </w:rPr>
        <w:t>préoccupations et soupçons concernant des cas de sévices sexuels à enfant commis par des membres du clergé qui ont été présentés aux autorités diocésaine</w:t>
      </w:r>
      <w:r w:rsidR="003D71EE">
        <w:rPr>
          <w:noProof/>
          <w:lang w:val="fr-FR" w:eastAsia="en-IE"/>
        </w:rPr>
        <w:t>s</w:t>
      </w:r>
      <w:r>
        <w:rPr>
          <w:noProof/>
          <w:lang w:val="fr-FR" w:eastAsia="en-IE"/>
        </w:rPr>
        <w:t xml:space="preserve"> et à d’autres autorités de l’Église catholique, ainsi qu’aux </w:t>
      </w:r>
      <w:r w:rsidR="00015909" w:rsidRPr="00015909">
        <w:rPr>
          <w:noProof/>
          <w:lang w:val="fr-FR"/>
        </w:rPr>
        <w:t xml:space="preserve">pouvoirs publics et </w:t>
      </w:r>
      <w:r w:rsidR="00015909">
        <w:rPr>
          <w:noProof/>
          <w:lang w:val="fr-FR"/>
        </w:rPr>
        <w:t xml:space="preserve">aux </w:t>
      </w:r>
      <w:r w:rsidR="00015909" w:rsidRPr="00015909">
        <w:rPr>
          <w:noProof/>
          <w:lang w:val="fr-FR"/>
        </w:rPr>
        <w:t xml:space="preserve">autorités de l’État </w:t>
      </w:r>
      <w:r w:rsidR="00015909">
        <w:rPr>
          <w:noProof/>
          <w:lang w:val="fr-FR" w:eastAsia="en-IE"/>
        </w:rPr>
        <w:t xml:space="preserve">au cours de la </w:t>
      </w:r>
      <w:r w:rsidR="001B2F58" w:rsidRPr="00DD03D6">
        <w:rPr>
          <w:noProof/>
          <w:lang w:val="fr-FR" w:eastAsia="en-IE"/>
        </w:rPr>
        <w:t>p</w:t>
      </w:r>
      <w:r w:rsidR="00015909">
        <w:rPr>
          <w:noProof/>
          <w:lang w:val="fr-FR" w:eastAsia="en-IE"/>
        </w:rPr>
        <w:t>é</w:t>
      </w:r>
      <w:r w:rsidR="001B2F58" w:rsidRPr="00DD03D6">
        <w:rPr>
          <w:noProof/>
          <w:lang w:val="fr-FR" w:eastAsia="en-IE"/>
        </w:rPr>
        <w:t>riod</w:t>
      </w:r>
      <w:r w:rsidR="00015909">
        <w:rPr>
          <w:noProof/>
          <w:lang w:val="fr-FR" w:eastAsia="en-IE"/>
        </w:rPr>
        <w:t>e</w:t>
      </w:r>
      <w:r w:rsidR="001B2F58" w:rsidRPr="00DD03D6">
        <w:rPr>
          <w:noProof/>
          <w:lang w:val="fr-FR" w:eastAsia="en-IE"/>
        </w:rPr>
        <w:t xml:space="preserve"> </w:t>
      </w:r>
      <w:r w:rsidR="00015909">
        <w:rPr>
          <w:noProof/>
          <w:lang w:val="fr-FR" w:eastAsia="en-IE"/>
        </w:rPr>
        <w:t xml:space="preserve">allant du </w:t>
      </w:r>
      <w:r w:rsidR="001B2F58" w:rsidRPr="00DD03D6">
        <w:rPr>
          <w:noProof/>
          <w:lang w:val="fr-FR" w:eastAsia="en-IE"/>
        </w:rPr>
        <w:t>1</w:t>
      </w:r>
      <w:r w:rsidR="00015909" w:rsidRPr="00015909">
        <w:rPr>
          <w:noProof/>
          <w:vertAlign w:val="superscript"/>
          <w:lang w:val="fr-FR" w:eastAsia="en-IE"/>
        </w:rPr>
        <w:t>er</w:t>
      </w:r>
      <w:r w:rsidR="00015909">
        <w:rPr>
          <w:noProof/>
          <w:lang w:val="fr-FR" w:eastAsia="en-IE"/>
        </w:rPr>
        <w:t xml:space="preserve"> janvier</w:t>
      </w:r>
      <w:r w:rsidR="001B2F58" w:rsidRPr="00DD03D6">
        <w:rPr>
          <w:noProof/>
          <w:lang w:val="fr-FR" w:eastAsia="en-IE"/>
        </w:rPr>
        <w:t xml:space="preserve"> 1996 </w:t>
      </w:r>
      <w:r w:rsidR="00015909">
        <w:rPr>
          <w:noProof/>
          <w:lang w:val="fr-FR" w:eastAsia="en-IE"/>
        </w:rPr>
        <w:t xml:space="preserve">au </w:t>
      </w:r>
      <w:r w:rsidR="001B2F58" w:rsidRPr="00DD03D6">
        <w:rPr>
          <w:noProof/>
          <w:lang w:val="fr-FR" w:eastAsia="en-IE"/>
        </w:rPr>
        <w:t>1</w:t>
      </w:r>
      <w:r w:rsidR="00015909" w:rsidRPr="00015909">
        <w:rPr>
          <w:noProof/>
          <w:vertAlign w:val="superscript"/>
          <w:lang w:val="fr-FR" w:eastAsia="en-IE"/>
        </w:rPr>
        <w:t>er</w:t>
      </w:r>
      <w:r w:rsidR="00015909">
        <w:rPr>
          <w:noProof/>
          <w:lang w:val="fr-FR" w:eastAsia="en-IE"/>
        </w:rPr>
        <w:t xml:space="preserve"> février </w:t>
      </w:r>
      <w:r w:rsidR="001B2F58" w:rsidRPr="00DD03D6">
        <w:rPr>
          <w:noProof/>
          <w:lang w:val="fr-FR" w:eastAsia="en-IE"/>
        </w:rPr>
        <w:t>2009.</w:t>
      </w:r>
      <w:r w:rsidR="001B2F58" w:rsidRPr="00DD03D6">
        <w:rPr>
          <w:rFonts w:ascii="Helvetica" w:hAnsi="Helvetica" w:cs="Helvetica"/>
          <w:noProof/>
          <w:lang w:val="fr-FR" w:eastAsia="en-IE"/>
        </w:rPr>
        <w:t xml:space="preserve"> </w:t>
      </w:r>
      <w:r w:rsidR="00AF0A8B">
        <w:rPr>
          <w:noProof/>
          <w:lang w:val="fr-FR"/>
        </w:rPr>
        <w:t xml:space="preserve">À la suite de la </w:t>
      </w:r>
      <w:r w:rsidR="001B2F58" w:rsidRPr="00DD03D6">
        <w:rPr>
          <w:noProof/>
          <w:lang w:val="fr-FR"/>
        </w:rPr>
        <w:t xml:space="preserve">publication </w:t>
      </w:r>
      <w:r w:rsidR="00AF0A8B">
        <w:rPr>
          <w:noProof/>
          <w:lang w:val="fr-FR"/>
        </w:rPr>
        <w:t xml:space="preserve">du </w:t>
      </w:r>
      <w:r w:rsidR="001B2F58" w:rsidRPr="00DD03D6">
        <w:rPr>
          <w:i/>
          <w:iCs/>
          <w:noProof/>
          <w:lang w:val="fr-FR"/>
        </w:rPr>
        <w:t>R</w:t>
      </w:r>
      <w:r w:rsidR="00AF0A8B">
        <w:rPr>
          <w:i/>
          <w:iCs/>
          <w:noProof/>
          <w:lang w:val="fr-FR"/>
        </w:rPr>
        <w:t xml:space="preserve">apport de la </w:t>
      </w:r>
      <w:r w:rsidR="001B2F58" w:rsidRPr="00DD03D6">
        <w:rPr>
          <w:i/>
          <w:iCs/>
          <w:noProof/>
          <w:lang w:val="fr-FR"/>
        </w:rPr>
        <w:t>Commission</w:t>
      </w:r>
      <w:r w:rsidR="001B2F58" w:rsidRPr="00DD03D6">
        <w:rPr>
          <w:noProof/>
          <w:lang w:val="fr-FR"/>
        </w:rPr>
        <w:t xml:space="preserve"> </w:t>
      </w:r>
      <w:r w:rsidR="00AF0A8B">
        <w:rPr>
          <w:noProof/>
          <w:lang w:val="fr-FR"/>
        </w:rPr>
        <w:t>e</w:t>
      </w:r>
      <w:r w:rsidR="001B2F58" w:rsidRPr="00DD03D6">
        <w:rPr>
          <w:noProof/>
          <w:lang w:val="fr-FR"/>
        </w:rPr>
        <w:t xml:space="preserve">n </w:t>
      </w:r>
      <w:r w:rsidR="00AF0A8B">
        <w:rPr>
          <w:noProof/>
          <w:lang w:val="fr-FR"/>
        </w:rPr>
        <w:t xml:space="preserve">juillet </w:t>
      </w:r>
      <w:r w:rsidR="001B2F58" w:rsidRPr="00DD03D6">
        <w:rPr>
          <w:noProof/>
          <w:lang w:val="fr-FR"/>
        </w:rPr>
        <w:t xml:space="preserve">2011, </w:t>
      </w:r>
      <w:r w:rsidR="003D71EE">
        <w:rPr>
          <w:noProof/>
          <w:lang w:val="fr-FR"/>
        </w:rPr>
        <w:t xml:space="preserve">le Gouvernement s’est engagé à prendre une série de mesures destinées à renforcer sensiblement le cadre </w:t>
      </w:r>
      <w:r w:rsidR="001B2F58" w:rsidRPr="00DD03D6">
        <w:rPr>
          <w:noProof/>
          <w:lang w:val="fr-FR"/>
        </w:rPr>
        <w:t>l</w:t>
      </w:r>
      <w:r w:rsidR="003D71EE">
        <w:rPr>
          <w:noProof/>
          <w:lang w:val="fr-FR"/>
        </w:rPr>
        <w:t>é</w:t>
      </w:r>
      <w:r w:rsidR="001B2F58" w:rsidRPr="00DD03D6">
        <w:rPr>
          <w:noProof/>
          <w:lang w:val="fr-FR"/>
        </w:rPr>
        <w:t>gislati</w:t>
      </w:r>
      <w:r w:rsidR="003D71EE">
        <w:rPr>
          <w:noProof/>
          <w:lang w:val="fr-FR"/>
        </w:rPr>
        <w:t>f</w:t>
      </w:r>
      <w:r w:rsidR="001B2F58" w:rsidRPr="00DD03D6">
        <w:rPr>
          <w:noProof/>
          <w:lang w:val="fr-FR"/>
        </w:rPr>
        <w:t xml:space="preserve">, </w:t>
      </w:r>
      <w:r w:rsidR="003D71EE">
        <w:rPr>
          <w:noProof/>
          <w:lang w:val="fr-FR"/>
        </w:rPr>
        <w:t>politique et pratique en vigueur dans le domaine de la protection des enfants</w:t>
      </w:r>
      <w:r w:rsidR="001B2F58" w:rsidRPr="00DD03D6">
        <w:rPr>
          <w:noProof/>
          <w:lang w:val="fr-FR"/>
        </w:rPr>
        <w:t xml:space="preserve">. </w:t>
      </w:r>
      <w:r w:rsidR="00035DE7">
        <w:rPr>
          <w:noProof/>
          <w:lang w:val="fr-FR"/>
        </w:rPr>
        <w:t>À cette fin, la</w:t>
      </w:r>
      <w:r w:rsidR="003D71EE">
        <w:rPr>
          <w:noProof/>
          <w:lang w:val="fr-FR"/>
        </w:rPr>
        <w:t xml:space="preserve"> Ministre de l’enfance et de la jeunesse collabore activement avec le Ministre de la j</w:t>
      </w:r>
      <w:r w:rsidR="001B2F58" w:rsidRPr="00DD03D6">
        <w:rPr>
          <w:noProof/>
          <w:lang w:val="fr-FR"/>
        </w:rPr>
        <w:t xml:space="preserve">ustice </w:t>
      </w:r>
      <w:r w:rsidR="003D71EE">
        <w:rPr>
          <w:noProof/>
          <w:lang w:val="fr-FR"/>
        </w:rPr>
        <w:t>et de l’égalité et des progrès sensibles sont accomplis à cet égard</w:t>
      </w:r>
      <w:r w:rsidR="001B2F58" w:rsidRPr="00DD03D6">
        <w:rPr>
          <w:noProof/>
          <w:lang w:val="fr-FR"/>
        </w:rPr>
        <w:t xml:space="preserve">. </w:t>
      </w:r>
      <w:r w:rsidR="003D71EE">
        <w:rPr>
          <w:noProof/>
          <w:lang w:val="fr-FR"/>
        </w:rPr>
        <w:t>À ce jour, les principa</w:t>
      </w:r>
      <w:r w:rsidR="00B95BA9">
        <w:rPr>
          <w:noProof/>
          <w:lang w:val="fr-FR"/>
        </w:rPr>
        <w:t>les avancées sont les suivantes </w:t>
      </w:r>
      <w:r w:rsidR="001B2F58" w:rsidRPr="00DD03D6">
        <w:rPr>
          <w:noProof/>
          <w:lang w:val="fr-FR"/>
        </w:rPr>
        <w:t>:</w:t>
      </w:r>
    </w:p>
    <w:p w:rsidR="001B2F58" w:rsidRPr="00DD03D6" w:rsidRDefault="003D71EE" w:rsidP="00B95BA9">
      <w:pPr>
        <w:pStyle w:val="Bullet1G"/>
        <w:tabs>
          <w:tab w:val="clear" w:pos="1701"/>
        </w:tabs>
        <w:ind w:left="1843" w:hanging="142"/>
        <w:rPr>
          <w:noProof/>
          <w:lang w:val="fr-FR"/>
        </w:rPr>
      </w:pPr>
      <w:r>
        <w:rPr>
          <w:noProof/>
          <w:lang w:val="fr-FR"/>
        </w:rPr>
        <w:t xml:space="preserve">La présentation en </w:t>
      </w:r>
      <w:r w:rsidR="001B2F58" w:rsidRPr="00DD03D6">
        <w:rPr>
          <w:noProof/>
          <w:lang w:val="fr-FR"/>
        </w:rPr>
        <w:t xml:space="preserve">2011 </w:t>
      </w:r>
      <w:r>
        <w:rPr>
          <w:noProof/>
          <w:lang w:val="fr-FR"/>
        </w:rPr>
        <w:t>de la version révisée des d</w:t>
      </w:r>
      <w:r>
        <w:rPr>
          <w:iCs/>
          <w:noProof/>
          <w:lang w:val="fr-FR"/>
        </w:rPr>
        <w:t xml:space="preserve">irectives nationales intitulées </w:t>
      </w:r>
      <w:r w:rsidRPr="007D4A73">
        <w:rPr>
          <w:lang w:val="fr-CH"/>
        </w:rPr>
        <w:t>«</w:t>
      </w:r>
      <w:r w:rsidR="007D4A73">
        <w:rPr>
          <w:i/>
          <w:lang w:val="fr-CH"/>
        </w:rPr>
        <w:t> </w:t>
      </w:r>
      <w:r w:rsidRPr="007B3894">
        <w:rPr>
          <w:i/>
          <w:lang w:val="fr-CH"/>
        </w:rPr>
        <w:t>Les enfants d’abord</w:t>
      </w:r>
      <w:r>
        <w:rPr>
          <w:i/>
          <w:lang w:val="fr-CH"/>
        </w:rPr>
        <w:t xml:space="preserve"> </w:t>
      </w:r>
      <w:r w:rsidRPr="007B3894">
        <w:rPr>
          <w:i/>
          <w:lang w:val="fr-CH"/>
        </w:rPr>
        <w:t>: directives nationales pour la protecti</w:t>
      </w:r>
      <w:r>
        <w:rPr>
          <w:i/>
          <w:lang w:val="fr-CH"/>
        </w:rPr>
        <w:t>on et le bien-être des enfants</w:t>
      </w:r>
      <w:r w:rsidR="007D4A73">
        <w:rPr>
          <w:i/>
          <w:lang w:val="fr-CH"/>
        </w:rPr>
        <w:t> </w:t>
      </w:r>
      <w:r w:rsidRPr="007D4A73">
        <w:rPr>
          <w:lang w:val="fr-CH"/>
        </w:rPr>
        <w:t>»</w:t>
      </w:r>
      <w:r>
        <w:rPr>
          <w:noProof/>
          <w:lang w:val="fr-FR"/>
        </w:rPr>
        <w:t xml:space="preserve"> </w:t>
      </w:r>
      <w:r w:rsidR="001B2F58" w:rsidRPr="00DD03D6">
        <w:rPr>
          <w:noProof/>
          <w:lang w:val="fr-FR"/>
        </w:rPr>
        <w:t>(</w:t>
      </w:r>
      <w:r>
        <w:rPr>
          <w:noProof/>
          <w:lang w:val="fr-FR"/>
        </w:rPr>
        <w:t>Ministère de l’enfance et de la jeunesse</w:t>
      </w:r>
      <w:r w:rsidR="001B2F58" w:rsidRPr="00DD03D6">
        <w:rPr>
          <w:noProof/>
          <w:lang w:val="fr-FR"/>
        </w:rPr>
        <w:t xml:space="preserve">, 2011) </w:t>
      </w:r>
      <w:r>
        <w:rPr>
          <w:noProof/>
          <w:lang w:val="fr-FR"/>
        </w:rPr>
        <w:t xml:space="preserve">et du </w:t>
      </w:r>
      <w:r>
        <w:rPr>
          <w:i/>
          <w:iCs/>
          <w:noProof/>
          <w:lang w:val="fr-FR"/>
        </w:rPr>
        <w:t xml:space="preserve">Guide des pratiques en matière de services d’assistance et de protection destinés aux enfants </w:t>
      </w:r>
      <w:r>
        <w:rPr>
          <w:iCs/>
          <w:noProof/>
          <w:lang w:val="fr-FR"/>
        </w:rPr>
        <w:t>(</w:t>
      </w:r>
      <w:r w:rsidRPr="00DD03D6">
        <w:rPr>
          <w:i/>
          <w:iCs/>
          <w:noProof/>
          <w:lang w:val="fr-FR"/>
        </w:rPr>
        <w:t>Child Protection and Welfare Practice Handbook</w:t>
      </w:r>
      <w:r>
        <w:rPr>
          <w:iCs/>
          <w:noProof/>
          <w:lang w:val="fr-FR"/>
        </w:rPr>
        <w:t>)</w:t>
      </w:r>
      <w:r w:rsidRPr="00DD03D6">
        <w:rPr>
          <w:noProof/>
          <w:lang w:val="fr-FR"/>
        </w:rPr>
        <w:t xml:space="preserve"> (</w:t>
      </w:r>
      <w:r>
        <w:rPr>
          <w:noProof/>
          <w:lang w:val="fr-FR"/>
        </w:rPr>
        <w:t>Direction des services de santé</w:t>
      </w:r>
      <w:r w:rsidRPr="00DD03D6">
        <w:rPr>
          <w:noProof/>
          <w:lang w:val="fr-FR"/>
        </w:rPr>
        <w:t>,</w:t>
      </w:r>
      <w:r>
        <w:rPr>
          <w:noProof/>
          <w:lang w:val="fr-FR"/>
        </w:rPr>
        <w:t xml:space="preserve"> </w:t>
      </w:r>
      <w:r w:rsidR="001B2F58" w:rsidRPr="00DD03D6">
        <w:rPr>
          <w:noProof/>
          <w:lang w:val="fr-FR"/>
        </w:rPr>
        <w:t xml:space="preserve">2011b) </w:t>
      </w:r>
      <w:r w:rsidR="00035DE7">
        <w:rPr>
          <w:noProof/>
          <w:lang w:val="fr-FR"/>
        </w:rPr>
        <w:t>à l’intention de tou</w:t>
      </w:r>
      <w:r>
        <w:rPr>
          <w:noProof/>
          <w:lang w:val="fr-FR"/>
        </w:rPr>
        <w:t>s les travailleurs sociaux et autres professionnels concernés</w:t>
      </w:r>
      <w:r w:rsidR="001B2F58" w:rsidRPr="00DD03D6">
        <w:rPr>
          <w:noProof/>
          <w:lang w:val="fr-FR"/>
        </w:rPr>
        <w:t>;</w:t>
      </w:r>
    </w:p>
    <w:p w:rsidR="001B2F58" w:rsidRPr="00DD03D6" w:rsidRDefault="00863BCE" w:rsidP="00B95BA9">
      <w:pPr>
        <w:pStyle w:val="Bullet1G"/>
        <w:tabs>
          <w:tab w:val="clear" w:pos="1701"/>
        </w:tabs>
        <w:ind w:left="1843" w:hanging="142"/>
        <w:rPr>
          <w:noProof/>
          <w:lang w:val="fr-FR"/>
        </w:rPr>
      </w:pPr>
      <w:r>
        <w:rPr>
          <w:noProof/>
          <w:lang w:val="fr-FR"/>
        </w:rPr>
        <w:t>L’élaboration</w:t>
      </w:r>
      <w:r>
        <w:rPr>
          <w:noProof/>
          <w:lang w:val="fr-FR" w:eastAsia="en-GB"/>
        </w:rPr>
        <w:t xml:space="preserve"> des </w:t>
      </w:r>
      <w:r>
        <w:rPr>
          <w:lang w:val="fr-CH"/>
        </w:rPr>
        <w:t xml:space="preserve">grandes lignes d’un projet de loi destiné à </w:t>
      </w:r>
      <w:r>
        <w:rPr>
          <w:noProof/>
          <w:lang w:val="fr-FR" w:eastAsia="en-GB"/>
        </w:rPr>
        <w:t>donner une base légale aux directives susvisées</w:t>
      </w:r>
      <w:r w:rsidR="001B2F58" w:rsidRPr="00DD03D6">
        <w:rPr>
          <w:noProof/>
          <w:lang w:val="fr-FR"/>
        </w:rPr>
        <w:t>;</w:t>
      </w:r>
    </w:p>
    <w:p w:rsidR="001B2F58" w:rsidRPr="00DD03D6" w:rsidRDefault="00863BCE" w:rsidP="007D4A73">
      <w:pPr>
        <w:pStyle w:val="Bullet1G"/>
        <w:tabs>
          <w:tab w:val="clear" w:pos="1701"/>
        </w:tabs>
        <w:ind w:left="1843" w:hanging="142"/>
        <w:rPr>
          <w:noProof/>
          <w:lang w:val="fr-FR"/>
        </w:rPr>
      </w:pPr>
      <w:r>
        <w:rPr>
          <w:noProof/>
          <w:lang w:val="fr-FR"/>
        </w:rPr>
        <w:t>L’extension du mandat du Bureau de l’information sanitaire et de la qualité des services sanitaires à la supervision des services de protection de l’enfance de la Direction des services de santé</w:t>
      </w:r>
      <w:r w:rsidR="001B2F58" w:rsidRPr="00DD03D6">
        <w:rPr>
          <w:noProof/>
          <w:lang w:val="fr-FR"/>
        </w:rPr>
        <w:t>;</w:t>
      </w:r>
    </w:p>
    <w:p w:rsidR="001B2F58" w:rsidRPr="00DD03D6" w:rsidRDefault="00863BCE" w:rsidP="007D4A73">
      <w:pPr>
        <w:pStyle w:val="Bullet1G"/>
        <w:tabs>
          <w:tab w:val="clear" w:pos="1701"/>
        </w:tabs>
        <w:ind w:left="1843" w:hanging="142"/>
        <w:rPr>
          <w:noProof/>
          <w:lang w:val="fr-FR"/>
        </w:rPr>
      </w:pPr>
      <w:r>
        <w:rPr>
          <w:noProof/>
          <w:lang w:val="fr-FR"/>
        </w:rPr>
        <w:t xml:space="preserve">La loi de 2012 </w:t>
      </w:r>
      <w:r>
        <w:rPr>
          <w:noProof/>
          <w:lang w:val="fr-FR" w:eastAsia="en-GB"/>
        </w:rPr>
        <w:t xml:space="preserve">sur le Bureau national de vérification </w:t>
      </w:r>
      <w:r w:rsidR="00967C71">
        <w:rPr>
          <w:noProof/>
          <w:lang w:val="fr-FR" w:eastAsia="en-GB"/>
        </w:rPr>
        <w:t xml:space="preserve">des antécédents </w:t>
      </w:r>
      <w:r>
        <w:rPr>
          <w:noProof/>
          <w:lang w:val="fr-FR" w:eastAsia="en-GB"/>
        </w:rPr>
        <w:t>(enfants et personnes v</w:t>
      </w:r>
      <w:r w:rsidRPr="00DD03D6">
        <w:rPr>
          <w:noProof/>
          <w:lang w:val="fr-FR" w:eastAsia="en-GB"/>
        </w:rPr>
        <w:t>uln</w:t>
      </w:r>
      <w:r>
        <w:rPr>
          <w:noProof/>
          <w:lang w:val="fr-FR" w:eastAsia="en-GB"/>
        </w:rPr>
        <w:t>é</w:t>
      </w:r>
      <w:r w:rsidRPr="00DD03D6">
        <w:rPr>
          <w:noProof/>
          <w:lang w:val="fr-FR" w:eastAsia="en-GB"/>
        </w:rPr>
        <w:t>rable</w:t>
      </w:r>
      <w:r>
        <w:rPr>
          <w:noProof/>
          <w:lang w:val="fr-FR" w:eastAsia="en-GB"/>
        </w:rPr>
        <w:t>s</w:t>
      </w:r>
      <w:r w:rsidRPr="00DD03D6">
        <w:rPr>
          <w:noProof/>
          <w:lang w:val="fr-FR" w:eastAsia="en-GB"/>
        </w:rPr>
        <w:t xml:space="preserve">) </w:t>
      </w:r>
      <w:r>
        <w:rPr>
          <w:noProof/>
          <w:lang w:val="fr-FR" w:eastAsia="en-GB"/>
        </w:rPr>
        <w:t xml:space="preserve">donne une base légale </w:t>
      </w:r>
      <w:r w:rsidR="00967C71">
        <w:rPr>
          <w:noProof/>
          <w:lang w:val="fr-FR" w:eastAsia="en-GB"/>
        </w:rPr>
        <w:t>à la vérification des antécédents</w:t>
      </w:r>
      <w:r>
        <w:rPr>
          <w:noProof/>
          <w:lang w:val="fr-FR" w:eastAsia="en-GB"/>
        </w:rPr>
        <w:t xml:space="preserve"> des personnes travaillant avec des enfants et/ou des personnes</w:t>
      </w:r>
      <w:r w:rsidRPr="00DD03D6">
        <w:rPr>
          <w:noProof/>
          <w:lang w:val="fr-FR" w:eastAsia="en-GB"/>
        </w:rPr>
        <w:t xml:space="preserve"> vuln</w:t>
      </w:r>
      <w:r>
        <w:rPr>
          <w:noProof/>
          <w:lang w:val="fr-FR" w:eastAsia="en-GB"/>
        </w:rPr>
        <w:t>é</w:t>
      </w:r>
      <w:r w:rsidRPr="00DD03D6">
        <w:rPr>
          <w:noProof/>
          <w:lang w:val="fr-FR" w:eastAsia="en-GB"/>
        </w:rPr>
        <w:t>rable</w:t>
      </w:r>
      <w:r>
        <w:rPr>
          <w:noProof/>
          <w:lang w:val="fr-FR" w:eastAsia="en-GB"/>
        </w:rPr>
        <w:t>s</w:t>
      </w:r>
      <w:r w:rsidRPr="00DD03D6">
        <w:rPr>
          <w:noProof/>
          <w:lang w:val="fr-FR"/>
        </w:rPr>
        <w:t xml:space="preserve"> </w:t>
      </w:r>
      <w:r>
        <w:rPr>
          <w:noProof/>
          <w:lang w:val="fr-FR"/>
        </w:rPr>
        <w:t xml:space="preserve">et autorise le partage </w:t>
      </w:r>
      <w:r w:rsidRPr="00FA02D4">
        <w:rPr>
          <w:lang w:val="fr-CH"/>
        </w:rPr>
        <w:t>«</w:t>
      </w:r>
      <w:r w:rsidR="00FD2518">
        <w:rPr>
          <w:lang w:val="fr-CH"/>
        </w:rPr>
        <w:t> </w:t>
      </w:r>
      <w:r>
        <w:rPr>
          <w:lang w:val="fr-CH"/>
        </w:rPr>
        <w:t>d’</w:t>
      </w:r>
      <w:r w:rsidRPr="00FA02D4">
        <w:rPr>
          <w:lang w:val="fr-CH"/>
        </w:rPr>
        <w:t>information</w:t>
      </w:r>
      <w:r>
        <w:rPr>
          <w:lang w:val="fr-CH"/>
        </w:rPr>
        <w:t>s</w:t>
      </w:r>
      <w:r w:rsidRPr="00FA02D4">
        <w:rPr>
          <w:lang w:val="fr-CH"/>
        </w:rPr>
        <w:t xml:space="preserve"> circonstancielle</w:t>
      </w:r>
      <w:r>
        <w:rPr>
          <w:lang w:val="fr-CH"/>
        </w:rPr>
        <w:t>s</w:t>
      </w:r>
      <w:r w:rsidR="00FD2518">
        <w:rPr>
          <w:lang w:val="fr-CH"/>
        </w:rPr>
        <w:t> </w:t>
      </w:r>
      <w:r w:rsidRPr="00FA02D4">
        <w:rPr>
          <w:lang w:val="fr-CH"/>
        </w:rPr>
        <w:t xml:space="preserve">») </w:t>
      </w:r>
      <w:r>
        <w:rPr>
          <w:lang w:val="fr-CH"/>
        </w:rPr>
        <w:t xml:space="preserve">dans le cadre du processus </w:t>
      </w:r>
      <w:r w:rsidR="00967C71">
        <w:rPr>
          <w:lang w:val="fr-CH"/>
        </w:rPr>
        <w:t xml:space="preserve">de </w:t>
      </w:r>
      <w:r>
        <w:rPr>
          <w:lang w:val="fr-CH"/>
        </w:rPr>
        <w:t>vérification</w:t>
      </w:r>
      <w:r w:rsidR="001B2F58" w:rsidRPr="00DD03D6">
        <w:rPr>
          <w:noProof/>
          <w:lang w:val="fr-FR"/>
        </w:rPr>
        <w:t>;</w:t>
      </w:r>
    </w:p>
    <w:p w:rsidR="001B2F58" w:rsidRPr="00DD03D6" w:rsidRDefault="00AD4BDF" w:rsidP="007D4A73">
      <w:pPr>
        <w:pStyle w:val="Bullet1G"/>
        <w:tabs>
          <w:tab w:val="clear" w:pos="1701"/>
        </w:tabs>
        <w:ind w:left="1843" w:hanging="142"/>
        <w:rPr>
          <w:noProof/>
          <w:lang w:val="fr-FR"/>
        </w:rPr>
      </w:pPr>
      <w:r>
        <w:rPr>
          <w:noProof/>
          <w:lang w:val="fr-FR"/>
        </w:rPr>
        <w:t xml:space="preserve">La mise en application de la loi de 2012 sur la justice pénale </w:t>
      </w:r>
      <w:r w:rsidRPr="00DD03D6">
        <w:rPr>
          <w:noProof/>
          <w:lang w:val="fr-FR"/>
        </w:rPr>
        <w:t>(</w:t>
      </w:r>
      <w:r w:rsidR="00067B0B">
        <w:rPr>
          <w:noProof/>
          <w:lang w:val="fr-FR"/>
        </w:rPr>
        <w:t xml:space="preserve">rétention </w:t>
      </w:r>
      <w:r w:rsidRPr="00D5371E">
        <w:rPr>
          <w:lang w:val="fr-FR"/>
        </w:rPr>
        <w:t>de l’information relative aux infractions commises contre des enfants ou des adultes vulnérables</w:t>
      </w:r>
      <w:r>
        <w:rPr>
          <w:noProof/>
          <w:lang w:val="fr-FR"/>
        </w:rPr>
        <w:t>)</w:t>
      </w:r>
      <w:r w:rsidR="001B2F58" w:rsidRPr="00DD03D6">
        <w:rPr>
          <w:noProof/>
          <w:lang w:val="fr-FR" w:eastAsia="en-GB"/>
        </w:rPr>
        <w:t>.</w:t>
      </w:r>
    </w:p>
    <w:p w:rsidR="001B2F58" w:rsidRPr="00DD03D6" w:rsidRDefault="00AD4BDF" w:rsidP="00772453">
      <w:pPr>
        <w:pStyle w:val="SingleTxtG"/>
        <w:numPr>
          <w:ilvl w:val="0"/>
          <w:numId w:val="3"/>
        </w:numPr>
        <w:ind w:left="1134" w:firstLine="0"/>
        <w:rPr>
          <w:noProof/>
          <w:lang w:val="fr-FR"/>
        </w:rPr>
      </w:pPr>
      <w:r>
        <w:rPr>
          <w:noProof/>
          <w:lang w:val="fr-FR"/>
        </w:rPr>
        <w:t xml:space="preserve">En sus de ce qui précède, </w:t>
      </w:r>
      <w:r w:rsidR="00A83FF5">
        <w:rPr>
          <w:noProof/>
          <w:lang w:val="fr-FR"/>
        </w:rPr>
        <w:t xml:space="preserve">le </w:t>
      </w:r>
      <w:r w:rsidR="00A83FF5">
        <w:rPr>
          <w:i/>
          <w:noProof/>
          <w:lang w:val="fr-FR"/>
        </w:rPr>
        <w:t xml:space="preserve">Rapport du Groupe indépendant d’examen des cas de décès d’enfants </w:t>
      </w:r>
      <w:r w:rsidR="00A83FF5">
        <w:rPr>
          <w:noProof/>
          <w:lang w:val="fr-FR"/>
        </w:rPr>
        <w:t>(</w:t>
      </w:r>
      <w:r w:rsidR="001B2F58" w:rsidRPr="00DD03D6">
        <w:rPr>
          <w:i/>
          <w:iCs/>
          <w:noProof/>
          <w:lang w:val="fr-FR"/>
        </w:rPr>
        <w:t>Report of the Independent Child Death Review Group</w:t>
      </w:r>
      <w:r w:rsidR="001B2F58" w:rsidRPr="00DD03D6">
        <w:rPr>
          <w:noProof/>
          <w:lang w:val="fr-FR"/>
        </w:rPr>
        <w:t xml:space="preserve">) </w:t>
      </w:r>
      <w:r w:rsidR="00A83FF5">
        <w:rPr>
          <w:noProof/>
          <w:lang w:val="fr-FR"/>
        </w:rPr>
        <w:t xml:space="preserve">a été publié en juin </w:t>
      </w:r>
      <w:r w:rsidR="001B2F58" w:rsidRPr="00DD03D6">
        <w:rPr>
          <w:noProof/>
          <w:lang w:val="fr-FR"/>
        </w:rPr>
        <w:t xml:space="preserve">2012. </w:t>
      </w:r>
      <w:r w:rsidR="00A83FF5">
        <w:rPr>
          <w:noProof/>
          <w:lang w:val="fr-FR"/>
        </w:rPr>
        <w:t xml:space="preserve">Ce Groupe a examiné le nombre et les causes des décès d’enfants pris en charge par la Direction des services de santé, bénéficiant de ses services de suivi ou connus de ses services de protection des enfants entre le </w:t>
      </w:r>
      <w:r w:rsidR="001B2F58" w:rsidRPr="00DD03D6">
        <w:rPr>
          <w:noProof/>
          <w:lang w:val="fr-FR"/>
        </w:rPr>
        <w:t>1</w:t>
      </w:r>
      <w:r w:rsidR="00A83FF5" w:rsidRPr="00A83FF5">
        <w:rPr>
          <w:noProof/>
          <w:vertAlign w:val="superscript"/>
          <w:lang w:val="fr-FR"/>
        </w:rPr>
        <w:t>er</w:t>
      </w:r>
      <w:r w:rsidR="00A83FF5">
        <w:rPr>
          <w:noProof/>
          <w:lang w:val="fr-FR"/>
        </w:rPr>
        <w:t xml:space="preserve"> janvier</w:t>
      </w:r>
      <w:r w:rsidR="001B2F58" w:rsidRPr="00DD03D6">
        <w:rPr>
          <w:noProof/>
          <w:lang w:val="fr-FR"/>
        </w:rPr>
        <w:t xml:space="preserve"> 2000 </w:t>
      </w:r>
      <w:r w:rsidR="00A83FF5">
        <w:rPr>
          <w:noProof/>
          <w:lang w:val="fr-FR"/>
        </w:rPr>
        <w:t xml:space="preserve">et le </w:t>
      </w:r>
      <w:r w:rsidR="001B2F58" w:rsidRPr="00DD03D6">
        <w:rPr>
          <w:noProof/>
          <w:lang w:val="fr-FR"/>
        </w:rPr>
        <w:t xml:space="preserve">30 </w:t>
      </w:r>
      <w:r w:rsidR="00A83FF5">
        <w:rPr>
          <w:noProof/>
          <w:lang w:val="fr-FR"/>
        </w:rPr>
        <w:t>av</w:t>
      </w:r>
      <w:r w:rsidR="001B2F58" w:rsidRPr="00DD03D6">
        <w:rPr>
          <w:noProof/>
          <w:lang w:val="fr-FR"/>
        </w:rPr>
        <w:t xml:space="preserve">ril 2010. </w:t>
      </w:r>
      <w:r w:rsidR="00A83FF5">
        <w:rPr>
          <w:noProof/>
          <w:lang w:val="fr-FR"/>
        </w:rPr>
        <w:t>Au cours de ces 10 années,</w:t>
      </w:r>
      <w:r w:rsidR="001B2F58" w:rsidRPr="00DD03D6">
        <w:rPr>
          <w:noProof/>
          <w:lang w:val="fr-FR"/>
        </w:rPr>
        <w:t xml:space="preserve"> 196 </w:t>
      </w:r>
      <w:r w:rsidR="00A83FF5">
        <w:rPr>
          <w:noProof/>
          <w:lang w:val="fr-FR"/>
        </w:rPr>
        <w:t xml:space="preserve">enfants et jeunes sont décédés de causes naturelles </w:t>
      </w:r>
      <w:r w:rsidR="001B2F58" w:rsidRPr="00DD03D6">
        <w:rPr>
          <w:noProof/>
          <w:lang w:val="fr-FR"/>
        </w:rPr>
        <w:t xml:space="preserve">(84 cas) </w:t>
      </w:r>
      <w:r w:rsidR="00A83FF5">
        <w:rPr>
          <w:noProof/>
          <w:lang w:val="fr-FR"/>
        </w:rPr>
        <w:t>et</w:t>
      </w:r>
      <w:r w:rsidR="001B2F58" w:rsidRPr="00DD03D6">
        <w:rPr>
          <w:noProof/>
          <w:lang w:val="fr-FR"/>
        </w:rPr>
        <w:t xml:space="preserve"> </w:t>
      </w:r>
      <w:r w:rsidR="00A83FF5">
        <w:rPr>
          <w:noProof/>
          <w:lang w:val="fr-FR"/>
        </w:rPr>
        <w:t xml:space="preserve">non </w:t>
      </w:r>
      <w:r w:rsidR="001B2F58" w:rsidRPr="00DD03D6">
        <w:rPr>
          <w:noProof/>
          <w:lang w:val="fr-FR"/>
        </w:rPr>
        <w:t>natur</w:t>
      </w:r>
      <w:r w:rsidR="00A83FF5">
        <w:rPr>
          <w:noProof/>
          <w:lang w:val="fr-FR"/>
        </w:rPr>
        <w:t xml:space="preserve">elles </w:t>
      </w:r>
      <w:r w:rsidR="001B2F58" w:rsidRPr="00DD03D6">
        <w:rPr>
          <w:noProof/>
          <w:lang w:val="fr-FR"/>
        </w:rPr>
        <w:t xml:space="preserve">(112 cas), </w:t>
      </w:r>
      <w:r w:rsidR="00A83FF5">
        <w:rPr>
          <w:noProof/>
          <w:lang w:val="fr-FR"/>
        </w:rPr>
        <w:t xml:space="preserve">ces décès se répartissant comme suit </w:t>
      </w:r>
      <w:r w:rsidR="001B2F58" w:rsidRPr="00DD03D6">
        <w:rPr>
          <w:noProof/>
          <w:lang w:val="fr-FR"/>
        </w:rPr>
        <w:t>:</w:t>
      </w:r>
    </w:p>
    <w:p w:rsidR="001B2F58" w:rsidRPr="00DD03D6" w:rsidRDefault="00A83FF5" w:rsidP="007D4A73">
      <w:pPr>
        <w:pStyle w:val="Bullet1G"/>
        <w:tabs>
          <w:tab w:val="clear" w:pos="1701"/>
          <w:tab w:val="left" w:pos="1843"/>
          <w:tab w:val="left" w:pos="6237"/>
        </w:tabs>
        <w:ind w:left="1843" w:hanging="142"/>
        <w:rPr>
          <w:noProof/>
          <w:lang w:val="fr-FR"/>
        </w:rPr>
      </w:pPr>
      <w:r>
        <w:rPr>
          <w:noProof/>
          <w:lang w:val="fr-FR"/>
        </w:rPr>
        <w:t>Enfants placés</w:t>
      </w:r>
      <w:r w:rsidR="00351372" w:rsidRPr="00DD03D6">
        <w:rPr>
          <w:noProof/>
          <w:lang w:val="fr-FR"/>
        </w:rPr>
        <w:tab/>
      </w:r>
      <w:r w:rsidR="00351372" w:rsidRPr="00DD03D6">
        <w:rPr>
          <w:noProof/>
          <w:lang w:val="fr-FR"/>
        </w:rPr>
        <w:tab/>
      </w:r>
      <w:r w:rsidR="001B2F58" w:rsidRPr="00DD03D6">
        <w:rPr>
          <w:noProof/>
          <w:lang w:val="fr-FR"/>
        </w:rPr>
        <w:t>36 d</w:t>
      </w:r>
      <w:r w:rsidR="00167232">
        <w:rPr>
          <w:noProof/>
          <w:lang w:val="fr-FR"/>
        </w:rPr>
        <w:t>écès</w:t>
      </w:r>
      <w:r w:rsidR="0031545F" w:rsidRPr="00DD03D6">
        <w:rPr>
          <w:noProof/>
          <w:lang w:val="fr-FR"/>
        </w:rPr>
        <w:t>;</w:t>
      </w:r>
    </w:p>
    <w:p w:rsidR="001B2F58" w:rsidRPr="00DD03D6" w:rsidRDefault="00167232" w:rsidP="007D4A73">
      <w:pPr>
        <w:pStyle w:val="Bullet1G"/>
        <w:tabs>
          <w:tab w:val="clear" w:pos="1701"/>
          <w:tab w:val="left" w:pos="1843"/>
          <w:tab w:val="left" w:pos="6237"/>
        </w:tabs>
        <w:ind w:left="1843" w:hanging="142"/>
        <w:rPr>
          <w:noProof/>
          <w:lang w:val="fr-FR"/>
        </w:rPr>
      </w:pPr>
      <w:r>
        <w:rPr>
          <w:noProof/>
          <w:lang w:val="fr-FR"/>
        </w:rPr>
        <w:t>Enfants et jeunes bénéficiant d’un suivi</w:t>
      </w:r>
      <w:r w:rsidR="001B2F58" w:rsidRPr="00DD03D6">
        <w:rPr>
          <w:noProof/>
          <w:lang w:val="fr-FR"/>
        </w:rPr>
        <w:tab/>
      </w:r>
      <w:r w:rsidR="00351372" w:rsidRPr="00DD03D6">
        <w:rPr>
          <w:noProof/>
          <w:lang w:val="fr-FR"/>
        </w:rPr>
        <w:tab/>
      </w:r>
      <w:r w:rsidR="001B2F58" w:rsidRPr="00DD03D6">
        <w:rPr>
          <w:noProof/>
          <w:lang w:val="fr-FR"/>
        </w:rPr>
        <w:t>32 d</w:t>
      </w:r>
      <w:r>
        <w:rPr>
          <w:noProof/>
          <w:lang w:val="fr-FR"/>
        </w:rPr>
        <w:t>écès</w:t>
      </w:r>
      <w:r w:rsidR="0031545F" w:rsidRPr="00DD03D6">
        <w:rPr>
          <w:noProof/>
          <w:lang w:val="fr-FR"/>
        </w:rPr>
        <w:t>;</w:t>
      </w:r>
    </w:p>
    <w:p w:rsidR="001B2F58" w:rsidRPr="00DD03D6" w:rsidRDefault="00167232" w:rsidP="007D4A73">
      <w:pPr>
        <w:pStyle w:val="Bullet1G"/>
        <w:tabs>
          <w:tab w:val="clear" w:pos="1701"/>
          <w:tab w:val="left" w:pos="1843"/>
          <w:tab w:val="left" w:pos="6237"/>
        </w:tabs>
        <w:ind w:left="1843" w:hanging="142"/>
        <w:rPr>
          <w:noProof/>
          <w:color w:val="000000"/>
          <w:lang w:val="fr-FR"/>
        </w:rPr>
      </w:pPr>
      <w:r>
        <w:rPr>
          <w:noProof/>
          <w:lang w:val="fr-FR"/>
        </w:rPr>
        <w:t>Enfants et jeunes connus de la Direction</w:t>
      </w:r>
      <w:r>
        <w:rPr>
          <w:noProof/>
          <w:lang w:val="fr-FR"/>
        </w:rPr>
        <w:tab/>
      </w:r>
      <w:r w:rsidR="001B2F58" w:rsidRPr="00DD03D6">
        <w:rPr>
          <w:noProof/>
          <w:lang w:val="fr-FR"/>
        </w:rPr>
        <w:tab/>
        <w:t>128 d</w:t>
      </w:r>
      <w:r>
        <w:rPr>
          <w:noProof/>
          <w:lang w:val="fr-FR"/>
        </w:rPr>
        <w:t>écès</w:t>
      </w:r>
      <w:r w:rsidR="0031545F" w:rsidRPr="00DD03D6">
        <w:rPr>
          <w:noProof/>
          <w:lang w:val="fr-FR"/>
        </w:rPr>
        <w:t>.</w:t>
      </w:r>
    </w:p>
    <w:p w:rsidR="001B2F58" w:rsidRPr="00DD03D6" w:rsidRDefault="00167232" w:rsidP="002770F1">
      <w:pPr>
        <w:pStyle w:val="SingleTxtG"/>
        <w:numPr>
          <w:ilvl w:val="0"/>
          <w:numId w:val="3"/>
        </w:numPr>
        <w:ind w:left="1134" w:firstLine="0"/>
        <w:rPr>
          <w:noProof/>
          <w:lang w:val="fr-FR"/>
        </w:rPr>
      </w:pPr>
      <w:r>
        <w:rPr>
          <w:noProof/>
          <w:lang w:val="fr-FR"/>
        </w:rPr>
        <w:t xml:space="preserve">Le Groupe indépendant d’examen a examiné en détail les </w:t>
      </w:r>
      <w:r w:rsidR="001B2F58" w:rsidRPr="00DD03D6">
        <w:rPr>
          <w:noProof/>
          <w:lang w:val="fr-FR"/>
        </w:rPr>
        <w:t>112 cas</w:t>
      </w:r>
      <w:r>
        <w:rPr>
          <w:noProof/>
          <w:lang w:val="fr-FR"/>
        </w:rPr>
        <w:t xml:space="preserve"> où le décès était dû à des causes non naturelles</w:t>
      </w:r>
      <w:r w:rsidR="001B2F58" w:rsidRPr="00DD03D6">
        <w:rPr>
          <w:noProof/>
          <w:lang w:val="fr-FR"/>
        </w:rPr>
        <w:t>,</w:t>
      </w:r>
      <w:r>
        <w:rPr>
          <w:noProof/>
          <w:lang w:val="fr-FR"/>
        </w:rPr>
        <w:t xml:space="preserve"> notamment les causes accidentelles (noyade</w:t>
      </w:r>
      <w:r w:rsidR="001B2F58" w:rsidRPr="00DD03D6">
        <w:rPr>
          <w:noProof/>
          <w:lang w:val="fr-FR"/>
        </w:rPr>
        <w:t>, asphyxi</w:t>
      </w:r>
      <w:r>
        <w:rPr>
          <w:noProof/>
          <w:lang w:val="fr-FR"/>
        </w:rPr>
        <w:t>e</w:t>
      </w:r>
      <w:r w:rsidR="001B2F58" w:rsidRPr="00DD03D6">
        <w:rPr>
          <w:noProof/>
          <w:lang w:val="fr-FR"/>
        </w:rPr>
        <w:t xml:space="preserve">, </w:t>
      </w:r>
      <w:r>
        <w:rPr>
          <w:noProof/>
          <w:lang w:val="fr-FR"/>
        </w:rPr>
        <w:t>chute et accident de la route</w:t>
      </w:r>
      <w:r w:rsidR="001B2F58" w:rsidRPr="00DD03D6">
        <w:rPr>
          <w:noProof/>
          <w:lang w:val="fr-FR"/>
        </w:rPr>
        <w:t xml:space="preserve">, </w:t>
      </w:r>
      <w:r>
        <w:rPr>
          <w:noProof/>
          <w:lang w:val="fr-FR"/>
        </w:rPr>
        <w:t>abus de drogue</w:t>
      </w:r>
      <w:r w:rsidR="001B2F58" w:rsidRPr="00DD03D6">
        <w:rPr>
          <w:noProof/>
          <w:lang w:val="fr-FR"/>
        </w:rPr>
        <w:t xml:space="preserve">, </w:t>
      </w:r>
      <w:r>
        <w:rPr>
          <w:noProof/>
          <w:lang w:val="fr-FR"/>
        </w:rPr>
        <w:t>incendie du domicile)</w:t>
      </w:r>
      <w:r w:rsidR="001B2F58" w:rsidRPr="00DD03D6">
        <w:rPr>
          <w:noProof/>
          <w:lang w:val="fr-FR"/>
        </w:rPr>
        <w:t xml:space="preserve">, </w:t>
      </w:r>
      <w:r>
        <w:rPr>
          <w:noProof/>
          <w:lang w:val="fr-FR"/>
        </w:rPr>
        <w:t>le suicide</w:t>
      </w:r>
      <w:r w:rsidR="001B2F58" w:rsidRPr="00DD03D6">
        <w:rPr>
          <w:noProof/>
          <w:lang w:val="fr-FR"/>
        </w:rPr>
        <w:t xml:space="preserve">, </w:t>
      </w:r>
      <w:r>
        <w:rPr>
          <w:noProof/>
          <w:lang w:val="fr-FR"/>
        </w:rPr>
        <w:t xml:space="preserve">les </w:t>
      </w:r>
      <w:r w:rsidR="001B2F58" w:rsidRPr="00DD03D6">
        <w:rPr>
          <w:noProof/>
          <w:lang w:val="fr-FR"/>
        </w:rPr>
        <w:t>d</w:t>
      </w:r>
      <w:r>
        <w:rPr>
          <w:noProof/>
          <w:lang w:val="fr-FR"/>
        </w:rPr>
        <w:t>écès due à une blessure à la tête dans le cas desquels la cause de la blessure était inconnue, les décès dus à des causes inconnues et les meurtres</w:t>
      </w:r>
      <w:r w:rsidR="001B2F58" w:rsidRPr="00DD03D6">
        <w:rPr>
          <w:noProof/>
          <w:lang w:val="fr-FR"/>
        </w:rPr>
        <w:t xml:space="preserve">. </w:t>
      </w:r>
      <w:r>
        <w:rPr>
          <w:noProof/>
          <w:lang w:val="fr-FR"/>
        </w:rPr>
        <w:t xml:space="preserve">Dans cette dernière catégorie, deux enfants pris en charge par la Direction des services de santé, un jeune bénéficiant d’un suivi et </w:t>
      </w:r>
      <w:r w:rsidR="007D4A73">
        <w:rPr>
          <w:noProof/>
          <w:lang w:val="fr-FR"/>
        </w:rPr>
        <w:t>13 </w:t>
      </w:r>
      <w:r>
        <w:rPr>
          <w:noProof/>
          <w:lang w:val="fr-FR"/>
        </w:rPr>
        <w:t>personnes connues des services de protection des enfants avaient été assassinés</w:t>
      </w:r>
      <w:r w:rsidR="001B2F58" w:rsidRPr="00DD03D6">
        <w:rPr>
          <w:noProof/>
          <w:lang w:val="fr-FR"/>
        </w:rPr>
        <w:t>.</w:t>
      </w:r>
    </w:p>
    <w:p w:rsidR="001B2F58" w:rsidRPr="00DD03D6" w:rsidRDefault="00167232" w:rsidP="00F55099">
      <w:pPr>
        <w:pStyle w:val="SingleTxtG"/>
        <w:numPr>
          <w:ilvl w:val="0"/>
          <w:numId w:val="3"/>
        </w:numPr>
        <w:ind w:left="1134" w:firstLine="0"/>
        <w:rPr>
          <w:noProof/>
          <w:lang w:val="fr-FR"/>
        </w:rPr>
      </w:pPr>
      <w:r>
        <w:rPr>
          <w:noProof/>
          <w:lang w:val="fr-FR"/>
        </w:rPr>
        <w:lastRenderedPageBreak/>
        <w:t xml:space="preserve">Dans son rapport, le Groupe </w:t>
      </w:r>
      <w:r w:rsidR="00D5312A">
        <w:rPr>
          <w:noProof/>
          <w:lang w:val="fr-FR"/>
        </w:rPr>
        <w:t xml:space="preserve">a relevé les défaillances systémiques des services de protection des enfants en Irlande, et notamment </w:t>
      </w:r>
      <w:r w:rsidR="001B2F58" w:rsidRPr="00DD03D6">
        <w:rPr>
          <w:noProof/>
          <w:lang w:val="fr-FR"/>
        </w:rPr>
        <w:t>:</w:t>
      </w:r>
    </w:p>
    <w:p w:rsidR="001B2F58" w:rsidRPr="00DD03D6" w:rsidRDefault="00D5312A" w:rsidP="007D4A73">
      <w:pPr>
        <w:pStyle w:val="Bullet1G"/>
        <w:tabs>
          <w:tab w:val="clear" w:pos="1701"/>
          <w:tab w:val="left" w:pos="1843"/>
          <w:tab w:val="left" w:pos="6237"/>
        </w:tabs>
        <w:ind w:left="1843" w:hanging="142"/>
        <w:rPr>
          <w:noProof/>
          <w:lang w:val="fr-FR"/>
        </w:rPr>
      </w:pPr>
      <w:r>
        <w:rPr>
          <w:noProof/>
          <w:lang w:val="fr-FR"/>
        </w:rPr>
        <w:t>Mauvaise qualité de l’évaluation des risques</w:t>
      </w:r>
      <w:r w:rsidR="001B2F58" w:rsidRPr="00DD03D6">
        <w:rPr>
          <w:noProof/>
          <w:lang w:val="fr-FR"/>
        </w:rPr>
        <w:t>;</w:t>
      </w:r>
    </w:p>
    <w:p w:rsidR="001B2F58" w:rsidRPr="00DD03D6" w:rsidRDefault="00D5312A" w:rsidP="007D4A73">
      <w:pPr>
        <w:pStyle w:val="Bullet1G"/>
        <w:tabs>
          <w:tab w:val="clear" w:pos="1701"/>
          <w:tab w:val="left" w:pos="1843"/>
          <w:tab w:val="left" w:pos="6237"/>
        </w:tabs>
        <w:ind w:left="1843" w:hanging="142"/>
        <w:rPr>
          <w:noProof/>
          <w:lang w:val="fr-FR"/>
        </w:rPr>
      </w:pPr>
      <w:r>
        <w:rPr>
          <w:noProof/>
          <w:lang w:val="fr-FR"/>
        </w:rPr>
        <w:t xml:space="preserve">Défaut de </w:t>
      </w:r>
      <w:r w:rsidR="001B2F58" w:rsidRPr="00DD03D6">
        <w:rPr>
          <w:noProof/>
          <w:lang w:val="fr-FR"/>
        </w:rPr>
        <w:t xml:space="preserve">coordination </w:t>
      </w:r>
      <w:r>
        <w:rPr>
          <w:noProof/>
          <w:lang w:val="fr-FR"/>
        </w:rPr>
        <w:t xml:space="preserve">entre les </w:t>
      </w:r>
      <w:r w:rsidR="001B2F58" w:rsidRPr="00DD03D6">
        <w:rPr>
          <w:noProof/>
          <w:lang w:val="fr-FR"/>
        </w:rPr>
        <w:t>services;</w:t>
      </w:r>
    </w:p>
    <w:p w:rsidR="001B2F58" w:rsidRPr="00DD03D6" w:rsidRDefault="00D5312A" w:rsidP="007D4A73">
      <w:pPr>
        <w:pStyle w:val="Bullet1G"/>
        <w:tabs>
          <w:tab w:val="clear" w:pos="1701"/>
          <w:tab w:val="left" w:pos="1843"/>
          <w:tab w:val="left" w:pos="6237"/>
        </w:tabs>
        <w:ind w:left="1843" w:hanging="142"/>
        <w:rPr>
          <w:noProof/>
          <w:lang w:val="fr-FR"/>
        </w:rPr>
      </w:pPr>
      <w:r>
        <w:rPr>
          <w:noProof/>
          <w:lang w:val="fr-FR"/>
        </w:rPr>
        <w:t>Mauvaise circulation de l’</w:t>
      </w:r>
      <w:r w:rsidR="001B2F58" w:rsidRPr="00DD03D6">
        <w:rPr>
          <w:noProof/>
          <w:lang w:val="fr-FR"/>
        </w:rPr>
        <w:t>information;</w:t>
      </w:r>
    </w:p>
    <w:p w:rsidR="001B2F58" w:rsidRPr="00DD03D6" w:rsidRDefault="00D5312A" w:rsidP="007D4A73">
      <w:pPr>
        <w:pStyle w:val="Bullet1G"/>
        <w:tabs>
          <w:tab w:val="clear" w:pos="1701"/>
          <w:tab w:val="left" w:pos="1843"/>
          <w:tab w:val="left" w:pos="6237"/>
        </w:tabs>
        <w:ind w:left="1843" w:hanging="142"/>
        <w:rPr>
          <w:noProof/>
          <w:lang w:val="fr-FR"/>
        </w:rPr>
      </w:pPr>
      <w:r>
        <w:rPr>
          <w:noProof/>
          <w:lang w:val="fr-FR"/>
        </w:rPr>
        <w:t>Accès limité aux services d’évaluation et de traitement spécialisés</w:t>
      </w:r>
      <w:r w:rsidR="001B2F58" w:rsidRPr="00DD03D6">
        <w:rPr>
          <w:noProof/>
          <w:lang w:val="fr-FR"/>
        </w:rPr>
        <w:t>;</w:t>
      </w:r>
    </w:p>
    <w:p w:rsidR="001B2F58" w:rsidRPr="00DD03D6" w:rsidRDefault="00D5312A" w:rsidP="007D4A73">
      <w:pPr>
        <w:pStyle w:val="Bullet1G"/>
        <w:tabs>
          <w:tab w:val="clear" w:pos="1701"/>
          <w:tab w:val="left" w:pos="1843"/>
          <w:tab w:val="left" w:pos="6237"/>
        </w:tabs>
        <w:ind w:left="1843" w:hanging="142"/>
        <w:rPr>
          <w:noProof/>
          <w:lang w:val="fr-FR"/>
        </w:rPr>
      </w:pPr>
      <w:r>
        <w:rPr>
          <w:noProof/>
          <w:lang w:val="fr-FR"/>
        </w:rPr>
        <w:t>Insuffisance de la collaboration interorganismes en faveur des enfants et des familles aux besoins complexes</w:t>
      </w:r>
      <w:r w:rsidR="001B2F58" w:rsidRPr="00DD03D6">
        <w:rPr>
          <w:noProof/>
          <w:lang w:val="fr-FR"/>
        </w:rPr>
        <w:t>;</w:t>
      </w:r>
    </w:p>
    <w:p w:rsidR="001B2F58" w:rsidRPr="00DD03D6" w:rsidRDefault="00D5312A" w:rsidP="007D4A73">
      <w:pPr>
        <w:pStyle w:val="Bullet1G"/>
        <w:tabs>
          <w:tab w:val="clear" w:pos="1701"/>
          <w:tab w:val="left" w:pos="1843"/>
          <w:tab w:val="left" w:pos="6237"/>
        </w:tabs>
        <w:ind w:left="1843" w:hanging="142"/>
        <w:rPr>
          <w:noProof/>
          <w:lang w:val="fr-FR"/>
        </w:rPr>
      </w:pPr>
      <w:r>
        <w:rPr>
          <w:noProof/>
          <w:lang w:val="fr-FR"/>
        </w:rPr>
        <w:t>Défaut d’intervention précoce et de services d’appui aux familles capables de répondre de façon proportionnée aux besoins des enfants en situation de risque et des familles en situation de crise</w:t>
      </w:r>
      <w:r w:rsidR="001B2F58" w:rsidRPr="00DD03D6">
        <w:rPr>
          <w:noProof/>
          <w:lang w:val="fr-FR"/>
        </w:rPr>
        <w:t>.</w:t>
      </w:r>
    </w:p>
    <w:p w:rsidR="009E353E" w:rsidRDefault="00D5312A" w:rsidP="00F55099">
      <w:pPr>
        <w:pStyle w:val="SingleTxtG"/>
        <w:numPr>
          <w:ilvl w:val="0"/>
          <w:numId w:val="3"/>
        </w:numPr>
        <w:ind w:left="1134" w:firstLine="0"/>
        <w:rPr>
          <w:noProof/>
          <w:lang w:val="fr-FR"/>
        </w:rPr>
      </w:pPr>
      <w:r>
        <w:rPr>
          <w:noProof/>
          <w:lang w:val="fr-FR"/>
        </w:rPr>
        <w:t>Il doit être remédié aux défaillances susvisées du système de protection en ce qui concerne ces enfants principalement en mettant en œuvre les moyens suivants : réforme interne des services destinés aux enfants et aux familles</w:t>
      </w:r>
      <w:r w:rsidR="001B2F58" w:rsidRPr="00DD03D6">
        <w:rPr>
          <w:noProof/>
          <w:lang w:val="fr-FR"/>
        </w:rPr>
        <w:t xml:space="preserve">; </w:t>
      </w:r>
      <w:r w:rsidR="000418D8">
        <w:rPr>
          <w:noProof/>
          <w:lang w:val="fr-FR"/>
        </w:rPr>
        <w:t>uniformisation de la qualité des aides pédagogiques aux fins de la formation initiale des professionnels</w:t>
      </w:r>
      <w:r w:rsidR="001B2F58" w:rsidRPr="00DD03D6">
        <w:rPr>
          <w:noProof/>
          <w:lang w:val="fr-FR"/>
        </w:rPr>
        <w:t xml:space="preserve">; supervision; </w:t>
      </w:r>
      <w:r w:rsidR="000418D8">
        <w:rPr>
          <w:noProof/>
          <w:lang w:val="fr-FR"/>
        </w:rPr>
        <w:t>adoption de méthodes de travail normalisées et d’un modèle de prestation de services</w:t>
      </w:r>
      <w:r w:rsidR="001B2F58" w:rsidRPr="00DD03D6">
        <w:rPr>
          <w:noProof/>
          <w:lang w:val="fr-FR"/>
        </w:rPr>
        <w:t xml:space="preserve">; </w:t>
      </w:r>
      <w:r w:rsidR="000418D8">
        <w:rPr>
          <w:noProof/>
          <w:lang w:val="fr-FR"/>
        </w:rPr>
        <w:t>et</w:t>
      </w:r>
      <w:r w:rsidR="002770F1" w:rsidRPr="00DD03D6">
        <w:rPr>
          <w:noProof/>
          <w:lang w:val="fr-FR"/>
        </w:rPr>
        <w:t xml:space="preserve"> </w:t>
      </w:r>
      <w:r w:rsidR="000418D8">
        <w:rPr>
          <w:noProof/>
          <w:lang w:val="fr-FR"/>
        </w:rPr>
        <w:t>mise en place d’un système n</w:t>
      </w:r>
      <w:r w:rsidR="001B2F58" w:rsidRPr="00DD03D6">
        <w:rPr>
          <w:noProof/>
          <w:lang w:val="fr-FR"/>
        </w:rPr>
        <w:t xml:space="preserve">ational </w:t>
      </w:r>
      <w:r w:rsidR="000418D8">
        <w:rPr>
          <w:noProof/>
          <w:lang w:val="fr-FR"/>
        </w:rPr>
        <w:t>d’informations en matière de protection de l’enfance – tous ces moyens</w:t>
      </w:r>
      <w:r w:rsidR="001B2F58" w:rsidRPr="00DD03D6">
        <w:rPr>
          <w:noProof/>
          <w:lang w:val="fr-FR"/>
        </w:rPr>
        <w:t xml:space="preserve"> </w:t>
      </w:r>
      <w:r w:rsidR="000418D8">
        <w:rPr>
          <w:noProof/>
          <w:lang w:val="fr-FR"/>
        </w:rPr>
        <w:t>s’inscrivant dans le cadr</w:t>
      </w:r>
      <w:r w:rsidR="00EE1052">
        <w:rPr>
          <w:noProof/>
          <w:lang w:val="fr-FR"/>
        </w:rPr>
        <w:t xml:space="preserve">e du train de réformes en cours, en </w:t>
      </w:r>
      <w:r w:rsidR="001B2F58" w:rsidRPr="00DD03D6">
        <w:rPr>
          <w:noProof/>
          <w:lang w:val="fr-FR"/>
        </w:rPr>
        <w:t>particul</w:t>
      </w:r>
      <w:r w:rsidR="00EE1052">
        <w:rPr>
          <w:noProof/>
          <w:lang w:val="fr-FR"/>
        </w:rPr>
        <w:t>ie</w:t>
      </w:r>
      <w:r w:rsidR="001B2F58" w:rsidRPr="00DD03D6">
        <w:rPr>
          <w:noProof/>
          <w:lang w:val="fr-FR"/>
        </w:rPr>
        <w:t xml:space="preserve">r </w:t>
      </w:r>
      <w:r w:rsidR="00EE1052">
        <w:rPr>
          <w:noProof/>
          <w:lang w:val="fr-FR"/>
        </w:rPr>
        <w:t>la création de l’Agence pour l’enfant et la famille et d’une structure d’examen des décès d’enfants</w:t>
      </w:r>
      <w:r w:rsidR="001B2F58" w:rsidRPr="00DD03D6">
        <w:rPr>
          <w:noProof/>
          <w:lang w:val="fr-FR"/>
        </w:rPr>
        <w:t xml:space="preserve">, </w:t>
      </w:r>
      <w:r w:rsidR="00EE1052">
        <w:rPr>
          <w:noProof/>
          <w:lang w:val="fr-FR"/>
        </w:rPr>
        <w:t>l’</w:t>
      </w:r>
      <w:r w:rsidR="001B2F58" w:rsidRPr="00DD03D6">
        <w:rPr>
          <w:noProof/>
          <w:lang w:val="fr-FR"/>
        </w:rPr>
        <w:t xml:space="preserve">extension </w:t>
      </w:r>
      <w:r w:rsidR="00EE1052">
        <w:rPr>
          <w:noProof/>
          <w:lang w:val="fr-FR"/>
        </w:rPr>
        <w:t xml:space="preserve">des services dispensés en dehors des heures </w:t>
      </w:r>
      <w:r w:rsidR="00967C71">
        <w:rPr>
          <w:noProof/>
          <w:lang w:val="fr-FR"/>
        </w:rPr>
        <w:t xml:space="preserve">habituelles </w:t>
      </w:r>
      <w:r w:rsidR="00EE1052">
        <w:rPr>
          <w:noProof/>
          <w:lang w:val="fr-FR"/>
        </w:rPr>
        <w:t xml:space="preserve">de travail et le renforcement de la </w:t>
      </w:r>
      <w:r w:rsidR="001B2F58" w:rsidRPr="00DD03D6">
        <w:rPr>
          <w:noProof/>
          <w:lang w:val="fr-FR"/>
        </w:rPr>
        <w:t>l</w:t>
      </w:r>
      <w:r w:rsidR="00EE1052">
        <w:rPr>
          <w:noProof/>
          <w:lang w:val="fr-FR"/>
        </w:rPr>
        <w:t>é</w:t>
      </w:r>
      <w:r w:rsidR="001B2F58" w:rsidRPr="00DD03D6">
        <w:rPr>
          <w:noProof/>
          <w:lang w:val="fr-FR"/>
        </w:rPr>
        <w:t xml:space="preserve">gislation </w:t>
      </w:r>
      <w:r w:rsidR="00EE1052">
        <w:rPr>
          <w:noProof/>
          <w:lang w:val="fr-FR"/>
        </w:rPr>
        <w:t xml:space="preserve">applicable </w:t>
      </w:r>
      <w:r w:rsidR="00DE3B13">
        <w:rPr>
          <w:noProof/>
          <w:lang w:val="fr-FR"/>
        </w:rPr>
        <w:t>à l’assistance post-placement</w:t>
      </w:r>
      <w:r w:rsidR="001B2F58" w:rsidRPr="00DD03D6">
        <w:rPr>
          <w:noProof/>
          <w:lang w:val="fr-FR"/>
        </w:rPr>
        <w:t>.</w:t>
      </w:r>
    </w:p>
    <w:p w:rsidR="001B2F58" w:rsidRPr="00DD03D6" w:rsidRDefault="001A3C9C" w:rsidP="00C87AE9">
      <w:pPr>
        <w:pStyle w:val="SingleTxtG"/>
        <w:numPr>
          <w:ilvl w:val="0"/>
          <w:numId w:val="3"/>
        </w:numPr>
        <w:ind w:left="1134" w:firstLine="0"/>
        <w:rPr>
          <w:noProof/>
          <w:lang w:val="fr-FR"/>
        </w:rPr>
      </w:pPr>
      <w:r>
        <w:rPr>
          <w:noProof/>
          <w:lang w:val="fr-FR"/>
        </w:rPr>
        <w:t>E</w:t>
      </w:r>
      <w:r w:rsidR="001B2F58" w:rsidRPr="00DD03D6">
        <w:rPr>
          <w:noProof/>
          <w:lang w:val="fr-FR"/>
        </w:rPr>
        <w:t xml:space="preserve">n 2006, </w:t>
      </w:r>
      <w:r>
        <w:rPr>
          <w:noProof/>
          <w:lang w:val="fr-FR"/>
        </w:rPr>
        <w:t xml:space="preserve">le Gouvernement a nommé deux juristes </w:t>
      </w:r>
      <w:r w:rsidR="001B2F58" w:rsidRPr="00DD03D6">
        <w:rPr>
          <w:noProof/>
          <w:lang w:val="fr-FR"/>
        </w:rPr>
        <w:t xml:space="preserve">Rapporteurs </w:t>
      </w:r>
      <w:r>
        <w:rPr>
          <w:noProof/>
          <w:lang w:val="fr-FR"/>
        </w:rPr>
        <w:t xml:space="preserve">spéciaux </w:t>
      </w:r>
      <w:r w:rsidR="00590C44">
        <w:rPr>
          <w:noProof/>
          <w:lang w:val="fr-FR"/>
        </w:rPr>
        <w:t>chargés de la question de la protection de l’enfant</w:t>
      </w:r>
      <w:r>
        <w:rPr>
          <w:noProof/>
          <w:lang w:val="fr-FR"/>
        </w:rPr>
        <w:t xml:space="preserve"> pour une période de trois ans</w:t>
      </w:r>
      <w:r w:rsidR="001B2F58" w:rsidRPr="00DD03D6">
        <w:rPr>
          <w:noProof/>
          <w:lang w:val="fr-FR"/>
        </w:rPr>
        <w:t xml:space="preserve">. </w:t>
      </w:r>
      <w:r>
        <w:rPr>
          <w:noProof/>
          <w:lang w:val="fr-FR"/>
        </w:rPr>
        <w:t>E</w:t>
      </w:r>
      <w:r w:rsidR="001B2F58" w:rsidRPr="00DD03D6">
        <w:rPr>
          <w:noProof/>
          <w:lang w:val="fr-FR"/>
        </w:rPr>
        <w:t xml:space="preserve">n 2010, </w:t>
      </w:r>
      <w:r>
        <w:rPr>
          <w:noProof/>
          <w:lang w:val="fr-FR"/>
        </w:rPr>
        <w:t xml:space="preserve">l’un de ces </w:t>
      </w:r>
      <w:r w:rsidR="001B2F58" w:rsidRPr="00DD03D6">
        <w:rPr>
          <w:noProof/>
          <w:lang w:val="fr-FR"/>
        </w:rPr>
        <w:t xml:space="preserve">rapporteurs, </w:t>
      </w:r>
      <w:r>
        <w:rPr>
          <w:noProof/>
          <w:lang w:val="fr-FR"/>
        </w:rPr>
        <w:t xml:space="preserve">spécialiste du </w:t>
      </w:r>
      <w:r w:rsidR="00BD5C8E" w:rsidRPr="00BD5C8E">
        <w:rPr>
          <w:noProof/>
          <w:lang w:val="fr-FR"/>
        </w:rPr>
        <w:t>droit des mineurs et du droit de la famille</w:t>
      </w:r>
      <w:r w:rsidR="001B2F58" w:rsidRPr="00DD03D6">
        <w:rPr>
          <w:noProof/>
          <w:lang w:val="fr-FR"/>
        </w:rPr>
        <w:t xml:space="preserve">, </w:t>
      </w:r>
      <w:r w:rsidR="00DA6968">
        <w:rPr>
          <w:noProof/>
          <w:lang w:val="fr-FR"/>
        </w:rPr>
        <w:t xml:space="preserve">a été renommé par le Gouvernement précédent </w:t>
      </w:r>
      <w:r w:rsidR="001B2F58" w:rsidRPr="00DD03D6">
        <w:rPr>
          <w:noProof/>
          <w:lang w:val="fr-FR"/>
        </w:rPr>
        <w:t xml:space="preserve">Rapporteur </w:t>
      </w:r>
      <w:r w:rsidR="00DA6968">
        <w:rPr>
          <w:noProof/>
          <w:lang w:val="fr-FR"/>
        </w:rPr>
        <w:t>unique pour une nouvelle période de trois ans</w:t>
      </w:r>
      <w:r w:rsidR="001B2F58" w:rsidRPr="00DD03D6">
        <w:rPr>
          <w:noProof/>
          <w:lang w:val="fr-FR"/>
        </w:rPr>
        <w:t xml:space="preserve">. </w:t>
      </w:r>
      <w:r w:rsidR="00DA6968">
        <w:rPr>
          <w:noProof/>
          <w:lang w:val="fr-FR"/>
        </w:rPr>
        <w:t xml:space="preserve">Le </w:t>
      </w:r>
      <w:r w:rsidR="001B2F58" w:rsidRPr="00DD03D6">
        <w:rPr>
          <w:noProof/>
          <w:lang w:val="fr-FR"/>
        </w:rPr>
        <w:t xml:space="preserve">Rapporteur </w:t>
      </w:r>
      <w:r w:rsidR="00DA6968">
        <w:rPr>
          <w:noProof/>
          <w:lang w:val="fr-FR"/>
        </w:rPr>
        <w:t xml:space="preserve">est chargé </w:t>
      </w:r>
      <w:r w:rsidR="001B2F58" w:rsidRPr="00DD03D6">
        <w:rPr>
          <w:noProof/>
          <w:lang w:val="fr-FR"/>
        </w:rPr>
        <w:t>:</w:t>
      </w:r>
    </w:p>
    <w:p w:rsidR="001B2F58" w:rsidRPr="00DD03D6" w:rsidRDefault="00840EBC" w:rsidP="006C4778">
      <w:pPr>
        <w:pStyle w:val="Bullet1G"/>
        <w:tabs>
          <w:tab w:val="clear" w:pos="1701"/>
          <w:tab w:val="left" w:pos="1843"/>
          <w:tab w:val="left" w:pos="6237"/>
        </w:tabs>
        <w:ind w:left="1843" w:hanging="142"/>
        <w:rPr>
          <w:noProof/>
          <w:lang w:val="fr-FR"/>
        </w:rPr>
      </w:pPr>
      <w:r>
        <w:rPr>
          <w:noProof/>
          <w:lang w:val="fr-FR"/>
        </w:rPr>
        <w:t>D’examiner et de contrôler</w:t>
      </w:r>
      <w:r w:rsidR="00E83ED8">
        <w:rPr>
          <w:noProof/>
          <w:lang w:val="fr-FR"/>
        </w:rPr>
        <w:t xml:space="preserve"> les mesures juridiques concernant la </w:t>
      </w:r>
      <w:r w:rsidR="001B2F58" w:rsidRPr="00DD03D6">
        <w:rPr>
          <w:noProof/>
          <w:lang w:val="fr-FR"/>
        </w:rPr>
        <w:t xml:space="preserve">protection </w:t>
      </w:r>
      <w:r w:rsidR="00E83ED8">
        <w:rPr>
          <w:noProof/>
          <w:lang w:val="fr-FR"/>
        </w:rPr>
        <w:t>des enfants</w:t>
      </w:r>
      <w:r w:rsidR="001B2F58" w:rsidRPr="00DD03D6">
        <w:rPr>
          <w:noProof/>
          <w:lang w:val="fr-FR"/>
        </w:rPr>
        <w:t>;</w:t>
      </w:r>
    </w:p>
    <w:p w:rsidR="001B2F58" w:rsidRPr="00DD03D6" w:rsidRDefault="00DA6968" w:rsidP="006C4778">
      <w:pPr>
        <w:pStyle w:val="Bullet1G"/>
        <w:tabs>
          <w:tab w:val="clear" w:pos="1701"/>
          <w:tab w:val="left" w:pos="1843"/>
          <w:tab w:val="left" w:pos="6237"/>
        </w:tabs>
        <w:ind w:left="1843" w:hanging="142"/>
        <w:rPr>
          <w:noProof/>
          <w:lang w:val="fr-FR"/>
        </w:rPr>
      </w:pPr>
      <w:r>
        <w:rPr>
          <w:noProof/>
          <w:lang w:val="fr-FR"/>
        </w:rPr>
        <w:t>D</w:t>
      </w:r>
      <w:r w:rsidR="00E83ED8">
        <w:rPr>
          <w:noProof/>
          <w:lang w:val="fr-FR"/>
        </w:rPr>
        <w:t xml:space="preserve">’évaluer les incidences que les procédures judiciaires engagées devant les juridictions </w:t>
      </w:r>
      <w:r w:rsidR="001B2F58" w:rsidRPr="00DD03D6">
        <w:rPr>
          <w:noProof/>
          <w:lang w:val="fr-FR"/>
        </w:rPr>
        <w:t>national</w:t>
      </w:r>
      <w:r w:rsidR="00E83ED8">
        <w:rPr>
          <w:noProof/>
          <w:lang w:val="fr-FR"/>
        </w:rPr>
        <w:t>es</w:t>
      </w:r>
      <w:r w:rsidR="001B2F58" w:rsidRPr="00DD03D6">
        <w:rPr>
          <w:noProof/>
          <w:lang w:val="fr-FR"/>
        </w:rPr>
        <w:t xml:space="preserve"> </w:t>
      </w:r>
      <w:r w:rsidR="00E83ED8">
        <w:rPr>
          <w:noProof/>
          <w:lang w:val="fr-FR"/>
        </w:rPr>
        <w:t>et</w:t>
      </w:r>
      <w:r w:rsidR="001B2F58" w:rsidRPr="00DD03D6">
        <w:rPr>
          <w:noProof/>
          <w:lang w:val="fr-FR"/>
        </w:rPr>
        <w:t xml:space="preserve"> international</w:t>
      </w:r>
      <w:r w:rsidR="00E83ED8">
        <w:rPr>
          <w:noProof/>
          <w:lang w:val="fr-FR"/>
        </w:rPr>
        <w:t>es</w:t>
      </w:r>
      <w:r w:rsidR="001B2F58" w:rsidRPr="00DD03D6">
        <w:rPr>
          <w:noProof/>
          <w:lang w:val="fr-FR"/>
        </w:rPr>
        <w:t xml:space="preserve"> </w:t>
      </w:r>
      <w:r w:rsidR="00E83ED8">
        <w:rPr>
          <w:noProof/>
          <w:lang w:val="fr-FR"/>
        </w:rPr>
        <w:t>sont susceptibles d’avoir sur la protection des enfants</w:t>
      </w:r>
      <w:r w:rsidR="001B2F58" w:rsidRPr="00DD03D6">
        <w:rPr>
          <w:noProof/>
          <w:lang w:val="fr-FR"/>
        </w:rPr>
        <w:t>;</w:t>
      </w:r>
    </w:p>
    <w:p w:rsidR="001B2F58" w:rsidRPr="00DD03D6" w:rsidRDefault="00DA6968" w:rsidP="006C4778">
      <w:pPr>
        <w:pStyle w:val="Bullet1G"/>
        <w:tabs>
          <w:tab w:val="clear" w:pos="1701"/>
          <w:tab w:val="left" w:pos="1843"/>
          <w:tab w:val="left" w:pos="6237"/>
        </w:tabs>
        <w:ind w:left="1843" w:hanging="142"/>
        <w:rPr>
          <w:noProof/>
          <w:lang w:val="fr-FR"/>
        </w:rPr>
      </w:pPr>
      <w:r>
        <w:rPr>
          <w:noProof/>
          <w:lang w:val="fr-FR"/>
        </w:rPr>
        <w:t>D</w:t>
      </w:r>
      <w:r w:rsidR="00E83ED8">
        <w:rPr>
          <w:noProof/>
          <w:lang w:val="fr-FR"/>
        </w:rPr>
        <w:t>’établir un rapport annuel décrivant les résultats des activités de l’année précédente</w:t>
      </w:r>
      <w:r w:rsidR="001B2F58" w:rsidRPr="00DD03D6">
        <w:rPr>
          <w:noProof/>
          <w:lang w:val="fr-FR"/>
        </w:rPr>
        <w:t xml:space="preserve">. </w:t>
      </w:r>
      <w:r w:rsidR="00E83ED8">
        <w:rPr>
          <w:noProof/>
          <w:lang w:val="fr-FR"/>
        </w:rPr>
        <w:t>Ce rapport est soumis à l’</w:t>
      </w:r>
      <w:r w:rsidR="001B2F58" w:rsidRPr="00E83ED8">
        <w:rPr>
          <w:i/>
          <w:noProof/>
          <w:lang w:val="fr-FR"/>
        </w:rPr>
        <w:t>Oireachtas</w:t>
      </w:r>
      <w:r w:rsidR="001B2F58" w:rsidRPr="00DD03D6">
        <w:rPr>
          <w:noProof/>
          <w:lang w:val="fr-FR"/>
        </w:rPr>
        <w:t xml:space="preserve"> </w:t>
      </w:r>
      <w:r w:rsidR="00E83ED8">
        <w:rPr>
          <w:noProof/>
          <w:lang w:val="fr-FR"/>
        </w:rPr>
        <w:t>pour examen et est publié</w:t>
      </w:r>
      <w:r w:rsidR="001B2F58" w:rsidRPr="00DD03D6">
        <w:rPr>
          <w:noProof/>
          <w:lang w:val="fr-FR"/>
        </w:rPr>
        <w:t>.</w:t>
      </w:r>
    </w:p>
    <w:p w:rsidR="001B2F58" w:rsidRPr="00DD03D6" w:rsidRDefault="00F55099" w:rsidP="00F55099">
      <w:pPr>
        <w:pStyle w:val="H23G"/>
        <w:rPr>
          <w:noProof/>
          <w:lang w:val="fr-FR"/>
        </w:rPr>
      </w:pPr>
      <w:r w:rsidRPr="00DD03D6">
        <w:rPr>
          <w:noProof/>
          <w:lang w:val="fr-FR"/>
        </w:rPr>
        <w:tab/>
      </w:r>
      <w:r w:rsidRPr="00DD03D6">
        <w:rPr>
          <w:noProof/>
          <w:lang w:val="fr-FR"/>
        </w:rPr>
        <w:tab/>
      </w:r>
      <w:r w:rsidR="00CF52B5">
        <w:rPr>
          <w:noProof/>
          <w:lang w:val="fr-FR"/>
        </w:rPr>
        <w:t>A</w:t>
      </w:r>
      <w:r w:rsidR="00DE3B13">
        <w:rPr>
          <w:noProof/>
          <w:lang w:val="fr-FR"/>
        </w:rPr>
        <w:t>ssistance post-placement</w:t>
      </w:r>
      <w:r w:rsidR="00E92D3C">
        <w:rPr>
          <w:noProof/>
          <w:lang w:val="fr-FR"/>
        </w:rPr>
        <w:t xml:space="preserve"> </w:t>
      </w:r>
    </w:p>
    <w:p w:rsidR="001B2F58" w:rsidRPr="00DD03D6" w:rsidRDefault="00E83ED8" w:rsidP="00F55099">
      <w:pPr>
        <w:pStyle w:val="SingleTxtG"/>
        <w:numPr>
          <w:ilvl w:val="0"/>
          <w:numId w:val="3"/>
        </w:numPr>
        <w:ind w:left="1134" w:firstLine="0"/>
        <w:rPr>
          <w:noProof/>
          <w:lang w:val="fr-FR"/>
        </w:rPr>
      </w:pPr>
      <w:r>
        <w:rPr>
          <w:noProof/>
          <w:lang w:val="fr-FR"/>
        </w:rPr>
        <w:t xml:space="preserve">La </w:t>
      </w:r>
      <w:r w:rsidR="001B2F58" w:rsidRPr="00DD03D6">
        <w:rPr>
          <w:noProof/>
          <w:lang w:val="fr-FR"/>
        </w:rPr>
        <w:t>majorit</w:t>
      </w:r>
      <w:r>
        <w:rPr>
          <w:noProof/>
          <w:lang w:val="fr-FR"/>
        </w:rPr>
        <w:t>é</w:t>
      </w:r>
      <w:r w:rsidR="001B2F58" w:rsidRPr="00DD03D6">
        <w:rPr>
          <w:noProof/>
          <w:lang w:val="fr-FR"/>
        </w:rPr>
        <w:t xml:space="preserve"> </w:t>
      </w:r>
      <w:r>
        <w:rPr>
          <w:noProof/>
          <w:lang w:val="fr-FR"/>
        </w:rPr>
        <w:t>des jeunes pris en charge sont placés dans une famille d’accueil et y demeurent après avoir atteint l’âge de 18 ans</w:t>
      </w:r>
      <w:r w:rsidR="001B2F58" w:rsidRPr="00DD03D6">
        <w:rPr>
          <w:noProof/>
          <w:lang w:val="fr-FR"/>
        </w:rPr>
        <w:t xml:space="preserve">. </w:t>
      </w:r>
      <w:r>
        <w:rPr>
          <w:noProof/>
          <w:lang w:val="fr-FR"/>
        </w:rPr>
        <w:t>Les jeun</w:t>
      </w:r>
      <w:r w:rsidR="00F22892">
        <w:rPr>
          <w:noProof/>
          <w:lang w:val="fr-FR"/>
        </w:rPr>
        <w:t>es qui quittent une institution prennent généralement un logement en location auprès d’un propriétaire privé ou, parfois, un logement subventionné ou un logement temporaire fourni</w:t>
      </w:r>
      <w:r w:rsidR="001B2F58" w:rsidRPr="00DD03D6">
        <w:rPr>
          <w:noProof/>
          <w:lang w:val="fr-FR"/>
        </w:rPr>
        <w:t xml:space="preserve"> </w:t>
      </w:r>
      <w:r w:rsidR="00F22892">
        <w:rPr>
          <w:noProof/>
          <w:lang w:val="fr-FR"/>
        </w:rPr>
        <w:t xml:space="preserve">par des </w:t>
      </w:r>
      <w:r w:rsidR="001B2F58" w:rsidRPr="00DD03D6">
        <w:rPr>
          <w:noProof/>
          <w:lang w:val="fr-FR"/>
        </w:rPr>
        <w:t xml:space="preserve">organisations </w:t>
      </w:r>
      <w:r w:rsidR="00F22892">
        <w:rPr>
          <w:noProof/>
          <w:lang w:val="fr-FR"/>
        </w:rPr>
        <w:t>bénévoles</w:t>
      </w:r>
      <w:r w:rsidR="001B2F58" w:rsidRPr="00DD03D6">
        <w:rPr>
          <w:noProof/>
          <w:lang w:val="fr-FR"/>
        </w:rPr>
        <w:t>.</w:t>
      </w:r>
    </w:p>
    <w:p w:rsidR="001B2F58" w:rsidRPr="00DD03D6" w:rsidRDefault="00F22892" w:rsidP="00F55099">
      <w:pPr>
        <w:pStyle w:val="SingleTxtG"/>
        <w:numPr>
          <w:ilvl w:val="0"/>
          <w:numId w:val="3"/>
        </w:numPr>
        <w:ind w:left="1134" w:firstLine="0"/>
        <w:rPr>
          <w:noProof/>
          <w:lang w:val="fr-FR"/>
        </w:rPr>
      </w:pPr>
      <w:r>
        <w:rPr>
          <w:noProof/>
          <w:lang w:val="fr-FR"/>
        </w:rPr>
        <w:t>E</w:t>
      </w:r>
      <w:r w:rsidR="001B2F58" w:rsidRPr="00DD03D6">
        <w:rPr>
          <w:noProof/>
          <w:lang w:val="fr-FR"/>
        </w:rPr>
        <w:t xml:space="preserve">n 2010, </w:t>
      </w:r>
      <w:r>
        <w:rPr>
          <w:noProof/>
          <w:lang w:val="fr-FR"/>
        </w:rPr>
        <w:t xml:space="preserve">la Direction des services de santé a créé in Groupe consultatif </w:t>
      </w:r>
      <w:r w:rsidR="00E25785">
        <w:rPr>
          <w:noProof/>
          <w:lang w:val="fr-FR"/>
        </w:rPr>
        <w:t xml:space="preserve">chargé d’élaborer une politique </w:t>
      </w:r>
      <w:r w:rsidR="001B2F58" w:rsidRPr="00DD03D6">
        <w:rPr>
          <w:noProof/>
          <w:lang w:val="fr-FR"/>
        </w:rPr>
        <w:t>national</w:t>
      </w:r>
      <w:r w:rsidR="00E25785">
        <w:rPr>
          <w:noProof/>
          <w:lang w:val="fr-FR"/>
        </w:rPr>
        <w:t xml:space="preserve">e </w:t>
      </w:r>
      <w:r w:rsidR="00DE3B13">
        <w:rPr>
          <w:noProof/>
          <w:lang w:val="fr-FR"/>
        </w:rPr>
        <w:t>d’assistance</w:t>
      </w:r>
      <w:r w:rsidR="001B2F58" w:rsidRPr="00DD03D6">
        <w:rPr>
          <w:noProof/>
          <w:lang w:val="fr-FR"/>
        </w:rPr>
        <w:t xml:space="preserve"> </w:t>
      </w:r>
      <w:r w:rsidR="00DE3B13">
        <w:rPr>
          <w:noProof/>
          <w:lang w:val="fr-FR"/>
        </w:rPr>
        <w:t>post-placement</w:t>
      </w:r>
      <w:r w:rsidR="001B2F58" w:rsidRPr="00DD03D6">
        <w:rPr>
          <w:noProof/>
          <w:lang w:val="fr-FR"/>
        </w:rPr>
        <w:t xml:space="preserve">. </w:t>
      </w:r>
      <w:r w:rsidR="00DE3B13">
        <w:rPr>
          <w:noProof/>
          <w:lang w:val="fr-FR"/>
        </w:rPr>
        <w:t xml:space="preserve">La première tâche du Groupe a consisté à réaliser </w:t>
      </w:r>
      <w:r w:rsidR="00ED6ACB">
        <w:rPr>
          <w:noProof/>
          <w:lang w:val="fr-FR"/>
        </w:rPr>
        <w:t xml:space="preserve">en 2011 </w:t>
      </w:r>
      <w:r w:rsidR="00DE3B13">
        <w:rPr>
          <w:noProof/>
          <w:lang w:val="fr-FR"/>
        </w:rPr>
        <w:t xml:space="preserve">un audit de la prestation </w:t>
      </w:r>
      <w:r w:rsidR="00ED6ACB">
        <w:rPr>
          <w:noProof/>
          <w:lang w:val="fr-FR"/>
        </w:rPr>
        <w:t xml:space="preserve">actuelle </w:t>
      </w:r>
      <w:r w:rsidR="00DE3B13">
        <w:rPr>
          <w:noProof/>
          <w:lang w:val="fr-FR"/>
        </w:rPr>
        <w:t>de service</w:t>
      </w:r>
      <w:r w:rsidR="00ED6ACB">
        <w:rPr>
          <w:noProof/>
          <w:lang w:val="fr-FR"/>
        </w:rPr>
        <w:t>s d’assistance post-placement</w:t>
      </w:r>
      <w:r w:rsidR="001B2F58" w:rsidRPr="00DD03D6">
        <w:rPr>
          <w:noProof/>
          <w:lang w:val="fr-FR"/>
        </w:rPr>
        <w:t xml:space="preserve">. </w:t>
      </w:r>
      <w:r w:rsidR="00ED6ACB">
        <w:rPr>
          <w:noProof/>
          <w:lang w:val="fr-FR"/>
        </w:rPr>
        <w:t>Il a constaté que la Direction des services de santé assur</w:t>
      </w:r>
      <w:r w:rsidR="006A5C54">
        <w:rPr>
          <w:noProof/>
          <w:lang w:val="fr-FR"/>
        </w:rPr>
        <w:t>ait</w:t>
      </w:r>
      <w:r w:rsidR="00ED6ACB">
        <w:rPr>
          <w:noProof/>
          <w:lang w:val="fr-FR"/>
        </w:rPr>
        <w:t xml:space="preserve"> une assistance de ce type d’une manière conforme à la législation pour les jeunes qui poursuivaient des études ou une formation à plein temps</w:t>
      </w:r>
      <w:r w:rsidR="001B2F58" w:rsidRPr="00DD03D6">
        <w:rPr>
          <w:noProof/>
          <w:lang w:val="fr-FR"/>
        </w:rPr>
        <w:t xml:space="preserve">. </w:t>
      </w:r>
      <w:r w:rsidR="00ED6ACB">
        <w:rPr>
          <w:noProof/>
          <w:lang w:val="fr-FR"/>
        </w:rPr>
        <w:t xml:space="preserve">Toutefois, </w:t>
      </w:r>
      <w:r w:rsidR="006A5C54">
        <w:rPr>
          <w:noProof/>
          <w:lang w:val="fr-FR"/>
        </w:rPr>
        <w:t xml:space="preserve">les services assurés par </w:t>
      </w:r>
      <w:r w:rsidR="006A5C54">
        <w:rPr>
          <w:noProof/>
          <w:lang w:val="fr-FR"/>
        </w:rPr>
        <w:lastRenderedPageBreak/>
        <w:t>les différentes composantes de la Direction étaient inégaux, notamment sur le plan des ressources humaines et financières</w:t>
      </w:r>
      <w:r w:rsidR="001B2F58" w:rsidRPr="00DD03D6">
        <w:rPr>
          <w:noProof/>
          <w:lang w:val="fr-FR"/>
        </w:rPr>
        <w:t>.</w:t>
      </w:r>
    </w:p>
    <w:p w:rsidR="001B2F58" w:rsidRPr="00DD03D6" w:rsidRDefault="006A5C54" w:rsidP="00F55099">
      <w:pPr>
        <w:pStyle w:val="SingleTxtG"/>
        <w:numPr>
          <w:ilvl w:val="0"/>
          <w:numId w:val="3"/>
        </w:numPr>
        <w:ind w:left="1134" w:firstLine="0"/>
        <w:rPr>
          <w:noProof/>
          <w:lang w:val="fr-FR"/>
        </w:rPr>
      </w:pPr>
      <w:r>
        <w:rPr>
          <w:noProof/>
          <w:lang w:val="fr-FR"/>
        </w:rPr>
        <w:t xml:space="preserve">À l’issue d’un certain nombre de </w:t>
      </w:r>
      <w:r w:rsidR="001B2F58" w:rsidRPr="00DD03D6">
        <w:rPr>
          <w:noProof/>
          <w:lang w:val="fr-FR"/>
        </w:rPr>
        <w:t xml:space="preserve">consultations </w:t>
      </w:r>
      <w:r>
        <w:rPr>
          <w:noProof/>
          <w:lang w:val="fr-FR"/>
        </w:rPr>
        <w:t xml:space="preserve">avec les </w:t>
      </w:r>
      <w:r w:rsidR="00E83488">
        <w:rPr>
          <w:noProof/>
          <w:lang w:val="fr-FR"/>
        </w:rPr>
        <w:t>acteurs</w:t>
      </w:r>
      <w:r>
        <w:rPr>
          <w:noProof/>
          <w:lang w:val="fr-FR"/>
        </w:rPr>
        <w:t xml:space="preserve">, le document intitulé </w:t>
      </w:r>
      <w:r w:rsidRPr="006A5C54">
        <w:rPr>
          <w:i/>
          <w:noProof/>
          <w:lang w:val="fr-FR"/>
        </w:rPr>
        <w:t>Politique et procédure nationales en matière de services post-placement</w:t>
      </w:r>
      <w:r>
        <w:rPr>
          <w:noProof/>
          <w:lang w:val="fr-FR"/>
        </w:rPr>
        <w:t xml:space="preserve"> (</w:t>
      </w:r>
      <w:r w:rsidR="001B2F58" w:rsidRPr="006A5C54">
        <w:rPr>
          <w:i/>
          <w:noProof/>
          <w:color w:val="000000"/>
          <w:lang w:val="fr-FR"/>
        </w:rPr>
        <w:t>Leaving and Aftercare Services: National Policy and Procedure</w:t>
      </w:r>
      <w:r>
        <w:rPr>
          <w:noProof/>
          <w:color w:val="000000"/>
          <w:lang w:val="fr-FR"/>
        </w:rPr>
        <w:t>)</w:t>
      </w:r>
      <w:r w:rsidR="001B2F58" w:rsidRPr="00DD03D6">
        <w:rPr>
          <w:noProof/>
          <w:color w:val="000000"/>
          <w:lang w:val="fr-FR"/>
        </w:rPr>
        <w:t xml:space="preserve"> </w:t>
      </w:r>
      <w:r>
        <w:rPr>
          <w:noProof/>
          <w:color w:val="000000"/>
          <w:lang w:val="fr-FR"/>
        </w:rPr>
        <w:t xml:space="preserve">a été approuvé en avril </w:t>
      </w:r>
      <w:r w:rsidR="001B2F58" w:rsidRPr="00DD03D6">
        <w:rPr>
          <w:noProof/>
          <w:lang w:val="fr-FR"/>
        </w:rPr>
        <w:t>2011 (</w:t>
      </w:r>
      <w:r>
        <w:rPr>
          <w:noProof/>
          <w:lang w:val="fr-FR"/>
        </w:rPr>
        <w:t>Direction des services de santé</w:t>
      </w:r>
      <w:r w:rsidR="001B2F58" w:rsidRPr="00DD03D6">
        <w:rPr>
          <w:noProof/>
          <w:lang w:val="fr-FR"/>
        </w:rPr>
        <w:t xml:space="preserve">, 2011a). </w:t>
      </w:r>
      <w:r>
        <w:rPr>
          <w:noProof/>
          <w:lang w:val="fr-FR"/>
        </w:rPr>
        <w:t>Cette politique, qui doit permettre de mettre en œuvre une approche cohérente de la prestation de services d’assistance post-placement, est appliquée à l’échelon national et suivie par le Groupe de mise en œuvre de l’assistance post-placement de la Direction des services de santé</w:t>
      </w:r>
      <w:r w:rsidR="001B2F58" w:rsidRPr="00DD03D6">
        <w:rPr>
          <w:noProof/>
          <w:lang w:val="fr-FR"/>
        </w:rPr>
        <w:t xml:space="preserve">. </w:t>
      </w:r>
      <w:r>
        <w:rPr>
          <w:noProof/>
          <w:lang w:val="fr-FR"/>
        </w:rPr>
        <w:t xml:space="preserve">Les statistiques les plus </w:t>
      </w:r>
      <w:r w:rsidR="001B2F58" w:rsidRPr="00DD03D6">
        <w:rPr>
          <w:noProof/>
          <w:lang w:val="fr-FR"/>
        </w:rPr>
        <w:t>r</w:t>
      </w:r>
      <w:r>
        <w:rPr>
          <w:noProof/>
          <w:lang w:val="fr-FR"/>
        </w:rPr>
        <w:t>é</w:t>
      </w:r>
      <w:r w:rsidR="001B2F58" w:rsidRPr="00DD03D6">
        <w:rPr>
          <w:noProof/>
          <w:lang w:val="fr-FR"/>
        </w:rPr>
        <w:t>cent</w:t>
      </w:r>
      <w:r>
        <w:rPr>
          <w:noProof/>
          <w:lang w:val="fr-FR"/>
        </w:rPr>
        <w:t xml:space="preserve">es montrent qu’un peu plus de </w:t>
      </w:r>
      <w:r w:rsidR="001B2F58" w:rsidRPr="00DD03D6">
        <w:rPr>
          <w:noProof/>
          <w:lang w:val="fr-FR"/>
        </w:rPr>
        <w:t>1</w:t>
      </w:r>
      <w:r w:rsidR="00E3762B">
        <w:rPr>
          <w:noProof/>
          <w:lang w:val="fr-FR"/>
        </w:rPr>
        <w:t> </w:t>
      </w:r>
      <w:r w:rsidR="001B2F58" w:rsidRPr="00DD03D6">
        <w:rPr>
          <w:noProof/>
          <w:lang w:val="fr-FR"/>
        </w:rPr>
        <w:t xml:space="preserve">100 </w:t>
      </w:r>
      <w:r>
        <w:rPr>
          <w:noProof/>
          <w:lang w:val="fr-FR"/>
        </w:rPr>
        <w:t xml:space="preserve">jeunes adultes bénéficiaient d’une assistance de ce type, soit une progression importante par rapport aux </w:t>
      </w:r>
      <w:r w:rsidR="001B2F58" w:rsidRPr="00DD03D6">
        <w:rPr>
          <w:noProof/>
          <w:lang w:val="fr-FR"/>
        </w:rPr>
        <w:t xml:space="preserve">847 </w:t>
      </w:r>
      <w:r>
        <w:rPr>
          <w:noProof/>
          <w:lang w:val="fr-FR"/>
        </w:rPr>
        <w:t xml:space="preserve">jeunes adultes qui étaient dans ce cas en </w:t>
      </w:r>
      <w:r w:rsidR="001B2F58" w:rsidRPr="00DD03D6">
        <w:rPr>
          <w:noProof/>
          <w:lang w:val="fr-FR"/>
        </w:rPr>
        <w:t>2009.</w:t>
      </w:r>
    </w:p>
    <w:p w:rsidR="001B2F58" w:rsidRDefault="00695F07" w:rsidP="00BC09C5">
      <w:pPr>
        <w:pStyle w:val="SingleTxtG"/>
        <w:numPr>
          <w:ilvl w:val="0"/>
          <w:numId w:val="3"/>
        </w:numPr>
        <w:ind w:left="1134" w:firstLine="0"/>
        <w:rPr>
          <w:noProof/>
          <w:lang w:val="fr-FR"/>
        </w:rPr>
      </w:pPr>
      <w:r>
        <w:rPr>
          <w:noProof/>
          <w:lang w:val="fr-FR"/>
        </w:rPr>
        <w:t xml:space="preserve">L’accès aux services d’assistance post-placement est </w:t>
      </w:r>
      <w:r w:rsidR="001B2F58" w:rsidRPr="00DD03D6">
        <w:rPr>
          <w:noProof/>
          <w:lang w:val="fr-FR"/>
        </w:rPr>
        <w:t>d</w:t>
      </w:r>
      <w:r>
        <w:rPr>
          <w:noProof/>
          <w:lang w:val="fr-FR"/>
        </w:rPr>
        <w:t>é</w:t>
      </w:r>
      <w:r w:rsidR="001B2F58" w:rsidRPr="00DD03D6">
        <w:rPr>
          <w:noProof/>
          <w:lang w:val="fr-FR"/>
        </w:rPr>
        <w:t>termin</w:t>
      </w:r>
      <w:r>
        <w:rPr>
          <w:noProof/>
          <w:lang w:val="fr-FR"/>
        </w:rPr>
        <w:t xml:space="preserve">é sur la base de l’article </w:t>
      </w:r>
      <w:r w:rsidR="001B2F58" w:rsidRPr="00DD03D6">
        <w:rPr>
          <w:noProof/>
          <w:lang w:val="fr-FR"/>
        </w:rPr>
        <w:t xml:space="preserve">45 </w:t>
      </w:r>
      <w:r>
        <w:rPr>
          <w:noProof/>
          <w:lang w:val="fr-FR"/>
        </w:rPr>
        <w:t>de la loi sur la protection de l’</w:t>
      </w:r>
      <w:r w:rsidR="0066371D">
        <w:rPr>
          <w:noProof/>
          <w:lang w:val="fr-FR"/>
        </w:rPr>
        <w:t xml:space="preserve">enfance, qui décrit la </w:t>
      </w:r>
      <w:r w:rsidR="001B2F58" w:rsidRPr="00DD03D6">
        <w:rPr>
          <w:noProof/>
          <w:lang w:val="fr-FR"/>
        </w:rPr>
        <w:t xml:space="preserve">nature </w:t>
      </w:r>
      <w:r w:rsidR="0066371D">
        <w:rPr>
          <w:noProof/>
          <w:lang w:val="fr-FR"/>
        </w:rPr>
        <w:t xml:space="preserve">et l’importance des services qui peuvent être fournis à un jeune </w:t>
      </w:r>
      <w:r w:rsidR="00A13E70">
        <w:rPr>
          <w:noProof/>
          <w:lang w:val="fr-FR"/>
        </w:rPr>
        <w:t>cessant</w:t>
      </w:r>
      <w:r w:rsidR="0066371D">
        <w:rPr>
          <w:noProof/>
          <w:lang w:val="fr-FR"/>
        </w:rPr>
        <w:t xml:space="preserve"> d’être pris en charge par la Direction des services de santé</w:t>
      </w:r>
      <w:r w:rsidR="001B2F58" w:rsidRPr="00DD03D6">
        <w:rPr>
          <w:noProof/>
          <w:lang w:val="fr-FR"/>
        </w:rPr>
        <w:t xml:space="preserve">. </w:t>
      </w:r>
      <w:r w:rsidR="0066371D">
        <w:rPr>
          <w:noProof/>
          <w:lang w:val="fr-FR"/>
        </w:rPr>
        <w:t>Tous les jeunes qui ont été pris en charge par elle ont droit à un service d’assistance post-placement</w:t>
      </w:r>
      <w:r w:rsidR="001B2F58" w:rsidRPr="00DD03D6">
        <w:rPr>
          <w:noProof/>
          <w:lang w:val="fr-FR"/>
        </w:rPr>
        <w:t>.</w:t>
      </w:r>
      <w:r w:rsidR="0066371D">
        <w:rPr>
          <w:noProof/>
          <w:lang w:val="fr-FR"/>
        </w:rPr>
        <w:t xml:space="preserve"> L’importance du service fourni dépend de l’évaluation des besoins des intéressés, de leur âge et la durée de leur placement</w:t>
      </w:r>
      <w:r w:rsidR="001B2F58" w:rsidRPr="00DD03D6">
        <w:rPr>
          <w:noProof/>
          <w:lang w:val="fr-FR"/>
        </w:rPr>
        <w:t xml:space="preserve">. </w:t>
      </w:r>
      <w:r w:rsidR="0066371D">
        <w:rPr>
          <w:noProof/>
          <w:lang w:val="fr-FR"/>
        </w:rPr>
        <w:t xml:space="preserve">Ce </w:t>
      </w:r>
      <w:r w:rsidR="001B2F58" w:rsidRPr="00DD03D6">
        <w:rPr>
          <w:noProof/>
          <w:lang w:val="fr-FR"/>
        </w:rPr>
        <w:t xml:space="preserve">service </w:t>
      </w:r>
      <w:r w:rsidR="0066371D">
        <w:rPr>
          <w:noProof/>
          <w:lang w:val="fr-FR"/>
        </w:rPr>
        <w:t>est également fourni aux enfants séparés demandant l’asile</w:t>
      </w:r>
      <w:r w:rsidR="001B2F58" w:rsidRPr="00DD03D6">
        <w:rPr>
          <w:noProof/>
          <w:lang w:val="fr-FR"/>
        </w:rPr>
        <w:t>.</w:t>
      </w:r>
    </w:p>
    <w:p w:rsidR="001B2F58" w:rsidRPr="00DD03D6" w:rsidRDefault="00596E3D" w:rsidP="00596E3D">
      <w:pPr>
        <w:pStyle w:val="H23G"/>
        <w:ind w:firstLine="0"/>
        <w:rPr>
          <w:noProof/>
          <w:lang w:val="fr-FR"/>
        </w:rPr>
      </w:pPr>
      <w:r>
        <w:rPr>
          <w:noProof/>
          <w:lang w:val="fr-FR"/>
        </w:rPr>
        <w:t xml:space="preserve">Mesures supplémentaires </w:t>
      </w:r>
    </w:p>
    <w:p w:rsidR="001B2F58" w:rsidRPr="00DD03D6" w:rsidRDefault="00ED4D37" w:rsidP="00F55099">
      <w:pPr>
        <w:pStyle w:val="SingleTxtG"/>
        <w:numPr>
          <w:ilvl w:val="0"/>
          <w:numId w:val="3"/>
        </w:numPr>
        <w:ind w:left="1134" w:firstLine="0"/>
        <w:rPr>
          <w:noProof/>
          <w:lang w:val="fr-FR"/>
        </w:rPr>
      </w:pPr>
      <w:r>
        <w:rPr>
          <w:noProof/>
          <w:lang w:val="fr-FR"/>
        </w:rPr>
        <w:t xml:space="preserve">La création d’une Agence pour l’enfant et la famille distincte </w:t>
      </w:r>
      <w:r w:rsidR="00473FA1">
        <w:rPr>
          <w:noProof/>
          <w:lang w:val="fr-FR"/>
        </w:rPr>
        <w:t xml:space="preserve">est actuellement proposée pour faire une plus large place aux services destinés aux enfants et aux familles </w:t>
      </w:r>
      <w:r w:rsidR="005D4B56">
        <w:rPr>
          <w:noProof/>
          <w:lang w:val="fr-FR"/>
        </w:rPr>
        <w:t xml:space="preserve">et intégrer un certain nombre d’agences existantes afin d’accorder une plus grande attention au </w:t>
      </w:r>
      <w:r w:rsidR="00E43CC6">
        <w:rPr>
          <w:noProof/>
          <w:lang w:val="fr-FR"/>
        </w:rPr>
        <w:t>soutien aux familles</w:t>
      </w:r>
      <w:r w:rsidR="001B2F58" w:rsidRPr="00DD03D6">
        <w:rPr>
          <w:noProof/>
          <w:lang w:val="fr-FR"/>
        </w:rPr>
        <w:t xml:space="preserve">, </w:t>
      </w:r>
      <w:r w:rsidR="00E43CC6">
        <w:rPr>
          <w:noProof/>
          <w:lang w:val="fr-FR"/>
        </w:rPr>
        <w:t xml:space="preserve">à la </w:t>
      </w:r>
      <w:r w:rsidR="001B2F58" w:rsidRPr="00DD03D6">
        <w:rPr>
          <w:noProof/>
          <w:lang w:val="fr-FR"/>
        </w:rPr>
        <w:t>pr</w:t>
      </w:r>
      <w:r w:rsidR="00E43CC6">
        <w:rPr>
          <w:noProof/>
          <w:lang w:val="fr-FR"/>
        </w:rPr>
        <w:t>é</w:t>
      </w:r>
      <w:r w:rsidR="001B2F58" w:rsidRPr="00DD03D6">
        <w:rPr>
          <w:noProof/>
          <w:lang w:val="fr-FR"/>
        </w:rPr>
        <w:t xml:space="preserve">vention </w:t>
      </w:r>
      <w:r w:rsidR="00E43CC6">
        <w:rPr>
          <w:noProof/>
          <w:lang w:val="fr-FR"/>
        </w:rPr>
        <w:t>et à l’</w:t>
      </w:r>
      <w:r w:rsidR="001B2F58" w:rsidRPr="00DD03D6">
        <w:rPr>
          <w:noProof/>
          <w:lang w:val="fr-FR"/>
        </w:rPr>
        <w:t>intervention</w:t>
      </w:r>
      <w:r w:rsidR="00E43CC6">
        <w:rPr>
          <w:noProof/>
          <w:lang w:val="fr-FR"/>
        </w:rPr>
        <w:t xml:space="preserve"> précoce</w:t>
      </w:r>
      <w:r w:rsidR="001B2F58" w:rsidRPr="00DD03D6">
        <w:rPr>
          <w:noProof/>
          <w:lang w:val="fr-FR"/>
        </w:rPr>
        <w:t xml:space="preserve">, </w:t>
      </w:r>
      <w:r w:rsidR="00E43CC6">
        <w:rPr>
          <w:noProof/>
          <w:lang w:val="fr-FR"/>
        </w:rPr>
        <w:t xml:space="preserve">ainsi qu’à la </w:t>
      </w:r>
      <w:r w:rsidR="001B2F58" w:rsidRPr="00DD03D6">
        <w:rPr>
          <w:noProof/>
          <w:lang w:val="fr-FR"/>
        </w:rPr>
        <w:t xml:space="preserve">protection </w:t>
      </w:r>
      <w:r w:rsidR="00E43CC6">
        <w:rPr>
          <w:noProof/>
          <w:lang w:val="fr-FR"/>
        </w:rPr>
        <w:t>à accorder à certains enfants</w:t>
      </w:r>
      <w:r w:rsidR="001B2F58" w:rsidRPr="00DD03D6">
        <w:rPr>
          <w:noProof/>
          <w:lang w:val="fr-FR"/>
        </w:rPr>
        <w:t>.</w:t>
      </w:r>
    </w:p>
    <w:p w:rsidR="001B2F58" w:rsidRPr="00DD03D6" w:rsidRDefault="00F55099" w:rsidP="00F55099">
      <w:pPr>
        <w:pStyle w:val="H1G"/>
        <w:rPr>
          <w:noProof/>
          <w:lang w:val="fr-FR"/>
        </w:rPr>
      </w:pPr>
      <w:bookmarkStart w:id="49" w:name="_Toc356430874"/>
      <w:r w:rsidRPr="00DD03D6">
        <w:rPr>
          <w:noProof/>
          <w:szCs w:val="24"/>
          <w:lang w:val="fr-FR"/>
        </w:rPr>
        <w:tab/>
      </w:r>
      <w:r w:rsidR="001B2F58" w:rsidRPr="00DD03D6">
        <w:rPr>
          <w:noProof/>
          <w:szCs w:val="24"/>
          <w:lang w:val="fr-FR"/>
        </w:rPr>
        <w:t>G.</w:t>
      </w:r>
      <w:r w:rsidR="001B2F58" w:rsidRPr="00DD03D6">
        <w:rPr>
          <w:noProof/>
          <w:szCs w:val="24"/>
          <w:lang w:val="fr-FR"/>
        </w:rPr>
        <w:tab/>
      </w:r>
      <w:bookmarkEnd w:id="49"/>
      <w:r w:rsidR="00E43CC6">
        <w:rPr>
          <w:noProof/>
          <w:lang w:val="fr-FR"/>
        </w:rPr>
        <w:t>Examen pé</w:t>
      </w:r>
      <w:r w:rsidR="00E43CC6" w:rsidRPr="00DD03D6">
        <w:rPr>
          <w:noProof/>
          <w:lang w:val="fr-FR"/>
        </w:rPr>
        <w:t>riodi</w:t>
      </w:r>
      <w:r w:rsidR="00E43CC6">
        <w:rPr>
          <w:noProof/>
          <w:lang w:val="fr-FR"/>
        </w:rPr>
        <w:t xml:space="preserve">que du </w:t>
      </w:r>
      <w:r w:rsidR="00E43CC6" w:rsidRPr="00DD03D6">
        <w:rPr>
          <w:noProof/>
          <w:lang w:val="fr-FR"/>
        </w:rPr>
        <w:t>placement</w:t>
      </w:r>
    </w:p>
    <w:p w:rsidR="001B2F58" w:rsidRPr="00DD03D6" w:rsidRDefault="00E43CC6" w:rsidP="00E77652">
      <w:pPr>
        <w:pStyle w:val="SingleTxtG"/>
        <w:numPr>
          <w:ilvl w:val="0"/>
          <w:numId w:val="3"/>
        </w:numPr>
        <w:ind w:left="1134" w:firstLine="0"/>
        <w:rPr>
          <w:noProof/>
          <w:lang w:val="fr-FR"/>
        </w:rPr>
      </w:pPr>
      <w:r>
        <w:rPr>
          <w:noProof/>
          <w:lang w:val="fr-FR"/>
        </w:rPr>
        <w:t xml:space="preserve">Le deuxième rapport périodique de l’Irlande </w:t>
      </w:r>
      <w:r w:rsidR="0011221A">
        <w:rPr>
          <w:noProof/>
          <w:lang w:val="fr-FR"/>
        </w:rPr>
        <w:t>a décrit les dispositions législatives applicables dans ce domaine</w:t>
      </w:r>
      <w:r w:rsidR="001B2F58" w:rsidRPr="00DD03D6">
        <w:rPr>
          <w:rStyle w:val="Appelnotedebasdep"/>
          <w:noProof/>
          <w:lang w:val="fr-FR"/>
        </w:rPr>
        <w:footnoteReference w:id="29"/>
      </w:r>
      <w:r w:rsidR="0011221A">
        <w:rPr>
          <w:noProof/>
          <w:lang w:val="fr-FR"/>
        </w:rPr>
        <w:t>.</w:t>
      </w:r>
      <w:r w:rsidR="001B2F58" w:rsidRPr="00DD03D6">
        <w:rPr>
          <w:noProof/>
          <w:lang w:val="fr-FR"/>
        </w:rPr>
        <w:t xml:space="preserve"> </w:t>
      </w:r>
      <w:r w:rsidR="00EF2DB6">
        <w:rPr>
          <w:noProof/>
          <w:lang w:val="fr-FR"/>
        </w:rPr>
        <w:t>Ces dispositions demeurent en vigueur</w:t>
      </w:r>
      <w:r w:rsidR="001B2F58" w:rsidRPr="00DD03D6">
        <w:rPr>
          <w:noProof/>
          <w:lang w:val="fr-FR"/>
        </w:rPr>
        <w:t>.</w:t>
      </w:r>
    </w:p>
    <w:p w:rsidR="001B2F58" w:rsidRPr="00DD03D6" w:rsidRDefault="00EF2DB6" w:rsidP="00EF2DB6">
      <w:pPr>
        <w:pStyle w:val="H23G"/>
        <w:ind w:firstLine="0"/>
        <w:rPr>
          <w:noProof/>
          <w:lang w:val="fr-FR"/>
        </w:rPr>
      </w:pPr>
      <w:r>
        <w:rPr>
          <w:noProof/>
          <w:lang w:val="fr-FR"/>
        </w:rPr>
        <w:t>Inspection des s</w:t>
      </w:r>
      <w:r w:rsidR="001B2F58" w:rsidRPr="00DD03D6">
        <w:rPr>
          <w:noProof/>
          <w:lang w:val="fr-FR"/>
        </w:rPr>
        <w:t xml:space="preserve">ervices </w:t>
      </w:r>
      <w:r>
        <w:rPr>
          <w:noProof/>
          <w:lang w:val="fr-FR"/>
        </w:rPr>
        <w:t xml:space="preserve">sociaux </w:t>
      </w:r>
    </w:p>
    <w:p w:rsidR="001B2F58" w:rsidRPr="00DD03D6" w:rsidRDefault="00EF2DB6" w:rsidP="00E77652">
      <w:pPr>
        <w:pStyle w:val="SingleTxtG"/>
        <w:numPr>
          <w:ilvl w:val="0"/>
          <w:numId w:val="3"/>
        </w:numPr>
        <w:ind w:left="1134" w:firstLine="0"/>
        <w:rPr>
          <w:noProof/>
          <w:lang w:val="fr-FR"/>
        </w:rPr>
      </w:pPr>
      <w:r>
        <w:rPr>
          <w:noProof/>
          <w:lang w:val="fr-FR"/>
        </w:rPr>
        <w:t>Le rôle de l’Inspection des s</w:t>
      </w:r>
      <w:r w:rsidR="001B2F58" w:rsidRPr="00DD03D6">
        <w:rPr>
          <w:noProof/>
          <w:lang w:val="fr-FR"/>
        </w:rPr>
        <w:t xml:space="preserve">ervices </w:t>
      </w:r>
      <w:r>
        <w:rPr>
          <w:noProof/>
          <w:lang w:val="fr-FR"/>
        </w:rPr>
        <w:t xml:space="preserve">sociaux </w:t>
      </w:r>
      <w:r w:rsidR="006D616E">
        <w:rPr>
          <w:noProof/>
          <w:lang w:val="fr-FR"/>
        </w:rPr>
        <w:t>est présenté dans le deuxième rapport périodique</w:t>
      </w:r>
      <w:r w:rsidR="001B2F58" w:rsidRPr="00DD03D6">
        <w:rPr>
          <w:rStyle w:val="Appelnotedebasdep"/>
          <w:noProof/>
          <w:lang w:val="fr-FR"/>
        </w:rPr>
        <w:footnoteReference w:id="30"/>
      </w:r>
      <w:r w:rsidR="006D616E">
        <w:rPr>
          <w:noProof/>
          <w:lang w:val="fr-FR"/>
        </w:rPr>
        <w:t>.</w:t>
      </w:r>
    </w:p>
    <w:p w:rsidR="001B2F58" w:rsidRPr="00DD03D6" w:rsidRDefault="006D616E" w:rsidP="000B5293">
      <w:pPr>
        <w:pStyle w:val="SingleTxtG"/>
        <w:numPr>
          <w:ilvl w:val="0"/>
          <w:numId w:val="3"/>
        </w:numPr>
        <w:ind w:left="1134" w:firstLine="0"/>
        <w:rPr>
          <w:noProof/>
          <w:lang w:val="fr-FR"/>
        </w:rPr>
      </w:pPr>
      <w:r>
        <w:rPr>
          <w:noProof/>
          <w:lang w:val="fr-FR"/>
        </w:rPr>
        <w:t>Une base légale a été donnée à l’Inspection par la loi de 2007 sur la santé, dans laquelle elle est dénommée « Bureau de l’Inspecteur en chef »</w:t>
      </w:r>
      <w:r w:rsidR="001B2F58" w:rsidRPr="00DD03D6">
        <w:rPr>
          <w:noProof/>
          <w:lang w:val="fr-FR"/>
        </w:rPr>
        <w:t xml:space="preserve">. </w:t>
      </w:r>
      <w:r>
        <w:rPr>
          <w:noProof/>
          <w:lang w:val="fr-FR"/>
        </w:rPr>
        <w:t xml:space="preserve">En ce qui concerne les services destinés aux enfants, elle est chargée d’inspecter les établissements publics de séjour pour enfants, les unités de soins spéciaux et les </w:t>
      </w:r>
      <w:r w:rsidR="007D2CE3">
        <w:rPr>
          <w:noProof/>
          <w:lang w:val="fr-FR"/>
        </w:rPr>
        <w:t>services de placement familial</w:t>
      </w:r>
      <w:r w:rsidR="001B2F58" w:rsidRPr="00DD03D6">
        <w:rPr>
          <w:noProof/>
          <w:lang w:val="fr-FR"/>
        </w:rPr>
        <w:t xml:space="preserve">. </w:t>
      </w:r>
      <w:r w:rsidR="007D2CE3">
        <w:rPr>
          <w:noProof/>
          <w:lang w:val="fr-FR"/>
        </w:rPr>
        <w:t xml:space="preserve">L’inspection des établissements d’éducation surveillée est confiée au Bureau de l’information sanitaire et de la qualité des services sanitaires en vertu des articles </w:t>
      </w:r>
      <w:r w:rsidR="001B2F58" w:rsidRPr="00DD03D6">
        <w:rPr>
          <w:noProof/>
          <w:lang w:val="fr-FR"/>
        </w:rPr>
        <w:t xml:space="preserve">85 </w:t>
      </w:r>
      <w:r w:rsidR="007D2CE3">
        <w:rPr>
          <w:noProof/>
          <w:lang w:val="fr-FR"/>
        </w:rPr>
        <w:t>et</w:t>
      </w:r>
      <w:r w:rsidR="001B2F58" w:rsidRPr="00DD03D6">
        <w:rPr>
          <w:noProof/>
          <w:lang w:val="fr-FR"/>
        </w:rPr>
        <w:t xml:space="preserve"> 86 </w:t>
      </w:r>
      <w:r w:rsidR="007D2CE3">
        <w:rPr>
          <w:noProof/>
          <w:lang w:val="fr-FR"/>
        </w:rPr>
        <w:t>de la loi de 2001 sur les enfants</w:t>
      </w:r>
      <w:r w:rsidR="001B2F58" w:rsidRPr="00DD03D6">
        <w:rPr>
          <w:noProof/>
          <w:lang w:val="fr-FR"/>
        </w:rPr>
        <w:t xml:space="preserve">. </w:t>
      </w:r>
      <w:r w:rsidR="007D2CE3">
        <w:rPr>
          <w:noProof/>
          <w:lang w:val="fr-FR"/>
        </w:rPr>
        <w:t xml:space="preserve">Depuis </w:t>
      </w:r>
      <w:r w:rsidR="001B2F58" w:rsidRPr="00DD03D6">
        <w:rPr>
          <w:noProof/>
          <w:lang w:val="fr-FR"/>
        </w:rPr>
        <w:t xml:space="preserve">2012, </w:t>
      </w:r>
      <w:r w:rsidR="007D2CE3">
        <w:rPr>
          <w:noProof/>
          <w:lang w:val="fr-FR"/>
        </w:rPr>
        <w:t>le mandat de ce Bureau a été étendu aux services d’assistance et de protection destinés aux enfants</w:t>
      </w:r>
      <w:r w:rsidR="001B2F58" w:rsidRPr="00DD03D6">
        <w:rPr>
          <w:noProof/>
          <w:lang w:val="fr-FR"/>
        </w:rPr>
        <w:t>.</w:t>
      </w:r>
    </w:p>
    <w:p w:rsidR="001B2F58" w:rsidRPr="00DD03D6" w:rsidRDefault="007D2CE3" w:rsidP="007D2CE3">
      <w:pPr>
        <w:pStyle w:val="H23G"/>
        <w:ind w:firstLine="0"/>
        <w:rPr>
          <w:noProof/>
          <w:lang w:val="fr-FR"/>
        </w:rPr>
      </w:pPr>
      <w:r>
        <w:rPr>
          <w:noProof/>
          <w:lang w:val="fr-FR"/>
        </w:rPr>
        <w:lastRenderedPageBreak/>
        <w:t xml:space="preserve">Conseil consultatif sur les lois relatives aux enfants </w:t>
      </w:r>
    </w:p>
    <w:p w:rsidR="001B2F58" w:rsidRPr="00DD03D6" w:rsidRDefault="007D2CE3" w:rsidP="00E77652">
      <w:pPr>
        <w:pStyle w:val="SingleTxtG"/>
        <w:numPr>
          <w:ilvl w:val="0"/>
          <w:numId w:val="3"/>
        </w:numPr>
        <w:ind w:left="1134" w:firstLine="0"/>
        <w:rPr>
          <w:noProof/>
          <w:lang w:val="fr-FR" w:eastAsia="en-IE"/>
        </w:rPr>
      </w:pPr>
      <w:r>
        <w:rPr>
          <w:noProof/>
          <w:lang w:val="fr-FR"/>
        </w:rPr>
        <w:t>Le Conseil consultatif sur les lois relatives aux enfants a été créé en application de la loi de 2007 portant modification de la loi sur la protection de l’enfance</w:t>
      </w:r>
      <w:r w:rsidR="001B2F58" w:rsidRPr="00DD03D6">
        <w:rPr>
          <w:noProof/>
          <w:lang w:val="fr-FR"/>
        </w:rPr>
        <w:t>. I</w:t>
      </w:r>
      <w:r>
        <w:rPr>
          <w:noProof/>
          <w:lang w:val="fr-FR"/>
        </w:rPr>
        <w:t xml:space="preserve">l a remplacé l’ancienne </w:t>
      </w:r>
      <w:r>
        <w:rPr>
          <w:szCs w:val="24"/>
          <w:lang w:val="fr-FR"/>
        </w:rPr>
        <w:t xml:space="preserve">Commission des services </w:t>
      </w:r>
      <w:r w:rsidR="00B4495A">
        <w:rPr>
          <w:szCs w:val="24"/>
          <w:lang w:val="fr-FR"/>
        </w:rPr>
        <w:t>résidentiels</w:t>
      </w:r>
      <w:r>
        <w:rPr>
          <w:szCs w:val="24"/>
          <w:lang w:val="fr-FR"/>
        </w:rPr>
        <w:t xml:space="preserve"> spéciaux </w:t>
      </w:r>
      <w:r w:rsidR="001B2F58" w:rsidRPr="00DD03D6">
        <w:rPr>
          <w:noProof/>
          <w:lang w:val="fr-FR"/>
        </w:rPr>
        <w:t>(</w:t>
      </w:r>
      <w:r w:rsidR="00B4495A">
        <w:rPr>
          <w:noProof/>
          <w:lang w:val="fr-FR"/>
        </w:rPr>
        <w:t>voir le deuxième rapport périodique de l’</w:t>
      </w:r>
      <w:r w:rsidR="001B2F58" w:rsidRPr="00DD03D6">
        <w:rPr>
          <w:noProof/>
          <w:lang w:val="fr-FR"/>
        </w:rPr>
        <w:t>Irland</w:t>
      </w:r>
      <w:r w:rsidR="00B4495A">
        <w:rPr>
          <w:noProof/>
          <w:lang w:val="fr-FR"/>
        </w:rPr>
        <w:t>e</w:t>
      </w:r>
      <w:r w:rsidR="00E77652" w:rsidRPr="00DD03D6">
        <w:rPr>
          <w:noProof/>
          <w:lang w:val="fr-FR"/>
        </w:rPr>
        <w:t>)</w:t>
      </w:r>
      <w:r w:rsidR="001B2F58" w:rsidRPr="00DD03D6">
        <w:rPr>
          <w:rStyle w:val="Appelnotedebasdep"/>
          <w:noProof/>
          <w:lang w:val="fr-FR"/>
        </w:rPr>
        <w:footnoteReference w:id="31"/>
      </w:r>
      <w:r w:rsidR="001B2F58" w:rsidRPr="00DD03D6">
        <w:rPr>
          <w:noProof/>
          <w:lang w:val="fr-FR"/>
        </w:rPr>
        <w:t xml:space="preserve">. </w:t>
      </w:r>
      <w:r w:rsidR="003C64FF">
        <w:rPr>
          <w:noProof/>
          <w:lang w:val="fr-FR"/>
        </w:rPr>
        <w:t>Cette loi a élargi le mandat du Conseil consultatif pour lui permettre de devenir un organe consultatif et facilitateur renforcé dont les fonctions prévoient la fourniture d’avis aux Ministres de la santé et de l’enfance et de la justice et de l’égalité sur des questions de politique générale relatives à la prestation coordonnée de services aux enfants/jeunes en situation de risque, en particulier dans le cadre de la loi de 1991 sur la protection de l’enfance et de la loi de 2001 sur les enfants.</w:t>
      </w:r>
      <w:r w:rsidR="00E92D3C">
        <w:rPr>
          <w:noProof/>
          <w:lang w:val="fr-FR"/>
        </w:rPr>
        <w:t xml:space="preserve"> </w:t>
      </w:r>
    </w:p>
    <w:p w:rsidR="001B2F58" w:rsidRPr="00DD03D6" w:rsidRDefault="003C64FF" w:rsidP="00397E84">
      <w:pPr>
        <w:pStyle w:val="SingleTxtG"/>
        <w:numPr>
          <w:ilvl w:val="0"/>
          <w:numId w:val="3"/>
        </w:numPr>
        <w:ind w:left="1134" w:firstLine="0"/>
        <w:rPr>
          <w:noProof/>
          <w:lang w:val="fr-FR" w:eastAsia="en-IE"/>
        </w:rPr>
      </w:pPr>
      <w:r>
        <w:rPr>
          <w:noProof/>
          <w:lang w:val="fr-FR"/>
        </w:rPr>
        <w:t xml:space="preserve">Le Conseil consultatif </w:t>
      </w:r>
      <w:r w:rsidR="00042B22">
        <w:rPr>
          <w:noProof/>
          <w:lang w:val="fr-FR"/>
        </w:rPr>
        <w:t xml:space="preserve">a été dissous avec effet au </w:t>
      </w:r>
      <w:r w:rsidR="001B2F58" w:rsidRPr="00DD03D6">
        <w:rPr>
          <w:noProof/>
          <w:lang w:val="fr-FR" w:eastAsia="en-IE"/>
        </w:rPr>
        <w:t xml:space="preserve">8 </w:t>
      </w:r>
      <w:r w:rsidR="00042B22">
        <w:rPr>
          <w:noProof/>
          <w:lang w:val="fr-FR" w:eastAsia="en-IE"/>
        </w:rPr>
        <w:t>s</w:t>
      </w:r>
      <w:r w:rsidR="001B2F58" w:rsidRPr="00DD03D6">
        <w:rPr>
          <w:noProof/>
          <w:lang w:val="fr-FR" w:eastAsia="en-IE"/>
        </w:rPr>
        <w:t>eptemb</w:t>
      </w:r>
      <w:r w:rsidR="00042B22">
        <w:rPr>
          <w:noProof/>
          <w:lang w:val="fr-FR" w:eastAsia="en-IE"/>
        </w:rPr>
        <w:t>re</w:t>
      </w:r>
      <w:r w:rsidR="001B2F58" w:rsidRPr="00DD03D6">
        <w:rPr>
          <w:noProof/>
          <w:lang w:val="fr-FR" w:eastAsia="en-IE"/>
        </w:rPr>
        <w:t xml:space="preserve"> 2011 </w:t>
      </w:r>
      <w:r w:rsidR="00042B22">
        <w:rPr>
          <w:noProof/>
          <w:lang w:val="fr-FR" w:eastAsia="en-IE"/>
        </w:rPr>
        <w:t xml:space="preserve">par la </w:t>
      </w:r>
      <w:r w:rsidR="00042B22">
        <w:rPr>
          <w:noProof/>
          <w:lang w:val="fr-FR"/>
        </w:rPr>
        <w:t>loi de 2011 portant modification de la loi sur la protection de l’enfance</w:t>
      </w:r>
      <w:r w:rsidR="001B2F58" w:rsidRPr="00DD03D6">
        <w:rPr>
          <w:noProof/>
          <w:lang w:val="fr-FR" w:eastAsia="en-IE"/>
        </w:rPr>
        <w:t xml:space="preserve">. </w:t>
      </w:r>
      <w:r w:rsidR="00042B22">
        <w:rPr>
          <w:noProof/>
          <w:lang w:val="fr-FR" w:eastAsia="en-IE"/>
        </w:rPr>
        <w:t xml:space="preserve">Les attributions conférées au Ministre de la santé par les lois de 1991 à 2011 sur la protecetion de l’enfance ont été transférées </w:t>
      </w:r>
      <w:r w:rsidR="00375B55">
        <w:rPr>
          <w:noProof/>
          <w:lang w:val="fr-FR" w:eastAsia="en-IE"/>
        </w:rPr>
        <w:t xml:space="preserve">à la </w:t>
      </w:r>
      <w:r w:rsidR="00042B22">
        <w:rPr>
          <w:noProof/>
          <w:lang w:val="fr-FR" w:eastAsia="en-IE"/>
        </w:rPr>
        <w:t xml:space="preserve">Ministre de l’enfance et de la jeunesse avec effet au </w:t>
      </w:r>
      <w:r w:rsidR="001B2F58" w:rsidRPr="00DD03D6">
        <w:rPr>
          <w:noProof/>
          <w:lang w:val="fr-FR" w:eastAsia="en-IE"/>
        </w:rPr>
        <w:t>1</w:t>
      </w:r>
      <w:r w:rsidR="00042B22" w:rsidRPr="00042B22">
        <w:rPr>
          <w:noProof/>
          <w:vertAlign w:val="superscript"/>
          <w:lang w:val="fr-FR" w:eastAsia="en-IE"/>
        </w:rPr>
        <w:t>er</w:t>
      </w:r>
      <w:r w:rsidR="00042B22">
        <w:rPr>
          <w:noProof/>
          <w:lang w:val="fr-FR" w:eastAsia="en-IE"/>
        </w:rPr>
        <w:t xml:space="preserve"> octobre</w:t>
      </w:r>
      <w:r w:rsidR="001B2F58" w:rsidRPr="00DD03D6">
        <w:rPr>
          <w:noProof/>
          <w:lang w:val="fr-FR" w:eastAsia="en-IE"/>
        </w:rPr>
        <w:t xml:space="preserve"> 2011.</w:t>
      </w:r>
    </w:p>
    <w:p w:rsidR="001B2F58" w:rsidRPr="00DD03D6" w:rsidRDefault="00042B22" w:rsidP="00042B22">
      <w:pPr>
        <w:pStyle w:val="H23G"/>
        <w:ind w:firstLine="0"/>
        <w:rPr>
          <w:noProof/>
          <w:lang w:val="fr-FR"/>
        </w:rPr>
      </w:pPr>
      <w:r>
        <w:rPr>
          <w:noProof/>
          <w:lang w:val="fr-FR"/>
        </w:rPr>
        <w:t xml:space="preserve">Santé mentale </w:t>
      </w:r>
    </w:p>
    <w:p w:rsidR="001B2F58" w:rsidRPr="00DD03D6" w:rsidRDefault="00D210CD" w:rsidP="00E77652">
      <w:pPr>
        <w:pStyle w:val="SingleTxtG"/>
        <w:numPr>
          <w:ilvl w:val="0"/>
          <w:numId w:val="3"/>
        </w:numPr>
        <w:ind w:left="1134" w:firstLine="0"/>
        <w:rPr>
          <w:noProof/>
          <w:lang w:val="fr-FR"/>
        </w:rPr>
      </w:pPr>
      <w:r>
        <w:rPr>
          <w:noProof/>
          <w:lang w:val="fr-FR"/>
        </w:rPr>
        <w:t xml:space="preserve">Le deuxième rapport périodique de l’Irlande a décrit les dispositions </w:t>
      </w:r>
      <w:r w:rsidR="001B2F58" w:rsidRPr="00DD03D6">
        <w:rPr>
          <w:noProof/>
          <w:lang w:val="fr-FR"/>
        </w:rPr>
        <w:t>l</w:t>
      </w:r>
      <w:r>
        <w:rPr>
          <w:noProof/>
          <w:lang w:val="fr-FR"/>
        </w:rPr>
        <w:t>é</w:t>
      </w:r>
      <w:r w:rsidR="001B2F58" w:rsidRPr="00DD03D6">
        <w:rPr>
          <w:noProof/>
          <w:lang w:val="fr-FR"/>
        </w:rPr>
        <w:t>gislative</w:t>
      </w:r>
      <w:r>
        <w:rPr>
          <w:noProof/>
          <w:lang w:val="fr-FR"/>
        </w:rPr>
        <w:t>s</w:t>
      </w:r>
      <w:r w:rsidR="001B2F58" w:rsidRPr="00DD03D6">
        <w:rPr>
          <w:noProof/>
          <w:lang w:val="fr-FR"/>
        </w:rPr>
        <w:t xml:space="preserve"> </w:t>
      </w:r>
      <w:r>
        <w:rPr>
          <w:noProof/>
          <w:lang w:val="fr-FR"/>
        </w:rPr>
        <w:t>applicables dans ce domaine en vertu de la loi de 2001 sur la santé mentale en ce qui concerne les enfants âgés de plus de 16 ans</w:t>
      </w:r>
      <w:r w:rsidR="001B2F58" w:rsidRPr="00DD03D6">
        <w:rPr>
          <w:rStyle w:val="Appelnotedebasdep"/>
          <w:noProof/>
          <w:lang w:val="fr-FR"/>
        </w:rPr>
        <w:footnoteReference w:id="32"/>
      </w:r>
      <w:r>
        <w:rPr>
          <w:noProof/>
          <w:lang w:val="fr-FR"/>
        </w:rPr>
        <w:t>.</w:t>
      </w:r>
    </w:p>
    <w:p w:rsidR="001B2F58" w:rsidRPr="00DD03D6" w:rsidRDefault="00B60E78" w:rsidP="00397E84">
      <w:pPr>
        <w:pStyle w:val="SingleTxtG"/>
        <w:numPr>
          <w:ilvl w:val="0"/>
          <w:numId w:val="3"/>
        </w:numPr>
        <w:ind w:left="1134" w:firstLine="0"/>
        <w:rPr>
          <w:noProof/>
          <w:lang w:val="fr-FR"/>
        </w:rPr>
      </w:pPr>
      <w:r>
        <w:rPr>
          <w:noProof/>
          <w:lang w:val="fr-FR"/>
        </w:rPr>
        <w:t xml:space="preserve">La loi sur la santé mentale est entrée pleinement en vigueur en août </w:t>
      </w:r>
      <w:r w:rsidR="001B2F58" w:rsidRPr="00DD03D6">
        <w:rPr>
          <w:noProof/>
          <w:lang w:val="fr-FR"/>
        </w:rPr>
        <w:t>2006</w:t>
      </w:r>
      <w:r>
        <w:rPr>
          <w:noProof/>
          <w:lang w:val="fr-FR"/>
        </w:rPr>
        <w:t>. La loi de 2001 sur la santé mentale est en cours de révision</w:t>
      </w:r>
      <w:r w:rsidR="001B2F58" w:rsidRPr="00DD03D6">
        <w:rPr>
          <w:noProof/>
          <w:lang w:val="fr-FR"/>
        </w:rPr>
        <w:t xml:space="preserve">. </w:t>
      </w:r>
      <w:r>
        <w:rPr>
          <w:noProof/>
          <w:lang w:val="fr-FR"/>
        </w:rPr>
        <w:t xml:space="preserve">Cette révision est conduite en deux </w:t>
      </w:r>
      <w:r w:rsidR="001B2F58" w:rsidRPr="00DD03D6">
        <w:rPr>
          <w:noProof/>
          <w:lang w:val="fr-FR"/>
        </w:rPr>
        <w:t xml:space="preserve">phases. </w:t>
      </w:r>
      <w:r w:rsidR="00582F23">
        <w:rPr>
          <w:noProof/>
          <w:lang w:val="fr-FR"/>
        </w:rPr>
        <w:t>La p</w:t>
      </w:r>
      <w:r w:rsidR="001B2F58" w:rsidRPr="00DD03D6">
        <w:rPr>
          <w:noProof/>
          <w:lang w:val="fr-FR"/>
        </w:rPr>
        <w:t xml:space="preserve">hase 1 </w:t>
      </w:r>
      <w:r w:rsidR="00582F23">
        <w:rPr>
          <w:noProof/>
          <w:lang w:val="fr-FR"/>
        </w:rPr>
        <w:t>a vu la créati</w:t>
      </w:r>
      <w:r w:rsidR="00D630B2">
        <w:rPr>
          <w:noProof/>
          <w:lang w:val="fr-FR"/>
        </w:rPr>
        <w:t>o</w:t>
      </w:r>
      <w:r w:rsidR="00582F23">
        <w:rPr>
          <w:noProof/>
          <w:lang w:val="fr-FR"/>
        </w:rPr>
        <w:t xml:space="preserve">n d’un </w:t>
      </w:r>
      <w:r w:rsidR="00E10192">
        <w:rPr>
          <w:noProof/>
          <w:lang w:val="fr-FR"/>
        </w:rPr>
        <w:t>C</w:t>
      </w:r>
      <w:r w:rsidR="00582F23">
        <w:rPr>
          <w:noProof/>
          <w:lang w:val="fr-FR"/>
        </w:rPr>
        <w:t xml:space="preserve">omité de </w:t>
      </w:r>
      <w:r w:rsidR="006C4778">
        <w:rPr>
          <w:noProof/>
          <w:lang w:val="fr-FR"/>
        </w:rPr>
        <w:t>pilotage chargé de recenser les </w:t>
      </w:r>
      <w:r w:rsidR="00582F23">
        <w:rPr>
          <w:noProof/>
          <w:lang w:val="fr-FR"/>
        </w:rPr>
        <w:t>principaux éléments de la loi à redéfinir</w:t>
      </w:r>
      <w:r w:rsidR="001B2F58" w:rsidRPr="00DD03D6">
        <w:rPr>
          <w:noProof/>
          <w:lang w:val="fr-FR"/>
        </w:rPr>
        <w:t xml:space="preserve">. </w:t>
      </w:r>
      <w:r w:rsidR="00E10192">
        <w:rPr>
          <w:noProof/>
          <w:lang w:val="fr-FR"/>
        </w:rPr>
        <w:t>Le rapport d’ét</w:t>
      </w:r>
      <w:r w:rsidR="006C4778">
        <w:rPr>
          <w:noProof/>
          <w:lang w:val="fr-FR"/>
        </w:rPr>
        <w:t>ape du Comité de pilotage a été </w:t>
      </w:r>
      <w:r w:rsidR="00E10192">
        <w:rPr>
          <w:noProof/>
          <w:lang w:val="fr-FR"/>
        </w:rPr>
        <w:t xml:space="preserve">publié en juin 2012 et est accessible à l’adresse </w:t>
      </w:r>
      <w:hyperlink r:id="rId30" w:history="1">
        <w:r w:rsidR="001B2F58" w:rsidRPr="00DD03D6">
          <w:rPr>
            <w:rStyle w:val="Lienhypertexte"/>
            <w:noProof/>
            <w:color w:val="0000FF"/>
            <w:u w:val="single"/>
            <w:lang w:val="fr-FR"/>
          </w:rPr>
          <w:t>www.dohc.ie/publications/int_report_sg_reviewMHA.html</w:t>
        </w:r>
      </w:hyperlink>
      <w:r w:rsidR="001B2F58" w:rsidRPr="00DD03D6">
        <w:rPr>
          <w:noProof/>
          <w:lang w:val="fr-FR"/>
        </w:rPr>
        <w:t xml:space="preserve">. </w:t>
      </w:r>
      <w:r w:rsidR="00E10192">
        <w:rPr>
          <w:noProof/>
          <w:lang w:val="fr-FR"/>
        </w:rPr>
        <w:t xml:space="preserve">Ce rapport a présenté un certain nombre de </w:t>
      </w:r>
      <w:r w:rsidR="001B2F58" w:rsidRPr="00DD03D6">
        <w:rPr>
          <w:noProof/>
          <w:lang w:val="fr-FR"/>
        </w:rPr>
        <w:t>recomm</w:t>
      </w:r>
      <w:r w:rsidR="00E10192">
        <w:rPr>
          <w:noProof/>
          <w:lang w:val="fr-FR"/>
        </w:rPr>
        <w:t>a</w:t>
      </w:r>
      <w:r w:rsidR="001B2F58" w:rsidRPr="00DD03D6">
        <w:rPr>
          <w:noProof/>
          <w:lang w:val="fr-FR"/>
        </w:rPr>
        <w:t xml:space="preserve">ndations </w:t>
      </w:r>
      <w:r w:rsidR="00E10192">
        <w:rPr>
          <w:noProof/>
          <w:lang w:val="fr-FR"/>
        </w:rPr>
        <w:t xml:space="preserve">concernant les enfants </w:t>
      </w:r>
      <w:r w:rsidR="001B2F58" w:rsidRPr="00DD03D6">
        <w:rPr>
          <w:noProof/>
          <w:lang w:val="fr-FR"/>
        </w:rPr>
        <w:t>:</w:t>
      </w:r>
    </w:p>
    <w:p w:rsidR="001B2F58" w:rsidRPr="00DD03D6" w:rsidRDefault="00E10192" w:rsidP="006C4778">
      <w:pPr>
        <w:pStyle w:val="Bullet1G"/>
        <w:tabs>
          <w:tab w:val="clear" w:pos="1701"/>
          <w:tab w:val="left" w:pos="1843"/>
          <w:tab w:val="left" w:pos="6237"/>
        </w:tabs>
        <w:ind w:left="1843" w:hanging="142"/>
        <w:rPr>
          <w:rFonts w:ascii="Arial Unicode MS" w:eastAsia="Arial Unicode MS" w:hAnsi="Arial Unicode MS" w:cs="Arial Unicode MS"/>
          <w:noProof/>
          <w:lang w:val="fr-FR"/>
        </w:rPr>
      </w:pPr>
      <w:r>
        <w:rPr>
          <w:noProof/>
          <w:lang w:val="fr-FR"/>
        </w:rPr>
        <w:t>Les dispositions concernant les enfants doivent constituer une partie distincte de la loi et toute disposition de la loi de 1991 sur la protection de l’enfance qui est applicable doit figurer expressément dans la loi révisée, et non faire l’objet d’un renvoi</w:t>
      </w:r>
      <w:r w:rsidR="003B335E" w:rsidRPr="00DD03D6">
        <w:rPr>
          <w:noProof/>
          <w:lang w:val="fr-FR"/>
        </w:rPr>
        <w:t>;</w:t>
      </w:r>
    </w:p>
    <w:p w:rsidR="001B2F58" w:rsidRPr="00DD03D6" w:rsidRDefault="00E10192" w:rsidP="00E3762B">
      <w:pPr>
        <w:pStyle w:val="Bullet1G"/>
        <w:tabs>
          <w:tab w:val="clear" w:pos="1701"/>
          <w:tab w:val="left" w:pos="1843"/>
          <w:tab w:val="left" w:pos="6237"/>
        </w:tabs>
        <w:ind w:left="1843" w:hanging="142"/>
        <w:rPr>
          <w:noProof/>
          <w:lang w:val="fr-FR"/>
        </w:rPr>
      </w:pPr>
      <w:r>
        <w:rPr>
          <w:noProof/>
          <w:lang w:val="fr-FR"/>
        </w:rPr>
        <w:t xml:space="preserve">Les enfants âgés de </w:t>
      </w:r>
      <w:r w:rsidR="001B2F58" w:rsidRPr="00DD03D6">
        <w:rPr>
          <w:noProof/>
          <w:lang w:val="fr-FR"/>
        </w:rPr>
        <w:t>16 o</w:t>
      </w:r>
      <w:r>
        <w:rPr>
          <w:noProof/>
          <w:lang w:val="fr-FR"/>
        </w:rPr>
        <w:t>u</w:t>
      </w:r>
      <w:r w:rsidR="001B2F58" w:rsidRPr="00DD03D6">
        <w:rPr>
          <w:noProof/>
          <w:lang w:val="fr-FR"/>
        </w:rPr>
        <w:t xml:space="preserve"> 17 </w:t>
      </w:r>
      <w:r>
        <w:rPr>
          <w:noProof/>
          <w:lang w:val="fr-FR"/>
        </w:rPr>
        <w:t>ans doivent être présumés avoir la capacité de consentir à des soins ou à un traitement de santé mentale ou de les refuser</w:t>
      </w:r>
      <w:r w:rsidR="003B335E" w:rsidRPr="00DD03D6">
        <w:rPr>
          <w:noProof/>
          <w:lang w:val="fr-FR"/>
        </w:rPr>
        <w:t>;</w:t>
      </w:r>
    </w:p>
    <w:p w:rsidR="001B2F58" w:rsidRPr="00DD03D6" w:rsidRDefault="00E10192" w:rsidP="00E3762B">
      <w:pPr>
        <w:pStyle w:val="Bullet1G"/>
        <w:tabs>
          <w:tab w:val="clear" w:pos="1701"/>
          <w:tab w:val="left" w:pos="1843"/>
          <w:tab w:val="left" w:pos="6237"/>
        </w:tabs>
        <w:ind w:left="1843" w:hanging="142"/>
        <w:rPr>
          <w:noProof/>
          <w:lang w:val="fr-FR"/>
        </w:rPr>
      </w:pPr>
      <w:r>
        <w:rPr>
          <w:noProof/>
          <w:lang w:val="fr-FR"/>
        </w:rPr>
        <w:t>Un enfant doit être défini comme étant une personne âgée de moins de 18 ans, conformément à la loi de 2001 sur les enfants.</w:t>
      </w:r>
      <w:r w:rsidR="00E92D3C">
        <w:rPr>
          <w:noProof/>
          <w:lang w:val="fr-FR"/>
        </w:rPr>
        <w:t xml:space="preserve"> </w:t>
      </w:r>
    </w:p>
    <w:p w:rsidR="001B2F58" w:rsidRPr="00DD03D6" w:rsidRDefault="00E10192" w:rsidP="00397E84">
      <w:pPr>
        <w:pStyle w:val="SingleTxtG"/>
        <w:numPr>
          <w:ilvl w:val="0"/>
          <w:numId w:val="3"/>
        </w:numPr>
        <w:ind w:left="1134" w:firstLine="0"/>
        <w:rPr>
          <w:noProof/>
          <w:lang w:val="fr-FR"/>
        </w:rPr>
      </w:pPr>
      <w:r>
        <w:rPr>
          <w:noProof/>
          <w:lang w:val="fr-FR"/>
        </w:rPr>
        <w:t>Aux fins de la deuxième phase de la révision, portant sur les questions de fond, un Groupe d’experts a été constitué</w:t>
      </w:r>
      <w:r w:rsidR="001B2F58" w:rsidRPr="00DD03D6">
        <w:rPr>
          <w:noProof/>
          <w:lang w:val="fr-FR"/>
        </w:rPr>
        <w:t xml:space="preserve">. </w:t>
      </w:r>
      <w:r>
        <w:rPr>
          <w:noProof/>
          <w:lang w:val="fr-FR"/>
        </w:rPr>
        <w:t xml:space="preserve">Ses membres poursuivent leurs travaux et devraient avoir établi leur rapport au deuxième trimestre de </w:t>
      </w:r>
      <w:r w:rsidR="001B2F58" w:rsidRPr="00DD03D6">
        <w:rPr>
          <w:noProof/>
          <w:lang w:val="fr-FR"/>
        </w:rPr>
        <w:t>2013.</w:t>
      </w:r>
    </w:p>
    <w:p w:rsidR="001B2F58" w:rsidRPr="00DD03D6" w:rsidRDefault="00247D14" w:rsidP="00247D14">
      <w:pPr>
        <w:pStyle w:val="H1G"/>
        <w:rPr>
          <w:noProof/>
          <w:lang w:val="fr-FR"/>
        </w:rPr>
      </w:pPr>
      <w:bookmarkStart w:id="50" w:name="_Toc356430875"/>
      <w:r w:rsidRPr="00DD03D6">
        <w:rPr>
          <w:noProof/>
          <w:lang w:val="fr-FR"/>
        </w:rPr>
        <w:tab/>
      </w:r>
      <w:r w:rsidR="001B2F58" w:rsidRPr="00DD03D6">
        <w:rPr>
          <w:noProof/>
          <w:lang w:val="fr-FR"/>
        </w:rPr>
        <w:t>H.</w:t>
      </w:r>
      <w:r w:rsidR="001B2F58" w:rsidRPr="00DD03D6">
        <w:rPr>
          <w:noProof/>
          <w:lang w:val="fr-FR"/>
        </w:rPr>
        <w:tab/>
      </w:r>
      <w:bookmarkEnd w:id="50"/>
      <w:r w:rsidR="00E10192">
        <w:rPr>
          <w:noProof/>
          <w:lang w:val="fr-FR"/>
        </w:rPr>
        <w:t>Adoption</w:t>
      </w:r>
      <w:r w:rsidR="00E10192" w:rsidRPr="00DD03D6">
        <w:rPr>
          <w:noProof/>
          <w:lang w:val="fr-FR"/>
        </w:rPr>
        <w:t xml:space="preserve"> national</w:t>
      </w:r>
      <w:r w:rsidR="00E10192">
        <w:rPr>
          <w:noProof/>
          <w:lang w:val="fr-FR"/>
        </w:rPr>
        <w:t>e et internationale</w:t>
      </w:r>
    </w:p>
    <w:p w:rsidR="001B2F58" w:rsidRPr="00DD03D6" w:rsidRDefault="00414B4A" w:rsidP="00397E84">
      <w:pPr>
        <w:pStyle w:val="SingleTxtG"/>
        <w:numPr>
          <w:ilvl w:val="0"/>
          <w:numId w:val="3"/>
        </w:numPr>
        <w:ind w:left="1134" w:firstLine="0"/>
        <w:rPr>
          <w:noProof/>
          <w:lang w:val="fr-FR"/>
        </w:rPr>
      </w:pPr>
      <w:r>
        <w:rPr>
          <w:noProof/>
          <w:lang w:val="fr-FR"/>
        </w:rPr>
        <w:t xml:space="preserve">Le Ministère de l’enfance et de la jeunesse est chargé des questions relatives à la </w:t>
      </w:r>
      <w:r w:rsidR="001B2F58" w:rsidRPr="00DD03D6">
        <w:rPr>
          <w:noProof/>
          <w:lang w:val="fr-FR"/>
        </w:rPr>
        <w:t xml:space="preserve">formulation </w:t>
      </w:r>
      <w:r>
        <w:rPr>
          <w:noProof/>
          <w:lang w:val="fr-FR"/>
        </w:rPr>
        <w:t xml:space="preserve">de la </w:t>
      </w:r>
      <w:r w:rsidR="001B2F58" w:rsidRPr="00DD03D6">
        <w:rPr>
          <w:noProof/>
          <w:lang w:val="fr-FR"/>
        </w:rPr>
        <w:t>l</w:t>
      </w:r>
      <w:r>
        <w:rPr>
          <w:noProof/>
          <w:lang w:val="fr-FR"/>
        </w:rPr>
        <w:t>é</w:t>
      </w:r>
      <w:r w:rsidR="001B2F58" w:rsidRPr="00DD03D6">
        <w:rPr>
          <w:noProof/>
          <w:lang w:val="fr-FR"/>
        </w:rPr>
        <w:t>gislation</w:t>
      </w:r>
      <w:r>
        <w:rPr>
          <w:noProof/>
          <w:lang w:val="fr-FR"/>
        </w:rPr>
        <w:t xml:space="preserve"> </w:t>
      </w:r>
      <w:r w:rsidR="00501B6F">
        <w:rPr>
          <w:noProof/>
          <w:lang w:val="fr-FR"/>
        </w:rPr>
        <w:t xml:space="preserve">et des règlements régissant </w:t>
      </w:r>
      <w:r>
        <w:rPr>
          <w:noProof/>
          <w:lang w:val="fr-FR"/>
        </w:rPr>
        <w:t>l’adoption</w:t>
      </w:r>
      <w:r w:rsidR="001B2F58" w:rsidRPr="00DD03D6">
        <w:rPr>
          <w:noProof/>
          <w:lang w:val="fr-FR"/>
        </w:rPr>
        <w:t xml:space="preserve">, </w:t>
      </w:r>
      <w:r w:rsidR="00501B6F">
        <w:rPr>
          <w:noProof/>
          <w:lang w:val="fr-FR"/>
        </w:rPr>
        <w:t xml:space="preserve">ainsi que </w:t>
      </w:r>
      <w:r>
        <w:rPr>
          <w:noProof/>
          <w:lang w:val="fr-FR"/>
        </w:rPr>
        <w:t>des questions concernant la politique publique en matière d’adoption</w:t>
      </w:r>
      <w:r w:rsidR="001B2F58" w:rsidRPr="00DD03D6">
        <w:rPr>
          <w:noProof/>
          <w:lang w:val="fr-FR"/>
        </w:rPr>
        <w:t xml:space="preserve">. </w:t>
      </w:r>
      <w:r w:rsidR="00501B6F">
        <w:rPr>
          <w:noProof/>
          <w:lang w:val="fr-FR"/>
        </w:rPr>
        <w:t>L’Autorité en matière d’a</w:t>
      </w:r>
      <w:r w:rsidR="001B2F58" w:rsidRPr="00DD03D6">
        <w:rPr>
          <w:noProof/>
          <w:lang w:val="fr-FR"/>
        </w:rPr>
        <w:t xml:space="preserve">doption </w:t>
      </w:r>
      <w:r w:rsidR="00501B6F">
        <w:rPr>
          <w:noProof/>
          <w:lang w:val="fr-FR"/>
        </w:rPr>
        <w:t xml:space="preserve">a été mise en place le </w:t>
      </w:r>
      <w:r w:rsidR="001B2F58" w:rsidRPr="00DD03D6">
        <w:rPr>
          <w:noProof/>
          <w:lang w:val="fr-FR"/>
        </w:rPr>
        <w:t>1</w:t>
      </w:r>
      <w:r w:rsidR="00501B6F" w:rsidRPr="00501B6F">
        <w:rPr>
          <w:noProof/>
          <w:vertAlign w:val="superscript"/>
          <w:lang w:val="fr-FR"/>
        </w:rPr>
        <w:t>er</w:t>
      </w:r>
      <w:r w:rsidR="00501B6F">
        <w:rPr>
          <w:noProof/>
          <w:lang w:val="fr-FR"/>
        </w:rPr>
        <w:t xml:space="preserve"> n</w:t>
      </w:r>
      <w:r w:rsidR="001B2F58" w:rsidRPr="00DD03D6">
        <w:rPr>
          <w:noProof/>
          <w:lang w:val="fr-FR"/>
        </w:rPr>
        <w:t>ovemb</w:t>
      </w:r>
      <w:r w:rsidR="00501B6F">
        <w:rPr>
          <w:noProof/>
          <w:lang w:val="fr-FR"/>
        </w:rPr>
        <w:t>re</w:t>
      </w:r>
      <w:r w:rsidR="001B2F58" w:rsidRPr="00DD03D6">
        <w:rPr>
          <w:noProof/>
          <w:lang w:val="fr-FR"/>
        </w:rPr>
        <w:t xml:space="preserve"> 2010 </w:t>
      </w:r>
      <w:r w:rsidR="00501B6F">
        <w:rPr>
          <w:noProof/>
          <w:lang w:val="fr-FR"/>
        </w:rPr>
        <w:t>en vertu de la loi de 2010 sur l’a</w:t>
      </w:r>
      <w:r w:rsidR="001B2F58" w:rsidRPr="00DD03D6">
        <w:rPr>
          <w:noProof/>
          <w:lang w:val="fr-FR"/>
        </w:rPr>
        <w:t xml:space="preserve">doption. </w:t>
      </w:r>
      <w:r w:rsidR="00501B6F">
        <w:rPr>
          <w:noProof/>
          <w:lang w:val="fr-FR"/>
        </w:rPr>
        <w:t xml:space="preserve">Cette </w:t>
      </w:r>
      <w:r w:rsidR="00501B6F">
        <w:rPr>
          <w:noProof/>
          <w:lang w:val="fr-FR"/>
        </w:rPr>
        <w:lastRenderedPageBreak/>
        <w:t>Autorité est l’organ</w:t>
      </w:r>
      <w:r w:rsidR="00BE2117">
        <w:rPr>
          <w:noProof/>
          <w:lang w:val="fr-FR"/>
        </w:rPr>
        <w:t>ism</w:t>
      </w:r>
      <w:r w:rsidR="00501B6F">
        <w:rPr>
          <w:noProof/>
          <w:lang w:val="fr-FR"/>
        </w:rPr>
        <w:t xml:space="preserve">e </w:t>
      </w:r>
      <w:r w:rsidR="00BE2117">
        <w:rPr>
          <w:noProof/>
          <w:lang w:val="fr-FR"/>
        </w:rPr>
        <w:t>officiel chargé d’appliquer la loi susvisée et l’office central irlandais pour les adoptions internationales</w:t>
      </w:r>
      <w:r w:rsidR="001B2F58" w:rsidRPr="00DD03D6">
        <w:rPr>
          <w:noProof/>
          <w:lang w:val="fr-FR"/>
        </w:rPr>
        <w:t xml:space="preserve">. </w:t>
      </w:r>
      <w:r w:rsidR="00BE2117">
        <w:rPr>
          <w:noProof/>
          <w:lang w:val="fr-FR"/>
        </w:rPr>
        <w:t xml:space="preserve">Elle </w:t>
      </w:r>
      <w:r w:rsidR="00270463">
        <w:rPr>
          <w:noProof/>
          <w:lang w:val="fr-FR"/>
        </w:rPr>
        <w:t>est chargée de l’application opérationnelle directe de la législation et de la politique officielle en matière d’adoption.</w:t>
      </w:r>
    </w:p>
    <w:p w:rsidR="001B2F58" w:rsidRPr="00DD03D6" w:rsidRDefault="00270463" w:rsidP="00397E84">
      <w:pPr>
        <w:pStyle w:val="SingleTxtG"/>
        <w:numPr>
          <w:ilvl w:val="0"/>
          <w:numId w:val="3"/>
        </w:numPr>
        <w:ind w:left="1134" w:firstLine="0"/>
        <w:rPr>
          <w:noProof/>
          <w:lang w:val="fr-FR"/>
        </w:rPr>
      </w:pPr>
      <w:r>
        <w:rPr>
          <w:noProof/>
          <w:lang w:val="fr-FR"/>
        </w:rPr>
        <w:t>La loi de 2010 sur l’a</w:t>
      </w:r>
      <w:r w:rsidR="001B2F58" w:rsidRPr="00DD03D6">
        <w:rPr>
          <w:noProof/>
          <w:lang w:val="fr-FR"/>
        </w:rPr>
        <w:t xml:space="preserve">doption </w:t>
      </w:r>
      <w:r>
        <w:rPr>
          <w:noProof/>
          <w:lang w:val="fr-FR"/>
        </w:rPr>
        <w:t xml:space="preserve">est entrée en vigueur le </w:t>
      </w:r>
      <w:r w:rsidR="001B2F58" w:rsidRPr="00DD03D6">
        <w:rPr>
          <w:noProof/>
          <w:lang w:val="fr-FR"/>
        </w:rPr>
        <w:t>1</w:t>
      </w:r>
      <w:r w:rsidRPr="00270463">
        <w:rPr>
          <w:noProof/>
          <w:vertAlign w:val="superscript"/>
          <w:lang w:val="fr-FR"/>
        </w:rPr>
        <w:t>er</w:t>
      </w:r>
      <w:r>
        <w:rPr>
          <w:noProof/>
          <w:lang w:val="fr-FR"/>
        </w:rPr>
        <w:t xml:space="preserve"> novembre</w:t>
      </w:r>
      <w:r w:rsidR="00E92D3C">
        <w:rPr>
          <w:noProof/>
          <w:lang w:val="fr-FR"/>
        </w:rPr>
        <w:t xml:space="preserve"> </w:t>
      </w:r>
      <w:r w:rsidR="00763D72" w:rsidRPr="00DD03D6">
        <w:rPr>
          <w:noProof/>
          <w:lang w:val="fr-FR"/>
        </w:rPr>
        <w:t xml:space="preserve">2010, </w:t>
      </w:r>
      <w:r>
        <w:rPr>
          <w:noProof/>
          <w:lang w:val="fr-FR"/>
        </w:rPr>
        <w:t xml:space="preserve">date à laquelle l’Irlande a ratifié la </w:t>
      </w:r>
      <w:r w:rsidRPr="00DD03D6">
        <w:rPr>
          <w:noProof/>
          <w:lang w:val="fr-FR"/>
        </w:rPr>
        <w:t xml:space="preserve">Convention </w:t>
      </w:r>
      <w:r>
        <w:rPr>
          <w:noProof/>
          <w:lang w:val="fr-FR"/>
        </w:rPr>
        <w:t>de La Haye sur la p</w:t>
      </w:r>
      <w:r w:rsidRPr="00DD03D6">
        <w:rPr>
          <w:noProof/>
          <w:lang w:val="fr-FR"/>
        </w:rPr>
        <w:t xml:space="preserve">rotection </w:t>
      </w:r>
      <w:r>
        <w:rPr>
          <w:noProof/>
          <w:lang w:val="fr-FR"/>
        </w:rPr>
        <w:t>des enfants et la c</w:t>
      </w:r>
      <w:r w:rsidRPr="00DD03D6">
        <w:rPr>
          <w:noProof/>
          <w:lang w:val="fr-FR"/>
        </w:rPr>
        <w:t>oop</w:t>
      </w:r>
      <w:r>
        <w:rPr>
          <w:noProof/>
          <w:lang w:val="fr-FR"/>
        </w:rPr>
        <w:t>é</w:t>
      </w:r>
      <w:r w:rsidRPr="00DD03D6">
        <w:rPr>
          <w:noProof/>
          <w:lang w:val="fr-FR"/>
        </w:rPr>
        <w:t xml:space="preserve">ration </w:t>
      </w:r>
      <w:r>
        <w:rPr>
          <w:noProof/>
          <w:lang w:val="fr-FR"/>
        </w:rPr>
        <w:t>e</w:t>
      </w:r>
      <w:r w:rsidRPr="00DD03D6">
        <w:rPr>
          <w:noProof/>
          <w:lang w:val="fr-FR"/>
        </w:rPr>
        <w:t xml:space="preserve">n </w:t>
      </w:r>
      <w:r>
        <w:rPr>
          <w:noProof/>
          <w:lang w:val="fr-FR"/>
        </w:rPr>
        <w:t>matière d’adoption internationale</w:t>
      </w:r>
      <w:r w:rsidR="001B2F58" w:rsidRPr="00DD03D6">
        <w:rPr>
          <w:noProof/>
          <w:lang w:val="fr-FR"/>
        </w:rPr>
        <w:t xml:space="preserve">. </w:t>
      </w:r>
      <w:r>
        <w:rPr>
          <w:noProof/>
          <w:lang w:val="fr-FR"/>
        </w:rPr>
        <w:t>Cette loi, qui incorpore les dispositions de ladite Convention, est destinée à fournir un cadre garantissant que les procédures d’adoption appropriées ont été respectées et que toutes les adoptions servent l’intérêt supérieur des enfants concernés</w:t>
      </w:r>
      <w:r w:rsidR="001B2F58" w:rsidRPr="00DD03D6">
        <w:rPr>
          <w:noProof/>
          <w:lang w:val="fr-FR"/>
        </w:rPr>
        <w:t xml:space="preserve">. </w:t>
      </w:r>
      <w:r>
        <w:rPr>
          <w:noProof/>
          <w:lang w:val="fr-FR"/>
        </w:rPr>
        <w:t xml:space="preserve">Les arrangements futurs en matière d’adoption </w:t>
      </w:r>
      <w:r w:rsidR="001B2F58" w:rsidRPr="00DD03D6">
        <w:rPr>
          <w:noProof/>
          <w:lang w:val="fr-FR"/>
        </w:rPr>
        <w:t>inter</w:t>
      </w:r>
      <w:r>
        <w:rPr>
          <w:noProof/>
          <w:lang w:val="fr-FR"/>
        </w:rPr>
        <w:t>nationale seront régis par ses dispositions</w:t>
      </w:r>
      <w:r w:rsidR="001B2F58" w:rsidRPr="00DD03D6">
        <w:rPr>
          <w:noProof/>
          <w:lang w:val="fr-FR"/>
        </w:rPr>
        <w:t xml:space="preserve">. </w:t>
      </w:r>
      <w:r>
        <w:rPr>
          <w:noProof/>
          <w:lang w:val="fr-FR"/>
        </w:rPr>
        <w:t xml:space="preserve">Avec effet au </w:t>
      </w:r>
      <w:r w:rsidR="001B2F58" w:rsidRPr="00DD03D6">
        <w:rPr>
          <w:noProof/>
          <w:lang w:val="fr-FR"/>
        </w:rPr>
        <w:t>1</w:t>
      </w:r>
      <w:r w:rsidRPr="00270463">
        <w:rPr>
          <w:noProof/>
          <w:vertAlign w:val="superscript"/>
          <w:lang w:val="fr-FR"/>
        </w:rPr>
        <w:t>er</w:t>
      </w:r>
      <w:r>
        <w:rPr>
          <w:noProof/>
          <w:lang w:val="fr-FR"/>
        </w:rPr>
        <w:t xml:space="preserve"> n</w:t>
      </w:r>
      <w:r w:rsidR="001B2F58" w:rsidRPr="00DD03D6">
        <w:rPr>
          <w:noProof/>
          <w:lang w:val="fr-FR"/>
        </w:rPr>
        <w:t>ovemb</w:t>
      </w:r>
      <w:r>
        <w:rPr>
          <w:noProof/>
          <w:lang w:val="fr-FR"/>
        </w:rPr>
        <w:t>re</w:t>
      </w:r>
      <w:r w:rsidR="001B2F58" w:rsidRPr="00DD03D6">
        <w:rPr>
          <w:noProof/>
          <w:lang w:val="fr-FR"/>
        </w:rPr>
        <w:t xml:space="preserve"> 2010, </w:t>
      </w:r>
      <w:r w:rsidR="00410A30">
        <w:rPr>
          <w:noProof/>
          <w:lang w:val="fr-FR"/>
        </w:rPr>
        <w:t>il n’est possible de procéder à une adoption</w:t>
      </w:r>
      <w:r>
        <w:rPr>
          <w:noProof/>
          <w:lang w:val="fr-FR"/>
        </w:rPr>
        <w:t xml:space="preserve"> </w:t>
      </w:r>
      <w:r w:rsidR="001B2F58" w:rsidRPr="00DD03D6">
        <w:rPr>
          <w:noProof/>
          <w:lang w:val="fr-FR"/>
        </w:rPr>
        <w:t>inter</w:t>
      </w:r>
      <w:r w:rsidR="00410A30">
        <w:rPr>
          <w:noProof/>
          <w:lang w:val="fr-FR"/>
        </w:rPr>
        <w:t>nationale</w:t>
      </w:r>
      <w:r>
        <w:rPr>
          <w:noProof/>
          <w:lang w:val="fr-FR"/>
        </w:rPr>
        <w:t xml:space="preserve"> </w:t>
      </w:r>
      <w:r w:rsidR="00410A30">
        <w:rPr>
          <w:noProof/>
          <w:lang w:val="fr-FR"/>
        </w:rPr>
        <w:t>qu’avec les pays qui ont ratifié la Convention de La Haye ou avec lesquels l’Irlande a conclu un accord bilaté</w:t>
      </w:r>
      <w:r w:rsidR="001B2F58" w:rsidRPr="00DD03D6">
        <w:rPr>
          <w:noProof/>
          <w:lang w:val="fr-FR"/>
        </w:rPr>
        <w:t xml:space="preserve">ral. </w:t>
      </w:r>
    </w:p>
    <w:p w:rsidR="001B2F58" w:rsidRPr="00DD03D6" w:rsidRDefault="00410A30" w:rsidP="00F37CB2">
      <w:pPr>
        <w:pStyle w:val="SingleTxtG"/>
        <w:numPr>
          <w:ilvl w:val="0"/>
          <w:numId w:val="3"/>
        </w:numPr>
        <w:ind w:left="1134" w:firstLine="0"/>
        <w:rPr>
          <w:noProof/>
          <w:lang w:val="fr-FR"/>
        </w:rPr>
      </w:pPr>
      <w:r>
        <w:rPr>
          <w:noProof/>
          <w:lang w:val="fr-FR"/>
        </w:rPr>
        <w:t>L’Autorité en matière d’a</w:t>
      </w:r>
      <w:r w:rsidRPr="00DD03D6">
        <w:rPr>
          <w:noProof/>
          <w:lang w:val="fr-FR"/>
        </w:rPr>
        <w:t xml:space="preserve">doption </w:t>
      </w:r>
      <w:r>
        <w:rPr>
          <w:noProof/>
          <w:lang w:val="fr-FR"/>
        </w:rPr>
        <w:t xml:space="preserve">s’emploie à prendre avec les autres pays signataires de la Convention susvisée des arrangements </w:t>
      </w:r>
      <w:r w:rsidR="001B2F58" w:rsidRPr="00DD03D6">
        <w:rPr>
          <w:noProof/>
          <w:lang w:val="fr-FR"/>
        </w:rPr>
        <w:t>administrati</w:t>
      </w:r>
      <w:r>
        <w:rPr>
          <w:noProof/>
          <w:lang w:val="fr-FR"/>
        </w:rPr>
        <w:t>fs en ma</w:t>
      </w:r>
      <w:r w:rsidR="00D630B2">
        <w:rPr>
          <w:noProof/>
          <w:lang w:val="fr-FR"/>
        </w:rPr>
        <w:t>ti</w:t>
      </w:r>
      <w:r>
        <w:rPr>
          <w:noProof/>
          <w:lang w:val="fr-FR"/>
        </w:rPr>
        <w:t>ère d’adoption internationale, comme le prévoit l’article de la loi sur l’adoption</w:t>
      </w:r>
      <w:r w:rsidR="001B2F58" w:rsidRPr="00DD03D6">
        <w:rPr>
          <w:noProof/>
          <w:lang w:val="fr-FR"/>
        </w:rPr>
        <w:t xml:space="preserve">. </w:t>
      </w:r>
      <w:r>
        <w:rPr>
          <w:noProof/>
          <w:lang w:val="fr-FR"/>
        </w:rPr>
        <w:t>L’Autorité est en relation avec un certain nombre d’autres pays pour prendre contact avec leurs autorités centrales et leur faire connaître les processus et procédure irlandais, évaluer la nécessité de conclure des arrangements admin</w:t>
      </w:r>
      <w:r w:rsidR="000C6A84">
        <w:rPr>
          <w:noProof/>
          <w:lang w:val="fr-FR"/>
        </w:rPr>
        <w:t>is</w:t>
      </w:r>
      <w:r>
        <w:rPr>
          <w:noProof/>
          <w:lang w:val="fr-FR"/>
        </w:rPr>
        <w:t>tratifs ou accords supplémentaires et recueillir auttant d’</w:t>
      </w:r>
      <w:r w:rsidR="001B2F58" w:rsidRPr="00DD03D6">
        <w:rPr>
          <w:noProof/>
          <w:lang w:val="fr-FR"/>
        </w:rPr>
        <w:t>information</w:t>
      </w:r>
      <w:r>
        <w:rPr>
          <w:noProof/>
          <w:lang w:val="fr-FR"/>
        </w:rPr>
        <w:t>s</w:t>
      </w:r>
      <w:r w:rsidR="001B2F58" w:rsidRPr="00DD03D6">
        <w:rPr>
          <w:noProof/>
          <w:lang w:val="fr-FR"/>
        </w:rPr>
        <w:t xml:space="preserve"> </w:t>
      </w:r>
      <w:r>
        <w:rPr>
          <w:noProof/>
          <w:lang w:val="fr-FR"/>
        </w:rPr>
        <w:t xml:space="preserve">que </w:t>
      </w:r>
      <w:r w:rsidR="001B2F58" w:rsidRPr="00DD03D6">
        <w:rPr>
          <w:noProof/>
          <w:lang w:val="fr-FR"/>
        </w:rPr>
        <w:t xml:space="preserve">possible </w:t>
      </w:r>
      <w:r>
        <w:rPr>
          <w:noProof/>
          <w:lang w:val="fr-FR"/>
        </w:rPr>
        <w:t>sur les futurs adoptants ressortissants de ces pays</w:t>
      </w:r>
      <w:r w:rsidR="001B2F58" w:rsidRPr="00DD03D6">
        <w:rPr>
          <w:noProof/>
          <w:lang w:val="fr-FR"/>
        </w:rPr>
        <w:t xml:space="preserve">. </w:t>
      </w:r>
      <w:r>
        <w:rPr>
          <w:noProof/>
          <w:lang w:val="fr-FR"/>
        </w:rPr>
        <w:t>Les visites permettent également de simpli</w:t>
      </w:r>
      <w:r w:rsidR="00D630B2">
        <w:rPr>
          <w:noProof/>
          <w:lang w:val="fr-FR"/>
        </w:rPr>
        <w:t>f</w:t>
      </w:r>
      <w:r>
        <w:rPr>
          <w:noProof/>
          <w:lang w:val="fr-FR"/>
        </w:rPr>
        <w:t xml:space="preserve">ier les processus de part et d’autre et de recevoir des informations à jour </w:t>
      </w:r>
      <w:r w:rsidR="000C6A84">
        <w:rPr>
          <w:noProof/>
          <w:lang w:val="fr-FR"/>
        </w:rPr>
        <w:t>pour les futures adoptants sur la situation de ces pays.</w:t>
      </w:r>
    </w:p>
    <w:p w:rsidR="001B2F58" w:rsidRPr="00DD03D6" w:rsidRDefault="000C6A84" w:rsidP="00247D14">
      <w:pPr>
        <w:pStyle w:val="SingleTxtG"/>
        <w:numPr>
          <w:ilvl w:val="0"/>
          <w:numId w:val="3"/>
        </w:numPr>
        <w:ind w:left="1134" w:firstLine="0"/>
        <w:rPr>
          <w:noProof/>
          <w:lang w:val="fr-FR"/>
        </w:rPr>
      </w:pPr>
      <w:r>
        <w:rPr>
          <w:noProof/>
          <w:lang w:val="fr-FR"/>
        </w:rPr>
        <w:t xml:space="preserve">La </w:t>
      </w:r>
      <w:r w:rsidR="001B2F58" w:rsidRPr="00DD03D6">
        <w:rPr>
          <w:noProof/>
          <w:lang w:val="fr-FR"/>
        </w:rPr>
        <w:t>n</w:t>
      </w:r>
      <w:r>
        <w:rPr>
          <w:noProof/>
          <w:lang w:val="fr-FR"/>
        </w:rPr>
        <w:t>é</w:t>
      </w:r>
      <w:r w:rsidR="001B2F58" w:rsidRPr="00DD03D6">
        <w:rPr>
          <w:noProof/>
          <w:lang w:val="fr-FR"/>
        </w:rPr>
        <w:t xml:space="preserve">gotiation </w:t>
      </w:r>
      <w:r>
        <w:rPr>
          <w:noProof/>
          <w:lang w:val="fr-FR"/>
        </w:rPr>
        <w:t xml:space="preserve">d’accords </w:t>
      </w:r>
      <w:r w:rsidR="001B2F58" w:rsidRPr="00DD03D6">
        <w:rPr>
          <w:noProof/>
          <w:lang w:val="fr-FR"/>
        </w:rPr>
        <w:t>bilat</w:t>
      </w:r>
      <w:r>
        <w:rPr>
          <w:noProof/>
          <w:lang w:val="fr-FR"/>
        </w:rPr>
        <w:t>é</w:t>
      </w:r>
      <w:r w:rsidR="001B2F58" w:rsidRPr="00DD03D6">
        <w:rPr>
          <w:noProof/>
          <w:lang w:val="fr-FR"/>
        </w:rPr>
        <w:t>ra</w:t>
      </w:r>
      <w:r>
        <w:rPr>
          <w:noProof/>
          <w:lang w:val="fr-FR"/>
        </w:rPr>
        <w:t xml:space="preserve">ux sur l’adoption </w:t>
      </w:r>
      <w:r w:rsidR="001B2F58" w:rsidRPr="00DD03D6">
        <w:rPr>
          <w:noProof/>
          <w:lang w:val="fr-FR"/>
        </w:rPr>
        <w:t>inter</w:t>
      </w:r>
      <w:r>
        <w:rPr>
          <w:noProof/>
          <w:lang w:val="fr-FR"/>
        </w:rPr>
        <w:t>nationale incombe principalement à l</w:t>
      </w:r>
      <w:r w:rsidR="00410A30">
        <w:rPr>
          <w:noProof/>
          <w:lang w:val="fr-FR"/>
        </w:rPr>
        <w:t>’Autorité en matière d’a</w:t>
      </w:r>
      <w:r w:rsidR="00410A30" w:rsidRPr="00DD03D6">
        <w:rPr>
          <w:noProof/>
          <w:lang w:val="fr-FR"/>
        </w:rPr>
        <w:t>doption</w:t>
      </w:r>
      <w:r w:rsidR="001B2F58" w:rsidRPr="00DD03D6">
        <w:rPr>
          <w:noProof/>
          <w:lang w:val="fr-FR"/>
        </w:rPr>
        <w:t xml:space="preserve">. </w:t>
      </w:r>
      <w:r>
        <w:rPr>
          <w:noProof/>
          <w:lang w:val="fr-FR"/>
        </w:rPr>
        <w:t xml:space="preserve">Étant donné que la </w:t>
      </w:r>
      <w:r w:rsidR="001B2F58" w:rsidRPr="00DD03D6">
        <w:rPr>
          <w:noProof/>
          <w:lang w:val="fr-FR"/>
        </w:rPr>
        <w:t xml:space="preserve">Convention </w:t>
      </w:r>
      <w:r>
        <w:rPr>
          <w:noProof/>
          <w:lang w:val="fr-FR"/>
        </w:rPr>
        <w:t>de La Haye vise à garantir un ensemble minimal de règles en matière d’adoption internationale, l’</w:t>
      </w:r>
      <w:r w:rsidR="00410A30">
        <w:rPr>
          <w:noProof/>
          <w:lang w:val="fr-FR"/>
        </w:rPr>
        <w:t xml:space="preserve">Autorité </w:t>
      </w:r>
      <w:r>
        <w:rPr>
          <w:noProof/>
          <w:lang w:val="fr-FR"/>
        </w:rPr>
        <w:t>a indiqué qu’elle s’employait en priorité à conclure des accords sur des arrangements en la matière avec les autre pays signataires de cette Convention.</w:t>
      </w:r>
    </w:p>
    <w:p w:rsidR="001B2F58" w:rsidRPr="00DD03D6" w:rsidRDefault="000C6A84" w:rsidP="00F16372">
      <w:pPr>
        <w:pStyle w:val="SingleTxtG"/>
        <w:numPr>
          <w:ilvl w:val="0"/>
          <w:numId w:val="3"/>
        </w:numPr>
        <w:ind w:left="1134" w:firstLine="0"/>
        <w:rPr>
          <w:noProof/>
          <w:lang w:val="fr-FR"/>
        </w:rPr>
      </w:pPr>
      <w:r>
        <w:rPr>
          <w:noProof/>
          <w:lang w:val="fr-FR"/>
        </w:rPr>
        <w:t xml:space="preserve">La </w:t>
      </w:r>
      <w:r w:rsidRPr="00DD03D6">
        <w:rPr>
          <w:noProof/>
          <w:lang w:val="fr-FR"/>
        </w:rPr>
        <w:t>n</w:t>
      </w:r>
      <w:r>
        <w:rPr>
          <w:noProof/>
          <w:lang w:val="fr-FR"/>
        </w:rPr>
        <w:t>é</w:t>
      </w:r>
      <w:r w:rsidRPr="00DD03D6">
        <w:rPr>
          <w:noProof/>
          <w:lang w:val="fr-FR"/>
        </w:rPr>
        <w:t xml:space="preserve">gotiation </w:t>
      </w:r>
      <w:r>
        <w:rPr>
          <w:noProof/>
          <w:lang w:val="fr-FR"/>
        </w:rPr>
        <w:t xml:space="preserve">d’accords </w:t>
      </w:r>
      <w:r w:rsidRPr="00DD03D6">
        <w:rPr>
          <w:noProof/>
          <w:lang w:val="fr-FR"/>
        </w:rPr>
        <w:t>bilat</w:t>
      </w:r>
      <w:r>
        <w:rPr>
          <w:noProof/>
          <w:lang w:val="fr-FR"/>
        </w:rPr>
        <w:t>é</w:t>
      </w:r>
      <w:r w:rsidRPr="00DD03D6">
        <w:rPr>
          <w:noProof/>
          <w:lang w:val="fr-FR"/>
        </w:rPr>
        <w:t>ra</w:t>
      </w:r>
      <w:r>
        <w:rPr>
          <w:noProof/>
          <w:lang w:val="fr-FR"/>
        </w:rPr>
        <w:t xml:space="preserve">ux sur l’adoption </w:t>
      </w:r>
      <w:r w:rsidRPr="00DD03D6">
        <w:rPr>
          <w:noProof/>
          <w:lang w:val="fr-FR"/>
        </w:rPr>
        <w:t>inter</w:t>
      </w:r>
      <w:r>
        <w:rPr>
          <w:noProof/>
          <w:lang w:val="fr-FR"/>
        </w:rPr>
        <w:t xml:space="preserve">nationale avec des pays qui n’ont pas </w:t>
      </w:r>
      <w:r w:rsidR="001B2F58" w:rsidRPr="00DD03D6">
        <w:rPr>
          <w:noProof/>
          <w:lang w:val="fr-FR"/>
        </w:rPr>
        <w:t>ratifi</w:t>
      </w:r>
      <w:r>
        <w:rPr>
          <w:noProof/>
          <w:lang w:val="fr-FR"/>
        </w:rPr>
        <w:t xml:space="preserve">é la Convention de La Haye est régie par l’article </w:t>
      </w:r>
      <w:r w:rsidR="001B2F58" w:rsidRPr="00DD03D6">
        <w:rPr>
          <w:noProof/>
          <w:lang w:val="fr-FR"/>
        </w:rPr>
        <w:t xml:space="preserve">73 </w:t>
      </w:r>
      <w:r w:rsidR="0029444B">
        <w:rPr>
          <w:noProof/>
          <w:lang w:val="fr-FR"/>
        </w:rPr>
        <w:t>de la loi de 2010 sur l’a</w:t>
      </w:r>
      <w:r w:rsidR="001B2F58" w:rsidRPr="00DD03D6">
        <w:rPr>
          <w:noProof/>
          <w:lang w:val="fr-FR"/>
        </w:rPr>
        <w:t>dopti</w:t>
      </w:r>
      <w:r w:rsidR="005D7533" w:rsidRPr="00DD03D6">
        <w:rPr>
          <w:noProof/>
          <w:lang w:val="fr-FR"/>
        </w:rPr>
        <w:t xml:space="preserve">on, </w:t>
      </w:r>
      <w:r w:rsidR="0029444B">
        <w:rPr>
          <w:noProof/>
          <w:lang w:val="fr-FR"/>
        </w:rPr>
        <w:t xml:space="preserve">aux termes duquel </w:t>
      </w:r>
      <w:r w:rsidR="003F36DD">
        <w:rPr>
          <w:noProof/>
          <w:lang w:val="fr-FR"/>
        </w:rPr>
        <w:t>« </w:t>
      </w:r>
      <w:r w:rsidR="0029444B">
        <w:rPr>
          <w:noProof/>
          <w:lang w:val="fr-FR"/>
        </w:rPr>
        <w:t>l’</w:t>
      </w:r>
      <w:r w:rsidR="001B2F58" w:rsidRPr="00DD03D6">
        <w:rPr>
          <w:noProof/>
          <w:lang w:val="fr-FR"/>
        </w:rPr>
        <w:t>Autorit</w:t>
      </w:r>
      <w:r w:rsidR="0029444B">
        <w:rPr>
          <w:noProof/>
          <w:lang w:val="fr-FR"/>
        </w:rPr>
        <w:t xml:space="preserve">é peut, avec le </w:t>
      </w:r>
      <w:r w:rsidR="001B2F58" w:rsidRPr="00DD03D6">
        <w:rPr>
          <w:noProof/>
          <w:lang w:val="fr-FR"/>
        </w:rPr>
        <w:t>consent</w:t>
      </w:r>
      <w:r w:rsidR="0029444B">
        <w:rPr>
          <w:noProof/>
          <w:lang w:val="fr-FR"/>
        </w:rPr>
        <w:t>ement préalable du</w:t>
      </w:r>
      <w:r w:rsidR="001B2F58" w:rsidRPr="00DD03D6">
        <w:rPr>
          <w:noProof/>
          <w:lang w:val="fr-FR"/>
        </w:rPr>
        <w:t xml:space="preserve"> </w:t>
      </w:r>
      <w:r w:rsidR="0029444B">
        <w:rPr>
          <w:noProof/>
          <w:lang w:val="fr-FR"/>
        </w:rPr>
        <w:t>Ministre</w:t>
      </w:r>
      <w:r w:rsidR="001B2F58" w:rsidRPr="00DD03D6">
        <w:rPr>
          <w:noProof/>
          <w:lang w:val="fr-FR"/>
        </w:rPr>
        <w:t xml:space="preserve">, </w:t>
      </w:r>
      <w:r w:rsidR="0029444B">
        <w:rPr>
          <w:noProof/>
          <w:lang w:val="fr-FR"/>
        </w:rPr>
        <w:t xml:space="preserve">engager des </w:t>
      </w:r>
      <w:r w:rsidR="001B2F58" w:rsidRPr="00DD03D6">
        <w:rPr>
          <w:noProof/>
          <w:lang w:val="fr-FR"/>
        </w:rPr>
        <w:t xml:space="preserve">discussions </w:t>
      </w:r>
      <w:r w:rsidR="0029444B">
        <w:rPr>
          <w:noProof/>
          <w:lang w:val="fr-FR"/>
        </w:rPr>
        <w:t>avec tout État non contractant concernant la</w:t>
      </w:r>
      <w:r w:rsidR="001B2F58" w:rsidRPr="00DD03D6">
        <w:rPr>
          <w:noProof/>
          <w:lang w:val="fr-FR"/>
        </w:rPr>
        <w:t xml:space="preserve"> </w:t>
      </w:r>
      <w:r w:rsidR="0029444B">
        <w:rPr>
          <w:noProof/>
          <w:lang w:val="fr-FR"/>
        </w:rPr>
        <w:t xml:space="preserve">possibilité pour le Gouvernement de conclure un accord </w:t>
      </w:r>
      <w:r w:rsidR="001B2F58" w:rsidRPr="00DD03D6">
        <w:rPr>
          <w:noProof/>
          <w:lang w:val="fr-FR"/>
        </w:rPr>
        <w:t>bilat</w:t>
      </w:r>
      <w:r w:rsidR="0029444B">
        <w:rPr>
          <w:noProof/>
          <w:lang w:val="fr-FR"/>
        </w:rPr>
        <w:t>é</w:t>
      </w:r>
      <w:r w:rsidR="001B2F58" w:rsidRPr="00DD03D6">
        <w:rPr>
          <w:noProof/>
          <w:lang w:val="fr-FR"/>
        </w:rPr>
        <w:t xml:space="preserve">ral </w:t>
      </w:r>
      <w:r w:rsidR="0029444B">
        <w:rPr>
          <w:noProof/>
          <w:lang w:val="fr-FR"/>
        </w:rPr>
        <w:t>avec ledit État</w:t>
      </w:r>
      <w:r w:rsidR="003F36DD">
        <w:rPr>
          <w:noProof/>
          <w:lang w:val="fr-FR"/>
        </w:rPr>
        <w:t> »</w:t>
      </w:r>
      <w:r w:rsidR="001B2F58" w:rsidRPr="00DD03D6">
        <w:rPr>
          <w:noProof/>
          <w:lang w:val="fr-FR"/>
        </w:rPr>
        <w:t xml:space="preserve">. </w:t>
      </w:r>
      <w:r w:rsidR="0029444B">
        <w:rPr>
          <w:noProof/>
          <w:lang w:val="fr-FR"/>
        </w:rPr>
        <w:t xml:space="preserve">En vertu de la loi susvisée, tous </w:t>
      </w:r>
      <w:r w:rsidR="001B2F58" w:rsidRPr="00DD03D6">
        <w:rPr>
          <w:noProof/>
          <w:lang w:val="fr-FR"/>
        </w:rPr>
        <w:t xml:space="preserve">arrangements </w:t>
      </w:r>
      <w:r w:rsidR="0029444B">
        <w:rPr>
          <w:noProof/>
          <w:lang w:val="fr-FR"/>
        </w:rPr>
        <w:t xml:space="preserve">bilatéraux susceptibles d’être conclus doivent </w:t>
      </w:r>
      <w:r w:rsidR="0053745F">
        <w:rPr>
          <w:noProof/>
          <w:lang w:val="fr-FR"/>
        </w:rPr>
        <w:t>répondre aux normes minimales fixées par la Convention de La Haye</w:t>
      </w:r>
      <w:r w:rsidR="001B2F58" w:rsidRPr="00DD03D6">
        <w:rPr>
          <w:noProof/>
          <w:lang w:val="fr-FR"/>
        </w:rPr>
        <w:t>.</w:t>
      </w:r>
      <w:r w:rsidR="00F16372" w:rsidRPr="00DD03D6">
        <w:rPr>
          <w:noProof/>
          <w:lang w:val="fr-FR"/>
        </w:rPr>
        <w:t xml:space="preserve"> </w:t>
      </w:r>
    </w:p>
    <w:p w:rsidR="001B2F58" w:rsidRPr="00DD03D6" w:rsidRDefault="00247D14" w:rsidP="00247D14">
      <w:pPr>
        <w:pStyle w:val="H1G"/>
        <w:rPr>
          <w:noProof/>
          <w:lang w:val="fr-FR"/>
        </w:rPr>
      </w:pPr>
      <w:bookmarkStart w:id="51" w:name="_Toc356430876"/>
      <w:r w:rsidRPr="00DD03D6">
        <w:rPr>
          <w:noProof/>
          <w:lang w:val="fr-FR"/>
        </w:rPr>
        <w:tab/>
      </w:r>
      <w:r w:rsidR="001B2F58" w:rsidRPr="00DD03D6">
        <w:rPr>
          <w:noProof/>
          <w:lang w:val="fr-FR"/>
        </w:rPr>
        <w:t>I.</w:t>
      </w:r>
      <w:r w:rsidR="001B2F58" w:rsidRPr="00DD03D6">
        <w:rPr>
          <w:noProof/>
          <w:lang w:val="fr-FR"/>
        </w:rPr>
        <w:tab/>
      </w:r>
      <w:bookmarkEnd w:id="51"/>
      <w:r w:rsidR="0053745F">
        <w:rPr>
          <w:noProof/>
          <w:lang w:val="fr-FR"/>
        </w:rPr>
        <w:t>Déplacements et non-retours illicites</w:t>
      </w:r>
    </w:p>
    <w:p w:rsidR="001B2F58" w:rsidRPr="00DD03D6" w:rsidRDefault="0053745F" w:rsidP="00B82FB8">
      <w:pPr>
        <w:pStyle w:val="SingleTxtG"/>
        <w:numPr>
          <w:ilvl w:val="0"/>
          <w:numId w:val="3"/>
        </w:numPr>
        <w:ind w:left="1134" w:firstLine="0"/>
        <w:rPr>
          <w:noProof/>
          <w:lang w:val="fr-FR" w:eastAsia="en-GB"/>
        </w:rPr>
      </w:pPr>
      <w:r>
        <w:rPr>
          <w:noProof/>
          <w:lang w:val="fr-FR" w:eastAsia="en-GB"/>
        </w:rPr>
        <w:t xml:space="preserve">La loi de 1991 sur </w:t>
      </w:r>
      <w:r>
        <w:rPr>
          <w:noProof/>
          <w:lang w:val="fr-FR"/>
        </w:rPr>
        <w:t>l’enlèvement d’enfants et l’exécution des décisions judiciaires concernant la garde des enfants</w:t>
      </w:r>
      <w:r w:rsidRPr="00DD03D6">
        <w:rPr>
          <w:noProof/>
          <w:lang w:val="fr-FR" w:eastAsia="en-GB"/>
        </w:rPr>
        <w:t xml:space="preserve"> </w:t>
      </w:r>
      <w:r>
        <w:rPr>
          <w:noProof/>
          <w:lang w:val="fr-FR" w:eastAsia="en-GB"/>
        </w:rPr>
        <w:t xml:space="preserve">traite de l’enlèvement d’enfants âgés de moins de 16 ans et de leur déplacement d’un pays à l’autre au mépris d’une décision de justice ou contre le vœu d’un </w:t>
      </w:r>
      <w:r w:rsidR="001B2F58" w:rsidRPr="00DD03D6">
        <w:rPr>
          <w:noProof/>
          <w:lang w:val="fr-FR" w:eastAsia="en-GB"/>
        </w:rPr>
        <w:t>parent o</w:t>
      </w:r>
      <w:r>
        <w:rPr>
          <w:noProof/>
          <w:lang w:val="fr-FR" w:eastAsia="en-GB"/>
        </w:rPr>
        <w:t xml:space="preserve">u tuteur </w:t>
      </w:r>
      <w:r w:rsidR="00CA3849">
        <w:rPr>
          <w:noProof/>
          <w:lang w:val="fr-FR" w:eastAsia="en-GB"/>
        </w:rPr>
        <w:t>détenteur du droit de garde</w:t>
      </w:r>
      <w:r w:rsidR="001B2F58" w:rsidRPr="00DD03D6">
        <w:rPr>
          <w:noProof/>
          <w:lang w:val="fr-FR" w:eastAsia="en-GB"/>
        </w:rPr>
        <w:t xml:space="preserve">. </w:t>
      </w:r>
      <w:r w:rsidR="00CA3849" w:rsidRPr="00CA3849">
        <w:rPr>
          <w:noProof/>
          <w:lang w:val="fr-FR"/>
        </w:rPr>
        <w:t>Cette loi traite essentiellement de l’enlèvement d’un enfant par un parent contre la volonté de l’autre</w:t>
      </w:r>
      <w:r w:rsidR="001B2F58" w:rsidRPr="00DD03D6">
        <w:rPr>
          <w:noProof/>
          <w:lang w:val="fr-FR" w:eastAsia="en-GB"/>
        </w:rPr>
        <w:t xml:space="preserve">. </w:t>
      </w:r>
      <w:r w:rsidR="00CA3849">
        <w:rPr>
          <w:noProof/>
          <w:lang w:val="fr-FR" w:eastAsia="en-GB"/>
        </w:rPr>
        <w:t xml:space="preserve">Elle confère force de loi en Irlande à deux conventions </w:t>
      </w:r>
      <w:r w:rsidR="001B2F58" w:rsidRPr="00DD03D6">
        <w:rPr>
          <w:noProof/>
          <w:lang w:val="fr-FR" w:eastAsia="en-GB"/>
        </w:rPr>
        <w:t>international</w:t>
      </w:r>
      <w:r w:rsidR="00CA3849">
        <w:rPr>
          <w:noProof/>
          <w:lang w:val="fr-FR" w:eastAsia="en-GB"/>
        </w:rPr>
        <w:t>es</w:t>
      </w:r>
      <w:r w:rsidR="00E3762B">
        <w:rPr>
          <w:noProof/>
          <w:lang w:val="fr-FR" w:eastAsia="en-GB"/>
        </w:rPr>
        <w:t> </w:t>
      </w:r>
      <w:r w:rsidR="001B2F58" w:rsidRPr="00DD03D6">
        <w:rPr>
          <w:noProof/>
          <w:lang w:val="fr-FR" w:eastAsia="en-GB"/>
        </w:rPr>
        <w:t xml:space="preserve">: </w:t>
      </w:r>
      <w:r w:rsidR="00CA3849">
        <w:rPr>
          <w:noProof/>
          <w:lang w:val="fr-FR" w:eastAsia="en-GB"/>
        </w:rPr>
        <w:t xml:space="preserve">la </w:t>
      </w:r>
      <w:r w:rsidR="001B2F58" w:rsidRPr="00DD03D6">
        <w:rPr>
          <w:noProof/>
          <w:lang w:val="fr-FR" w:eastAsia="en-GB"/>
        </w:rPr>
        <w:t xml:space="preserve">Convention </w:t>
      </w:r>
      <w:r w:rsidR="00CA3849">
        <w:rPr>
          <w:noProof/>
          <w:lang w:val="fr-FR" w:eastAsia="en-GB"/>
        </w:rPr>
        <w:t>de La Haye sur les aspects c</w:t>
      </w:r>
      <w:r w:rsidR="001B2F58" w:rsidRPr="00DD03D6">
        <w:rPr>
          <w:noProof/>
          <w:lang w:val="fr-FR" w:eastAsia="en-GB"/>
        </w:rPr>
        <w:t>ivil</w:t>
      </w:r>
      <w:r w:rsidR="00CA3849">
        <w:rPr>
          <w:noProof/>
          <w:lang w:val="fr-FR" w:eastAsia="en-GB"/>
        </w:rPr>
        <w:t>s de l’enlèvement i</w:t>
      </w:r>
      <w:r w:rsidR="001B2F58" w:rsidRPr="00DD03D6">
        <w:rPr>
          <w:noProof/>
          <w:lang w:val="fr-FR" w:eastAsia="en-GB"/>
        </w:rPr>
        <w:t xml:space="preserve">nternational </w:t>
      </w:r>
      <w:r w:rsidR="00CA3849">
        <w:rPr>
          <w:noProof/>
          <w:lang w:val="fr-FR" w:eastAsia="en-GB"/>
        </w:rPr>
        <w:t xml:space="preserve">d’enfants et la Convention de </w:t>
      </w:r>
      <w:r w:rsidR="001B2F58" w:rsidRPr="00DD03D6">
        <w:rPr>
          <w:noProof/>
          <w:lang w:val="fr-FR" w:eastAsia="en-GB"/>
        </w:rPr>
        <w:t xml:space="preserve">Luxembourg </w:t>
      </w:r>
      <w:r w:rsidR="00CA3849">
        <w:rPr>
          <w:noProof/>
          <w:lang w:val="fr-FR" w:eastAsia="en-GB"/>
        </w:rPr>
        <w:t>sur la reconnaissance et l’exécution des décisions en matière de garde des enfants et le rétablissement de la garde des enfants</w:t>
      </w:r>
      <w:r w:rsidR="001B2F58" w:rsidRPr="00DD03D6">
        <w:rPr>
          <w:noProof/>
          <w:lang w:val="fr-FR" w:eastAsia="en-GB"/>
        </w:rPr>
        <w:t>.</w:t>
      </w:r>
    </w:p>
    <w:p w:rsidR="001B2F58" w:rsidRPr="00DD03D6" w:rsidRDefault="00334475" w:rsidP="00BF73F6">
      <w:pPr>
        <w:pStyle w:val="SingleTxtG"/>
        <w:numPr>
          <w:ilvl w:val="0"/>
          <w:numId w:val="3"/>
        </w:numPr>
        <w:ind w:left="1134" w:firstLine="0"/>
        <w:rPr>
          <w:noProof/>
          <w:lang w:val="fr-FR"/>
        </w:rPr>
      </w:pPr>
      <w:r>
        <w:rPr>
          <w:noProof/>
          <w:lang w:val="fr-FR"/>
        </w:rPr>
        <w:t>Par ailleurs, l’</w:t>
      </w:r>
      <w:r w:rsidR="001B2F58" w:rsidRPr="00DD03D6">
        <w:rPr>
          <w:noProof/>
          <w:lang w:val="fr-FR"/>
        </w:rPr>
        <w:t>Irland</w:t>
      </w:r>
      <w:r>
        <w:rPr>
          <w:noProof/>
          <w:lang w:val="fr-FR"/>
        </w:rPr>
        <w:t>e</w:t>
      </w:r>
      <w:r w:rsidR="001B2F58" w:rsidRPr="00DD03D6">
        <w:rPr>
          <w:noProof/>
          <w:lang w:val="fr-FR"/>
        </w:rPr>
        <w:t xml:space="preserve"> </w:t>
      </w:r>
      <w:r w:rsidR="006A1570">
        <w:rPr>
          <w:noProof/>
          <w:lang w:val="fr-FR"/>
        </w:rPr>
        <w:t xml:space="preserve">a récemment </w:t>
      </w:r>
      <w:r w:rsidR="001B2F58" w:rsidRPr="00DD03D6">
        <w:rPr>
          <w:noProof/>
          <w:lang w:val="fr-FR"/>
        </w:rPr>
        <w:t>ratifi</w:t>
      </w:r>
      <w:r w:rsidR="006A1570">
        <w:rPr>
          <w:noProof/>
          <w:lang w:val="fr-FR"/>
        </w:rPr>
        <w:t xml:space="preserve">é la </w:t>
      </w:r>
      <w:r w:rsidR="001D44CC">
        <w:rPr>
          <w:lang w:val="fr-FR"/>
        </w:rPr>
        <w:t>Convention de La Haye de 1996 concernant la compétence, la loi applicable, la reconnaissance, l’exécution et la coopération en matière de responsabilité parentale et de mesures de protection des enfants</w:t>
      </w:r>
      <w:r w:rsidR="001B2F58" w:rsidRPr="00DD03D6">
        <w:rPr>
          <w:noProof/>
          <w:lang w:val="fr-FR"/>
        </w:rPr>
        <w:t xml:space="preserve">. </w:t>
      </w:r>
      <w:r w:rsidR="001D44CC">
        <w:rPr>
          <w:noProof/>
          <w:lang w:val="fr-FR"/>
        </w:rPr>
        <w:t xml:space="preserve">Cette </w:t>
      </w:r>
      <w:r w:rsidR="001B2F58" w:rsidRPr="00DD03D6">
        <w:rPr>
          <w:noProof/>
          <w:lang w:val="fr-FR"/>
        </w:rPr>
        <w:t xml:space="preserve">Convention </w:t>
      </w:r>
      <w:r w:rsidR="001D44CC">
        <w:rPr>
          <w:noProof/>
          <w:lang w:val="fr-FR"/>
        </w:rPr>
        <w:t>a un</w:t>
      </w:r>
      <w:r w:rsidR="004A2073">
        <w:rPr>
          <w:noProof/>
          <w:lang w:val="fr-FR"/>
        </w:rPr>
        <w:t>e</w:t>
      </w:r>
      <w:r w:rsidR="001D44CC">
        <w:rPr>
          <w:noProof/>
          <w:lang w:val="fr-FR"/>
        </w:rPr>
        <w:t xml:space="preserve"> large portée et complète les dispositions de la Convention de La Haye de </w:t>
      </w:r>
      <w:r w:rsidR="001B2F58" w:rsidRPr="00DD03D6">
        <w:rPr>
          <w:noProof/>
          <w:lang w:val="fr-FR"/>
        </w:rPr>
        <w:t xml:space="preserve">1980. </w:t>
      </w:r>
      <w:r w:rsidR="001D44CC">
        <w:rPr>
          <w:noProof/>
          <w:lang w:val="fr-FR"/>
        </w:rPr>
        <w:t>La loi de 2000 sur la p</w:t>
      </w:r>
      <w:r w:rsidR="001B2F58" w:rsidRPr="00DD03D6">
        <w:rPr>
          <w:noProof/>
          <w:lang w:val="fr-FR"/>
        </w:rPr>
        <w:t xml:space="preserve">rotection </w:t>
      </w:r>
      <w:r w:rsidR="001D44CC">
        <w:rPr>
          <w:noProof/>
          <w:lang w:val="fr-FR"/>
        </w:rPr>
        <w:t xml:space="preserve">des enfants </w:t>
      </w:r>
      <w:r w:rsidR="001B2F58" w:rsidRPr="00DD03D6">
        <w:rPr>
          <w:noProof/>
          <w:lang w:val="fr-FR"/>
        </w:rPr>
        <w:t>(Convention</w:t>
      </w:r>
      <w:r w:rsidR="001D44CC">
        <w:rPr>
          <w:noProof/>
          <w:lang w:val="fr-FR"/>
        </w:rPr>
        <w:t xml:space="preserve"> de La Haye</w:t>
      </w:r>
      <w:r w:rsidR="001B2F58" w:rsidRPr="00DD03D6">
        <w:rPr>
          <w:noProof/>
          <w:lang w:val="fr-FR"/>
        </w:rPr>
        <w:t>)</w:t>
      </w:r>
      <w:r w:rsidR="001D44CC">
        <w:rPr>
          <w:noProof/>
          <w:lang w:val="fr-FR"/>
        </w:rPr>
        <w:t>, qui</w:t>
      </w:r>
      <w:r w:rsidR="001B2F58" w:rsidRPr="00DD03D6">
        <w:rPr>
          <w:noProof/>
          <w:lang w:val="fr-FR"/>
        </w:rPr>
        <w:t xml:space="preserve"> </w:t>
      </w:r>
      <w:r w:rsidR="001D44CC">
        <w:rPr>
          <w:noProof/>
          <w:lang w:val="fr-FR"/>
        </w:rPr>
        <w:t xml:space="preserve">confère </w:t>
      </w:r>
      <w:r w:rsidR="001B2F58" w:rsidRPr="00DD03D6">
        <w:rPr>
          <w:noProof/>
          <w:lang w:val="fr-FR"/>
        </w:rPr>
        <w:lastRenderedPageBreak/>
        <w:t xml:space="preserve">force </w:t>
      </w:r>
      <w:r w:rsidR="001D44CC">
        <w:rPr>
          <w:noProof/>
          <w:lang w:val="fr-FR"/>
        </w:rPr>
        <w:t xml:space="preserve">de loi en Irlande à la Convention de 1996, est entrée en vigueur le </w:t>
      </w:r>
      <w:r w:rsidR="001B2F58" w:rsidRPr="00DD03D6">
        <w:rPr>
          <w:noProof/>
          <w:lang w:val="fr-FR"/>
        </w:rPr>
        <w:t>1</w:t>
      </w:r>
      <w:r w:rsidR="001D44CC">
        <w:rPr>
          <w:noProof/>
          <w:lang w:val="fr-FR"/>
        </w:rPr>
        <w:t xml:space="preserve">er janvier </w:t>
      </w:r>
      <w:r w:rsidR="001B2F58" w:rsidRPr="00DD03D6">
        <w:rPr>
          <w:noProof/>
          <w:lang w:val="fr-FR"/>
        </w:rPr>
        <w:t xml:space="preserve">2011. </w:t>
      </w:r>
      <w:r w:rsidR="001D44CC">
        <w:rPr>
          <w:noProof/>
          <w:lang w:val="fr-FR"/>
        </w:rPr>
        <w:t>L’Irlande a été l’un des premiers États à légiférer</w:t>
      </w:r>
      <w:r w:rsidR="00E92D3C">
        <w:rPr>
          <w:noProof/>
          <w:lang w:val="fr-FR"/>
        </w:rPr>
        <w:t xml:space="preserve"> </w:t>
      </w:r>
      <w:r w:rsidR="00CF1341">
        <w:rPr>
          <w:noProof/>
          <w:lang w:val="fr-FR"/>
        </w:rPr>
        <w:t xml:space="preserve">pour transposer la </w:t>
      </w:r>
      <w:r w:rsidR="001B2F58" w:rsidRPr="00DD03D6">
        <w:rPr>
          <w:noProof/>
          <w:lang w:val="fr-FR"/>
        </w:rPr>
        <w:t xml:space="preserve">Convention, </w:t>
      </w:r>
      <w:r w:rsidR="00CF1341">
        <w:rPr>
          <w:noProof/>
          <w:lang w:val="fr-FR"/>
        </w:rPr>
        <w:t xml:space="preserve">encore que la </w:t>
      </w:r>
      <w:r w:rsidR="001B2F58" w:rsidRPr="00DD03D6">
        <w:rPr>
          <w:noProof/>
          <w:lang w:val="fr-FR"/>
        </w:rPr>
        <w:t xml:space="preserve">ratification </w:t>
      </w:r>
      <w:r w:rsidR="00CF1341">
        <w:rPr>
          <w:noProof/>
          <w:lang w:val="fr-FR"/>
        </w:rPr>
        <w:t>par les États membres de l’UE ait été retardée dans l’attente du règlement des questions relatives à la compétence et à l’autorisation de l’UE.</w:t>
      </w:r>
    </w:p>
    <w:p w:rsidR="001B2F58" w:rsidRPr="00DD03D6" w:rsidRDefault="004A2073" w:rsidP="00FF0ECB">
      <w:pPr>
        <w:pStyle w:val="SingleTxtG"/>
        <w:numPr>
          <w:ilvl w:val="0"/>
          <w:numId w:val="3"/>
        </w:numPr>
        <w:ind w:left="1134" w:firstLine="0"/>
        <w:rPr>
          <w:noProof/>
          <w:lang w:val="fr-FR"/>
        </w:rPr>
      </w:pPr>
      <w:r>
        <w:rPr>
          <w:noProof/>
          <w:lang w:val="fr-FR"/>
        </w:rPr>
        <w:t xml:space="preserve">Outre les conventions susvisées, les questions relatives à la garde des enfants dans l’UE sont couvertes par le Règlement dit </w:t>
      </w:r>
      <w:r w:rsidR="001B2F58" w:rsidRPr="00DD03D6">
        <w:rPr>
          <w:noProof/>
          <w:lang w:val="fr-FR"/>
        </w:rPr>
        <w:t>Bru</w:t>
      </w:r>
      <w:r>
        <w:rPr>
          <w:noProof/>
          <w:lang w:val="fr-FR"/>
        </w:rPr>
        <w:t xml:space="preserve">xelles </w:t>
      </w:r>
      <w:r w:rsidR="001B2F58" w:rsidRPr="00DD03D6">
        <w:rPr>
          <w:noProof/>
          <w:lang w:val="fr-FR"/>
        </w:rPr>
        <w:t xml:space="preserve">II, </w:t>
      </w:r>
      <w:r>
        <w:rPr>
          <w:noProof/>
          <w:lang w:val="fr-FR"/>
        </w:rPr>
        <w:t xml:space="preserve">qui est entré en vigueur le </w:t>
      </w:r>
      <w:r w:rsidR="001B2F58" w:rsidRPr="00DD03D6">
        <w:rPr>
          <w:noProof/>
          <w:lang w:val="fr-FR"/>
        </w:rPr>
        <w:t>1</w:t>
      </w:r>
      <w:r w:rsidRPr="00E3762B">
        <w:rPr>
          <w:noProof/>
          <w:vertAlign w:val="superscript"/>
          <w:lang w:val="fr-FR"/>
        </w:rPr>
        <w:t>er</w:t>
      </w:r>
      <w:r w:rsidR="00E3762B">
        <w:rPr>
          <w:noProof/>
          <w:lang w:val="fr-FR"/>
        </w:rPr>
        <w:t xml:space="preserve"> </w:t>
      </w:r>
      <w:r>
        <w:rPr>
          <w:noProof/>
          <w:lang w:val="fr-FR"/>
        </w:rPr>
        <w:t xml:space="preserve">mars </w:t>
      </w:r>
      <w:r w:rsidR="001B2F58" w:rsidRPr="00DD03D6">
        <w:rPr>
          <w:noProof/>
          <w:lang w:val="fr-FR"/>
        </w:rPr>
        <w:t>2005 (</w:t>
      </w:r>
      <w:r>
        <w:rPr>
          <w:noProof/>
          <w:lang w:val="fr-FR"/>
        </w:rPr>
        <w:t xml:space="preserve">voir le </w:t>
      </w:r>
      <w:r w:rsidR="00BF73F6" w:rsidRPr="00DD03D6">
        <w:rPr>
          <w:noProof/>
          <w:lang w:val="fr-FR"/>
        </w:rPr>
        <w:t>p</w:t>
      </w:r>
      <w:r w:rsidR="00796A7C" w:rsidRPr="00DD03D6">
        <w:rPr>
          <w:noProof/>
          <w:lang w:val="fr-FR"/>
        </w:rPr>
        <w:t>ar</w:t>
      </w:r>
      <w:r w:rsidR="00E3762B">
        <w:rPr>
          <w:noProof/>
          <w:lang w:val="fr-FR"/>
        </w:rPr>
        <w:t>agraphe</w:t>
      </w:r>
      <w:r w:rsidR="00796A7C" w:rsidRPr="00DD03D6">
        <w:rPr>
          <w:noProof/>
          <w:lang w:val="fr-FR"/>
        </w:rPr>
        <w:t> </w:t>
      </w:r>
      <w:r w:rsidR="00FF0ECB" w:rsidRPr="00DD03D6">
        <w:rPr>
          <w:noProof/>
          <w:lang w:val="fr-FR"/>
        </w:rPr>
        <w:t>377</w:t>
      </w:r>
      <w:r w:rsidR="001B2F58" w:rsidRPr="00DD03D6">
        <w:rPr>
          <w:noProof/>
          <w:lang w:val="fr-FR"/>
        </w:rPr>
        <w:t>).</w:t>
      </w:r>
    </w:p>
    <w:p w:rsidR="001B2F58" w:rsidRDefault="004A2073" w:rsidP="00247D14">
      <w:pPr>
        <w:pStyle w:val="SingleTxtG"/>
        <w:numPr>
          <w:ilvl w:val="0"/>
          <w:numId w:val="3"/>
        </w:numPr>
        <w:ind w:left="1134" w:firstLine="0"/>
        <w:rPr>
          <w:noProof/>
          <w:lang w:val="fr-FR" w:eastAsia="en-GB"/>
        </w:rPr>
      </w:pPr>
      <w:r>
        <w:rPr>
          <w:noProof/>
          <w:lang w:val="fr-FR" w:eastAsia="en-GB"/>
        </w:rPr>
        <w:t xml:space="preserve">Tous ces </w:t>
      </w:r>
      <w:r w:rsidR="001B2F58" w:rsidRPr="00DD03D6">
        <w:rPr>
          <w:noProof/>
          <w:lang w:val="fr-FR" w:eastAsia="en-GB"/>
        </w:rPr>
        <w:t xml:space="preserve">instruments </w:t>
      </w:r>
      <w:r>
        <w:rPr>
          <w:noProof/>
          <w:lang w:val="fr-FR" w:eastAsia="en-GB"/>
        </w:rPr>
        <w:t>ont exigé la création d’une autorité c</w:t>
      </w:r>
      <w:r w:rsidR="001B2F58" w:rsidRPr="00DD03D6">
        <w:rPr>
          <w:noProof/>
          <w:lang w:val="fr-FR" w:eastAsia="en-GB"/>
        </w:rPr>
        <w:t>entral</w:t>
      </w:r>
      <w:r>
        <w:rPr>
          <w:noProof/>
          <w:lang w:val="fr-FR" w:eastAsia="en-GB"/>
        </w:rPr>
        <w:t>e</w:t>
      </w:r>
      <w:r w:rsidR="001B2F58" w:rsidRPr="00DD03D6">
        <w:rPr>
          <w:noProof/>
          <w:lang w:val="fr-FR" w:eastAsia="en-GB"/>
        </w:rPr>
        <w:t xml:space="preserve"> </w:t>
      </w:r>
      <w:r>
        <w:rPr>
          <w:noProof/>
          <w:lang w:val="fr-FR" w:eastAsia="en-GB"/>
        </w:rPr>
        <w:t>dans les États contractants</w:t>
      </w:r>
      <w:r w:rsidR="001B2F58" w:rsidRPr="00DD03D6">
        <w:rPr>
          <w:noProof/>
          <w:lang w:val="fr-FR" w:eastAsia="en-GB"/>
        </w:rPr>
        <w:t xml:space="preserve">. </w:t>
      </w:r>
      <w:r w:rsidR="00671BB8">
        <w:rPr>
          <w:noProof/>
          <w:lang w:val="fr-FR" w:eastAsia="en-GB"/>
        </w:rPr>
        <w:t>Le Ministre de la j</w:t>
      </w:r>
      <w:r w:rsidR="001B2F58" w:rsidRPr="00DD03D6">
        <w:rPr>
          <w:noProof/>
          <w:lang w:val="fr-FR" w:eastAsia="en-GB"/>
        </w:rPr>
        <w:t xml:space="preserve">ustice </w:t>
      </w:r>
      <w:r w:rsidR="00671BB8">
        <w:rPr>
          <w:noProof/>
          <w:lang w:val="fr-FR" w:eastAsia="en-GB"/>
        </w:rPr>
        <w:t xml:space="preserve">et de l’égalité est désigné comme autorité centrale en </w:t>
      </w:r>
      <w:r w:rsidR="001B2F58" w:rsidRPr="00DD03D6">
        <w:rPr>
          <w:noProof/>
          <w:lang w:val="fr-FR" w:eastAsia="en-GB"/>
        </w:rPr>
        <w:t>Irland</w:t>
      </w:r>
      <w:r w:rsidR="00671BB8">
        <w:rPr>
          <w:noProof/>
          <w:lang w:val="fr-FR" w:eastAsia="en-GB"/>
        </w:rPr>
        <w:t>e</w:t>
      </w:r>
      <w:r w:rsidR="001B2F58" w:rsidRPr="00DD03D6">
        <w:rPr>
          <w:noProof/>
          <w:lang w:val="fr-FR" w:eastAsia="en-GB"/>
        </w:rPr>
        <w:t xml:space="preserve">. </w:t>
      </w:r>
      <w:r w:rsidR="00671BB8">
        <w:rPr>
          <w:noProof/>
          <w:lang w:val="fr-FR" w:eastAsia="en-GB"/>
        </w:rPr>
        <w:t xml:space="preserve">Les </w:t>
      </w:r>
      <w:r w:rsidR="001B2F58" w:rsidRPr="00DD03D6">
        <w:rPr>
          <w:noProof/>
          <w:lang w:val="fr-FR" w:eastAsia="en-GB"/>
        </w:rPr>
        <w:t xml:space="preserve">Conventions </w:t>
      </w:r>
      <w:r w:rsidR="00671BB8">
        <w:rPr>
          <w:noProof/>
          <w:lang w:val="fr-FR" w:eastAsia="en-GB"/>
        </w:rPr>
        <w:t xml:space="preserve">et les Règlements de l’UE se sont avérés </w:t>
      </w:r>
      <w:r w:rsidR="00181ED1">
        <w:rPr>
          <w:noProof/>
          <w:lang w:val="fr-FR" w:eastAsia="en-GB"/>
        </w:rPr>
        <w:t>être une source de bienfaits substantiels pour l’</w:t>
      </w:r>
      <w:r w:rsidR="001B2F58" w:rsidRPr="00DD03D6">
        <w:rPr>
          <w:noProof/>
          <w:lang w:val="fr-FR" w:eastAsia="en-GB"/>
        </w:rPr>
        <w:t>Irland</w:t>
      </w:r>
      <w:r w:rsidR="00181ED1">
        <w:rPr>
          <w:noProof/>
          <w:lang w:val="fr-FR" w:eastAsia="en-GB"/>
        </w:rPr>
        <w:t>e</w:t>
      </w:r>
      <w:r w:rsidR="001B2F58" w:rsidRPr="00DD03D6">
        <w:rPr>
          <w:noProof/>
          <w:lang w:val="fr-FR" w:eastAsia="en-GB"/>
        </w:rPr>
        <w:t>.</w:t>
      </w:r>
    </w:p>
    <w:p w:rsidR="001B2F58" w:rsidRPr="00DD03D6" w:rsidRDefault="00181ED1" w:rsidP="00247D14">
      <w:pPr>
        <w:pStyle w:val="SingleTxtG"/>
        <w:numPr>
          <w:ilvl w:val="0"/>
          <w:numId w:val="3"/>
        </w:numPr>
        <w:ind w:left="1134" w:firstLine="0"/>
        <w:rPr>
          <w:noProof/>
          <w:lang w:val="fr-FR" w:eastAsia="en-GB"/>
        </w:rPr>
      </w:pPr>
      <w:r w:rsidRPr="00181ED1">
        <w:rPr>
          <w:noProof/>
          <w:lang w:val="fr-FR"/>
        </w:rPr>
        <w:t xml:space="preserve">Lorsqu’une demande de restitution d’enfant est adressée à l’Irlande depuis l’étranger, elle est généralement transmise par l’Autorité centrale irlandaise à la Commission d’aide </w:t>
      </w:r>
      <w:r>
        <w:rPr>
          <w:noProof/>
          <w:lang w:val="fr-FR"/>
        </w:rPr>
        <w:t>judi</w:t>
      </w:r>
      <w:r w:rsidRPr="00181ED1">
        <w:rPr>
          <w:noProof/>
          <w:lang w:val="fr-FR"/>
        </w:rPr>
        <w:t>ciaire en</w:t>
      </w:r>
      <w:r w:rsidR="00E667E2">
        <w:rPr>
          <w:noProof/>
          <w:lang w:val="fr-FR"/>
        </w:rPr>
        <w:t xml:space="preserve"> </w:t>
      </w:r>
      <w:r w:rsidRPr="00181ED1">
        <w:rPr>
          <w:noProof/>
          <w:lang w:val="fr-FR"/>
        </w:rPr>
        <w:t xml:space="preserve">vue d’entamer la procédure pertinente devant la </w:t>
      </w:r>
      <w:r w:rsidRPr="00181ED1">
        <w:rPr>
          <w:i/>
          <w:noProof/>
          <w:lang w:val="fr-FR" w:eastAsia="en-GB"/>
        </w:rPr>
        <w:t>High Court</w:t>
      </w:r>
      <w:r w:rsidRPr="00181ED1">
        <w:rPr>
          <w:noProof/>
          <w:lang w:val="fr-FR"/>
        </w:rPr>
        <w:t xml:space="preserve">. Les requérants étrangers ont droit, au titre des Conventions </w:t>
      </w:r>
      <w:r>
        <w:rPr>
          <w:noProof/>
          <w:lang w:val="fr-FR"/>
        </w:rPr>
        <w:t>susvisées et des Règlements de l’UE</w:t>
      </w:r>
      <w:r w:rsidRPr="00181ED1">
        <w:rPr>
          <w:noProof/>
          <w:lang w:val="fr-FR"/>
        </w:rPr>
        <w:t xml:space="preserve">, à </w:t>
      </w:r>
      <w:r w:rsidR="00E667E2">
        <w:rPr>
          <w:noProof/>
          <w:lang w:val="fr-FR"/>
        </w:rPr>
        <w:t xml:space="preserve">une aide judiciaire gratuite en </w:t>
      </w:r>
      <w:r w:rsidRPr="00181ED1">
        <w:rPr>
          <w:noProof/>
          <w:lang w:val="fr-FR"/>
        </w:rPr>
        <w:t>Irlande, quelles que soient leurs ressources financières, et l’Autorité centrale elle-même ne se fait pas rémunérer pour ses services</w:t>
      </w:r>
      <w:r w:rsidR="001B2F58" w:rsidRPr="00DD03D6">
        <w:rPr>
          <w:noProof/>
          <w:lang w:val="fr-FR" w:eastAsia="en-GB"/>
        </w:rPr>
        <w:t xml:space="preserve">. </w:t>
      </w:r>
      <w:r>
        <w:rPr>
          <w:noProof/>
          <w:lang w:val="fr-FR" w:eastAsia="en-GB"/>
        </w:rPr>
        <w:t>Le t</w:t>
      </w:r>
      <w:r w:rsidR="001B2F58" w:rsidRPr="00DD03D6">
        <w:rPr>
          <w:noProof/>
          <w:lang w:val="fr-FR" w:eastAsia="en-GB"/>
        </w:rPr>
        <w:t>able</w:t>
      </w:r>
      <w:r>
        <w:rPr>
          <w:noProof/>
          <w:lang w:val="fr-FR" w:eastAsia="en-GB"/>
        </w:rPr>
        <w:t>au</w:t>
      </w:r>
      <w:r w:rsidR="001B2F58" w:rsidRPr="00DD03D6">
        <w:rPr>
          <w:noProof/>
          <w:lang w:val="fr-FR" w:eastAsia="en-GB"/>
        </w:rPr>
        <w:t xml:space="preserve"> 8 </w:t>
      </w:r>
      <w:r w:rsidR="00F663F6">
        <w:rPr>
          <w:noProof/>
          <w:lang w:val="fr-FR" w:eastAsia="en-GB"/>
        </w:rPr>
        <w:t xml:space="preserve">indique le nombre d’enfants enlevés pour être emmenés en Irlande ou hors d’Irlande au cours de la </w:t>
      </w:r>
      <w:r w:rsidR="001B2F58" w:rsidRPr="00DD03D6">
        <w:rPr>
          <w:noProof/>
          <w:lang w:val="fr-FR" w:eastAsia="en-GB"/>
        </w:rPr>
        <w:t>p</w:t>
      </w:r>
      <w:r w:rsidR="00F663F6">
        <w:rPr>
          <w:noProof/>
          <w:lang w:val="fr-FR" w:eastAsia="en-GB"/>
        </w:rPr>
        <w:t>é</w:t>
      </w:r>
      <w:r w:rsidR="001B2F58" w:rsidRPr="00DD03D6">
        <w:rPr>
          <w:noProof/>
          <w:lang w:val="fr-FR" w:eastAsia="en-GB"/>
        </w:rPr>
        <w:t>riod</w:t>
      </w:r>
      <w:r w:rsidR="00F663F6">
        <w:rPr>
          <w:noProof/>
          <w:lang w:val="fr-FR" w:eastAsia="en-GB"/>
        </w:rPr>
        <w:t>e</w:t>
      </w:r>
      <w:r w:rsidR="001B2F58" w:rsidRPr="00DD03D6">
        <w:rPr>
          <w:noProof/>
          <w:lang w:val="fr-FR" w:eastAsia="en-GB"/>
        </w:rPr>
        <w:t xml:space="preserve"> 2006-2010.</w:t>
      </w:r>
    </w:p>
    <w:p w:rsidR="001B2F58" w:rsidRPr="00DD03D6" w:rsidRDefault="003B335E" w:rsidP="003B335E">
      <w:pPr>
        <w:pStyle w:val="H23G"/>
        <w:rPr>
          <w:noProof/>
          <w:lang w:val="fr-FR" w:eastAsia="en-GB"/>
        </w:rPr>
      </w:pPr>
      <w:bookmarkStart w:id="52" w:name="_Toc362485751"/>
      <w:r w:rsidRPr="00DD03D6">
        <w:rPr>
          <w:noProof/>
          <w:lang w:val="fr-FR" w:eastAsia="en-GB"/>
        </w:rPr>
        <w:tab/>
      </w:r>
      <w:r w:rsidRPr="00DD03D6">
        <w:rPr>
          <w:b w:val="0"/>
          <w:bCs/>
          <w:noProof/>
          <w:lang w:val="fr-FR" w:eastAsia="en-GB"/>
        </w:rPr>
        <w:tab/>
      </w:r>
      <w:r w:rsidR="009E353E" w:rsidRPr="00DD03D6">
        <w:rPr>
          <w:b w:val="0"/>
          <w:bCs/>
          <w:noProof/>
          <w:lang w:val="fr-FR" w:eastAsia="en-GB"/>
        </w:rPr>
        <w:t>Table</w:t>
      </w:r>
      <w:r w:rsidR="00F663F6">
        <w:rPr>
          <w:b w:val="0"/>
          <w:bCs/>
          <w:noProof/>
          <w:lang w:val="fr-FR" w:eastAsia="en-GB"/>
        </w:rPr>
        <w:t>au</w:t>
      </w:r>
      <w:r w:rsidR="009E353E" w:rsidRPr="00DD03D6">
        <w:rPr>
          <w:b w:val="0"/>
          <w:bCs/>
          <w:noProof/>
          <w:lang w:val="fr-FR" w:eastAsia="en-GB"/>
        </w:rPr>
        <w:t xml:space="preserve"> 8</w:t>
      </w:r>
      <w:r w:rsidR="009E353E" w:rsidRPr="00DD03D6">
        <w:rPr>
          <w:noProof/>
          <w:lang w:val="fr-FR" w:eastAsia="en-GB"/>
        </w:rPr>
        <w:br/>
      </w:r>
      <w:r w:rsidR="001B2F58" w:rsidRPr="00DD03D6">
        <w:rPr>
          <w:noProof/>
          <w:lang w:val="fr-FR" w:eastAsia="en-GB"/>
        </w:rPr>
        <w:t>N</w:t>
      </w:r>
      <w:r w:rsidR="00F663F6">
        <w:rPr>
          <w:noProof/>
          <w:lang w:val="fr-FR" w:eastAsia="en-GB"/>
        </w:rPr>
        <w:t>o</w:t>
      </w:r>
      <w:r w:rsidR="001B2F58" w:rsidRPr="00DD03D6">
        <w:rPr>
          <w:noProof/>
          <w:lang w:val="fr-FR" w:eastAsia="en-GB"/>
        </w:rPr>
        <w:t>mb</w:t>
      </w:r>
      <w:r w:rsidR="00F663F6">
        <w:rPr>
          <w:noProof/>
          <w:lang w:val="fr-FR" w:eastAsia="en-GB"/>
        </w:rPr>
        <w:t xml:space="preserve">re d’enfants enlevés pour être emmenés hors d’Irlande ou en Irlande </w:t>
      </w:r>
      <w:r w:rsidR="001B2F58" w:rsidRPr="00DD03D6">
        <w:rPr>
          <w:noProof/>
          <w:lang w:val="fr-FR" w:eastAsia="en-GB"/>
        </w:rPr>
        <w:t>(n</w:t>
      </w:r>
      <w:r w:rsidR="00F663F6">
        <w:rPr>
          <w:noProof/>
          <w:lang w:val="fr-FR" w:eastAsia="en-GB"/>
        </w:rPr>
        <w:t>ouvelles demandes</w:t>
      </w:r>
      <w:r w:rsidR="001B2F58" w:rsidRPr="00DD03D6">
        <w:rPr>
          <w:noProof/>
          <w:lang w:val="fr-FR" w:eastAsia="en-GB"/>
        </w:rPr>
        <w:t>), 2006-2010</w:t>
      </w:r>
      <w:bookmarkEnd w:id="52"/>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19"/>
        <w:gridCol w:w="851"/>
        <w:gridCol w:w="851"/>
        <w:gridCol w:w="851"/>
        <w:gridCol w:w="851"/>
        <w:gridCol w:w="851"/>
      </w:tblGrid>
      <w:tr w:rsidR="004614FA" w:rsidRPr="00DD03D6" w:rsidTr="003B335E">
        <w:trPr>
          <w:trHeight w:val="240"/>
          <w:tblHeader/>
        </w:trPr>
        <w:tc>
          <w:tcPr>
            <w:tcW w:w="3119" w:type="dxa"/>
            <w:tcBorders>
              <w:top w:val="single" w:sz="4" w:space="0" w:color="auto"/>
              <w:bottom w:val="single" w:sz="12" w:space="0" w:color="auto"/>
            </w:tcBorders>
            <w:shd w:val="clear" w:color="auto" w:fill="auto"/>
            <w:vAlign w:val="bottom"/>
          </w:tcPr>
          <w:p w:rsidR="001B2F58" w:rsidRPr="00DD03D6" w:rsidRDefault="00F663F6" w:rsidP="003B335E">
            <w:pPr>
              <w:suppressAutoHyphens w:val="0"/>
              <w:spacing w:before="80" w:after="80" w:line="200" w:lineRule="exact"/>
              <w:rPr>
                <w:bCs/>
                <w:i/>
                <w:noProof/>
                <w:sz w:val="16"/>
                <w:lang w:val="fr-FR" w:eastAsia="en-GB"/>
              </w:rPr>
            </w:pPr>
            <w:r>
              <w:rPr>
                <w:bCs/>
                <w:i/>
                <w:noProof/>
                <w:sz w:val="16"/>
                <w:lang w:val="fr-FR" w:eastAsia="en-GB"/>
              </w:rPr>
              <w:t>Année</w:t>
            </w:r>
          </w:p>
        </w:tc>
        <w:tc>
          <w:tcPr>
            <w:tcW w:w="851" w:type="dxa"/>
            <w:tcBorders>
              <w:top w:val="single" w:sz="4" w:space="0" w:color="auto"/>
              <w:bottom w:val="single" w:sz="12" w:space="0" w:color="auto"/>
            </w:tcBorders>
            <w:shd w:val="clear" w:color="auto" w:fill="auto"/>
            <w:vAlign w:val="bottom"/>
          </w:tcPr>
          <w:p w:rsidR="001B2F58" w:rsidRPr="00DD03D6" w:rsidRDefault="001B2F58" w:rsidP="003B335E">
            <w:pPr>
              <w:suppressAutoHyphens w:val="0"/>
              <w:spacing w:before="80" w:after="80" w:line="200" w:lineRule="exact"/>
              <w:jc w:val="right"/>
              <w:rPr>
                <w:bCs/>
                <w:i/>
                <w:noProof/>
                <w:sz w:val="16"/>
                <w:lang w:val="fr-FR" w:eastAsia="en-GB"/>
              </w:rPr>
            </w:pPr>
            <w:r w:rsidRPr="00DD03D6">
              <w:rPr>
                <w:bCs/>
                <w:i/>
                <w:noProof/>
                <w:sz w:val="16"/>
                <w:lang w:val="fr-FR" w:eastAsia="en-GB"/>
              </w:rPr>
              <w:t>2006</w:t>
            </w:r>
          </w:p>
        </w:tc>
        <w:tc>
          <w:tcPr>
            <w:tcW w:w="851" w:type="dxa"/>
            <w:tcBorders>
              <w:top w:val="single" w:sz="4" w:space="0" w:color="auto"/>
              <w:bottom w:val="single" w:sz="12" w:space="0" w:color="auto"/>
            </w:tcBorders>
            <w:shd w:val="clear" w:color="auto" w:fill="auto"/>
            <w:vAlign w:val="bottom"/>
          </w:tcPr>
          <w:p w:rsidR="001B2F58" w:rsidRPr="00DD03D6" w:rsidRDefault="001B2F58" w:rsidP="003B335E">
            <w:pPr>
              <w:suppressAutoHyphens w:val="0"/>
              <w:spacing w:before="80" w:after="80" w:line="200" w:lineRule="exact"/>
              <w:jc w:val="right"/>
              <w:rPr>
                <w:bCs/>
                <w:i/>
                <w:noProof/>
                <w:sz w:val="16"/>
                <w:lang w:val="fr-FR" w:eastAsia="en-GB"/>
              </w:rPr>
            </w:pPr>
            <w:r w:rsidRPr="00DD03D6">
              <w:rPr>
                <w:bCs/>
                <w:i/>
                <w:noProof/>
                <w:sz w:val="16"/>
                <w:lang w:val="fr-FR" w:eastAsia="en-GB"/>
              </w:rPr>
              <w:t>2007</w:t>
            </w:r>
          </w:p>
        </w:tc>
        <w:tc>
          <w:tcPr>
            <w:tcW w:w="851" w:type="dxa"/>
            <w:tcBorders>
              <w:top w:val="single" w:sz="4" w:space="0" w:color="auto"/>
              <w:bottom w:val="single" w:sz="12" w:space="0" w:color="auto"/>
            </w:tcBorders>
            <w:shd w:val="clear" w:color="auto" w:fill="auto"/>
            <w:vAlign w:val="bottom"/>
          </w:tcPr>
          <w:p w:rsidR="001B2F58" w:rsidRPr="00DD03D6" w:rsidRDefault="001B2F58" w:rsidP="003B335E">
            <w:pPr>
              <w:suppressAutoHyphens w:val="0"/>
              <w:spacing w:before="80" w:after="80" w:line="200" w:lineRule="exact"/>
              <w:jc w:val="right"/>
              <w:rPr>
                <w:bCs/>
                <w:i/>
                <w:noProof/>
                <w:sz w:val="16"/>
                <w:lang w:val="fr-FR" w:eastAsia="en-GB"/>
              </w:rPr>
            </w:pPr>
            <w:r w:rsidRPr="00DD03D6">
              <w:rPr>
                <w:bCs/>
                <w:i/>
                <w:noProof/>
                <w:sz w:val="16"/>
                <w:lang w:val="fr-FR" w:eastAsia="en-GB"/>
              </w:rPr>
              <w:t>2008</w:t>
            </w:r>
          </w:p>
        </w:tc>
        <w:tc>
          <w:tcPr>
            <w:tcW w:w="851" w:type="dxa"/>
            <w:tcBorders>
              <w:top w:val="single" w:sz="4" w:space="0" w:color="auto"/>
              <w:bottom w:val="single" w:sz="12" w:space="0" w:color="auto"/>
            </w:tcBorders>
            <w:shd w:val="clear" w:color="auto" w:fill="auto"/>
            <w:vAlign w:val="bottom"/>
          </w:tcPr>
          <w:p w:rsidR="001B2F58" w:rsidRPr="00DD03D6" w:rsidRDefault="001B2F58" w:rsidP="003B335E">
            <w:pPr>
              <w:suppressAutoHyphens w:val="0"/>
              <w:spacing w:before="80" w:after="80" w:line="200" w:lineRule="exact"/>
              <w:jc w:val="right"/>
              <w:rPr>
                <w:bCs/>
                <w:i/>
                <w:noProof/>
                <w:sz w:val="16"/>
                <w:lang w:val="fr-FR" w:eastAsia="en-GB"/>
              </w:rPr>
            </w:pPr>
            <w:r w:rsidRPr="00DD03D6">
              <w:rPr>
                <w:bCs/>
                <w:i/>
                <w:noProof/>
                <w:sz w:val="16"/>
                <w:lang w:val="fr-FR" w:eastAsia="en-GB"/>
              </w:rPr>
              <w:t>2009</w:t>
            </w:r>
          </w:p>
        </w:tc>
        <w:tc>
          <w:tcPr>
            <w:tcW w:w="851" w:type="dxa"/>
            <w:tcBorders>
              <w:top w:val="single" w:sz="4" w:space="0" w:color="auto"/>
              <w:bottom w:val="single" w:sz="12" w:space="0" w:color="auto"/>
            </w:tcBorders>
            <w:shd w:val="clear" w:color="auto" w:fill="auto"/>
            <w:vAlign w:val="bottom"/>
          </w:tcPr>
          <w:p w:rsidR="001B2F58" w:rsidRPr="00DD03D6" w:rsidRDefault="001B2F58" w:rsidP="003B335E">
            <w:pPr>
              <w:suppressAutoHyphens w:val="0"/>
              <w:spacing w:before="80" w:after="80" w:line="200" w:lineRule="exact"/>
              <w:jc w:val="right"/>
              <w:rPr>
                <w:bCs/>
                <w:i/>
                <w:noProof/>
                <w:sz w:val="16"/>
                <w:lang w:val="fr-FR" w:eastAsia="en-GB"/>
              </w:rPr>
            </w:pPr>
            <w:r w:rsidRPr="00DD03D6">
              <w:rPr>
                <w:bCs/>
                <w:i/>
                <w:noProof/>
                <w:sz w:val="16"/>
                <w:lang w:val="fr-FR" w:eastAsia="en-GB"/>
              </w:rPr>
              <w:t>2010</w:t>
            </w:r>
          </w:p>
        </w:tc>
      </w:tr>
      <w:tr w:rsidR="004614FA" w:rsidRPr="00DD03D6" w:rsidTr="003B335E">
        <w:trPr>
          <w:trHeight w:val="240"/>
        </w:trPr>
        <w:tc>
          <w:tcPr>
            <w:tcW w:w="3119" w:type="dxa"/>
            <w:tcBorders>
              <w:top w:val="single" w:sz="12" w:space="0" w:color="auto"/>
            </w:tcBorders>
            <w:shd w:val="clear" w:color="auto" w:fill="auto"/>
          </w:tcPr>
          <w:p w:rsidR="001B2F58" w:rsidRPr="00DD03D6" w:rsidRDefault="00F663F6" w:rsidP="00F663F6">
            <w:pPr>
              <w:suppressAutoHyphens w:val="0"/>
              <w:spacing w:before="40" w:after="40" w:line="220" w:lineRule="exact"/>
              <w:rPr>
                <w:noProof/>
                <w:sz w:val="18"/>
                <w:lang w:val="fr-FR" w:eastAsia="en-GB"/>
              </w:rPr>
            </w:pPr>
            <w:r>
              <w:rPr>
                <w:noProof/>
                <w:sz w:val="18"/>
                <w:lang w:val="fr-FR" w:eastAsia="en-GB"/>
              </w:rPr>
              <w:t>Enfants enlevés pour être emmenés en Irlande</w:t>
            </w:r>
          </w:p>
        </w:tc>
        <w:tc>
          <w:tcPr>
            <w:tcW w:w="851" w:type="dxa"/>
            <w:tcBorders>
              <w:top w:val="single" w:sz="12" w:space="0" w:color="auto"/>
            </w:tcBorders>
            <w:shd w:val="clear" w:color="auto" w:fill="auto"/>
            <w:vAlign w:val="bottom"/>
          </w:tcPr>
          <w:p w:rsidR="001B2F58" w:rsidRPr="00DD03D6" w:rsidRDefault="001B2F58" w:rsidP="003B335E">
            <w:pPr>
              <w:suppressAutoHyphens w:val="0"/>
              <w:spacing w:before="40" w:after="40" w:line="220" w:lineRule="exact"/>
              <w:jc w:val="right"/>
              <w:rPr>
                <w:noProof/>
                <w:sz w:val="18"/>
                <w:lang w:val="fr-FR" w:eastAsia="en-GB"/>
              </w:rPr>
            </w:pPr>
            <w:r w:rsidRPr="00DD03D6">
              <w:rPr>
                <w:noProof/>
                <w:sz w:val="18"/>
                <w:lang w:val="fr-FR" w:eastAsia="en-GB"/>
              </w:rPr>
              <w:t>72</w:t>
            </w:r>
          </w:p>
        </w:tc>
        <w:tc>
          <w:tcPr>
            <w:tcW w:w="851" w:type="dxa"/>
            <w:tcBorders>
              <w:top w:val="single" w:sz="12" w:space="0" w:color="auto"/>
            </w:tcBorders>
            <w:shd w:val="clear" w:color="auto" w:fill="auto"/>
            <w:vAlign w:val="bottom"/>
          </w:tcPr>
          <w:p w:rsidR="001B2F58" w:rsidRPr="00DD03D6" w:rsidRDefault="001B2F58" w:rsidP="003B335E">
            <w:pPr>
              <w:suppressAutoHyphens w:val="0"/>
              <w:spacing w:before="40" w:after="40" w:line="220" w:lineRule="exact"/>
              <w:jc w:val="right"/>
              <w:rPr>
                <w:noProof/>
                <w:sz w:val="18"/>
                <w:lang w:val="fr-FR" w:eastAsia="en-GB"/>
              </w:rPr>
            </w:pPr>
            <w:r w:rsidRPr="00DD03D6">
              <w:rPr>
                <w:noProof/>
                <w:sz w:val="18"/>
                <w:lang w:val="fr-FR" w:eastAsia="en-GB"/>
              </w:rPr>
              <w:t>60</w:t>
            </w:r>
          </w:p>
        </w:tc>
        <w:tc>
          <w:tcPr>
            <w:tcW w:w="851" w:type="dxa"/>
            <w:tcBorders>
              <w:top w:val="single" w:sz="12" w:space="0" w:color="auto"/>
            </w:tcBorders>
            <w:shd w:val="clear" w:color="auto" w:fill="auto"/>
            <w:vAlign w:val="bottom"/>
          </w:tcPr>
          <w:p w:rsidR="001B2F58" w:rsidRPr="00DD03D6" w:rsidRDefault="001B2F58" w:rsidP="003B335E">
            <w:pPr>
              <w:suppressAutoHyphens w:val="0"/>
              <w:spacing w:before="40" w:after="40" w:line="220" w:lineRule="exact"/>
              <w:jc w:val="right"/>
              <w:rPr>
                <w:noProof/>
                <w:sz w:val="18"/>
                <w:lang w:val="fr-FR" w:eastAsia="en-GB"/>
              </w:rPr>
            </w:pPr>
            <w:r w:rsidRPr="00DD03D6">
              <w:rPr>
                <w:noProof/>
                <w:sz w:val="18"/>
                <w:lang w:val="fr-FR" w:eastAsia="en-GB"/>
              </w:rPr>
              <w:t>70</w:t>
            </w:r>
          </w:p>
        </w:tc>
        <w:tc>
          <w:tcPr>
            <w:tcW w:w="851" w:type="dxa"/>
            <w:tcBorders>
              <w:top w:val="single" w:sz="12" w:space="0" w:color="auto"/>
            </w:tcBorders>
            <w:shd w:val="clear" w:color="auto" w:fill="auto"/>
            <w:vAlign w:val="bottom"/>
          </w:tcPr>
          <w:p w:rsidR="001B2F58" w:rsidRPr="00DD03D6" w:rsidRDefault="001B2F58" w:rsidP="003B335E">
            <w:pPr>
              <w:suppressAutoHyphens w:val="0"/>
              <w:spacing w:before="40" w:after="40" w:line="220" w:lineRule="exact"/>
              <w:jc w:val="right"/>
              <w:rPr>
                <w:noProof/>
                <w:sz w:val="18"/>
                <w:lang w:val="fr-FR" w:eastAsia="en-GB"/>
              </w:rPr>
            </w:pPr>
            <w:r w:rsidRPr="00DD03D6">
              <w:rPr>
                <w:noProof/>
                <w:sz w:val="18"/>
                <w:lang w:val="fr-FR" w:eastAsia="en-GB"/>
              </w:rPr>
              <w:t>61</w:t>
            </w:r>
          </w:p>
        </w:tc>
        <w:tc>
          <w:tcPr>
            <w:tcW w:w="851" w:type="dxa"/>
            <w:tcBorders>
              <w:top w:val="single" w:sz="12" w:space="0" w:color="auto"/>
            </w:tcBorders>
            <w:shd w:val="clear" w:color="auto" w:fill="auto"/>
            <w:vAlign w:val="bottom"/>
          </w:tcPr>
          <w:p w:rsidR="001B2F58" w:rsidRPr="00DD03D6" w:rsidRDefault="001B2F58" w:rsidP="003B335E">
            <w:pPr>
              <w:suppressAutoHyphens w:val="0"/>
              <w:spacing w:before="40" w:after="40" w:line="220" w:lineRule="exact"/>
              <w:jc w:val="right"/>
              <w:rPr>
                <w:noProof/>
                <w:sz w:val="18"/>
                <w:lang w:val="fr-FR" w:eastAsia="en-GB"/>
              </w:rPr>
            </w:pPr>
            <w:r w:rsidRPr="00DD03D6">
              <w:rPr>
                <w:noProof/>
                <w:sz w:val="18"/>
                <w:lang w:val="fr-FR" w:eastAsia="en-GB"/>
              </w:rPr>
              <w:t>64</w:t>
            </w:r>
          </w:p>
        </w:tc>
      </w:tr>
      <w:tr w:rsidR="004614FA" w:rsidRPr="00DD03D6" w:rsidTr="003B335E">
        <w:trPr>
          <w:trHeight w:val="240"/>
        </w:trPr>
        <w:tc>
          <w:tcPr>
            <w:tcW w:w="3119" w:type="dxa"/>
            <w:tcBorders>
              <w:bottom w:val="single" w:sz="4" w:space="0" w:color="auto"/>
            </w:tcBorders>
            <w:shd w:val="clear" w:color="auto" w:fill="auto"/>
          </w:tcPr>
          <w:p w:rsidR="001B2F58" w:rsidRPr="00DD03D6" w:rsidRDefault="00F663F6" w:rsidP="00F663F6">
            <w:pPr>
              <w:suppressAutoHyphens w:val="0"/>
              <w:spacing w:before="40" w:after="40" w:line="220" w:lineRule="exact"/>
              <w:rPr>
                <w:noProof/>
                <w:sz w:val="18"/>
                <w:lang w:val="fr-FR" w:eastAsia="en-GB"/>
              </w:rPr>
            </w:pPr>
            <w:r>
              <w:rPr>
                <w:noProof/>
                <w:sz w:val="18"/>
                <w:lang w:val="fr-FR" w:eastAsia="en-GB"/>
              </w:rPr>
              <w:t>Enfants enlevés pour être emmenés hors d’Irlande</w:t>
            </w:r>
          </w:p>
        </w:tc>
        <w:tc>
          <w:tcPr>
            <w:tcW w:w="851" w:type="dxa"/>
            <w:tcBorders>
              <w:bottom w:val="single" w:sz="4" w:space="0" w:color="auto"/>
            </w:tcBorders>
            <w:shd w:val="clear" w:color="auto" w:fill="auto"/>
            <w:vAlign w:val="bottom"/>
          </w:tcPr>
          <w:p w:rsidR="001B2F58" w:rsidRPr="00DD03D6" w:rsidRDefault="001B2F58" w:rsidP="003B335E">
            <w:pPr>
              <w:suppressAutoHyphens w:val="0"/>
              <w:spacing w:before="40" w:after="40" w:line="220" w:lineRule="exact"/>
              <w:jc w:val="right"/>
              <w:rPr>
                <w:noProof/>
                <w:sz w:val="18"/>
                <w:lang w:val="fr-FR" w:eastAsia="en-GB"/>
              </w:rPr>
            </w:pPr>
            <w:r w:rsidRPr="00DD03D6">
              <w:rPr>
                <w:noProof/>
                <w:sz w:val="18"/>
                <w:lang w:val="fr-FR" w:eastAsia="en-GB"/>
              </w:rPr>
              <w:t>39</w:t>
            </w:r>
          </w:p>
        </w:tc>
        <w:tc>
          <w:tcPr>
            <w:tcW w:w="851" w:type="dxa"/>
            <w:tcBorders>
              <w:bottom w:val="single" w:sz="4" w:space="0" w:color="auto"/>
            </w:tcBorders>
            <w:shd w:val="clear" w:color="auto" w:fill="auto"/>
            <w:vAlign w:val="bottom"/>
          </w:tcPr>
          <w:p w:rsidR="001B2F58" w:rsidRPr="00DD03D6" w:rsidRDefault="001B2F58" w:rsidP="003B335E">
            <w:pPr>
              <w:pStyle w:val="SIDFootnote"/>
              <w:keepNext w:val="0"/>
              <w:spacing w:before="40" w:after="40" w:line="220" w:lineRule="exact"/>
              <w:jc w:val="right"/>
              <w:rPr>
                <w:rFonts w:ascii="Times New Roman" w:eastAsia="Times New Roman" w:hAnsi="Times New Roman" w:cs="Times New Roman"/>
                <w:noProof/>
                <w:kern w:val="0"/>
                <w:szCs w:val="22"/>
                <w:lang w:val="fr-FR"/>
              </w:rPr>
            </w:pPr>
            <w:r w:rsidRPr="00DD03D6">
              <w:rPr>
                <w:rFonts w:ascii="Times New Roman" w:eastAsia="Times New Roman" w:hAnsi="Times New Roman" w:cs="Times New Roman"/>
                <w:noProof/>
                <w:kern w:val="0"/>
                <w:szCs w:val="22"/>
                <w:lang w:val="fr-FR"/>
              </w:rPr>
              <w:t>39</w:t>
            </w:r>
          </w:p>
        </w:tc>
        <w:tc>
          <w:tcPr>
            <w:tcW w:w="851" w:type="dxa"/>
            <w:tcBorders>
              <w:bottom w:val="single" w:sz="4" w:space="0" w:color="auto"/>
            </w:tcBorders>
            <w:shd w:val="clear" w:color="auto" w:fill="auto"/>
            <w:vAlign w:val="bottom"/>
          </w:tcPr>
          <w:p w:rsidR="001B2F58" w:rsidRPr="00DD03D6" w:rsidRDefault="001B2F58" w:rsidP="003B335E">
            <w:pPr>
              <w:suppressAutoHyphens w:val="0"/>
              <w:spacing w:before="40" w:after="40" w:line="220" w:lineRule="exact"/>
              <w:jc w:val="right"/>
              <w:rPr>
                <w:noProof/>
                <w:sz w:val="18"/>
                <w:lang w:val="fr-FR" w:eastAsia="en-GB"/>
              </w:rPr>
            </w:pPr>
            <w:r w:rsidRPr="00DD03D6">
              <w:rPr>
                <w:noProof/>
                <w:sz w:val="18"/>
                <w:lang w:val="fr-FR" w:eastAsia="en-GB"/>
              </w:rPr>
              <w:t>71</w:t>
            </w:r>
          </w:p>
        </w:tc>
        <w:tc>
          <w:tcPr>
            <w:tcW w:w="851" w:type="dxa"/>
            <w:tcBorders>
              <w:bottom w:val="single" w:sz="4" w:space="0" w:color="auto"/>
            </w:tcBorders>
            <w:shd w:val="clear" w:color="auto" w:fill="auto"/>
            <w:vAlign w:val="bottom"/>
          </w:tcPr>
          <w:p w:rsidR="001B2F58" w:rsidRPr="00DD03D6" w:rsidRDefault="001B2F58" w:rsidP="003B335E">
            <w:pPr>
              <w:suppressAutoHyphens w:val="0"/>
              <w:spacing w:before="40" w:after="40" w:line="220" w:lineRule="exact"/>
              <w:jc w:val="right"/>
              <w:rPr>
                <w:noProof/>
                <w:sz w:val="18"/>
                <w:lang w:val="fr-FR" w:eastAsia="en-GB"/>
              </w:rPr>
            </w:pPr>
            <w:r w:rsidRPr="00DD03D6">
              <w:rPr>
                <w:noProof/>
                <w:sz w:val="18"/>
                <w:lang w:val="fr-FR" w:eastAsia="en-GB"/>
              </w:rPr>
              <w:t>75</w:t>
            </w:r>
          </w:p>
        </w:tc>
        <w:tc>
          <w:tcPr>
            <w:tcW w:w="851" w:type="dxa"/>
            <w:tcBorders>
              <w:bottom w:val="single" w:sz="4" w:space="0" w:color="auto"/>
            </w:tcBorders>
            <w:shd w:val="clear" w:color="auto" w:fill="auto"/>
            <w:vAlign w:val="bottom"/>
          </w:tcPr>
          <w:p w:rsidR="001B2F58" w:rsidRPr="00DD03D6" w:rsidRDefault="001B2F58" w:rsidP="003B335E">
            <w:pPr>
              <w:suppressAutoHyphens w:val="0"/>
              <w:spacing w:before="40" w:after="40" w:line="220" w:lineRule="exact"/>
              <w:jc w:val="right"/>
              <w:rPr>
                <w:noProof/>
                <w:sz w:val="18"/>
                <w:lang w:val="fr-FR" w:eastAsia="en-GB"/>
              </w:rPr>
            </w:pPr>
            <w:r w:rsidRPr="00DD03D6">
              <w:rPr>
                <w:noProof/>
                <w:sz w:val="18"/>
                <w:lang w:val="fr-FR" w:eastAsia="en-GB"/>
              </w:rPr>
              <w:t>76</w:t>
            </w:r>
          </w:p>
        </w:tc>
      </w:tr>
      <w:tr w:rsidR="004614FA" w:rsidRPr="00DD03D6" w:rsidTr="003B335E">
        <w:trPr>
          <w:trHeight w:val="240"/>
        </w:trPr>
        <w:tc>
          <w:tcPr>
            <w:tcW w:w="3119" w:type="dxa"/>
            <w:tcBorders>
              <w:top w:val="single" w:sz="4" w:space="0" w:color="auto"/>
              <w:bottom w:val="single" w:sz="12" w:space="0" w:color="auto"/>
            </w:tcBorders>
            <w:shd w:val="clear" w:color="auto" w:fill="auto"/>
          </w:tcPr>
          <w:p w:rsidR="001B2F58" w:rsidRPr="00DD03D6" w:rsidRDefault="001B2F58" w:rsidP="003B335E">
            <w:pPr>
              <w:suppressAutoHyphens w:val="0"/>
              <w:spacing w:before="80" w:after="80" w:line="220" w:lineRule="exact"/>
              <w:ind w:left="284"/>
              <w:rPr>
                <w:b/>
                <w:noProof/>
                <w:sz w:val="18"/>
                <w:lang w:val="fr-FR" w:eastAsia="en-GB"/>
              </w:rPr>
            </w:pPr>
            <w:r w:rsidRPr="00DD03D6">
              <w:rPr>
                <w:b/>
                <w:noProof/>
                <w:sz w:val="18"/>
                <w:lang w:val="fr-FR" w:eastAsia="en-GB"/>
              </w:rPr>
              <w:t>Total</w:t>
            </w:r>
          </w:p>
        </w:tc>
        <w:tc>
          <w:tcPr>
            <w:tcW w:w="851" w:type="dxa"/>
            <w:tcBorders>
              <w:top w:val="single" w:sz="4" w:space="0" w:color="auto"/>
              <w:bottom w:val="single" w:sz="12" w:space="0" w:color="auto"/>
            </w:tcBorders>
            <w:shd w:val="clear" w:color="auto" w:fill="auto"/>
            <w:vAlign w:val="bottom"/>
          </w:tcPr>
          <w:p w:rsidR="001B2F58" w:rsidRPr="00DD03D6" w:rsidRDefault="001B2F58" w:rsidP="003B335E">
            <w:pPr>
              <w:suppressAutoHyphens w:val="0"/>
              <w:spacing w:before="80" w:after="80" w:line="220" w:lineRule="exact"/>
              <w:jc w:val="right"/>
              <w:rPr>
                <w:b/>
                <w:noProof/>
                <w:sz w:val="18"/>
                <w:lang w:val="fr-FR" w:eastAsia="en-GB"/>
              </w:rPr>
            </w:pPr>
            <w:r w:rsidRPr="00DD03D6">
              <w:rPr>
                <w:b/>
                <w:noProof/>
                <w:sz w:val="18"/>
                <w:lang w:val="fr-FR" w:eastAsia="en-GB"/>
              </w:rPr>
              <w:t>111</w:t>
            </w:r>
          </w:p>
        </w:tc>
        <w:tc>
          <w:tcPr>
            <w:tcW w:w="851" w:type="dxa"/>
            <w:tcBorders>
              <w:top w:val="single" w:sz="4" w:space="0" w:color="auto"/>
              <w:bottom w:val="single" w:sz="12" w:space="0" w:color="auto"/>
            </w:tcBorders>
            <w:shd w:val="clear" w:color="auto" w:fill="auto"/>
            <w:vAlign w:val="bottom"/>
          </w:tcPr>
          <w:p w:rsidR="001B2F58" w:rsidRPr="00DD03D6" w:rsidRDefault="001B2F58" w:rsidP="003B335E">
            <w:pPr>
              <w:suppressAutoHyphens w:val="0"/>
              <w:spacing w:before="80" w:after="80" w:line="220" w:lineRule="exact"/>
              <w:jc w:val="right"/>
              <w:rPr>
                <w:b/>
                <w:noProof/>
                <w:sz w:val="18"/>
                <w:lang w:val="fr-FR" w:eastAsia="en-GB"/>
              </w:rPr>
            </w:pPr>
            <w:r w:rsidRPr="00DD03D6">
              <w:rPr>
                <w:b/>
                <w:noProof/>
                <w:sz w:val="18"/>
                <w:lang w:val="fr-FR" w:eastAsia="en-GB"/>
              </w:rPr>
              <w:t>99</w:t>
            </w:r>
          </w:p>
        </w:tc>
        <w:tc>
          <w:tcPr>
            <w:tcW w:w="851" w:type="dxa"/>
            <w:tcBorders>
              <w:top w:val="single" w:sz="4" w:space="0" w:color="auto"/>
              <w:bottom w:val="single" w:sz="12" w:space="0" w:color="auto"/>
            </w:tcBorders>
            <w:shd w:val="clear" w:color="auto" w:fill="auto"/>
            <w:vAlign w:val="bottom"/>
          </w:tcPr>
          <w:p w:rsidR="001B2F58" w:rsidRPr="00DD03D6" w:rsidRDefault="001B2F58" w:rsidP="003B335E">
            <w:pPr>
              <w:suppressAutoHyphens w:val="0"/>
              <w:spacing w:before="80" w:after="80" w:line="220" w:lineRule="exact"/>
              <w:jc w:val="right"/>
              <w:rPr>
                <w:b/>
                <w:noProof/>
                <w:sz w:val="18"/>
                <w:lang w:val="fr-FR" w:eastAsia="en-GB"/>
              </w:rPr>
            </w:pPr>
            <w:r w:rsidRPr="00DD03D6">
              <w:rPr>
                <w:b/>
                <w:noProof/>
                <w:sz w:val="18"/>
                <w:lang w:val="fr-FR" w:eastAsia="en-GB"/>
              </w:rPr>
              <w:t>141</w:t>
            </w:r>
          </w:p>
        </w:tc>
        <w:tc>
          <w:tcPr>
            <w:tcW w:w="851" w:type="dxa"/>
            <w:tcBorders>
              <w:top w:val="single" w:sz="4" w:space="0" w:color="auto"/>
              <w:bottom w:val="single" w:sz="12" w:space="0" w:color="auto"/>
            </w:tcBorders>
            <w:shd w:val="clear" w:color="auto" w:fill="auto"/>
            <w:vAlign w:val="bottom"/>
          </w:tcPr>
          <w:p w:rsidR="001B2F58" w:rsidRPr="00DD03D6" w:rsidRDefault="001B2F58" w:rsidP="003B335E">
            <w:pPr>
              <w:suppressAutoHyphens w:val="0"/>
              <w:spacing w:before="80" w:after="80" w:line="220" w:lineRule="exact"/>
              <w:jc w:val="right"/>
              <w:rPr>
                <w:b/>
                <w:noProof/>
                <w:sz w:val="18"/>
                <w:lang w:val="fr-FR" w:eastAsia="en-GB"/>
              </w:rPr>
            </w:pPr>
            <w:r w:rsidRPr="00DD03D6">
              <w:rPr>
                <w:b/>
                <w:noProof/>
                <w:sz w:val="18"/>
                <w:lang w:val="fr-FR" w:eastAsia="en-GB"/>
              </w:rPr>
              <w:t>136</w:t>
            </w:r>
          </w:p>
        </w:tc>
        <w:tc>
          <w:tcPr>
            <w:tcW w:w="851" w:type="dxa"/>
            <w:tcBorders>
              <w:top w:val="single" w:sz="4" w:space="0" w:color="auto"/>
              <w:bottom w:val="single" w:sz="12" w:space="0" w:color="auto"/>
            </w:tcBorders>
            <w:shd w:val="clear" w:color="auto" w:fill="auto"/>
            <w:vAlign w:val="bottom"/>
          </w:tcPr>
          <w:p w:rsidR="001B2F58" w:rsidRPr="00DD03D6" w:rsidRDefault="001B2F58" w:rsidP="003B335E">
            <w:pPr>
              <w:suppressAutoHyphens w:val="0"/>
              <w:spacing w:before="80" w:after="80" w:line="220" w:lineRule="exact"/>
              <w:jc w:val="right"/>
              <w:rPr>
                <w:b/>
                <w:noProof/>
                <w:sz w:val="18"/>
                <w:lang w:val="fr-FR" w:eastAsia="en-GB"/>
              </w:rPr>
            </w:pPr>
            <w:r w:rsidRPr="00DD03D6">
              <w:rPr>
                <w:b/>
                <w:noProof/>
                <w:sz w:val="18"/>
                <w:lang w:val="fr-FR" w:eastAsia="en-GB"/>
              </w:rPr>
              <w:t>140</w:t>
            </w:r>
          </w:p>
        </w:tc>
      </w:tr>
    </w:tbl>
    <w:p w:rsidR="001B2F58" w:rsidRPr="00DD03D6" w:rsidRDefault="00F663F6" w:rsidP="00B32F00">
      <w:pPr>
        <w:pStyle w:val="SingleTxtG"/>
        <w:numPr>
          <w:ilvl w:val="0"/>
          <w:numId w:val="3"/>
        </w:numPr>
        <w:spacing w:before="240"/>
        <w:ind w:left="1134" w:firstLine="0"/>
        <w:rPr>
          <w:noProof/>
          <w:lang w:val="fr-FR" w:eastAsia="en-GB"/>
        </w:rPr>
      </w:pPr>
      <w:r w:rsidRPr="00F663F6">
        <w:rPr>
          <w:noProof/>
          <w:lang w:val="fr-FR"/>
        </w:rPr>
        <w:t>L’article 37 de la loi de 1991 sur l’enlèvement d’enfants et l’exécution des décisions judiciaires concernant la garde des enfants habilite les membres de la Garda à retenir un enfant lorsqu’ils ont des raisons de soupçonner que l’on tente de le faire sortir du pays au mépris d’une décision relative au droit de garde ou lorsque la procédure touchant à l’attribution du droit de garde est en</w:t>
      </w:r>
      <w:r w:rsidR="00E667E2">
        <w:rPr>
          <w:noProof/>
          <w:lang w:val="fr-FR"/>
        </w:rPr>
        <w:t xml:space="preserve"> </w:t>
      </w:r>
      <w:r w:rsidRPr="00F663F6">
        <w:rPr>
          <w:noProof/>
          <w:lang w:val="fr-FR"/>
        </w:rPr>
        <w:t>cours ou sur le point d’aboutir</w:t>
      </w:r>
      <w:r w:rsidR="001B2F58" w:rsidRPr="00DD03D6">
        <w:rPr>
          <w:noProof/>
          <w:lang w:val="fr-FR" w:eastAsia="en-GB"/>
        </w:rPr>
        <w:t>.</w:t>
      </w:r>
    </w:p>
    <w:p w:rsidR="001B2F58" w:rsidRPr="00DD03D6" w:rsidRDefault="00F663F6" w:rsidP="004614FA">
      <w:pPr>
        <w:pStyle w:val="SingleTxtG"/>
        <w:numPr>
          <w:ilvl w:val="0"/>
          <w:numId w:val="3"/>
        </w:numPr>
        <w:ind w:left="1134" w:firstLine="0"/>
        <w:rPr>
          <w:i/>
          <w:iCs/>
          <w:noProof/>
          <w:lang w:val="fr-FR" w:eastAsia="en-IE"/>
        </w:rPr>
      </w:pPr>
      <w:r>
        <w:rPr>
          <w:noProof/>
          <w:lang w:val="fr-FR"/>
        </w:rPr>
        <w:t>E</w:t>
      </w:r>
      <w:r w:rsidR="001B2F58" w:rsidRPr="00DD03D6">
        <w:rPr>
          <w:noProof/>
          <w:lang w:val="fr-FR"/>
        </w:rPr>
        <w:t xml:space="preserve">n </w:t>
      </w:r>
      <w:r>
        <w:rPr>
          <w:noProof/>
          <w:lang w:val="fr-FR"/>
        </w:rPr>
        <w:t xml:space="preserve">mai </w:t>
      </w:r>
      <w:r w:rsidR="001B2F58" w:rsidRPr="00DD03D6">
        <w:rPr>
          <w:noProof/>
          <w:lang w:val="fr-FR" w:eastAsia="en-GB"/>
        </w:rPr>
        <w:t>2012</w:t>
      </w:r>
      <w:r w:rsidR="001B2F58" w:rsidRPr="00DD03D6">
        <w:rPr>
          <w:noProof/>
          <w:lang w:val="fr-FR"/>
        </w:rPr>
        <w:t xml:space="preserve">, </w:t>
      </w:r>
      <w:r>
        <w:rPr>
          <w:noProof/>
          <w:lang w:val="fr-FR"/>
        </w:rPr>
        <w:t>la Garda</w:t>
      </w:r>
      <w:r w:rsidR="001B2F58" w:rsidRPr="00DD03D6">
        <w:rPr>
          <w:noProof/>
          <w:lang w:val="fr-FR"/>
        </w:rPr>
        <w:t xml:space="preserve"> Síochána </w:t>
      </w:r>
      <w:r>
        <w:rPr>
          <w:noProof/>
          <w:lang w:val="fr-FR"/>
        </w:rPr>
        <w:t xml:space="preserve">a lancé </w:t>
      </w:r>
      <w:r w:rsidR="000B2D2D">
        <w:rPr>
          <w:noProof/>
          <w:lang w:val="fr-FR"/>
        </w:rPr>
        <w:t xml:space="preserve">le système d’alerte rapide irlandais </w:t>
      </w:r>
      <w:r w:rsidR="00A3113A">
        <w:rPr>
          <w:noProof/>
          <w:lang w:val="fr-FR"/>
        </w:rPr>
        <w:t>pour le sauvetage d’enfants (</w:t>
      </w:r>
      <w:r w:rsidR="001B2F58" w:rsidRPr="00DD03D6">
        <w:rPr>
          <w:noProof/>
          <w:lang w:val="fr-FR"/>
        </w:rPr>
        <w:t>Child Rescu</w:t>
      </w:r>
      <w:r w:rsidR="005F31F6">
        <w:rPr>
          <w:noProof/>
          <w:lang w:val="fr-FR"/>
        </w:rPr>
        <w:t xml:space="preserve">e Ireland </w:t>
      </w:r>
      <w:r w:rsidR="001B2F58" w:rsidRPr="00DD03D6">
        <w:rPr>
          <w:noProof/>
          <w:lang w:val="fr-FR"/>
        </w:rPr>
        <w:t>Alert</w:t>
      </w:r>
      <w:r w:rsidR="00A3113A">
        <w:rPr>
          <w:noProof/>
          <w:lang w:val="fr-FR"/>
        </w:rPr>
        <w:t>)</w:t>
      </w:r>
      <w:r w:rsidR="001B2F58" w:rsidRPr="00DD03D6">
        <w:rPr>
          <w:noProof/>
          <w:lang w:val="fr-FR"/>
        </w:rPr>
        <w:t xml:space="preserve">. </w:t>
      </w:r>
      <w:r w:rsidR="00A3113A">
        <w:rPr>
          <w:noProof/>
          <w:lang w:val="fr-FR"/>
        </w:rPr>
        <w:t>Il s’agit d’un système d’alerte pluriinstitutions qui repose sur l’aide du public pour localiser des enfants enlevés</w:t>
      </w:r>
      <w:r w:rsidR="001B2F58" w:rsidRPr="00DD03D6">
        <w:rPr>
          <w:noProof/>
          <w:lang w:val="fr-FR"/>
        </w:rPr>
        <w:t xml:space="preserve">. </w:t>
      </w:r>
      <w:r w:rsidR="00A3113A">
        <w:rPr>
          <w:noProof/>
          <w:lang w:val="fr-FR"/>
        </w:rPr>
        <w:t>Le système d’alerte n’est enclenché que lorsque l’on a des raisons de penser qu’il existe un risque immédiat et grave pour la santé et le bien-être de l’enfant enlevé</w:t>
      </w:r>
      <w:r w:rsidR="001B2F58" w:rsidRPr="00DD03D6">
        <w:rPr>
          <w:noProof/>
          <w:lang w:val="fr-FR" w:eastAsia="en-IE"/>
        </w:rPr>
        <w:t xml:space="preserve">. </w:t>
      </w:r>
      <w:r w:rsidR="00A3113A">
        <w:rPr>
          <w:noProof/>
          <w:lang w:val="fr-FR" w:eastAsia="en-IE"/>
        </w:rPr>
        <w:t xml:space="preserve">Le Bureau de presse et de relations publiques de la </w:t>
      </w:r>
      <w:r w:rsidR="001B2F58" w:rsidRPr="00DD03D6">
        <w:rPr>
          <w:noProof/>
          <w:lang w:val="fr-FR" w:eastAsia="en-IE"/>
        </w:rPr>
        <w:t xml:space="preserve">Garda </w:t>
      </w:r>
      <w:r w:rsidR="00A3113A">
        <w:rPr>
          <w:noProof/>
          <w:lang w:val="fr-FR" w:eastAsia="en-IE"/>
        </w:rPr>
        <w:t>fournit les renseignements pertinents aux médias et aux organismes de radiodiffusion afin d’alerter le public et de lui demander son aide</w:t>
      </w:r>
      <w:r w:rsidR="001B2F58" w:rsidRPr="00DD03D6">
        <w:rPr>
          <w:noProof/>
          <w:lang w:val="fr-FR" w:eastAsia="en-IE"/>
        </w:rPr>
        <w:t>.</w:t>
      </w:r>
    </w:p>
    <w:p w:rsidR="001B2F58" w:rsidRPr="00DD03D6" w:rsidRDefault="004614FA" w:rsidP="004614FA">
      <w:pPr>
        <w:pStyle w:val="H1G"/>
        <w:rPr>
          <w:noProof/>
          <w:lang w:val="fr-FR"/>
        </w:rPr>
      </w:pPr>
      <w:bookmarkStart w:id="53" w:name="_Toc356430877"/>
      <w:r w:rsidRPr="00DD03D6">
        <w:rPr>
          <w:noProof/>
          <w:lang w:val="fr-FR"/>
        </w:rPr>
        <w:lastRenderedPageBreak/>
        <w:tab/>
      </w:r>
      <w:r w:rsidR="001B2F58" w:rsidRPr="00DD03D6">
        <w:rPr>
          <w:noProof/>
          <w:lang w:val="fr-FR"/>
        </w:rPr>
        <w:t>J.</w:t>
      </w:r>
      <w:r w:rsidR="001B2F58" w:rsidRPr="00DD03D6">
        <w:rPr>
          <w:noProof/>
          <w:lang w:val="fr-FR"/>
        </w:rPr>
        <w:tab/>
      </w:r>
      <w:r w:rsidR="00135766" w:rsidRPr="00C72E11">
        <w:rPr>
          <w:lang w:val="fr-FR"/>
        </w:rPr>
        <w:t>Sévices ou négligence, y compris réadaptation physique et psychologique et réinsertion sociale</w:t>
      </w:r>
      <w:r w:rsidR="00135766" w:rsidRPr="00487473">
        <w:rPr>
          <w:lang w:val="fr-CH"/>
        </w:rPr>
        <w:t xml:space="preserve"> </w:t>
      </w:r>
      <w:bookmarkEnd w:id="53"/>
    </w:p>
    <w:p w:rsidR="001B2F58" w:rsidRPr="00DD03D6" w:rsidRDefault="00F31813" w:rsidP="004614FA">
      <w:pPr>
        <w:pStyle w:val="SingleTxtG"/>
        <w:numPr>
          <w:ilvl w:val="0"/>
          <w:numId w:val="3"/>
        </w:numPr>
        <w:ind w:left="1134" w:firstLine="0"/>
        <w:rPr>
          <w:noProof/>
          <w:lang w:val="fr-FR" w:eastAsia="en-IE"/>
        </w:rPr>
      </w:pPr>
      <w:r>
        <w:rPr>
          <w:noProof/>
          <w:lang w:val="fr-FR"/>
        </w:rPr>
        <w:t>Les mesures prises dans ce domaine sont décrites dans d’autres chapitres du présent rapport; elles englobent la révision en 2011 du document intitulé</w:t>
      </w:r>
      <w:r>
        <w:rPr>
          <w:iCs/>
          <w:noProof/>
          <w:lang w:val="fr-FR"/>
        </w:rPr>
        <w:t xml:space="preserve"> </w:t>
      </w:r>
      <w:r w:rsidRPr="00E667E2">
        <w:rPr>
          <w:lang w:val="fr-CH"/>
        </w:rPr>
        <w:t>«</w:t>
      </w:r>
      <w:r w:rsidR="00E667E2">
        <w:rPr>
          <w:i/>
          <w:lang w:val="fr-CH"/>
        </w:rPr>
        <w:t> </w:t>
      </w:r>
      <w:r w:rsidRPr="007B3894">
        <w:rPr>
          <w:i/>
          <w:lang w:val="fr-CH"/>
        </w:rPr>
        <w:t>Les enfants d’abord</w:t>
      </w:r>
      <w:r w:rsidR="00E667E2">
        <w:rPr>
          <w:i/>
          <w:lang w:val="fr-CH"/>
        </w:rPr>
        <w:t> </w:t>
      </w:r>
      <w:r w:rsidRPr="007B3894">
        <w:rPr>
          <w:i/>
          <w:lang w:val="fr-CH"/>
        </w:rPr>
        <w:t>: directives nationales pour la protecti</w:t>
      </w:r>
      <w:r>
        <w:rPr>
          <w:i/>
          <w:lang w:val="fr-CH"/>
        </w:rPr>
        <w:t>on et le bien-être des enfants</w:t>
      </w:r>
      <w:r w:rsidR="00E667E2">
        <w:rPr>
          <w:i/>
          <w:lang w:val="fr-CH"/>
        </w:rPr>
        <w:t> </w:t>
      </w:r>
      <w:r w:rsidRPr="00E667E2">
        <w:rPr>
          <w:lang w:val="fr-CH"/>
        </w:rPr>
        <w:t>»</w:t>
      </w:r>
      <w:r>
        <w:rPr>
          <w:noProof/>
          <w:lang w:val="fr-FR"/>
        </w:rPr>
        <w:t xml:space="preserve"> et la législation à venir qui donnera une base légale à ces directives</w:t>
      </w:r>
      <w:r w:rsidR="001B2F58" w:rsidRPr="00DD03D6">
        <w:rPr>
          <w:noProof/>
          <w:lang w:val="fr-FR"/>
        </w:rPr>
        <w:t>.</w:t>
      </w:r>
    </w:p>
    <w:p w:rsidR="001B2F58" w:rsidRPr="00DD03D6" w:rsidRDefault="00F8100B" w:rsidP="004614FA">
      <w:pPr>
        <w:pStyle w:val="SingleTxtG"/>
        <w:numPr>
          <w:ilvl w:val="0"/>
          <w:numId w:val="3"/>
        </w:numPr>
        <w:ind w:left="1134" w:firstLine="0"/>
        <w:rPr>
          <w:bCs/>
          <w:noProof/>
          <w:lang w:val="fr-FR"/>
        </w:rPr>
      </w:pPr>
      <w:r>
        <w:rPr>
          <w:bCs/>
          <w:noProof/>
          <w:lang w:val="fr-FR"/>
        </w:rPr>
        <w:t>Le projet de système national d’informations sur la protection de l’enfance de la Direction des services de santé progresse et est à présent en cours de passation de marché</w:t>
      </w:r>
      <w:r w:rsidR="001B2F58" w:rsidRPr="00DD03D6">
        <w:rPr>
          <w:bCs/>
          <w:noProof/>
          <w:lang w:val="fr-FR"/>
        </w:rPr>
        <w:t xml:space="preserve">. </w:t>
      </w:r>
      <w:r>
        <w:rPr>
          <w:bCs/>
          <w:noProof/>
          <w:lang w:val="fr-FR"/>
        </w:rPr>
        <w:t xml:space="preserve">Il s’agit de créer une base de données centrale qui contiendra des renseignements sur tous les enfants placés et sur ceux qui suscitent des inquiétudes </w:t>
      </w:r>
      <w:r w:rsidR="00857FEC">
        <w:rPr>
          <w:bCs/>
          <w:noProof/>
          <w:lang w:val="fr-FR"/>
        </w:rPr>
        <w:t>parmi</w:t>
      </w:r>
      <w:r>
        <w:rPr>
          <w:bCs/>
          <w:noProof/>
          <w:lang w:val="fr-FR"/>
        </w:rPr>
        <w:t xml:space="preserve"> les travailleurs sociaux</w:t>
      </w:r>
      <w:r w:rsidR="001B2F58" w:rsidRPr="00DD03D6">
        <w:rPr>
          <w:bCs/>
          <w:noProof/>
          <w:lang w:val="fr-FR"/>
        </w:rPr>
        <w:t xml:space="preserve">. </w:t>
      </w:r>
      <w:r>
        <w:rPr>
          <w:bCs/>
          <w:noProof/>
          <w:lang w:val="fr-FR"/>
        </w:rPr>
        <w:t>Ce projet a été complexe depuis la phase de définition de sa portée jusqu’à celle de sa mise en route</w:t>
      </w:r>
      <w:r w:rsidR="001B2F58" w:rsidRPr="00DD03D6">
        <w:rPr>
          <w:bCs/>
          <w:noProof/>
          <w:lang w:val="fr-FR"/>
        </w:rPr>
        <w:t xml:space="preserve">. </w:t>
      </w:r>
      <w:r>
        <w:rPr>
          <w:bCs/>
          <w:noProof/>
          <w:lang w:val="fr-FR"/>
        </w:rPr>
        <w:t>L’attribution du marché a été officiellement approuvée</w:t>
      </w:r>
      <w:r w:rsidR="001B2F58" w:rsidRPr="00DD03D6">
        <w:rPr>
          <w:bCs/>
          <w:noProof/>
          <w:lang w:val="fr-FR"/>
        </w:rPr>
        <w:t>.</w:t>
      </w:r>
    </w:p>
    <w:p w:rsidR="001B2F58" w:rsidRPr="00DD03D6" w:rsidRDefault="0032450D" w:rsidP="0032450D">
      <w:pPr>
        <w:pStyle w:val="HChG"/>
        <w:rPr>
          <w:bCs/>
          <w:noProof/>
          <w:lang w:val="fr-FR"/>
        </w:rPr>
      </w:pPr>
      <w:bookmarkStart w:id="54" w:name="_Toc356430878"/>
      <w:r w:rsidRPr="00DD03D6">
        <w:rPr>
          <w:noProof/>
          <w:lang w:val="fr-FR"/>
        </w:rPr>
        <w:tab/>
      </w:r>
      <w:r w:rsidR="0025541B" w:rsidRPr="00DD03D6">
        <w:rPr>
          <w:noProof/>
          <w:lang w:val="fr-FR"/>
        </w:rPr>
        <w:t>VI</w:t>
      </w:r>
      <w:r w:rsidR="001B2F58" w:rsidRPr="00DD03D6">
        <w:rPr>
          <w:noProof/>
          <w:lang w:val="fr-FR"/>
        </w:rPr>
        <w:t>.</w:t>
      </w:r>
      <w:r w:rsidR="001B2F58" w:rsidRPr="00DD03D6">
        <w:rPr>
          <w:noProof/>
          <w:lang w:val="fr-FR"/>
        </w:rPr>
        <w:tab/>
      </w:r>
      <w:bookmarkEnd w:id="54"/>
      <w:r w:rsidR="00561A6E">
        <w:rPr>
          <w:noProof/>
          <w:lang w:val="fr-FR"/>
        </w:rPr>
        <w:t>Handicap, santé et bien-être</w:t>
      </w:r>
    </w:p>
    <w:p w:rsidR="001B2F58" w:rsidRPr="00DD03D6" w:rsidRDefault="0032450D" w:rsidP="0032450D">
      <w:pPr>
        <w:pStyle w:val="H1G"/>
        <w:rPr>
          <w:noProof/>
          <w:lang w:val="fr-FR"/>
        </w:rPr>
      </w:pPr>
      <w:bookmarkStart w:id="55" w:name="_Toc356430879"/>
      <w:r w:rsidRPr="00DD03D6">
        <w:rPr>
          <w:noProof/>
          <w:lang w:val="fr-FR"/>
        </w:rPr>
        <w:tab/>
      </w:r>
      <w:r w:rsidR="001B2F58" w:rsidRPr="00DD03D6">
        <w:rPr>
          <w:noProof/>
          <w:lang w:val="fr-FR"/>
        </w:rPr>
        <w:t>A.</w:t>
      </w:r>
      <w:r w:rsidR="001B2F58" w:rsidRPr="00DD03D6">
        <w:rPr>
          <w:noProof/>
          <w:lang w:val="fr-FR"/>
        </w:rPr>
        <w:tab/>
      </w:r>
      <w:r w:rsidR="00561A6E">
        <w:rPr>
          <w:noProof/>
          <w:lang w:val="fr-FR"/>
        </w:rPr>
        <w:t xml:space="preserve">Enfants handicapés </w:t>
      </w:r>
      <w:bookmarkEnd w:id="55"/>
    </w:p>
    <w:p w:rsidR="001B2F58" w:rsidRPr="00DD03D6" w:rsidRDefault="00561A6E" w:rsidP="00E77652">
      <w:pPr>
        <w:pStyle w:val="SingleTxtG"/>
        <w:numPr>
          <w:ilvl w:val="0"/>
          <w:numId w:val="3"/>
        </w:numPr>
        <w:ind w:left="1134" w:firstLine="0"/>
        <w:rPr>
          <w:noProof/>
          <w:lang w:val="fr-FR" w:eastAsia="en-IE"/>
        </w:rPr>
      </w:pPr>
      <w:r>
        <w:rPr>
          <w:noProof/>
          <w:lang w:val="fr-FR"/>
        </w:rPr>
        <w:t>Le deuxième rapport périodique de l’l</w:t>
      </w:r>
      <w:r w:rsidR="001B2F58" w:rsidRPr="00DD03D6">
        <w:rPr>
          <w:noProof/>
          <w:lang w:val="fr-FR"/>
        </w:rPr>
        <w:t>rland</w:t>
      </w:r>
      <w:r w:rsidR="00E667E2">
        <w:rPr>
          <w:noProof/>
          <w:lang w:val="fr-FR"/>
        </w:rPr>
        <w:t xml:space="preserve">e a présenté </w:t>
      </w:r>
      <w:r>
        <w:rPr>
          <w:noProof/>
          <w:lang w:val="fr-FR"/>
        </w:rPr>
        <w:t>d’une manière détaillée les dispositions relatives aux enfants handicapés</w:t>
      </w:r>
      <w:r w:rsidR="001B2F58" w:rsidRPr="00DD03D6">
        <w:rPr>
          <w:rStyle w:val="Appelnotedebasdep"/>
          <w:noProof/>
          <w:lang w:val="fr-FR"/>
        </w:rPr>
        <w:footnoteReference w:id="33"/>
      </w:r>
      <w:r>
        <w:rPr>
          <w:noProof/>
          <w:lang w:val="fr-FR"/>
        </w:rPr>
        <w:t>.</w:t>
      </w:r>
      <w:r w:rsidR="001B2F58" w:rsidRPr="00DD03D6">
        <w:rPr>
          <w:noProof/>
          <w:lang w:val="fr-FR"/>
        </w:rPr>
        <w:t xml:space="preserve"> </w:t>
      </w:r>
      <w:r>
        <w:rPr>
          <w:noProof/>
          <w:lang w:val="fr-FR"/>
        </w:rPr>
        <w:t>On trouvera ci-après une mise à jour de ces dispositions</w:t>
      </w:r>
      <w:r w:rsidR="001B2F58" w:rsidRPr="00DD03D6">
        <w:rPr>
          <w:noProof/>
          <w:lang w:val="fr-FR"/>
        </w:rPr>
        <w:t>.</w:t>
      </w:r>
    </w:p>
    <w:p w:rsidR="001B2F58" w:rsidRPr="00DD03D6" w:rsidRDefault="00561A6E" w:rsidP="00561A6E">
      <w:pPr>
        <w:pStyle w:val="H23G"/>
        <w:ind w:firstLine="0"/>
        <w:rPr>
          <w:noProof/>
          <w:lang w:val="fr-FR" w:eastAsia="en-IE"/>
        </w:rPr>
      </w:pPr>
      <w:r>
        <w:rPr>
          <w:noProof/>
          <w:lang w:val="fr-FR" w:eastAsia="en-IE"/>
        </w:rPr>
        <w:t xml:space="preserve">Données relatives aux enfants handicapés </w:t>
      </w:r>
    </w:p>
    <w:p w:rsidR="001B2F58" w:rsidRPr="00DD03D6" w:rsidRDefault="00561A6E" w:rsidP="0032450D">
      <w:pPr>
        <w:pStyle w:val="SingleTxtG"/>
        <w:numPr>
          <w:ilvl w:val="0"/>
          <w:numId w:val="3"/>
        </w:numPr>
        <w:ind w:left="1134" w:firstLine="0"/>
        <w:rPr>
          <w:noProof/>
          <w:lang w:val="fr-FR" w:eastAsia="en-IE"/>
        </w:rPr>
      </w:pPr>
      <w:r>
        <w:rPr>
          <w:noProof/>
          <w:lang w:val="fr-FR" w:eastAsia="en-IE"/>
        </w:rPr>
        <w:t>E</w:t>
      </w:r>
      <w:r w:rsidR="001B2F58" w:rsidRPr="00DD03D6">
        <w:rPr>
          <w:noProof/>
          <w:lang w:val="fr-FR" w:eastAsia="en-IE"/>
        </w:rPr>
        <w:t xml:space="preserve">n 2011, </w:t>
      </w:r>
      <w:r w:rsidR="003E78E3">
        <w:rPr>
          <w:noProof/>
          <w:lang w:val="fr-FR" w:eastAsia="en-IE"/>
        </w:rPr>
        <w:t>le recensement de la p</w:t>
      </w:r>
      <w:r w:rsidR="001B2F58" w:rsidRPr="00DD03D6">
        <w:rPr>
          <w:noProof/>
          <w:lang w:val="fr-FR" w:eastAsia="en-IE"/>
        </w:rPr>
        <w:t xml:space="preserve">opulation </w:t>
      </w:r>
      <w:r w:rsidR="003E78E3">
        <w:rPr>
          <w:noProof/>
          <w:lang w:val="fr-FR" w:eastAsia="en-IE"/>
        </w:rPr>
        <w:t xml:space="preserve">a enregistré </w:t>
      </w:r>
      <w:r w:rsidR="001B2F58" w:rsidRPr="00DD03D6">
        <w:rPr>
          <w:noProof/>
          <w:lang w:val="fr-FR" w:eastAsia="en-IE"/>
        </w:rPr>
        <w:t>66</w:t>
      </w:r>
      <w:r w:rsidR="00E667E2">
        <w:rPr>
          <w:noProof/>
          <w:lang w:val="fr-FR" w:eastAsia="en-IE"/>
        </w:rPr>
        <w:t> </w:t>
      </w:r>
      <w:r w:rsidR="001B2F58" w:rsidRPr="00DD03D6">
        <w:rPr>
          <w:noProof/>
          <w:lang w:val="fr-FR" w:eastAsia="en-IE"/>
        </w:rPr>
        <w:t xml:space="preserve">437 </w:t>
      </w:r>
      <w:r w:rsidR="003E78E3">
        <w:rPr>
          <w:noProof/>
          <w:lang w:val="fr-FR" w:eastAsia="en-IE"/>
        </w:rPr>
        <w:t xml:space="preserve">enfants handicapés, soit </w:t>
      </w:r>
      <w:r w:rsidR="001B2F58" w:rsidRPr="00DD03D6">
        <w:rPr>
          <w:noProof/>
          <w:lang w:val="fr-FR" w:eastAsia="en-IE"/>
        </w:rPr>
        <w:t>5</w:t>
      </w:r>
      <w:r w:rsidR="003E78E3">
        <w:rPr>
          <w:noProof/>
          <w:lang w:val="fr-FR" w:eastAsia="en-IE"/>
        </w:rPr>
        <w:t>,</w:t>
      </w:r>
      <w:r w:rsidR="001B2F58" w:rsidRPr="00DD03D6">
        <w:rPr>
          <w:noProof/>
          <w:lang w:val="fr-FR" w:eastAsia="en-IE"/>
        </w:rPr>
        <w:t>8</w:t>
      </w:r>
      <w:r w:rsidR="003F1ADB">
        <w:rPr>
          <w:noProof/>
          <w:lang w:val="fr-FR" w:eastAsia="en-IE"/>
        </w:rPr>
        <w:t> %</w:t>
      </w:r>
      <w:r w:rsidR="001B2F58" w:rsidRPr="00DD03D6">
        <w:rPr>
          <w:noProof/>
          <w:lang w:val="fr-FR" w:eastAsia="en-IE"/>
        </w:rPr>
        <w:t xml:space="preserve"> </w:t>
      </w:r>
      <w:r w:rsidR="00566690">
        <w:rPr>
          <w:noProof/>
          <w:lang w:val="fr-FR" w:eastAsia="en-IE"/>
        </w:rPr>
        <w:t>de la population juvéno-infantile du pays</w:t>
      </w:r>
      <w:r w:rsidR="001B2F58" w:rsidRPr="00DD03D6">
        <w:rPr>
          <w:noProof/>
          <w:lang w:val="fr-FR" w:eastAsia="en-IE"/>
        </w:rPr>
        <w:t>.</w:t>
      </w:r>
    </w:p>
    <w:p w:rsidR="001B2F58" w:rsidRPr="00DD03D6" w:rsidRDefault="00566690" w:rsidP="00E77652">
      <w:pPr>
        <w:pStyle w:val="SingleTxtG"/>
        <w:numPr>
          <w:ilvl w:val="0"/>
          <w:numId w:val="3"/>
        </w:numPr>
        <w:ind w:left="1134" w:firstLine="0"/>
        <w:rPr>
          <w:noProof/>
          <w:lang w:val="fr-FR" w:eastAsia="en-IE"/>
        </w:rPr>
      </w:pPr>
      <w:r>
        <w:rPr>
          <w:noProof/>
          <w:lang w:val="fr-FR"/>
        </w:rPr>
        <w:t xml:space="preserve">La </w:t>
      </w:r>
      <w:r w:rsidRPr="00566690">
        <w:rPr>
          <w:noProof/>
          <w:color w:val="000000"/>
          <w:lang w:val="fr-FR"/>
        </w:rPr>
        <w:t xml:space="preserve">base de données nationale sur les handicaps physiques et sensoriels </w:t>
      </w:r>
      <w:r>
        <w:rPr>
          <w:noProof/>
          <w:color w:val="000000"/>
          <w:lang w:val="fr-FR"/>
        </w:rPr>
        <w:t xml:space="preserve">dont il a été question dans le </w:t>
      </w:r>
      <w:r>
        <w:rPr>
          <w:noProof/>
          <w:lang w:val="fr-FR"/>
        </w:rPr>
        <w:t>deuxième rapport périodique</w:t>
      </w:r>
      <w:r w:rsidR="001B2F58" w:rsidRPr="00DD03D6">
        <w:rPr>
          <w:rStyle w:val="Appelnotedebasdep"/>
          <w:noProof/>
          <w:lang w:val="fr-FR"/>
        </w:rPr>
        <w:footnoteReference w:id="34"/>
      </w:r>
      <w:r w:rsidR="001B2F58" w:rsidRPr="00DD03D6">
        <w:rPr>
          <w:noProof/>
          <w:lang w:val="fr-FR"/>
        </w:rPr>
        <w:t xml:space="preserve"> </w:t>
      </w:r>
      <w:r>
        <w:rPr>
          <w:noProof/>
          <w:lang w:val="fr-FR"/>
        </w:rPr>
        <w:t xml:space="preserve">est désormais pleinement </w:t>
      </w:r>
      <w:r w:rsidR="001B2F58" w:rsidRPr="00DD03D6">
        <w:rPr>
          <w:noProof/>
          <w:lang w:val="fr-FR"/>
        </w:rPr>
        <w:t>op</w:t>
      </w:r>
      <w:r>
        <w:rPr>
          <w:noProof/>
          <w:lang w:val="fr-FR"/>
        </w:rPr>
        <w:t>é</w:t>
      </w:r>
      <w:r w:rsidR="001B2F58" w:rsidRPr="00DD03D6">
        <w:rPr>
          <w:noProof/>
          <w:lang w:val="fr-FR"/>
        </w:rPr>
        <w:t>ration</w:t>
      </w:r>
      <w:r>
        <w:rPr>
          <w:noProof/>
          <w:lang w:val="fr-FR"/>
        </w:rPr>
        <w:t>nelle et fournit un large éventail de données sur le nombre d’adultes et d’enfants handicapés</w:t>
      </w:r>
      <w:r w:rsidR="001B2F58" w:rsidRPr="00DD03D6">
        <w:rPr>
          <w:noProof/>
          <w:lang w:val="fr-FR"/>
        </w:rPr>
        <w:t xml:space="preserve">. </w:t>
      </w:r>
      <w:r>
        <w:rPr>
          <w:noProof/>
          <w:lang w:val="fr-FR"/>
        </w:rPr>
        <w:t>E</w:t>
      </w:r>
      <w:r w:rsidR="001B2F58" w:rsidRPr="00DD03D6">
        <w:rPr>
          <w:noProof/>
          <w:lang w:val="fr-FR"/>
        </w:rPr>
        <w:t>n 2007, 8</w:t>
      </w:r>
      <w:r w:rsidR="00E667E2">
        <w:rPr>
          <w:noProof/>
          <w:lang w:val="fr-FR"/>
        </w:rPr>
        <w:t> </w:t>
      </w:r>
      <w:r w:rsidR="001B2F58" w:rsidRPr="00DD03D6">
        <w:rPr>
          <w:noProof/>
          <w:lang w:val="fr-FR"/>
        </w:rPr>
        <w:t xml:space="preserve">373 </w:t>
      </w:r>
      <w:r>
        <w:rPr>
          <w:noProof/>
          <w:lang w:val="fr-FR"/>
        </w:rPr>
        <w:t xml:space="preserve">enfants figuraient dans cette base de données. En </w:t>
      </w:r>
      <w:r w:rsidR="001B2F58" w:rsidRPr="00DD03D6">
        <w:rPr>
          <w:noProof/>
          <w:lang w:val="fr-FR"/>
        </w:rPr>
        <w:t xml:space="preserve">2011, </w:t>
      </w:r>
      <w:r>
        <w:rPr>
          <w:noProof/>
          <w:lang w:val="fr-FR"/>
        </w:rPr>
        <w:t xml:space="preserve">ce nombre a été ramené à </w:t>
      </w:r>
      <w:r w:rsidR="001B2F58" w:rsidRPr="00DD03D6">
        <w:rPr>
          <w:noProof/>
          <w:lang w:val="fr-FR"/>
        </w:rPr>
        <w:t>8</w:t>
      </w:r>
      <w:r w:rsidR="00E667E2">
        <w:rPr>
          <w:noProof/>
          <w:lang w:val="fr-FR"/>
        </w:rPr>
        <w:t> </w:t>
      </w:r>
      <w:r w:rsidR="001B2F58" w:rsidRPr="00DD03D6">
        <w:rPr>
          <w:noProof/>
          <w:lang w:val="fr-FR"/>
        </w:rPr>
        <w:t xml:space="preserve">034. </w:t>
      </w:r>
      <w:r>
        <w:rPr>
          <w:noProof/>
          <w:lang w:val="fr-FR"/>
        </w:rPr>
        <w:t xml:space="preserve">Pour les deux années, le nombre d’enfants enregistrés a été légèrement supérieur à </w:t>
      </w:r>
      <w:r w:rsidR="001B2F58" w:rsidRPr="00DD03D6">
        <w:rPr>
          <w:noProof/>
          <w:lang w:val="fr-FR"/>
        </w:rPr>
        <w:t>30</w:t>
      </w:r>
      <w:r w:rsidR="003F1ADB">
        <w:rPr>
          <w:noProof/>
          <w:lang w:val="fr-FR"/>
        </w:rPr>
        <w:t> %</w:t>
      </w:r>
      <w:r w:rsidR="001B2F58" w:rsidRPr="00DD03D6">
        <w:rPr>
          <w:noProof/>
          <w:lang w:val="fr-FR"/>
        </w:rPr>
        <w:t xml:space="preserve"> </w:t>
      </w:r>
      <w:r>
        <w:rPr>
          <w:noProof/>
          <w:lang w:val="fr-FR"/>
        </w:rPr>
        <w:t>des personnes mentionnées dans la base de données</w:t>
      </w:r>
      <w:r w:rsidR="001B2F58" w:rsidRPr="00DD03D6">
        <w:rPr>
          <w:noProof/>
          <w:lang w:val="fr-FR"/>
        </w:rPr>
        <w:t>.</w:t>
      </w:r>
    </w:p>
    <w:p w:rsidR="001B2F58" w:rsidRPr="00DD03D6" w:rsidRDefault="00566690" w:rsidP="00E77652">
      <w:pPr>
        <w:pStyle w:val="SingleTxtG"/>
        <w:numPr>
          <w:ilvl w:val="0"/>
          <w:numId w:val="3"/>
        </w:numPr>
        <w:ind w:left="1134" w:firstLine="0"/>
        <w:rPr>
          <w:noProof/>
          <w:lang w:val="fr-FR" w:eastAsia="en-IE"/>
        </w:rPr>
      </w:pPr>
      <w:r>
        <w:rPr>
          <w:noProof/>
          <w:lang w:val="fr-FR"/>
        </w:rPr>
        <w:t xml:space="preserve">La </w:t>
      </w:r>
      <w:r w:rsidRPr="00566690">
        <w:rPr>
          <w:noProof/>
          <w:color w:val="000000"/>
          <w:lang w:val="fr-FR"/>
        </w:rPr>
        <w:t>base de données nationale sur les handicaps intellectuels</w:t>
      </w:r>
      <w:r w:rsidRPr="00487473">
        <w:rPr>
          <w:color w:val="000000"/>
          <w:sz w:val="24"/>
          <w:lang w:val="fr-CH"/>
        </w:rPr>
        <w:t xml:space="preserve"> </w:t>
      </w:r>
      <w:r w:rsidR="001B2F58" w:rsidRPr="00DD03D6">
        <w:rPr>
          <w:noProof/>
          <w:lang w:val="fr-FR"/>
        </w:rPr>
        <w:t>(</w:t>
      </w:r>
      <w:r>
        <w:rPr>
          <w:noProof/>
          <w:lang w:val="fr-FR"/>
        </w:rPr>
        <w:t>voir le deuxième rapport périodique</w:t>
      </w:r>
      <w:r w:rsidR="00E77652" w:rsidRPr="00DD03D6">
        <w:rPr>
          <w:noProof/>
          <w:lang w:val="fr-FR"/>
        </w:rPr>
        <w:t>)</w:t>
      </w:r>
      <w:r w:rsidR="001B2F58" w:rsidRPr="00DD03D6">
        <w:rPr>
          <w:rStyle w:val="Appelnotedebasdep"/>
          <w:noProof/>
          <w:lang w:val="fr-FR"/>
        </w:rPr>
        <w:footnoteReference w:id="35"/>
      </w:r>
      <w:r w:rsidR="001B2F58" w:rsidRPr="00DD03D6">
        <w:rPr>
          <w:noProof/>
          <w:lang w:val="fr-FR"/>
        </w:rPr>
        <w:t xml:space="preserve"> </w:t>
      </w:r>
      <w:r>
        <w:rPr>
          <w:noProof/>
          <w:lang w:val="fr-FR"/>
        </w:rPr>
        <w:t xml:space="preserve">indique que </w:t>
      </w:r>
      <w:r w:rsidR="001B2F58" w:rsidRPr="00DD03D6">
        <w:rPr>
          <w:noProof/>
          <w:lang w:val="fr-FR"/>
        </w:rPr>
        <w:t>7</w:t>
      </w:r>
      <w:r w:rsidR="00E667E2">
        <w:rPr>
          <w:noProof/>
          <w:lang w:val="fr-FR"/>
        </w:rPr>
        <w:t> </w:t>
      </w:r>
      <w:r w:rsidR="001B2F58" w:rsidRPr="00DD03D6">
        <w:rPr>
          <w:noProof/>
          <w:lang w:val="fr-FR"/>
        </w:rPr>
        <w:t xml:space="preserve">802 </w:t>
      </w:r>
      <w:r>
        <w:rPr>
          <w:noProof/>
          <w:lang w:val="fr-FR"/>
        </w:rPr>
        <w:t xml:space="preserve">enfants enregistrés présentaient un handicap </w:t>
      </w:r>
      <w:r w:rsidR="0096001B">
        <w:rPr>
          <w:noProof/>
          <w:lang w:val="fr-FR"/>
        </w:rPr>
        <w:t>intellectue</w:t>
      </w:r>
      <w:r w:rsidR="001B2F58" w:rsidRPr="00DD03D6">
        <w:rPr>
          <w:noProof/>
          <w:lang w:val="fr-FR"/>
        </w:rPr>
        <w:t xml:space="preserve">l </w:t>
      </w:r>
      <w:r w:rsidR="0096001B">
        <w:rPr>
          <w:noProof/>
          <w:lang w:val="fr-FR"/>
        </w:rPr>
        <w:t>e</w:t>
      </w:r>
      <w:r w:rsidR="001B2F58" w:rsidRPr="00DD03D6">
        <w:rPr>
          <w:noProof/>
          <w:lang w:val="fr-FR"/>
        </w:rPr>
        <w:t xml:space="preserve">n 2007. </w:t>
      </w:r>
      <w:r w:rsidR="0096001B">
        <w:rPr>
          <w:noProof/>
          <w:lang w:val="fr-FR"/>
        </w:rPr>
        <w:t>En</w:t>
      </w:r>
      <w:r w:rsidR="001B2F58" w:rsidRPr="00DD03D6">
        <w:rPr>
          <w:noProof/>
          <w:lang w:val="fr-FR"/>
        </w:rPr>
        <w:t xml:space="preserve"> 2011, </w:t>
      </w:r>
      <w:r w:rsidR="0096001B">
        <w:rPr>
          <w:noProof/>
          <w:lang w:val="fr-FR"/>
        </w:rPr>
        <w:t xml:space="preserve">ce nombre était passé à </w:t>
      </w:r>
      <w:r w:rsidR="001B2F58" w:rsidRPr="00DD03D6">
        <w:rPr>
          <w:noProof/>
          <w:lang w:val="fr-FR"/>
        </w:rPr>
        <w:t>8</w:t>
      </w:r>
      <w:r w:rsidR="00E667E2">
        <w:rPr>
          <w:noProof/>
          <w:lang w:val="fr-FR"/>
        </w:rPr>
        <w:t> </w:t>
      </w:r>
      <w:r w:rsidR="001B2F58" w:rsidRPr="00DD03D6">
        <w:rPr>
          <w:noProof/>
          <w:lang w:val="fr-FR"/>
        </w:rPr>
        <w:t>852.</w:t>
      </w:r>
    </w:p>
    <w:p w:rsidR="001B2F58" w:rsidRPr="00DD03D6" w:rsidRDefault="0096001B" w:rsidP="0096001B">
      <w:pPr>
        <w:pStyle w:val="H23G"/>
        <w:ind w:firstLine="0"/>
        <w:rPr>
          <w:noProof/>
          <w:lang w:val="fr-FR"/>
        </w:rPr>
      </w:pPr>
      <w:r>
        <w:rPr>
          <w:noProof/>
          <w:lang w:val="fr-FR"/>
        </w:rPr>
        <w:t>Programme d’investissements pluriannuel</w:t>
      </w:r>
      <w:r w:rsidR="001B2F58" w:rsidRPr="00DD03D6">
        <w:rPr>
          <w:noProof/>
          <w:lang w:val="fr-FR"/>
        </w:rPr>
        <w:t>, 2005-2008</w:t>
      </w:r>
    </w:p>
    <w:p w:rsidR="001B2F58" w:rsidRPr="00DD03D6" w:rsidRDefault="0096001B" w:rsidP="0032450D">
      <w:pPr>
        <w:pStyle w:val="SingleTxtG"/>
        <w:numPr>
          <w:ilvl w:val="0"/>
          <w:numId w:val="3"/>
        </w:numPr>
        <w:ind w:left="1134" w:firstLine="0"/>
        <w:rPr>
          <w:noProof/>
          <w:lang w:val="fr-FR"/>
        </w:rPr>
      </w:pPr>
      <w:r>
        <w:rPr>
          <w:noProof/>
          <w:lang w:val="fr-FR"/>
        </w:rPr>
        <w:t xml:space="preserve">Dans le cadre du budget de </w:t>
      </w:r>
      <w:r w:rsidR="001B2F58" w:rsidRPr="00DD03D6">
        <w:rPr>
          <w:noProof/>
          <w:lang w:val="fr-FR"/>
        </w:rPr>
        <w:t>2008</w:t>
      </w:r>
      <w:r w:rsidR="007B051D">
        <w:rPr>
          <w:noProof/>
          <w:lang w:val="fr-FR"/>
        </w:rPr>
        <w:t xml:space="preserve">, </w:t>
      </w:r>
      <w:r w:rsidR="001B2F58" w:rsidRPr="00DD03D6">
        <w:rPr>
          <w:noProof/>
          <w:lang w:val="fr-FR"/>
        </w:rPr>
        <w:t>9</w:t>
      </w:r>
      <w:r w:rsidR="007B051D">
        <w:rPr>
          <w:noProof/>
          <w:lang w:val="fr-FR"/>
        </w:rPr>
        <w:t>,</w:t>
      </w:r>
      <w:r w:rsidR="001B2F58" w:rsidRPr="00DD03D6">
        <w:rPr>
          <w:noProof/>
          <w:lang w:val="fr-FR"/>
        </w:rPr>
        <w:t>8 million</w:t>
      </w:r>
      <w:r w:rsidR="007B051D">
        <w:rPr>
          <w:noProof/>
          <w:lang w:val="fr-FR"/>
        </w:rPr>
        <w:t xml:space="preserve">s d’euros ont été affectés à la création de </w:t>
      </w:r>
      <w:r w:rsidR="001B2F58" w:rsidRPr="00DD03D6">
        <w:rPr>
          <w:noProof/>
          <w:lang w:val="fr-FR"/>
        </w:rPr>
        <w:t xml:space="preserve">140 </w:t>
      </w:r>
      <w:r w:rsidR="007B051D">
        <w:rPr>
          <w:noProof/>
          <w:lang w:val="fr-FR"/>
        </w:rPr>
        <w:t xml:space="preserve">postes d’équipe </w:t>
      </w:r>
      <w:r w:rsidR="00857FEC">
        <w:rPr>
          <w:noProof/>
          <w:lang w:val="fr-FR"/>
        </w:rPr>
        <w:t>pluri</w:t>
      </w:r>
      <w:r w:rsidR="007B051D">
        <w:rPr>
          <w:noProof/>
          <w:lang w:val="fr-FR"/>
        </w:rPr>
        <w:t>disciplinaire supplémentaires afin de fournir des services d’</w:t>
      </w:r>
      <w:r w:rsidR="002A0F39">
        <w:rPr>
          <w:noProof/>
          <w:lang w:val="fr-FR"/>
        </w:rPr>
        <w:t>évaluation</w:t>
      </w:r>
      <w:r w:rsidR="007B051D">
        <w:rPr>
          <w:noProof/>
          <w:lang w:val="fr-FR"/>
        </w:rPr>
        <w:t xml:space="preserve"> et </w:t>
      </w:r>
      <w:r w:rsidR="002A0F39">
        <w:rPr>
          <w:noProof/>
          <w:lang w:val="fr-FR"/>
        </w:rPr>
        <w:t>au titre d’activités permanentes à des enfants handicapés</w:t>
      </w:r>
      <w:r w:rsidR="001B2F58" w:rsidRPr="00DD03D6">
        <w:rPr>
          <w:noProof/>
          <w:lang w:val="fr-FR"/>
        </w:rPr>
        <w:t xml:space="preserve">. </w:t>
      </w:r>
      <w:r w:rsidR="002A0F39">
        <w:rPr>
          <w:noProof/>
          <w:lang w:val="fr-FR"/>
        </w:rPr>
        <w:t xml:space="preserve">Au titre du budget de 2009, </w:t>
      </w:r>
      <w:r w:rsidR="001B2F58" w:rsidRPr="00DD03D6">
        <w:rPr>
          <w:noProof/>
          <w:lang w:val="fr-FR"/>
        </w:rPr>
        <w:t>20 million</w:t>
      </w:r>
      <w:r w:rsidR="002A0F39">
        <w:rPr>
          <w:noProof/>
          <w:lang w:val="fr-FR"/>
        </w:rPr>
        <w:t xml:space="preserve">s d’euros supplémentaires ont été affectés aux services de santé et d’éducation dispensés aux enfants ayant des besoins spéciaux, dont </w:t>
      </w:r>
      <w:r w:rsidR="001B2F58" w:rsidRPr="00DD03D6">
        <w:rPr>
          <w:noProof/>
          <w:lang w:val="fr-FR"/>
        </w:rPr>
        <w:t>10 million</w:t>
      </w:r>
      <w:r w:rsidR="002A0F39">
        <w:rPr>
          <w:noProof/>
          <w:lang w:val="fr-FR"/>
        </w:rPr>
        <w:t xml:space="preserve">s ont permis de financer </w:t>
      </w:r>
      <w:r w:rsidR="001B2F58" w:rsidRPr="00DD03D6">
        <w:rPr>
          <w:noProof/>
          <w:lang w:val="fr-FR"/>
        </w:rPr>
        <w:t xml:space="preserve">125 </w:t>
      </w:r>
      <w:r w:rsidR="002A0F39">
        <w:rPr>
          <w:noProof/>
          <w:lang w:val="fr-FR"/>
        </w:rPr>
        <w:t xml:space="preserve">postes supplémentaires de </w:t>
      </w:r>
      <w:r w:rsidR="001B2F58" w:rsidRPr="00DD03D6">
        <w:rPr>
          <w:noProof/>
          <w:lang w:val="fr-FR"/>
        </w:rPr>
        <w:t>th</w:t>
      </w:r>
      <w:r w:rsidR="002A0F39">
        <w:rPr>
          <w:noProof/>
          <w:lang w:val="fr-FR"/>
        </w:rPr>
        <w:t>é</w:t>
      </w:r>
      <w:r w:rsidR="001B2F58" w:rsidRPr="00DD03D6">
        <w:rPr>
          <w:noProof/>
          <w:lang w:val="fr-FR"/>
        </w:rPr>
        <w:t>rap</w:t>
      </w:r>
      <w:r w:rsidR="002A0F39">
        <w:rPr>
          <w:noProof/>
          <w:lang w:val="fr-FR"/>
        </w:rPr>
        <w:t>eute à la Direction des services de santé en faveur des enfants d’âge scolaire</w:t>
      </w:r>
      <w:r w:rsidR="001B2F58" w:rsidRPr="00DD03D6">
        <w:rPr>
          <w:noProof/>
          <w:lang w:val="fr-FR"/>
        </w:rPr>
        <w:t>.</w:t>
      </w:r>
    </w:p>
    <w:p w:rsidR="001B2F58" w:rsidRPr="00DD03D6" w:rsidRDefault="00FD26A7" w:rsidP="00FD26A7">
      <w:pPr>
        <w:pStyle w:val="H23G"/>
        <w:ind w:firstLine="0"/>
        <w:rPr>
          <w:noProof/>
          <w:lang w:val="fr-FR" w:eastAsia="en-IE"/>
        </w:rPr>
      </w:pPr>
      <w:r>
        <w:rPr>
          <w:noProof/>
          <w:lang w:val="fr-FR" w:eastAsia="en-IE"/>
        </w:rPr>
        <w:lastRenderedPageBreak/>
        <w:t>Bureau du handicap et de la santé mentale</w:t>
      </w:r>
      <w:r w:rsidR="001B2F58" w:rsidRPr="00DD03D6">
        <w:rPr>
          <w:noProof/>
          <w:lang w:val="fr-FR" w:eastAsia="en-IE"/>
        </w:rPr>
        <w:t>, 2008-2012</w:t>
      </w:r>
    </w:p>
    <w:p w:rsidR="001B2F58" w:rsidRDefault="00FD26A7" w:rsidP="00FF0ECB">
      <w:pPr>
        <w:pStyle w:val="SingleTxtG"/>
        <w:numPr>
          <w:ilvl w:val="0"/>
          <w:numId w:val="3"/>
        </w:numPr>
        <w:ind w:left="1134" w:firstLine="0"/>
        <w:rPr>
          <w:noProof/>
          <w:lang w:val="fr-FR" w:eastAsia="en-IE"/>
        </w:rPr>
      </w:pPr>
      <w:r>
        <w:rPr>
          <w:noProof/>
          <w:lang w:val="fr-FR"/>
        </w:rPr>
        <w:t>E</w:t>
      </w:r>
      <w:r w:rsidR="001B2F58" w:rsidRPr="00DD03D6">
        <w:rPr>
          <w:noProof/>
          <w:lang w:val="fr-FR"/>
        </w:rPr>
        <w:t xml:space="preserve">n 2006, </w:t>
      </w:r>
      <w:r>
        <w:rPr>
          <w:noProof/>
          <w:lang w:val="fr-FR"/>
        </w:rPr>
        <w:t>une équipe intersectorielle a été créé</w:t>
      </w:r>
      <w:r w:rsidR="006529A2">
        <w:rPr>
          <w:noProof/>
          <w:lang w:val="fr-FR"/>
        </w:rPr>
        <w:t>e</w:t>
      </w:r>
      <w:r>
        <w:rPr>
          <w:noProof/>
          <w:lang w:val="fr-FR"/>
        </w:rPr>
        <w:t xml:space="preserve"> pour élaborer une approche commune de l’application, par le Ministère de la santé et le Ministère de l’éducation et de la formation, de la loi de 2005 sur le handicap et de la loi de 2004 sur l’éducation des personnes ayant des besoins éducatifs spéciaux </w:t>
      </w:r>
      <w:r w:rsidR="001B2F58" w:rsidRPr="00DD03D6">
        <w:rPr>
          <w:noProof/>
          <w:lang w:val="fr-FR"/>
        </w:rPr>
        <w:t xml:space="preserve">(EPSEN). </w:t>
      </w:r>
      <w:r>
        <w:rPr>
          <w:noProof/>
          <w:lang w:val="fr-FR"/>
        </w:rPr>
        <w:t>Cet</w:t>
      </w:r>
      <w:r w:rsidR="00E667E2">
        <w:rPr>
          <w:noProof/>
          <w:lang w:val="fr-FR"/>
        </w:rPr>
        <w:t>te</w:t>
      </w:r>
      <w:r>
        <w:rPr>
          <w:noProof/>
          <w:lang w:val="fr-FR"/>
        </w:rPr>
        <w:t xml:space="preserve"> équipe se compose de hauts fonctionnaires de</w:t>
      </w:r>
      <w:r w:rsidR="006529A2">
        <w:rPr>
          <w:noProof/>
          <w:lang w:val="fr-FR"/>
        </w:rPr>
        <w:t>s</w:t>
      </w:r>
      <w:r>
        <w:rPr>
          <w:noProof/>
          <w:lang w:val="fr-FR"/>
        </w:rPr>
        <w:t xml:space="preserve"> deux ministères et de représentants de la Direction des services de santé et du Conseil national de l’enseignement spécialisé</w:t>
      </w:r>
      <w:r w:rsidR="001B2F58" w:rsidRPr="00DD03D6">
        <w:rPr>
          <w:noProof/>
          <w:lang w:val="fr-FR"/>
        </w:rPr>
        <w:t xml:space="preserve">. </w:t>
      </w:r>
      <w:r>
        <w:rPr>
          <w:noProof/>
          <w:lang w:val="fr-FR"/>
        </w:rPr>
        <w:t xml:space="preserve">Le Bureau du handicap et de la santé mentale a été créé en </w:t>
      </w:r>
      <w:r w:rsidR="001B2F58" w:rsidRPr="00DD03D6">
        <w:rPr>
          <w:noProof/>
          <w:lang w:val="fr-FR"/>
        </w:rPr>
        <w:t xml:space="preserve">2008 </w:t>
      </w:r>
      <w:r>
        <w:rPr>
          <w:noProof/>
          <w:lang w:val="fr-FR"/>
        </w:rPr>
        <w:t xml:space="preserve">en vue d’améliorer la manière dont les services publics répondent aux besoins des personnes, y compris des enfants, présentant un handicap et des problèmes de santé mentale, en instaurant une </w:t>
      </w:r>
      <w:r w:rsidR="001B2F58" w:rsidRPr="00DD03D6">
        <w:rPr>
          <w:noProof/>
          <w:lang w:val="fr-FR"/>
        </w:rPr>
        <w:t xml:space="preserve">collaboration </w:t>
      </w:r>
      <w:r>
        <w:rPr>
          <w:noProof/>
          <w:lang w:val="fr-FR"/>
        </w:rPr>
        <w:t>plus étroite entre les ministères compétents</w:t>
      </w:r>
      <w:r w:rsidR="001B2F58" w:rsidRPr="00DD03D6">
        <w:rPr>
          <w:noProof/>
          <w:lang w:val="fr-FR"/>
        </w:rPr>
        <w:t xml:space="preserve">. </w:t>
      </w:r>
      <w:r>
        <w:rPr>
          <w:noProof/>
          <w:lang w:val="fr-FR"/>
        </w:rPr>
        <w:t>Il est notamment chargé de faciliter la prestation de services intégrés d’appui en matière de santé et d’éducation aux enfants ayant des besoins spéciaux</w:t>
      </w:r>
      <w:r w:rsidR="001B2F58" w:rsidRPr="00DD03D6">
        <w:rPr>
          <w:noProof/>
          <w:lang w:val="fr-FR" w:eastAsia="en-IE"/>
        </w:rPr>
        <w:t xml:space="preserve">. </w:t>
      </w:r>
      <w:r>
        <w:rPr>
          <w:noProof/>
          <w:lang w:val="fr-FR" w:eastAsia="en-IE"/>
        </w:rPr>
        <w:t xml:space="preserve">On lui </w:t>
      </w:r>
      <w:r>
        <w:rPr>
          <w:noProof/>
          <w:lang w:val="fr-FR"/>
        </w:rPr>
        <w:t xml:space="preserve">a confié la tâche de faire avancer l’application </w:t>
      </w:r>
      <w:r w:rsidR="00857FEC">
        <w:rPr>
          <w:noProof/>
          <w:lang w:val="fr-FR"/>
        </w:rPr>
        <w:t>de la partie</w:t>
      </w:r>
      <w:r>
        <w:rPr>
          <w:noProof/>
          <w:lang w:val="fr-FR"/>
        </w:rPr>
        <w:t xml:space="preserve"> </w:t>
      </w:r>
      <w:r w:rsidR="00857FEC">
        <w:rPr>
          <w:noProof/>
          <w:lang w:val="fr-FR"/>
        </w:rPr>
        <w:t>2</w:t>
      </w:r>
      <w:r>
        <w:rPr>
          <w:noProof/>
          <w:lang w:val="fr-FR"/>
        </w:rPr>
        <w:t xml:space="preserve"> de</w:t>
      </w:r>
      <w:r w:rsidR="00AB19FE">
        <w:rPr>
          <w:noProof/>
          <w:lang w:val="fr-FR"/>
        </w:rPr>
        <w:t xml:space="preserve"> la loi de 2005 sur le handicap, qui accorde aux personnes handicapées le droit à une évaluation indépendante de leurs besoins et celui de se faire remettre une liste des services proposés, et leur permet de déposer une plainte et, le cas échéant, de former un recours devant un </w:t>
      </w:r>
      <w:r w:rsidR="00AB19FE">
        <w:rPr>
          <w:lang w:val="fr-FR"/>
        </w:rPr>
        <w:t>agent indépendant chargé d’examiner les recours</w:t>
      </w:r>
      <w:r w:rsidR="00AB19FE" w:rsidRPr="00DD03D6">
        <w:rPr>
          <w:noProof/>
          <w:lang w:val="fr-FR" w:eastAsia="en-IE"/>
        </w:rPr>
        <w:t xml:space="preserve"> </w:t>
      </w:r>
      <w:r w:rsidR="00AB19FE">
        <w:rPr>
          <w:noProof/>
          <w:lang w:val="fr-FR" w:eastAsia="en-IE"/>
        </w:rPr>
        <w:t>présentés par des personnes handicapées</w:t>
      </w:r>
      <w:r w:rsidR="001B2F58" w:rsidRPr="00DD03D6">
        <w:rPr>
          <w:noProof/>
          <w:lang w:val="fr-FR" w:eastAsia="en-IE"/>
        </w:rPr>
        <w:t xml:space="preserve">. </w:t>
      </w:r>
      <w:r w:rsidR="00AB19FE">
        <w:rPr>
          <w:noProof/>
          <w:lang w:val="fr-FR" w:eastAsia="en-IE"/>
        </w:rPr>
        <w:t>L</w:t>
      </w:r>
      <w:r w:rsidR="00857FEC">
        <w:rPr>
          <w:noProof/>
          <w:lang w:val="fr-FR" w:eastAsia="en-IE"/>
        </w:rPr>
        <w:t xml:space="preserve">a partie 2 </w:t>
      </w:r>
      <w:r w:rsidR="00AB19FE">
        <w:rPr>
          <w:noProof/>
          <w:lang w:val="fr-FR" w:eastAsia="en-IE"/>
        </w:rPr>
        <w:t xml:space="preserve">de cette loi est entré en vigueur le </w:t>
      </w:r>
      <w:r w:rsidR="001B2F58" w:rsidRPr="00DD03D6">
        <w:rPr>
          <w:noProof/>
          <w:lang w:val="fr-FR"/>
        </w:rPr>
        <w:t>1</w:t>
      </w:r>
      <w:r w:rsidR="00AB19FE" w:rsidRPr="00AB19FE">
        <w:rPr>
          <w:noProof/>
          <w:vertAlign w:val="superscript"/>
          <w:lang w:val="fr-FR"/>
        </w:rPr>
        <w:t>er</w:t>
      </w:r>
      <w:r w:rsidR="00AB19FE">
        <w:rPr>
          <w:noProof/>
          <w:lang w:val="fr-FR"/>
        </w:rPr>
        <w:t xml:space="preserve"> juin</w:t>
      </w:r>
      <w:r w:rsidR="00E92D3C">
        <w:rPr>
          <w:noProof/>
          <w:lang w:val="fr-FR"/>
        </w:rPr>
        <w:t xml:space="preserve"> </w:t>
      </w:r>
      <w:r w:rsidR="001B2F58" w:rsidRPr="00DD03D6">
        <w:rPr>
          <w:noProof/>
          <w:lang w:val="fr-FR"/>
        </w:rPr>
        <w:t xml:space="preserve">2007 </w:t>
      </w:r>
      <w:r w:rsidR="00AB19FE">
        <w:rPr>
          <w:noProof/>
          <w:lang w:val="fr-FR"/>
        </w:rPr>
        <w:t>en ce qui concerne les enfants âgés de moins de cinq ans.</w:t>
      </w:r>
      <w:r w:rsidR="001B2F58" w:rsidRPr="00DD03D6">
        <w:rPr>
          <w:noProof/>
          <w:lang w:val="fr-FR"/>
        </w:rPr>
        <w:t xml:space="preserve"> </w:t>
      </w:r>
      <w:r w:rsidR="00AB19FE">
        <w:rPr>
          <w:noProof/>
          <w:lang w:val="fr-FR"/>
        </w:rPr>
        <w:t>Il avait été prévu de mettre pleinement en application à la fois la loi de 2005 sur le handicap et la loi de 2004 sur l’EPSEN en</w:t>
      </w:r>
      <w:r w:rsidR="001B2F58" w:rsidRPr="00DD03D6">
        <w:rPr>
          <w:noProof/>
          <w:lang w:val="fr-FR"/>
        </w:rPr>
        <w:t xml:space="preserve"> 2010 </w:t>
      </w:r>
      <w:r w:rsidR="00AB19FE">
        <w:rPr>
          <w:noProof/>
          <w:lang w:val="fr-FR"/>
        </w:rPr>
        <w:t>pour les enfants et les jeunes âgés de cinq à 18 ans</w:t>
      </w:r>
      <w:r w:rsidR="001B2F58" w:rsidRPr="00DD03D6">
        <w:rPr>
          <w:noProof/>
          <w:lang w:val="fr-FR"/>
        </w:rPr>
        <w:t xml:space="preserve">. </w:t>
      </w:r>
      <w:r w:rsidR="00AB19FE">
        <w:rPr>
          <w:noProof/>
          <w:lang w:val="fr-FR"/>
        </w:rPr>
        <w:t xml:space="preserve">Toutefois, en </w:t>
      </w:r>
      <w:r w:rsidR="001B2F58" w:rsidRPr="00DD03D6">
        <w:rPr>
          <w:noProof/>
          <w:lang w:val="fr-FR"/>
        </w:rPr>
        <w:t>2008</w:t>
      </w:r>
      <w:r w:rsidR="00AB19FE">
        <w:rPr>
          <w:noProof/>
          <w:lang w:val="fr-FR"/>
        </w:rPr>
        <w:t>, le Gouvernement d’alors a décidé, au vu de la situation financière, d’ajourner la poursuite de l’application des deux lois</w:t>
      </w:r>
      <w:r w:rsidR="001B2F58" w:rsidRPr="00DD03D6">
        <w:rPr>
          <w:noProof/>
          <w:lang w:val="fr-FR"/>
        </w:rPr>
        <w:t xml:space="preserve">. </w:t>
      </w:r>
      <w:r w:rsidR="006529A2">
        <w:rPr>
          <w:noProof/>
          <w:lang w:val="fr-FR"/>
        </w:rPr>
        <w:t>Cela étant, l’équipe inersectorielle</w:t>
      </w:r>
      <w:r w:rsidR="001B2F58" w:rsidRPr="00DD03D6">
        <w:rPr>
          <w:noProof/>
          <w:lang w:val="fr-FR"/>
        </w:rPr>
        <w:t xml:space="preserve"> </w:t>
      </w:r>
      <w:r w:rsidR="006529A2">
        <w:rPr>
          <w:noProof/>
          <w:lang w:val="fr-FR"/>
        </w:rPr>
        <w:t>continue de se réunir pour examiner des questions d’intérêt mutuel co</w:t>
      </w:r>
      <w:r w:rsidR="00BE4237">
        <w:rPr>
          <w:noProof/>
          <w:lang w:val="fr-FR"/>
        </w:rPr>
        <w:t>nc</w:t>
      </w:r>
      <w:r w:rsidR="006529A2">
        <w:rPr>
          <w:noProof/>
          <w:lang w:val="fr-FR"/>
        </w:rPr>
        <w:t>ernant les enfants handicapés</w:t>
      </w:r>
      <w:r w:rsidR="001B2F58" w:rsidRPr="00DD03D6">
        <w:rPr>
          <w:noProof/>
          <w:lang w:val="fr-FR" w:eastAsia="en-IE"/>
        </w:rPr>
        <w:t>.</w:t>
      </w:r>
    </w:p>
    <w:p w:rsidR="001B2F58" w:rsidRPr="00DD03D6" w:rsidRDefault="006529A2" w:rsidP="006529A2">
      <w:pPr>
        <w:pStyle w:val="H23G"/>
        <w:ind w:firstLine="0"/>
        <w:rPr>
          <w:noProof/>
          <w:lang w:val="fr-FR"/>
        </w:rPr>
      </w:pPr>
      <w:r>
        <w:rPr>
          <w:noProof/>
          <w:lang w:val="fr-FR"/>
        </w:rPr>
        <w:t xml:space="preserve">Programme de la Direction des services de santé visant à faire progresser les services destinés aux enfants et jeunes handicapés </w:t>
      </w:r>
      <w:r w:rsidR="001B2F58" w:rsidRPr="00DD03D6">
        <w:rPr>
          <w:noProof/>
          <w:lang w:val="fr-FR"/>
        </w:rPr>
        <w:t xml:space="preserve">– </w:t>
      </w:r>
      <w:r>
        <w:rPr>
          <w:noProof/>
          <w:lang w:val="fr-FR"/>
        </w:rPr>
        <w:t xml:space="preserve">dont l’exécution a commencé en </w:t>
      </w:r>
      <w:r w:rsidR="001B2F58" w:rsidRPr="00DD03D6">
        <w:rPr>
          <w:noProof/>
          <w:lang w:val="fr-FR"/>
        </w:rPr>
        <w:t>2010</w:t>
      </w:r>
    </w:p>
    <w:p w:rsidR="001B2F58" w:rsidRPr="00DD03D6" w:rsidRDefault="006529A2" w:rsidP="0032450D">
      <w:pPr>
        <w:pStyle w:val="SingleTxtG"/>
        <w:numPr>
          <w:ilvl w:val="0"/>
          <w:numId w:val="3"/>
        </w:numPr>
        <w:ind w:left="1134" w:firstLine="0"/>
        <w:rPr>
          <w:noProof/>
          <w:lang w:val="fr-FR"/>
        </w:rPr>
      </w:pPr>
      <w:r>
        <w:rPr>
          <w:noProof/>
          <w:lang w:val="fr-FR"/>
        </w:rPr>
        <w:t>E</w:t>
      </w:r>
      <w:r w:rsidR="001B2F58" w:rsidRPr="00DD03D6">
        <w:rPr>
          <w:noProof/>
          <w:lang w:val="fr-FR"/>
        </w:rPr>
        <w:t xml:space="preserve">n 2008, </w:t>
      </w:r>
      <w:r w:rsidR="00BE4237">
        <w:rPr>
          <w:noProof/>
          <w:lang w:val="fr-FR"/>
        </w:rPr>
        <w:t>un Groupe n</w:t>
      </w:r>
      <w:r w:rsidR="001B2F58" w:rsidRPr="00DD03D6">
        <w:rPr>
          <w:noProof/>
          <w:lang w:val="fr-FR"/>
        </w:rPr>
        <w:t xml:space="preserve">ational </w:t>
      </w:r>
      <w:r w:rsidR="00BE4237">
        <w:rPr>
          <w:noProof/>
          <w:lang w:val="fr-FR"/>
        </w:rPr>
        <w:t xml:space="preserve">de référence sur les services </w:t>
      </w:r>
      <w:r w:rsidR="00857FEC">
        <w:rPr>
          <w:noProof/>
          <w:lang w:val="fr-FR"/>
        </w:rPr>
        <w:t>pluri</w:t>
      </w:r>
      <w:r w:rsidR="00BE4237">
        <w:rPr>
          <w:noProof/>
          <w:lang w:val="fr-FR"/>
        </w:rPr>
        <w:t xml:space="preserve">disciplinaires destinés aux enfants handicapés âgés de </w:t>
      </w:r>
      <w:r w:rsidR="0032589C">
        <w:rPr>
          <w:noProof/>
          <w:lang w:val="fr-FR"/>
        </w:rPr>
        <w:t>5</w:t>
      </w:r>
      <w:r w:rsidR="00BE4237">
        <w:rPr>
          <w:noProof/>
          <w:lang w:val="fr-FR"/>
        </w:rPr>
        <w:t xml:space="preserve"> à 18 ans s’est réuni en vue d’établir à titre consultatif un rapport à soumettre à la Direction des services de santé dans le contexte de l’application des lois sur l’</w:t>
      </w:r>
      <w:r w:rsidR="001B2F58" w:rsidRPr="00DD03D6">
        <w:rPr>
          <w:noProof/>
          <w:lang w:val="fr-FR"/>
        </w:rPr>
        <w:t xml:space="preserve">EPSEN </w:t>
      </w:r>
      <w:r w:rsidR="00BE4237">
        <w:rPr>
          <w:noProof/>
          <w:lang w:val="fr-FR"/>
        </w:rPr>
        <w:t>et le handicap</w:t>
      </w:r>
      <w:r w:rsidR="001B2F58" w:rsidRPr="00DD03D6">
        <w:rPr>
          <w:noProof/>
          <w:lang w:val="fr-FR"/>
        </w:rPr>
        <w:t xml:space="preserve">. </w:t>
      </w:r>
      <w:r w:rsidR="00BE4237">
        <w:rPr>
          <w:noProof/>
          <w:lang w:val="fr-FR"/>
        </w:rPr>
        <w:t xml:space="preserve">Soumis en décembre </w:t>
      </w:r>
      <w:r w:rsidR="001B2F58" w:rsidRPr="00DD03D6">
        <w:rPr>
          <w:noProof/>
          <w:lang w:val="fr-FR"/>
        </w:rPr>
        <w:t xml:space="preserve">2009, </w:t>
      </w:r>
      <w:r w:rsidR="00BE4237">
        <w:rPr>
          <w:noProof/>
          <w:lang w:val="fr-FR"/>
        </w:rPr>
        <w:t>ce rapport recomma</w:t>
      </w:r>
      <w:r w:rsidR="001B2F58" w:rsidRPr="00DD03D6">
        <w:rPr>
          <w:noProof/>
          <w:lang w:val="fr-FR"/>
        </w:rPr>
        <w:t>nd</w:t>
      </w:r>
      <w:r w:rsidR="00BE4237">
        <w:rPr>
          <w:noProof/>
          <w:lang w:val="fr-FR"/>
        </w:rPr>
        <w:t>e un</w:t>
      </w:r>
      <w:r w:rsidR="001B2F58" w:rsidRPr="00DD03D6">
        <w:rPr>
          <w:noProof/>
          <w:lang w:val="fr-FR"/>
        </w:rPr>
        <w:t xml:space="preserve"> r</w:t>
      </w:r>
      <w:r w:rsidR="00BE4237">
        <w:rPr>
          <w:noProof/>
          <w:lang w:val="fr-FR"/>
        </w:rPr>
        <w:t>é</w:t>
      </w:r>
      <w:r w:rsidR="001B2F58" w:rsidRPr="00DD03D6">
        <w:rPr>
          <w:noProof/>
          <w:lang w:val="fr-FR"/>
        </w:rPr>
        <w:t>align</w:t>
      </w:r>
      <w:r w:rsidR="00BE4237">
        <w:rPr>
          <w:noProof/>
          <w:lang w:val="fr-FR"/>
        </w:rPr>
        <w:t>e</w:t>
      </w:r>
      <w:r w:rsidR="001B2F58" w:rsidRPr="00DD03D6">
        <w:rPr>
          <w:noProof/>
          <w:lang w:val="fr-FR"/>
        </w:rPr>
        <w:t xml:space="preserve">ment </w:t>
      </w:r>
      <w:r w:rsidR="00BE4237">
        <w:rPr>
          <w:noProof/>
          <w:lang w:val="fr-FR"/>
        </w:rPr>
        <w:t>des ressources publiques et privées existantes afin de réaliser un modèle plus intégré de soins et d’appui à l’intention des enfants handicapés d’âge scolaire</w:t>
      </w:r>
      <w:r w:rsidR="001B2F58" w:rsidRPr="00DD03D6">
        <w:rPr>
          <w:noProof/>
          <w:lang w:val="fr-FR"/>
        </w:rPr>
        <w:t>.</w:t>
      </w:r>
    </w:p>
    <w:p w:rsidR="001B2F58" w:rsidRPr="00DD03D6" w:rsidRDefault="00BE4237" w:rsidP="0032450D">
      <w:pPr>
        <w:pStyle w:val="SingleTxtG"/>
        <w:numPr>
          <w:ilvl w:val="0"/>
          <w:numId w:val="3"/>
        </w:numPr>
        <w:ind w:left="1134" w:firstLine="0"/>
        <w:rPr>
          <w:noProof/>
          <w:lang w:val="fr-FR"/>
        </w:rPr>
      </w:pPr>
      <w:r>
        <w:rPr>
          <w:noProof/>
          <w:lang w:val="fr-FR"/>
        </w:rPr>
        <w:t>À la suite de ce rapport, la Direction des services de santé a mis en place en 2010 un programme visant à faire progresser les services destinés aux enfants handicapés jusqu’à l’âge de 18 ans</w:t>
      </w:r>
      <w:r w:rsidR="001B2F58" w:rsidRPr="00DD03D6">
        <w:rPr>
          <w:noProof/>
          <w:lang w:val="fr-FR"/>
        </w:rPr>
        <w:t xml:space="preserve">, </w:t>
      </w:r>
      <w:r>
        <w:rPr>
          <w:noProof/>
          <w:lang w:val="fr-FR"/>
        </w:rPr>
        <w:t>bénéficiant de l’appui d’un Groupe n</w:t>
      </w:r>
      <w:r w:rsidR="001B2F58" w:rsidRPr="00DD03D6">
        <w:rPr>
          <w:noProof/>
          <w:lang w:val="fr-FR"/>
        </w:rPr>
        <w:t xml:space="preserve">ational </w:t>
      </w:r>
      <w:r>
        <w:rPr>
          <w:noProof/>
          <w:lang w:val="fr-FR"/>
        </w:rPr>
        <w:t>de c</w:t>
      </w:r>
      <w:r w:rsidR="001B2F58" w:rsidRPr="00DD03D6">
        <w:rPr>
          <w:noProof/>
          <w:lang w:val="fr-FR"/>
        </w:rPr>
        <w:t>oordinati</w:t>
      </w:r>
      <w:r>
        <w:rPr>
          <w:noProof/>
          <w:lang w:val="fr-FR"/>
        </w:rPr>
        <w:t>on composé de représentants des Min</w:t>
      </w:r>
      <w:r w:rsidR="00BF3AE8">
        <w:rPr>
          <w:noProof/>
          <w:lang w:val="fr-FR"/>
        </w:rPr>
        <w:t>is</w:t>
      </w:r>
      <w:r>
        <w:rPr>
          <w:noProof/>
          <w:lang w:val="fr-FR"/>
        </w:rPr>
        <w:t>tères de la santé et de l’éducation et de la formation</w:t>
      </w:r>
      <w:r w:rsidR="001B2F58" w:rsidRPr="00DD03D6">
        <w:rPr>
          <w:noProof/>
          <w:lang w:val="fr-FR"/>
        </w:rPr>
        <w:t xml:space="preserve">. </w:t>
      </w:r>
      <w:r>
        <w:rPr>
          <w:noProof/>
          <w:lang w:val="fr-FR"/>
        </w:rPr>
        <w:t>Ce</w:t>
      </w:r>
      <w:r w:rsidR="001B2F58" w:rsidRPr="00DD03D6">
        <w:rPr>
          <w:noProof/>
          <w:lang w:val="fr-FR"/>
        </w:rPr>
        <w:t xml:space="preserve"> programme, </w:t>
      </w:r>
      <w:r>
        <w:rPr>
          <w:noProof/>
          <w:lang w:val="fr-FR"/>
        </w:rPr>
        <w:t xml:space="preserve">dont l’exécution se poursuit, vise à remédier à un certain nombre de problèmes essentiels </w:t>
      </w:r>
      <w:r w:rsidR="00A919EB">
        <w:rPr>
          <w:noProof/>
          <w:lang w:val="fr-FR"/>
        </w:rPr>
        <w:t>en rapport avec les services destinés aux enfants</w:t>
      </w:r>
      <w:r w:rsidR="00BF3AE8">
        <w:rPr>
          <w:noProof/>
          <w:lang w:val="fr-FR"/>
        </w:rPr>
        <w:t xml:space="preserve"> </w:t>
      </w:r>
      <w:r w:rsidR="00A919EB">
        <w:rPr>
          <w:noProof/>
          <w:lang w:val="fr-FR"/>
        </w:rPr>
        <w:t xml:space="preserve">handicapés, notamment l’inégalité d’accès aux services due </w:t>
      </w:r>
      <w:r w:rsidR="00BF3AE8">
        <w:rPr>
          <w:noProof/>
          <w:lang w:val="fr-FR"/>
        </w:rPr>
        <w:t>à un développement disparate de ces services à travers le pays</w:t>
      </w:r>
      <w:r w:rsidR="001B2F58" w:rsidRPr="00DD03D6">
        <w:rPr>
          <w:noProof/>
          <w:lang w:val="fr-FR"/>
        </w:rPr>
        <w:t xml:space="preserve">. </w:t>
      </w:r>
      <w:r w:rsidR="00BF3AE8">
        <w:rPr>
          <w:noProof/>
          <w:lang w:val="fr-FR"/>
        </w:rPr>
        <w:t>Le projet d’ensemble consiste à clarifier les possibilités d’accès a</w:t>
      </w:r>
      <w:r w:rsidR="00DB697F">
        <w:rPr>
          <w:noProof/>
          <w:lang w:val="fr-FR"/>
        </w:rPr>
        <w:t>ux</w:t>
      </w:r>
      <w:r w:rsidR="00BF3AE8">
        <w:rPr>
          <w:noProof/>
          <w:lang w:val="fr-FR"/>
        </w:rPr>
        <w:t xml:space="preserve"> services pour tous les enfants handicapés, en fonction de leurs besoins, les secteurs de la santé et de l’éducation se concertant pour aider ces enfants à réaliser toutes leurs potentialités</w:t>
      </w:r>
      <w:r w:rsidR="001B2F58" w:rsidRPr="00DD03D6">
        <w:rPr>
          <w:noProof/>
          <w:lang w:val="fr-FR"/>
        </w:rPr>
        <w:t>.</w:t>
      </w:r>
    </w:p>
    <w:p w:rsidR="001B2F58" w:rsidRPr="00DD03D6" w:rsidRDefault="00BF3AE8" w:rsidP="00BF3AE8">
      <w:pPr>
        <w:pStyle w:val="H23G"/>
        <w:ind w:firstLine="0"/>
        <w:rPr>
          <w:noProof/>
          <w:lang w:val="fr-FR"/>
        </w:rPr>
      </w:pPr>
      <w:r>
        <w:rPr>
          <w:noProof/>
          <w:lang w:val="fr-FR"/>
        </w:rPr>
        <w:t xml:space="preserve">Étude de la Direction des services de santé sur l’autisme </w:t>
      </w:r>
    </w:p>
    <w:p w:rsidR="001B2F58" w:rsidRPr="00DD03D6" w:rsidRDefault="0080144A" w:rsidP="00865D37">
      <w:pPr>
        <w:pStyle w:val="SingleTxtG"/>
        <w:numPr>
          <w:ilvl w:val="0"/>
          <w:numId w:val="3"/>
        </w:numPr>
        <w:ind w:left="1134" w:firstLine="0"/>
        <w:rPr>
          <w:noProof/>
          <w:lang w:val="fr-FR"/>
        </w:rPr>
      </w:pPr>
      <w:r>
        <w:rPr>
          <w:noProof/>
          <w:lang w:val="fr-FR"/>
        </w:rPr>
        <w:t xml:space="preserve">En 2012, la Direction des services de santé a publié </w:t>
      </w:r>
      <w:r w:rsidRPr="0080144A">
        <w:rPr>
          <w:i/>
          <w:noProof/>
          <w:lang w:val="fr-FR"/>
        </w:rPr>
        <w:t>l’</w:t>
      </w:r>
      <w:r>
        <w:rPr>
          <w:i/>
          <w:noProof/>
          <w:lang w:val="fr-FR"/>
        </w:rPr>
        <w:t xml:space="preserve">Étude nationale des services aux personnes souffrant d’autisme : passé, présent et voie à suivre </w:t>
      </w:r>
      <w:r>
        <w:rPr>
          <w:noProof/>
          <w:lang w:val="fr-FR"/>
        </w:rPr>
        <w:t>(</w:t>
      </w:r>
      <w:r w:rsidR="001B2F58" w:rsidRPr="0080144A">
        <w:rPr>
          <w:i/>
          <w:noProof/>
          <w:lang w:val="fr-FR"/>
        </w:rPr>
        <w:t>National</w:t>
      </w:r>
      <w:r w:rsidR="001B2F58" w:rsidRPr="00DD03D6">
        <w:rPr>
          <w:i/>
          <w:noProof/>
          <w:lang w:val="fr-FR"/>
        </w:rPr>
        <w:t xml:space="preserve"> Review of Autism Services: Past, Present and Way Forward</w:t>
      </w:r>
      <w:r>
        <w:rPr>
          <w:noProof/>
          <w:lang w:val="fr-FR"/>
        </w:rPr>
        <w:t xml:space="preserve">). Elle </w:t>
      </w:r>
      <w:r w:rsidR="001B2F58" w:rsidRPr="00DD03D6">
        <w:rPr>
          <w:noProof/>
          <w:lang w:val="fr-FR"/>
        </w:rPr>
        <w:t>recom</w:t>
      </w:r>
      <w:r>
        <w:rPr>
          <w:noProof/>
          <w:lang w:val="fr-FR"/>
        </w:rPr>
        <w:t>ma</w:t>
      </w:r>
      <w:r w:rsidR="001B2F58" w:rsidRPr="00DD03D6">
        <w:rPr>
          <w:noProof/>
          <w:lang w:val="fr-FR"/>
        </w:rPr>
        <w:t>nd</w:t>
      </w:r>
      <w:r>
        <w:rPr>
          <w:noProof/>
          <w:lang w:val="fr-FR"/>
        </w:rPr>
        <w:t xml:space="preserve">e le passage à un modèle plus cohérent de prestation de services conformément </w:t>
      </w:r>
      <w:r w:rsidR="00886C51">
        <w:rPr>
          <w:noProof/>
          <w:lang w:val="fr-FR"/>
        </w:rPr>
        <w:t>à la politique d’intégration par l’égalisation de l’accès des personnes handicapées aux services appropriés</w:t>
      </w:r>
      <w:r w:rsidR="001B2F58" w:rsidRPr="00DD03D6">
        <w:rPr>
          <w:noProof/>
          <w:lang w:val="fr-FR"/>
        </w:rPr>
        <w:t xml:space="preserve">. </w:t>
      </w:r>
      <w:r w:rsidR="00886C51">
        <w:rPr>
          <w:noProof/>
          <w:lang w:val="fr-FR"/>
        </w:rPr>
        <w:t xml:space="preserve">Par ailleurs, elle fait sien le cadre </w:t>
      </w:r>
      <w:r w:rsidR="00DB697F">
        <w:rPr>
          <w:noProof/>
          <w:lang w:val="fr-FR"/>
        </w:rPr>
        <w:t>directeur</w:t>
      </w:r>
      <w:r w:rsidR="00886C51">
        <w:rPr>
          <w:noProof/>
          <w:lang w:val="fr-FR"/>
        </w:rPr>
        <w:t xml:space="preserve"> énoncé dans le </w:t>
      </w:r>
      <w:r w:rsidR="00886C51" w:rsidRPr="00886C51">
        <w:rPr>
          <w:i/>
          <w:noProof/>
          <w:lang w:val="fr-FR"/>
        </w:rPr>
        <w:t xml:space="preserve">Rapport du Groupe national de référence sur </w:t>
      </w:r>
      <w:r w:rsidR="00886C51" w:rsidRPr="00886C51">
        <w:rPr>
          <w:i/>
          <w:noProof/>
          <w:lang w:val="fr-FR"/>
        </w:rPr>
        <w:lastRenderedPageBreak/>
        <w:t>les services multidisciplinaires destinés aux enfants handicapés âgés de cinq à 18 ans</w:t>
      </w:r>
      <w:r w:rsidR="00886C51">
        <w:rPr>
          <w:noProof/>
          <w:lang w:val="fr-FR"/>
        </w:rPr>
        <w:t xml:space="preserve"> (</w:t>
      </w:r>
      <w:r w:rsidR="001B2F58" w:rsidRPr="00DD03D6">
        <w:rPr>
          <w:i/>
          <w:iCs/>
          <w:noProof/>
          <w:lang w:val="fr-FR"/>
        </w:rPr>
        <w:t>Report of the National Reference Group on Multidisciplinary Disability Services for Children aged 5-18</w:t>
      </w:r>
      <w:r w:rsidR="00886C51">
        <w:rPr>
          <w:iCs/>
          <w:noProof/>
          <w:lang w:val="fr-FR"/>
        </w:rPr>
        <w:t>)</w:t>
      </w:r>
      <w:r w:rsidR="001B2F58" w:rsidRPr="00DD03D6">
        <w:rPr>
          <w:noProof/>
          <w:lang w:val="fr-FR"/>
        </w:rPr>
        <w:t xml:space="preserve"> (</w:t>
      </w:r>
      <w:r w:rsidR="00886C51">
        <w:rPr>
          <w:noProof/>
          <w:lang w:val="fr-FR"/>
        </w:rPr>
        <w:t>Direction des services de santé</w:t>
      </w:r>
      <w:r w:rsidR="001B2F58" w:rsidRPr="00DD03D6">
        <w:rPr>
          <w:noProof/>
          <w:lang w:val="fr-FR"/>
        </w:rPr>
        <w:t xml:space="preserve">, 2009). </w:t>
      </w:r>
      <w:r w:rsidR="00886C51">
        <w:rPr>
          <w:noProof/>
          <w:lang w:val="fr-FR"/>
        </w:rPr>
        <w:t>Les s</w:t>
      </w:r>
      <w:r w:rsidR="001B2F58" w:rsidRPr="00DD03D6">
        <w:rPr>
          <w:noProof/>
          <w:lang w:val="fr-FR"/>
        </w:rPr>
        <w:t xml:space="preserve">ervices </w:t>
      </w:r>
      <w:r w:rsidR="00886C51">
        <w:rPr>
          <w:noProof/>
          <w:lang w:val="fr-FR"/>
        </w:rPr>
        <w:t>destinés aux enfants et aux jeunes jusqu’à l’âge de 18 ans souffrant d’autisme seront réorganisés dans le cadre du Programme visant à faire progresser les services destinés aux enfants et jeunes handicapés</w:t>
      </w:r>
      <w:r w:rsidR="00E92D3C">
        <w:rPr>
          <w:noProof/>
          <w:lang w:val="fr-FR"/>
        </w:rPr>
        <w:t xml:space="preserve"> </w:t>
      </w:r>
      <w:r w:rsidR="001B2F58" w:rsidRPr="00DD03D6">
        <w:rPr>
          <w:noProof/>
          <w:lang w:val="fr-FR"/>
        </w:rPr>
        <w:t xml:space="preserve">(0-18 </w:t>
      </w:r>
      <w:r w:rsidR="00886C51">
        <w:rPr>
          <w:noProof/>
          <w:lang w:val="fr-FR"/>
        </w:rPr>
        <w:t>ans</w:t>
      </w:r>
      <w:r w:rsidR="001B2F58" w:rsidRPr="00DD03D6">
        <w:rPr>
          <w:noProof/>
          <w:lang w:val="fr-FR"/>
        </w:rPr>
        <w:t>).</w:t>
      </w:r>
    </w:p>
    <w:p w:rsidR="001B2F58" w:rsidRPr="00DD03D6" w:rsidRDefault="001B2F58" w:rsidP="00CF67BD">
      <w:pPr>
        <w:pStyle w:val="H23G"/>
        <w:ind w:firstLine="0"/>
        <w:rPr>
          <w:bCs/>
          <w:noProof/>
          <w:lang w:val="fr-FR"/>
        </w:rPr>
      </w:pPr>
      <w:r w:rsidRPr="00DD03D6">
        <w:rPr>
          <w:noProof/>
          <w:lang w:val="fr-FR"/>
        </w:rPr>
        <w:t>R</w:t>
      </w:r>
      <w:r w:rsidR="00CF67BD">
        <w:rPr>
          <w:noProof/>
          <w:lang w:val="fr-FR"/>
        </w:rPr>
        <w:t>apport du Groupe de travail sur les soins temporaires</w:t>
      </w:r>
      <w:r w:rsidRPr="00DD03D6">
        <w:rPr>
          <w:noProof/>
          <w:lang w:val="fr-FR"/>
        </w:rPr>
        <w:t>/</w:t>
      </w:r>
      <w:r w:rsidR="00CF67BD">
        <w:rPr>
          <w:noProof/>
          <w:lang w:val="fr-FR"/>
        </w:rPr>
        <w:t xml:space="preserve">résidentiels fournis </w:t>
      </w:r>
      <w:r w:rsidR="0032589C">
        <w:rPr>
          <w:noProof/>
          <w:lang w:val="fr-FR"/>
        </w:rPr>
        <w:br/>
      </w:r>
      <w:r w:rsidR="00CF67BD">
        <w:rPr>
          <w:noProof/>
          <w:lang w:val="fr-FR"/>
        </w:rPr>
        <w:t>par des familles d’accueil dans des structures de proximité</w:t>
      </w:r>
      <w:r w:rsidRPr="00DD03D6">
        <w:rPr>
          <w:noProof/>
          <w:lang w:val="fr-FR"/>
        </w:rPr>
        <w:t xml:space="preserve"> </w:t>
      </w:r>
    </w:p>
    <w:p w:rsidR="001B2F58" w:rsidRPr="00DD03D6" w:rsidRDefault="00CF67BD" w:rsidP="003F13B8">
      <w:pPr>
        <w:pStyle w:val="SingleTxtG"/>
        <w:numPr>
          <w:ilvl w:val="0"/>
          <w:numId w:val="3"/>
        </w:numPr>
        <w:ind w:left="1134" w:firstLine="0"/>
        <w:rPr>
          <w:noProof/>
          <w:lang w:val="fr-FR"/>
        </w:rPr>
      </w:pPr>
      <w:r>
        <w:rPr>
          <w:noProof/>
          <w:lang w:val="fr-FR"/>
        </w:rPr>
        <w:t xml:space="preserve">Ce </w:t>
      </w:r>
      <w:r w:rsidR="0032589C">
        <w:rPr>
          <w:noProof/>
          <w:lang w:val="fr-FR"/>
        </w:rPr>
        <w:t>g</w:t>
      </w:r>
      <w:r>
        <w:rPr>
          <w:noProof/>
          <w:lang w:val="fr-FR"/>
        </w:rPr>
        <w:t xml:space="preserve">roupe de travail de la Direction des services de santé </w:t>
      </w:r>
      <w:r w:rsidR="008F58FE">
        <w:rPr>
          <w:noProof/>
          <w:lang w:val="fr-FR"/>
        </w:rPr>
        <w:t xml:space="preserve">a procédé à un tour d’horizon </w:t>
      </w:r>
      <w:r w:rsidR="001B2F58" w:rsidRPr="00DD03D6">
        <w:rPr>
          <w:noProof/>
          <w:lang w:val="fr-FR"/>
        </w:rPr>
        <w:t xml:space="preserve">national </w:t>
      </w:r>
      <w:r w:rsidR="008F58FE">
        <w:rPr>
          <w:noProof/>
          <w:lang w:val="fr-FR"/>
        </w:rPr>
        <w:t xml:space="preserve">des modèles de soins temporaires et résidentiels fournis par des familles d’accueil dans des structures de proximité afin de </w:t>
      </w:r>
      <w:r w:rsidR="001B2F58" w:rsidRPr="00DD03D6">
        <w:rPr>
          <w:noProof/>
          <w:lang w:val="fr-FR"/>
        </w:rPr>
        <w:t>d</w:t>
      </w:r>
      <w:r w:rsidR="008F58FE">
        <w:rPr>
          <w:noProof/>
          <w:lang w:val="fr-FR"/>
        </w:rPr>
        <w:t>é</w:t>
      </w:r>
      <w:r w:rsidR="001B2F58" w:rsidRPr="00DD03D6">
        <w:rPr>
          <w:noProof/>
          <w:lang w:val="fr-FR"/>
        </w:rPr>
        <w:t>termine</w:t>
      </w:r>
      <w:r w:rsidR="008F58FE">
        <w:rPr>
          <w:noProof/>
          <w:lang w:val="fr-FR"/>
        </w:rPr>
        <w:t xml:space="preserve">r la </w:t>
      </w:r>
      <w:r w:rsidR="001B2F58" w:rsidRPr="00DD03D6">
        <w:rPr>
          <w:noProof/>
          <w:lang w:val="fr-FR"/>
        </w:rPr>
        <w:t>viabilit</w:t>
      </w:r>
      <w:r w:rsidR="008F58FE">
        <w:rPr>
          <w:noProof/>
          <w:lang w:val="fr-FR"/>
        </w:rPr>
        <w:t>é et l’évolution future de ces modè</w:t>
      </w:r>
      <w:r w:rsidR="001B2F58" w:rsidRPr="00DD03D6">
        <w:rPr>
          <w:noProof/>
          <w:lang w:val="fr-FR"/>
        </w:rPr>
        <w:t>l</w:t>
      </w:r>
      <w:r w:rsidR="008F58FE">
        <w:rPr>
          <w:noProof/>
          <w:lang w:val="fr-FR"/>
        </w:rPr>
        <w:t>e</w:t>
      </w:r>
      <w:r w:rsidR="001B2F58" w:rsidRPr="00DD03D6">
        <w:rPr>
          <w:noProof/>
          <w:lang w:val="fr-FR"/>
        </w:rPr>
        <w:t xml:space="preserve">s </w:t>
      </w:r>
      <w:r w:rsidR="008F58FE">
        <w:rPr>
          <w:noProof/>
          <w:lang w:val="fr-FR"/>
        </w:rPr>
        <w:t xml:space="preserve">de prestation de </w:t>
      </w:r>
      <w:r w:rsidR="001B2F58" w:rsidRPr="00DD03D6">
        <w:rPr>
          <w:noProof/>
          <w:lang w:val="fr-FR"/>
        </w:rPr>
        <w:t>service</w:t>
      </w:r>
      <w:r w:rsidR="008F58FE">
        <w:rPr>
          <w:noProof/>
          <w:lang w:val="fr-FR"/>
        </w:rPr>
        <w:t>s</w:t>
      </w:r>
      <w:r w:rsidR="001B2F58" w:rsidRPr="00DD03D6">
        <w:rPr>
          <w:noProof/>
          <w:lang w:val="fr-FR"/>
        </w:rPr>
        <w:t xml:space="preserve"> </w:t>
      </w:r>
      <w:r w:rsidR="008F58FE">
        <w:rPr>
          <w:noProof/>
          <w:lang w:val="fr-FR"/>
        </w:rPr>
        <w:t>aux personnes atteintes de handicaps intellectuels</w:t>
      </w:r>
      <w:r w:rsidR="001B2F58" w:rsidRPr="00DD03D6">
        <w:rPr>
          <w:noProof/>
          <w:lang w:val="fr-FR"/>
        </w:rPr>
        <w:t xml:space="preserve">. </w:t>
      </w:r>
      <w:r w:rsidR="008F58FE">
        <w:rPr>
          <w:noProof/>
          <w:lang w:val="fr-FR"/>
        </w:rPr>
        <w:t xml:space="preserve">Ce groupe a constaté que ce service avait été utilisé par </w:t>
      </w:r>
      <w:r w:rsidR="001B2F58" w:rsidRPr="00DD03D6">
        <w:rPr>
          <w:noProof/>
          <w:lang w:val="fr-FR"/>
        </w:rPr>
        <w:t xml:space="preserve">263 </w:t>
      </w:r>
      <w:r w:rsidR="008F58FE">
        <w:rPr>
          <w:noProof/>
          <w:lang w:val="fr-FR"/>
        </w:rPr>
        <w:t xml:space="preserve">enfants handicapés en </w:t>
      </w:r>
      <w:r w:rsidR="001B2F58" w:rsidRPr="00DD03D6">
        <w:rPr>
          <w:noProof/>
          <w:lang w:val="fr-FR"/>
        </w:rPr>
        <w:t>2011.</w:t>
      </w:r>
      <w:r w:rsidR="00B32F00" w:rsidRPr="00DD03D6">
        <w:rPr>
          <w:noProof/>
          <w:lang w:val="fr-FR"/>
        </w:rPr>
        <w:t xml:space="preserve"> </w:t>
      </w:r>
      <w:r w:rsidR="008F58FE">
        <w:rPr>
          <w:noProof/>
          <w:lang w:val="fr-FR"/>
        </w:rPr>
        <w:t xml:space="preserve">Son rapport, publié en </w:t>
      </w:r>
      <w:r w:rsidR="001B2F58" w:rsidRPr="00DD03D6">
        <w:rPr>
          <w:noProof/>
          <w:lang w:val="fr-FR"/>
        </w:rPr>
        <w:t>2012</w:t>
      </w:r>
      <w:r w:rsidR="008F58FE">
        <w:rPr>
          <w:noProof/>
          <w:lang w:val="fr-FR"/>
        </w:rPr>
        <w:t>, présente un certain nombre de recomma</w:t>
      </w:r>
      <w:r w:rsidR="001B2F58" w:rsidRPr="00DD03D6">
        <w:rPr>
          <w:noProof/>
          <w:lang w:val="fr-FR"/>
        </w:rPr>
        <w:t xml:space="preserve">ndations </w:t>
      </w:r>
      <w:r w:rsidR="008F58FE">
        <w:rPr>
          <w:noProof/>
          <w:lang w:val="fr-FR"/>
        </w:rPr>
        <w:t xml:space="preserve">en matière d’effectifs, de financement et de gouvernance pour ce type de soins </w:t>
      </w:r>
      <w:r w:rsidR="001B2F58" w:rsidRPr="00DD03D6">
        <w:rPr>
          <w:noProof/>
          <w:lang w:val="fr-FR"/>
        </w:rPr>
        <w:t>(</w:t>
      </w:r>
      <w:r w:rsidR="008F58FE">
        <w:rPr>
          <w:noProof/>
          <w:lang w:val="fr-FR"/>
        </w:rPr>
        <w:t>Direction des services de santé</w:t>
      </w:r>
      <w:r w:rsidR="001B2F58" w:rsidRPr="00DD03D6">
        <w:rPr>
          <w:noProof/>
          <w:lang w:val="fr-FR"/>
        </w:rPr>
        <w:t>, 2012c).</w:t>
      </w:r>
    </w:p>
    <w:p w:rsidR="001B2F58" w:rsidRPr="00DD03D6" w:rsidRDefault="008F58FE" w:rsidP="008F58FE">
      <w:pPr>
        <w:pStyle w:val="H23G"/>
        <w:ind w:firstLine="0"/>
        <w:rPr>
          <w:noProof/>
          <w:lang w:val="fr-FR"/>
        </w:rPr>
      </w:pPr>
      <w:r>
        <w:rPr>
          <w:noProof/>
          <w:lang w:val="fr-FR"/>
        </w:rPr>
        <w:t xml:space="preserve">Stratégie nationale de logement en faveur des personnes handicapées </w:t>
      </w:r>
    </w:p>
    <w:p w:rsidR="001B2F58" w:rsidRPr="00DD03D6" w:rsidRDefault="004E7C43" w:rsidP="00865D37">
      <w:pPr>
        <w:pStyle w:val="SingleTxtG"/>
        <w:numPr>
          <w:ilvl w:val="0"/>
          <w:numId w:val="3"/>
        </w:numPr>
        <w:ind w:left="1134" w:firstLine="0"/>
        <w:rPr>
          <w:b/>
          <w:bCs/>
          <w:i/>
          <w:iCs/>
          <w:noProof/>
          <w:lang w:val="fr-FR"/>
        </w:rPr>
      </w:pPr>
      <w:r>
        <w:rPr>
          <w:noProof/>
          <w:lang w:val="fr-FR"/>
        </w:rPr>
        <w:t>La Stratégie n</w:t>
      </w:r>
      <w:r w:rsidR="001B2F58" w:rsidRPr="00DD03D6">
        <w:rPr>
          <w:noProof/>
          <w:lang w:val="fr-FR"/>
        </w:rPr>
        <w:t>ational</w:t>
      </w:r>
      <w:r>
        <w:rPr>
          <w:noProof/>
          <w:lang w:val="fr-FR"/>
        </w:rPr>
        <w:t>e</w:t>
      </w:r>
      <w:r w:rsidR="001B2F58" w:rsidRPr="00DD03D6">
        <w:rPr>
          <w:noProof/>
          <w:lang w:val="fr-FR"/>
        </w:rPr>
        <w:t xml:space="preserve"> </w:t>
      </w:r>
      <w:r>
        <w:rPr>
          <w:noProof/>
          <w:lang w:val="fr-FR"/>
        </w:rPr>
        <w:t>de logement en faveur des personnes handicapées pour</w:t>
      </w:r>
      <w:r w:rsidR="001B2F58" w:rsidRPr="00DD03D6">
        <w:rPr>
          <w:noProof/>
          <w:lang w:val="fr-FR"/>
        </w:rPr>
        <w:t xml:space="preserve"> 2011-2016 </w:t>
      </w:r>
      <w:r>
        <w:rPr>
          <w:noProof/>
          <w:lang w:val="fr-FR"/>
        </w:rPr>
        <w:t>a été lancée en o</w:t>
      </w:r>
      <w:r w:rsidR="001B2F58" w:rsidRPr="00DD03D6">
        <w:rPr>
          <w:noProof/>
          <w:lang w:val="fr-FR"/>
        </w:rPr>
        <w:t>ctob</w:t>
      </w:r>
      <w:r>
        <w:rPr>
          <w:noProof/>
          <w:lang w:val="fr-FR"/>
        </w:rPr>
        <w:t>re</w:t>
      </w:r>
      <w:r w:rsidR="001B2F58" w:rsidRPr="00DD03D6">
        <w:rPr>
          <w:noProof/>
          <w:lang w:val="fr-FR"/>
        </w:rPr>
        <w:t xml:space="preserve"> 2011. </w:t>
      </w:r>
      <w:r>
        <w:rPr>
          <w:noProof/>
          <w:lang w:val="fr-FR"/>
        </w:rPr>
        <w:t xml:space="preserve">Elle a été élaborée par le </w:t>
      </w:r>
      <w:r w:rsidRPr="004E7C43">
        <w:rPr>
          <w:noProof/>
          <w:lang w:val="fr-FR"/>
        </w:rPr>
        <w:t>Ministère de l’environnement, des communautés et de l’administration locale</w:t>
      </w:r>
      <w:r w:rsidR="001B2F58" w:rsidRPr="00DD03D6">
        <w:rPr>
          <w:noProof/>
          <w:lang w:val="fr-FR"/>
        </w:rPr>
        <w:t xml:space="preserve">, </w:t>
      </w:r>
      <w:r>
        <w:rPr>
          <w:noProof/>
          <w:lang w:val="fr-FR"/>
        </w:rPr>
        <w:t>e</w:t>
      </w:r>
      <w:r w:rsidR="001B2F58" w:rsidRPr="00DD03D6">
        <w:rPr>
          <w:noProof/>
          <w:lang w:val="fr-FR"/>
        </w:rPr>
        <w:t xml:space="preserve">n collaboration </w:t>
      </w:r>
      <w:r>
        <w:rPr>
          <w:noProof/>
          <w:lang w:val="fr-FR"/>
        </w:rPr>
        <w:t>avec le Ministère de la santé</w:t>
      </w:r>
      <w:r w:rsidR="001B2F58" w:rsidRPr="00DD03D6">
        <w:rPr>
          <w:noProof/>
          <w:lang w:val="fr-FR"/>
        </w:rPr>
        <w:t xml:space="preserve">. </w:t>
      </w:r>
      <w:r>
        <w:rPr>
          <w:noProof/>
          <w:lang w:val="fr-FR"/>
        </w:rPr>
        <w:t>Elle prévoit que les personnes atteintes d’un handicap et/ou d’un problème de santé mentale ont droit à</w:t>
      </w:r>
      <w:r w:rsidR="003C6984">
        <w:rPr>
          <w:noProof/>
          <w:lang w:val="fr-FR"/>
        </w:rPr>
        <w:t xml:space="preserve"> une évaluation de leur besoin</w:t>
      </w:r>
      <w:r>
        <w:rPr>
          <w:noProof/>
          <w:lang w:val="fr-FR"/>
        </w:rPr>
        <w:t xml:space="preserve"> </w:t>
      </w:r>
      <w:r w:rsidR="003C6984">
        <w:rPr>
          <w:noProof/>
          <w:lang w:val="fr-FR"/>
        </w:rPr>
        <w:t>d’un logement social</w:t>
      </w:r>
      <w:r w:rsidR="001B2F58" w:rsidRPr="00DD03D6">
        <w:rPr>
          <w:noProof/>
          <w:lang w:val="fr-FR"/>
        </w:rPr>
        <w:t xml:space="preserve">. </w:t>
      </w:r>
      <w:r w:rsidR="003C6984">
        <w:rPr>
          <w:noProof/>
          <w:lang w:val="fr-FR"/>
        </w:rPr>
        <w:t>Parmi les principales mesures incluses dans cette politique figure l’engagement de veiller à ce qu’il soit tenu dûment compte des besoins actuels et futurs des enfants handicapés pendant le processus d’attribution des logements aux familles</w:t>
      </w:r>
      <w:r w:rsidR="001B2F58" w:rsidRPr="00DD03D6">
        <w:rPr>
          <w:noProof/>
          <w:lang w:val="fr-FR"/>
        </w:rPr>
        <w:t xml:space="preserve">. </w:t>
      </w:r>
      <w:r w:rsidR="003C6984">
        <w:rPr>
          <w:noProof/>
          <w:lang w:val="fr-FR"/>
        </w:rPr>
        <w:t>Un plan-cadre de mise en œuvre a été présenté en juillet 2012; il énonce une série de mesures prioritaires à l’appui de la Stratégie</w:t>
      </w:r>
      <w:r w:rsidR="001B2F58" w:rsidRPr="00DD03D6">
        <w:rPr>
          <w:noProof/>
          <w:lang w:val="fr-FR"/>
        </w:rPr>
        <w:t>.</w:t>
      </w:r>
    </w:p>
    <w:p w:rsidR="001B2F58" w:rsidRPr="00DD03D6" w:rsidRDefault="00ED3D44" w:rsidP="00ED3D44">
      <w:pPr>
        <w:pStyle w:val="H23G"/>
        <w:ind w:firstLine="0"/>
        <w:rPr>
          <w:noProof/>
          <w:lang w:val="fr-FR"/>
        </w:rPr>
      </w:pPr>
      <w:r>
        <w:rPr>
          <w:noProof/>
          <w:lang w:val="fr-FR"/>
        </w:rPr>
        <w:t>Enregistrement et i</w:t>
      </w:r>
      <w:r w:rsidR="001B2F58" w:rsidRPr="00DD03D6">
        <w:rPr>
          <w:noProof/>
          <w:lang w:val="fr-FR"/>
        </w:rPr>
        <w:t xml:space="preserve">nspection </w:t>
      </w:r>
      <w:r>
        <w:rPr>
          <w:noProof/>
          <w:lang w:val="fr-FR"/>
        </w:rPr>
        <w:t xml:space="preserve">des services en </w:t>
      </w:r>
      <w:r w:rsidR="00B508B1">
        <w:rPr>
          <w:noProof/>
          <w:lang w:val="fr-FR"/>
        </w:rPr>
        <w:t>institution</w:t>
      </w:r>
      <w:r>
        <w:rPr>
          <w:noProof/>
          <w:lang w:val="fr-FR"/>
        </w:rPr>
        <w:t xml:space="preserve"> destinés aux personnes handicapées </w:t>
      </w:r>
    </w:p>
    <w:p w:rsidR="001B2F58" w:rsidRPr="00DD03D6" w:rsidRDefault="007826DB" w:rsidP="00865D37">
      <w:pPr>
        <w:pStyle w:val="SingleTxtG"/>
        <w:numPr>
          <w:ilvl w:val="0"/>
          <w:numId w:val="3"/>
        </w:numPr>
        <w:ind w:left="1134" w:firstLine="0"/>
        <w:rPr>
          <w:b/>
          <w:bCs/>
          <w:i/>
          <w:iCs/>
          <w:noProof/>
          <w:lang w:val="fr-FR"/>
        </w:rPr>
      </w:pPr>
      <w:r>
        <w:rPr>
          <w:noProof/>
          <w:lang w:val="fr-FR" w:eastAsia="en-GB"/>
        </w:rPr>
        <w:t>Les normes d’in</w:t>
      </w:r>
      <w:r w:rsidR="00B508B1">
        <w:rPr>
          <w:noProof/>
          <w:lang w:val="fr-FR" w:eastAsia="en-GB"/>
        </w:rPr>
        <w:t>s</w:t>
      </w:r>
      <w:r>
        <w:rPr>
          <w:noProof/>
          <w:lang w:val="fr-FR" w:eastAsia="en-GB"/>
        </w:rPr>
        <w:t>pection indé</w:t>
      </w:r>
      <w:r w:rsidR="001B2F58" w:rsidRPr="00DD03D6">
        <w:rPr>
          <w:noProof/>
          <w:lang w:val="fr-FR" w:eastAsia="en-GB"/>
        </w:rPr>
        <w:t>pend</w:t>
      </w:r>
      <w:r>
        <w:rPr>
          <w:noProof/>
          <w:lang w:val="fr-FR" w:eastAsia="en-GB"/>
        </w:rPr>
        <w:t xml:space="preserve">ante concernant les services en </w:t>
      </w:r>
      <w:r w:rsidR="00B508B1">
        <w:rPr>
          <w:noProof/>
          <w:lang w:val="fr-FR" w:eastAsia="en-GB"/>
        </w:rPr>
        <w:t>institution</w:t>
      </w:r>
      <w:r>
        <w:rPr>
          <w:noProof/>
          <w:lang w:val="fr-FR" w:eastAsia="en-GB"/>
        </w:rPr>
        <w:t xml:space="preserve"> destinés aux personnes handicapées, enfants ou adultes, ont été initialement publiées par le Bureau de l’information sanitaire et de la qualité des services sanitaires e</w:t>
      </w:r>
      <w:r w:rsidR="001B2F58" w:rsidRPr="00DD03D6">
        <w:rPr>
          <w:noProof/>
          <w:lang w:val="fr-FR" w:eastAsia="en-GB"/>
        </w:rPr>
        <w:t xml:space="preserve">n 2009 </w:t>
      </w:r>
      <w:r>
        <w:rPr>
          <w:noProof/>
          <w:lang w:val="fr-FR" w:eastAsia="en-GB"/>
        </w:rPr>
        <w:t xml:space="preserve">et une version révisée de ces normes a fait l’objet d’une </w:t>
      </w:r>
      <w:r w:rsidR="001B2F58" w:rsidRPr="00DD03D6">
        <w:rPr>
          <w:noProof/>
          <w:lang w:val="fr-FR" w:eastAsia="en-GB"/>
        </w:rPr>
        <w:t xml:space="preserve">consultation </w:t>
      </w:r>
      <w:r>
        <w:rPr>
          <w:noProof/>
          <w:lang w:val="fr-FR" w:eastAsia="en-GB"/>
        </w:rPr>
        <w:t xml:space="preserve">publique à la fin de </w:t>
      </w:r>
      <w:r w:rsidR="001B2F58" w:rsidRPr="00DD03D6">
        <w:rPr>
          <w:noProof/>
          <w:lang w:val="fr-FR" w:eastAsia="en-GB"/>
        </w:rPr>
        <w:t xml:space="preserve">2012. </w:t>
      </w:r>
      <w:r w:rsidR="003A761B">
        <w:rPr>
          <w:noProof/>
          <w:lang w:val="fr-FR" w:eastAsia="en-GB"/>
        </w:rPr>
        <w:t>C</w:t>
      </w:r>
      <w:r>
        <w:rPr>
          <w:noProof/>
          <w:lang w:val="fr-FR" w:eastAsia="en-GB"/>
        </w:rPr>
        <w:t>es normes fournissent un cadre national</w:t>
      </w:r>
      <w:r w:rsidR="00B508B1">
        <w:rPr>
          <w:noProof/>
          <w:lang w:val="fr-FR" w:eastAsia="en-GB"/>
        </w:rPr>
        <w:t xml:space="preserve"> pour</w:t>
      </w:r>
      <w:r>
        <w:rPr>
          <w:noProof/>
          <w:lang w:val="fr-FR" w:eastAsia="en-GB"/>
        </w:rPr>
        <w:t xml:space="preserve"> des services sûrs et de qualité destinés aux personnes handicapées </w:t>
      </w:r>
      <w:r w:rsidR="00B508B1">
        <w:rPr>
          <w:noProof/>
          <w:lang w:val="fr-FR" w:eastAsia="en-GB"/>
        </w:rPr>
        <w:t>placées en institution</w:t>
      </w:r>
      <w:r w:rsidR="001B2F58" w:rsidRPr="00DD03D6">
        <w:rPr>
          <w:noProof/>
          <w:lang w:val="fr-FR" w:eastAsia="en-GB"/>
        </w:rPr>
        <w:t xml:space="preserve">. </w:t>
      </w:r>
      <w:r w:rsidR="00B508B1">
        <w:rPr>
          <w:noProof/>
          <w:lang w:val="fr-FR" w:eastAsia="en-GB"/>
        </w:rPr>
        <w:t xml:space="preserve">Dans son </w:t>
      </w:r>
      <w:r w:rsidR="001B2F58" w:rsidRPr="00DD03D6">
        <w:rPr>
          <w:noProof/>
          <w:lang w:val="fr-FR" w:eastAsia="en-GB"/>
        </w:rPr>
        <w:t xml:space="preserve">Programme </w:t>
      </w:r>
      <w:r w:rsidR="00B508B1">
        <w:rPr>
          <w:noProof/>
          <w:lang w:val="fr-FR" w:eastAsia="en-GB"/>
        </w:rPr>
        <w:t xml:space="preserve">actuel pour </w:t>
      </w:r>
      <w:r w:rsidR="001B2F58" w:rsidRPr="00DD03D6">
        <w:rPr>
          <w:noProof/>
          <w:lang w:val="fr-FR" w:eastAsia="en-GB"/>
        </w:rPr>
        <w:t>2011-2016</w:t>
      </w:r>
      <w:r w:rsidR="00B508B1">
        <w:rPr>
          <w:noProof/>
          <w:lang w:val="fr-FR" w:eastAsia="en-GB"/>
        </w:rPr>
        <w:t xml:space="preserve">, le Gouvernement s’est engagé à donner une base légale à ces normes et des </w:t>
      </w:r>
      <w:r w:rsidR="001B2F58" w:rsidRPr="00DD03D6">
        <w:rPr>
          <w:noProof/>
          <w:lang w:val="fr-FR" w:eastAsia="en-GB"/>
        </w:rPr>
        <w:t xml:space="preserve">discussions </w:t>
      </w:r>
      <w:r w:rsidR="00B508B1">
        <w:rPr>
          <w:noProof/>
          <w:lang w:val="fr-FR" w:eastAsia="en-GB"/>
        </w:rPr>
        <w:t>sont en cours entre le Ministère de la santé et le Bureau de l’information sanitaire et de la qualité des services sanitaires</w:t>
      </w:r>
      <w:r w:rsidR="00B508B1" w:rsidRPr="00DD03D6">
        <w:rPr>
          <w:noProof/>
          <w:lang w:val="fr-FR" w:eastAsia="en-GB"/>
        </w:rPr>
        <w:t xml:space="preserve"> </w:t>
      </w:r>
      <w:r w:rsidR="00B508B1">
        <w:rPr>
          <w:noProof/>
          <w:lang w:val="fr-FR" w:eastAsia="en-GB"/>
        </w:rPr>
        <w:t xml:space="preserve">pour faire avancer la réalisation de cet engagement, afin que les normes et les règlements appropriés puissent être adoptés au milieu de 2013. </w:t>
      </w:r>
    </w:p>
    <w:p w:rsidR="001B2F58" w:rsidRPr="00DD03D6" w:rsidRDefault="00092DEC" w:rsidP="00092DEC">
      <w:pPr>
        <w:pStyle w:val="H23G"/>
        <w:ind w:firstLine="0"/>
        <w:rPr>
          <w:noProof/>
          <w:lang w:val="fr-FR"/>
        </w:rPr>
      </w:pPr>
      <w:r>
        <w:rPr>
          <w:noProof/>
          <w:lang w:val="fr-FR"/>
        </w:rPr>
        <w:t>Accès aux moyens de t</w:t>
      </w:r>
      <w:r w:rsidR="001B2F58" w:rsidRPr="00DD03D6">
        <w:rPr>
          <w:noProof/>
          <w:lang w:val="fr-FR"/>
        </w:rPr>
        <w:t xml:space="preserve">ransport </w:t>
      </w:r>
      <w:r>
        <w:rPr>
          <w:noProof/>
          <w:lang w:val="fr-FR"/>
        </w:rPr>
        <w:t xml:space="preserve">pour tous </w:t>
      </w:r>
    </w:p>
    <w:p w:rsidR="001B2F58" w:rsidRPr="00DD03D6" w:rsidRDefault="00092DEC" w:rsidP="003F13B8">
      <w:pPr>
        <w:pStyle w:val="SingleTxtG"/>
        <w:numPr>
          <w:ilvl w:val="0"/>
          <w:numId w:val="3"/>
        </w:numPr>
        <w:ind w:left="1134" w:firstLine="0"/>
        <w:rPr>
          <w:rStyle w:val="c5"/>
          <w:noProof/>
          <w:lang w:val="fr-FR"/>
        </w:rPr>
      </w:pPr>
      <w:r>
        <w:rPr>
          <w:noProof/>
          <w:lang w:val="fr-FR"/>
        </w:rPr>
        <w:t>Le Ministère des t</w:t>
      </w:r>
      <w:r w:rsidR="001B2F58" w:rsidRPr="00DD03D6">
        <w:rPr>
          <w:noProof/>
          <w:lang w:val="fr-FR"/>
        </w:rPr>
        <w:t>ransport</w:t>
      </w:r>
      <w:r>
        <w:rPr>
          <w:noProof/>
          <w:lang w:val="fr-FR"/>
        </w:rPr>
        <w:t>s</w:t>
      </w:r>
      <w:r w:rsidR="001B2F58" w:rsidRPr="00DD03D6">
        <w:rPr>
          <w:noProof/>
          <w:lang w:val="fr-FR"/>
        </w:rPr>
        <w:t xml:space="preserve">, </w:t>
      </w:r>
      <w:r>
        <w:rPr>
          <w:noProof/>
          <w:lang w:val="fr-FR"/>
        </w:rPr>
        <w:t>du t</w:t>
      </w:r>
      <w:r w:rsidR="001B2F58" w:rsidRPr="00DD03D6">
        <w:rPr>
          <w:noProof/>
          <w:lang w:val="fr-FR"/>
        </w:rPr>
        <w:t>ourism</w:t>
      </w:r>
      <w:r>
        <w:rPr>
          <w:noProof/>
          <w:lang w:val="fr-FR"/>
        </w:rPr>
        <w:t>e et du s</w:t>
      </w:r>
      <w:r w:rsidR="001B2F58" w:rsidRPr="00DD03D6">
        <w:rPr>
          <w:noProof/>
          <w:lang w:val="fr-FR"/>
        </w:rPr>
        <w:t xml:space="preserve">port </w:t>
      </w:r>
      <w:r>
        <w:rPr>
          <w:noProof/>
          <w:lang w:val="fr-FR"/>
        </w:rPr>
        <w:t xml:space="preserve">a entrepris d’améliorer les moyens de transport pour les personnes atteintes d’un handicap moteur ou sensoriel </w:t>
      </w:r>
      <w:r w:rsidR="001B2F58" w:rsidRPr="00DD03D6">
        <w:rPr>
          <w:noProof/>
          <w:lang w:val="fr-FR"/>
        </w:rPr>
        <w:t>(</w:t>
      </w:r>
      <w:r w:rsidR="001D0CAD">
        <w:rPr>
          <w:noProof/>
          <w:lang w:val="fr-FR"/>
        </w:rPr>
        <w:t>voir le deux</w:t>
      </w:r>
      <w:r>
        <w:rPr>
          <w:noProof/>
          <w:lang w:val="fr-FR"/>
        </w:rPr>
        <w:t>ième rapport périodique de l’Irlande</w:t>
      </w:r>
      <w:r w:rsidR="00E77652" w:rsidRPr="00DD03D6">
        <w:rPr>
          <w:noProof/>
          <w:lang w:val="fr-FR"/>
        </w:rPr>
        <w:t>)</w:t>
      </w:r>
      <w:r w:rsidR="001B2F58" w:rsidRPr="00DD03D6">
        <w:rPr>
          <w:rStyle w:val="Appelnotedebasdep"/>
          <w:noProof/>
          <w:lang w:val="fr-FR"/>
        </w:rPr>
        <w:footnoteReference w:id="36"/>
      </w:r>
      <w:r>
        <w:rPr>
          <w:noProof/>
          <w:lang w:val="fr-FR"/>
        </w:rPr>
        <w:t>.</w:t>
      </w:r>
      <w:r w:rsidR="001B2F58" w:rsidRPr="00DD03D6">
        <w:rPr>
          <w:noProof/>
          <w:lang w:val="fr-FR"/>
        </w:rPr>
        <w:t xml:space="preserve"> </w:t>
      </w:r>
      <w:r w:rsidR="001D0CAD">
        <w:rPr>
          <w:noProof/>
          <w:lang w:val="fr-FR"/>
        </w:rPr>
        <w:t xml:space="preserve">Le Plan sectoriel du Ministère arrêté en vertu de la loi de 2005 sur le handicap, intitulé </w:t>
      </w:r>
      <w:r w:rsidR="001D0CAD">
        <w:rPr>
          <w:i/>
          <w:iCs/>
          <w:noProof/>
          <w:lang w:val="fr-FR"/>
        </w:rPr>
        <w:t>Accès aux moyens de transport pour tous</w:t>
      </w:r>
      <w:r w:rsidR="001B2F58" w:rsidRPr="00DD03D6">
        <w:rPr>
          <w:noProof/>
          <w:lang w:val="fr-FR"/>
        </w:rPr>
        <w:t xml:space="preserve">, </w:t>
      </w:r>
      <w:r w:rsidR="001D0CAD">
        <w:rPr>
          <w:noProof/>
          <w:lang w:val="fr-FR"/>
        </w:rPr>
        <w:t xml:space="preserve">a été publié pour la première fois en </w:t>
      </w:r>
      <w:r w:rsidR="001B2F58" w:rsidRPr="00DD03D6">
        <w:rPr>
          <w:noProof/>
          <w:lang w:val="fr-FR"/>
        </w:rPr>
        <w:t>2006</w:t>
      </w:r>
      <w:r w:rsidR="001D0CAD">
        <w:rPr>
          <w:noProof/>
          <w:lang w:val="fr-FR"/>
        </w:rPr>
        <w:t xml:space="preserve">, avant d’être révisé en </w:t>
      </w:r>
      <w:r w:rsidR="001B2F58" w:rsidRPr="00DD03D6">
        <w:rPr>
          <w:noProof/>
          <w:lang w:val="fr-FR"/>
        </w:rPr>
        <w:t xml:space="preserve">2008. </w:t>
      </w:r>
      <w:r w:rsidR="001D0CAD">
        <w:rPr>
          <w:noProof/>
          <w:lang w:val="fr-FR"/>
        </w:rPr>
        <w:t xml:space="preserve">Une autre révision du </w:t>
      </w:r>
      <w:r w:rsidR="001D0CAD">
        <w:rPr>
          <w:noProof/>
          <w:lang w:val="fr-FR"/>
        </w:rPr>
        <w:lastRenderedPageBreak/>
        <w:t xml:space="preserve">Plan s’est ouverte sur une consultation publique en </w:t>
      </w:r>
      <w:r w:rsidR="001B2F58" w:rsidRPr="00DD03D6">
        <w:rPr>
          <w:rStyle w:val="c5"/>
          <w:noProof/>
          <w:lang w:val="fr-FR"/>
        </w:rPr>
        <w:t xml:space="preserve">2011, </w:t>
      </w:r>
      <w:r w:rsidR="001D0CAD">
        <w:rPr>
          <w:rStyle w:val="c5"/>
          <w:noProof/>
          <w:lang w:val="fr-FR"/>
        </w:rPr>
        <w:t>un plan mis à jour étant attendu pour 2012.</w:t>
      </w:r>
    </w:p>
    <w:p w:rsidR="001B2F58" w:rsidRPr="00DD03D6" w:rsidRDefault="001D0CAD" w:rsidP="003F13B8">
      <w:pPr>
        <w:pStyle w:val="SingleTxtG"/>
        <w:numPr>
          <w:ilvl w:val="0"/>
          <w:numId w:val="3"/>
        </w:numPr>
        <w:ind w:left="1134" w:firstLine="0"/>
        <w:rPr>
          <w:rStyle w:val="c5"/>
          <w:noProof/>
          <w:lang w:val="fr-FR"/>
        </w:rPr>
      </w:pPr>
      <w:r>
        <w:rPr>
          <w:iCs/>
          <w:noProof/>
          <w:lang w:val="fr-FR"/>
        </w:rPr>
        <w:t xml:space="preserve">Le document </w:t>
      </w:r>
      <w:r>
        <w:rPr>
          <w:i/>
          <w:iCs/>
          <w:noProof/>
          <w:lang w:val="fr-FR"/>
        </w:rPr>
        <w:t>Accès aux moyens de transport pour tous</w:t>
      </w:r>
      <w:r w:rsidR="001B2F58" w:rsidRPr="00DD03D6">
        <w:rPr>
          <w:i/>
          <w:iCs/>
          <w:noProof/>
          <w:lang w:val="fr-FR"/>
        </w:rPr>
        <w:t xml:space="preserve">, </w:t>
      </w:r>
      <w:r>
        <w:rPr>
          <w:noProof/>
          <w:lang w:val="fr-FR"/>
        </w:rPr>
        <w:t xml:space="preserve">qui a été élaboré en </w:t>
      </w:r>
      <w:r w:rsidR="001B2F58" w:rsidRPr="00DD03D6">
        <w:rPr>
          <w:noProof/>
          <w:lang w:val="fr-FR"/>
        </w:rPr>
        <w:t xml:space="preserve">consultation </w:t>
      </w:r>
      <w:r>
        <w:rPr>
          <w:noProof/>
          <w:lang w:val="fr-FR"/>
        </w:rPr>
        <w:t xml:space="preserve">avec les </w:t>
      </w:r>
      <w:r w:rsidR="00E83488">
        <w:rPr>
          <w:noProof/>
          <w:lang w:val="fr-FR"/>
        </w:rPr>
        <w:t>acteurs</w:t>
      </w:r>
      <w:r>
        <w:rPr>
          <w:noProof/>
          <w:lang w:val="fr-FR"/>
        </w:rPr>
        <w:t xml:space="preserve"> clefs, énonce une série d’objectifs de politique générale et d’objectifs chiffrés pour tous les modes de transport public afin de les rendre </w:t>
      </w:r>
      <w:r w:rsidR="001B2F58" w:rsidRPr="00DD03D6">
        <w:rPr>
          <w:noProof/>
          <w:lang w:val="fr-FR"/>
        </w:rPr>
        <w:t>accessible</w:t>
      </w:r>
      <w:r>
        <w:rPr>
          <w:noProof/>
          <w:lang w:val="fr-FR"/>
        </w:rPr>
        <w:t>s pour les personnes atteintes d’un handicap moteur, sensoriel</w:t>
      </w:r>
      <w:r w:rsidR="001B2F58" w:rsidRPr="00DD03D6">
        <w:rPr>
          <w:noProof/>
          <w:lang w:val="fr-FR"/>
        </w:rPr>
        <w:t xml:space="preserve"> </w:t>
      </w:r>
      <w:r>
        <w:rPr>
          <w:noProof/>
          <w:lang w:val="fr-FR"/>
        </w:rPr>
        <w:t>ou cognitif</w:t>
      </w:r>
      <w:r w:rsidR="001B2F58" w:rsidRPr="00DD03D6">
        <w:rPr>
          <w:noProof/>
          <w:lang w:val="fr-FR"/>
        </w:rPr>
        <w:t xml:space="preserve">. </w:t>
      </w:r>
      <w:r>
        <w:rPr>
          <w:noProof/>
          <w:lang w:val="fr-FR"/>
        </w:rPr>
        <w:t xml:space="preserve">Il aborde également la question des aires de stationnement pour automobilistes handicapés et comprend une section sur la </w:t>
      </w:r>
      <w:r w:rsidR="00E64966">
        <w:rPr>
          <w:noProof/>
          <w:lang w:val="fr-FR"/>
        </w:rPr>
        <w:t>politique routière</w:t>
      </w:r>
      <w:r w:rsidR="001B2F58" w:rsidRPr="00DD03D6">
        <w:rPr>
          <w:rStyle w:val="c5"/>
          <w:noProof/>
          <w:lang w:val="fr-FR"/>
        </w:rPr>
        <w:t xml:space="preserve">. </w:t>
      </w:r>
      <w:r w:rsidR="00E64966">
        <w:rPr>
          <w:rStyle w:val="c5"/>
          <w:noProof/>
          <w:lang w:val="fr-FR"/>
        </w:rPr>
        <w:t xml:space="preserve">Il reconnaît la </w:t>
      </w:r>
      <w:r w:rsidR="001B2F58" w:rsidRPr="00DD03D6">
        <w:rPr>
          <w:rStyle w:val="c5"/>
          <w:noProof/>
          <w:lang w:val="fr-FR"/>
        </w:rPr>
        <w:t xml:space="preserve">Convention </w:t>
      </w:r>
      <w:r w:rsidR="00E64966">
        <w:rPr>
          <w:rStyle w:val="c5"/>
          <w:noProof/>
          <w:lang w:val="fr-FR"/>
        </w:rPr>
        <w:t xml:space="preserve">relative aux droits des personnes handicapées et le </w:t>
      </w:r>
      <w:r w:rsidR="001B2F58" w:rsidRPr="00DD03D6">
        <w:rPr>
          <w:rStyle w:val="c5"/>
          <w:noProof/>
          <w:lang w:val="fr-FR"/>
        </w:rPr>
        <w:t xml:space="preserve">Centre </w:t>
      </w:r>
      <w:r w:rsidR="00944876">
        <w:rPr>
          <w:rStyle w:val="c5"/>
          <w:noProof/>
          <w:lang w:val="fr-FR"/>
        </w:rPr>
        <w:t>d’e</w:t>
      </w:r>
      <w:r w:rsidR="001B2F58" w:rsidRPr="00DD03D6">
        <w:rPr>
          <w:rStyle w:val="c5"/>
          <w:noProof/>
          <w:lang w:val="fr-FR"/>
        </w:rPr>
        <w:t xml:space="preserve">xcellence </w:t>
      </w:r>
      <w:r w:rsidR="00944876">
        <w:rPr>
          <w:rStyle w:val="c5"/>
          <w:noProof/>
          <w:lang w:val="fr-FR"/>
        </w:rPr>
        <w:t>e</w:t>
      </w:r>
      <w:r w:rsidR="001B2F58" w:rsidRPr="00DD03D6">
        <w:rPr>
          <w:rStyle w:val="c5"/>
          <w:noProof/>
          <w:lang w:val="fr-FR"/>
        </w:rPr>
        <w:t xml:space="preserve">n </w:t>
      </w:r>
      <w:r w:rsidR="00944876">
        <w:rPr>
          <w:rStyle w:val="c5"/>
          <w:noProof/>
          <w:lang w:val="fr-FR"/>
        </w:rPr>
        <w:t>design universe</w:t>
      </w:r>
      <w:r w:rsidR="001B2F58" w:rsidRPr="00DD03D6">
        <w:rPr>
          <w:rStyle w:val="c5"/>
          <w:noProof/>
          <w:lang w:val="fr-FR"/>
        </w:rPr>
        <w:t xml:space="preserve">l </w:t>
      </w:r>
      <w:r w:rsidR="00944876">
        <w:rPr>
          <w:rStyle w:val="c5"/>
          <w:noProof/>
          <w:lang w:val="fr-FR"/>
        </w:rPr>
        <w:t>créé en vertu de la loi de 2005 sur le handicap</w:t>
      </w:r>
      <w:r w:rsidR="001B2F58" w:rsidRPr="00DD03D6">
        <w:rPr>
          <w:rStyle w:val="c5"/>
          <w:noProof/>
          <w:lang w:val="fr-FR"/>
        </w:rPr>
        <w:t>.</w:t>
      </w:r>
    </w:p>
    <w:p w:rsidR="001B2F58" w:rsidRPr="00DD03D6" w:rsidRDefault="00B541CC" w:rsidP="00D049BD">
      <w:pPr>
        <w:pStyle w:val="SingleTxtG"/>
        <w:numPr>
          <w:ilvl w:val="0"/>
          <w:numId w:val="3"/>
        </w:numPr>
        <w:ind w:left="1134" w:firstLine="0"/>
        <w:rPr>
          <w:rStyle w:val="c5"/>
          <w:noProof/>
          <w:lang w:val="fr-FR"/>
        </w:rPr>
      </w:pPr>
      <w:r>
        <w:rPr>
          <w:noProof/>
          <w:lang w:val="fr-FR"/>
        </w:rPr>
        <w:t>Le nombre des véhicules accessibles e</w:t>
      </w:r>
      <w:r w:rsidR="007B4A0B">
        <w:rPr>
          <w:noProof/>
          <w:lang w:val="fr-FR"/>
        </w:rPr>
        <w:t xml:space="preserve">st </w:t>
      </w:r>
      <w:r>
        <w:rPr>
          <w:noProof/>
          <w:lang w:val="fr-FR"/>
        </w:rPr>
        <w:t>en nette augmentation aussi bien en milieu urbain qu’en milieu rural et on constate une amélioration de l’accès à une grande partie de l’infrastructure de transport public</w:t>
      </w:r>
      <w:r w:rsidR="001B2F58" w:rsidRPr="00DD03D6">
        <w:rPr>
          <w:noProof/>
          <w:lang w:val="fr-FR"/>
        </w:rPr>
        <w:t xml:space="preserve">. </w:t>
      </w:r>
      <w:r w:rsidR="00FB100E">
        <w:rPr>
          <w:noProof/>
          <w:lang w:val="fr-FR"/>
        </w:rPr>
        <w:t xml:space="preserve">Des changements ont été apportés dans la manière dont les services de </w:t>
      </w:r>
      <w:r w:rsidR="001B2F58" w:rsidRPr="00DD03D6">
        <w:rPr>
          <w:noProof/>
          <w:lang w:val="fr-FR"/>
        </w:rPr>
        <w:t xml:space="preserve">transport </w:t>
      </w:r>
      <w:r w:rsidR="00FB100E">
        <w:rPr>
          <w:noProof/>
          <w:lang w:val="fr-FR"/>
        </w:rPr>
        <w:t xml:space="preserve">sont fournis et dans les études et </w:t>
      </w:r>
      <w:r w:rsidR="001B2F58" w:rsidRPr="00DD03D6">
        <w:rPr>
          <w:noProof/>
          <w:lang w:val="fr-FR"/>
        </w:rPr>
        <w:t>consultation</w:t>
      </w:r>
      <w:r w:rsidR="00FB100E">
        <w:rPr>
          <w:noProof/>
          <w:lang w:val="fr-FR"/>
        </w:rPr>
        <w:t>s</w:t>
      </w:r>
      <w:r w:rsidR="001B2F58" w:rsidRPr="00DD03D6">
        <w:rPr>
          <w:noProof/>
          <w:lang w:val="fr-FR"/>
        </w:rPr>
        <w:t xml:space="preserve"> n</w:t>
      </w:r>
      <w:r w:rsidR="00FB100E">
        <w:rPr>
          <w:noProof/>
          <w:lang w:val="fr-FR"/>
        </w:rPr>
        <w:t>é</w:t>
      </w:r>
      <w:r w:rsidR="001B2F58" w:rsidRPr="00DD03D6">
        <w:rPr>
          <w:noProof/>
          <w:lang w:val="fr-FR"/>
        </w:rPr>
        <w:t>cessa</w:t>
      </w:r>
      <w:r w:rsidR="00FB100E">
        <w:rPr>
          <w:noProof/>
          <w:lang w:val="fr-FR"/>
        </w:rPr>
        <w:t xml:space="preserve">ires pour préparer d’autres </w:t>
      </w:r>
      <w:r w:rsidR="007B4A0B" w:rsidRPr="007B4A0B">
        <w:rPr>
          <w:noProof/>
          <w:color w:val="000000"/>
          <w:lang w:val="fr-FR"/>
        </w:rPr>
        <w:t>mesures de promotion de l’accessibilité</w:t>
      </w:r>
      <w:r w:rsidR="001B2F58" w:rsidRPr="00DD03D6">
        <w:rPr>
          <w:noProof/>
          <w:lang w:val="fr-FR"/>
        </w:rPr>
        <w:t xml:space="preserve">. </w:t>
      </w:r>
      <w:r w:rsidR="007B4A0B">
        <w:rPr>
          <w:noProof/>
          <w:lang w:val="fr-FR"/>
        </w:rPr>
        <w:t>De nombreux objectifs ont déjà été atteints et le travail concernant ceux qui ne l’ont pas encore été se poursuit</w:t>
      </w:r>
      <w:r w:rsidR="001B2F58" w:rsidRPr="00DD03D6">
        <w:rPr>
          <w:noProof/>
          <w:lang w:val="fr-FR"/>
        </w:rPr>
        <w:t>.</w:t>
      </w:r>
    </w:p>
    <w:p w:rsidR="001B2F58" w:rsidRPr="00DD03D6" w:rsidRDefault="00865D37" w:rsidP="00865D37">
      <w:pPr>
        <w:pStyle w:val="H1G"/>
        <w:rPr>
          <w:noProof/>
          <w:lang w:val="fr-FR"/>
        </w:rPr>
      </w:pPr>
      <w:bookmarkStart w:id="56" w:name="_Toc356430880"/>
      <w:r w:rsidRPr="00DD03D6">
        <w:rPr>
          <w:noProof/>
          <w:lang w:val="fr-FR"/>
        </w:rPr>
        <w:tab/>
      </w:r>
      <w:r w:rsidR="001B2F58" w:rsidRPr="00DD03D6">
        <w:rPr>
          <w:noProof/>
          <w:lang w:val="fr-FR"/>
        </w:rPr>
        <w:t>B.</w:t>
      </w:r>
      <w:r w:rsidR="001B2F58" w:rsidRPr="00DD03D6">
        <w:rPr>
          <w:noProof/>
          <w:lang w:val="fr-FR"/>
        </w:rPr>
        <w:tab/>
      </w:r>
      <w:r w:rsidR="007B4A0B">
        <w:rPr>
          <w:noProof/>
          <w:lang w:val="fr-FR"/>
        </w:rPr>
        <w:t xml:space="preserve">Santé des gens du voyage </w:t>
      </w:r>
      <w:bookmarkEnd w:id="56"/>
    </w:p>
    <w:p w:rsidR="001B2F58" w:rsidRPr="00DD03D6" w:rsidRDefault="007B4A0B" w:rsidP="00D049BD">
      <w:pPr>
        <w:pStyle w:val="SingleTxtG"/>
        <w:numPr>
          <w:ilvl w:val="0"/>
          <w:numId w:val="3"/>
        </w:numPr>
        <w:ind w:left="1134" w:firstLine="0"/>
        <w:rPr>
          <w:noProof/>
          <w:lang w:val="fr-FR"/>
        </w:rPr>
      </w:pPr>
      <w:r>
        <w:rPr>
          <w:noProof/>
          <w:lang w:val="fr-FR"/>
        </w:rPr>
        <w:t xml:space="preserve">Selon le recensement de la population de </w:t>
      </w:r>
      <w:r w:rsidR="001B2F58" w:rsidRPr="00DD03D6">
        <w:rPr>
          <w:noProof/>
          <w:lang w:val="fr-FR"/>
        </w:rPr>
        <w:t>2011, 14</w:t>
      </w:r>
      <w:r w:rsidR="0032589C">
        <w:rPr>
          <w:noProof/>
          <w:lang w:val="fr-FR"/>
        </w:rPr>
        <w:t> </w:t>
      </w:r>
      <w:r w:rsidR="001B2F58" w:rsidRPr="00DD03D6">
        <w:rPr>
          <w:noProof/>
          <w:lang w:val="fr-FR"/>
        </w:rPr>
        <w:t xml:space="preserve">245 </w:t>
      </w:r>
      <w:r w:rsidR="00BA1A97" w:rsidRPr="00BA1A97">
        <w:rPr>
          <w:noProof/>
          <w:lang w:val="fr-FR"/>
        </w:rPr>
        <w:t xml:space="preserve">enfants </w:t>
      </w:r>
      <w:r w:rsidR="00BA1A97">
        <w:rPr>
          <w:noProof/>
          <w:lang w:val="fr-FR"/>
        </w:rPr>
        <w:t xml:space="preserve">appartiennent à </w:t>
      </w:r>
      <w:r w:rsidR="00BA1A97" w:rsidRPr="00BA1A97">
        <w:rPr>
          <w:noProof/>
          <w:lang w:val="fr-FR"/>
        </w:rPr>
        <w:t>la communauté des gens du voyage</w:t>
      </w:r>
      <w:r w:rsidR="00BA1A97" w:rsidRPr="00487473">
        <w:rPr>
          <w:sz w:val="24"/>
          <w:lang w:val="fr-CH"/>
        </w:rPr>
        <w:t xml:space="preserve"> </w:t>
      </w:r>
      <w:r w:rsidR="00BA1A97">
        <w:rPr>
          <w:noProof/>
          <w:lang w:val="fr-FR"/>
        </w:rPr>
        <w:t>e</w:t>
      </w:r>
      <w:r w:rsidR="001B2F58" w:rsidRPr="00DD03D6">
        <w:rPr>
          <w:noProof/>
          <w:lang w:val="fr-FR"/>
        </w:rPr>
        <w:t xml:space="preserve">n </w:t>
      </w:r>
      <w:r w:rsidR="00BA1A97">
        <w:rPr>
          <w:noProof/>
          <w:lang w:val="fr-FR"/>
        </w:rPr>
        <w:t xml:space="preserve">Irlande, soit une progression de </w:t>
      </w:r>
      <w:r w:rsidR="001B2F58" w:rsidRPr="00DD03D6">
        <w:rPr>
          <w:noProof/>
          <w:lang w:val="fr-FR"/>
        </w:rPr>
        <w:t>30</w:t>
      </w:r>
      <w:r w:rsidR="00BA1A97">
        <w:rPr>
          <w:noProof/>
          <w:lang w:val="fr-FR"/>
        </w:rPr>
        <w:t>,</w:t>
      </w:r>
      <w:r w:rsidR="0032589C">
        <w:rPr>
          <w:noProof/>
          <w:lang w:val="fr-FR"/>
        </w:rPr>
        <w:t>3</w:t>
      </w:r>
      <w:r w:rsidR="003F1ADB">
        <w:rPr>
          <w:noProof/>
          <w:lang w:val="fr-FR"/>
        </w:rPr>
        <w:t> %</w:t>
      </w:r>
      <w:r w:rsidR="001B2F58" w:rsidRPr="00DD03D6">
        <w:rPr>
          <w:noProof/>
          <w:lang w:val="fr-FR"/>
        </w:rPr>
        <w:t xml:space="preserve"> </w:t>
      </w:r>
      <w:r w:rsidR="00BA1A97">
        <w:rPr>
          <w:noProof/>
          <w:lang w:val="fr-FR"/>
        </w:rPr>
        <w:t xml:space="preserve">par rapport à </w:t>
      </w:r>
      <w:r w:rsidR="001B2F58" w:rsidRPr="00DD03D6">
        <w:rPr>
          <w:noProof/>
          <w:lang w:val="fr-FR"/>
        </w:rPr>
        <w:t xml:space="preserve">2006 </w:t>
      </w:r>
      <w:r w:rsidR="00BA1A97">
        <w:rPr>
          <w:noProof/>
          <w:lang w:val="fr-FR"/>
        </w:rPr>
        <w:t>(</w:t>
      </w:r>
      <w:r w:rsidR="001B2F58" w:rsidRPr="00DD03D6">
        <w:rPr>
          <w:noProof/>
          <w:lang w:val="fr-FR"/>
        </w:rPr>
        <w:t>10</w:t>
      </w:r>
      <w:r w:rsidR="00BA1A97">
        <w:rPr>
          <w:noProof/>
          <w:lang w:val="fr-FR"/>
        </w:rPr>
        <w:t> </w:t>
      </w:r>
      <w:r w:rsidR="001B2F58" w:rsidRPr="00DD03D6">
        <w:rPr>
          <w:noProof/>
          <w:lang w:val="fr-FR"/>
        </w:rPr>
        <w:t>929</w:t>
      </w:r>
      <w:r w:rsidR="00BA1A97">
        <w:rPr>
          <w:noProof/>
          <w:lang w:val="fr-FR"/>
        </w:rPr>
        <w:t>)</w:t>
      </w:r>
      <w:r w:rsidR="001B2F58" w:rsidRPr="00DD03D6">
        <w:rPr>
          <w:noProof/>
          <w:lang w:val="fr-FR"/>
        </w:rPr>
        <w:t>.</w:t>
      </w:r>
    </w:p>
    <w:p w:rsidR="001B2F58" w:rsidRPr="00DD03D6" w:rsidRDefault="00BA1A97" w:rsidP="003051BA">
      <w:pPr>
        <w:pStyle w:val="SingleTxtG"/>
        <w:numPr>
          <w:ilvl w:val="0"/>
          <w:numId w:val="3"/>
        </w:numPr>
        <w:ind w:left="1134" w:firstLine="0"/>
        <w:rPr>
          <w:noProof/>
          <w:lang w:val="fr-FR"/>
        </w:rPr>
      </w:pPr>
      <w:r>
        <w:rPr>
          <w:noProof/>
          <w:lang w:val="fr-FR"/>
        </w:rPr>
        <w:t>E</w:t>
      </w:r>
      <w:r w:rsidR="001B2F58" w:rsidRPr="00DD03D6">
        <w:rPr>
          <w:noProof/>
          <w:lang w:val="fr-FR"/>
        </w:rPr>
        <w:t xml:space="preserve">n 2010, </w:t>
      </w:r>
      <w:r>
        <w:rPr>
          <w:noProof/>
          <w:lang w:val="fr-FR"/>
        </w:rPr>
        <w:t xml:space="preserve">le Ministère de la santé </w:t>
      </w:r>
      <w:r w:rsidR="00D57669">
        <w:rPr>
          <w:noProof/>
          <w:lang w:val="fr-FR"/>
        </w:rPr>
        <w:t xml:space="preserve">a publié </w:t>
      </w:r>
      <w:r w:rsidR="00D57669" w:rsidRPr="00D57669">
        <w:rPr>
          <w:noProof/>
          <w:lang w:val="fr-FR"/>
        </w:rPr>
        <w:t>l’</w:t>
      </w:r>
      <w:r w:rsidR="00D57669" w:rsidRPr="00D57669">
        <w:rPr>
          <w:i/>
          <w:noProof/>
          <w:lang w:val="fr-FR"/>
        </w:rPr>
        <w:t xml:space="preserve">Étude sur la santé des gens du voyage en </w:t>
      </w:r>
      <w:r w:rsidR="00D57669">
        <w:rPr>
          <w:i/>
          <w:noProof/>
          <w:lang w:val="fr-FR"/>
        </w:rPr>
        <w:t>Irlande : nos objectifs</w:t>
      </w:r>
      <w:r w:rsidR="00D57669" w:rsidRPr="00D57669">
        <w:rPr>
          <w:noProof/>
          <w:lang w:val="fr-FR"/>
        </w:rPr>
        <w:t xml:space="preserve"> (</w:t>
      </w:r>
      <w:r w:rsidR="001B2F58" w:rsidRPr="00DD03D6">
        <w:rPr>
          <w:i/>
          <w:iCs/>
          <w:noProof/>
          <w:lang w:val="fr-FR"/>
        </w:rPr>
        <w:t>All-Ireland Traveller Health Study: Our Geels</w:t>
      </w:r>
      <w:r w:rsidR="00D57669">
        <w:rPr>
          <w:noProof/>
          <w:lang w:val="fr-FR"/>
        </w:rPr>
        <w:t xml:space="preserve">), </w:t>
      </w:r>
      <w:r w:rsidR="00844506">
        <w:rPr>
          <w:noProof/>
          <w:lang w:val="fr-FR"/>
        </w:rPr>
        <w:t>la première étude</w:t>
      </w:r>
      <w:r w:rsidR="005D3225">
        <w:rPr>
          <w:noProof/>
          <w:lang w:val="fr-FR"/>
        </w:rPr>
        <w:t xml:space="preserve"> de ce type à être réalisée dep</w:t>
      </w:r>
      <w:r w:rsidR="00844506">
        <w:rPr>
          <w:noProof/>
          <w:lang w:val="fr-FR"/>
        </w:rPr>
        <w:t>u</w:t>
      </w:r>
      <w:r w:rsidR="005D3225">
        <w:rPr>
          <w:noProof/>
          <w:lang w:val="fr-FR"/>
        </w:rPr>
        <w:t>i</w:t>
      </w:r>
      <w:r w:rsidR="00844506">
        <w:rPr>
          <w:noProof/>
          <w:lang w:val="fr-FR"/>
        </w:rPr>
        <w:t xml:space="preserve">s </w:t>
      </w:r>
      <w:r w:rsidR="001B2F58" w:rsidRPr="00DD03D6">
        <w:rPr>
          <w:noProof/>
          <w:lang w:val="fr-FR"/>
        </w:rPr>
        <w:t>1987 (</w:t>
      </w:r>
      <w:r w:rsidR="00844506">
        <w:rPr>
          <w:noProof/>
          <w:lang w:val="fr-FR"/>
        </w:rPr>
        <w:t xml:space="preserve">Équipe de </w:t>
      </w:r>
      <w:r w:rsidR="00844506" w:rsidRPr="00844506">
        <w:rPr>
          <w:noProof/>
          <w:lang w:val="fr-FR"/>
        </w:rPr>
        <w:t>l’Étude sur la santé des gens du voyage en Irlande</w:t>
      </w:r>
      <w:r w:rsidR="001B2F58" w:rsidRPr="00DD03D6">
        <w:rPr>
          <w:noProof/>
          <w:lang w:val="fr-FR"/>
        </w:rPr>
        <w:t xml:space="preserve">, 2010). </w:t>
      </w:r>
      <w:r w:rsidR="00844506">
        <w:rPr>
          <w:noProof/>
          <w:lang w:val="fr-FR"/>
        </w:rPr>
        <w:t xml:space="preserve">Elle fournit des </w:t>
      </w:r>
      <w:r w:rsidR="001B2F58" w:rsidRPr="00DD03D6">
        <w:rPr>
          <w:noProof/>
          <w:lang w:val="fr-FR"/>
        </w:rPr>
        <w:t>information</w:t>
      </w:r>
      <w:r w:rsidR="00844506">
        <w:rPr>
          <w:noProof/>
          <w:lang w:val="fr-FR"/>
        </w:rPr>
        <w:t>s</w:t>
      </w:r>
      <w:r w:rsidR="001B2F58" w:rsidRPr="00DD03D6">
        <w:rPr>
          <w:noProof/>
          <w:lang w:val="fr-FR"/>
        </w:rPr>
        <w:t xml:space="preserve"> </w:t>
      </w:r>
      <w:r w:rsidR="00844506">
        <w:rPr>
          <w:noProof/>
          <w:lang w:val="fr-FR"/>
        </w:rPr>
        <w:t>sur la façon d</w:t>
      </w:r>
      <w:r w:rsidR="005D3225">
        <w:rPr>
          <w:noProof/>
          <w:lang w:val="fr-FR"/>
        </w:rPr>
        <w:t>ont l</w:t>
      </w:r>
      <w:r w:rsidR="00844506">
        <w:rPr>
          <w:noProof/>
          <w:lang w:val="fr-FR"/>
        </w:rPr>
        <w:t xml:space="preserve">es mères </w:t>
      </w:r>
      <w:r w:rsidR="005D3225">
        <w:rPr>
          <w:noProof/>
          <w:lang w:val="fr-FR"/>
        </w:rPr>
        <w:t xml:space="preserve">considèrent </w:t>
      </w:r>
      <w:r w:rsidR="00844506">
        <w:rPr>
          <w:noProof/>
          <w:lang w:val="fr-FR"/>
        </w:rPr>
        <w:t xml:space="preserve">la santé de leurs enfants (enfants âgés de </w:t>
      </w:r>
      <w:r w:rsidR="0032589C">
        <w:rPr>
          <w:noProof/>
          <w:lang w:val="fr-FR"/>
        </w:rPr>
        <w:t>5</w:t>
      </w:r>
      <w:r w:rsidR="00844506">
        <w:rPr>
          <w:noProof/>
          <w:lang w:val="fr-FR"/>
        </w:rPr>
        <w:t xml:space="preserve">, </w:t>
      </w:r>
      <w:r w:rsidR="0032589C">
        <w:rPr>
          <w:noProof/>
          <w:lang w:val="fr-FR"/>
        </w:rPr>
        <w:t>9</w:t>
      </w:r>
      <w:r w:rsidR="00844506">
        <w:rPr>
          <w:noProof/>
          <w:lang w:val="fr-FR"/>
        </w:rPr>
        <w:t xml:space="preserve"> et 14 ans)</w:t>
      </w:r>
      <w:r w:rsidR="001B2F58" w:rsidRPr="00DD03D6">
        <w:rPr>
          <w:noProof/>
          <w:lang w:val="fr-FR"/>
        </w:rPr>
        <w:t xml:space="preserve">. </w:t>
      </w:r>
      <w:r w:rsidR="00E96F10">
        <w:rPr>
          <w:noProof/>
          <w:lang w:val="fr-FR"/>
        </w:rPr>
        <w:t>Il a été indiqué que l</w:t>
      </w:r>
      <w:r w:rsidR="00844506">
        <w:rPr>
          <w:noProof/>
          <w:lang w:val="fr-FR"/>
        </w:rPr>
        <w:t xml:space="preserve">’immense majorité des enfants (plus de </w:t>
      </w:r>
      <w:r w:rsidR="001B2F58" w:rsidRPr="00DD03D6">
        <w:rPr>
          <w:noProof/>
          <w:lang w:val="fr-FR"/>
        </w:rPr>
        <w:t>90</w:t>
      </w:r>
      <w:r w:rsidR="003F1ADB">
        <w:rPr>
          <w:noProof/>
          <w:lang w:val="fr-FR"/>
        </w:rPr>
        <w:t> %</w:t>
      </w:r>
      <w:r w:rsidR="001B2F58" w:rsidRPr="00DD03D6">
        <w:rPr>
          <w:noProof/>
          <w:lang w:val="fr-FR"/>
        </w:rPr>
        <w:t xml:space="preserve">) </w:t>
      </w:r>
      <w:r w:rsidR="00E96F10">
        <w:rPr>
          <w:noProof/>
          <w:lang w:val="fr-FR"/>
        </w:rPr>
        <w:t xml:space="preserve">étaient en bonne </w:t>
      </w:r>
      <w:r w:rsidR="005D3225">
        <w:rPr>
          <w:noProof/>
          <w:lang w:val="fr-FR"/>
        </w:rPr>
        <w:t xml:space="preserve">santé, encore que la proportion ait été, pour les enfants âgés de </w:t>
      </w:r>
      <w:r w:rsidR="0032589C">
        <w:rPr>
          <w:noProof/>
          <w:lang w:val="fr-FR"/>
        </w:rPr>
        <w:t>9</w:t>
      </w:r>
      <w:r w:rsidR="005D3225">
        <w:rPr>
          <w:noProof/>
          <w:lang w:val="fr-FR"/>
        </w:rPr>
        <w:t xml:space="preserve"> ans, légèrement inférieure au chiffre donné dans l’étude </w:t>
      </w:r>
      <w:r w:rsidR="001B2F58" w:rsidRPr="00DD03D6">
        <w:rPr>
          <w:i/>
          <w:iCs/>
          <w:noProof/>
          <w:lang w:val="fr-FR"/>
        </w:rPr>
        <w:t>Gr</w:t>
      </w:r>
      <w:r w:rsidR="005D3225">
        <w:rPr>
          <w:i/>
          <w:iCs/>
          <w:noProof/>
          <w:lang w:val="fr-FR"/>
        </w:rPr>
        <w:t xml:space="preserve">andir en </w:t>
      </w:r>
      <w:r w:rsidR="001B2F58" w:rsidRPr="00DD03D6">
        <w:rPr>
          <w:i/>
          <w:iCs/>
          <w:noProof/>
          <w:lang w:val="fr-FR"/>
        </w:rPr>
        <w:t>Irland</w:t>
      </w:r>
      <w:r w:rsidR="005D3225">
        <w:rPr>
          <w:i/>
          <w:iCs/>
          <w:noProof/>
          <w:lang w:val="fr-FR"/>
        </w:rPr>
        <w:t>e</w:t>
      </w:r>
      <w:r w:rsidR="001B2F58" w:rsidRPr="00DD03D6">
        <w:rPr>
          <w:noProof/>
          <w:lang w:val="fr-FR"/>
        </w:rPr>
        <w:t xml:space="preserve"> </w:t>
      </w:r>
      <w:r w:rsidR="005D3225">
        <w:rPr>
          <w:noProof/>
          <w:lang w:val="fr-FR"/>
        </w:rPr>
        <w:t xml:space="preserve">pour l’ensemble de la </w:t>
      </w:r>
      <w:r w:rsidR="001B2F58" w:rsidRPr="00DD03D6">
        <w:rPr>
          <w:noProof/>
          <w:lang w:val="fr-FR"/>
        </w:rPr>
        <w:t>population (</w:t>
      </w:r>
      <w:r w:rsidR="005D3225">
        <w:rPr>
          <w:noProof/>
          <w:lang w:val="fr-FR"/>
        </w:rPr>
        <w:t>voir les</w:t>
      </w:r>
      <w:r w:rsidR="001B2F58" w:rsidRPr="00DD03D6">
        <w:rPr>
          <w:noProof/>
          <w:lang w:val="fr-FR"/>
        </w:rPr>
        <w:t xml:space="preserve"> </w:t>
      </w:r>
      <w:r w:rsidR="00934E56" w:rsidRPr="00DD03D6">
        <w:rPr>
          <w:noProof/>
          <w:lang w:val="fr-FR"/>
        </w:rPr>
        <w:t>p</w:t>
      </w:r>
      <w:r w:rsidR="00796A7C" w:rsidRPr="00DD03D6">
        <w:rPr>
          <w:noProof/>
          <w:lang w:val="fr-FR"/>
        </w:rPr>
        <w:t>ar</w:t>
      </w:r>
      <w:r w:rsidR="0032589C">
        <w:rPr>
          <w:noProof/>
          <w:lang w:val="fr-FR"/>
        </w:rPr>
        <w:t>agraphes</w:t>
      </w:r>
      <w:r w:rsidR="00796A7C" w:rsidRPr="00DD03D6">
        <w:rPr>
          <w:noProof/>
          <w:lang w:val="fr-FR"/>
        </w:rPr>
        <w:t> </w:t>
      </w:r>
      <w:r w:rsidR="003051BA" w:rsidRPr="00DD03D6">
        <w:rPr>
          <w:noProof/>
          <w:lang w:val="fr-FR"/>
        </w:rPr>
        <w:t>491</w:t>
      </w:r>
      <w:r w:rsidR="0032589C">
        <w:rPr>
          <w:noProof/>
          <w:lang w:val="fr-FR"/>
        </w:rPr>
        <w:t xml:space="preserve"> et </w:t>
      </w:r>
      <w:r w:rsidR="003051BA" w:rsidRPr="00DD03D6">
        <w:rPr>
          <w:noProof/>
          <w:lang w:val="fr-FR"/>
        </w:rPr>
        <w:t>492</w:t>
      </w:r>
      <w:r w:rsidR="001B2F58" w:rsidRPr="00DD03D6">
        <w:rPr>
          <w:noProof/>
          <w:lang w:val="fr-FR"/>
        </w:rPr>
        <w:t>).</w:t>
      </w:r>
    </w:p>
    <w:p w:rsidR="001B2F58" w:rsidRPr="00DD03D6" w:rsidRDefault="00562B3D" w:rsidP="004521ED">
      <w:pPr>
        <w:pStyle w:val="SingleTxtG"/>
        <w:numPr>
          <w:ilvl w:val="0"/>
          <w:numId w:val="3"/>
        </w:numPr>
        <w:ind w:left="1134" w:firstLine="0"/>
        <w:rPr>
          <w:noProof/>
          <w:lang w:val="fr-FR"/>
        </w:rPr>
      </w:pPr>
      <w:r>
        <w:rPr>
          <w:noProof/>
          <w:lang w:val="fr-FR"/>
        </w:rPr>
        <w:t xml:space="preserve">L’état de santé des enfants de la communauté des gens du voyage signalé par l’étude susvisée était comparable à celui de l’ensemble de la population, </w:t>
      </w:r>
      <w:r w:rsidR="005D041E">
        <w:rPr>
          <w:noProof/>
          <w:lang w:val="fr-FR"/>
        </w:rPr>
        <w:t xml:space="preserve">et même </w:t>
      </w:r>
      <w:r>
        <w:rPr>
          <w:noProof/>
          <w:lang w:val="fr-FR"/>
        </w:rPr>
        <w:t>meilleur</w:t>
      </w:r>
      <w:r w:rsidR="005D041E">
        <w:rPr>
          <w:noProof/>
          <w:lang w:val="fr-FR"/>
        </w:rPr>
        <w:t xml:space="preserve"> dans certains cas</w:t>
      </w:r>
      <w:r w:rsidR="001B2F58" w:rsidRPr="00DD03D6">
        <w:rPr>
          <w:noProof/>
          <w:lang w:val="fr-FR"/>
        </w:rPr>
        <w:t xml:space="preserve">. </w:t>
      </w:r>
      <w:r>
        <w:rPr>
          <w:noProof/>
          <w:lang w:val="fr-FR"/>
        </w:rPr>
        <w:t>Toutefois, l’étude a relevé un certain nombre de problèmes de santé parmi ces enfants :</w:t>
      </w:r>
      <w:r w:rsidR="001B2F58" w:rsidRPr="00DD03D6">
        <w:rPr>
          <w:noProof/>
          <w:lang w:val="fr-FR"/>
        </w:rPr>
        <w:t xml:space="preserve"> </w:t>
      </w:r>
      <w:r>
        <w:rPr>
          <w:noProof/>
          <w:lang w:val="fr-FR"/>
        </w:rPr>
        <w:t xml:space="preserve">les taux d’allaitement au sein chez les jeunes mères de cette communauté étaient très faibles, une plus forte proportion de nourrissons présentaient une insuffisance pondérale à la naissance et une proportion nettement plus élevée d’enfants </w:t>
      </w:r>
      <w:r w:rsidR="00AD21E7">
        <w:rPr>
          <w:noProof/>
          <w:lang w:val="fr-FR"/>
        </w:rPr>
        <w:t xml:space="preserve">que parmi les autres groupes socioéconomiques de la population </w:t>
      </w:r>
      <w:r>
        <w:rPr>
          <w:noProof/>
          <w:lang w:val="fr-FR"/>
        </w:rPr>
        <w:t xml:space="preserve">ne bénéficiaient pas des soins </w:t>
      </w:r>
      <w:r w:rsidR="00AD21E7">
        <w:rPr>
          <w:noProof/>
          <w:lang w:val="fr-FR"/>
        </w:rPr>
        <w:t>m</w:t>
      </w:r>
      <w:r>
        <w:rPr>
          <w:noProof/>
          <w:lang w:val="fr-FR"/>
        </w:rPr>
        <w:t>édicaux nécessaires en cas de problème de santé</w:t>
      </w:r>
      <w:r w:rsidR="001B2F58" w:rsidRPr="00DD03D6">
        <w:rPr>
          <w:noProof/>
          <w:lang w:val="fr-FR"/>
        </w:rPr>
        <w:t xml:space="preserve">. </w:t>
      </w:r>
      <w:r w:rsidR="00AD21E7">
        <w:rPr>
          <w:noProof/>
          <w:lang w:val="fr-FR"/>
        </w:rPr>
        <w:t>La consommation de fruits et de légumes indiquée était supérieure parmi les enfants de cette communauté qui étaient âgés de neuf ans, mais les enfants de cette communauté avaient également plus de chances de voir du sel ajouté à leur alimentation</w:t>
      </w:r>
      <w:r w:rsidR="001B2F58" w:rsidRPr="00DD03D6">
        <w:rPr>
          <w:noProof/>
          <w:lang w:val="fr-FR"/>
        </w:rPr>
        <w:t>.</w:t>
      </w:r>
    </w:p>
    <w:p w:rsidR="001B2F58" w:rsidRPr="00DD03D6" w:rsidRDefault="000B0E18" w:rsidP="004521ED">
      <w:pPr>
        <w:pStyle w:val="SingleTxtG"/>
        <w:numPr>
          <w:ilvl w:val="0"/>
          <w:numId w:val="3"/>
        </w:numPr>
        <w:ind w:left="1134" w:firstLine="0"/>
        <w:rPr>
          <w:noProof/>
          <w:lang w:val="fr-FR"/>
        </w:rPr>
      </w:pPr>
      <w:r>
        <w:rPr>
          <w:noProof/>
          <w:lang w:val="fr-FR"/>
        </w:rPr>
        <w:t xml:space="preserve">Dans le cadre de l’étude susvisée, </w:t>
      </w:r>
      <w:r w:rsidR="00C42936">
        <w:rPr>
          <w:noProof/>
          <w:lang w:val="fr-FR"/>
        </w:rPr>
        <w:t>une étude complémentaire sur les enfants de la communauté des gens du voyage nés entre le</w:t>
      </w:r>
      <w:r w:rsidR="001B2F58" w:rsidRPr="00DD03D6">
        <w:rPr>
          <w:noProof/>
          <w:lang w:val="fr-FR"/>
        </w:rPr>
        <w:t xml:space="preserve"> 14 </w:t>
      </w:r>
      <w:r w:rsidR="00C42936">
        <w:rPr>
          <w:noProof/>
          <w:lang w:val="fr-FR"/>
        </w:rPr>
        <w:t>o</w:t>
      </w:r>
      <w:r w:rsidR="001B2F58" w:rsidRPr="00DD03D6">
        <w:rPr>
          <w:noProof/>
          <w:lang w:val="fr-FR"/>
        </w:rPr>
        <w:t>ctob</w:t>
      </w:r>
      <w:r w:rsidR="00C42936">
        <w:rPr>
          <w:noProof/>
          <w:lang w:val="fr-FR"/>
        </w:rPr>
        <w:t>re</w:t>
      </w:r>
      <w:r w:rsidR="001B2F58" w:rsidRPr="00DD03D6">
        <w:rPr>
          <w:noProof/>
          <w:lang w:val="fr-FR"/>
        </w:rPr>
        <w:t xml:space="preserve"> 2009 </w:t>
      </w:r>
      <w:r w:rsidR="00C42936">
        <w:rPr>
          <w:noProof/>
          <w:lang w:val="fr-FR"/>
        </w:rPr>
        <w:t xml:space="preserve">et le </w:t>
      </w:r>
      <w:r w:rsidR="001B2F58" w:rsidRPr="00DD03D6">
        <w:rPr>
          <w:noProof/>
          <w:lang w:val="fr-FR"/>
        </w:rPr>
        <w:t xml:space="preserve">13 </w:t>
      </w:r>
      <w:r w:rsidR="00C42936">
        <w:rPr>
          <w:noProof/>
          <w:lang w:val="fr-FR"/>
        </w:rPr>
        <w:t>octobre</w:t>
      </w:r>
      <w:r w:rsidR="001B2F58" w:rsidRPr="00DD03D6">
        <w:rPr>
          <w:noProof/>
          <w:lang w:val="fr-FR"/>
        </w:rPr>
        <w:t xml:space="preserve"> 2010 </w:t>
      </w:r>
      <w:r w:rsidR="00C42936">
        <w:rPr>
          <w:noProof/>
          <w:lang w:val="fr-FR"/>
        </w:rPr>
        <w:t xml:space="preserve">a également été réalisée </w:t>
      </w:r>
      <w:r w:rsidR="001B2F58" w:rsidRPr="00DD03D6">
        <w:rPr>
          <w:noProof/>
          <w:lang w:val="fr-FR"/>
        </w:rPr>
        <w:t>(</w:t>
      </w:r>
      <w:r w:rsidR="00C42936">
        <w:rPr>
          <w:noProof/>
          <w:lang w:val="fr-FR"/>
        </w:rPr>
        <w:t xml:space="preserve">Équipe de </w:t>
      </w:r>
      <w:r w:rsidR="00C42936" w:rsidRPr="00844506">
        <w:rPr>
          <w:noProof/>
          <w:lang w:val="fr-FR"/>
        </w:rPr>
        <w:t xml:space="preserve">l’Étude sur la santé des gens du voyage en </w:t>
      </w:r>
      <w:r w:rsidR="00C42936">
        <w:rPr>
          <w:noProof/>
          <w:lang w:val="fr-FR"/>
        </w:rPr>
        <w:t>Irlande</w:t>
      </w:r>
      <w:r w:rsidR="001B2F58" w:rsidRPr="00DD03D6">
        <w:rPr>
          <w:noProof/>
          <w:lang w:val="fr-FR"/>
        </w:rPr>
        <w:t xml:space="preserve">, 2011). </w:t>
      </w:r>
      <w:r w:rsidR="00E86B83">
        <w:rPr>
          <w:noProof/>
          <w:lang w:val="fr-FR"/>
        </w:rPr>
        <w:t xml:space="preserve">Elle a montré que le taux de mortalité infantile parmi les gens du voyage pour la période </w:t>
      </w:r>
      <w:r w:rsidR="001B2F58" w:rsidRPr="00DD03D6">
        <w:rPr>
          <w:noProof/>
          <w:lang w:val="fr-FR"/>
        </w:rPr>
        <w:t xml:space="preserve">2000-2009 </w:t>
      </w:r>
      <w:r w:rsidR="00E86B83">
        <w:rPr>
          <w:noProof/>
          <w:lang w:val="fr-FR"/>
        </w:rPr>
        <w:t xml:space="preserve">avait été de </w:t>
      </w:r>
      <w:r w:rsidR="001B2F58" w:rsidRPr="00DD03D6">
        <w:rPr>
          <w:noProof/>
          <w:lang w:val="fr-FR"/>
        </w:rPr>
        <w:t>12 p</w:t>
      </w:r>
      <w:r w:rsidR="00E86B83">
        <w:rPr>
          <w:noProof/>
          <w:lang w:val="fr-FR"/>
        </w:rPr>
        <w:t>ou</w:t>
      </w:r>
      <w:r w:rsidR="001B2F58" w:rsidRPr="00DD03D6">
        <w:rPr>
          <w:noProof/>
          <w:lang w:val="fr-FR"/>
        </w:rPr>
        <w:t>r 1</w:t>
      </w:r>
      <w:r w:rsidR="0032589C">
        <w:rPr>
          <w:noProof/>
          <w:lang w:val="fr-FR"/>
        </w:rPr>
        <w:t> </w:t>
      </w:r>
      <w:r w:rsidR="001B2F58" w:rsidRPr="00DD03D6">
        <w:rPr>
          <w:noProof/>
          <w:lang w:val="fr-FR"/>
        </w:rPr>
        <w:t xml:space="preserve">000, </w:t>
      </w:r>
      <w:r w:rsidR="00E86B83">
        <w:rPr>
          <w:noProof/>
          <w:lang w:val="fr-FR"/>
        </w:rPr>
        <w:t xml:space="preserve">soit près de quatre fois le taux observé </w:t>
      </w:r>
      <w:r w:rsidR="00320B9E">
        <w:rPr>
          <w:noProof/>
          <w:lang w:val="fr-FR"/>
        </w:rPr>
        <w:t>dans</w:t>
      </w:r>
      <w:r w:rsidR="00E86B83">
        <w:rPr>
          <w:noProof/>
          <w:lang w:val="fr-FR"/>
        </w:rPr>
        <w:t xml:space="preserve"> l’ensemble de la population</w:t>
      </w:r>
      <w:r w:rsidR="001B2F58" w:rsidRPr="00DD03D6">
        <w:rPr>
          <w:noProof/>
          <w:lang w:val="fr-FR"/>
        </w:rPr>
        <w:t>; 2</w:t>
      </w:r>
      <w:r w:rsidR="003F1ADB">
        <w:rPr>
          <w:noProof/>
          <w:lang w:val="fr-FR"/>
        </w:rPr>
        <w:t> %</w:t>
      </w:r>
      <w:r w:rsidR="001B2F58" w:rsidRPr="00DD03D6">
        <w:rPr>
          <w:noProof/>
          <w:lang w:val="fr-FR"/>
        </w:rPr>
        <w:t xml:space="preserve"> </w:t>
      </w:r>
      <w:r w:rsidR="00E86B83">
        <w:rPr>
          <w:noProof/>
          <w:lang w:val="fr-FR"/>
        </w:rPr>
        <w:t>seulement des mères de cette communauté allaitaient leur enfant</w:t>
      </w:r>
      <w:r w:rsidR="001B2F58" w:rsidRPr="00DD03D6">
        <w:rPr>
          <w:noProof/>
          <w:lang w:val="fr-FR"/>
        </w:rPr>
        <w:t>, co</w:t>
      </w:r>
      <w:r w:rsidR="00E86B83">
        <w:rPr>
          <w:noProof/>
          <w:lang w:val="fr-FR"/>
        </w:rPr>
        <w:t xml:space="preserve">ntre </w:t>
      </w:r>
      <w:r w:rsidR="001B2F58" w:rsidRPr="00DD03D6">
        <w:rPr>
          <w:noProof/>
          <w:lang w:val="fr-FR"/>
        </w:rPr>
        <w:t>48</w:t>
      </w:r>
      <w:r w:rsidR="003F1ADB">
        <w:rPr>
          <w:noProof/>
          <w:lang w:val="fr-FR"/>
        </w:rPr>
        <w:t> %</w:t>
      </w:r>
      <w:r w:rsidR="001B2F58" w:rsidRPr="00DD03D6">
        <w:rPr>
          <w:noProof/>
          <w:lang w:val="fr-FR"/>
        </w:rPr>
        <w:t xml:space="preserve"> </w:t>
      </w:r>
      <w:r w:rsidR="00E86B83">
        <w:rPr>
          <w:noProof/>
          <w:lang w:val="fr-FR"/>
        </w:rPr>
        <w:t xml:space="preserve">des mères selon l’étude </w:t>
      </w:r>
      <w:r w:rsidR="00E86B83" w:rsidRPr="00DD03D6">
        <w:rPr>
          <w:i/>
          <w:iCs/>
          <w:noProof/>
          <w:lang w:val="fr-FR"/>
        </w:rPr>
        <w:t>Gr</w:t>
      </w:r>
      <w:r w:rsidR="00E86B83">
        <w:rPr>
          <w:i/>
          <w:iCs/>
          <w:noProof/>
          <w:lang w:val="fr-FR"/>
        </w:rPr>
        <w:t>andir en Irlande</w:t>
      </w:r>
      <w:r w:rsidR="001B2F58" w:rsidRPr="00DD03D6">
        <w:rPr>
          <w:noProof/>
          <w:lang w:val="fr-FR"/>
        </w:rPr>
        <w:t xml:space="preserve">; </w:t>
      </w:r>
      <w:r w:rsidR="00E86B83">
        <w:rPr>
          <w:noProof/>
          <w:lang w:val="fr-FR"/>
        </w:rPr>
        <w:t>et les taux de vaccination étaient nettement inférieurs parmi les enfants de cette communauté</w:t>
      </w:r>
      <w:r w:rsidR="001B2F58" w:rsidRPr="00DD03D6">
        <w:rPr>
          <w:noProof/>
          <w:lang w:val="fr-FR"/>
        </w:rPr>
        <w:t xml:space="preserve">. </w:t>
      </w:r>
      <w:r w:rsidR="00FD3199">
        <w:rPr>
          <w:noProof/>
          <w:lang w:val="fr-FR"/>
        </w:rPr>
        <w:t>L</w:t>
      </w:r>
      <w:r w:rsidR="00E86B83">
        <w:rPr>
          <w:noProof/>
          <w:lang w:val="fr-FR"/>
        </w:rPr>
        <w:t xml:space="preserve">a désincitation à allaiter jusqu’à la réception de résultats négatifs </w:t>
      </w:r>
      <w:r w:rsidR="00FD3199">
        <w:rPr>
          <w:noProof/>
          <w:lang w:val="fr-FR"/>
        </w:rPr>
        <w:t>du</w:t>
      </w:r>
      <w:r w:rsidR="00E86B83">
        <w:rPr>
          <w:noProof/>
          <w:lang w:val="fr-FR"/>
        </w:rPr>
        <w:t xml:space="preserve"> test de </w:t>
      </w:r>
      <w:r w:rsidR="00FD3199">
        <w:rPr>
          <w:noProof/>
          <w:lang w:val="fr-FR"/>
        </w:rPr>
        <w:t xml:space="preserve">dépistage de la </w:t>
      </w:r>
      <w:r w:rsidR="00E86B83">
        <w:rPr>
          <w:noProof/>
          <w:lang w:val="fr-FR"/>
        </w:rPr>
        <w:t xml:space="preserve">galactosémie </w:t>
      </w:r>
      <w:r w:rsidR="00FD3199">
        <w:rPr>
          <w:noProof/>
          <w:lang w:val="fr-FR"/>
        </w:rPr>
        <w:t xml:space="preserve">a </w:t>
      </w:r>
      <w:r w:rsidR="00FD3199">
        <w:rPr>
          <w:noProof/>
          <w:lang w:val="fr-FR"/>
        </w:rPr>
        <w:lastRenderedPageBreak/>
        <w:t xml:space="preserve">été </w:t>
      </w:r>
      <w:r w:rsidR="002E566C">
        <w:rPr>
          <w:noProof/>
          <w:lang w:val="fr-FR"/>
        </w:rPr>
        <w:t xml:space="preserve">considérée comme </w:t>
      </w:r>
      <w:r w:rsidR="00F368D7">
        <w:rPr>
          <w:noProof/>
          <w:lang w:val="fr-FR"/>
        </w:rPr>
        <w:t>un obstacle à l’allaitement</w:t>
      </w:r>
      <w:r w:rsidR="00FD3199">
        <w:rPr>
          <w:noProof/>
          <w:lang w:val="fr-FR"/>
        </w:rPr>
        <w:t xml:space="preserve"> au sein parmi les femmes de cette communauté</w:t>
      </w:r>
      <w:r w:rsidR="002E566C">
        <w:rPr>
          <w:noProof/>
          <w:lang w:val="fr-FR"/>
        </w:rPr>
        <w:t xml:space="preserve"> dans le rapport intitulé </w:t>
      </w:r>
      <w:r w:rsidR="002E566C">
        <w:rPr>
          <w:i/>
          <w:noProof/>
          <w:lang w:val="fr-FR"/>
        </w:rPr>
        <w:t xml:space="preserve">Évaluation des obstacles à l’allaitement au sein et des besoins </w:t>
      </w:r>
      <w:r w:rsidR="00FD7D50">
        <w:rPr>
          <w:i/>
          <w:noProof/>
          <w:lang w:val="fr-FR"/>
        </w:rPr>
        <w:t xml:space="preserve">en matière de services des familles et communautés à faibles taux d’allaitement en Irlande </w:t>
      </w:r>
      <w:r w:rsidR="00FD7D50">
        <w:rPr>
          <w:noProof/>
          <w:lang w:val="fr-FR"/>
        </w:rPr>
        <w:t>(</w:t>
      </w:r>
      <w:r w:rsidR="001B2F58" w:rsidRPr="00DD03D6">
        <w:rPr>
          <w:bCs/>
          <w:i/>
          <w:noProof/>
          <w:lang w:val="fr-FR"/>
        </w:rPr>
        <w:t>An assessment of the barriers to breastfeeding and the service needs of families and communities in Ireland with low breastfeeding rates</w:t>
      </w:r>
      <w:r w:rsidR="00FD7D50">
        <w:rPr>
          <w:bCs/>
          <w:iCs/>
          <w:noProof/>
          <w:lang w:val="fr-FR"/>
        </w:rPr>
        <w:t xml:space="preserve">) </w:t>
      </w:r>
      <w:r w:rsidR="001B2F58" w:rsidRPr="00DD03D6">
        <w:rPr>
          <w:bCs/>
          <w:iCs/>
          <w:noProof/>
          <w:lang w:val="fr-FR"/>
        </w:rPr>
        <w:t xml:space="preserve">(Doyle </w:t>
      </w:r>
      <w:r w:rsidR="001B2F58" w:rsidRPr="00F57F14">
        <w:rPr>
          <w:bCs/>
          <w:i/>
          <w:iCs/>
          <w:noProof/>
          <w:lang w:val="fr-FR"/>
        </w:rPr>
        <w:t>et al</w:t>
      </w:r>
      <w:r w:rsidR="004521ED" w:rsidRPr="00F57F14">
        <w:rPr>
          <w:bCs/>
          <w:i/>
          <w:iCs/>
          <w:noProof/>
          <w:lang w:val="fr-FR"/>
        </w:rPr>
        <w:t>.</w:t>
      </w:r>
      <w:r w:rsidR="001B2F58" w:rsidRPr="00DD03D6">
        <w:rPr>
          <w:bCs/>
          <w:iCs/>
          <w:noProof/>
          <w:lang w:val="fr-FR"/>
        </w:rPr>
        <w:t>, 2009)</w:t>
      </w:r>
      <w:r w:rsidR="001B2F58" w:rsidRPr="00DD03D6">
        <w:rPr>
          <w:iCs/>
          <w:noProof/>
          <w:lang w:val="fr-FR"/>
        </w:rPr>
        <w:t xml:space="preserve">. </w:t>
      </w:r>
      <w:r w:rsidR="00FD7D50">
        <w:rPr>
          <w:iCs/>
          <w:noProof/>
          <w:lang w:val="fr-FR"/>
        </w:rPr>
        <w:t xml:space="preserve">Ce rapport a également conclu à la nécessité d’améliorer les systèmes </w:t>
      </w:r>
      <w:r w:rsidR="00AD42BE">
        <w:rPr>
          <w:iCs/>
          <w:noProof/>
          <w:lang w:val="fr-FR"/>
        </w:rPr>
        <w:t xml:space="preserve">de communication d’informations </w:t>
      </w:r>
      <w:r w:rsidR="00FD7D50">
        <w:rPr>
          <w:noProof/>
          <w:lang w:val="fr-FR"/>
        </w:rPr>
        <w:t xml:space="preserve">et de fournir des aides supplémentaires </w:t>
      </w:r>
      <w:r w:rsidR="00AD42BE">
        <w:rPr>
          <w:noProof/>
          <w:lang w:val="fr-FR"/>
        </w:rPr>
        <w:t xml:space="preserve">pour inciter les mères à </w:t>
      </w:r>
      <w:r w:rsidR="00320B9E">
        <w:rPr>
          <w:noProof/>
          <w:lang w:val="fr-FR"/>
        </w:rPr>
        <w:t>mettre en route et poursuivre l’</w:t>
      </w:r>
      <w:r w:rsidR="00AD42BE">
        <w:rPr>
          <w:noProof/>
          <w:lang w:val="fr-FR"/>
        </w:rPr>
        <w:t>allaite</w:t>
      </w:r>
      <w:r w:rsidR="00320B9E">
        <w:rPr>
          <w:noProof/>
          <w:lang w:val="fr-FR"/>
        </w:rPr>
        <w:t>ment</w:t>
      </w:r>
      <w:r w:rsidR="001B2F58" w:rsidRPr="00DD03D6">
        <w:rPr>
          <w:noProof/>
          <w:lang w:val="fr-FR"/>
        </w:rPr>
        <w:t>.</w:t>
      </w:r>
    </w:p>
    <w:p w:rsidR="001B2F58" w:rsidRPr="00DD03D6" w:rsidRDefault="00025E41" w:rsidP="000A5661">
      <w:pPr>
        <w:pStyle w:val="SingleTxtG"/>
        <w:numPr>
          <w:ilvl w:val="0"/>
          <w:numId w:val="3"/>
        </w:numPr>
        <w:ind w:left="1134" w:firstLine="0"/>
        <w:rPr>
          <w:noProof/>
          <w:lang w:val="fr-FR"/>
        </w:rPr>
      </w:pPr>
      <w:r>
        <w:rPr>
          <w:noProof/>
          <w:lang w:val="fr-FR"/>
        </w:rPr>
        <w:t xml:space="preserve">La Stratégie interculturelle nationale en matière de santé pour </w:t>
      </w:r>
      <w:r w:rsidRPr="00DD03D6">
        <w:rPr>
          <w:noProof/>
          <w:lang w:val="fr-FR"/>
        </w:rPr>
        <w:t xml:space="preserve">2007-2012 </w:t>
      </w:r>
      <w:r>
        <w:rPr>
          <w:noProof/>
          <w:lang w:val="fr-FR"/>
        </w:rPr>
        <w:t>considère les gens du voyage comme la minorité culturelle la plus ancienne d’Irlande et l’une de celles qui sont le plus exposées au risque de maladie</w:t>
      </w:r>
      <w:r w:rsidRPr="00DD03D6">
        <w:rPr>
          <w:noProof/>
          <w:lang w:val="fr-FR"/>
        </w:rPr>
        <w:t xml:space="preserve">. </w:t>
      </w:r>
      <w:r>
        <w:rPr>
          <w:noProof/>
          <w:lang w:val="fr-FR"/>
        </w:rPr>
        <w:t>De plus, elle considère que les enfants appartenant à cette communauté sont particulièrement vulnérables face à ce risque</w:t>
      </w:r>
      <w:r w:rsidRPr="00DD03D6">
        <w:rPr>
          <w:noProof/>
          <w:lang w:val="fr-FR"/>
        </w:rPr>
        <w:t xml:space="preserve">. </w:t>
      </w:r>
      <w:r>
        <w:rPr>
          <w:noProof/>
          <w:lang w:val="fr-FR"/>
        </w:rPr>
        <w:t>Il en va de même pour les enfants roms, qui constituent un groupe particulièrement vulnérable, et des efforts considérables ont été déployés en ce qui les concerne. Le Service national de l’intégration sociale qui relève de la Direction des services de santé a pu faciliter la nomination d’un agent des services d’approche pour les Roms</w:t>
      </w:r>
      <w:r w:rsidRPr="00DD03D6">
        <w:rPr>
          <w:noProof/>
          <w:lang w:val="fr-FR"/>
        </w:rPr>
        <w:t xml:space="preserve">, </w:t>
      </w:r>
      <w:r>
        <w:rPr>
          <w:noProof/>
          <w:lang w:val="fr-FR"/>
        </w:rPr>
        <w:t>chargé d’établir le lien entre les familles et les services de santé</w:t>
      </w:r>
      <w:r w:rsidRPr="00DD03D6">
        <w:rPr>
          <w:noProof/>
          <w:lang w:val="fr-FR"/>
        </w:rPr>
        <w:t xml:space="preserve">. </w:t>
      </w:r>
      <w:r>
        <w:rPr>
          <w:noProof/>
          <w:lang w:val="fr-FR"/>
        </w:rPr>
        <w:t xml:space="preserve">Une série de </w:t>
      </w:r>
      <w:r w:rsidRPr="00DD03D6">
        <w:rPr>
          <w:noProof/>
          <w:lang w:val="fr-FR"/>
        </w:rPr>
        <w:t>s</w:t>
      </w:r>
      <w:r>
        <w:rPr>
          <w:noProof/>
          <w:lang w:val="fr-FR"/>
        </w:rPr>
        <w:t>é</w:t>
      </w:r>
      <w:r w:rsidRPr="00DD03D6">
        <w:rPr>
          <w:noProof/>
          <w:lang w:val="fr-FR"/>
        </w:rPr>
        <w:t>mina</w:t>
      </w:r>
      <w:r>
        <w:rPr>
          <w:noProof/>
          <w:lang w:val="fr-FR"/>
        </w:rPr>
        <w:t>ire</w:t>
      </w:r>
      <w:r w:rsidRPr="00DD03D6">
        <w:rPr>
          <w:noProof/>
          <w:lang w:val="fr-FR"/>
        </w:rPr>
        <w:t xml:space="preserve">s </w:t>
      </w:r>
      <w:r>
        <w:rPr>
          <w:noProof/>
          <w:lang w:val="fr-FR"/>
        </w:rPr>
        <w:t xml:space="preserve">ont été accueillis conjointement par la Direction des services de santé et </w:t>
      </w:r>
      <w:r w:rsidRPr="00DD03D6">
        <w:rPr>
          <w:noProof/>
          <w:lang w:val="fr-FR"/>
        </w:rPr>
        <w:t xml:space="preserve">Pavee Point </w:t>
      </w:r>
      <w:r>
        <w:rPr>
          <w:noProof/>
          <w:lang w:val="fr-FR"/>
        </w:rPr>
        <w:t>pour examiner les problèmes auxquels doivent faire face les membres de ce groupe et les prestataires de services qui s’emploient</w:t>
      </w:r>
      <w:r w:rsidR="00E92D3C">
        <w:rPr>
          <w:noProof/>
          <w:lang w:val="fr-FR"/>
        </w:rPr>
        <w:t xml:space="preserve"> </w:t>
      </w:r>
      <w:r>
        <w:rPr>
          <w:noProof/>
          <w:lang w:val="fr-FR"/>
        </w:rPr>
        <w:t>à répondre à leurs besoins</w:t>
      </w:r>
      <w:r w:rsidRPr="00DD03D6">
        <w:rPr>
          <w:noProof/>
          <w:lang w:val="fr-FR"/>
        </w:rPr>
        <w:t xml:space="preserve">. </w:t>
      </w:r>
      <w:r>
        <w:rPr>
          <w:noProof/>
          <w:lang w:val="fr-FR"/>
        </w:rPr>
        <w:t>L’un de ces séminaires était axé sur les questions liées à la protection des enfants et un rapport doit être finalisé sous peu à ce sujet</w:t>
      </w:r>
      <w:r w:rsidRPr="00DD03D6">
        <w:rPr>
          <w:noProof/>
          <w:lang w:val="fr-FR"/>
        </w:rPr>
        <w:t xml:space="preserve">. </w:t>
      </w:r>
      <w:r>
        <w:rPr>
          <w:noProof/>
          <w:lang w:val="fr-FR"/>
        </w:rPr>
        <w:t>Il existe une collaboration interinstitutions pour accélérer la réalisation des priorités fixées en matière de protection des enfants vulnérables</w:t>
      </w:r>
      <w:r w:rsidRPr="00DD03D6">
        <w:rPr>
          <w:noProof/>
          <w:lang w:val="fr-FR"/>
        </w:rPr>
        <w:t xml:space="preserve">, </w:t>
      </w:r>
      <w:r>
        <w:rPr>
          <w:noProof/>
          <w:lang w:val="fr-FR"/>
        </w:rPr>
        <w:t>notamment ceux qui appartiennent à la communauté des gens du voyage et à la communauté rom</w:t>
      </w:r>
      <w:r w:rsidRPr="00DD03D6">
        <w:rPr>
          <w:noProof/>
          <w:lang w:val="fr-FR"/>
        </w:rPr>
        <w:t xml:space="preserve">. </w:t>
      </w:r>
      <w:r>
        <w:rPr>
          <w:noProof/>
          <w:lang w:val="fr-FR"/>
        </w:rPr>
        <w:t>La création au sein du groupe Intégration sociale et protection d’un Comité « Les enfants d’abord » dans lequel les gens du voyage seront représentés facilitera la prise en compte des besoins particuliers des enfants de cette communauté</w:t>
      </w:r>
      <w:r w:rsidR="001B2F58" w:rsidRPr="00DD03D6">
        <w:rPr>
          <w:noProof/>
          <w:lang w:val="fr-FR"/>
        </w:rPr>
        <w:t>.</w:t>
      </w:r>
    </w:p>
    <w:p w:rsidR="001B2F58" w:rsidRPr="00DD03D6" w:rsidRDefault="000A5661" w:rsidP="000A5661">
      <w:pPr>
        <w:pStyle w:val="H1G"/>
        <w:rPr>
          <w:noProof/>
          <w:lang w:val="fr-FR"/>
        </w:rPr>
      </w:pPr>
      <w:bookmarkStart w:id="57" w:name="_Toc356430881"/>
      <w:r w:rsidRPr="00DD03D6">
        <w:rPr>
          <w:noProof/>
          <w:lang w:val="fr-FR"/>
        </w:rPr>
        <w:tab/>
      </w:r>
      <w:r w:rsidR="001B2F58" w:rsidRPr="00DD03D6">
        <w:rPr>
          <w:noProof/>
          <w:lang w:val="fr-FR"/>
        </w:rPr>
        <w:t>C.</w:t>
      </w:r>
      <w:r w:rsidR="001B2F58" w:rsidRPr="00DD03D6">
        <w:rPr>
          <w:noProof/>
          <w:lang w:val="fr-FR"/>
        </w:rPr>
        <w:tab/>
        <w:t>Survi</w:t>
      </w:r>
      <w:r w:rsidR="00A570B5">
        <w:rPr>
          <w:noProof/>
          <w:lang w:val="fr-FR"/>
        </w:rPr>
        <w:t xml:space="preserve">e et développement </w:t>
      </w:r>
      <w:bookmarkEnd w:id="57"/>
    </w:p>
    <w:p w:rsidR="001B2F58" w:rsidRPr="00DD03D6" w:rsidRDefault="00E27A95" w:rsidP="00E77652">
      <w:pPr>
        <w:pStyle w:val="SingleTxtG"/>
        <w:numPr>
          <w:ilvl w:val="0"/>
          <w:numId w:val="3"/>
        </w:numPr>
        <w:ind w:left="1134" w:firstLine="0"/>
        <w:rPr>
          <w:noProof/>
          <w:lang w:val="fr-FR"/>
        </w:rPr>
      </w:pPr>
      <w:r>
        <w:rPr>
          <w:noProof/>
          <w:lang w:val="fr-FR"/>
        </w:rPr>
        <w:t>Les mesures destinées à promouvoir la survie et le développement de l’enfant ont été exposées dans le deuxième rapport périodique</w:t>
      </w:r>
      <w:r w:rsidR="001B2F58" w:rsidRPr="00DD03D6">
        <w:rPr>
          <w:rStyle w:val="Appelnotedebasdep"/>
          <w:noProof/>
          <w:lang w:val="fr-FR"/>
        </w:rPr>
        <w:footnoteReference w:id="37"/>
      </w:r>
      <w:r w:rsidR="001B2F58" w:rsidRPr="00DD03D6">
        <w:rPr>
          <w:noProof/>
          <w:lang w:val="fr-FR"/>
        </w:rPr>
        <w:t xml:space="preserve"> </w:t>
      </w:r>
      <w:r>
        <w:rPr>
          <w:noProof/>
          <w:lang w:val="fr-FR"/>
        </w:rPr>
        <w:t>et récapitulées au deuxième chapitre du présent rapport</w:t>
      </w:r>
      <w:r w:rsidR="001B2F58" w:rsidRPr="00DD03D6">
        <w:rPr>
          <w:noProof/>
          <w:lang w:val="fr-FR"/>
        </w:rPr>
        <w:t xml:space="preserve">. </w:t>
      </w:r>
      <w:r>
        <w:rPr>
          <w:noProof/>
          <w:lang w:val="fr-FR"/>
        </w:rPr>
        <w:t xml:space="preserve">La présente </w:t>
      </w:r>
      <w:r w:rsidR="00796A7C" w:rsidRPr="00DD03D6">
        <w:rPr>
          <w:noProof/>
          <w:lang w:val="fr-FR"/>
        </w:rPr>
        <w:t xml:space="preserve">section </w:t>
      </w:r>
      <w:r>
        <w:rPr>
          <w:noProof/>
          <w:lang w:val="fr-FR"/>
        </w:rPr>
        <w:t>fournit des indications sur les mesures et avancées supplémentaires intervenues depuis la publication du deuxième rapport</w:t>
      </w:r>
      <w:r w:rsidR="001B2F58" w:rsidRPr="00DD03D6">
        <w:rPr>
          <w:noProof/>
          <w:lang w:val="fr-FR"/>
        </w:rPr>
        <w:t>.</w:t>
      </w:r>
    </w:p>
    <w:p w:rsidR="001B2F58" w:rsidRPr="00DD03D6" w:rsidRDefault="00E27A95" w:rsidP="00E27A95">
      <w:pPr>
        <w:pStyle w:val="H23G"/>
        <w:ind w:firstLine="0"/>
        <w:rPr>
          <w:noProof/>
          <w:lang w:val="fr-FR"/>
        </w:rPr>
      </w:pPr>
      <w:r>
        <w:rPr>
          <w:noProof/>
          <w:lang w:val="fr-FR"/>
        </w:rPr>
        <w:t xml:space="preserve">Vaccination </w:t>
      </w:r>
    </w:p>
    <w:p w:rsidR="001B2F58" w:rsidRPr="00DD03D6" w:rsidRDefault="00E27A95" w:rsidP="00111EE3">
      <w:pPr>
        <w:pStyle w:val="SingleTxtG"/>
        <w:numPr>
          <w:ilvl w:val="0"/>
          <w:numId w:val="3"/>
        </w:numPr>
        <w:ind w:left="1134" w:firstLine="0"/>
        <w:rPr>
          <w:noProof/>
          <w:lang w:val="fr-FR"/>
        </w:rPr>
      </w:pPr>
      <w:r>
        <w:rPr>
          <w:noProof/>
          <w:lang w:val="fr-FR"/>
        </w:rPr>
        <w:t>Le Bureau n</w:t>
      </w:r>
      <w:r w:rsidR="001B2F58" w:rsidRPr="00DD03D6">
        <w:rPr>
          <w:noProof/>
          <w:lang w:val="fr-FR"/>
        </w:rPr>
        <w:t xml:space="preserve">ational </w:t>
      </w:r>
      <w:r>
        <w:rPr>
          <w:noProof/>
          <w:lang w:val="fr-FR"/>
        </w:rPr>
        <w:t xml:space="preserve">de la vaccination a été créé en </w:t>
      </w:r>
      <w:r w:rsidR="001B2F58" w:rsidRPr="00DD03D6">
        <w:rPr>
          <w:noProof/>
          <w:lang w:val="fr-FR"/>
        </w:rPr>
        <w:t xml:space="preserve">2005 </w:t>
      </w:r>
      <w:r w:rsidR="007B2EA2">
        <w:rPr>
          <w:noProof/>
          <w:lang w:val="fr-FR"/>
        </w:rPr>
        <w:t xml:space="preserve">pour </w:t>
      </w:r>
      <w:r w:rsidR="001B2F58" w:rsidRPr="00DD03D6">
        <w:rPr>
          <w:noProof/>
          <w:lang w:val="fr-FR"/>
        </w:rPr>
        <w:t>coord</w:t>
      </w:r>
      <w:r w:rsidR="007B2EA2">
        <w:rPr>
          <w:noProof/>
          <w:lang w:val="fr-FR"/>
        </w:rPr>
        <w:t>onner l’exécution en Irlande de programmes de vaccination normalisés de haute qualité</w:t>
      </w:r>
      <w:r w:rsidR="001B2F58" w:rsidRPr="00DD03D6">
        <w:rPr>
          <w:noProof/>
          <w:lang w:val="fr-FR"/>
        </w:rPr>
        <w:t xml:space="preserve">. </w:t>
      </w:r>
      <w:r w:rsidR="00CB0779">
        <w:rPr>
          <w:noProof/>
          <w:lang w:val="fr-FR"/>
        </w:rPr>
        <w:t>Tous les enfants sont vaccinés gratuitement contre un large éventail de maladies</w:t>
      </w:r>
      <w:r w:rsidR="001B2F58" w:rsidRPr="00DD03D6">
        <w:rPr>
          <w:noProof/>
          <w:lang w:val="fr-FR"/>
        </w:rPr>
        <w:t xml:space="preserve">. </w:t>
      </w:r>
      <w:r w:rsidR="00CB0779">
        <w:rPr>
          <w:noProof/>
          <w:lang w:val="fr-FR"/>
        </w:rPr>
        <w:t xml:space="preserve">Un calendrier vaccinal est établi entre la naissance et l’âge de 13 mois, des </w:t>
      </w:r>
      <w:r w:rsidR="003F36DD">
        <w:rPr>
          <w:noProof/>
          <w:lang w:val="fr-FR"/>
        </w:rPr>
        <w:t>« </w:t>
      </w:r>
      <w:r w:rsidR="00CB0779">
        <w:rPr>
          <w:noProof/>
          <w:lang w:val="fr-FR"/>
        </w:rPr>
        <w:t>rappels</w:t>
      </w:r>
      <w:r w:rsidR="003F36DD">
        <w:rPr>
          <w:noProof/>
          <w:lang w:val="fr-FR"/>
        </w:rPr>
        <w:t> »</w:t>
      </w:r>
      <w:r w:rsidR="001B2F58" w:rsidRPr="00DD03D6">
        <w:rPr>
          <w:noProof/>
          <w:lang w:val="fr-FR"/>
        </w:rPr>
        <w:t xml:space="preserve"> </w:t>
      </w:r>
      <w:r w:rsidR="00CB0779">
        <w:rPr>
          <w:noProof/>
          <w:lang w:val="fr-FR"/>
        </w:rPr>
        <w:t>étant administrés aux enfants d’âge préscolaire contre certaines maladies</w:t>
      </w:r>
      <w:r w:rsidR="001B2F58" w:rsidRPr="00DD03D6">
        <w:rPr>
          <w:noProof/>
          <w:lang w:val="fr-FR"/>
        </w:rPr>
        <w:t>.</w:t>
      </w:r>
    </w:p>
    <w:p w:rsidR="001B2F58" w:rsidRPr="00DD03D6" w:rsidRDefault="00CB0779" w:rsidP="000A5661">
      <w:pPr>
        <w:pStyle w:val="SingleTxtG"/>
        <w:numPr>
          <w:ilvl w:val="0"/>
          <w:numId w:val="3"/>
        </w:numPr>
        <w:ind w:left="1134" w:firstLine="0"/>
        <w:rPr>
          <w:noProof/>
          <w:lang w:val="fr-FR"/>
        </w:rPr>
      </w:pPr>
      <w:r>
        <w:rPr>
          <w:noProof/>
          <w:lang w:val="fr-FR"/>
        </w:rPr>
        <w:t>D’une manière générale, les taux de vaccination s’améliorent en Irlande</w:t>
      </w:r>
      <w:r w:rsidR="001B2F58" w:rsidRPr="00DD03D6">
        <w:rPr>
          <w:noProof/>
          <w:lang w:val="fr-FR"/>
        </w:rPr>
        <w:t xml:space="preserve">. </w:t>
      </w:r>
      <w:r>
        <w:rPr>
          <w:noProof/>
          <w:lang w:val="fr-FR"/>
        </w:rPr>
        <w:t>E</w:t>
      </w:r>
      <w:r w:rsidR="001B2F58" w:rsidRPr="00DD03D6">
        <w:rPr>
          <w:noProof/>
          <w:lang w:val="fr-FR"/>
        </w:rPr>
        <w:t xml:space="preserve">n 2011, </w:t>
      </w:r>
      <w:r>
        <w:rPr>
          <w:noProof/>
          <w:lang w:val="fr-FR"/>
        </w:rPr>
        <w:t xml:space="preserve">les taux de vaccination nationaux à l’âge de 12 mois étaient de </w:t>
      </w:r>
      <w:r w:rsidR="001B2F58" w:rsidRPr="00DD03D6">
        <w:rPr>
          <w:noProof/>
          <w:lang w:val="fr-FR"/>
        </w:rPr>
        <w:t>90</w:t>
      </w:r>
      <w:r w:rsidR="003F1ADB">
        <w:rPr>
          <w:noProof/>
          <w:lang w:val="fr-FR"/>
        </w:rPr>
        <w:t> %</w:t>
      </w:r>
      <w:r w:rsidR="001B2F58" w:rsidRPr="00DD03D6">
        <w:rPr>
          <w:noProof/>
          <w:lang w:val="fr-FR"/>
        </w:rPr>
        <w:t xml:space="preserve"> </w:t>
      </w:r>
      <w:r>
        <w:rPr>
          <w:noProof/>
          <w:lang w:val="fr-FR"/>
        </w:rPr>
        <w:t xml:space="preserve">pour </w:t>
      </w:r>
      <w:r w:rsidR="00AE0F30">
        <w:rPr>
          <w:noProof/>
          <w:lang w:val="fr-FR"/>
        </w:rPr>
        <w:t xml:space="preserve">les vaccins </w:t>
      </w:r>
      <w:r w:rsidR="001B2F58" w:rsidRPr="00DD03D6">
        <w:rPr>
          <w:noProof/>
          <w:lang w:val="fr-FR"/>
        </w:rPr>
        <w:t>D</w:t>
      </w:r>
      <w:r w:rsidR="001B2F58" w:rsidRPr="00DD03D6">
        <w:rPr>
          <w:noProof/>
          <w:vertAlign w:val="subscript"/>
          <w:lang w:val="fr-FR"/>
        </w:rPr>
        <w:t>3</w:t>
      </w:r>
      <w:r w:rsidR="001B2F58" w:rsidRPr="00DD03D6">
        <w:rPr>
          <w:noProof/>
          <w:lang w:val="fr-FR"/>
        </w:rPr>
        <w:t>, P</w:t>
      </w:r>
      <w:r w:rsidR="001B2F58" w:rsidRPr="00DD03D6">
        <w:rPr>
          <w:noProof/>
          <w:vertAlign w:val="subscript"/>
          <w:lang w:val="fr-FR"/>
        </w:rPr>
        <w:t>3</w:t>
      </w:r>
      <w:r w:rsidR="001B2F58" w:rsidRPr="00DD03D6">
        <w:rPr>
          <w:noProof/>
          <w:lang w:val="fr-FR"/>
        </w:rPr>
        <w:t>, T</w:t>
      </w:r>
      <w:r w:rsidR="001B2F58" w:rsidRPr="00DD03D6">
        <w:rPr>
          <w:noProof/>
          <w:vertAlign w:val="subscript"/>
          <w:lang w:val="fr-FR"/>
        </w:rPr>
        <w:t>3</w:t>
      </w:r>
      <w:r w:rsidR="001B2F58" w:rsidRPr="00DD03D6">
        <w:rPr>
          <w:noProof/>
          <w:lang w:val="fr-FR"/>
        </w:rPr>
        <w:t>, Hib</w:t>
      </w:r>
      <w:r w:rsidR="001B2F58" w:rsidRPr="00DD03D6">
        <w:rPr>
          <w:noProof/>
          <w:vertAlign w:val="subscript"/>
          <w:lang w:val="fr-FR"/>
        </w:rPr>
        <w:t>3</w:t>
      </w:r>
      <w:r w:rsidR="001B2F58" w:rsidRPr="00DD03D6">
        <w:rPr>
          <w:noProof/>
          <w:lang w:val="fr-FR"/>
        </w:rPr>
        <w:t>, Polio</w:t>
      </w:r>
      <w:r w:rsidR="001B2F58" w:rsidRPr="00DD03D6">
        <w:rPr>
          <w:noProof/>
          <w:vertAlign w:val="subscript"/>
          <w:lang w:val="fr-FR"/>
        </w:rPr>
        <w:t>3</w:t>
      </w:r>
      <w:r w:rsidR="001B2F58" w:rsidRPr="00DD03D6">
        <w:rPr>
          <w:noProof/>
          <w:lang w:val="fr-FR"/>
        </w:rPr>
        <w:t>, HepB</w:t>
      </w:r>
      <w:r w:rsidR="001B2F58" w:rsidRPr="00DD03D6">
        <w:rPr>
          <w:noProof/>
          <w:vertAlign w:val="subscript"/>
          <w:lang w:val="fr-FR"/>
        </w:rPr>
        <w:t>3</w:t>
      </w:r>
      <w:r w:rsidR="001B2F58" w:rsidRPr="00DD03D6">
        <w:rPr>
          <w:noProof/>
          <w:lang w:val="fr-FR"/>
        </w:rPr>
        <w:t>, MenC</w:t>
      </w:r>
      <w:r w:rsidR="001B2F58" w:rsidRPr="00DD03D6">
        <w:rPr>
          <w:noProof/>
          <w:vertAlign w:val="subscript"/>
          <w:lang w:val="fr-FR"/>
        </w:rPr>
        <w:t>2</w:t>
      </w:r>
      <w:r w:rsidR="001B2F58" w:rsidRPr="00DD03D6">
        <w:rPr>
          <w:noProof/>
          <w:lang w:val="fr-FR"/>
        </w:rPr>
        <w:t xml:space="preserve"> </w:t>
      </w:r>
      <w:r w:rsidR="00AE0F30">
        <w:rPr>
          <w:noProof/>
          <w:lang w:val="fr-FR"/>
        </w:rPr>
        <w:t>et</w:t>
      </w:r>
      <w:r w:rsidR="001B2F58" w:rsidRPr="00DD03D6">
        <w:rPr>
          <w:noProof/>
          <w:lang w:val="fr-FR"/>
        </w:rPr>
        <w:t xml:space="preserve"> PCV</w:t>
      </w:r>
      <w:r w:rsidR="001B2F58" w:rsidRPr="00DD03D6">
        <w:rPr>
          <w:noProof/>
          <w:vertAlign w:val="subscript"/>
          <w:lang w:val="fr-FR"/>
        </w:rPr>
        <w:t>2</w:t>
      </w:r>
      <w:r w:rsidR="001B2F58" w:rsidRPr="00DD03D6">
        <w:rPr>
          <w:noProof/>
          <w:lang w:val="fr-FR"/>
        </w:rPr>
        <w:t xml:space="preserve">, </w:t>
      </w:r>
      <w:r w:rsidR="00AE0F30">
        <w:rPr>
          <w:noProof/>
          <w:lang w:val="fr-FR"/>
        </w:rPr>
        <w:t xml:space="preserve">et de </w:t>
      </w:r>
      <w:r w:rsidR="001B2F58" w:rsidRPr="00DD03D6">
        <w:rPr>
          <w:noProof/>
          <w:lang w:val="fr-FR"/>
        </w:rPr>
        <w:t>85</w:t>
      </w:r>
      <w:r w:rsidR="003F1ADB">
        <w:rPr>
          <w:noProof/>
          <w:lang w:val="fr-FR"/>
        </w:rPr>
        <w:t> %</w:t>
      </w:r>
      <w:r w:rsidR="001B2F58" w:rsidRPr="00DD03D6">
        <w:rPr>
          <w:noProof/>
          <w:lang w:val="fr-FR"/>
        </w:rPr>
        <w:t xml:space="preserve"> (</w:t>
      </w:r>
      <w:r w:rsidR="00AE0F30">
        <w:rPr>
          <w:noProof/>
          <w:lang w:val="fr-FR"/>
        </w:rPr>
        <w:t>selon les données disponibles</w:t>
      </w:r>
      <w:r w:rsidR="001B2F58" w:rsidRPr="00DD03D6">
        <w:rPr>
          <w:noProof/>
          <w:lang w:val="fr-FR"/>
        </w:rPr>
        <w:t xml:space="preserve">) </w:t>
      </w:r>
      <w:r w:rsidR="00AE0F30">
        <w:rPr>
          <w:noProof/>
          <w:lang w:val="fr-FR"/>
        </w:rPr>
        <w:t xml:space="preserve">pour le </w:t>
      </w:r>
      <w:r w:rsidR="001B2F58" w:rsidRPr="00DD03D6">
        <w:rPr>
          <w:noProof/>
          <w:lang w:val="fr-FR"/>
        </w:rPr>
        <w:t>BCG.</w:t>
      </w:r>
    </w:p>
    <w:p w:rsidR="001B2F58" w:rsidRPr="00DD03D6" w:rsidRDefault="00AE0F30" w:rsidP="000A5661">
      <w:pPr>
        <w:pStyle w:val="SingleTxtG"/>
        <w:numPr>
          <w:ilvl w:val="0"/>
          <w:numId w:val="3"/>
        </w:numPr>
        <w:ind w:left="1134" w:firstLine="0"/>
        <w:rPr>
          <w:noProof/>
          <w:lang w:val="fr-FR"/>
        </w:rPr>
      </w:pPr>
      <w:r>
        <w:rPr>
          <w:noProof/>
          <w:lang w:val="fr-FR"/>
        </w:rPr>
        <w:t>E</w:t>
      </w:r>
      <w:r w:rsidR="001B2F58" w:rsidRPr="00DD03D6">
        <w:rPr>
          <w:noProof/>
          <w:lang w:val="fr-FR"/>
        </w:rPr>
        <w:t xml:space="preserve">n 2011, </w:t>
      </w:r>
      <w:r>
        <w:rPr>
          <w:noProof/>
          <w:lang w:val="fr-FR"/>
        </w:rPr>
        <w:t xml:space="preserve">les taux nationaux pour les vaccins </w:t>
      </w:r>
      <w:r w:rsidR="001B2F58" w:rsidRPr="00DD03D6">
        <w:rPr>
          <w:noProof/>
          <w:lang w:val="fr-FR"/>
        </w:rPr>
        <w:t>D</w:t>
      </w:r>
      <w:r w:rsidR="001B2F58" w:rsidRPr="00DD03D6">
        <w:rPr>
          <w:noProof/>
          <w:vertAlign w:val="subscript"/>
          <w:lang w:val="fr-FR"/>
        </w:rPr>
        <w:t>3</w:t>
      </w:r>
      <w:r w:rsidR="001B2F58" w:rsidRPr="00DD03D6">
        <w:rPr>
          <w:noProof/>
          <w:lang w:val="fr-FR"/>
        </w:rPr>
        <w:t>, P</w:t>
      </w:r>
      <w:r w:rsidR="001B2F58" w:rsidRPr="00DD03D6">
        <w:rPr>
          <w:noProof/>
          <w:vertAlign w:val="subscript"/>
          <w:lang w:val="fr-FR"/>
        </w:rPr>
        <w:t>3</w:t>
      </w:r>
      <w:r w:rsidR="001B2F58" w:rsidRPr="00DD03D6">
        <w:rPr>
          <w:noProof/>
          <w:lang w:val="fr-FR"/>
        </w:rPr>
        <w:t>, T</w:t>
      </w:r>
      <w:r w:rsidR="001B2F58" w:rsidRPr="00DD03D6">
        <w:rPr>
          <w:noProof/>
          <w:vertAlign w:val="subscript"/>
          <w:lang w:val="fr-FR"/>
        </w:rPr>
        <w:t>3</w:t>
      </w:r>
      <w:r w:rsidR="001B2F58" w:rsidRPr="00DD03D6">
        <w:rPr>
          <w:noProof/>
          <w:lang w:val="fr-FR"/>
        </w:rPr>
        <w:t>, Hib</w:t>
      </w:r>
      <w:r w:rsidR="001B2F58" w:rsidRPr="00DD03D6">
        <w:rPr>
          <w:noProof/>
          <w:vertAlign w:val="subscript"/>
          <w:lang w:val="fr-FR"/>
        </w:rPr>
        <w:t>3</w:t>
      </w:r>
      <w:r w:rsidR="001B2F58" w:rsidRPr="00DD03D6">
        <w:rPr>
          <w:noProof/>
          <w:lang w:val="fr-FR"/>
        </w:rPr>
        <w:t>, Polio</w:t>
      </w:r>
      <w:r w:rsidR="001B2F58" w:rsidRPr="00DD03D6">
        <w:rPr>
          <w:noProof/>
          <w:vertAlign w:val="subscript"/>
          <w:lang w:val="fr-FR"/>
        </w:rPr>
        <w:t>3</w:t>
      </w:r>
      <w:r w:rsidR="001B2F58" w:rsidRPr="00DD03D6">
        <w:rPr>
          <w:noProof/>
          <w:lang w:val="fr-FR"/>
        </w:rPr>
        <w:t xml:space="preserve"> </w:t>
      </w:r>
      <w:r>
        <w:rPr>
          <w:noProof/>
          <w:lang w:val="fr-FR"/>
        </w:rPr>
        <w:t xml:space="preserve">et </w:t>
      </w:r>
      <w:r w:rsidR="001B2F58" w:rsidRPr="00DD03D6">
        <w:rPr>
          <w:noProof/>
          <w:lang w:val="fr-FR"/>
        </w:rPr>
        <w:t>HepB</w:t>
      </w:r>
      <w:r w:rsidR="001B2F58" w:rsidRPr="00DD03D6">
        <w:rPr>
          <w:noProof/>
          <w:vertAlign w:val="subscript"/>
          <w:lang w:val="fr-FR"/>
        </w:rPr>
        <w:t>3</w:t>
      </w:r>
      <w:r w:rsidR="001B2F58" w:rsidRPr="00DD03D6">
        <w:rPr>
          <w:noProof/>
          <w:lang w:val="fr-FR"/>
        </w:rPr>
        <w:t xml:space="preserve"> </w:t>
      </w:r>
      <w:r>
        <w:rPr>
          <w:noProof/>
          <w:lang w:val="fr-FR"/>
        </w:rPr>
        <w:t xml:space="preserve">administrés à l’âge de 24 mois ont atteint l’objectif de </w:t>
      </w:r>
      <w:r w:rsidR="001B2F58" w:rsidRPr="00DD03D6">
        <w:rPr>
          <w:noProof/>
          <w:lang w:val="fr-FR"/>
        </w:rPr>
        <w:t>95</w:t>
      </w:r>
      <w:r w:rsidR="003F1ADB">
        <w:rPr>
          <w:noProof/>
          <w:lang w:val="fr-FR"/>
        </w:rPr>
        <w:t> %</w:t>
      </w:r>
      <w:r w:rsidR="001B2F58" w:rsidRPr="00DD03D6">
        <w:rPr>
          <w:noProof/>
          <w:lang w:val="fr-FR"/>
        </w:rPr>
        <w:t xml:space="preserve">. </w:t>
      </w:r>
      <w:r w:rsidR="002447DC">
        <w:rPr>
          <w:noProof/>
          <w:lang w:val="fr-FR"/>
        </w:rPr>
        <w:t xml:space="preserve">Les taux nationaux au même </w:t>
      </w:r>
      <w:r w:rsidR="002447DC">
        <w:rPr>
          <w:noProof/>
          <w:lang w:val="fr-FR"/>
        </w:rPr>
        <w:lastRenderedPageBreak/>
        <w:t xml:space="preserve">âge ont été de </w:t>
      </w:r>
      <w:r w:rsidR="001B2F58" w:rsidRPr="00DD03D6">
        <w:rPr>
          <w:noProof/>
          <w:lang w:val="fr-FR"/>
        </w:rPr>
        <w:t>92</w:t>
      </w:r>
      <w:r w:rsidR="003F1ADB">
        <w:rPr>
          <w:noProof/>
          <w:lang w:val="fr-FR"/>
        </w:rPr>
        <w:t> %</w:t>
      </w:r>
      <w:r w:rsidR="001B2F58" w:rsidRPr="00DD03D6">
        <w:rPr>
          <w:noProof/>
          <w:lang w:val="fr-FR"/>
        </w:rPr>
        <w:t xml:space="preserve"> </w:t>
      </w:r>
      <w:r w:rsidR="002447DC">
        <w:rPr>
          <w:noProof/>
          <w:lang w:val="fr-FR"/>
        </w:rPr>
        <w:t xml:space="preserve">pour le </w:t>
      </w:r>
      <w:r w:rsidR="001B2F58" w:rsidRPr="00DD03D6">
        <w:rPr>
          <w:noProof/>
          <w:lang w:val="fr-FR"/>
        </w:rPr>
        <w:t>MMR</w:t>
      </w:r>
      <w:r w:rsidR="001B2F58" w:rsidRPr="00DD03D6">
        <w:rPr>
          <w:noProof/>
          <w:vertAlign w:val="subscript"/>
          <w:lang w:val="fr-FR"/>
        </w:rPr>
        <w:t>1</w:t>
      </w:r>
      <w:r w:rsidR="001B2F58" w:rsidRPr="00DD03D6">
        <w:rPr>
          <w:noProof/>
          <w:lang w:val="fr-FR"/>
        </w:rPr>
        <w:t xml:space="preserve">, </w:t>
      </w:r>
      <w:r w:rsidR="002447DC">
        <w:rPr>
          <w:noProof/>
          <w:lang w:val="fr-FR"/>
        </w:rPr>
        <w:t xml:space="preserve">de </w:t>
      </w:r>
      <w:r w:rsidR="001B2F58" w:rsidRPr="00DD03D6">
        <w:rPr>
          <w:noProof/>
          <w:lang w:val="fr-FR"/>
        </w:rPr>
        <w:t>90</w:t>
      </w:r>
      <w:r w:rsidR="003F1ADB">
        <w:rPr>
          <w:noProof/>
          <w:lang w:val="fr-FR"/>
        </w:rPr>
        <w:t> %</w:t>
      </w:r>
      <w:r w:rsidR="001B2F58" w:rsidRPr="00DD03D6">
        <w:rPr>
          <w:noProof/>
          <w:lang w:val="fr-FR"/>
        </w:rPr>
        <w:t xml:space="preserve"> </w:t>
      </w:r>
      <w:r w:rsidR="002447DC">
        <w:rPr>
          <w:noProof/>
          <w:lang w:val="fr-FR"/>
        </w:rPr>
        <w:t xml:space="preserve">pour le </w:t>
      </w:r>
      <w:r w:rsidR="001B2F58" w:rsidRPr="00DD03D6">
        <w:rPr>
          <w:noProof/>
          <w:lang w:val="fr-FR"/>
        </w:rPr>
        <w:t>PCV</w:t>
      </w:r>
      <w:r w:rsidR="001B2F58" w:rsidRPr="00DD03D6">
        <w:rPr>
          <w:noProof/>
          <w:vertAlign w:val="subscript"/>
          <w:lang w:val="fr-FR"/>
        </w:rPr>
        <w:t>3</w:t>
      </w:r>
      <w:r w:rsidR="001B2F58" w:rsidRPr="00DD03D6">
        <w:rPr>
          <w:noProof/>
          <w:lang w:val="fr-FR"/>
        </w:rPr>
        <w:t>, 88</w:t>
      </w:r>
      <w:r w:rsidR="003F1ADB">
        <w:rPr>
          <w:noProof/>
          <w:lang w:val="fr-FR"/>
        </w:rPr>
        <w:t> %</w:t>
      </w:r>
      <w:r w:rsidR="001B2F58" w:rsidRPr="00DD03D6">
        <w:rPr>
          <w:noProof/>
          <w:lang w:val="fr-FR"/>
        </w:rPr>
        <w:t xml:space="preserve"> </w:t>
      </w:r>
      <w:r w:rsidR="002447DC">
        <w:rPr>
          <w:noProof/>
          <w:lang w:val="fr-FR"/>
        </w:rPr>
        <w:t xml:space="preserve">pour le </w:t>
      </w:r>
      <w:r w:rsidR="001B2F58" w:rsidRPr="00DD03D6">
        <w:rPr>
          <w:noProof/>
          <w:lang w:val="fr-FR"/>
        </w:rPr>
        <w:t>Hib</w:t>
      </w:r>
      <w:r w:rsidR="001B2F58" w:rsidRPr="00DD03D6">
        <w:rPr>
          <w:noProof/>
          <w:vertAlign w:val="subscript"/>
          <w:lang w:val="fr-FR"/>
        </w:rPr>
        <w:t>b</w:t>
      </w:r>
      <w:r w:rsidR="001B2F58" w:rsidRPr="00DD03D6">
        <w:rPr>
          <w:noProof/>
          <w:lang w:val="fr-FR"/>
        </w:rPr>
        <w:t xml:space="preserve"> </w:t>
      </w:r>
      <w:r w:rsidR="002447DC">
        <w:rPr>
          <w:noProof/>
          <w:lang w:val="fr-FR"/>
        </w:rPr>
        <w:t xml:space="preserve">et </w:t>
      </w:r>
      <w:r w:rsidR="001B2F58" w:rsidRPr="00DD03D6">
        <w:rPr>
          <w:noProof/>
          <w:lang w:val="fr-FR"/>
        </w:rPr>
        <w:t>84</w:t>
      </w:r>
      <w:r w:rsidR="003F1ADB">
        <w:rPr>
          <w:noProof/>
          <w:lang w:val="fr-FR"/>
        </w:rPr>
        <w:t> %</w:t>
      </w:r>
      <w:r w:rsidR="001B2F58" w:rsidRPr="00DD03D6">
        <w:rPr>
          <w:noProof/>
          <w:lang w:val="fr-FR"/>
        </w:rPr>
        <w:t xml:space="preserve"> </w:t>
      </w:r>
      <w:r w:rsidR="002447DC">
        <w:rPr>
          <w:noProof/>
          <w:lang w:val="fr-FR"/>
        </w:rPr>
        <w:t xml:space="preserve">pour le </w:t>
      </w:r>
      <w:r w:rsidR="001B2F58" w:rsidRPr="00DD03D6">
        <w:rPr>
          <w:noProof/>
          <w:lang w:val="fr-FR"/>
        </w:rPr>
        <w:t>MenC</w:t>
      </w:r>
      <w:r w:rsidR="001B2F58" w:rsidRPr="00DD03D6">
        <w:rPr>
          <w:noProof/>
          <w:vertAlign w:val="subscript"/>
          <w:lang w:val="fr-FR"/>
        </w:rPr>
        <w:t>3</w:t>
      </w:r>
      <w:r w:rsidR="001B2F58" w:rsidRPr="00DD03D6">
        <w:rPr>
          <w:noProof/>
          <w:lang w:val="fr-FR"/>
        </w:rPr>
        <w:t xml:space="preserve">. </w:t>
      </w:r>
      <w:r w:rsidR="002447DC">
        <w:rPr>
          <w:noProof/>
          <w:lang w:val="fr-FR"/>
        </w:rPr>
        <w:t xml:space="preserve">Une baisse très importante du taux de vaccination pour le </w:t>
      </w:r>
      <w:r w:rsidR="001B2F58" w:rsidRPr="00DD03D6">
        <w:rPr>
          <w:noProof/>
          <w:lang w:val="fr-FR"/>
        </w:rPr>
        <w:t>MenC</w:t>
      </w:r>
      <w:r w:rsidR="001B2F58" w:rsidRPr="00DD03D6">
        <w:rPr>
          <w:noProof/>
          <w:vertAlign w:val="subscript"/>
          <w:lang w:val="fr-FR"/>
        </w:rPr>
        <w:t>3</w:t>
      </w:r>
      <w:r w:rsidR="001B2F58" w:rsidRPr="00DD03D6">
        <w:rPr>
          <w:noProof/>
          <w:lang w:val="fr-FR"/>
        </w:rPr>
        <w:t xml:space="preserve"> </w:t>
      </w:r>
      <w:r w:rsidR="002447DC">
        <w:rPr>
          <w:noProof/>
          <w:lang w:val="fr-FR"/>
        </w:rPr>
        <w:t xml:space="preserve">et une baisse pour le </w:t>
      </w:r>
      <w:r w:rsidR="001B2F58" w:rsidRPr="00DD03D6">
        <w:rPr>
          <w:noProof/>
          <w:lang w:val="fr-FR"/>
        </w:rPr>
        <w:t>Hib</w:t>
      </w:r>
      <w:r w:rsidR="001B2F58" w:rsidRPr="00DD03D6">
        <w:rPr>
          <w:noProof/>
          <w:vertAlign w:val="subscript"/>
          <w:lang w:val="fr-FR"/>
        </w:rPr>
        <w:t>b</w:t>
      </w:r>
      <w:r w:rsidR="001B2F58" w:rsidRPr="00DD03D6">
        <w:rPr>
          <w:noProof/>
          <w:lang w:val="fr-FR"/>
        </w:rPr>
        <w:t xml:space="preserve"> </w:t>
      </w:r>
      <w:r w:rsidR="002447DC">
        <w:rPr>
          <w:noProof/>
          <w:lang w:val="fr-FR"/>
        </w:rPr>
        <w:t xml:space="preserve">ont été observées au troisième trimestre de </w:t>
      </w:r>
      <w:r w:rsidR="001B2F58" w:rsidRPr="00DD03D6">
        <w:rPr>
          <w:noProof/>
          <w:lang w:val="fr-FR"/>
        </w:rPr>
        <w:t>2010</w:t>
      </w:r>
      <w:r w:rsidR="002447DC">
        <w:rPr>
          <w:noProof/>
          <w:lang w:val="fr-FR"/>
        </w:rPr>
        <w:t xml:space="preserve"> à la suite de la mise en place</w:t>
      </w:r>
      <w:r w:rsidR="00B35D93">
        <w:rPr>
          <w:noProof/>
          <w:lang w:val="fr-FR"/>
        </w:rPr>
        <w:t xml:space="preserve"> du nouveau calendrier vaccinal pour les enfants</w:t>
      </w:r>
      <w:r w:rsidR="001B2F58" w:rsidRPr="00DD03D6">
        <w:rPr>
          <w:noProof/>
          <w:lang w:val="fr-FR"/>
        </w:rPr>
        <w:t xml:space="preserve">. </w:t>
      </w:r>
      <w:r w:rsidR="00B35D93">
        <w:rPr>
          <w:noProof/>
          <w:lang w:val="fr-FR"/>
        </w:rPr>
        <w:t xml:space="preserve">Selon ce nouveau calendrier, l’administration de la troisième </w:t>
      </w:r>
      <w:r w:rsidR="001B2F58" w:rsidRPr="00DD03D6">
        <w:rPr>
          <w:noProof/>
          <w:lang w:val="fr-FR"/>
        </w:rPr>
        <w:t xml:space="preserve">dose </w:t>
      </w:r>
      <w:r w:rsidR="00B35D93">
        <w:rPr>
          <w:noProof/>
          <w:lang w:val="fr-FR"/>
        </w:rPr>
        <w:t xml:space="preserve">du vaccin </w:t>
      </w:r>
      <w:r w:rsidR="001B2F58" w:rsidRPr="00DD03D6">
        <w:rPr>
          <w:noProof/>
          <w:lang w:val="fr-FR"/>
        </w:rPr>
        <w:t xml:space="preserve">MenC </w:t>
      </w:r>
      <w:r w:rsidR="00B35D93">
        <w:rPr>
          <w:noProof/>
          <w:lang w:val="fr-FR"/>
        </w:rPr>
        <w:t xml:space="preserve">et du vaccin de rappel </w:t>
      </w:r>
      <w:r w:rsidR="001B2F58" w:rsidRPr="00DD03D6">
        <w:rPr>
          <w:noProof/>
          <w:lang w:val="fr-FR"/>
        </w:rPr>
        <w:t xml:space="preserve">Hib </w:t>
      </w:r>
      <w:r w:rsidR="00B35D93">
        <w:rPr>
          <w:noProof/>
          <w:lang w:val="fr-FR"/>
        </w:rPr>
        <w:t xml:space="preserve">est désormais recommandée à l’âge de </w:t>
      </w:r>
      <w:r w:rsidR="001B2F58" w:rsidRPr="00DD03D6">
        <w:rPr>
          <w:noProof/>
          <w:lang w:val="fr-FR"/>
        </w:rPr>
        <w:t>13 mo</w:t>
      </w:r>
      <w:r w:rsidR="00B35D93">
        <w:rPr>
          <w:noProof/>
          <w:lang w:val="fr-FR"/>
        </w:rPr>
        <w:t>i</w:t>
      </w:r>
      <w:r w:rsidR="001B2F58" w:rsidRPr="00DD03D6">
        <w:rPr>
          <w:noProof/>
          <w:lang w:val="fr-FR"/>
        </w:rPr>
        <w:t xml:space="preserve">s, </w:t>
      </w:r>
      <w:r w:rsidR="00B35D93">
        <w:rPr>
          <w:noProof/>
          <w:lang w:val="fr-FR"/>
        </w:rPr>
        <w:t xml:space="preserve">ce qui semble indiquer que les </w:t>
      </w:r>
      <w:r w:rsidR="001B2F58" w:rsidRPr="00DD03D6">
        <w:rPr>
          <w:noProof/>
          <w:lang w:val="fr-FR"/>
        </w:rPr>
        <w:t xml:space="preserve">parents </w:t>
      </w:r>
      <w:r w:rsidR="00B35D93">
        <w:rPr>
          <w:noProof/>
          <w:lang w:val="fr-FR"/>
        </w:rPr>
        <w:t>sont moins susceptibles de faire adminsitrer les vaccins nécessaire</w:t>
      </w:r>
      <w:r w:rsidR="0032589C">
        <w:rPr>
          <w:noProof/>
          <w:lang w:val="fr-FR"/>
        </w:rPr>
        <w:t>s à leurs enfants à l’âge de 13 </w:t>
      </w:r>
      <w:r w:rsidR="00B35D93">
        <w:rPr>
          <w:noProof/>
          <w:lang w:val="fr-FR"/>
        </w:rPr>
        <w:t>mois</w:t>
      </w:r>
      <w:r w:rsidR="001B2F58" w:rsidRPr="00DD03D6">
        <w:rPr>
          <w:noProof/>
          <w:lang w:val="fr-FR"/>
        </w:rPr>
        <w:t>.</w:t>
      </w:r>
    </w:p>
    <w:p w:rsidR="001B2F58" w:rsidRPr="00DD03D6" w:rsidRDefault="00B35D93" w:rsidP="004521ED">
      <w:pPr>
        <w:pStyle w:val="SingleTxtG"/>
        <w:numPr>
          <w:ilvl w:val="0"/>
          <w:numId w:val="3"/>
        </w:numPr>
        <w:ind w:left="1134" w:firstLine="0"/>
        <w:rPr>
          <w:noProof/>
          <w:lang w:val="fr-FR"/>
        </w:rPr>
      </w:pPr>
      <w:r>
        <w:rPr>
          <w:noProof/>
          <w:lang w:val="fr-FR"/>
        </w:rPr>
        <w:t>Le vaccin antip</w:t>
      </w:r>
      <w:r w:rsidR="001B2F58" w:rsidRPr="00DD03D6">
        <w:rPr>
          <w:noProof/>
          <w:lang w:val="fr-FR"/>
        </w:rPr>
        <w:t xml:space="preserve">apillomavirus </w:t>
      </w:r>
      <w:r>
        <w:rPr>
          <w:noProof/>
          <w:lang w:val="fr-FR"/>
        </w:rPr>
        <w:t xml:space="preserve">humain </w:t>
      </w:r>
      <w:r w:rsidR="001B2F58" w:rsidRPr="00DD03D6">
        <w:rPr>
          <w:noProof/>
          <w:lang w:val="fr-FR"/>
        </w:rPr>
        <w:t xml:space="preserve">(HPV) </w:t>
      </w:r>
      <w:r>
        <w:rPr>
          <w:noProof/>
          <w:lang w:val="fr-FR"/>
        </w:rPr>
        <w:t>protège les filles contre le risque de développer un cancer du col de l’utérus à l’âge adulte; il est fourni gratuitement par la Direction des services de santé</w:t>
      </w:r>
      <w:r w:rsidR="001B2F58" w:rsidRPr="00DD03D6">
        <w:rPr>
          <w:noProof/>
          <w:lang w:val="fr-FR"/>
        </w:rPr>
        <w:t xml:space="preserve">. </w:t>
      </w:r>
      <w:r>
        <w:rPr>
          <w:noProof/>
          <w:lang w:val="fr-FR"/>
        </w:rPr>
        <w:t>Le programme de vaccination</w:t>
      </w:r>
      <w:r w:rsidR="00E92D3C">
        <w:rPr>
          <w:noProof/>
          <w:lang w:val="fr-FR"/>
        </w:rPr>
        <w:t xml:space="preserve"> </w:t>
      </w:r>
      <w:r>
        <w:rPr>
          <w:noProof/>
          <w:lang w:val="fr-FR"/>
        </w:rPr>
        <w:t xml:space="preserve">contre le </w:t>
      </w:r>
      <w:r w:rsidR="001B2F58" w:rsidRPr="00DD03D6">
        <w:rPr>
          <w:noProof/>
          <w:lang w:val="fr-FR"/>
        </w:rPr>
        <w:t xml:space="preserve">HPV </w:t>
      </w:r>
      <w:r>
        <w:rPr>
          <w:noProof/>
          <w:lang w:val="fr-FR"/>
        </w:rPr>
        <w:t xml:space="preserve">a été élargi à partir de septembre </w:t>
      </w:r>
      <w:r w:rsidR="001B2F58" w:rsidRPr="00DD03D6">
        <w:rPr>
          <w:noProof/>
          <w:lang w:val="fr-FR"/>
        </w:rPr>
        <w:t>2011</w:t>
      </w:r>
      <w:r>
        <w:rPr>
          <w:noProof/>
          <w:lang w:val="fr-FR"/>
        </w:rPr>
        <w:t xml:space="preserve"> : désormais, toutes les filles inscrites en première année d’école secondaire sont ciblées </w:t>
      </w:r>
      <w:r w:rsidR="00BC3815">
        <w:rPr>
          <w:noProof/>
          <w:lang w:val="fr-FR"/>
        </w:rPr>
        <w:t>par un programme exécuté en milieu scolaire pour garantir un taux de vaccination élevé</w:t>
      </w:r>
      <w:r w:rsidR="001B2F58" w:rsidRPr="00DD03D6">
        <w:rPr>
          <w:noProof/>
          <w:lang w:val="fr-FR"/>
        </w:rPr>
        <w:t>.</w:t>
      </w:r>
      <w:r w:rsidR="00F81492">
        <w:rPr>
          <w:noProof/>
          <w:lang w:val="fr-FR"/>
        </w:rPr>
        <w:t xml:space="preserve"> Un programme de rattrapage a été organisé en septembre 2011 pour toutes les filles de six</w:t>
      </w:r>
      <w:r w:rsidR="00D805DB">
        <w:rPr>
          <w:noProof/>
          <w:lang w:val="fr-FR"/>
        </w:rPr>
        <w:t>ième année du secondaire</w:t>
      </w:r>
      <w:r w:rsidR="001B2F58" w:rsidRPr="00DD03D6">
        <w:rPr>
          <w:noProof/>
          <w:lang w:val="fr-FR"/>
        </w:rPr>
        <w:t xml:space="preserve">. </w:t>
      </w:r>
      <w:r w:rsidR="00D805DB">
        <w:rPr>
          <w:noProof/>
          <w:lang w:val="fr-FR"/>
        </w:rPr>
        <w:t>Il sera renouvelé en septembre</w:t>
      </w:r>
      <w:r w:rsidR="001B2F58" w:rsidRPr="00DD03D6">
        <w:rPr>
          <w:noProof/>
          <w:lang w:val="fr-FR"/>
        </w:rPr>
        <w:t xml:space="preserve"> 2012 </w:t>
      </w:r>
      <w:r w:rsidR="00D805DB">
        <w:rPr>
          <w:noProof/>
          <w:lang w:val="fr-FR"/>
        </w:rPr>
        <w:t>et</w:t>
      </w:r>
      <w:r w:rsidR="001B2F58" w:rsidRPr="00DD03D6">
        <w:rPr>
          <w:noProof/>
          <w:lang w:val="fr-FR"/>
        </w:rPr>
        <w:t xml:space="preserve"> 2013, </w:t>
      </w:r>
      <w:r w:rsidR="00D805DB">
        <w:rPr>
          <w:noProof/>
          <w:lang w:val="fr-FR"/>
        </w:rPr>
        <w:t>et permettra de vacciner contre le HPV toute les filles du deuxième cycle du secondaire non encore vaccinées</w:t>
      </w:r>
      <w:r w:rsidR="001B2F58" w:rsidRPr="00DD03D6">
        <w:rPr>
          <w:noProof/>
          <w:lang w:val="fr-FR"/>
        </w:rPr>
        <w:t>.</w:t>
      </w:r>
    </w:p>
    <w:p w:rsidR="001B2F58" w:rsidRPr="00DD03D6" w:rsidRDefault="00D805DB" w:rsidP="00D805DB">
      <w:pPr>
        <w:pStyle w:val="H23G"/>
        <w:ind w:firstLine="0"/>
        <w:rPr>
          <w:noProof/>
          <w:lang w:val="fr-FR"/>
        </w:rPr>
      </w:pPr>
      <w:r>
        <w:rPr>
          <w:noProof/>
          <w:lang w:val="fr-FR"/>
        </w:rPr>
        <w:t xml:space="preserve">Allaitement au sein </w:t>
      </w:r>
    </w:p>
    <w:p w:rsidR="001B2F58" w:rsidRPr="00DD03D6" w:rsidRDefault="00D805DB" w:rsidP="00610F89">
      <w:pPr>
        <w:pStyle w:val="SingleTxtG"/>
        <w:numPr>
          <w:ilvl w:val="0"/>
          <w:numId w:val="3"/>
        </w:numPr>
        <w:ind w:left="1134" w:firstLine="0"/>
        <w:rPr>
          <w:i/>
          <w:iCs/>
          <w:noProof/>
          <w:lang w:val="fr-FR"/>
        </w:rPr>
      </w:pPr>
      <w:r>
        <w:rPr>
          <w:noProof/>
          <w:lang w:val="fr-FR"/>
        </w:rPr>
        <w:t>E</w:t>
      </w:r>
      <w:r w:rsidR="001B2F58" w:rsidRPr="00DD03D6">
        <w:rPr>
          <w:noProof/>
          <w:lang w:val="fr-FR"/>
        </w:rPr>
        <w:t xml:space="preserve">n 2005, </w:t>
      </w:r>
      <w:r>
        <w:rPr>
          <w:noProof/>
          <w:lang w:val="fr-FR"/>
        </w:rPr>
        <w:t xml:space="preserve">le Ministère de la santé et de l’enfance a publié </w:t>
      </w:r>
      <w:r>
        <w:rPr>
          <w:i/>
          <w:noProof/>
          <w:lang w:val="fr-FR"/>
        </w:rPr>
        <w:t xml:space="preserve">Allaitement au sein en Irlande : Plan d’action stratégique de cinq ans </w:t>
      </w:r>
      <w:r>
        <w:rPr>
          <w:noProof/>
          <w:lang w:val="fr-FR"/>
        </w:rPr>
        <w:t>(</w:t>
      </w:r>
      <w:r w:rsidR="001B2F58" w:rsidRPr="00DD03D6">
        <w:rPr>
          <w:i/>
          <w:iCs/>
          <w:noProof/>
          <w:lang w:val="fr-FR"/>
        </w:rPr>
        <w:t>Breastfeeding in Ireland: A Five-year Strategic Action Plan</w:t>
      </w:r>
      <w:r>
        <w:rPr>
          <w:iCs/>
          <w:noProof/>
          <w:lang w:val="fr-FR"/>
        </w:rPr>
        <w:t>)</w:t>
      </w:r>
      <w:r w:rsidR="00610F89" w:rsidRPr="00DD03D6">
        <w:rPr>
          <w:i/>
          <w:iCs/>
          <w:noProof/>
          <w:lang w:val="fr-FR"/>
        </w:rPr>
        <w:t>,</w:t>
      </w:r>
      <w:r w:rsidR="001B2F58" w:rsidRPr="00DD03D6">
        <w:rPr>
          <w:noProof/>
          <w:lang w:val="fr-FR"/>
        </w:rPr>
        <w:t xml:space="preserve"> </w:t>
      </w:r>
      <w:r>
        <w:rPr>
          <w:noProof/>
          <w:lang w:val="fr-FR"/>
        </w:rPr>
        <w:t xml:space="preserve">et un Comité national de mise en œuvre de la stratégie en matière d’allaitement a été nommé en </w:t>
      </w:r>
      <w:r w:rsidR="001B2F58" w:rsidRPr="00DD03D6">
        <w:rPr>
          <w:noProof/>
          <w:lang w:val="fr-FR"/>
        </w:rPr>
        <w:t xml:space="preserve">2007. </w:t>
      </w:r>
      <w:r>
        <w:rPr>
          <w:noProof/>
          <w:lang w:val="fr-FR"/>
        </w:rPr>
        <w:t>Le Plan d’action contient cinq objectifs de haut niveau et énonce des mesures destinées à améliorer les normes et les</w:t>
      </w:r>
      <w:r w:rsidR="001B2F58" w:rsidRPr="00DD03D6">
        <w:rPr>
          <w:noProof/>
          <w:lang w:val="fr-FR"/>
        </w:rPr>
        <w:t xml:space="preserve"> services </w:t>
      </w:r>
      <w:r>
        <w:rPr>
          <w:noProof/>
          <w:lang w:val="fr-FR"/>
        </w:rPr>
        <w:t>en faveur des femmes enceintes et des mères nouvellement allaitantes</w:t>
      </w:r>
      <w:r w:rsidR="001B2F58" w:rsidRPr="00DD03D6">
        <w:rPr>
          <w:noProof/>
          <w:lang w:val="fr-FR"/>
        </w:rPr>
        <w:t xml:space="preserve">, </w:t>
      </w:r>
      <w:r>
        <w:rPr>
          <w:noProof/>
          <w:lang w:val="fr-FR"/>
        </w:rPr>
        <w:t xml:space="preserve">à appliquer les politiques relatives aux services de santé et à offrir des programmes de formation aux </w:t>
      </w:r>
      <w:r w:rsidR="001B2F58" w:rsidRPr="00DD03D6">
        <w:rPr>
          <w:noProof/>
          <w:lang w:val="fr-FR"/>
        </w:rPr>
        <w:t>profession</w:t>
      </w:r>
      <w:r w:rsidR="00727E7B">
        <w:rPr>
          <w:noProof/>
          <w:lang w:val="fr-FR"/>
        </w:rPr>
        <w:t>nels de santé</w:t>
      </w:r>
      <w:r w:rsidR="001B2F58" w:rsidRPr="00DD03D6">
        <w:rPr>
          <w:noProof/>
          <w:lang w:val="fr-FR"/>
        </w:rPr>
        <w:t xml:space="preserve">, </w:t>
      </w:r>
      <w:r w:rsidR="00A5208C">
        <w:rPr>
          <w:noProof/>
          <w:lang w:val="fr-FR"/>
        </w:rPr>
        <w:t xml:space="preserve">à </w:t>
      </w:r>
      <w:r w:rsidR="00727E7B">
        <w:rPr>
          <w:noProof/>
          <w:lang w:val="fr-FR"/>
        </w:rPr>
        <w:t>informer les écoliers sur l’allaitement au sein, à réglementer les marchés des substituts du lait maternel</w:t>
      </w:r>
      <w:r w:rsidR="001B2F58" w:rsidRPr="00DD03D6">
        <w:rPr>
          <w:noProof/>
          <w:lang w:val="fr-FR"/>
        </w:rPr>
        <w:t xml:space="preserve">, </w:t>
      </w:r>
      <w:r w:rsidR="00727E7B">
        <w:rPr>
          <w:noProof/>
          <w:lang w:val="fr-FR"/>
        </w:rPr>
        <w:t>à fournir des aides communautaires aux mères pour les encourager à prolonger l’allaitement au sein et à améliorer les installations et les conditions de travail des mères allaitantes</w:t>
      </w:r>
      <w:r w:rsidR="001B2F58" w:rsidRPr="00DD03D6">
        <w:rPr>
          <w:noProof/>
          <w:lang w:val="fr-FR"/>
        </w:rPr>
        <w:t xml:space="preserve">. </w:t>
      </w:r>
      <w:r w:rsidR="00727E7B">
        <w:rPr>
          <w:noProof/>
          <w:lang w:val="fr-FR"/>
        </w:rPr>
        <w:t xml:space="preserve">Le Plan d’action fixe </w:t>
      </w:r>
      <w:r w:rsidR="00107CBF">
        <w:rPr>
          <w:noProof/>
          <w:lang w:val="fr-FR"/>
        </w:rPr>
        <w:t xml:space="preserve">un </w:t>
      </w:r>
      <w:r w:rsidR="007B3C05">
        <w:rPr>
          <w:noProof/>
          <w:lang w:val="fr-FR"/>
        </w:rPr>
        <w:t xml:space="preserve">objectif </w:t>
      </w:r>
      <w:r w:rsidR="00107CBF">
        <w:rPr>
          <w:noProof/>
          <w:lang w:val="fr-FR"/>
        </w:rPr>
        <w:t xml:space="preserve">d’augmentation </w:t>
      </w:r>
      <w:r w:rsidR="007B3C05">
        <w:rPr>
          <w:noProof/>
          <w:lang w:val="fr-FR"/>
        </w:rPr>
        <w:t xml:space="preserve">du taux d’allaitement au sein de </w:t>
      </w:r>
      <w:r w:rsidR="001B2F58" w:rsidRPr="00DD03D6">
        <w:rPr>
          <w:noProof/>
          <w:lang w:val="fr-FR"/>
        </w:rPr>
        <w:t>2</w:t>
      </w:r>
      <w:r w:rsidR="003F1ADB">
        <w:rPr>
          <w:noProof/>
          <w:lang w:val="fr-FR"/>
        </w:rPr>
        <w:t> %</w:t>
      </w:r>
      <w:r w:rsidR="001B2F58" w:rsidRPr="00DD03D6">
        <w:rPr>
          <w:noProof/>
          <w:lang w:val="fr-FR"/>
        </w:rPr>
        <w:t xml:space="preserve"> p</w:t>
      </w:r>
      <w:r w:rsidR="007B3C05">
        <w:rPr>
          <w:noProof/>
          <w:lang w:val="fr-FR"/>
        </w:rPr>
        <w:t>a</w:t>
      </w:r>
      <w:r w:rsidR="001B2F58" w:rsidRPr="00DD03D6">
        <w:rPr>
          <w:noProof/>
          <w:lang w:val="fr-FR"/>
        </w:rPr>
        <w:t xml:space="preserve">r </w:t>
      </w:r>
      <w:r w:rsidR="007B3C05">
        <w:rPr>
          <w:noProof/>
          <w:lang w:val="fr-FR"/>
        </w:rPr>
        <w:t xml:space="preserve">an et de </w:t>
      </w:r>
      <w:r w:rsidR="001B2F58" w:rsidRPr="00DD03D6">
        <w:rPr>
          <w:noProof/>
          <w:lang w:val="fr-FR"/>
        </w:rPr>
        <w:t>4</w:t>
      </w:r>
      <w:r w:rsidR="003F1ADB">
        <w:rPr>
          <w:noProof/>
          <w:lang w:val="fr-FR"/>
        </w:rPr>
        <w:t> %</w:t>
      </w:r>
      <w:r w:rsidR="001B2F58" w:rsidRPr="00DD03D6">
        <w:rPr>
          <w:noProof/>
          <w:lang w:val="fr-FR"/>
        </w:rPr>
        <w:t xml:space="preserve"> p</w:t>
      </w:r>
      <w:r w:rsidR="007B3C05">
        <w:rPr>
          <w:noProof/>
          <w:lang w:val="fr-FR"/>
        </w:rPr>
        <w:t>a</w:t>
      </w:r>
      <w:r w:rsidR="001B2F58" w:rsidRPr="00DD03D6">
        <w:rPr>
          <w:noProof/>
          <w:lang w:val="fr-FR"/>
        </w:rPr>
        <w:t xml:space="preserve">r </w:t>
      </w:r>
      <w:r w:rsidR="007B3C05">
        <w:rPr>
          <w:noProof/>
          <w:lang w:val="fr-FR"/>
        </w:rPr>
        <w:t xml:space="preserve">an pour les femmes appartenant aux </w:t>
      </w:r>
      <w:r w:rsidR="007B3C05" w:rsidRPr="007B3C05">
        <w:rPr>
          <w:lang w:val="fr-FR"/>
        </w:rPr>
        <w:t xml:space="preserve">groupes </w:t>
      </w:r>
      <w:proofErr w:type="spellStart"/>
      <w:r w:rsidR="007B3C05" w:rsidRPr="007B3C05">
        <w:rPr>
          <w:lang w:val="fr-FR"/>
        </w:rPr>
        <w:t>socioéconomiques</w:t>
      </w:r>
      <w:proofErr w:type="spellEnd"/>
      <w:r w:rsidR="007B3C05" w:rsidRPr="007B3C05">
        <w:rPr>
          <w:lang w:val="fr-FR"/>
        </w:rPr>
        <w:t xml:space="preserve"> de condition modeste</w:t>
      </w:r>
      <w:r w:rsidR="007B3C05">
        <w:rPr>
          <w:noProof/>
          <w:lang w:val="fr-FR"/>
        </w:rPr>
        <w:t xml:space="preserve">, </w:t>
      </w:r>
      <w:r w:rsidR="00BD521B">
        <w:rPr>
          <w:noProof/>
          <w:lang w:val="fr-FR"/>
        </w:rPr>
        <w:t>parmi</w:t>
      </w:r>
      <w:r w:rsidR="007B3C05">
        <w:rPr>
          <w:noProof/>
          <w:lang w:val="fr-FR"/>
        </w:rPr>
        <w:t xml:space="preserve"> lesquelles le taux d’allaitement au sein était plus faible</w:t>
      </w:r>
      <w:r w:rsidR="001B2F58" w:rsidRPr="00DD03D6">
        <w:rPr>
          <w:noProof/>
          <w:lang w:val="fr-FR"/>
        </w:rPr>
        <w:t xml:space="preserve">. </w:t>
      </w:r>
      <w:r w:rsidR="007B3C05">
        <w:rPr>
          <w:noProof/>
          <w:lang w:val="fr-FR"/>
        </w:rPr>
        <w:t>Il fixe également des objectifs concernant la nomination de coordonnateurs régionaux de l’allaitement au sein et la mise en place d’un système d’information sur la santé des enfants</w:t>
      </w:r>
      <w:r w:rsidR="001B2F58" w:rsidRPr="00DD03D6">
        <w:rPr>
          <w:noProof/>
          <w:lang w:val="fr-FR"/>
        </w:rPr>
        <w:t xml:space="preserve">, </w:t>
      </w:r>
      <w:r w:rsidR="007B3C05">
        <w:rPr>
          <w:noProof/>
          <w:lang w:val="fr-FR"/>
        </w:rPr>
        <w:t>qui n’ont pas encore été réalisés</w:t>
      </w:r>
      <w:r w:rsidR="001B2F58" w:rsidRPr="00DD03D6">
        <w:rPr>
          <w:noProof/>
          <w:lang w:val="fr-FR"/>
        </w:rPr>
        <w:t xml:space="preserve">. </w:t>
      </w:r>
      <w:r w:rsidR="007B3C05">
        <w:rPr>
          <w:noProof/>
          <w:lang w:val="fr-FR"/>
        </w:rPr>
        <w:t xml:space="preserve">Le nombre d’hôpitaux irlandais désignés comme amis des </w:t>
      </w:r>
      <w:r w:rsidR="00BD521B">
        <w:rPr>
          <w:noProof/>
          <w:lang w:val="fr-FR"/>
        </w:rPr>
        <w:t>enfant</w:t>
      </w:r>
      <w:r w:rsidR="007B3C05">
        <w:rPr>
          <w:noProof/>
          <w:lang w:val="fr-FR"/>
        </w:rPr>
        <w:t xml:space="preserve">s a augmenté et, </w:t>
      </w:r>
      <w:r w:rsidR="001B2F58" w:rsidRPr="00DD03D6">
        <w:rPr>
          <w:noProof/>
          <w:lang w:val="fr-FR"/>
        </w:rPr>
        <w:t>2011, 41</w:t>
      </w:r>
      <w:r w:rsidR="007B3C05">
        <w:rPr>
          <w:noProof/>
          <w:lang w:val="fr-FR"/>
        </w:rPr>
        <w:t>,</w:t>
      </w:r>
      <w:r w:rsidR="001B2F58" w:rsidRPr="00DD03D6">
        <w:rPr>
          <w:noProof/>
          <w:lang w:val="fr-FR"/>
        </w:rPr>
        <w:t>76</w:t>
      </w:r>
      <w:r w:rsidR="003F1ADB">
        <w:rPr>
          <w:noProof/>
          <w:lang w:val="fr-FR"/>
        </w:rPr>
        <w:t> %</w:t>
      </w:r>
      <w:r w:rsidR="001B2F58" w:rsidRPr="00DD03D6">
        <w:rPr>
          <w:noProof/>
          <w:lang w:val="fr-FR"/>
        </w:rPr>
        <w:t xml:space="preserve"> </w:t>
      </w:r>
      <w:r w:rsidR="00BD521B">
        <w:rPr>
          <w:noProof/>
          <w:lang w:val="fr-FR"/>
        </w:rPr>
        <w:t>des naissances ont e</w:t>
      </w:r>
      <w:r w:rsidR="007B3C05">
        <w:rPr>
          <w:noProof/>
          <w:lang w:val="fr-FR"/>
        </w:rPr>
        <w:t>u lieu dans des établissements de ce type</w:t>
      </w:r>
      <w:r w:rsidR="001B2F58" w:rsidRPr="00DD03D6">
        <w:rPr>
          <w:noProof/>
          <w:lang w:val="fr-FR"/>
        </w:rPr>
        <w:t xml:space="preserve">. </w:t>
      </w:r>
      <w:r w:rsidR="007B3C05">
        <w:rPr>
          <w:noProof/>
          <w:lang w:val="fr-FR"/>
        </w:rPr>
        <w:t>E</w:t>
      </w:r>
      <w:r w:rsidR="001B2F58" w:rsidRPr="00DD03D6">
        <w:rPr>
          <w:noProof/>
          <w:lang w:val="fr-FR"/>
        </w:rPr>
        <w:t xml:space="preserve">n 2012, </w:t>
      </w:r>
      <w:r w:rsidR="007B3C05">
        <w:rPr>
          <w:noProof/>
          <w:lang w:val="fr-FR"/>
        </w:rPr>
        <w:t>la Direction des services de santé a adopté une politique d’</w:t>
      </w:r>
      <w:r w:rsidR="00BD521B">
        <w:rPr>
          <w:noProof/>
          <w:lang w:val="fr-FR"/>
        </w:rPr>
        <w:t xml:space="preserve">alimentation des nourrissons </w:t>
      </w:r>
      <w:r w:rsidR="007B3C05">
        <w:rPr>
          <w:noProof/>
          <w:lang w:val="fr-FR"/>
        </w:rPr>
        <w:t xml:space="preserve">pour les maternités </w:t>
      </w:r>
      <w:r w:rsidR="00451933">
        <w:rPr>
          <w:noProof/>
          <w:lang w:val="fr-FR"/>
        </w:rPr>
        <w:t xml:space="preserve">et </w:t>
      </w:r>
      <w:r w:rsidR="00BD521B">
        <w:rPr>
          <w:noProof/>
          <w:lang w:val="fr-FR"/>
        </w:rPr>
        <w:t>les services de soins néonatals</w:t>
      </w:r>
      <w:r w:rsidR="001B2F58" w:rsidRPr="00DD03D6">
        <w:rPr>
          <w:noProof/>
          <w:lang w:val="fr-FR"/>
        </w:rPr>
        <w:t xml:space="preserve">, </w:t>
      </w:r>
      <w:r w:rsidR="00BD521B">
        <w:rPr>
          <w:noProof/>
          <w:lang w:val="fr-FR"/>
        </w:rPr>
        <w:t xml:space="preserve">reposant sur les étapes de </w:t>
      </w:r>
      <w:r w:rsidR="00BD521B" w:rsidRPr="00BD521B">
        <w:rPr>
          <w:noProof/>
          <w:lang w:val="fr-FR"/>
        </w:rPr>
        <w:t>l’Initiative «</w:t>
      </w:r>
      <w:r w:rsidR="0032589C">
        <w:rPr>
          <w:noProof/>
          <w:lang w:val="fr-FR"/>
        </w:rPr>
        <w:t> </w:t>
      </w:r>
      <w:r w:rsidR="00BD521B" w:rsidRPr="00BD521B">
        <w:rPr>
          <w:noProof/>
          <w:lang w:val="fr-FR"/>
        </w:rPr>
        <w:t>Hôpitaux amis des enfants</w:t>
      </w:r>
      <w:r w:rsidR="0032589C">
        <w:rPr>
          <w:noProof/>
          <w:lang w:val="fr-FR"/>
        </w:rPr>
        <w:t> </w:t>
      </w:r>
      <w:r w:rsidR="00BD521B" w:rsidRPr="00BD521B">
        <w:rPr>
          <w:noProof/>
          <w:lang w:val="fr-FR"/>
        </w:rPr>
        <w:t>» de l’OMS et de l’UNICEF</w:t>
      </w:r>
      <w:r w:rsidR="001B2F58" w:rsidRPr="00DD03D6">
        <w:rPr>
          <w:noProof/>
          <w:lang w:val="fr-FR"/>
        </w:rPr>
        <w:t>.</w:t>
      </w:r>
    </w:p>
    <w:p w:rsidR="001B2F58" w:rsidRPr="00DD03D6" w:rsidRDefault="001A125C" w:rsidP="000A5661">
      <w:pPr>
        <w:pStyle w:val="SingleTxtG"/>
        <w:numPr>
          <w:ilvl w:val="0"/>
          <w:numId w:val="3"/>
        </w:numPr>
        <w:ind w:left="1134" w:firstLine="0"/>
        <w:rPr>
          <w:i/>
          <w:iCs/>
          <w:noProof/>
          <w:lang w:val="fr-FR"/>
        </w:rPr>
      </w:pPr>
      <w:r>
        <w:rPr>
          <w:noProof/>
          <w:lang w:val="fr-FR"/>
        </w:rPr>
        <w:t>Dans l’ensemble, les taux d’allaitement au sein</w:t>
      </w:r>
      <w:r w:rsidR="001B2F58" w:rsidRPr="00DD03D6">
        <w:rPr>
          <w:noProof/>
          <w:lang w:val="fr-FR"/>
        </w:rPr>
        <w:t xml:space="preserve"> (</w:t>
      </w:r>
      <w:r>
        <w:rPr>
          <w:noProof/>
          <w:lang w:val="fr-FR"/>
        </w:rPr>
        <w:t xml:space="preserve">y compris l’allaitement exclusif et </w:t>
      </w:r>
      <w:r w:rsidR="00A90C40">
        <w:rPr>
          <w:noProof/>
          <w:lang w:val="fr-FR"/>
        </w:rPr>
        <w:t>l’alimentation combinée</w:t>
      </w:r>
      <w:r w:rsidR="001B2F58" w:rsidRPr="00DD03D6">
        <w:rPr>
          <w:noProof/>
          <w:lang w:val="fr-FR"/>
        </w:rPr>
        <w:t xml:space="preserve">) </w:t>
      </w:r>
      <w:r w:rsidR="00A90C40">
        <w:rPr>
          <w:noProof/>
          <w:lang w:val="fr-FR"/>
        </w:rPr>
        <w:t xml:space="preserve">augmentent en </w:t>
      </w:r>
      <w:r w:rsidR="001B2F58" w:rsidRPr="00DD03D6">
        <w:rPr>
          <w:noProof/>
          <w:lang w:val="fr-FR"/>
        </w:rPr>
        <w:t>Irland</w:t>
      </w:r>
      <w:r w:rsidR="00A90C40">
        <w:rPr>
          <w:noProof/>
          <w:lang w:val="fr-FR"/>
        </w:rPr>
        <w:t>e</w:t>
      </w:r>
      <w:r w:rsidR="001B2F58" w:rsidRPr="00DD03D6">
        <w:rPr>
          <w:noProof/>
          <w:lang w:val="fr-FR"/>
        </w:rPr>
        <w:t xml:space="preserve">. </w:t>
      </w:r>
      <w:r w:rsidR="00A90C40">
        <w:rPr>
          <w:noProof/>
          <w:lang w:val="fr-FR"/>
        </w:rPr>
        <w:t>E</w:t>
      </w:r>
      <w:r w:rsidR="001B2F58" w:rsidRPr="00DD03D6">
        <w:rPr>
          <w:noProof/>
          <w:lang w:val="fr-FR"/>
        </w:rPr>
        <w:t>n 2005, 47</w:t>
      </w:r>
      <w:r w:rsidR="00A90C40">
        <w:rPr>
          <w:noProof/>
          <w:lang w:val="fr-FR"/>
        </w:rPr>
        <w:t>,</w:t>
      </w:r>
      <w:r w:rsidR="001B2F58" w:rsidRPr="00DD03D6">
        <w:rPr>
          <w:noProof/>
          <w:lang w:val="fr-FR"/>
        </w:rPr>
        <w:t>5</w:t>
      </w:r>
      <w:r w:rsidR="003F1ADB">
        <w:rPr>
          <w:noProof/>
          <w:lang w:val="fr-FR"/>
        </w:rPr>
        <w:t> %</w:t>
      </w:r>
      <w:r w:rsidR="001B2F58" w:rsidRPr="00DD03D6">
        <w:rPr>
          <w:noProof/>
          <w:lang w:val="fr-FR"/>
        </w:rPr>
        <w:t xml:space="preserve"> </w:t>
      </w:r>
      <w:r w:rsidR="00A90C40">
        <w:rPr>
          <w:noProof/>
          <w:lang w:val="fr-FR"/>
        </w:rPr>
        <w:t>des nourrissons étaient alime</w:t>
      </w:r>
      <w:r w:rsidR="000112C3">
        <w:rPr>
          <w:noProof/>
          <w:lang w:val="fr-FR"/>
        </w:rPr>
        <w:t>ntés au sein dès leur sort</w:t>
      </w:r>
      <w:r w:rsidR="00A90C40">
        <w:rPr>
          <w:noProof/>
          <w:lang w:val="fr-FR"/>
        </w:rPr>
        <w:t>ie de l’hôpital</w:t>
      </w:r>
      <w:r w:rsidR="000112C3">
        <w:rPr>
          <w:noProof/>
          <w:lang w:val="fr-FR"/>
        </w:rPr>
        <w:t xml:space="preserve">. Ce taux était passé à </w:t>
      </w:r>
      <w:r w:rsidR="001B2F58" w:rsidRPr="00DD03D6">
        <w:rPr>
          <w:noProof/>
          <w:lang w:val="fr-FR"/>
        </w:rPr>
        <w:t>50</w:t>
      </w:r>
      <w:r w:rsidR="000112C3">
        <w:rPr>
          <w:noProof/>
          <w:lang w:val="fr-FR"/>
        </w:rPr>
        <w:t>,</w:t>
      </w:r>
      <w:r w:rsidR="001B2F58" w:rsidRPr="00DD03D6">
        <w:rPr>
          <w:noProof/>
          <w:lang w:val="fr-FR"/>
        </w:rPr>
        <w:t>9</w:t>
      </w:r>
      <w:r w:rsidR="003F1ADB">
        <w:rPr>
          <w:noProof/>
          <w:lang w:val="fr-FR"/>
        </w:rPr>
        <w:t> %</w:t>
      </w:r>
      <w:r w:rsidR="001B2F58" w:rsidRPr="00DD03D6">
        <w:rPr>
          <w:noProof/>
          <w:lang w:val="fr-FR"/>
        </w:rPr>
        <w:t xml:space="preserve"> </w:t>
      </w:r>
      <w:r w:rsidR="000112C3">
        <w:rPr>
          <w:noProof/>
          <w:lang w:val="fr-FR"/>
        </w:rPr>
        <w:t>en</w:t>
      </w:r>
      <w:r w:rsidR="001B2F58" w:rsidRPr="00DD03D6">
        <w:rPr>
          <w:noProof/>
          <w:lang w:val="fr-FR"/>
        </w:rPr>
        <w:t xml:space="preserve"> 2008 </w:t>
      </w:r>
      <w:r w:rsidR="000112C3">
        <w:rPr>
          <w:noProof/>
          <w:lang w:val="fr-FR"/>
        </w:rPr>
        <w:t xml:space="preserve">et à </w:t>
      </w:r>
      <w:r w:rsidR="001B2F58" w:rsidRPr="00DD03D6">
        <w:rPr>
          <w:noProof/>
          <w:lang w:val="fr-FR"/>
        </w:rPr>
        <w:t>55</w:t>
      </w:r>
      <w:r w:rsidR="000112C3">
        <w:rPr>
          <w:noProof/>
          <w:lang w:val="fr-FR"/>
        </w:rPr>
        <w:t>,</w:t>
      </w:r>
      <w:r w:rsidR="001B2F58" w:rsidRPr="00DD03D6">
        <w:rPr>
          <w:noProof/>
          <w:lang w:val="fr-FR"/>
        </w:rPr>
        <w:t>2</w:t>
      </w:r>
      <w:r w:rsidR="003F1ADB">
        <w:rPr>
          <w:noProof/>
          <w:lang w:val="fr-FR"/>
        </w:rPr>
        <w:t> %</w:t>
      </w:r>
      <w:r w:rsidR="001B2F58" w:rsidRPr="00DD03D6">
        <w:rPr>
          <w:noProof/>
          <w:lang w:val="fr-FR"/>
        </w:rPr>
        <w:t xml:space="preserve"> </w:t>
      </w:r>
      <w:r w:rsidR="000112C3">
        <w:rPr>
          <w:noProof/>
          <w:lang w:val="fr-FR"/>
        </w:rPr>
        <w:t>en</w:t>
      </w:r>
      <w:r w:rsidR="001B2F58" w:rsidRPr="00DD03D6">
        <w:rPr>
          <w:noProof/>
          <w:lang w:val="fr-FR"/>
        </w:rPr>
        <w:t xml:space="preserve"> 2011. </w:t>
      </w:r>
      <w:r w:rsidR="000112C3">
        <w:rPr>
          <w:noProof/>
          <w:lang w:val="fr-FR"/>
        </w:rPr>
        <w:t xml:space="preserve">Cela étant, il ressort des </w:t>
      </w:r>
      <w:r w:rsidR="001B2F58" w:rsidRPr="00DD03D6">
        <w:rPr>
          <w:noProof/>
          <w:lang w:val="fr-FR"/>
        </w:rPr>
        <w:t>information</w:t>
      </w:r>
      <w:r w:rsidR="000112C3">
        <w:rPr>
          <w:noProof/>
          <w:lang w:val="fr-FR"/>
        </w:rPr>
        <w:t>s</w:t>
      </w:r>
      <w:r w:rsidR="001B2F58" w:rsidRPr="00DD03D6">
        <w:rPr>
          <w:noProof/>
          <w:lang w:val="fr-FR"/>
        </w:rPr>
        <w:t xml:space="preserve"> </w:t>
      </w:r>
      <w:r w:rsidR="000112C3">
        <w:rPr>
          <w:noProof/>
          <w:lang w:val="fr-FR"/>
        </w:rPr>
        <w:t xml:space="preserve">fournies par l’étude </w:t>
      </w:r>
      <w:r w:rsidR="000112C3">
        <w:rPr>
          <w:i/>
          <w:noProof/>
          <w:lang w:val="fr-FR"/>
        </w:rPr>
        <w:t xml:space="preserve">Grandir en Irlande </w:t>
      </w:r>
      <w:r w:rsidR="000112C3">
        <w:rPr>
          <w:noProof/>
          <w:lang w:val="fr-FR"/>
        </w:rPr>
        <w:t>que ce pays a le taux d’allaitement au sein le plus faible d’Europe</w:t>
      </w:r>
      <w:r w:rsidR="001B2F58" w:rsidRPr="00DD03D6">
        <w:rPr>
          <w:noProof/>
          <w:lang w:val="fr-FR"/>
        </w:rPr>
        <w:t xml:space="preserve">. </w:t>
      </w:r>
      <w:r w:rsidR="000112C3">
        <w:rPr>
          <w:noProof/>
          <w:lang w:val="fr-FR"/>
        </w:rPr>
        <w:t xml:space="preserve">Si </w:t>
      </w:r>
      <w:r w:rsidR="001B2F58" w:rsidRPr="00DD03D6">
        <w:rPr>
          <w:noProof/>
          <w:lang w:val="fr-FR"/>
        </w:rPr>
        <w:t>55</w:t>
      </w:r>
      <w:r w:rsidR="003F1ADB">
        <w:rPr>
          <w:noProof/>
          <w:lang w:val="fr-FR"/>
        </w:rPr>
        <w:t> %</w:t>
      </w:r>
      <w:r w:rsidR="001B2F58" w:rsidRPr="00DD03D6">
        <w:rPr>
          <w:noProof/>
          <w:lang w:val="fr-FR"/>
        </w:rPr>
        <w:t xml:space="preserve"> </w:t>
      </w:r>
      <w:r w:rsidR="000112C3">
        <w:rPr>
          <w:noProof/>
          <w:lang w:val="fr-FR"/>
        </w:rPr>
        <w:t xml:space="preserve">des Irlandaises qui viennent d’avoir un enfant l’alimentent au sein dans une certain mesure, </w:t>
      </w:r>
      <w:r w:rsidR="001B2F58" w:rsidRPr="00DD03D6">
        <w:rPr>
          <w:noProof/>
          <w:lang w:val="fr-FR"/>
        </w:rPr>
        <w:t>38</w:t>
      </w:r>
      <w:r w:rsidR="003F1ADB">
        <w:rPr>
          <w:noProof/>
          <w:lang w:val="fr-FR"/>
        </w:rPr>
        <w:t> %</w:t>
      </w:r>
      <w:r w:rsidR="001B2F58" w:rsidRPr="00DD03D6">
        <w:rPr>
          <w:noProof/>
          <w:lang w:val="fr-FR"/>
        </w:rPr>
        <w:t xml:space="preserve"> </w:t>
      </w:r>
      <w:r w:rsidR="000112C3">
        <w:rPr>
          <w:noProof/>
          <w:lang w:val="fr-FR"/>
        </w:rPr>
        <w:t xml:space="preserve">seulement </w:t>
      </w:r>
      <w:r w:rsidR="001B2F58" w:rsidRPr="00DD03D6">
        <w:rPr>
          <w:noProof/>
          <w:lang w:val="fr-FR"/>
        </w:rPr>
        <w:t>continue</w:t>
      </w:r>
      <w:r w:rsidR="000112C3">
        <w:rPr>
          <w:noProof/>
          <w:lang w:val="fr-FR"/>
        </w:rPr>
        <w:t>nt de le faire après le</w:t>
      </w:r>
      <w:r w:rsidR="00770ED7">
        <w:rPr>
          <w:noProof/>
          <w:lang w:val="fr-FR"/>
        </w:rPr>
        <w:t xml:space="preserve"> </w:t>
      </w:r>
      <w:r w:rsidR="000112C3">
        <w:rPr>
          <w:noProof/>
          <w:lang w:val="fr-FR"/>
        </w:rPr>
        <w:t xml:space="preserve">premier mois et moins de </w:t>
      </w:r>
      <w:r w:rsidR="001B2F58" w:rsidRPr="00DD03D6">
        <w:rPr>
          <w:noProof/>
          <w:lang w:val="fr-FR"/>
        </w:rPr>
        <w:t>15</w:t>
      </w:r>
      <w:r w:rsidR="003F1ADB">
        <w:rPr>
          <w:noProof/>
          <w:lang w:val="fr-FR"/>
        </w:rPr>
        <w:t> %</w:t>
      </w:r>
      <w:r w:rsidR="001B2F58" w:rsidRPr="00DD03D6">
        <w:rPr>
          <w:noProof/>
          <w:lang w:val="fr-FR"/>
        </w:rPr>
        <w:t xml:space="preserve"> </w:t>
      </w:r>
      <w:r w:rsidR="000112C3">
        <w:rPr>
          <w:noProof/>
          <w:lang w:val="fr-FR"/>
        </w:rPr>
        <w:t xml:space="preserve">le font jusqu’à ce que l’enfant atteigne l’âge de </w:t>
      </w:r>
      <w:r w:rsidR="0032589C">
        <w:rPr>
          <w:noProof/>
          <w:lang w:val="fr-FR"/>
        </w:rPr>
        <w:t xml:space="preserve">6 </w:t>
      </w:r>
      <w:r w:rsidR="000112C3">
        <w:rPr>
          <w:noProof/>
          <w:lang w:val="fr-FR"/>
        </w:rPr>
        <w:t>mois</w:t>
      </w:r>
      <w:r w:rsidR="001B2F58" w:rsidRPr="00DD03D6">
        <w:rPr>
          <w:noProof/>
          <w:lang w:val="fr-FR"/>
        </w:rPr>
        <w:t xml:space="preserve">. </w:t>
      </w:r>
      <w:r w:rsidR="000112C3">
        <w:rPr>
          <w:noProof/>
          <w:lang w:val="fr-FR"/>
        </w:rPr>
        <w:t>Les écarts s</w:t>
      </w:r>
      <w:r w:rsidR="001B2F58" w:rsidRPr="00DD03D6">
        <w:rPr>
          <w:noProof/>
          <w:lang w:val="fr-FR"/>
        </w:rPr>
        <w:t>ocio</w:t>
      </w:r>
      <w:r w:rsidR="000112C3">
        <w:rPr>
          <w:noProof/>
          <w:lang w:val="fr-FR"/>
        </w:rPr>
        <w:t>économiques n’en continuent pas moins de s’appliquer</w:t>
      </w:r>
      <w:r w:rsidR="001B2F58" w:rsidRPr="00DD03D6">
        <w:rPr>
          <w:noProof/>
          <w:lang w:val="fr-FR"/>
        </w:rPr>
        <w:t>.</w:t>
      </w:r>
    </w:p>
    <w:p w:rsidR="001B2F58" w:rsidRPr="00DD03D6" w:rsidRDefault="000112C3" w:rsidP="005D7533">
      <w:pPr>
        <w:pStyle w:val="SingleTxtG"/>
        <w:numPr>
          <w:ilvl w:val="0"/>
          <w:numId w:val="3"/>
        </w:numPr>
        <w:ind w:left="1134" w:firstLine="0"/>
        <w:rPr>
          <w:i/>
          <w:iCs/>
          <w:noProof/>
          <w:lang w:val="fr-FR"/>
        </w:rPr>
      </w:pPr>
      <w:r>
        <w:rPr>
          <w:noProof/>
          <w:lang w:val="fr-FR"/>
        </w:rPr>
        <w:t>E</w:t>
      </w:r>
      <w:r w:rsidR="001B2F58" w:rsidRPr="00DD03D6">
        <w:rPr>
          <w:noProof/>
          <w:lang w:val="fr-FR"/>
        </w:rPr>
        <w:t xml:space="preserve">n 2007, </w:t>
      </w:r>
      <w:r>
        <w:rPr>
          <w:noProof/>
          <w:lang w:val="fr-FR"/>
        </w:rPr>
        <w:t xml:space="preserve">la Direction des services de santé a lancé le site Web </w:t>
      </w:r>
      <w:hyperlink r:id="rId31" w:history="1">
        <w:r w:rsidR="001B2F58" w:rsidRPr="00DD03D6">
          <w:rPr>
            <w:rStyle w:val="Lienhypertexte"/>
            <w:noProof/>
            <w:lang w:val="fr-FR"/>
          </w:rPr>
          <w:t>www.breastfeeding.ie</w:t>
        </w:r>
      </w:hyperlink>
      <w:r w:rsidR="001B2F58" w:rsidRPr="00DD03D6">
        <w:rPr>
          <w:noProof/>
          <w:lang w:val="fr-FR"/>
        </w:rPr>
        <w:t xml:space="preserve"> </w:t>
      </w:r>
      <w:r w:rsidR="00B64513">
        <w:rPr>
          <w:noProof/>
          <w:lang w:val="fr-FR"/>
        </w:rPr>
        <w:t xml:space="preserve">pour fournir aux femmes enceintes et aux mères allaitantes des </w:t>
      </w:r>
      <w:r w:rsidR="001B2F58" w:rsidRPr="00DD03D6">
        <w:rPr>
          <w:noProof/>
          <w:lang w:val="fr-FR"/>
        </w:rPr>
        <w:t>information</w:t>
      </w:r>
      <w:r w:rsidR="00B64513">
        <w:rPr>
          <w:noProof/>
          <w:lang w:val="fr-FR"/>
        </w:rPr>
        <w:t>s</w:t>
      </w:r>
      <w:r w:rsidR="001B2F58" w:rsidRPr="00DD03D6">
        <w:rPr>
          <w:noProof/>
          <w:lang w:val="fr-FR"/>
        </w:rPr>
        <w:t xml:space="preserve"> </w:t>
      </w:r>
      <w:r w:rsidR="00B64513">
        <w:rPr>
          <w:noProof/>
          <w:lang w:val="fr-FR"/>
        </w:rPr>
        <w:t xml:space="preserve">sur </w:t>
      </w:r>
      <w:r w:rsidR="00B64513">
        <w:rPr>
          <w:noProof/>
          <w:lang w:val="fr-FR"/>
        </w:rPr>
        <w:lastRenderedPageBreak/>
        <w:t>l’allaitement au sein et les services d’appui locaux</w:t>
      </w:r>
      <w:r w:rsidR="001B2F58" w:rsidRPr="00DD03D6">
        <w:rPr>
          <w:noProof/>
          <w:lang w:val="fr-FR"/>
        </w:rPr>
        <w:t xml:space="preserve">. </w:t>
      </w:r>
      <w:r w:rsidR="00B64513">
        <w:rPr>
          <w:noProof/>
          <w:lang w:val="fr-FR"/>
        </w:rPr>
        <w:t xml:space="preserve">Elle a également produit un certain nombre de </w:t>
      </w:r>
      <w:r w:rsidR="001B2F58" w:rsidRPr="00DD03D6">
        <w:rPr>
          <w:noProof/>
          <w:lang w:val="fr-FR"/>
        </w:rPr>
        <w:t xml:space="preserve">guides </w:t>
      </w:r>
      <w:r w:rsidR="00B64513">
        <w:rPr>
          <w:noProof/>
          <w:lang w:val="fr-FR"/>
        </w:rPr>
        <w:t xml:space="preserve">sur l’allaitement à l’intention des mères, dont l’un traite des moyens de continuer d’allaiter après </w:t>
      </w:r>
      <w:r w:rsidR="006A57F2">
        <w:rPr>
          <w:noProof/>
          <w:lang w:val="fr-FR"/>
        </w:rPr>
        <w:t>le retour au travail</w:t>
      </w:r>
      <w:r w:rsidR="005D7533" w:rsidRPr="00DD03D6">
        <w:rPr>
          <w:noProof/>
          <w:lang w:val="fr-FR"/>
        </w:rPr>
        <w:t xml:space="preserve">. </w:t>
      </w:r>
      <w:r w:rsidR="006A57F2">
        <w:rPr>
          <w:noProof/>
          <w:lang w:val="fr-FR"/>
        </w:rPr>
        <w:t>Le</w:t>
      </w:r>
      <w:r w:rsidR="002B4D9C">
        <w:rPr>
          <w:noProof/>
          <w:lang w:val="fr-FR"/>
        </w:rPr>
        <w:t>s f</w:t>
      </w:r>
      <w:r w:rsidR="006A57F2">
        <w:rPr>
          <w:noProof/>
          <w:lang w:val="fr-FR"/>
        </w:rPr>
        <w:t xml:space="preserve">onctionnaires ont droit à des </w:t>
      </w:r>
      <w:r w:rsidR="003F36DD">
        <w:rPr>
          <w:noProof/>
          <w:lang w:val="fr-FR"/>
        </w:rPr>
        <w:t>« </w:t>
      </w:r>
      <w:r w:rsidR="006A57F2">
        <w:rPr>
          <w:noProof/>
          <w:lang w:val="fr-FR"/>
        </w:rPr>
        <w:t>pauses d’allaitement</w:t>
      </w:r>
      <w:r w:rsidR="003F36DD">
        <w:rPr>
          <w:noProof/>
          <w:lang w:val="fr-FR"/>
        </w:rPr>
        <w:t> »</w:t>
      </w:r>
      <w:r w:rsidR="001B2F58" w:rsidRPr="00DD03D6">
        <w:rPr>
          <w:noProof/>
          <w:lang w:val="fr-FR"/>
        </w:rPr>
        <w:t xml:space="preserve"> </w:t>
      </w:r>
      <w:r w:rsidR="006A57F2">
        <w:rPr>
          <w:noProof/>
          <w:lang w:val="fr-FR"/>
        </w:rPr>
        <w:t>après le retour au travail à la suite d’un congé de maternité de 26 semaines</w:t>
      </w:r>
      <w:r w:rsidR="001B2F58" w:rsidRPr="00DD03D6">
        <w:rPr>
          <w:noProof/>
          <w:lang w:val="fr-FR"/>
        </w:rPr>
        <w:t xml:space="preserve">. </w:t>
      </w:r>
      <w:r w:rsidR="006A57F2">
        <w:rPr>
          <w:noProof/>
          <w:lang w:val="fr-FR"/>
        </w:rPr>
        <w:t>C’est le seul secteur d’activité accordant ce droit à son personnel.</w:t>
      </w:r>
      <w:r w:rsidR="001B2F58" w:rsidRPr="00DD03D6">
        <w:rPr>
          <w:noProof/>
          <w:lang w:val="fr-FR"/>
        </w:rPr>
        <w:t xml:space="preserve"> </w:t>
      </w:r>
      <w:r w:rsidR="006A57F2">
        <w:rPr>
          <w:noProof/>
          <w:lang w:val="fr-FR"/>
        </w:rPr>
        <w:t>L’</w:t>
      </w:r>
      <w:r w:rsidR="001B2F58" w:rsidRPr="00DD03D6">
        <w:rPr>
          <w:noProof/>
          <w:lang w:val="fr-FR"/>
        </w:rPr>
        <w:t>Irland</w:t>
      </w:r>
      <w:r w:rsidR="006A57F2">
        <w:rPr>
          <w:noProof/>
          <w:lang w:val="fr-FR"/>
        </w:rPr>
        <w:t>e</w:t>
      </w:r>
      <w:r w:rsidR="001B2F58" w:rsidRPr="00DD03D6">
        <w:rPr>
          <w:noProof/>
          <w:lang w:val="fr-FR"/>
        </w:rPr>
        <w:t xml:space="preserve"> </w:t>
      </w:r>
      <w:r w:rsidR="006A57F2">
        <w:rPr>
          <w:noProof/>
          <w:lang w:val="fr-FR"/>
        </w:rPr>
        <w:t xml:space="preserve">n’a </w:t>
      </w:r>
      <w:r w:rsidR="002B4D9C">
        <w:rPr>
          <w:noProof/>
          <w:lang w:val="fr-FR"/>
        </w:rPr>
        <w:t xml:space="preserve">transposé </w:t>
      </w:r>
      <w:r w:rsidR="006A57F2">
        <w:rPr>
          <w:noProof/>
          <w:lang w:val="fr-FR"/>
        </w:rPr>
        <w:t>qu’en partie le Code i</w:t>
      </w:r>
      <w:r w:rsidR="001B2F58" w:rsidRPr="00DD03D6">
        <w:rPr>
          <w:noProof/>
          <w:lang w:val="fr-FR"/>
        </w:rPr>
        <w:t xml:space="preserve">nternational </w:t>
      </w:r>
      <w:r w:rsidR="006A57F2">
        <w:rPr>
          <w:noProof/>
          <w:lang w:val="fr-FR"/>
        </w:rPr>
        <w:t xml:space="preserve">de commercialisation des substituts du lait maternel </w:t>
      </w:r>
      <w:r w:rsidR="001B2F58" w:rsidRPr="00DD03D6">
        <w:rPr>
          <w:noProof/>
          <w:lang w:val="fr-FR"/>
        </w:rPr>
        <w:t>(</w:t>
      </w:r>
      <w:r w:rsidR="002B4D9C">
        <w:rPr>
          <w:noProof/>
          <w:lang w:val="fr-FR"/>
        </w:rPr>
        <w:t>et les résolutions ultérieures de l’Assemblée mondiale de la santé</w:t>
      </w:r>
      <w:r w:rsidR="001B2F58" w:rsidRPr="00DD03D6">
        <w:rPr>
          <w:noProof/>
          <w:lang w:val="fr-FR"/>
        </w:rPr>
        <w:t xml:space="preserve">) </w:t>
      </w:r>
      <w:r w:rsidR="002B4D9C">
        <w:rPr>
          <w:noProof/>
          <w:lang w:val="fr-FR"/>
        </w:rPr>
        <w:t>dans son droit interne</w:t>
      </w:r>
      <w:r w:rsidR="001B2F58" w:rsidRPr="00DD03D6">
        <w:rPr>
          <w:noProof/>
          <w:lang w:val="fr-FR"/>
        </w:rPr>
        <w:t>.</w:t>
      </w:r>
    </w:p>
    <w:p w:rsidR="001B2F58" w:rsidRPr="00DD03D6" w:rsidRDefault="000A5661" w:rsidP="000A5661">
      <w:pPr>
        <w:pStyle w:val="H1G"/>
        <w:rPr>
          <w:noProof/>
          <w:lang w:val="fr-FR"/>
        </w:rPr>
      </w:pPr>
      <w:bookmarkStart w:id="58" w:name="_Toc356430882"/>
      <w:r w:rsidRPr="00DD03D6">
        <w:rPr>
          <w:noProof/>
          <w:lang w:val="fr-FR"/>
        </w:rPr>
        <w:tab/>
      </w:r>
      <w:r w:rsidR="001B2F58" w:rsidRPr="00DD03D6">
        <w:rPr>
          <w:noProof/>
          <w:lang w:val="fr-FR"/>
        </w:rPr>
        <w:t>D.</w:t>
      </w:r>
      <w:r w:rsidR="001B2F58" w:rsidRPr="00DD03D6">
        <w:rPr>
          <w:noProof/>
          <w:lang w:val="fr-FR"/>
        </w:rPr>
        <w:tab/>
      </w:r>
      <w:r w:rsidR="003B381E">
        <w:rPr>
          <w:noProof/>
          <w:lang w:val="fr-FR"/>
        </w:rPr>
        <w:t>Santé et services de santé</w:t>
      </w:r>
      <w:r w:rsidR="003B381E" w:rsidRPr="00DD03D6">
        <w:rPr>
          <w:noProof/>
          <w:lang w:val="fr-FR"/>
        </w:rPr>
        <w:t xml:space="preserve">, </w:t>
      </w:r>
      <w:r w:rsidR="003B381E">
        <w:rPr>
          <w:noProof/>
          <w:lang w:val="fr-FR"/>
        </w:rPr>
        <w:t>en particulier les soins de santé</w:t>
      </w:r>
      <w:r w:rsidR="003B381E" w:rsidRPr="00DD03D6">
        <w:rPr>
          <w:noProof/>
          <w:lang w:val="fr-FR"/>
        </w:rPr>
        <w:t xml:space="preserve"> prima</w:t>
      </w:r>
      <w:r w:rsidR="003B381E">
        <w:rPr>
          <w:noProof/>
          <w:lang w:val="fr-FR"/>
        </w:rPr>
        <w:t>ires</w:t>
      </w:r>
      <w:r w:rsidR="003B381E" w:rsidRPr="00DD03D6">
        <w:rPr>
          <w:noProof/>
          <w:lang w:val="fr-FR"/>
        </w:rPr>
        <w:t xml:space="preserve"> </w:t>
      </w:r>
      <w:bookmarkEnd w:id="58"/>
    </w:p>
    <w:p w:rsidR="001B2F58" w:rsidRDefault="003B381E" w:rsidP="00610F89">
      <w:pPr>
        <w:pStyle w:val="SingleTxtG"/>
        <w:numPr>
          <w:ilvl w:val="0"/>
          <w:numId w:val="3"/>
        </w:numPr>
        <w:ind w:left="1134" w:firstLine="0"/>
        <w:rPr>
          <w:noProof/>
          <w:lang w:val="fr-FR"/>
        </w:rPr>
      </w:pPr>
      <w:r>
        <w:rPr>
          <w:noProof/>
          <w:lang w:val="fr-FR"/>
        </w:rPr>
        <w:t xml:space="preserve">La stratégie relative aux soins de santé primaires intitulée </w:t>
      </w:r>
      <w:r>
        <w:rPr>
          <w:i/>
          <w:noProof/>
          <w:lang w:val="fr-FR"/>
        </w:rPr>
        <w:t xml:space="preserve">Une orientation nouvelle </w:t>
      </w:r>
      <w:r>
        <w:rPr>
          <w:noProof/>
          <w:lang w:val="fr-FR"/>
        </w:rPr>
        <w:t>(</w:t>
      </w:r>
      <w:r w:rsidR="001B2F58" w:rsidRPr="00DD03D6">
        <w:rPr>
          <w:i/>
          <w:iCs/>
          <w:noProof/>
          <w:lang w:val="fr-FR"/>
        </w:rPr>
        <w:t>A New Direction</w:t>
      </w:r>
      <w:r>
        <w:rPr>
          <w:iCs/>
          <w:noProof/>
          <w:lang w:val="fr-FR"/>
        </w:rPr>
        <w:t>) publiée en 2001 par le Ministère de la santé et de l’enfance demeure la principale stratégie en la matière en Irlande</w:t>
      </w:r>
      <w:r w:rsidR="001B2F58" w:rsidRPr="00DD03D6">
        <w:rPr>
          <w:noProof/>
          <w:lang w:val="fr-FR"/>
        </w:rPr>
        <w:t xml:space="preserve">. </w:t>
      </w:r>
      <w:r>
        <w:rPr>
          <w:noProof/>
          <w:lang w:val="fr-FR"/>
        </w:rPr>
        <w:t xml:space="preserve">Elle vise pour l’essentiel à mettre en place au niveau communautaire des </w:t>
      </w:r>
      <w:r w:rsidR="001B2F58" w:rsidRPr="00DD03D6">
        <w:rPr>
          <w:noProof/>
          <w:lang w:val="fr-FR"/>
        </w:rPr>
        <w:t xml:space="preserve">services </w:t>
      </w:r>
      <w:r>
        <w:rPr>
          <w:noProof/>
          <w:lang w:val="fr-FR"/>
        </w:rPr>
        <w:t xml:space="preserve">donnant aux usagers un accès direct à des équipes pluridisciplinaires </w:t>
      </w:r>
      <w:r w:rsidR="001B2F58" w:rsidRPr="00DD03D6">
        <w:rPr>
          <w:noProof/>
          <w:lang w:val="fr-FR"/>
        </w:rPr>
        <w:t>int</w:t>
      </w:r>
      <w:r>
        <w:rPr>
          <w:noProof/>
          <w:lang w:val="fr-FR"/>
        </w:rPr>
        <w:t>é</w:t>
      </w:r>
      <w:r w:rsidR="001B2F58" w:rsidRPr="00DD03D6">
        <w:rPr>
          <w:noProof/>
          <w:lang w:val="fr-FR"/>
        </w:rPr>
        <w:t>gr</w:t>
      </w:r>
      <w:r>
        <w:rPr>
          <w:noProof/>
          <w:lang w:val="fr-FR"/>
        </w:rPr>
        <w:t>ées composées d’omnipraticiens, de membres du personnel infirmier, de</w:t>
      </w:r>
      <w:r w:rsidR="001B2F58" w:rsidRPr="00DD03D6">
        <w:rPr>
          <w:noProof/>
          <w:lang w:val="fr-FR"/>
        </w:rPr>
        <w:t xml:space="preserve"> physioth</w:t>
      </w:r>
      <w:r>
        <w:rPr>
          <w:noProof/>
          <w:lang w:val="fr-FR"/>
        </w:rPr>
        <w:t>érapeutes</w:t>
      </w:r>
      <w:r w:rsidR="001B2F58" w:rsidRPr="00DD03D6">
        <w:rPr>
          <w:noProof/>
          <w:lang w:val="fr-FR"/>
        </w:rPr>
        <w:t xml:space="preserve">, </w:t>
      </w:r>
      <w:r>
        <w:rPr>
          <w:noProof/>
          <w:lang w:val="fr-FR"/>
        </w:rPr>
        <w:t xml:space="preserve">d’ergothérapeutes et d’autres professionnels de </w:t>
      </w:r>
      <w:r w:rsidR="00770ED7">
        <w:rPr>
          <w:noProof/>
          <w:lang w:val="fr-FR"/>
        </w:rPr>
        <w:t xml:space="preserve">la </w:t>
      </w:r>
      <w:r>
        <w:rPr>
          <w:noProof/>
          <w:lang w:val="fr-FR"/>
        </w:rPr>
        <w:t>santé</w:t>
      </w:r>
      <w:r w:rsidR="001B2F58" w:rsidRPr="00DD03D6">
        <w:rPr>
          <w:noProof/>
          <w:lang w:val="fr-FR"/>
        </w:rPr>
        <w:t xml:space="preserve">. </w:t>
      </w:r>
      <w:r>
        <w:rPr>
          <w:noProof/>
          <w:lang w:val="fr-FR"/>
        </w:rPr>
        <w:t xml:space="preserve">Des services supplémentaires, tels que </w:t>
      </w:r>
      <w:r w:rsidR="00DC0775">
        <w:rPr>
          <w:noProof/>
          <w:lang w:val="fr-FR"/>
        </w:rPr>
        <w:t>des services d’orthophonie, de diététique et de podologie, seront fournis dans le cadre de réseaux</w:t>
      </w:r>
      <w:r w:rsidR="001B2F58" w:rsidRPr="00DD03D6">
        <w:rPr>
          <w:noProof/>
          <w:lang w:val="fr-FR"/>
        </w:rPr>
        <w:t xml:space="preserve">. </w:t>
      </w:r>
      <w:r w:rsidR="00DC0775">
        <w:rPr>
          <w:noProof/>
          <w:lang w:val="fr-FR"/>
        </w:rPr>
        <w:t>L’application de cette stratégie se poursuit, le processus devant s’achever au cours des années à venir</w:t>
      </w:r>
      <w:r w:rsidR="001B2F58" w:rsidRPr="00DD03D6">
        <w:rPr>
          <w:noProof/>
          <w:lang w:val="fr-FR"/>
        </w:rPr>
        <w:t xml:space="preserve">. </w:t>
      </w:r>
      <w:r w:rsidR="00DC0775">
        <w:rPr>
          <w:noProof/>
          <w:lang w:val="fr-FR"/>
        </w:rPr>
        <w:t xml:space="preserve">La poursuite de la mise en place d’équipes de soins primaires et la prestation de services de médecine générale en dehors des heures </w:t>
      </w:r>
      <w:r w:rsidR="00770ED7">
        <w:rPr>
          <w:noProof/>
          <w:lang w:val="fr-FR"/>
        </w:rPr>
        <w:t xml:space="preserve">habituelles </w:t>
      </w:r>
      <w:r w:rsidR="00DC0775">
        <w:rPr>
          <w:noProof/>
          <w:lang w:val="fr-FR"/>
        </w:rPr>
        <w:t xml:space="preserve">de travail sont essentielles pour faciliter l’accès </w:t>
      </w:r>
      <w:r w:rsidR="00770ED7">
        <w:rPr>
          <w:noProof/>
          <w:lang w:val="fr-FR"/>
        </w:rPr>
        <w:t xml:space="preserve">des usagers </w:t>
      </w:r>
      <w:r w:rsidR="00DC0775">
        <w:rPr>
          <w:noProof/>
          <w:lang w:val="fr-FR"/>
        </w:rPr>
        <w:t xml:space="preserve">à des soins plus proches </w:t>
      </w:r>
      <w:r w:rsidR="00770ED7">
        <w:rPr>
          <w:noProof/>
          <w:lang w:val="fr-FR"/>
        </w:rPr>
        <w:t xml:space="preserve">de leur </w:t>
      </w:r>
      <w:r w:rsidR="00DC0775">
        <w:rPr>
          <w:noProof/>
          <w:lang w:val="fr-FR"/>
        </w:rPr>
        <w:t xml:space="preserve">domicile. </w:t>
      </w:r>
      <w:r w:rsidR="00FE6B88">
        <w:rPr>
          <w:noProof/>
          <w:lang w:val="fr-FR"/>
        </w:rPr>
        <w:t xml:space="preserve">À la fin de 2011, on comptait </w:t>
      </w:r>
      <w:r w:rsidR="001B2F58" w:rsidRPr="00DD03D6">
        <w:rPr>
          <w:noProof/>
          <w:lang w:val="fr-FR"/>
        </w:rPr>
        <w:t xml:space="preserve">425 </w:t>
      </w:r>
      <w:r w:rsidR="00FE6B88">
        <w:rPr>
          <w:noProof/>
          <w:lang w:val="fr-FR"/>
        </w:rPr>
        <w:t>de ces équipes</w:t>
      </w:r>
      <w:r w:rsidR="001B2F58" w:rsidRPr="00DD03D6">
        <w:rPr>
          <w:noProof/>
          <w:lang w:val="fr-FR"/>
        </w:rPr>
        <w:t xml:space="preserve">, </w:t>
      </w:r>
      <w:r w:rsidR="00FE6B88">
        <w:rPr>
          <w:noProof/>
          <w:lang w:val="fr-FR"/>
        </w:rPr>
        <w:t xml:space="preserve">et il était prévu d’en avoir </w:t>
      </w:r>
      <w:r w:rsidR="001B2F58" w:rsidRPr="00DD03D6">
        <w:rPr>
          <w:noProof/>
          <w:lang w:val="fr-FR"/>
        </w:rPr>
        <w:t xml:space="preserve">489 </w:t>
      </w:r>
      <w:r w:rsidR="00FE6B88">
        <w:rPr>
          <w:noProof/>
          <w:lang w:val="fr-FR"/>
        </w:rPr>
        <w:t>e</w:t>
      </w:r>
      <w:r w:rsidR="001B2F58" w:rsidRPr="00DD03D6">
        <w:rPr>
          <w:noProof/>
          <w:lang w:val="fr-FR"/>
        </w:rPr>
        <w:t xml:space="preserve">n place </w:t>
      </w:r>
      <w:r w:rsidR="00FE6B88">
        <w:rPr>
          <w:noProof/>
          <w:lang w:val="fr-FR"/>
        </w:rPr>
        <w:t xml:space="preserve">d’ici à la fin de </w:t>
      </w:r>
      <w:r w:rsidR="001B2F58" w:rsidRPr="00DD03D6">
        <w:rPr>
          <w:noProof/>
          <w:lang w:val="fr-FR"/>
        </w:rPr>
        <w:t>2012.</w:t>
      </w:r>
    </w:p>
    <w:p w:rsidR="001B2F58" w:rsidRPr="00DD03D6" w:rsidRDefault="00EF1EBE" w:rsidP="000A5661">
      <w:pPr>
        <w:pStyle w:val="SingleTxtG"/>
        <w:numPr>
          <w:ilvl w:val="0"/>
          <w:numId w:val="3"/>
        </w:numPr>
        <w:ind w:left="1134" w:firstLine="0"/>
        <w:rPr>
          <w:noProof/>
          <w:lang w:val="fr-FR" w:eastAsia="en-IE"/>
        </w:rPr>
      </w:pPr>
      <w:r>
        <w:rPr>
          <w:noProof/>
          <w:lang w:val="fr-FR"/>
        </w:rPr>
        <w:t xml:space="preserve">Dans son </w:t>
      </w:r>
      <w:r w:rsidR="001B2F58" w:rsidRPr="00DD03D6">
        <w:rPr>
          <w:noProof/>
          <w:lang w:val="fr-FR"/>
        </w:rPr>
        <w:t xml:space="preserve">Programme </w:t>
      </w:r>
      <w:r>
        <w:rPr>
          <w:noProof/>
          <w:lang w:val="fr-FR"/>
        </w:rPr>
        <w:t xml:space="preserve">pour </w:t>
      </w:r>
      <w:r w:rsidR="001B2F58" w:rsidRPr="00DD03D6">
        <w:rPr>
          <w:noProof/>
          <w:lang w:val="fr-FR"/>
        </w:rPr>
        <w:t>2011-2016</w:t>
      </w:r>
      <w:r>
        <w:rPr>
          <w:noProof/>
          <w:lang w:val="fr-FR"/>
        </w:rPr>
        <w:t xml:space="preserve">, le Gouvernement prévoit un renforcement important des services de soins de santé primaires </w:t>
      </w:r>
      <w:r w:rsidR="00641520">
        <w:rPr>
          <w:noProof/>
          <w:lang w:val="fr-FR"/>
        </w:rPr>
        <w:t>afin de réaliser l’a</w:t>
      </w:r>
      <w:r w:rsidR="00641520" w:rsidRPr="00641520">
        <w:rPr>
          <w:bCs/>
          <w:noProof/>
          <w:lang w:val="fr-FR"/>
        </w:rPr>
        <w:t>ccès d</w:t>
      </w:r>
      <w:r w:rsidR="00641520" w:rsidRPr="00641520">
        <w:rPr>
          <w:bCs/>
          <w:lang w:val="fr-FR"/>
        </w:rPr>
        <w:t xml:space="preserve">e tous </w:t>
      </w:r>
      <w:r w:rsidR="009A0E58">
        <w:rPr>
          <w:bCs/>
          <w:lang w:val="fr-FR"/>
        </w:rPr>
        <w:t xml:space="preserve">à ces </w:t>
      </w:r>
      <w:r w:rsidR="00641520" w:rsidRPr="00641520">
        <w:rPr>
          <w:bCs/>
          <w:lang w:val="fr-FR"/>
        </w:rPr>
        <w:t>soins</w:t>
      </w:r>
      <w:r w:rsidR="001B2F58" w:rsidRPr="00DD03D6">
        <w:rPr>
          <w:noProof/>
          <w:lang w:val="fr-FR"/>
        </w:rPr>
        <w:t xml:space="preserve">, </w:t>
      </w:r>
      <w:r w:rsidR="00641520">
        <w:rPr>
          <w:noProof/>
          <w:lang w:val="fr-FR"/>
        </w:rPr>
        <w:t>en éliminant pour les patients l’obstacle du coût</w:t>
      </w:r>
      <w:r w:rsidR="001B2F58" w:rsidRPr="00DD03D6">
        <w:rPr>
          <w:noProof/>
          <w:lang w:val="fr-FR"/>
        </w:rPr>
        <w:t xml:space="preserve">. </w:t>
      </w:r>
      <w:r w:rsidR="00641520">
        <w:rPr>
          <w:noProof/>
          <w:lang w:val="fr-FR"/>
        </w:rPr>
        <w:t>Il a également approuvé une politique d’introduction progressive de la gratuité des soins de médecine générale</w:t>
      </w:r>
      <w:r w:rsidR="001B2F58" w:rsidRPr="00DD03D6">
        <w:rPr>
          <w:noProof/>
          <w:lang w:val="fr-FR"/>
        </w:rPr>
        <w:t xml:space="preserve">, </w:t>
      </w:r>
      <w:r w:rsidR="00641520">
        <w:rPr>
          <w:noProof/>
          <w:lang w:val="fr-FR"/>
        </w:rPr>
        <w:t xml:space="preserve">conformément à son </w:t>
      </w:r>
      <w:r w:rsidR="001B2F58" w:rsidRPr="00DD03D6">
        <w:rPr>
          <w:noProof/>
          <w:lang w:val="fr-FR"/>
        </w:rPr>
        <w:t xml:space="preserve">Programme </w:t>
      </w:r>
      <w:r w:rsidR="00641520">
        <w:rPr>
          <w:noProof/>
          <w:lang w:val="fr-FR"/>
        </w:rPr>
        <w:t xml:space="preserve">pour </w:t>
      </w:r>
      <w:r w:rsidR="001B2F58" w:rsidRPr="00DD03D6">
        <w:rPr>
          <w:noProof/>
          <w:lang w:val="fr-FR"/>
        </w:rPr>
        <w:t xml:space="preserve">2011-2016. </w:t>
      </w:r>
      <w:r w:rsidR="009A0E58">
        <w:rPr>
          <w:noProof/>
          <w:lang w:val="fr-FR"/>
        </w:rPr>
        <w:t xml:space="preserve">La première phase de ce </w:t>
      </w:r>
      <w:r w:rsidR="001B2F58" w:rsidRPr="00DD03D6">
        <w:rPr>
          <w:noProof/>
          <w:lang w:val="fr-FR"/>
        </w:rPr>
        <w:t xml:space="preserve">Programme </w:t>
      </w:r>
      <w:r w:rsidR="009A0E58">
        <w:rPr>
          <w:noProof/>
          <w:lang w:val="fr-FR"/>
        </w:rPr>
        <w:t>devrait permettre d’élargir l’accès aux soins de médecine générale gratuits aux personnes souffrant de maladies ou de handicaps, élargissement qui serait prescrit par le règlement d’application de la nouvelle loi en cours de préparation au Ministère de la santé</w:t>
      </w:r>
      <w:r w:rsidR="001B2F58" w:rsidRPr="00DD03D6">
        <w:rPr>
          <w:noProof/>
          <w:lang w:val="fr-FR"/>
        </w:rPr>
        <w:t>.</w:t>
      </w:r>
    </w:p>
    <w:p w:rsidR="001B2F58" w:rsidRPr="00DD03D6" w:rsidRDefault="009A0E58" w:rsidP="00B32F00">
      <w:pPr>
        <w:pStyle w:val="SingleTxtG"/>
        <w:numPr>
          <w:ilvl w:val="0"/>
          <w:numId w:val="3"/>
        </w:numPr>
        <w:ind w:left="1134" w:firstLine="0"/>
        <w:rPr>
          <w:noProof/>
          <w:lang w:val="fr-FR" w:eastAsia="en-IE"/>
        </w:rPr>
      </w:pPr>
      <w:r>
        <w:rPr>
          <w:noProof/>
          <w:lang w:val="fr-FR" w:eastAsia="en-IE"/>
        </w:rPr>
        <w:t>E</w:t>
      </w:r>
      <w:r w:rsidR="001B2F58" w:rsidRPr="00DD03D6">
        <w:rPr>
          <w:noProof/>
          <w:lang w:val="fr-FR" w:eastAsia="en-IE"/>
        </w:rPr>
        <w:t xml:space="preserve">n </w:t>
      </w:r>
      <w:r>
        <w:rPr>
          <w:noProof/>
          <w:lang w:val="fr-FR" w:eastAsia="en-IE"/>
        </w:rPr>
        <w:t xml:space="preserve">juin </w:t>
      </w:r>
      <w:r w:rsidR="001B2F58" w:rsidRPr="00DD03D6">
        <w:rPr>
          <w:noProof/>
          <w:lang w:val="fr-FR" w:eastAsia="en-IE"/>
        </w:rPr>
        <w:t xml:space="preserve">2011, </w:t>
      </w:r>
      <w:r w:rsidR="001A4F74">
        <w:rPr>
          <w:noProof/>
          <w:lang w:val="fr-FR" w:eastAsia="en-IE"/>
        </w:rPr>
        <w:t xml:space="preserve">le Gouvernement a pris une </w:t>
      </w:r>
      <w:r w:rsidR="001B2F58" w:rsidRPr="00DD03D6">
        <w:rPr>
          <w:noProof/>
          <w:lang w:val="fr-FR" w:eastAsia="en-IE"/>
        </w:rPr>
        <w:t xml:space="preserve">initiative </w:t>
      </w:r>
      <w:r w:rsidR="001A4F74">
        <w:rPr>
          <w:noProof/>
          <w:lang w:val="fr-FR" w:eastAsia="en-IE"/>
        </w:rPr>
        <w:t xml:space="preserve">visant à élaborer un nouveau cadre </w:t>
      </w:r>
      <w:r w:rsidR="00770ED7">
        <w:rPr>
          <w:noProof/>
          <w:lang w:val="fr-FR" w:eastAsia="en-IE"/>
        </w:rPr>
        <w:t xml:space="preserve">directeur </w:t>
      </w:r>
      <w:r w:rsidR="001A4F74">
        <w:rPr>
          <w:noProof/>
          <w:lang w:val="fr-FR" w:eastAsia="en-IE"/>
        </w:rPr>
        <w:t xml:space="preserve">qui définirait une orientation à long terme pour la santé et le bien-être de la </w:t>
      </w:r>
      <w:r w:rsidR="001B2F58" w:rsidRPr="00DD03D6">
        <w:rPr>
          <w:noProof/>
          <w:lang w:val="fr-FR" w:eastAsia="en-IE"/>
        </w:rPr>
        <w:t xml:space="preserve">population. </w:t>
      </w:r>
      <w:r w:rsidR="001A4F74">
        <w:rPr>
          <w:noProof/>
          <w:lang w:val="fr-FR" w:eastAsia="en-IE"/>
        </w:rPr>
        <w:t>L’élaboration de ce cadre se poursuit</w:t>
      </w:r>
      <w:r w:rsidR="001B2F58" w:rsidRPr="00DD03D6">
        <w:rPr>
          <w:noProof/>
          <w:lang w:val="fr-FR" w:eastAsia="en-IE"/>
        </w:rPr>
        <w:t xml:space="preserve">. </w:t>
      </w:r>
      <w:r w:rsidR="001A4F74">
        <w:rPr>
          <w:noProof/>
          <w:lang w:val="fr-FR" w:eastAsia="en-IE"/>
        </w:rPr>
        <w:t xml:space="preserve">Le document </w:t>
      </w:r>
      <w:r w:rsidR="001B2F58" w:rsidRPr="00DD03D6">
        <w:rPr>
          <w:noProof/>
          <w:lang w:val="fr-FR" w:eastAsia="en-IE"/>
        </w:rPr>
        <w:t xml:space="preserve">final, </w:t>
      </w:r>
      <w:r w:rsidR="001A4F74">
        <w:rPr>
          <w:noProof/>
          <w:lang w:val="fr-FR" w:eastAsia="en-IE"/>
        </w:rPr>
        <w:t xml:space="preserve">intitulé </w:t>
      </w:r>
      <w:r w:rsidR="001A4F74">
        <w:rPr>
          <w:i/>
          <w:noProof/>
          <w:lang w:val="fr-FR" w:eastAsia="en-IE"/>
        </w:rPr>
        <w:t xml:space="preserve">Votre santé est votre richesse </w:t>
      </w:r>
      <w:r w:rsidR="001A4F74">
        <w:rPr>
          <w:noProof/>
          <w:lang w:val="fr-FR" w:eastAsia="en-IE"/>
        </w:rPr>
        <w:t>(</w:t>
      </w:r>
      <w:r w:rsidR="001B2F58" w:rsidRPr="00DD03D6">
        <w:rPr>
          <w:i/>
          <w:iCs/>
          <w:noProof/>
          <w:lang w:val="fr-FR" w:eastAsia="en-IE"/>
        </w:rPr>
        <w:t>Your Health is Your Wealth</w:t>
      </w:r>
      <w:r w:rsidR="001A4F74">
        <w:rPr>
          <w:iCs/>
          <w:noProof/>
          <w:lang w:val="fr-FR" w:eastAsia="en-IE"/>
        </w:rPr>
        <w:t>)</w:t>
      </w:r>
      <w:r w:rsidR="001B2F58" w:rsidRPr="00DD03D6">
        <w:rPr>
          <w:noProof/>
          <w:lang w:val="fr-FR" w:eastAsia="en-IE"/>
        </w:rPr>
        <w:t xml:space="preserve">, </w:t>
      </w:r>
      <w:r w:rsidR="001A4F74">
        <w:rPr>
          <w:noProof/>
          <w:lang w:val="fr-FR" w:eastAsia="en-IE"/>
        </w:rPr>
        <w:t>abordera un certain nombre de questions relatives à la santé et au bien-être des enfants</w:t>
      </w:r>
      <w:r w:rsidR="001B2F58" w:rsidRPr="00DD03D6">
        <w:rPr>
          <w:noProof/>
          <w:lang w:val="fr-FR" w:eastAsia="en-IE"/>
        </w:rPr>
        <w:t>.</w:t>
      </w:r>
    </w:p>
    <w:p w:rsidR="001B2F58" w:rsidRPr="00DD03D6" w:rsidRDefault="001A4F74" w:rsidP="00B32F00">
      <w:pPr>
        <w:pStyle w:val="SingleTxtG"/>
        <w:numPr>
          <w:ilvl w:val="0"/>
          <w:numId w:val="3"/>
        </w:numPr>
        <w:ind w:left="1134" w:firstLine="0"/>
        <w:rPr>
          <w:noProof/>
          <w:lang w:val="fr-FR"/>
        </w:rPr>
      </w:pPr>
      <w:r>
        <w:rPr>
          <w:noProof/>
          <w:lang w:val="fr-FR"/>
        </w:rPr>
        <w:t xml:space="preserve">Le bilan </w:t>
      </w:r>
      <w:r w:rsidR="001B2F58" w:rsidRPr="00DD03D6">
        <w:rPr>
          <w:noProof/>
          <w:lang w:val="fr-FR"/>
        </w:rPr>
        <w:t>national</w:t>
      </w:r>
      <w:r>
        <w:rPr>
          <w:noProof/>
          <w:lang w:val="fr-FR"/>
        </w:rPr>
        <w:t xml:space="preserve"> des services de santé </w:t>
      </w:r>
      <w:r w:rsidR="00540938">
        <w:rPr>
          <w:noProof/>
          <w:lang w:val="fr-FR"/>
        </w:rPr>
        <w:t xml:space="preserve">de l’enfant a abouti au rapport stratégique intitulé </w:t>
      </w:r>
      <w:r w:rsidR="00ED59A7">
        <w:rPr>
          <w:i/>
          <w:noProof/>
          <w:lang w:val="fr-FR"/>
        </w:rPr>
        <w:t>Le meilleur état de santé pour les enfants</w:t>
      </w:r>
      <w:r w:rsidR="00675D3A">
        <w:rPr>
          <w:i/>
          <w:noProof/>
          <w:lang w:val="fr-FR"/>
        </w:rPr>
        <w:t xml:space="preserve"> : </w:t>
      </w:r>
      <w:r w:rsidR="00ED59A7">
        <w:rPr>
          <w:i/>
          <w:iCs/>
          <w:noProof/>
          <w:lang w:val="fr-FR"/>
        </w:rPr>
        <w:t xml:space="preserve">Mise en place d’un partenariat avec </w:t>
      </w:r>
      <w:r w:rsidR="009336F4">
        <w:rPr>
          <w:i/>
          <w:iCs/>
          <w:noProof/>
          <w:lang w:val="fr-FR"/>
        </w:rPr>
        <w:t>les familles</w:t>
      </w:r>
      <w:r w:rsidR="009336F4">
        <w:rPr>
          <w:noProof/>
          <w:lang w:val="fr-FR"/>
        </w:rPr>
        <w:t xml:space="preserve"> (rapport BHFC)</w:t>
      </w:r>
      <w:r w:rsidR="00675D3A">
        <w:rPr>
          <w:noProof/>
          <w:lang w:val="fr-FR"/>
        </w:rPr>
        <w:t xml:space="preserve"> (</w:t>
      </w:r>
      <w:r w:rsidR="00675D3A" w:rsidRPr="00487473">
        <w:rPr>
          <w:i/>
          <w:iCs/>
          <w:lang w:val="fr-CH"/>
        </w:rPr>
        <w:t xml:space="preserve">Best </w:t>
      </w:r>
      <w:proofErr w:type="spellStart"/>
      <w:r w:rsidR="00675D3A" w:rsidRPr="00487473">
        <w:rPr>
          <w:i/>
          <w:iCs/>
          <w:lang w:val="fr-CH"/>
        </w:rPr>
        <w:t>Health</w:t>
      </w:r>
      <w:proofErr w:type="spellEnd"/>
      <w:r w:rsidR="00675D3A" w:rsidRPr="00487473">
        <w:rPr>
          <w:i/>
          <w:iCs/>
          <w:lang w:val="fr-CH"/>
        </w:rPr>
        <w:t xml:space="preserve"> for </w:t>
      </w:r>
      <w:proofErr w:type="spellStart"/>
      <w:r w:rsidR="00675D3A" w:rsidRPr="00487473">
        <w:rPr>
          <w:i/>
          <w:iCs/>
          <w:lang w:val="fr-CH"/>
        </w:rPr>
        <w:t>Children</w:t>
      </w:r>
      <w:proofErr w:type="spellEnd"/>
      <w:r w:rsidR="00675D3A" w:rsidRPr="00487473">
        <w:rPr>
          <w:i/>
          <w:iCs/>
          <w:lang w:val="fr-CH"/>
        </w:rPr>
        <w:t xml:space="preserve"> – </w:t>
      </w:r>
      <w:proofErr w:type="spellStart"/>
      <w:r w:rsidR="00675D3A" w:rsidRPr="00487473">
        <w:rPr>
          <w:i/>
          <w:iCs/>
          <w:lang w:val="fr-CH"/>
        </w:rPr>
        <w:t>Developing</w:t>
      </w:r>
      <w:proofErr w:type="spellEnd"/>
      <w:r w:rsidR="00675D3A" w:rsidRPr="00487473">
        <w:rPr>
          <w:i/>
          <w:iCs/>
          <w:lang w:val="fr-CH"/>
        </w:rPr>
        <w:t xml:space="preserve"> a </w:t>
      </w:r>
      <w:proofErr w:type="spellStart"/>
      <w:r w:rsidR="00675D3A" w:rsidRPr="00487473">
        <w:rPr>
          <w:i/>
          <w:iCs/>
          <w:lang w:val="fr-CH"/>
        </w:rPr>
        <w:t>Partnership</w:t>
      </w:r>
      <w:proofErr w:type="spellEnd"/>
      <w:r w:rsidR="00675D3A" w:rsidRPr="00487473">
        <w:rPr>
          <w:i/>
          <w:iCs/>
          <w:lang w:val="fr-CH"/>
        </w:rPr>
        <w:t xml:space="preserve"> </w:t>
      </w:r>
      <w:proofErr w:type="spellStart"/>
      <w:r w:rsidR="00675D3A" w:rsidRPr="00487473">
        <w:rPr>
          <w:i/>
          <w:iCs/>
          <w:lang w:val="fr-CH"/>
        </w:rPr>
        <w:t>with</w:t>
      </w:r>
      <w:proofErr w:type="spellEnd"/>
      <w:r w:rsidR="00675D3A" w:rsidRPr="00487473">
        <w:rPr>
          <w:i/>
          <w:iCs/>
          <w:lang w:val="fr-CH"/>
        </w:rPr>
        <w:t xml:space="preserve"> </w:t>
      </w:r>
      <w:proofErr w:type="spellStart"/>
      <w:r w:rsidR="00675D3A" w:rsidRPr="00487473">
        <w:rPr>
          <w:i/>
          <w:iCs/>
          <w:lang w:val="fr-CH"/>
        </w:rPr>
        <w:t>Families</w:t>
      </w:r>
      <w:proofErr w:type="spellEnd"/>
      <w:r w:rsidR="00675D3A" w:rsidRPr="00487473">
        <w:rPr>
          <w:i/>
          <w:iCs/>
          <w:lang w:val="fr-CH"/>
        </w:rPr>
        <w:t xml:space="preserve"> </w:t>
      </w:r>
      <w:r w:rsidR="00675D3A" w:rsidRPr="00487473">
        <w:rPr>
          <w:lang w:val="fr-CH"/>
        </w:rPr>
        <w:t>(BHFC))</w:t>
      </w:r>
      <w:r w:rsidR="009336F4">
        <w:rPr>
          <w:noProof/>
          <w:lang w:val="fr-FR"/>
        </w:rPr>
        <w:t xml:space="preserve">, publié en </w:t>
      </w:r>
      <w:r w:rsidR="001B2F58" w:rsidRPr="00DD03D6">
        <w:rPr>
          <w:noProof/>
          <w:lang w:val="fr-FR"/>
        </w:rPr>
        <w:t xml:space="preserve">1999. </w:t>
      </w:r>
      <w:r w:rsidR="009336F4">
        <w:rPr>
          <w:noProof/>
          <w:lang w:val="fr-FR"/>
        </w:rPr>
        <w:t>Il présentait une ébauche de programme de base pour la surveillance de la santé de l’enfant</w:t>
      </w:r>
      <w:r w:rsidR="001B2F58" w:rsidRPr="00DD03D6">
        <w:rPr>
          <w:noProof/>
          <w:lang w:val="fr-FR"/>
        </w:rPr>
        <w:t xml:space="preserve">. </w:t>
      </w:r>
      <w:r w:rsidR="009336F4">
        <w:rPr>
          <w:noProof/>
          <w:lang w:val="fr-FR"/>
        </w:rPr>
        <w:t xml:space="preserve">Dans le cadre d’une </w:t>
      </w:r>
      <w:r w:rsidR="00094461">
        <w:rPr>
          <w:noProof/>
          <w:lang w:val="fr-FR"/>
        </w:rPr>
        <w:t>approch</w:t>
      </w:r>
      <w:r w:rsidR="009336F4">
        <w:rPr>
          <w:noProof/>
          <w:lang w:val="fr-FR"/>
        </w:rPr>
        <w:t xml:space="preserve">e </w:t>
      </w:r>
      <w:r w:rsidR="00094461">
        <w:rPr>
          <w:noProof/>
          <w:lang w:val="fr-FR"/>
        </w:rPr>
        <w:t xml:space="preserve">factuelle, une révision du rapport </w:t>
      </w:r>
      <w:r w:rsidR="001B2F58" w:rsidRPr="00DD03D6">
        <w:rPr>
          <w:noProof/>
          <w:lang w:val="fr-FR"/>
        </w:rPr>
        <w:t xml:space="preserve">BHFC </w:t>
      </w:r>
      <w:r w:rsidR="00094461">
        <w:rPr>
          <w:noProof/>
          <w:lang w:val="fr-FR"/>
        </w:rPr>
        <w:t xml:space="preserve">a été menée à bien en </w:t>
      </w:r>
      <w:r w:rsidR="00675D3A">
        <w:rPr>
          <w:noProof/>
          <w:lang w:val="fr-FR"/>
        </w:rPr>
        <w:t xml:space="preserve">2004 et </w:t>
      </w:r>
      <w:r w:rsidR="00094461">
        <w:rPr>
          <w:noProof/>
          <w:lang w:val="fr-FR"/>
        </w:rPr>
        <w:t xml:space="preserve">a été publiée sous le titre </w:t>
      </w:r>
      <w:r w:rsidR="00675D3A">
        <w:rPr>
          <w:i/>
          <w:noProof/>
          <w:lang w:val="fr-FR"/>
        </w:rPr>
        <w:t xml:space="preserve">Le meilleur état de santé pour les enfants : nouvelle mouture </w:t>
      </w:r>
      <w:r w:rsidR="00675D3A">
        <w:rPr>
          <w:noProof/>
          <w:lang w:val="fr-FR"/>
        </w:rPr>
        <w:t>(</w:t>
      </w:r>
      <w:r w:rsidR="001B2F58" w:rsidRPr="00DD03D6">
        <w:rPr>
          <w:i/>
          <w:iCs/>
          <w:noProof/>
          <w:lang w:val="fr-FR"/>
        </w:rPr>
        <w:t>Best Health for Children Revisited</w:t>
      </w:r>
      <w:r w:rsidR="00675D3A">
        <w:rPr>
          <w:noProof/>
          <w:lang w:val="fr-FR"/>
        </w:rPr>
        <w:t>) e</w:t>
      </w:r>
      <w:r w:rsidR="001B2F58" w:rsidRPr="00DD03D6">
        <w:rPr>
          <w:noProof/>
          <w:lang w:val="fr-FR"/>
        </w:rPr>
        <w:t xml:space="preserve">n </w:t>
      </w:r>
      <w:r w:rsidR="00675D3A">
        <w:rPr>
          <w:noProof/>
          <w:lang w:val="fr-FR"/>
        </w:rPr>
        <w:t>oc</w:t>
      </w:r>
      <w:r w:rsidR="001B2F58" w:rsidRPr="00DD03D6">
        <w:rPr>
          <w:noProof/>
          <w:lang w:val="fr-FR"/>
        </w:rPr>
        <w:t>tob</w:t>
      </w:r>
      <w:r w:rsidR="00675D3A">
        <w:rPr>
          <w:noProof/>
          <w:lang w:val="fr-FR"/>
        </w:rPr>
        <w:t>re</w:t>
      </w:r>
      <w:r w:rsidR="001B2F58" w:rsidRPr="00DD03D6">
        <w:rPr>
          <w:noProof/>
          <w:lang w:val="fr-FR"/>
        </w:rPr>
        <w:t xml:space="preserve"> 2005. </w:t>
      </w:r>
      <w:r w:rsidR="00675D3A">
        <w:rPr>
          <w:noProof/>
          <w:lang w:val="fr-FR"/>
        </w:rPr>
        <w:t>Ce rapport a recommandé</w:t>
      </w:r>
      <w:r w:rsidR="001B2F58" w:rsidRPr="00DD03D6">
        <w:rPr>
          <w:noProof/>
          <w:lang w:val="fr-FR"/>
        </w:rPr>
        <w:t xml:space="preserve"> </w:t>
      </w:r>
      <w:r w:rsidR="00675D3A">
        <w:rPr>
          <w:noProof/>
          <w:lang w:val="fr-FR"/>
        </w:rPr>
        <w:t xml:space="preserve">d’apporter des </w:t>
      </w:r>
      <w:r w:rsidR="001B2F58" w:rsidRPr="00DD03D6">
        <w:rPr>
          <w:noProof/>
          <w:lang w:val="fr-FR"/>
        </w:rPr>
        <w:t>change</w:t>
      </w:r>
      <w:r w:rsidR="00675D3A">
        <w:rPr>
          <w:noProof/>
          <w:lang w:val="fr-FR"/>
        </w:rPr>
        <w:t>ment</w:t>
      </w:r>
      <w:r w:rsidR="001B2F58" w:rsidRPr="00DD03D6">
        <w:rPr>
          <w:noProof/>
          <w:lang w:val="fr-FR"/>
        </w:rPr>
        <w:t xml:space="preserve">s </w:t>
      </w:r>
      <w:r w:rsidR="00675D3A">
        <w:rPr>
          <w:noProof/>
          <w:lang w:val="fr-FR"/>
        </w:rPr>
        <w:t xml:space="preserve">au programme de base en matière de santé de l’enfant dans les huit domaines suivants </w:t>
      </w:r>
      <w:r w:rsidR="001B2F58" w:rsidRPr="00DD03D6">
        <w:rPr>
          <w:noProof/>
          <w:lang w:val="fr-FR"/>
        </w:rPr>
        <w:t xml:space="preserve">: </w:t>
      </w:r>
      <w:r w:rsidR="00675D3A">
        <w:rPr>
          <w:noProof/>
          <w:lang w:val="fr-FR"/>
        </w:rPr>
        <w:t>évaluation du développement</w:t>
      </w:r>
      <w:r w:rsidR="001B2F58" w:rsidRPr="00DD03D6">
        <w:rPr>
          <w:noProof/>
          <w:lang w:val="fr-FR"/>
        </w:rPr>
        <w:t xml:space="preserve">; </w:t>
      </w:r>
      <w:r w:rsidR="00EB3A16">
        <w:rPr>
          <w:noProof/>
          <w:lang w:val="fr-FR"/>
        </w:rPr>
        <w:t xml:space="preserve">contrôle </w:t>
      </w:r>
      <w:r w:rsidR="00675D3A">
        <w:rPr>
          <w:noProof/>
          <w:lang w:val="fr-FR"/>
        </w:rPr>
        <w:t>de l’ouïe</w:t>
      </w:r>
      <w:r w:rsidR="001B2F58" w:rsidRPr="00DD03D6">
        <w:rPr>
          <w:noProof/>
          <w:lang w:val="fr-FR"/>
        </w:rPr>
        <w:t xml:space="preserve">; </w:t>
      </w:r>
      <w:r w:rsidR="00675D3A">
        <w:rPr>
          <w:noProof/>
          <w:lang w:val="fr-FR"/>
        </w:rPr>
        <w:t>dépistage des troubles de la vue</w:t>
      </w:r>
      <w:r w:rsidR="001B2F58" w:rsidRPr="00DD03D6">
        <w:rPr>
          <w:noProof/>
          <w:lang w:val="fr-FR"/>
        </w:rPr>
        <w:t xml:space="preserve">; </w:t>
      </w:r>
      <w:r w:rsidR="00EB3A16">
        <w:rPr>
          <w:noProof/>
          <w:lang w:val="fr-FR"/>
        </w:rPr>
        <w:t xml:space="preserve">examen </w:t>
      </w:r>
      <w:r w:rsidR="001B2F58" w:rsidRPr="00DD03D6">
        <w:rPr>
          <w:noProof/>
          <w:lang w:val="fr-FR"/>
        </w:rPr>
        <w:t>m</w:t>
      </w:r>
      <w:r w:rsidR="00EB3A16">
        <w:rPr>
          <w:noProof/>
          <w:lang w:val="fr-FR"/>
        </w:rPr>
        <w:t>é</w:t>
      </w:r>
      <w:r w:rsidR="001B2F58" w:rsidRPr="00DD03D6">
        <w:rPr>
          <w:noProof/>
          <w:lang w:val="fr-FR"/>
        </w:rPr>
        <w:t xml:space="preserve">dical; promotion </w:t>
      </w:r>
      <w:r w:rsidR="00EB3A16">
        <w:rPr>
          <w:noProof/>
          <w:lang w:val="fr-FR"/>
        </w:rPr>
        <w:t>de la santé et é</w:t>
      </w:r>
      <w:r w:rsidR="001B2F58" w:rsidRPr="00DD03D6">
        <w:rPr>
          <w:noProof/>
          <w:lang w:val="fr-FR"/>
        </w:rPr>
        <w:t xml:space="preserve">ducation; </w:t>
      </w:r>
      <w:r w:rsidR="00EB3A16">
        <w:rPr>
          <w:noProof/>
          <w:lang w:val="fr-FR"/>
        </w:rPr>
        <w:t xml:space="preserve">contrôle du </w:t>
      </w:r>
      <w:r w:rsidR="001B2F58" w:rsidRPr="00DD03D6">
        <w:rPr>
          <w:noProof/>
          <w:lang w:val="fr-FR"/>
        </w:rPr>
        <w:t>m</w:t>
      </w:r>
      <w:r w:rsidR="00EB3A16">
        <w:rPr>
          <w:noProof/>
          <w:lang w:val="fr-FR"/>
        </w:rPr>
        <w:t>é</w:t>
      </w:r>
      <w:r w:rsidR="001B2F58" w:rsidRPr="00DD03D6">
        <w:rPr>
          <w:noProof/>
          <w:lang w:val="fr-FR"/>
        </w:rPr>
        <w:t>taboli</w:t>
      </w:r>
      <w:r w:rsidR="00EB3A16">
        <w:rPr>
          <w:noProof/>
          <w:lang w:val="fr-FR"/>
        </w:rPr>
        <w:t>sme</w:t>
      </w:r>
      <w:r w:rsidR="001B2F58" w:rsidRPr="00DD03D6">
        <w:rPr>
          <w:noProof/>
          <w:lang w:val="fr-FR"/>
        </w:rPr>
        <w:t xml:space="preserve">; </w:t>
      </w:r>
      <w:r w:rsidR="00EB3A16">
        <w:rPr>
          <w:noProof/>
          <w:lang w:val="fr-FR"/>
        </w:rPr>
        <w:t>surveillance de la croissance</w:t>
      </w:r>
      <w:r w:rsidR="001B2F58" w:rsidRPr="00DD03D6">
        <w:rPr>
          <w:noProof/>
          <w:lang w:val="fr-FR"/>
        </w:rPr>
        <w:t xml:space="preserve">; </w:t>
      </w:r>
      <w:r w:rsidR="00EB3A16">
        <w:rPr>
          <w:noProof/>
          <w:lang w:val="fr-FR"/>
        </w:rPr>
        <w:t>et santé bucco-dentaire</w:t>
      </w:r>
      <w:r w:rsidR="001B2F58" w:rsidRPr="00DD03D6">
        <w:rPr>
          <w:noProof/>
          <w:lang w:val="fr-FR"/>
        </w:rPr>
        <w:t xml:space="preserve">. </w:t>
      </w:r>
    </w:p>
    <w:p w:rsidR="001B2F58" w:rsidRPr="00DD03D6" w:rsidRDefault="00EB3A16" w:rsidP="00806613">
      <w:pPr>
        <w:pStyle w:val="SingleTxtG"/>
        <w:numPr>
          <w:ilvl w:val="0"/>
          <w:numId w:val="3"/>
        </w:numPr>
        <w:ind w:left="1134" w:firstLine="0"/>
        <w:rPr>
          <w:noProof/>
          <w:lang w:val="fr-FR"/>
        </w:rPr>
      </w:pPr>
      <w:r>
        <w:rPr>
          <w:noProof/>
          <w:lang w:val="fr-FR"/>
        </w:rPr>
        <w:t xml:space="preserve">Sur la base du rapport </w:t>
      </w:r>
      <w:r>
        <w:rPr>
          <w:i/>
          <w:noProof/>
          <w:lang w:val="fr-FR"/>
        </w:rPr>
        <w:t>Le meilleur état de santé pour les enfants : nouvelle mouture</w:t>
      </w:r>
      <w:r w:rsidR="001B2F58" w:rsidRPr="00DD03D6">
        <w:rPr>
          <w:noProof/>
          <w:lang w:val="fr-FR"/>
        </w:rPr>
        <w:t xml:space="preserve">, </w:t>
      </w:r>
      <w:r>
        <w:rPr>
          <w:noProof/>
          <w:lang w:val="fr-FR"/>
        </w:rPr>
        <w:t xml:space="preserve">un nouveau </w:t>
      </w:r>
      <w:r w:rsidR="001B2F58" w:rsidRPr="00DD03D6">
        <w:rPr>
          <w:noProof/>
          <w:lang w:val="fr-FR"/>
        </w:rPr>
        <w:t xml:space="preserve">programme </w:t>
      </w:r>
      <w:r>
        <w:rPr>
          <w:noProof/>
          <w:lang w:val="fr-FR"/>
        </w:rPr>
        <w:t xml:space="preserve">national de contrôle de l’ouïe des nouveau-nés a été </w:t>
      </w:r>
      <w:r w:rsidR="007A073A">
        <w:rPr>
          <w:noProof/>
          <w:lang w:val="fr-FR"/>
        </w:rPr>
        <w:lastRenderedPageBreak/>
        <w:t>progressivement mis en place</w:t>
      </w:r>
      <w:r w:rsidR="001B2F58" w:rsidRPr="00DD03D6">
        <w:rPr>
          <w:noProof/>
          <w:lang w:val="fr-FR"/>
        </w:rPr>
        <w:t xml:space="preserve">. </w:t>
      </w:r>
      <w:r w:rsidR="007A073A">
        <w:rPr>
          <w:noProof/>
          <w:lang w:val="fr-FR"/>
        </w:rPr>
        <w:t>Le contrôle du mé</w:t>
      </w:r>
      <w:r w:rsidR="001B2F58" w:rsidRPr="00DD03D6">
        <w:rPr>
          <w:noProof/>
          <w:lang w:val="fr-FR"/>
        </w:rPr>
        <w:t>taboli</w:t>
      </w:r>
      <w:r w:rsidR="007A073A">
        <w:rPr>
          <w:noProof/>
          <w:lang w:val="fr-FR"/>
        </w:rPr>
        <w:t xml:space="preserve">sme </w:t>
      </w:r>
      <w:r w:rsidR="00B01B96">
        <w:rPr>
          <w:noProof/>
          <w:lang w:val="fr-FR"/>
        </w:rPr>
        <w:t>a été réaménagé en un programme national de dépistage des caillots sanguin</w:t>
      </w:r>
      <w:r w:rsidR="00770ED7">
        <w:rPr>
          <w:noProof/>
          <w:lang w:val="fr-FR"/>
        </w:rPr>
        <w:t>s</w:t>
      </w:r>
      <w:r w:rsidR="00B01B96">
        <w:rPr>
          <w:noProof/>
          <w:lang w:val="fr-FR"/>
        </w:rPr>
        <w:t xml:space="preserve"> chez le nouveau-né et doté d’une nouvelle structure de gouvernance, et le dépistage </w:t>
      </w:r>
      <w:r w:rsidR="001B2F58" w:rsidRPr="00DD03D6">
        <w:rPr>
          <w:noProof/>
          <w:lang w:val="fr-FR"/>
        </w:rPr>
        <w:t>n</w:t>
      </w:r>
      <w:r w:rsidR="00B01B96">
        <w:rPr>
          <w:noProof/>
          <w:lang w:val="fr-FR"/>
        </w:rPr>
        <w:t>é</w:t>
      </w:r>
      <w:r w:rsidR="001B2F58" w:rsidRPr="00DD03D6">
        <w:rPr>
          <w:noProof/>
          <w:lang w:val="fr-FR"/>
        </w:rPr>
        <w:t xml:space="preserve">onatal </w:t>
      </w:r>
      <w:r w:rsidR="00B01B96">
        <w:rPr>
          <w:noProof/>
          <w:lang w:val="fr-FR"/>
        </w:rPr>
        <w:t xml:space="preserve">de la </w:t>
      </w:r>
      <w:r w:rsidR="004824E4">
        <w:rPr>
          <w:noProof/>
          <w:lang w:val="fr-FR"/>
        </w:rPr>
        <w:t>fibrose k</w:t>
      </w:r>
      <w:r w:rsidR="001B2F58" w:rsidRPr="00DD03D6">
        <w:rPr>
          <w:noProof/>
          <w:lang w:val="fr-FR"/>
        </w:rPr>
        <w:t>ysti</w:t>
      </w:r>
      <w:r w:rsidR="004824E4">
        <w:rPr>
          <w:noProof/>
          <w:lang w:val="fr-FR"/>
        </w:rPr>
        <w:t>que a été introduit avec succès</w:t>
      </w:r>
      <w:r w:rsidR="001B2F58" w:rsidRPr="00DD03D6">
        <w:rPr>
          <w:noProof/>
          <w:lang w:val="fr-FR"/>
        </w:rPr>
        <w:t xml:space="preserve">. </w:t>
      </w:r>
      <w:r w:rsidR="004824E4">
        <w:rPr>
          <w:noProof/>
          <w:lang w:val="fr-FR"/>
        </w:rPr>
        <w:t>E</w:t>
      </w:r>
      <w:r w:rsidR="001B2F58" w:rsidRPr="00DD03D6">
        <w:rPr>
          <w:noProof/>
          <w:lang w:val="fr-FR"/>
        </w:rPr>
        <w:t xml:space="preserve">n </w:t>
      </w:r>
      <w:r w:rsidR="004824E4">
        <w:rPr>
          <w:noProof/>
          <w:lang w:val="fr-FR"/>
        </w:rPr>
        <w:t>ce qui concerne la mesure de la croissance</w:t>
      </w:r>
      <w:r w:rsidR="001B2F58" w:rsidRPr="00DD03D6">
        <w:rPr>
          <w:noProof/>
          <w:lang w:val="fr-FR"/>
        </w:rPr>
        <w:t xml:space="preserve">, </w:t>
      </w:r>
      <w:r w:rsidR="004824E4">
        <w:rPr>
          <w:noProof/>
          <w:lang w:val="fr-FR"/>
        </w:rPr>
        <w:t>l’</w:t>
      </w:r>
      <w:r w:rsidR="001B2F58" w:rsidRPr="00DD03D6">
        <w:rPr>
          <w:noProof/>
          <w:lang w:val="fr-FR"/>
        </w:rPr>
        <w:t>Irland</w:t>
      </w:r>
      <w:r w:rsidR="004824E4">
        <w:rPr>
          <w:noProof/>
          <w:lang w:val="fr-FR"/>
        </w:rPr>
        <w:t>e</w:t>
      </w:r>
      <w:r w:rsidR="001B2F58" w:rsidRPr="00DD03D6">
        <w:rPr>
          <w:noProof/>
          <w:lang w:val="fr-FR"/>
        </w:rPr>
        <w:t xml:space="preserve"> </w:t>
      </w:r>
      <w:r w:rsidR="004824E4">
        <w:rPr>
          <w:noProof/>
          <w:lang w:val="fr-FR"/>
        </w:rPr>
        <w:t xml:space="preserve">a </w:t>
      </w:r>
      <w:r w:rsidR="001B2F58" w:rsidRPr="00DD03D6">
        <w:rPr>
          <w:noProof/>
          <w:lang w:val="fr-FR"/>
        </w:rPr>
        <w:t>adopt</w:t>
      </w:r>
      <w:r w:rsidR="004824E4">
        <w:rPr>
          <w:noProof/>
          <w:lang w:val="fr-FR"/>
        </w:rPr>
        <w:t xml:space="preserve">é les fiches de croissance du Bureau de l’OMS au Royaume-Uni pour tous les enfants. Un examen des services </w:t>
      </w:r>
      <w:r w:rsidR="00BE3418">
        <w:rPr>
          <w:noProof/>
          <w:lang w:val="fr-FR"/>
        </w:rPr>
        <w:t>de santé locaux récemment mené</w:t>
      </w:r>
      <w:r w:rsidR="004824E4">
        <w:rPr>
          <w:noProof/>
          <w:lang w:val="fr-FR"/>
        </w:rPr>
        <w:t xml:space="preserve"> </w:t>
      </w:r>
      <w:r w:rsidR="00BE3418">
        <w:rPr>
          <w:noProof/>
          <w:lang w:val="fr-FR"/>
        </w:rPr>
        <w:t>à bien sera l’occasion de recentrer ces services sur la santé de l’enfant</w:t>
      </w:r>
      <w:r w:rsidR="001B2F58" w:rsidRPr="00DD03D6">
        <w:rPr>
          <w:noProof/>
          <w:lang w:val="fr-FR"/>
        </w:rPr>
        <w:t xml:space="preserve">. </w:t>
      </w:r>
      <w:r w:rsidR="00BE3418">
        <w:rPr>
          <w:noProof/>
          <w:lang w:val="fr-FR"/>
        </w:rPr>
        <w:t>Une équipe spéciale sur la santé de l’enfant a été constituée, qui procède actuellement à l’examen de l’application des recommandations de 2005 afin d’ouvrir d’éventuelles nouvelles voies à suivre dans ce secteur.</w:t>
      </w:r>
    </w:p>
    <w:p w:rsidR="001B2F58" w:rsidRPr="00DD03D6" w:rsidRDefault="004B5F38" w:rsidP="000A5661">
      <w:pPr>
        <w:pStyle w:val="SingleTxtG"/>
        <w:numPr>
          <w:ilvl w:val="0"/>
          <w:numId w:val="3"/>
        </w:numPr>
        <w:ind w:left="1134" w:firstLine="0"/>
        <w:rPr>
          <w:noProof/>
          <w:lang w:val="fr-FR"/>
        </w:rPr>
      </w:pPr>
      <w:r>
        <w:rPr>
          <w:noProof/>
          <w:lang w:val="fr-FR"/>
        </w:rPr>
        <w:t xml:space="preserve">À la suite de la </w:t>
      </w:r>
      <w:r w:rsidR="001B2F58" w:rsidRPr="00DD03D6">
        <w:rPr>
          <w:noProof/>
          <w:lang w:val="fr-FR"/>
        </w:rPr>
        <w:t>restructur</w:t>
      </w:r>
      <w:r>
        <w:rPr>
          <w:noProof/>
          <w:lang w:val="fr-FR"/>
        </w:rPr>
        <w:t>ation des anciens bureaux de la santé dans la Direction des services de santé e</w:t>
      </w:r>
      <w:r w:rsidR="001B2F58" w:rsidRPr="00DD03D6">
        <w:rPr>
          <w:noProof/>
          <w:lang w:val="fr-FR"/>
        </w:rPr>
        <w:t xml:space="preserve">n 2005, </w:t>
      </w:r>
      <w:r>
        <w:rPr>
          <w:noProof/>
          <w:lang w:val="fr-FR"/>
        </w:rPr>
        <w:t>le</w:t>
      </w:r>
      <w:r w:rsidR="001B2F58" w:rsidRPr="00DD03D6">
        <w:rPr>
          <w:noProof/>
          <w:lang w:val="fr-FR"/>
        </w:rPr>
        <w:t xml:space="preserve"> Programme </w:t>
      </w:r>
      <w:r>
        <w:rPr>
          <w:noProof/>
          <w:lang w:val="fr-FR"/>
        </w:rPr>
        <w:t>d’a</w:t>
      </w:r>
      <w:r w:rsidR="001B2F58" w:rsidRPr="00DD03D6">
        <w:rPr>
          <w:noProof/>
          <w:lang w:val="fr-FR"/>
        </w:rPr>
        <w:t xml:space="preserve">ction </w:t>
      </w:r>
      <w:r>
        <w:rPr>
          <w:noProof/>
          <w:lang w:val="fr-FR"/>
        </w:rPr>
        <w:t>en faveur des enfants tiré du rapport BHFC</w:t>
      </w:r>
      <w:r w:rsidRPr="00DD03D6">
        <w:rPr>
          <w:noProof/>
          <w:lang w:val="fr-FR"/>
        </w:rPr>
        <w:t xml:space="preserve"> </w:t>
      </w:r>
      <w:r>
        <w:rPr>
          <w:noProof/>
          <w:lang w:val="fr-FR"/>
        </w:rPr>
        <w:t>a été supprimé</w:t>
      </w:r>
      <w:r w:rsidR="001B2F58" w:rsidRPr="00DD03D6">
        <w:rPr>
          <w:noProof/>
          <w:lang w:val="fr-FR"/>
        </w:rPr>
        <w:t xml:space="preserve">. </w:t>
      </w:r>
      <w:r>
        <w:rPr>
          <w:noProof/>
          <w:lang w:val="fr-FR"/>
        </w:rPr>
        <w:t>Toutefois, certains des élé</w:t>
      </w:r>
      <w:r w:rsidR="001B2F58" w:rsidRPr="00DD03D6">
        <w:rPr>
          <w:noProof/>
          <w:lang w:val="fr-FR"/>
        </w:rPr>
        <w:t xml:space="preserve">ments </w:t>
      </w:r>
      <w:r>
        <w:rPr>
          <w:noProof/>
          <w:lang w:val="fr-FR"/>
        </w:rPr>
        <w:t>de formation au contrôle et à la surveillance de la santé de l’enfant dérivés de ce rapport ont été maintenus et des modules supplémentaires sur l’alimentation et la n</w:t>
      </w:r>
      <w:r w:rsidR="001B2F58" w:rsidRPr="00DD03D6">
        <w:rPr>
          <w:noProof/>
          <w:lang w:val="fr-FR"/>
        </w:rPr>
        <w:t xml:space="preserve">utrition </w:t>
      </w:r>
      <w:r>
        <w:rPr>
          <w:noProof/>
          <w:lang w:val="fr-FR"/>
        </w:rPr>
        <w:t>et la santé affective et mentale de l’enfant ont été introduits</w:t>
      </w:r>
      <w:r w:rsidR="001B2F58" w:rsidRPr="00DD03D6">
        <w:rPr>
          <w:noProof/>
          <w:lang w:val="fr-FR"/>
        </w:rPr>
        <w:t>.</w:t>
      </w:r>
    </w:p>
    <w:p w:rsidR="001B2F58" w:rsidRPr="00DD03D6" w:rsidRDefault="00EA65E1" w:rsidP="000A5661">
      <w:pPr>
        <w:pStyle w:val="SingleTxtG"/>
        <w:numPr>
          <w:ilvl w:val="0"/>
          <w:numId w:val="3"/>
        </w:numPr>
        <w:ind w:left="1134" w:firstLine="0"/>
        <w:rPr>
          <w:noProof/>
          <w:lang w:val="fr-FR"/>
        </w:rPr>
      </w:pPr>
      <w:r>
        <w:rPr>
          <w:noProof/>
          <w:lang w:val="fr-FR"/>
        </w:rPr>
        <w:t>Les programmes de santé de l’enfant et de l’</w:t>
      </w:r>
      <w:r w:rsidR="001B2F58" w:rsidRPr="00DD03D6">
        <w:rPr>
          <w:noProof/>
          <w:lang w:val="fr-FR"/>
        </w:rPr>
        <w:t xml:space="preserve">adolescent </w:t>
      </w:r>
      <w:r>
        <w:rPr>
          <w:noProof/>
          <w:lang w:val="fr-FR"/>
        </w:rPr>
        <w:t>sont actuellement gérés et exécutés dans le cadre du Département des services intégrés de la Direction des services de santé</w:t>
      </w:r>
      <w:r w:rsidR="001B2F58" w:rsidRPr="00DD03D6">
        <w:rPr>
          <w:noProof/>
          <w:lang w:val="fr-FR"/>
        </w:rPr>
        <w:t>.</w:t>
      </w:r>
    </w:p>
    <w:p w:rsidR="001B2F58" w:rsidRPr="00DD03D6" w:rsidRDefault="00EA65E1" w:rsidP="000A5661">
      <w:pPr>
        <w:pStyle w:val="SingleTxtG"/>
        <w:numPr>
          <w:ilvl w:val="0"/>
          <w:numId w:val="3"/>
        </w:numPr>
        <w:ind w:left="1134" w:firstLine="0"/>
        <w:rPr>
          <w:i/>
          <w:iCs/>
          <w:noProof/>
          <w:lang w:val="fr-FR"/>
        </w:rPr>
      </w:pPr>
      <w:r>
        <w:rPr>
          <w:noProof/>
          <w:lang w:val="fr-FR"/>
        </w:rPr>
        <w:t xml:space="preserve">Il existe toute une série de </w:t>
      </w:r>
      <w:r w:rsidR="001B2F58" w:rsidRPr="00DD03D6">
        <w:rPr>
          <w:noProof/>
          <w:lang w:val="fr-FR"/>
        </w:rPr>
        <w:t xml:space="preserve">services </w:t>
      </w:r>
      <w:r>
        <w:rPr>
          <w:noProof/>
          <w:lang w:val="fr-FR"/>
        </w:rPr>
        <w:t>disponibles pour appuyer la fourniture de soins de santé primaires aux enfants.</w:t>
      </w:r>
      <w:r w:rsidR="001B2F58" w:rsidRPr="00DD03D6">
        <w:rPr>
          <w:noProof/>
          <w:lang w:val="fr-FR"/>
        </w:rPr>
        <w:t xml:space="preserve"> </w:t>
      </w:r>
      <w:r>
        <w:rPr>
          <w:noProof/>
          <w:lang w:val="fr-FR"/>
        </w:rPr>
        <w:t>Bon nombre de ces services sont assurés dans le cadre du Programme de santé de l’enfant</w:t>
      </w:r>
      <w:r w:rsidR="003D0E14">
        <w:rPr>
          <w:noProof/>
          <w:lang w:val="fr-FR"/>
        </w:rPr>
        <w:t>. C’est le cas des services suivant</w:t>
      </w:r>
      <w:r w:rsidR="0019547E">
        <w:rPr>
          <w:noProof/>
          <w:lang w:val="fr-FR"/>
        </w:rPr>
        <w:t>s</w:t>
      </w:r>
      <w:r w:rsidR="003D0E14">
        <w:rPr>
          <w:noProof/>
          <w:lang w:val="fr-FR"/>
        </w:rPr>
        <w:t xml:space="preserve"> : </w:t>
      </w:r>
      <w:r w:rsidR="00751BD0">
        <w:rPr>
          <w:noProof/>
          <w:lang w:val="fr-FR"/>
        </w:rPr>
        <w:t>s</w:t>
      </w:r>
      <w:r w:rsidR="003D0E14">
        <w:rPr>
          <w:noProof/>
          <w:lang w:val="fr-FR"/>
        </w:rPr>
        <w:t>anté et nutrition de la population</w:t>
      </w:r>
      <w:r w:rsidR="001B2F58" w:rsidRPr="00DD03D6">
        <w:rPr>
          <w:noProof/>
          <w:lang w:val="fr-FR"/>
        </w:rPr>
        <w:t xml:space="preserve">, </w:t>
      </w:r>
      <w:r w:rsidR="00751BD0">
        <w:rPr>
          <w:noProof/>
          <w:lang w:val="fr-FR"/>
        </w:rPr>
        <w:t>m</w:t>
      </w:r>
      <w:r w:rsidR="003D0E14">
        <w:rPr>
          <w:noProof/>
          <w:lang w:val="fr-FR"/>
        </w:rPr>
        <w:t>édecine générale</w:t>
      </w:r>
      <w:r w:rsidR="001B2F58" w:rsidRPr="00DD03D6">
        <w:rPr>
          <w:noProof/>
          <w:lang w:val="fr-FR"/>
        </w:rPr>
        <w:t xml:space="preserve">, </w:t>
      </w:r>
      <w:r w:rsidR="00751BD0">
        <w:rPr>
          <w:noProof/>
          <w:lang w:val="fr-FR"/>
        </w:rPr>
        <w:t>s</w:t>
      </w:r>
      <w:r w:rsidR="003D0E14">
        <w:rPr>
          <w:noProof/>
          <w:lang w:val="fr-FR"/>
        </w:rPr>
        <w:t>anté communautaire</w:t>
      </w:r>
      <w:r w:rsidR="001B2F58" w:rsidRPr="00DD03D6">
        <w:rPr>
          <w:noProof/>
          <w:lang w:val="fr-FR"/>
        </w:rPr>
        <w:t xml:space="preserve">, </w:t>
      </w:r>
      <w:r w:rsidR="00751BD0">
        <w:rPr>
          <w:noProof/>
          <w:lang w:val="fr-FR"/>
        </w:rPr>
        <w:t>d</w:t>
      </w:r>
      <w:r w:rsidR="0019547E">
        <w:rPr>
          <w:noProof/>
          <w:lang w:val="fr-FR"/>
        </w:rPr>
        <w:t xml:space="preserve">entisterie </w:t>
      </w:r>
      <w:r w:rsidR="003D0E14">
        <w:rPr>
          <w:noProof/>
          <w:lang w:val="fr-FR"/>
        </w:rPr>
        <w:t>pour les enfants</w:t>
      </w:r>
      <w:r w:rsidR="001B2F58" w:rsidRPr="00DD03D6">
        <w:rPr>
          <w:noProof/>
          <w:lang w:val="fr-FR"/>
        </w:rPr>
        <w:t xml:space="preserve">, </w:t>
      </w:r>
      <w:r w:rsidR="00751BD0">
        <w:rPr>
          <w:noProof/>
          <w:lang w:val="fr-FR"/>
        </w:rPr>
        <w:t>p</w:t>
      </w:r>
      <w:r w:rsidR="003D0E14">
        <w:rPr>
          <w:noProof/>
          <w:lang w:val="fr-FR"/>
        </w:rPr>
        <w:t>édo-audiologie</w:t>
      </w:r>
      <w:r w:rsidR="001B2F58" w:rsidRPr="00DD03D6">
        <w:rPr>
          <w:noProof/>
          <w:lang w:val="fr-FR"/>
        </w:rPr>
        <w:t xml:space="preserve">, </w:t>
      </w:r>
      <w:r w:rsidR="00751BD0">
        <w:rPr>
          <w:noProof/>
          <w:lang w:val="fr-FR"/>
        </w:rPr>
        <w:t>o</w:t>
      </w:r>
      <w:r w:rsidR="001B2F58" w:rsidRPr="00DD03D6">
        <w:rPr>
          <w:noProof/>
          <w:lang w:val="fr-FR"/>
        </w:rPr>
        <w:t>p</w:t>
      </w:r>
      <w:r w:rsidR="00C14B9A">
        <w:rPr>
          <w:noProof/>
          <w:lang w:val="fr-FR"/>
        </w:rPr>
        <w:t>h</w:t>
      </w:r>
      <w:r w:rsidR="001B2F58" w:rsidRPr="00DD03D6">
        <w:rPr>
          <w:noProof/>
          <w:lang w:val="fr-FR"/>
        </w:rPr>
        <w:t>talmolog</w:t>
      </w:r>
      <w:r w:rsidR="003D0E14">
        <w:rPr>
          <w:noProof/>
          <w:lang w:val="fr-FR"/>
        </w:rPr>
        <w:t>ie et o</w:t>
      </w:r>
      <w:r w:rsidR="001B2F58" w:rsidRPr="00DD03D6">
        <w:rPr>
          <w:noProof/>
          <w:lang w:val="fr-FR"/>
        </w:rPr>
        <w:t>rthopti</w:t>
      </w:r>
      <w:r w:rsidR="003D0E14">
        <w:rPr>
          <w:noProof/>
          <w:lang w:val="fr-FR"/>
        </w:rPr>
        <w:t xml:space="preserve">e communautaires </w:t>
      </w:r>
      <w:r w:rsidR="00C14B9A">
        <w:rPr>
          <w:noProof/>
          <w:lang w:val="fr-FR"/>
        </w:rPr>
        <w:t>pour les enfants déficients visuels</w:t>
      </w:r>
      <w:r w:rsidR="001B2F58" w:rsidRPr="00DD03D6">
        <w:rPr>
          <w:noProof/>
          <w:lang w:val="fr-FR"/>
        </w:rPr>
        <w:t xml:space="preserve">, </w:t>
      </w:r>
      <w:r w:rsidR="00751BD0">
        <w:rPr>
          <w:noProof/>
          <w:lang w:val="fr-FR"/>
        </w:rPr>
        <w:t>p</w:t>
      </w:r>
      <w:r w:rsidR="001B2F58" w:rsidRPr="00DD03D6">
        <w:rPr>
          <w:noProof/>
          <w:lang w:val="fr-FR"/>
        </w:rPr>
        <w:t>hysioth</w:t>
      </w:r>
      <w:r w:rsidR="00C14B9A">
        <w:rPr>
          <w:noProof/>
          <w:lang w:val="fr-FR"/>
        </w:rPr>
        <w:t>é</w:t>
      </w:r>
      <w:r w:rsidR="001B2F58" w:rsidRPr="00DD03D6">
        <w:rPr>
          <w:noProof/>
          <w:lang w:val="fr-FR"/>
        </w:rPr>
        <w:t>rap</w:t>
      </w:r>
      <w:r w:rsidR="00C14B9A">
        <w:rPr>
          <w:noProof/>
          <w:lang w:val="fr-FR"/>
        </w:rPr>
        <w:t>ie</w:t>
      </w:r>
      <w:r w:rsidR="001B2F58" w:rsidRPr="00DD03D6">
        <w:rPr>
          <w:noProof/>
          <w:lang w:val="fr-FR"/>
        </w:rPr>
        <w:t xml:space="preserve">, </w:t>
      </w:r>
      <w:r w:rsidR="00751BD0">
        <w:rPr>
          <w:noProof/>
          <w:lang w:val="fr-FR"/>
        </w:rPr>
        <w:t>e</w:t>
      </w:r>
      <w:r w:rsidR="00C14B9A">
        <w:rPr>
          <w:noProof/>
          <w:lang w:val="fr-FR"/>
        </w:rPr>
        <w:t>rgothérapie</w:t>
      </w:r>
      <w:r w:rsidR="001B2F58" w:rsidRPr="00DD03D6">
        <w:rPr>
          <w:noProof/>
          <w:lang w:val="fr-FR"/>
        </w:rPr>
        <w:t xml:space="preserve">, </w:t>
      </w:r>
      <w:r w:rsidR="00751BD0">
        <w:rPr>
          <w:noProof/>
          <w:lang w:val="fr-FR"/>
        </w:rPr>
        <w:t>o</w:t>
      </w:r>
      <w:r w:rsidR="00C14B9A">
        <w:rPr>
          <w:noProof/>
          <w:lang w:val="fr-FR"/>
        </w:rPr>
        <w:t>rthophonie</w:t>
      </w:r>
      <w:r w:rsidR="001B2F58" w:rsidRPr="00DD03D6">
        <w:rPr>
          <w:noProof/>
          <w:lang w:val="fr-FR"/>
        </w:rPr>
        <w:t xml:space="preserve">, </w:t>
      </w:r>
      <w:r w:rsidR="00751BD0">
        <w:rPr>
          <w:noProof/>
          <w:lang w:val="fr-FR"/>
        </w:rPr>
        <w:t>p</w:t>
      </w:r>
      <w:r w:rsidR="00C14B9A">
        <w:rPr>
          <w:noProof/>
          <w:lang w:val="fr-FR"/>
        </w:rPr>
        <w:t xml:space="preserve">sychologie et </w:t>
      </w:r>
      <w:r w:rsidR="00751BD0">
        <w:rPr>
          <w:noProof/>
          <w:lang w:val="fr-FR"/>
        </w:rPr>
        <w:t>n</w:t>
      </w:r>
      <w:r w:rsidR="00C14B9A">
        <w:rPr>
          <w:noProof/>
          <w:lang w:val="fr-FR"/>
        </w:rPr>
        <w:t>utrition c</w:t>
      </w:r>
      <w:r w:rsidR="001B2F58" w:rsidRPr="00DD03D6">
        <w:rPr>
          <w:noProof/>
          <w:lang w:val="fr-FR"/>
        </w:rPr>
        <w:t>ommun</w:t>
      </w:r>
      <w:r w:rsidR="00C14B9A">
        <w:rPr>
          <w:noProof/>
          <w:lang w:val="fr-FR"/>
        </w:rPr>
        <w:t>autaire</w:t>
      </w:r>
      <w:r w:rsidR="001B2F58" w:rsidRPr="00DD03D6">
        <w:rPr>
          <w:noProof/>
          <w:lang w:val="fr-FR"/>
        </w:rPr>
        <w:t xml:space="preserve">. </w:t>
      </w:r>
    </w:p>
    <w:p w:rsidR="001B2F58" w:rsidRPr="00DD03D6" w:rsidRDefault="0019547E" w:rsidP="000A5661">
      <w:pPr>
        <w:pStyle w:val="SingleTxtG"/>
        <w:numPr>
          <w:ilvl w:val="0"/>
          <w:numId w:val="3"/>
        </w:numPr>
        <w:ind w:left="1134" w:firstLine="0"/>
        <w:rPr>
          <w:i/>
          <w:iCs/>
          <w:noProof/>
          <w:lang w:val="fr-FR"/>
        </w:rPr>
      </w:pPr>
      <w:r>
        <w:rPr>
          <w:noProof/>
          <w:lang w:val="fr-FR"/>
        </w:rPr>
        <w:t xml:space="preserve">L’Irlande compte trois hôpitaux pour enfants, à savoir </w:t>
      </w:r>
      <w:r w:rsidR="001B2F58" w:rsidRPr="00DD03D6">
        <w:rPr>
          <w:noProof/>
          <w:lang w:val="fr-FR"/>
        </w:rPr>
        <w:t>Our Lady</w:t>
      </w:r>
      <w:r w:rsidR="000A2B7B" w:rsidRPr="00DD03D6">
        <w:rPr>
          <w:noProof/>
          <w:lang w:val="fr-FR"/>
        </w:rPr>
        <w:t>’</w:t>
      </w:r>
      <w:r w:rsidR="001B2F58" w:rsidRPr="00DD03D6">
        <w:rPr>
          <w:noProof/>
          <w:lang w:val="fr-FR"/>
        </w:rPr>
        <w:t>s Children</w:t>
      </w:r>
      <w:r w:rsidR="000A2B7B" w:rsidRPr="00DD03D6">
        <w:rPr>
          <w:noProof/>
          <w:lang w:val="fr-FR"/>
        </w:rPr>
        <w:t>’</w:t>
      </w:r>
      <w:r w:rsidR="001B2F58" w:rsidRPr="00DD03D6">
        <w:rPr>
          <w:noProof/>
          <w:lang w:val="fr-FR"/>
        </w:rPr>
        <w:t>s Hospital, Children</w:t>
      </w:r>
      <w:r w:rsidR="000A2B7B" w:rsidRPr="00DD03D6">
        <w:rPr>
          <w:noProof/>
          <w:lang w:val="fr-FR"/>
        </w:rPr>
        <w:t>’</w:t>
      </w:r>
      <w:r w:rsidR="001B2F58" w:rsidRPr="00DD03D6">
        <w:rPr>
          <w:noProof/>
          <w:lang w:val="fr-FR"/>
        </w:rPr>
        <w:t xml:space="preserve">s University Hospital </w:t>
      </w:r>
      <w:r>
        <w:rPr>
          <w:noProof/>
          <w:lang w:val="fr-FR"/>
        </w:rPr>
        <w:t xml:space="preserve">et le </w:t>
      </w:r>
      <w:r w:rsidR="001B2F58" w:rsidRPr="00DD03D6">
        <w:rPr>
          <w:noProof/>
          <w:lang w:val="fr-FR"/>
        </w:rPr>
        <w:t>National Children</w:t>
      </w:r>
      <w:r w:rsidR="000A2B7B" w:rsidRPr="00DD03D6">
        <w:rPr>
          <w:noProof/>
          <w:lang w:val="fr-FR"/>
        </w:rPr>
        <w:t>’</w:t>
      </w:r>
      <w:r w:rsidR="001B2F58" w:rsidRPr="00DD03D6">
        <w:rPr>
          <w:noProof/>
          <w:lang w:val="fr-FR"/>
        </w:rPr>
        <w:t>s Hospital</w:t>
      </w:r>
      <w:r>
        <w:rPr>
          <w:noProof/>
          <w:lang w:val="fr-FR"/>
        </w:rPr>
        <w:t xml:space="preserve">, qui se trouvent tous les trois à </w:t>
      </w:r>
      <w:r w:rsidR="001B2F58" w:rsidRPr="00DD03D6">
        <w:rPr>
          <w:noProof/>
          <w:lang w:val="fr-FR"/>
        </w:rPr>
        <w:t xml:space="preserve">Dublin. </w:t>
      </w:r>
      <w:r>
        <w:rPr>
          <w:noProof/>
          <w:lang w:val="fr-FR"/>
        </w:rPr>
        <w:t xml:space="preserve">Ils mettent à disposition au </w:t>
      </w:r>
      <w:r w:rsidR="001B2F58" w:rsidRPr="00DD03D6">
        <w:rPr>
          <w:noProof/>
          <w:lang w:val="fr-FR"/>
        </w:rPr>
        <w:t xml:space="preserve">total 390 </w:t>
      </w:r>
      <w:r>
        <w:rPr>
          <w:noProof/>
          <w:lang w:val="fr-FR"/>
        </w:rPr>
        <w:t xml:space="preserve">lits pédiatriques et </w:t>
      </w:r>
      <w:r w:rsidR="001B2F58" w:rsidRPr="00DD03D6">
        <w:rPr>
          <w:noProof/>
          <w:lang w:val="fr-FR"/>
        </w:rPr>
        <w:t xml:space="preserve">12 </w:t>
      </w:r>
      <w:r>
        <w:rPr>
          <w:noProof/>
          <w:lang w:val="fr-FR"/>
        </w:rPr>
        <w:t>salles d’opération</w:t>
      </w:r>
      <w:r w:rsidR="001B2F58" w:rsidRPr="00DD03D6">
        <w:rPr>
          <w:noProof/>
          <w:lang w:val="fr-FR"/>
        </w:rPr>
        <w:t xml:space="preserve">. </w:t>
      </w:r>
      <w:r>
        <w:rPr>
          <w:noProof/>
          <w:lang w:val="fr-FR"/>
        </w:rPr>
        <w:t>Chacun d’eux disp</w:t>
      </w:r>
      <w:r w:rsidR="005E201D">
        <w:rPr>
          <w:noProof/>
          <w:lang w:val="fr-FR"/>
        </w:rPr>
        <w:t>os</w:t>
      </w:r>
      <w:r>
        <w:rPr>
          <w:noProof/>
          <w:lang w:val="fr-FR"/>
        </w:rPr>
        <w:t>e également d’un ser</w:t>
      </w:r>
      <w:r w:rsidR="00751BD0">
        <w:rPr>
          <w:noProof/>
          <w:lang w:val="fr-FR"/>
        </w:rPr>
        <w:t>vice d’urgences fonctionnant 24 </w:t>
      </w:r>
      <w:r>
        <w:rPr>
          <w:noProof/>
          <w:lang w:val="fr-FR"/>
        </w:rPr>
        <w:t>heures sur 24.</w:t>
      </w:r>
      <w:r w:rsidR="001B2F58" w:rsidRPr="00DD03D6">
        <w:rPr>
          <w:noProof/>
          <w:lang w:val="fr-FR"/>
        </w:rPr>
        <w:t xml:space="preserve"> </w:t>
      </w:r>
      <w:r w:rsidR="002E423F">
        <w:rPr>
          <w:noProof/>
          <w:lang w:val="fr-FR"/>
        </w:rPr>
        <w:t>D’autres établissements de soins actifs ont des services de pédiatrie de taille variable</w:t>
      </w:r>
      <w:r w:rsidR="001B2F58" w:rsidRPr="00DD03D6">
        <w:rPr>
          <w:noProof/>
          <w:lang w:val="fr-FR"/>
        </w:rPr>
        <w:t>.</w:t>
      </w:r>
    </w:p>
    <w:p w:rsidR="001B2F58" w:rsidRPr="00DD03D6" w:rsidRDefault="002E423F" w:rsidP="008F0730">
      <w:pPr>
        <w:pStyle w:val="SingleTxtG"/>
        <w:numPr>
          <w:ilvl w:val="0"/>
          <w:numId w:val="3"/>
        </w:numPr>
        <w:ind w:left="1134" w:firstLine="0"/>
        <w:rPr>
          <w:noProof/>
          <w:lang w:val="fr-FR"/>
        </w:rPr>
      </w:pPr>
      <w:r>
        <w:rPr>
          <w:noProof/>
          <w:lang w:val="fr-FR"/>
        </w:rPr>
        <w:t xml:space="preserve">Dans son </w:t>
      </w:r>
      <w:r w:rsidR="001B2F58" w:rsidRPr="00DD03D6">
        <w:rPr>
          <w:noProof/>
          <w:lang w:val="fr-FR"/>
        </w:rPr>
        <w:t xml:space="preserve">Programme </w:t>
      </w:r>
      <w:r>
        <w:rPr>
          <w:noProof/>
          <w:lang w:val="fr-FR"/>
        </w:rPr>
        <w:t xml:space="preserve">pour </w:t>
      </w:r>
      <w:r w:rsidR="001B2F58" w:rsidRPr="00DD03D6">
        <w:rPr>
          <w:noProof/>
          <w:lang w:val="fr-FR"/>
        </w:rPr>
        <w:t>2011-201</w:t>
      </w:r>
      <w:r>
        <w:rPr>
          <w:noProof/>
          <w:lang w:val="fr-FR"/>
        </w:rPr>
        <w:t xml:space="preserve">6, le Gouvernement s’est engagé à construire un nouveau </w:t>
      </w:r>
      <w:r w:rsidR="001B2F58" w:rsidRPr="00DD03D6">
        <w:rPr>
          <w:noProof/>
          <w:lang w:val="fr-FR"/>
        </w:rPr>
        <w:t>National Children</w:t>
      </w:r>
      <w:r w:rsidR="000A2B7B" w:rsidRPr="00DD03D6">
        <w:rPr>
          <w:noProof/>
          <w:lang w:val="fr-FR"/>
        </w:rPr>
        <w:t>’</w:t>
      </w:r>
      <w:r w:rsidR="001B2F58" w:rsidRPr="00DD03D6">
        <w:rPr>
          <w:noProof/>
          <w:lang w:val="fr-FR"/>
        </w:rPr>
        <w:t xml:space="preserve">s Hospital </w:t>
      </w:r>
      <w:r>
        <w:rPr>
          <w:noProof/>
          <w:lang w:val="fr-FR"/>
        </w:rPr>
        <w:t>pour remplacer les trois hôpitaux pour enfants actuels</w:t>
      </w:r>
      <w:r w:rsidR="003C5387">
        <w:rPr>
          <w:noProof/>
          <w:lang w:val="fr-FR"/>
        </w:rPr>
        <w:t>. En</w:t>
      </w:r>
      <w:r w:rsidR="001B2F58" w:rsidRPr="00DD03D6">
        <w:rPr>
          <w:noProof/>
          <w:lang w:val="fr-FR"/>
        </w:rPr>
        <w:t xml:space="preserve"> </w:t>
      </w:r>
      <w:r w:rsidR="003C5387">
        <w:rPr>
          <w:noProof/>
          <w:lang w:val="fr-FR"/>
        </w:rPr>
        <w:t xml:space="preserve">février </w:t>
      </w:r>
      <w:r w:rsidR="001B2F58" w:rsidRPr="00DD03D6">
        <w:rPr>
          <w:noProof/>
          <w:lang w:val="fr-FR"/>
        </w:rPr>
        <w:t xml:space="preserve">2012, </w:t>
      </w:r>
      <w:r w:rsidR="003C5387">
        <w:rPr>
          <w:noProof/>
          <w:lang w:val="fr-FR"/>
        </w:rPr>
        <w:t>l’</w:t>
      </w:r>
      <w:r w:rsidR="001B2F58" w:rsidRPr="00DD03D6">
        <w:rPr>
          <w:noProof/>
          <w:lang w:val="fr-FR"/>
        </w:rPr>
        <w:t>An Bord Pleanála (</w:t>
      </w:r>
      <w:r w:rsidR="00862CB6">
        <w:rPr>
          <w:noProof/>
          <w:lang w:val="fr-FR"/>
        </w:rPr>
        <w:t>la Direction de l’aménagement du territoire</w:t>
      </w:r>
      <w:r w:rsidR="001B2F58" w:rsidRPr="00DD03D6">
        <w:rPr>
          <w:noProof/>
          <w:lang w:val="fr-FR"/>
        </w:rPr>
        <w:t xml:space="preserve">) </w:t>
      </w:r>
      <w:r w:rsidR="00862CB6">
        <w:rPr>
          <w:noProof/>
          <w:lang w:val="fr-FR"/>
        </w:rPr>
        <w:t xml:space="preserve">a rejeté la demande d’aménagement concernant la </w:t>
      </w:r>
      <w:r w:rsidR="001B2F58" w:rsidRPr="00DD03D6">
        <w:rPr>
          <w:noProof/>
          <w:lang w:val="fr-FR"/>
        </w:rPr>
        <w:t xml:space="preserve">construction </w:t>
      </w:r>
      <w:r w:rsidR="00862CB6">
        <w:rPr>
          <w:noProof/>
          <w:lang w:val="fr-FR"/>
        </w:rPr>
        <w:t>du nouvel hôpital pour enfants sur le site du</w:t>
      </w:r>
      <w:r w:rsidR="001B2F58" w:rsidRPr="00DD03D6">
        <w:rPr>
          <w:noProof/>
          <w:lang w:val="fr-FR"/>
        </w:rPr>
        <w:t xml:space="preserve"> Mater Misericordiae Hospital </w:t>
      </w:r>
      <w:r w:rsidR="00862CB6">
        <w:rPr>
          <w:noProof/>
          <w:lang w:val="fr-FR"/>
        </w:rPr>
        <w:t>à</w:t>
      </w:r>
      <w:r w:rsidR="001B2F58" w:rsidRPr="00DD03D6">
        <w:rPr>
          <w:noProof/>
          <w:lang w:val="fr-FR"/>
        </w:rPr>
        <w:t xml:space="preserve"> Dublin. </w:t>
      </w:r>
      <w:r w:rsidR="00862CB6">
        <w:rPr>
          <w:noProof/>
          <w:lang w:val="fr-FR"/>
        </w:rPr>
        <w:t xml:space="preserve">À la suite de ce rejet, le </w:t>
      </w:r>
      <w:r w:rsidR="001B2F58" w:rsidRPr="00DD03D6">
        <w:rPr>
          <w:noProof/>
          <w:lang w:val="fr-FR"/>
        </w:rPr>
        <w:t>Minist</w:t>
      </w:r>
      <w:r w:rsidR="00862CB6">
        <w:rPr>
          <w:noProof/>
          <w:lang w:val="fr-FR"/>
        </w:rPr>
        <w:t>re</w:t>
      </w:r>
      <w:r w:rsidR="001B2F58" w:rsidRPr="00DD03D6">
        <w:rPr>
          <w:noProof/>
          <w:lang w:val="fr-FR"/>
        </w:rPr>
        <w:t xml:space="preserve"> </w:t>
      </w:r>
      <w:r w:rsidR="00862CB6">
        <w:rPr>
          <w:noProof/>
          <w:lang w:val="fr-FR"/>
        </w:rPr>
        <w:t>de la santé a créé un Groupe d’e</w:t>
      </w:r>
      <w:r w:rsidR="001B2F58" w:rsidRPr="00DD03D6">
        <w:rPr>
          <w:noProof/>
          <w:lang w:val="fr-FR"/>
        </w:rPr>
        <w:t>xpert</w:t>
      </w:r>
      <w:r w:rsidR="00862CB6">
        <w:rPr>
          <w:noProof/>
          <w:lang w:val="fr-FR"/>
        </w:rPr>
        <w:t>s chargé d’examiner les conséquences de cette décision</w:t>
      </w:r>
      <w:r w:rsidR="001B2F58" w:rsidRPr="00DD03D6">
        <w:rPr>
          <w:noProof/>
          <w:lang w:val="fr-FR"/>
        </w:rPr>
        <w:t xml:space="preserve">. </w:t>
      </w:r>
      <w:r w:rsidR="00862CB6">
        <w:rPr>
          <w:noProof/>
          <w:lang w:val="fr-FR"/>
        </w:rPr>
        <w:t xml:space="preserve">Le Gouvernement a défini le mandat du groupe en mars </w:t>
      </w:r>
      <w:r w:rsidR="001B2F58" w:rsidRPr="00DD03D6">
        <w:rPr>
          <w:noProof/>
          <w:lang w:val="fr-FR"/>
        </w:rPr>
        <w:t>2012</w:t>
      </w:r>
      <w:r w:rsidR="00862CB6">
        <w:rPr>
          <w:noProof/>
          <w:lang w:val="fr-FR"/>
        </w:rPr>
        <w:t xml:space="preserve"> et</w:t>
      </w:r>
      <w:r w:rsidR="00705B98" w:rsidRPr="00DD03D6">
        <w:rPr>
          <w:noProof/>
          <w:lang w:val="fr-FR"/>
        </w:rPr>
        <w:t xml:space="preserve">, </w:t>
      </w:r>
      <w:r w:rsidR="00862CB6">
        <w:rPr>
          <w:noProof/>
          <w:lang w:val="fr-FR"/>
        </w:rPr>
        <w:t xml:space="preserve">à l’achèvement des travaux de celui-ci, a choisi un nouveau </w:t>
      </w:r>
      <w:r w:rsidR="001B2F58" w:rsidRPr="00DD03D6">
        <w:rPr>
          <w:noProof/>
          <w:lang w:val="fr-FR"/>
        </w:rPr>
        <w:t xml:space="preserve">site </w:t>
      </w:r>
      <w:r w:rsidR="00862CB6">
        <w:rPr>
          <w:noProof/>
          <w:lang w:val="fr-FR"/>
        </w:rPr>
        <w:t xml:space="preserve">pour le </w:t>
      </w:r>
      <w:r w:rsidR="001B2F58" w:rsidRPr="00DD03D6">
        <w:rPr>
          <w:noProof/>
          <w:lang w:val="fr-FR"/>
        </w:rPr>
        <w:t>National Children</w:t>
      </w:r>
      <w:r w:rsidR="000A2B7B" w:rsidRPr="00DD03D6">
        <w:rPr>
          <w:noProof/>
          <w:lang w:val="fr-FR"/>
        </w:rPr>
        <w:t>’</w:t>
      </w:r>
      <w:r w:rsidR="001B2F58" w:rsidRPr="00DD03D6">
        <w:rPr>
          <w:noProof/>
          <w:lang w:val="fr-FR"/>
        </w:rPr>
        <w:t xml:space="preserve">s Hospital – St. James – </w:t>
      </w:r>
      <w:r w:rsidR="00862CB6">
        <w:rPr>
          <w:noProof/>
          <w:lang w:val="fr-FR"/>
        </w:rPr>
        <w:t>et confirmé son engagement en faveur du projet</w:t>
      </w:r>
      <w:r w:rsidR="001B2F58" w:rsidRPr="00DD03D6">
        <w:rPr>
          <w:noProof/>
          <w:lang w:val="fr-FR"/>
        </w:rPr>
        <w:t>.</w:t>
      </w:r>
    </w:p>
    <w:p w:rsidR="001B2F58" w:rsidRPr="00DD03D6" w:rsidRDefault="00862CB6" w:rsidP="00B67BD3">
      <w:pPr>
        <w:pStyle w:val="SingleTxtG"/>
        <w:numPr>
          <w:ilvl w:val="0"/>
          <w:numId w:val="3"/>
        </w:numPr>
        <w:ind w:left="1134" w:firstLine="0"/>
        <w:rPr>
          <w:noProof/>
          <w:lang w:val="fr-FR"/>
        </w:rPr>
      </w:pPr>
      <w:r>
        <w:rPr>
          <w:noProof/>
          <w:lang w:val="fr-FR"/>
        </w:rPr>
        <w:t xml:space="preserve">La Direction des services de santé </w:t>
      </w:r>
      <w:r w:rsidR="00C82623">
        <w:rPr>
          <w:noProof/>
          <w:lang w:val="fr-FR"/>
        </w:rPr>
        <w:t>a mis sur pied un Programme national clinique de pédiatrie, et une série de directives et protocoles nationaux relatifs aux soins pédiatriques sont en cours d’élaboration</w:t>
      </w:r>
      <w:r w:rsidR="001B2F58" w:rsidRPr="00DD03D6">
        <w:rPr>
          <w:noProof/>
          <w:lang w:val="fr-FR"/>
        </w:rPr>
        <w:t>.</w:t>
      </w:r>
    </w:p>
    <w:p w:rsidR="001B2F58" w:rsidRPr="00DD03D6" w:rsidRDefault="00C82623" w:rsidP="00DE1F22">
      <w:pPr>
        <w:pStyle w:val="SingleTxtG"/>
        <w:numPr>
          <w:ilvl w:val="0"/>
          <w:numId w:val="3"/>
        </w:numPr>
        <w:ind w:left="1134" w:firstLine="0"/>
        <w:rPr>
          <w:noProof/>
          <w:u w:val="single"/>
          <w:lang w:val="fr-FR"/>
        </w:rPr>
      </w:pPr>
      <w:r>
        <w:rPr>
          <w:noProof/>
          <w:lang w:val="fr-FR"/>
        </w:rPr>
        <w:t>E</w:t>
      </w:r>
      <w:r w:rsidR="001B2F58" w:rsidRPr="00DD03D6">
        <w:rPr>
          <w:noProof/>
          <w:lang w:val="fr-FR"/>
        </w:rPr>
        <w:t xml:space="preserve">n 2009, </w:t>
      </w:r>
      <w:r>
        <w:rPr>
          <w:noProof/>
          <w:lang w:val="fr-FR"/>
        </w:rPr>
        <w:t xml:space="preserve">le Ministère de la santé et de l’enfance a publié un document directif intitulé </w:t>
      </w:r>
      <w:r>
        <w:rPr>
          <w:i/>
          <w:noProof/>
          <w:lang w:val="fr-FR"/>
        </w:rPr>
        <w:t xml:space="preserve">Soins palliatifs destinés aux enfants atteints de maladies </w:t>
      </w:r>
      <w:r w:rsidR="00093E08">
        <w:rPr>
          <w:i/>
          <w:noProof/>
          <w:lang w:val="fr-FR"/>
        </w:rPr>
        <w:t xml:space="preserve">limitant la qualité de vie en Irlande : politique nationale) </w:t>
      </w:r>
      <w:r w:rsidR="00093E08">
        <w:rPr>
          <w:noProof/>
          <w:lang w:val="fr-FR"/>
        </w:rPr>
        <w:t>(</w:t>
      </w:r>
      <w:r w:rsidR="001B2F58" w:rsidRPr="00DD03D6">
        <w:rPr>
          <w:i/>
          <w:iCs/>
          <w:noProof/>
          <w:lang w:val="fr-FR"/>
        </w:rPr>
        <w:t>Palliative Care for Children with Life-Limiting Conditions in Ireland: A National Policy</w:t>
      </w:r>
      <w:r w:rsidR="00093E08">
        <w:rPr>
          <w:iCs/>
          <w:noProof/>
          <w:lang w:val="fr-FR"/>
        </w:rPr>
        <w:t>)</w:t>
      </w:r>
      <w:r w:rsidR="001B2F58" w:rsidRPr="00DD03D6">
        <w:rPr>
          <w:noProof/>
          <w:lang w:val="fr-FR"/>
        </w:rPr>
        <w:t xml:space="preserve">. </w:t>
      </w:r>
      <w:r w:rsidR="00AF6192">
        <w:rPr>
          <w:noProof/>
          <w:lang w:val="fr-FR"/>
        </w:rPr>
        <w:t>Ce document recomma</w:t>
      </w:r>
      <w:r w:rsidR="001B2F58" w:rsidRPr="00DD03D6">
        <w:rPr>
          <w:noProof/>
          <w:lang w:val="fr-FR"/>
        </w:rPr>
        <w:t>nd</w:t>
      </w:r>
      <w:r w:rsidR="00AF6192">
        <w:rPr>
          <w:noProof/>
          <w:lang w:val="fr-FR"/>
        </w:rPr>
        <w:t xml:space="preserve">e le développement et la prestation de services de soins </w:t>
      </w:r>
      <w:r w:rsidR="001B2F58" w:rsidRPr="00DD03D6">
        <w:rPr>
          <w:noProof/>
          <w:lang w:val="fr-FR"/>
        </w:rPr>
        <w:t>palliati</w:t>
      </w:r>
      <w:r w:rsidR="00AF6192">
        <w:rPr>
          <w:noProof/>
          <w:lang w:val="fr-FR"/>
        </w:rPr>
        <w:t>fs aux enfants par le biais des services de soins de santé primaires et leur mise en place progressive</w:t>
      </w:r>
      <w:r w:rsidR="001B2F58" w:rsidRPr="00DD03D6">
        <w:rPr>
          <w:noProof/>
          <w:lang w:val="fr-FR"/>
        </w:rPr>
        <w:t>. I</w:t>
      </w:r>
      <w:r w:rsidR="00AF6192">
        <w:rPr>
          <w:noProof/>
          <w:lang w:val="fr-FR"/>
        </w:rPr>
        <w:t xml:space="preserve">l vise à faire en sorte que tous les enfants atteints de maladies limitant la qualité de vie puissent choisir de recevoir </w:t>
      </w:r>
      <w:r w:rsidR="00897C3D">
        <w:rPr>
          <w:noProof/>
          <w:lang w:val="fr-FR"/>
        </w:rPr>
        <w:t xml:space="preserve">des </w:t>
      </w:r>
      <w:r w:rsidR="00AF6192">
        <w:rPr>
          <w:noProof/>
          <w:lang w:val="fr-FR"/>
        </w:rPr>
        <w:t xml:space="preserve">soins à leur domicile et priorise donc les soins palliatifs de proximité pour ces enfants. Il y aurait </w:t>
      </w:r>
      <w:r w:rsidR="00AF6192">
        <w:rPr>
          <w:noProof/>
          <w:lang w:val="fr-FR"/>
        </w:rPr>
        <w:lastRenderedPageBreak/>
        <w:t xml:space="preserve">environ </w:t>
      </w:r>
      <w:r w:rsidR="001B2F58" w:rsidRPr="00DD03D6">
        <w:rPr>
          <w:noProof/>
          <w:lang w:val="fr-FR"/>
        </w:rPr>
        <w:t>1</w:t>
      </w:r>
      <w:r w:rsidR="00751BD0">
        <w:rPr>
          <w:noProof/>
          <w:lang w:val="fr-FR"/>
        </w:rPr>
        <w:t> </w:t>
      </w:r>
      <w:r w:rsidR="001B2F58" w:rsidRPr="00DD03D6">
        <w:rPr>
          <w:noProof/>
          <w:lang w:val="fr-FR"/>
        </w:rPr>
        <w:t xml:space="preserve">400 </w:t>
      </w:r>
      <w:r w:rsidR="00AF6192">
        <w:rPr>
          <w:noProof/>
          <w:lang w:val="fr-FR"/>
        </w:rPr>
        <w:t>enfants atteints d’une maladie de ce type en Irlande. Sur les quelque</w:t>
      </w:r>
      <w:r w:rsidR="00751BD0">
        <w:rPr>
          <w:noProof/>
          <w:lang w:val="fr-FR"/>
        </w:rPr>
        <w:t xml:space="preserve"> 490 </w:t>
      </w:r>
      <w:r w:rsidR="00AF6192">
        <w:rPr>
          <w:noProof/>
          <w:lang w:val="fr-FR"/>
        </w:rPr>
        <w:t xml:space="preserve">décès d’enfant chaque année, </w:t>
      </w:r>
      <w:r w:rsidR="00897C3D">
        <w:rPr>
          <w:noProof/>
          <w:lang w:val="fr-FR"/>
        </w:rPr>
        <w:t xml:space="preserve">ces maladies en causent </w:t>
      </w:r>
      <w:r w:rsidR="001B2F58" w:rsidRPr="00DD03D6">
        <w:rPr>
          <w:noProof/>
          <w:lang w:val="fr-FR"/>
        </w:rPr>
        <w:t xml:space="preserve">350 </w:t>
      </w:r>
      <w:r w:rsidR="00897C3D">
        <w:rPr>
          <w:noProof/>
          <w:lang w:val="fr-FR"/>
        </w:rPr>
        <w:t>environ</w:t>
      </w:r>
      <w:r w:rsidR="001B2F58" w:rsidRPr="00DD03D6">
        <w:rPr>
          <w:noProof/>
          <w:lang w:val="fr-FR"/>
        </w:rPr>
        <w:t>.</w:t>
      </w:r>
    </w:p>
    <w:p w:rsidR="001B2F58" w:rsidRPr="00DD03D6" w:rsidRDefault="00897C3D" w:rsidP="00DE1F22">
      <w:pPr>
        <w:pStyle w:val="SingleTxtG"/>
        <w:numPr>
          <w:ilvl w:val="0"/>
          <w:numId w:val="3"/>
        </w:numPr>
        <w:ind w:left="1134" w:firstLine="0"/>
        <w:rPr>
          <w:noProof/>
          <w:lang w:val="fr-FR"/>
        </w:rPr>
      </w:pPr>
      <w:r>
        <w:rPr>
          <w:noProof/>
          <w:lang w:val="fr-FR"/>
        </w:rPr>
        <w:t xml:space="preserve">Pour l’année en cours, les </w:t>
      </w:r>
      <w:r w:rsidR="001B2F58" w:rsidRPr="00DD03D6">
        <w:rPr>
          <w:noProof/>
          <w:lang w:val="fr-FR"/>
        </w:rPr>
        <w:t>priorit</w:t>
      </w:r>
      <w:r>
        <w:rPr>
          <w:noProof/>
          <w:lang w:val="fr-FR"/>
        </w:rPr>
        <w:t>é</w:t>
      </w:r>
      <w:r w:rsidR="001B2F58" w:rsidRPr="00DD03D6">
        <w:rPr>
          <w:noProof/>
          <w:lang w:val="fr-FR"/>
        </w:rPr>
        <w:t xml:space="preserve">s </w:t>
      </w:r>
      <w:r>
        <w:rPr>
          <w:noProof/>
          <w:lang w:val="fr-FR"/>
        </w:rPr>
        <w:t xml:space="preserve">en matière de soins </w:t>
      </w:r>
      <w:r w:rsidR="001B2F58" w:rsidRPr="00DD03D6">
        <w:rPr>
          <w:noProof/>
          <w:lang w:val="fr-FR"/>
        </w:rPr>
        <w:t>palliati</w:t>
      </w:r>
      <w:r>
        <w:rPr>
          <w:noProof/>
          <w:lang w:val="fr-FR"/>
        </w:rPr>
        <w:t>fs sont énoncées dans le Plan relatif aux services pour 2012 de la Direction des services de santé</w:t>
      </w:r>
      <w:r w:rsidR="001B2F58" w:rsidRPr="00DD03D6">
        <w:rPr>
          <w:noProof/>
          <w:lang w:val="fr-FR"/>
        </w:rPr>
        <w:t xml:space="preserve">. </w:t>
      </w:r>
      <w:r>
        <w:rPr>
          <w:noProof/>
          <w:lang w:val="fr-FR"/>
        </w:rPr>
        <w:t>Il s’agit notamment de mener à bien l’exécution de la p</w:t>
      </w:r>
      <w:r w:rsidR="001B2F58" w:rsidRPr="00DD03D6">
        <w:rPr>
          <w:noProof/>
          <w:lang w:val="fr-FR"/>
        </w:rPr>
        <w:t xml:space="preserve">hase 1 </w:t>
      </w:r>
      <w:r>
        <w:rPr>
          <w:noProof/>
          <w:lang w:val="fr-FR"/>
        </w:rPr>
        <w:t xml:space="preserve">du rapport susvisé, qui implique la nomination du premier consultant en soins pédiatriques palliatifs d’Irlande et de huit </w:t>
      </w:r>
      <w:r w:rsidR="009D370F">
        <w:rPr>
          <w:noProof/>
          <w:lang w:val="fr-FR"/>
        </w:rPr>
        <w:t xml:space="preserve">infirmiers itinérants pour les régions de la Direction des services de santé afin d’étayer le nouveau </w:t>
      </w:r>
      <w:r w:rsidR="001B2F58" w:rsidRPr="00DD03D6">
        <w:rPr>
          <w:noProof/>
          <w:lang w:val="fr-FR"/>
        </w:rPr>
        <w:t xml:space="preserve">service. </w:t>
      </w:r>
      <w:r w:rsidR="009D370F">
        <w:rPr>
          <w:noProof/>
          <w:lang w:val="fr-FR"/>
        </w:rPr>
        <w:t xml:space="preserve">Cette </w:t>
      </w:r>
      <w:r w:rsidR="001B2F58" w:rsidRPr="00DD03D6">
        <w:rPr>
          <w:noProof/>
          <w:lang w:val="fr-FR"/>
        </w:rPr>
        <w:t xml:space="preserve">initiative </w:t>
      </w:r>
      <w:r w:rsidR="009D370F">
        <w:rPr>
          <w:noProof/>
          <w:lang w:val="fr-FR"/>
        </w:rPr>
        <w:t>a été prise sur la base d’un partenariat pour la mise en commun des ressources financières conclu avec l’</w:t>
      </w:r>
      <w:r w:rsidR="001B2F58" w:rsidRPr="00DD03D6">
        <w:rPr>
          <w:noProof/>
          <w:lang w:val="fr-FR"/>
        </w:rPr>
        <w:t xml:space="preserve">Irish Hospice Foundation. </w:t>
      </w:r>
      <w:r w:rsidR="009D370F">
        <w:rPr>
          <w:noProof/>
          <w:lang w:val="fr-FR"/>
        </w:rPr>
        <w:t>E</w:t>
      </w:r>
      <w:r w:rsidR="001B2F58" w:rsidRPr="00DD03D6">
        <w:rPr>
          <w:noProof/>
          <w:lang w:val="fr-FR"/>
        </w:rPr>
        <w:t xml:space="preserve">n </w:t>
      </w:r>
      <w:r w:rsidR="009D370F">
        <w:rPr>
          <w:noProof/>
          <w:lang w:val="fr-FR"/>
        </w:rPr>
        <w:t>outre, la Direction et cette Fondation collaborent étroitement à l’élaboration de programmes d’éducation continue à l’intention des e</w:t>
      </w:r>
      <w:r w:rsidR="00FC5ADD">
        <w:rPr>
          <w:noProof/>
          <w:lang w:val="fr-FR"/>
        </w:rPr>
        <w:t>nf</w:t>
      </w:r>
      <w:r w:rsidR="009D370F">
        <w:rPr>
          <w:noProof/>
          <w:lang w:val="fr-FR"/>
        </w:rPr>
        <w:t xml:space="preserve">ants atteints </w:t>
      </w:r>
      <w:r w:rsidR="00FC5ADD">
        <w:rPr>
          <w:noProof/>
          <w:lang w:val="fr-FR"/>
        </w:rPr>
        <w:t>de maladies limitant la qualité de vie</w:t>
      </w:r>
      <w:r w:rsidR="001B2F58" w:rsidRPr="00DD03D6">
        <w:rPr>
          <w:noProof/>
          <w:lang w:val="fr-FR"/>
        </w:rPr>
        <w:t xml:space="preserve">. </w:t>
      </w:r>
      <w:r w:rsidR="00FC5ADD">
        <w:rPr>
          <w:noProof/>
          <w:lang w:val="fr-FR"/>
        </w:rPr>
        <w:t xml:space="preserve">L’exécution de ces programmes a été appuyée par le </w:t>
      </w:r>
      <w:r w:rsidR="001B2F58" w:rsidRPr="00DD03D6">
        <w:rPr>
          <w:noProof/>
          <w:lang w:val="fr-FR"/>
        </w:rPr>
        <w:t>Centre of Children</w:t>
      </w:r>
      <w:r w:rsidR="000A2B7B" w:rsidRPr="00DD03D6">
        <w:rPr>
          <w:noProof/>
          <w:lang w:val="fr-FR"/>
        </w:rPr>
        <w:t>’</w:t>
      </w:r>
      <w:r w:rsidR="00FC5ADD">
        <w:rPr>
          <w:noProof/>
          <w:lang w:val="fr-FR"/>
        </w:rPr>
        <w:t>s Nurse Education de l’</w:t>
      </w:r>
      <w:r w:rsidR="001B2F58" w:rsidRPr="00DD03D6">
        <w:rPr>
          <w:noProof/>
          <w:lang w:val="fr-FR"/>
        </w:rPr>
        <w:t>Our Lady</w:t>
      </w:r>
      <w:r w:rsidR="000A2B7B" w:rsidRPr="00DD03D6">
        <w:rPr>
          <w:noProof/>
          <w:lang w:val="fr-FR"/>
        </w:rPr>
        <w:t>’</w:t>
      </w:r>
      <w:r w:rsidR="001B2F58" w:rsidRPr="00DD03D6">
        <w:rPr>
          <w:noProof/>
          <w:lang w:val="fr-FR"/>
        </w:rPr>
        <w:t>s Children</w:t>
      </w:r>
      <w:r w:rsidR="000A2B7B" w:rsidRPr="00DD03D6">
        <w:rPr>
          <w:noProof/>
          <w:lang w:val="fr-FR"/>
        </w:rPr>
        <w:t>’</w:t>
      </w:r>
      <w:r w:rsidR="001B2F58" w:rsidRPr="00DD03D6">
        <w:rPr>
          <w:noProof/>
          <w:lang w:val="fr-FR"/>
        </w:rPr>
        <w:t xml:space="preserve">s Hospital, </w:t>
      </w:r>
      <w:r w:rsidR="00FC5ADD">
        <w:rPr>
          <w:noProof/>
          <w:lang w:val="fr-FR"/>
        </w:rPr>
        <w:t xml:space="preserve">à </w:t>
      </w:r>
      <w:r w:rsidR="001B2F58" w:rsidRPr="00DD03D6">
        <w:rPr>
          <w:noProof/>
          <w:lang w:val="fr-FR"/>
        </w:rPr>
        <w:t>Crumlin.</w:t>
      </w:r>
    </w:p>
    <w:p w:rsidR="001B2F58" w:rsidRPr="00DD03D6" w:rsidRDefault="000A5661" w:rsidP="00663AB4">
      <w:pPr>
        <w:pStyle w:val="H1G"/>
        <w:rPr>
          <w:noProof/>
          <w:lang w:val="fr-FR"/>
        </w:rPr>
      </w:pPr>
      <w:bookmarkStart w:id="59" w:name="_Toc356430883"/>
      <w:r w:rsidRPr="00DD03D6">
        <w:rPr>
          <w:noProof/>
          <w:lang w:val="fr-FR"/>
        </w:rPr>
        <w:tab/>
      </w:r>
      <w:r w:rsidR="001B2F58" w:rsidRPr="00DD03D6">
        <w:rPr>
          <w:noProof/>
          <w:lang w:val="fr-FR"/>
        </w:rPr>
        <w:t>E.</w:t>
      </w:r>
      <w:r w:rsidR="001B2F58" w:rsidRPr="00DD03D6">
        <w:rPr>
          <w:noProof/>
          <w:lang w:val="fr-FR"/>
        </w:rPr>
        <w:tab/>
      </w:r>
      <w:r w:rsidR="00FC5ADD">
        <w:rPr>
          <w:lang w:val="fr-FR"/>
        </w:rPr>
        <w:t>Gestion des problèmes de santé les plus courants, promotion de la santé physique et mentale et du bien-être des enfants, et prévention et traitement des maladies transmissibles et non transmissibles</w:t>
      </w:r>
      <w:bookmarkEnd w:id="59"/>
    </w:p>
    <w:p w:rsidR="001B2F58" w:rsidRPr="00DD03D6" w:rsidRDefault="00CD333F" w:rsidP="005D7533">
      <w:pPr>
        <w:pStyle w:val="SingleTxtG"/>
        <w:numPr>
          <w:ilvl w:val="0"/>
          <w:numId w:val="3"/>
        </w:numPr>
        <w:ind w:left="1134" w:firstLine="0"/>
        <w:rPr>
          <w:i/>
          <w:iCs/>
          <w:noProof/>
          <w:lang w:val="fr-FR"/>
        </w:rPr>
      </w:pPr>
      <w:r>
        <w:rPr>
          <w:noProof/>
          <w:lang w:val="fr-FR"/>
        </w:rPr>
        <w:t>Dans l’ensemble, les enfants irlandais sont en bonne santé</w:t>
      </w:r>
      <w:r w:rsidR="001B2F58" w:rsidRPr="00DD03D6">
        <w:rPr>
          <w:noProof/>
          <w:lang w:val="fr-FR"/>
        </w:rPr>
        <w:t xml:space="preserve">. </w:t>
      </w:r>
      <w:r>
        <w:rPr>
          <w:noProof/>
          <w:lang w:val="fr-FR"/>
        </w:rPr>
        <w:t xml:space="preserve">Le taux de mortalité infantile est tombé de </w:t>
      </w:r>
      <w:r w:rsidR="001B2F58" w:rsidRPr="00DD03D6">
        <w:rPr>
          <w:noProof/>
          <w:lang w:val="fr-FR"/>
        </w:rPr>
        <w:t>3</w:t>
      </w:r>
      <w:r>
        <w:rPr>
          <w:noProof/>
          <w:lang w:val="fr-FR"/>
        </w:rPr>
        <w:t>,</w:t>
      </w:r>
      <w:r w:rsidR="001B2F58" w:rsidRPr="00DD03D6">
        <w:rPr>
          <w:noProof/>
          <w:lang w:val="fr-FR"/>
        </w:rPr>
        <w:t>9 p</w:t>
      </w:r>
      <w:r>
        <w:rPr>
          <w:noProof/>
          <w:lang w:val="fr-FR"/>
        </w:rPr>
        <w:t>our</w:t>
      </w:r>
      <w:r w:rsidR="001B2F58" w:rsidRPr="00DD03D6">
        <w:rPr>
          <w:noProof/>
          <w:lang w:val="fr-FR"/>
        </w:rPr>
        <w:t xml:space="preserve"> 1</w:t>
      </w:r>
      <w:r w:rsidR="00751BD0">
        <w:rPr>
          <w:noProof/>
          <w:lang w:val="fr-FR"/>
        </w:rPr>
        <w:t> </w:t>
      </w:r>
      <w:r w:rsidR="001B2F58" w:rsidRPr="00DD03D6">
        <w:rPr>
          <w:noProof/>
          <w:lang w:val="fr-FR"/>
        </w:rPr>
        <w:t xml:space="preserve">000 </w:t>
      </w:r>
      <w:r>
        <w:rPr>
          <w:noProof/>
          <w:lang w:val="fr-FR"/>
        </w:rPr>
        <w:t>e</w:t>
      </w:r>
      <w:r w:rsidR="001B2F58" w:rsidRPr="00DD03D6">
        <w:rPr>
          <w:noProof/>
          <w:lang w:val="fr-FR"/>
        </w:rPr>
        <w:t xml:space="preserve">n 2007 </w:t>
      </w:r>
      <w:r>
        <w:rPr>
          <w:noProof/>
          <w:lang w:val="fr-FR"/>
        </w:rPr>
        <w:t>à</w:t>
      </w:r>
      <w:r w:rsidR="001B2F58" w:rsidRPr="00DD03D6">
        <w:rPr>
          <w:noProof/>
          <w:lang w:val="fr-FR"/>
        </w:rPr>
        <w:t xml:space="preserve"> 3</w:t>
      </w:r>
      <w:r>
        <w:rPr>
          <w:noProof/>
          <w:lang w:val="fr-FR"/>
        </w:rPr>
        <w:t>,</w:t>
      </w:r>
      <w:r w:rsidR="001B2F58" w:rsidRPr="00DD03D6">
        <w:rPr>
          <w:noProof/>
          <w:lang w:val="fr-FR"/>
        </w:rPr>
        <w:t>4 p</w:t>
      </w:r>
      <w:r>
        <w:rPr>
          <w:noProof/>
          <w:lang w:val="fr-FR"/>
        </w:rPr>
        <w:t>ou</w:t>
      </w:r>
      <w:r w:rsidR="001B2F58" w:rsidRPr="00DD03D6">
        <w:rPr>
          <w:noProof/>
          <w:lang w:val="fr-FR"/>
        </w:rPr>
        <w:t>r 1</w:t>
      </w:r>
      <w:r w:rsidR="00751BD0">
        <w:rPr>
          <w:noProof/>
          <w:lang w:val="fr-FR"/>
        </w:rPr>
        <w:t> </w:t>
      </w:r>
      <w:r w:rsidR="001B2F58" w:rsidRPr="00DD03D6">
        <w:rPr>
          <w:noProof/>
          <w:lang w:val="fr-FR"/>
        </w:rPr>
        <w:t xml:space="preserve">000 </w:t>
      </w:r>
      <w:r>
        <w:rPr>
          <w:noProof/>
          <w:lang w:val="fr-FR"/>
        </w:rPr>
        <w:t>e</w:t>
      </w:r>
      <w:r w:rsidR="001B2F58" w:rsidRPr="00DD03D6">
        <w:rPr>
          <w:noProof/>
          <w:lang w:val="fr-FR"/>
        </w:rPr>
        <w:t xml:space="preserve">n 2011. </w:t>
      </w:r>
      <w:r>
        <w:rPr>
          <w:noProof/>
          <w:lang w:val="fr-FR"/>
        </w:rPr>
        <w:t xml:space="preserve">Dans l’étude </w:t>
      </w:r>
      <w:r>
        <w:rPr>
          <w:i/>
          <w:noProof/>
          <w:lang w:val="fr-FR"/>
        </w:rPr>
        <w:t>Grandir en Irlande</w:t>
      </w:r>
      <w:r>
        <w:rPr>
          <w:noProof/>
          <w:lang w:val="fr-FR"/>
        </w:rPr>
        <w:t xml:space="preserve">, </w:t>
      </w:r>
      <w:r w:rsidR="001B2F58" w:rsidRPr="00DD03D6">
        <w:rPr>
          <w:noProof/>
          <w:lang w:val="fr-FR"/>
        </w:rPr>
        <w:t>98</w:t>
      </w:r>
      <w:r w:rsidR="003F1ADB">
        <w:rPr>
          <w:noProof/>
          <w:lang w:val="fr-FR"/>
        </w:rPr>
        <w:t> %</w:t>
      </w:r>
      <w:r w:rsidR="001B2F58" w:rsidRPr="00DD03D6">
        <w:rPr>
          <w:noProof/>
          <w:lang w:val="fr-FR"/>
        </w:rPr>
        <w:t xml:space="preserve"> </w:t>
      </w:r>
      <w:r>
        <w:rPr>
          <w:noProof/>
          <w:lang w:val="fr-FR"/>
        </w:rPr>
        <w:t xml:space="preserve">des enfants âgés de </w:t>
      </w:r>
      <w:r w:rsidR="00751BD0">
        <w:rPr>
          <w:noProof/>
          <w:lang w:val="fr-FR"/>
        </w:rPr>
        <w:t>3 </w:t>
      </w:r>
      <w:r>
        <w:rPr>
          <w:noProof/>
          <w:lang w:val="fr-FR"/>
        </w:rPr>
        <w:t xml:space="preserve">ans ont été décrits par leur mère comme étant </w:t>
      </w:r>
      <w:r w:rsidR="003F36DD">
        <w:rPr>
          <w:noProof/>
          <w:lang w:val="fr-FR"/>
        </w:rPr>
        <w:t>« </w:t>
      </w:r>
      <w:r>
        <w:rPr>
          <w:noProof/>
          <w:lang w:val="fr-FR"/>
        </w:rPr>
        <w:t>en très bonne santé</w:t>
      </w:r>
      <w:r w:rsidR="003F36DD">
        <w:rPr>
          <w:noProof/>
          <w:lang w:val="fr-FR"/>
        </w:rPr>
        <w:t> »</w:t>
      </w:r>
      <w:r w:rsidR="005D7533" w:rsidRPr="00DD03D6">
        <w:rPr>
          <w:noProof/>
          <w:lang w:val="fr-FR"/>
        </w:rPr>
        <w:t xml:space="preserve"> o</w:t>
      </w:r>
      <w:r>
        <w:rPr>
          <w:noProof/>
          <w:lang w:val="fr-FR"/>
        </w:rPr>
        <w:t>u</w:t>
      </w:r>
      <w:r w:rsidR="005D7533" w:rsidRPr="00DD03D6">
        <w:rPr>
          <w:noProof/>
          <w:lang w:val="fr-FR"/>
        </w:rPr>
        <w:t xml:space="preserve"> </w:t>
      </w:r>
      <w:r w:rsidR="003F36DD">
        <w:rPr>
          <w:noProof/>
          <w:lang w:val="fr-FR"/>
        </w:rPr>
        <w:t>« </w:t>
      </w:r>
      <w:r>
        <w:rPr>
          <w:noProof/>
          <w:lang w:val="fr-FR"/>
        </w:rPr>
        <w:t>en bonne santé</w:t>
      </w:r>
      <w:r w:rsidR="003F36DD">
        <w:rPr>
          <w:noProof/>
          <w:lang w:val="fr-FR"/>
        </w:rPr>
        <w:t> »</w:t>
      </w:r>
      <w:r w:rsidR="001B2F58" w:rsidRPr="00DD03D6">
        <w:rPr>
          <w:noProof/>
          <w:lang w:val="fr-FR"/>
        </w:rPr>
        <w:t xml:space="preserve"> </w:t>
      </w:r>
      <w:r>
        <w:rPr>
          <w:noProof/>
          <w:lang w:val="fr-FR"/>
        </w:rPr>
        <w:t>avec quelques problèmes de santé mineurs</w:t>
      </w:r>
      <w:r w:rsidR="001B2F58" w:rsidRPr="00DD03D6">
        <w:rPr>
          <w:noProof/>
          <w:lang w:val="fr-FR"/>
        </w:rPr>
        <w:t xml:space="preserve">. </w:t>
      </w:r>
      <w:r>
        <w:rPr>
          <w:noProof/>
          <w:lang w:val="fr-FR"/>
        </w:rPr>
        <w:t>Dans 2</w:t>
      </w:r>
      <w:r w:rsidR="003F1ADB">
        <w:rPr>
          <w:noProof/>
          <w:lang w:val="fr-FR"/>
        </w:rPr>
        <w:t> %</w:t>
      </w:r>
      <w:r>
        <w:rPr>
          <w:noProof/>
          <w:lang w:val="fr-FR"/>
        </w:rPr>
        <w:t xml:space="preserve"> des cas seulement, la mère a indiqué que son enfant était </w:t>
      </w:r>
      <w:r w:rsidR="003F36DD">
        <w:rPr>
          <w:noProof/>
          <w:lang w:val="fr-FR"/>
        </w:rPr>
        <w:t>« </w:t>
      </w:r>
      <w:r>
        <w:rPr>
          <w:noProof/>
          <w:lang w:val="fr-FR"/>
        </w:rPr>
        <w:t>parfois très malade</w:t>
      </w:r>
      <w:r w:rsidR="003F36DD">
        <w:rPr>
          <w:noProof/>
          <w:lang w:val="fr-FR"/>
        </w:rPr>
        <w:t> »</w:t>
      </w:r>
      <w:r>
        <w:rPr>
          <w:noProof/>
          <w:lang w:val="fr-FR"/>
        </w:rPr>
        <w:t xml:space="preserve"> et, dans </w:t>
      </w:r>
      <w:r w:rsidR="001B2F58" w:rsidRPr="00DD03D6">
        <w:rPr>
          <w:noProof/>
          <w:lang w:val="fr-FR"/>
        </w:rPr>
        <w:t>0</w:t>
      </w:r>
      <w:r>
        <w:rPr>
          <w:noProof/>
          <w:lang w:val="fr-FR"/>
        </w:rPr>
        <w:t>,</w:t>
      </w:r>
      <w:r w:rsidR="001B2F58" w:rsidRPr="00DD03D6">
        <w:rPr>
          <w:noProof/>
          <w:lang w:val="fr-FR"/>
        </w:rPr>
        <w:t>3</w:t>
      </w:r>
      <w:r w:rsidR="003F1ADB">
        <w:rPr>
          <w:noProof/>
          <w:lang w:val="fr-FR"/>
        </w:rPr>
        <w:t> %</w:t>
      </w:r>
      <w:r w:rsidR="001B2F58" w:rsidRPr="00DD03D6">
        <w:rPr>
          <w:noProof/>
          <w:lang w:val="fr-FR"/>
        </w:rPr>
        <w:t xml:space="preserve"> </w:t>
      </w:r>
      <w:r>
        <w:rPr>
          <w:noProof/>
          <w:lang w:val="fr-FR"/>
        </w:rPr>
        <w:t xml:space="preserve">des cas, </w:t>
      </w:r>
      <w:r w:rsidR="003F36DD">
        <w:rPr>
          <w:noProof/>
          <w:lang w:val="fr-FR"/>
        </w:rPr>
        <w:t>« </w:t>
      </w:r>
      <w:r>
        <w:rPr>
          <w:noProof/>
          <w:lang w:val="fr-FR"/>
        </w:rPr>
        <w:t>presque toujours souffrant</w:t>
      </w:r>
      <w:r w:rsidR="003F36DD">
        <w:rPr>
          <w:noProof/>
          <w:lang w:val="fr-FR"/>
        </w:rPr>
        <w:t> »</w:t>
      </w:r>
      <w:r w:rsidR="001B2F58" w:rsidRPr="00DD03D6">
        <w:rPr>
          <w:noProof/>
          <w:lang w:val="fr-FR"/>
        </w:rPr>
        <w:t xml:space="preserve">. </w:t>
      </w:r>
      <w:r>
        <w:rPr>
          <w:noProof/>
          <w:lang w:val="fr-FR"/>
        </w:rPr>
        <w:t xml:space="preserve">Des </w:t>
      </w:r>
      <w:r w:rsidR="001B2F58" w:rsidRPr="00DD03D6">
        <w:rPr>
          <w:noProof/>
          <w:lang w:val="fr-FR"/>
        </w:rPr>
        <w:t xml:space="preserve">proportions </w:t>
      </w:r>
      <w:r>
        <w:rPr>
          <w:noProof/>
          <w:lang w:val="fr-FR"/>
        </w:rPr>
        <w:t xml:space="preserve">analogues ont été signalées par les mères d’enfants âgés de </w:t>
      </w:r>
      <w:r w:rsidR="003F36DD">
        <w:rPr>
          <w:noProof/>
          <w:lang w:val="fr-FR"/>
        </w:rPr>
        <w:t>9 </w:t>
      </w:r>
      <w:r>
        <w:rPr>
          <w:noProof/>
          <w:lang w:val="fr-FR"/>
        </w:rPr>
        <w:t>ans dans toutes les catégories de réponses</w:t>
      </w:r>
      <w:r w:rsidR="001B2F58" w:rsidRPr="00DD03D6">
        <w:rPr>
          <w:noProof/>
          <w:lang w:val="fr-FR"/>
        </w:rPr>
        <w:t>.</w:t>
      </w:r>
    </w:p>
    <w:p w:rsidR="001B2F58" w:rsidRPr="00DD03D6" w:rsidRDefault="007B5070" w:rsidP="00B67BD3">
      <w:pPr>
        <w:pStyle w:val="SingleTxtG"/>
        <w:numPr>
          <w:ilvl w:val="0"/>
          <w:numId w:val="3"/>
        </w:numPr>
        <w:ind w:left="1134" w:firstLine="0"/>
        <w:rPr>
          <w:i/>
          <w:iCs/>
          <w:noProof/>
          <w:lang w:val="fr-FR"/>
        </w:rPr>
      </w:pPr>
      <w:r>
        <w:rPr>
          <w:noProof/>
          <w:lang w:val="fr-FR"/>
        </w:rPr>
        <w:t xml:space="preserve">Dans un peu moins de </w:t>
      </w:r>
      <w:r w:rsidR="001B2F58" w:rsidRPr="00DD03D6">
        <w:rPr>
          <w:noProof/>
          <w:lang w:val="fr-FR"/>
        </w:rPr>
        <w:t>16</w:t>
      </w:r>
      <w:r w:rsidR="003F1ADB">
        <w:rPr>
          <w:noProof/>
          <w:lang w:val="fr-FR"/>
        </w:rPr>
        <w:t> %</w:t>
      </w:r>
      <w:r w:rsidR="001B2F58" w:rsidRPr="00DD03D6">
        <w:rPr>
          <w:noProof/>
          <w:lang w:val="fr-FR"/>
        </w:rPr>
        <w:t xml:space="preserve"> </w:t>
      </w:r>
      <w:r>
        <w:rPr>
          <w:noProof/>
          <w:lang w:val="fr-FR"/>
        </w:rPr>
        <w:t>des cas d’enfants âgés de trois ans, l</w:t>
      </w:r>
      <w:r w:rsidR="00713BCD">
        <w:rPr>
          <w:noProof/>
          <w:lang w:val="fr-FR"/>
        </w:rPr>
        <w:t>a</w:t>
      </w:r>
      <w:r>
        <w:rPr>
          <w:noProof/>
          <w:lang w:val="fr-FR"/>
        </w:rPr>
        <w:t xml:space="preserve"> mère a indiqué que l’enfant était atteint d’une maladie de longue durée ou d’un handicap, l’asthme étant la maladie le plus couramment signalée; </w:t>
      </w:r>
      <w:r w:rsidR="001B2F58" w:rsidRPr="00DD03D6">
        <w:rPr>
          <w:noProof/>
          <w:lang w:val="fr-FR"/>
        </w:rPr>
        <w:t>5</w:t>
      </w:r>
      <w:r>
        <w:rPr>
          <w:noProof/>
          <w:lang w:val="fr-FR"/>
        </w:rPr>
        <w:t>,</w:t>
      </w:r>
      <w:r w:rsidR="001B2F58" w:rsidRPr="00DD03D6">
        <w:rPr>
          <w:noProof/>
          <w:lang w:val="fr-FR"/>
        </w:rPr>
        <w:t>8</w:t>
      </w:r>
      <w:r w:rsidR="003F1ADB">
        <w:rPr>
          <w:noProof/>
          <w:lang w:val="fr-FR"/>
        </w:rPr>
        <w:t> %</w:t>
      </w:r>
      <w:r w:rsidR="001B2F58" w:rsidRPr="00DD03D6">
        <w:rPr>
          <w:noProof/>
          <w:lang w:val="fr-FR"/>
        </w:rPr>
        <w:t xml:space="preserve"> </w:t>
      </w:r>
      <w:r>
        <w:rPr>
          <w:noProof/>
          <w:lang w:val="fr-FR"/>
        </w:rPr>
        <w:t>des enfants en sont atteints</w:t>
      </w:r>
      <w:r w:rsidR="001B2F58" w:rsidRPr="00DD03D6">
        <w:rPr>
          <w:noProof/>
          <w:lang w:val="fr-FR"/>
        </w:rPr>
        <w:t xml:space="preserve">. </w:t>
      </w:r>
      <w:r>
        <w:rPr>
          <w:noProof/>
          <w:lang w:val="fr-FR"/>
        </w:rPr>
        <w:t>Un peu plus d’un dixième</w:t>
      </w:r>
      <w:r w:rsidR="001B2F58" w:rsidRPr="00DD03D6">
        <w:rPr>
          <w:noProof/>
          <w:lang w:val="fr-FR"/>
        </w:rPr>
        <w:t xml:space="preserve"> (11</w:t>
      </w:r>
      <w:r w:rsidR="003F1ADB">
        <w:rPr>
          <w:noProof/>
          <w:lang w:val="fr-FR"/>
        </w:rPr>
        <w:t> %</w:t>
      </w:r>
      <w:r w:rsidR="001B2F58" w:rsidRPr="00DD03D6">
        <w:rPr>
          <w:noProof/>
          <w:lang w:val="fr-FR"/>
        </w:rPr>
        <w:t xml:space="preserve">) </w:t>
      </w:r>
      <w:r>
        <w:rPr>
          <w:noProof/>
          <w:lang w:val="fr-FR"/>
        </w:rPr>
        <w:t>des enfants âgés de neuf ans souffraient d’une maladie chronique</w:t>
      </w:r>
      <w:r w:rsidR="001B2F58" w:rsidRPr="00DD03D6">
        <w:rPr>
          <w:noProof/>
          <w:lang w:val="fr-FR"/>
        </w:rPr>
        <w:t xml:space="preserve">. </w:t>
      </w:r>
      <w:r>
        <w:rPr>
          <w:noProof/>
          <w:lang w:val="fr-FR"/>
        </w:rPr>
        <w:t xml:space="preserve">Les maladies le plus souvent signalées étaient les maladies respiratoires </w:t>
      </w:r>
      <w:r w:rsidR="001B2F58" w:rsidRPr="00DD03D6">
        <w:rPr>
          <w:noProof/>
          <w:lang w:val="fr-FR"/>
        </w:rPr>
        <w:t>(46</w:t>
      </w:r>
      <w:r w:rsidR="003F1ADB">
        <w:rPr>
          <w:noProof/>
          <w:lang w:val="fr-FR"/>
        </w:rPr>
        <w:t> %</w:t>
      </w:r>
      <w:r w:rsidR="001B2F58" w:rsidRPr="00DD03D6">
        <w:rPr>
          <w:noProof/>
          <w:lang w:val="fr-FR"/>
        </w:rPr>
        <w:t xml:space="preserve">) </w:t>
      </w:r>
      <w:r>
        <w:rPr>
          <w:noProof/>
          <w:lang w:val="fr-FR"/>
        </w:rPr>
        <w:t xml:space="preserve">et les troubles mentaux et comportementaux </w:t>
      </w:r>
      <w:r w:rsidR="001B2F58" w:rsidRPr="00DD03D6">
        <w:rPr>
          <w:noProof/>
          <w:lang w:val="fr-FR"/>
        </w:rPr>
        <w:t>(19</w:t>
      </w:r>
      <w:r w:rsidR="003F1ADB">
        <w:rPr>
          <w:noProof/>
          <w:lang w:val="fr-FR"/>
        </w:rPr>
        <w:t> %</w:t>
      </w:r>
      <w:r w:rsidR="001B2F58" w:rsidRPr="00DD03D6">
        <w:rPr>
          <w:noProof/>
          <w:lang w:val="fr-FR"/>
        </w:rPr>
        <w:t>).</w:t>
      </w:r>
    </w:p>
    <w:p w:rsidR="001B2F58" w:rsidRPr="00DD03D6" w:rsidRDefault="000A5661" w:rsidP="000A5661">
      <w:pPr>
        <w:pStyle w:val="H23G"/>
        <w:rPr>
          <w:noProof/>
          <w:lang w:val="fr-FR"/>
        </w:rPr>
      </w:pPr>
      <w:r w:rsidRPr="00DD03D6">
        <w:rPr>
          <w:noProof/>
          <w:lang w:val="fr-FR"/>
        </w:rPr>
        <w:tab/>
      </w:r>
      <w:r w:rsidRPr="00DD03D6">
        <w:rPr>
          <w:noProof/>
          <w:lang w:val="fr-FR"/>
        </w:rPr>
        <w:tab/>
      </w:r>
      <w:r w:rsidR="001B2F58" w:rsidRPr="00DD03D6">
        <w:rPr>
          <w:noProof/>
          <w:lang w:val="fr-FR"/>
        </w:rPr>
        <w:t>Ob</w:t>
      </w:r>
      <w:r w:rsidR="007B5070">
        <w:rPr>
          <w:noProof/>
          <w:lang w:val="fr-FR"/>
        </w:rPr>
        <w:t>é</w:t>
      </w:r>
      <w:r w:rsidR="001B2F58" w:rsidRPr="00DD03D6">
        <w:rPr>
          <w:noProof/>
          <w:lang w:val="fr-FR"/>
        </w:rPr>
        <w:t>sit</w:t>
      </w:r>
      <w:r w:rsidR="007B5070">
        <w:rPr>
          <w:noProof/>
          <w:lang w:val="fr-FR"/>
        </w:rPr>
        <w:t>é</w:t>
      </w:r>
    </w:p>
    <w:p w:rsidR="001B2F58" w:rsidRPr="00DD03D6" w:rsidRDefault="007B5070" w:rsidP="00B67BD3">
      <w:pPr>
        <w:pStyle w:val="SingleTxtG"/>
        <w:numPr>
          <w:ilvl w:val="0"/>
          <w:numId w:val="3"/>
        </w:numPr>
        <w:ind w:left="1134" w:firstLine="0"/>
        <w:rPr>
          <w:noProof/>
          <w:lang w:val="fr-FR"/>
        </w:rPr>
      </w:pPr>
      <w:r>
        <w:rPr>
          <w:noProof/>
          <w:lang w:val="fr-FR"/>
        </w:rPr>
        <w:t xml:space="preserve">L’étude </w:t>
      </w:r>
      <w:r>
        <w:rPr>
          <w:i/>
          <w:noProof/>
          <w:lang w:val="fr-FR"/>
        </w:rPr>
        <w:t>Grandir en Irlande</w:t>
      </w:r>
      <w:r w:rsidRPr="00DD03D6">
        <w:rPr>
          <w:noProof/>
          <w:lang w:val="fr-FR"/>
        </w:rPr>
        <w:t xml:space="preserve"> </w:t>
      </w:r>
      <w:r w:rsidR="0018494A">
        <w:rPr>
          <w:noProof/>
          <w:lang w:val="fr-FR"/>
        </w:rPr>
        <w:t xml:space="preserve">fournit également des </w:t>
      </w:r>
      <w:r w:rsidR="001B2F58" w:rsidRPr="00DD03D6">
        <w:rPr>
          <w:noProof/>
          <w:lang w:val="fr-FR"/>
        </w:rPr>
        <w:t>information</w:t>
      </w:r>
      <w:r w:rsidR="0018494A">
        <w:rPr>
          <w:noProof/>
          <w:lang w:val="fr-FR"/>
        </w:rPr>
        <w:t>s sur l’</w:t>
      </w:r>
      <w:r w:rsidR="001B2F58" w:rsidRPr="00DD03D6">
        <w:rPr>
          <w:noProof/>
          <w:lang w:val="fr-FR"/>
        </w:rPr>
        <w:t>ob</w:t>
      </w:r>
      <w:r w:rsidR="0018494A">
        <w:rPr>
          <w:noProof/>
          <w:lang w:val="fr-FR"/>
        </w:rPr>
        <w:t>é</w:t>
      </w:r>
      <w:r w:rsidR="001B2F58" w:rsidRPr="00DD03D6">
        <w:rPr>
          <w:noProof/>
          <w:lang w:val="fr-FR"/>
        </w:rPr>
        <w:t>sit</w:t>
      </w:r>
      <w:r w:rsidR="0018494A">
        <w:rPr>
          <w:noProof/>
          <w:lang w:val="fr-FR"/>
        </w:rPr>
        <w:t>é</w:t>
      </w:r>
      <w:r w:rsidR="0024448F">
        <w:rPr>
          <w:noProof/>
          <w:lang w:val="fr-FR"/>
        </w:rPr>
        <w:t xml:space="preserve"> parmi les enfants âgés de trois et neuf ans</w:t>
      </w:r>
      <w:r w:rsidR="001B2F58" w:rsidRPr="00DD03D6">
        <w:rPr>
          <w:noProof/>
          <w:lang w:val="fr-FR"/>
        </w:rPr>
        <w:t xml:space="preserve">. </w:t>
      </w:r>
      <w:r w:rsidR="0024448F">
        <w:rPr>
          <w:noProof/>
          <w:lang w:val="fr-FR"/>
        </w:rPr>
        <w:t>Elle a constaté que près d’un cinquième</w:t>
      </w:r>
      <w:r w:rsidR="001B2F58" w:rsidRPr="00DD03D6">
        <w:rPr>
          <w:noProof/>
          <w:lang w:val="fr-FR"/>
        </w:rPr>
        <w:t xml:space="preserve"> (19</w:t>
      </w:r>
      <w:r w:rsidR="003F1ADB">
        <w:rPr>
          <w:noProof/>
          <w:lang w:val="fr-FR"/>
        </w:rPr>
        <w:t> %</w:t>
      </w:r>
      <w:r w:rsidR="001B2F58" w:rsidRPr="00DD03D6">
        <w:rPr>
          <w:noProof/>
          <w:lang w:val="fr-FR"/>
        </w:rPr>
        <w:t xml:space="preserve">) </w:t>
      </w:r>
      <w:r w:rsidR="0024448F">
        <w:rPr>
          <w:noProof/>
          <w:lang w:val="fr-FR"/>
        </w:rPr>
        <w:t>de ces deux catégories d’enfants étaient en surcharge pondérale et que</w:t>
      </w:r>
      <w:r w:rsidR="001B2F58" w:rsidRPr="00DD03D6">
        <w:rPr>
          <w:noProof/>
          <w:lang w:val="fr-FR"/>
        </w:rPr>
        <w:t xml:space="preserve"> 6</w:t>
      </w:r>
      <w:r w:rsidR="003F1ADB">
        <w:rPr>
          <w:noProof/>
          <w:lang w:val="fr-FR"/>
        </w:rPr>
        <w:t> %</w:t>
      </w:r>
      <w:r w:rsidR="001B2F58" w:rsidRPr="00DD03D6">
        <w:rPr>
          <w:noProof/>
          <w:lang w:val="fr-FR"/>
        </w:rPr>
        <w:t xml:space="preserve"> </w:t>
      </w:r>
      <w:r w:rsidR="0024448F">
        <w:rPr>
          <w:noProof/>
          <w:lang w:val="fr-FR"/>
        </w:rPr>
        <w:t xml:space="preserve">des enfants âgés de </w:t>
      </w:r>
      <w:r w:rsidR="00751BD0">
        <w:rPr>
          <w:noProof/>
          <w:lang w:val="fr-FR"/>
        </w:rPr>
        <w:t>3 </w:t>
      </w:r>
      <w:r w:rsidR="0024448F">
        <w:rPr>
          <w:noProof/>
          <w:lang w:val="fr-FR"/>
        </w:rPr>
        <w:t>ans et</w:t>
      </w:r>
      <w:r w:rsidR="001B2F58" w:rsidRPr="00DD03D6">
        <w:rPr>
          <w:noProof/>
          <w:lang w:val="fr-FR"/>
        </w:rPr>
        <w:t xml:space="preserve"> 7</w:t>
      </w:r>
      <w:r w:rsidR="003F1ADB">
        <w:rPr>
          <w:noProof/>
          <w:lang w:val="fr-FR"/>
        </w:rPr>
        <w:t> %</w:t>
      </w:r>
      <w:r w:rsidR="001B2F58" w:rsidRPr="00DD03D6">
        <w:rPr>
          <w:noProof/>
          <w:lang w:val="fr-FR"/>
        </w:rPr>
        <w:t xml:space="preserve"> </w:t>
      </w:r>
      <w:r w:rsidR="0024448F">
        <w:rPr>
          <w:noProof/>
          <w:lang w:val="fr-FR"/>
        </w:rPr>
        <w:t xml:space="preserve">des enfants âgés de </w:t>
      </w:r>
      <w:r w:rsidR="00751BD0">
        <w:rPr>
          <w:noProof/>
          <w:lang w:val="fr-FR"/>
        </w:rPr>
        <w:t>9 </w:t>
      </w:r>
      <w:r w:rsidR="0024448F">
        <w:rPr>
          <w:noProof/>
          <w:lang w:val="fr-FR"/>
        </w:rPr>
        <w:t>ans étaient obèses</w:t>
      </w:r>
      <w:r w:rsidR="001B2F58" w:rsidRPr="00DD03D6">
        <w:rPr>
          <w:noProof/>
          <w:lang w:val="fr-FR"/>
        </w:rPr>
        <w:t>.</w:t>
      </w:r>
    </w:p>
    <w:p w:rsidR="001B2F58" w:rsidRPr="00DD03D6" w:rsidRDefault="0024448F" w:rsidP="000C2F13">
      <w:pPr>
        <w:pStyle w:val="SingleTxtG"/>
        <w:numPr>
          <w:ilvl w:val="0"/>
          <w:numId w:val="3"/>
        </w:numPr>
        <w:ind w:left="1134" w:firstLine="0"/>
        <w:rPr>
          <w:noProof/>
          <w:lang w:val="fr-FR"/>
        </w:rPr>
      </w:pPr>
      <w:r>
        <w:rPr>
          <w:iCs/>
          <w:noProof/>
          <w:lang w:val="fr-FR"/>
        </w:rPr>
        <w:t xml:space="preserve">Publié en 2005, le rapport intitulé </w:t>
      </w:r>
      <w:r>
        <w:rPr>
          <w:i/>
          <w:iCs/>
          <w:noProof/>
          <w:lang w:val="fr-FR"/>
        </w:rPr>
        <w:t>L’obésité</w:t>
      </w:r>
      <w:r w:rsidR="00751BD0">
        <w:rPr>
          <w:i/>
          <w:iCs/>
          <w:noProof/>
          <w:lang w:val="fr-FR"/>
        </w:rPr>
        <w:t xml:space="preserve"> </w:t>
      </w:r>
      <w:r>
        <w:rPr>
          <w:i/>
          <w:iCs/>
          <w:noProof/>
          <w:lang w:val="fr-FR"/>
        </w:rPr>
        <w:t xml:space="preserve">– Le défi à relever : Rapport de l’Équipe spéciale nationale sur l’obésité </w:t>
      </w:r>
      <w:r>
        <w:rPr>
          <w:iCs/>
          <w:noProof/>
          <w:lang w:val="fr-FR"/>
        </w:rPr>
        <w:t>(</w:t>
      </w:r>
      <w:r w:rsidR="001B2F58" w:rsidRPr="00DD03D6">
        <w:rPr>
          <w:i/>
          <w:iCs/>
          <w:noProof/>
          <w:lang w:val="fr-FR"/>
        </w:rPr>
        <w:t>Obesity – The Policy Challenges: The Report of the National Task Force on Obesity</w:t>
      </w:r>
      <w:r>
        <w:rPr>
          <w:noProof/>
          <w:lang w:val="fr-FR"/>
        </w:rPr>
        <w:t>) a jugé nécessaire de s’attaquer à l’</w:t>
      </w:r>
      <w:r w:rsidR="008E6F9F">
        <w:rPr>
          <w:noProof/>
          <w:lang w:val="fr-FR"/>
        </w:rPr>
        <w:t>obésité che</w:t>
      </w:r>
      <w:r>
        <w:rPr>
          <w:noProof/>
          <w:lang w:val="fr-FR"/>
        </w:rPr>
        <w:t>z les enfants</w:t>
      </w:r>
      <w:r w:rsidR="001B2F58" w:rsidRPr="00DD03D6">
        <w:rPr>
          <w:noProof/>
          <w:lang w:val="fr-FR"/>
        </w:rPr>
        <w:t xml:space="preserve">. </w:t>
      </w:r>
      <w:r>
        <w:rPr>
          <w:noProof/>
          <w:lang w:val="fr-FR"/>
        </w:rPr>
        <w:t>E</w:t>
      </w:r>
      <w:r w:rsidR="001B2F58" w:rsidRPr="00DD03D6">
        <w:rPr>
          <w:noProof/>
          <w:lang w:val="fr-FR"/>
        </w:rPr>
        <w:t xml:space="preserve">n 2008, </w:t>
      </w:r>
      <w:r>
        <w:rPr>
          <w:noProof/>
          <w:lang w:val="fr-FR"/>
        </w:rPr>
        <w:t>la Direction des services de santé a présenté le Cadre d’</w:t>
      </w:r>
      <w:r w:rsidR="00E01E84">
        <w:rPr>
          <w:noProof/>
          <w:lang w:val="fr-FR"/>
        </w:rPr>
        <w:t>interventio</w:t>
      </w:r>
      <w:r>
        <w:rPr>
          <w:noProof/>
          <w:lang w:val="fr-FR"/>
        </w:rPr>
        <w:t>n contre l’o</w:t>
      </w:r>
      <w:r w:rsidR="001B2F58" w:rsidRPr="00DD03D6">
        <w:rPr>
          <w:noProof/>
          <w:lang w:val="fr-FR"/>
        </w:rPr>
        <w:t>b</w:t>
      </w:r>
      <w:r>
        <w:rPr>
          <w:noProof/>
          <w:lang w:val="fr-FR"/>
        </w:rPr>
        <w:t>é</w:t>
      </w:r>
      <w:r w:rsidR="001B2F58" w:rsidRPr="00DD03D6">
        <w:rPr>
          <w:noProof/>
          <w:lang w:val="fr-FR"/>
        </w:rPr>
        <w:t>sit</w:t>
      </w:r>
      <w:r>
        <w:rPr>
          <w:noProof/>
          <w:lang w:val="fr-FR"/>
        </w:rPr>
        <w:t>é pour</w:t>
      </w:r>
      <w:r w:rsidR="001B2F58" w:rsidRPr="00DD03D6">
        <w:rPr>
          <w:noProof/>
          <w:lang w:val="fr-FR"/>
        </w:rPr>
        <w:t xml:space="preserve"> 2008-2012, </w:t>
      </w:r>
      <w:r w:rsidR="008E6F9F">
        <w:rPr>
          <w:noProof/>
          <w:lang w:val="fr-FR"/>
        </w:rPr>
        <w:t>qui énonce les cinq priorités stratégiques ci-après, étayées chacune par une s</w:t>
      </w:r>
      <w:r w:rsidR="00751BD0">
        <w:rPr>
          <w:noProof/>
          <w:lang w:val="fr-FR"/>
        </w:rPr>
        <w:t>érie de mesures spécifiques </w:t>
      </w:r>
      <w:r w:rsidR="001B2F58" w:rsidRPr="00DD03D6">
        <w:rPr>
          <w:noProof/>
          <w:lang w:val="fr-FR"/>
        </w:rPr>
        <w:t>:</w:t>
      </w:r>
    </w:p>
    <w:p w:rsidR="001B2F58" w:rsidRPr="00DD03D6" w:rsidRDefault="008E6F9F" w:rsidP="00751BD0">
      <w:pPr>
        <w:pStyle w:val="Bullet1G"/>
        <w:tabs>
          <w:tab w:val="clear" w:pos="1701"/>
          <w:tab w:val="left" w:pos="1843"/>
          <w:tab w:val="left" w:pos="6237"/>
        </w:tabs>
        <w:ind w:left="1843" w:hanging="142"/>
        <w:rPr>
          <w:noProof/>
          <w:lang w:val="fr-FR"/>
        </w:rPr>
      </w:pPr>
      <w:r>
        <w:rPr>
          <w:noProof/>
          <w:lang w:val="fr-FR"/>
        </w:rPr>
        <w:t xml:space="preserve">Améliorer l’efficacité de la </w:t>
      </w:r>
      <w:r w:rsidR="001B2F58" w:rsidRPr="00DD03D6">
        <w:rPr>
          <w:noProof/>
          <w:lang w:val="fr-FR"/>
        </w:rPr>
        <w:t xml:space="preserve">surveillance, </w:t>
      </w:r>
      <w:r>
        <w:rPr>
          <w:noProof/>
          <w:lang w:val="fr-FR"/>
        </w:rPr>
        <w:t>de la recherche, du suivi et de l’évaluation de l’obé</w:t>
      </w:r>
      <w:r w:rsidR="001B2F58" w:rsidRPr="00DD03D6">
        <w:rPr>
          <w:noProof/>
          <w:lang w:val="fr-FR"/>
        </w:rPr>
        <w:t>sit</w:t>
      </w:r>
      <w:r>
        <w:rPr>
          <w:noProof/>
          <w:lang w:val="fr-FR"/>
        </w:rPr>
        <w:t>é</w:t>
      </w:r>
      <w:r w:rsidR="001B2F58" w:rsidRPr="00DD03D6">
        <w:rPr>
          <w:noProof/>
          <w:lang w:val="fr-FR"/>
        </w:rPr>
        <w:t>;</w:t>
      </w:r>
    </w:p>
    <w:p w:rsidR="001B2F58" w:rsidRPr="00DD03D6" w:rsidRDefault="008E6F9F" w:rsidP="00751BD0">
      <w:pPr>
        <w:pStyle w:val="Bullet1G"/>
        <w:tabs>
          <w:tab w:val="clear" w:pos="1701"/>
          <w:tab w:val="left" w:pos="1843"/>
          <w:tab w:val="left" w:pos="6237"/>
        </w:tabs>
        <w:ind w:left="1843" w:hanging="142"/>
        <w:rPr>
          <w:noProof/>
          <w:lang w:val="fr-FR"/>
        </w:rPr>
      </w:pPr>
      <w:r>
        <w:rPr>
          <w:noProof/>
          <w:lang w:val="fr-FR"/>
        </w:rPr>
        <w:t>Adopter une bonne approche uniforme de la détection et du traitement de l’</w:t>
      </w:r>
      <w:r w:rsidR="001B2F58" w:rsidRPr="00DD03D6">
        <w:rPr>
          <w:noProof/>
          <w:lang w:val="fr-FR"/>
        </w:rPr>
        <w:t>ob</w:t>
      </w:r>
      <w:r>
        <w:rPr>
          <w:noProof/>
          <w:lang w:val="fr-FR"/>
        </w:rPr>
        <w:t>é</w:t>
      </w:r>
      <w:r w:rsidR="001B2F58" w:rsidRPr="00DD03D6">
        <w:rPr>
          <w:noProof/>
          <w:lang w:val="fr-FR"/>
        </w:rPr>
        <w:t>sit</w:t>
      </w:r>
      <w:r>
        <w:rPr>
          <w:noProof/>
          <w:lang w:val="fr-FR"/>
        </w:rPr>
        <w:t>é</w:t>
      </w:r>
      <w:r w:rsidR="001B2F58" w:rsidRPr="00DD03D6">
        <w:rPr>
          <w:noProof/>
          <w:lang w:val="fr-FR"/>
        </w:rPr>
        <w:t>;</w:t>
      </w:r>
    </w:p>
    <w:p w:rsidR="001B2F58" w:rsidRPr="00DD03D6" w:rsidRDefault="008E6F9F" w:rsidP="00751BD0">
      <w:pPr>
        <w:pStyle w:val="Bullet1G"/>
        <w:tabs>
          <w:tab w:val="clear" w:pos="1701"/>
          <w:tab w:val="left" w:pos="1843"/>
          <w:tab w:val="left" w:pos="6237"/>
        </w:tabs>
        <w:ind w:left="1843" w:hanging="142"/>
        <w:rPr>
          <w:noProof/>
          <w:lang w:val="fr-FR"/>
        </w:rPr>
      </w:pPr>
      <w:r>
        <w:rPr>
          <w:noProof/>
          <w:lang w:val="fr-FR"/>
        </w:rPr>
        <w:t>Mettre en place des moyens de prévenir la surcharge pondérale et l’</w:t>
      </w:r>
      <w:r w:rsidR="001B2F58" w:rsidRPr="00DD03D6">
        <w:rPr>
          <w:noProof/>
          <w:lang w:val="fr-FR"/>
        </w:rPr>
        <w:t>ob</w:t>
      </w:r>
      <w:r>
        <w:rPr>
          <w:noProof/>
          <w:lang w:val="fr-FR"/>
        </w:rPr>
        <w:t>é</w:t>
      </w:r>
      <w:r w:rsidR="001B2F58" w:rsidRPr="00DD03D6">
        <w:rPr>
          <w:noProof/>
          <w:lang w:val="fr-FR"/>
        </w:rPr>
        <w:t>sit</w:t>
      </w:r>
      <w:r>
        <w:rPr>
          <w:noProof/>
          <w:lang w:val="fr-FR"/>
        </w:rPr>
        <w:t>é et de promouvoir la santé</w:t>
      </w:r>
      <w:r w:rsidR="001B2F58" w:rsidRPr="00DD03D6">
        <w:rPr>
          <w:noProof/>
          <w:lang w:val="fr-FR"/>
        </w:rPr>
        <w:t>;</w:t>
      </w:r>
    </w:p>
    <w:p w:rsidR="001B2F58" w:rsidRPr="00DD03D6" w:rsidRDefault="008E6F9F" w:rsidP="00751BD0">
      <w:pPr>
        <w:pStyle w:val="Bullet1G"/>
        <w:tabs>
          <w:tab w:val="clear" w:pos="1701"/>
          <w:tab w:val="left" w:pos="1843"/>
          <w:tab w:val="left" w:pos="6237"/>
        </w:tabs>
        <w:ind w:left="1843" w:hanging="142"/>
        <w:rPr>
          <w:noProof/>
          <w:lang w:val="fr-FR"/>
        </w:rPr>
      </w:pPr>
      <w:r>
        <w:rPr>
          <w:noProof/>
          <w:lang w:val="fr-FR"/>
        </w:rPr>
        <w:lastRenderedPageBreak/>
        <w:t>Diffuser d’une manière efficace des messages concernant l’obé</w:t>
      </w:r>
      <w:r w:rsidR="001B2F58" w:rsidRPr="00DD03D6">
        <w:rPr>
          <w:noProof/>
          <w:lang w:val="fr-FR"/>
        </w:rPr>
        <w:t>sit</w:t>
      </w:r>
      <w:r>
        <w:rPr>
          <w:noProof/>
          <w:lang w:val="fr-FR"/>
        </w:rPr>
        <w:t>é</w:t>
      </w:r>
      <w:r w:rsidR="001B2F58" w:rsidRPr="00DD03D6">
        <w:rPr>
          <w:noProof/>
          <w:lang w:val="fr-FR"/>
        </w:rPr>
        <w:t>;</w:t>
      </w:r>
    </w:p>
    <w:p w:rsidR="001B2F58" w:rsidRPr="00DD03D6" w:rsidRDefault="008E6F9F" w:rsidP="00751BD0">
      <w:pPr>
        <w:pStyle w:val="Bullet1G"/>
        <w:tabs>
          <w:tab w:val="clear" w:pos="1701"/>
          <w:tab w:val="left" w:pos="1843"/>
          <w:tab w:val="left" w:pos="6237"/>
        </w:tabs>
        <w:ind w:left="1843" w:hanging="142"/>
        <w:rPr>
          <w:noProof/>
          <w:lang w:val="fr-FR"/>
        </w:rPr>
      </w:pPr>
      <w:r>
        <w:rPr>
          <w:noProof/>
          <w:lang w:val="fr-FR"/>
        </w:rPr>
        <w:t xml:space="preserve">Mobiliser les autres secteurs </w:t>
      </w:r>
      <w:r w:rsidR="00E01E84">
        <w:rPr>
          <w:noProof/>
          <w:lang w:val="fr-FR"/>
        </w:rPr>
        <w:t xml:space="preserve">dans le but de </w:t>
      </w:r>
      <w:r>
        <w:rPr>
          <w:noProof/>
          <w:lang w:val="fr-FR"/>
        </w:rPr>
        <w:t>s’attaquer aux causes de l’obésité et</w:t>
      </w:r>
      <w:r w:rsidR="00E01E84">
        <w:rPr>
          <w:noProof/>
          <w:lang w:val="fr-FR"/>
        </w:rPr>
        <w:t xml:space="preserve"> de modifier l’environnement favorable à l’obésité, et </w:t>
      </w:r>
      <w:r>
        <w:rPr>
          <w:noProof/>
          <w:lang w:val="fr-FR"/>
        </w:rPr>
        <w:t xml:space="preserve">appuyer les activités </w:t>
      </w:r>
      <w:r w:rsidR="00E01E84">
        <w:rPr>
          <w:noProof/>
          <w:lang w:val="fr-FR"/>
        </w:rPr>
        <w:t>de ces secteurs</w:t>
      </w:r>
      <w:r w:rsidR="001B2F58" w:rsidRPr="00DD03D6">
        <w:rPr>
          <w:noProof/>
          <w:lang w:val="fr-FR"/>
        </w:rPr>
        <w:t>.</w:t>
      </w:r>
    </w:p>
    <w:p w:rsidR="001B2F58" w:rsidRPr="00DD03D6" w:rsidRDefault="00E01E84" w:rsidP="00B67BD3">
      <w:pPr>
        <w:pStyle w:val="SingleTxtG"/>
        <w:numPr>
          <w:ilvl w:val="0"/>
          <w:numId w:val="3"/>
        </w:numPr>
        <w:ind w:left="1134" w:firstLine="0"/>
        <w:rPr>
          <w:i/>
          <w:iCs/>
          <w:noProof/>
          <w:lang w:val="fr-FR"/>
        </w:rPr>
      </w:pPr>
      <w:r>
        <w:rPr>
          <w:noProof/>
          <w:lang w:val="fr-FR"/>
        </w:rPr>
        <w:t>Le Cadre d’intervention était assorti d’un plan de mise en œuvre détaillé qui présentait un certain nombre de mesures visant expressément à lutter contre l’obésité chez les enfants</w:t>
      </w:r>
      <w:r w:rsidR="001B2F58" w:rsidRPr="00DD03D6">
        <w:rPr>
          <w:noProof/>
          <w:lang w:val="fr-FR"/>
        </w:rPr>
        <w:t>.</w:t>
      </w:r>
    </w:p>
    <w:p w:rsidR="001B2F58" w:rsidRPr="00DD03D6" w:rsidRDefault="00E01E84" w:rsidP="00B67BD3">
      <w:pPr>
        <w:pStyle w:val="SingleTxtG"/>
        <w:numPr>
          <w:ilvl w:val="0"/>
          <w:numId w:val="3"/>
        </w:numPr>
        <w:ind w:left="1134" w:firstLine="0"/>
        <w:rPr>
          <w:i/>
          <w:iCs/>
          <w:noProof/>
          <w:lang w:val="fr-FR"/>
        </w:rPr>
      </w:pPr>
      <w:r>
        <w:rPr>
          <w:noProof/>
          <w:lang w:val="fr-FR"/>
        </w:rPr>
        <w:t>E</w:t>
      </w:r>
      <w:r w:rsidR="001B2F58" w:rsidRPr="00DD03D6">
        <w:rPr>
          <w:noProof/>
          <w:lang w:val="fr-FR"/>
        </w:rPr>
        <w:t xml:space="preserve">n 2011, </w:t>
      </w:r>
      <w:r w:rsidR="00D83724">
        <w:rPr>
          <w:noProof/>
          <w:lang w:val="fr-FR"/>
        </w:rPr>
        <w:t>le Minist</w:t>
      </w:r>
      <w:r w:rsidR="001B2F58" w:rsidRPr="00DD03D6">
        <w:rPr>
          <w:noProof/>
          <w:lang w:val="fr-FR"/>
        </w:rPr>
        <w:t>r</w:t>
      </w:r>
      <w:r w:rsidR="00D83724">
        <w:rPr>
          <w:noProof/>
          <w:lang w:val="fr-FR"/>
        </w:rPr>
        <w:t>e de la santé a créé un Groupe spécial de lutte contre l’obésité</w:t>
      </w:r>
      <w:r w:rsidR="001B2F58" w:rsidRPr="00DD03D6">
        <w:rPr>
          <w:noProof/>
          <w:lang w:val="fr-FR"/>
        </w:rPr>
        <w:t xml:space="preserve">, </w:t>
      </w:r>
      <w:r w:rsidR="00D83724">
        <w:rPr>
          <w:noProof/>
          <w:lang w:val="fr-FR"/>
        </w:rPr>
        <w:t xml:space="preserve">composé de représentants du Ministère de l’enfance et de la jeunesse, </w:t>
      </w:r>
      <w:r w:rsidR="00F62BF2">
        <w:rPr>
          <w:noProof/>
          <w:lang w:val="fr-FR"/>
        </w:rPr>
        <w:t xml:space="preserve">du Ministère de l’éducation et de la formation, de la Direction des services de santé, de l’Agence nationale de sécurité des aliments, et de </w:t>
      </w:r>
      <w:r w:rsidR="001B2F58" w:rsidRPr="00DD03D6">
        <w:rPr>
          <w:noProof/>
          <w:lang w:val="fr-FR"/>
        </w:rPr>
        <w:t>Safefood (</w:t>
      </w:r>
      <w:r w:rsidR="00F62BF2">
        <w:rPr>
          <w:noProof/>
          <w:lang w:val="fr-FR"/>
        </w:rPr>
        <w:t xml:space="preserve">le </w:t>
      </w:r>
      <w:r w:rsidR="00F62BF2">
        <w:rPr>
          <w:snapToGrid w:val="0"/>
          <w:lang w:val="fr-FR"/>
        </w:rPr>
        <w:t>Conseil national de promotion de l’innocuité des aliments</w:t>
      </w:r>
      <w:r w:rsidR="001B2F58" w:rsidRPr="00DD03D6">
        <w:rPr>
          <w:noProof/>
          <w:lang w:val="fr-FR"/>
        </w:rPr>
        <w:t xml:space="preserve">). </w:t>
      </w:r>
      <w:r w:rsidR="00F62BF2">
        <w:rPr>
          <w:noProof/>
          <w:lang w:val="fr-FR"/>
        </w:rPr>
        <w:t>Ce Groupe spécial privilégie certaines mesures spécifiques, parmi lesquelles les Directives concernant une alimentation saine pour la population irlandaise</w:t>
      </w:r>
      <w:r w:rsidR="001B2F58" w:rsidRPr="00DD03D6">
        <w:rPr>
          <w:noProof/>
          <w:lang w:val="fr-FR"/>
        </w:rPr>
        <w:t xml:space="preserve">, </w:t>
      </w:r>
      <w:r w:rsidR="00F62BF2">
        <w:rPr>
          <w:noProof/>
          <w:lang w:val="fr-FR"/>
        </w:rPr>
        <w:t xml:space="preserve">la limitation de la </w:t>
      </w:r>
      <w:r w:rsidR="00F725B1">
        <w:rPr>
          <w:noProof/>
          <w:lang w:val="fr-FR"/>
        </w:rPr>
        <w:t>vente aux enfants d’</w:t>
      </w:r>
      <w:r w:rsidR="00F62BF2">
        <w:rPr>
          <w:noProof/>
          <w:lang w:val="fr-FR"/>
        </w:rPr>
        <w:t xml:space="preserve">aliments et </w:t>
      </w:r>
      <w:r w:rsidR="00F725B1">
        <w:rPr>
          <w:noProof/>
          <w:lang w:val="fr-FR"/>
        </w:rPr>
        <w:t xml:space="preserve">de </w:t>
      </w:r>
      <w:r w:rsidR="00F62BF2">
        <w:rPr>
          <w:noProof/>
          <w:lang w:val="fr-FR"/>
        </w:rPr>
        <w:t xml:space="preserve">boissons riches en </w:t>
      </w:r>
      <w:r w:rsidR="00F725B1">
        <w:rPr>
          <w:noProof/>
          <w:lang w:val="fr-FR"/>
        </w:rPr>
        <w:t>graisses, sucre ou sel</w:t>
      </w:r>
      <w:r w:rsidR="001B2F58" w:rsidRPr="00DD03D6">
        <w:rPr>
          <w:noProof/>
          <w:lang w:val="fr-FR"/>
        </w:rPr>
        <w:t xml:space="preserve">, </w:t>
      </w:r>
      <w:r w:rsidR="00F725B1">
        <w:rPr>
          <w:noProof/>
          <w:lang w:val="fr-FR"/>
        </w:rPr>
        <w:t xml:space="preserve">l’étiquetage </w:t>
      </w:r>
      <w:r w:rsidR="001B2F58" w:rsidRPr="00DD03D6">
        <w:rPr>
          <w:noProof/>
          <w:lang w:val="fr-FR"/>
        </w:rPr>
        <w:t>nutrition</w:t>
      </w:r>
      <w:r w:rsidR="00F725B1">
        <w:rPr>
          <w:noProof/>
          <w:lang w:val="fr-FR"/>
        </w:rPr>
        <w:t>nel</w:t>
      </w:r>
      <w:r w:rsidR="001B2F58" w:rsidRPr="00DD03D6">
        <w:rPr>
          <w:noProof/>
          <w:lang w:val="fr-FR"/>
        </w:rPr>
        <w:t xml:space="preserve">, </w:t>
      </w:r>
      <w:r w:rsidR="00F725B1">
        <w:rPr>
          <w:noProof/>
          <w:lang w:val="fr-FR"/>
        </w:rPr>
        <w:t xml:space="preserve">la mention du nombre de </w:t>
      </w:r>
      <w:r w:rsidR="001B2F58" w:rsidRPr="00DD03D6">
        <w:rPr>
          <w:noProof/>
          <w:lang w:val="fr-FR"/>
        </w:rPr>
        <w:t>calorie</w:t>
      </w:r>
      <w:r w:rsidR="00F725B1">
        <w:rPr>
          <w:noProof/>
          <w:lang w:val="fr-FR"/>
        </w:rPr>
        <w:t>s</w:t>
      </w:r>
      <w:r w:rsidR="001B2F58" w:rsidRPr="00DD03D6">
        <w:rPr>
          <w:noProof/>
          <w:lang w:val="fr-FR"/>
        </w:rPr>
        <w:t xml:space="preserve"> </w:t>
      </w:r>
      <w:r w:rsidR="00F725B1">
        <w:rPr>
          <w:noProof/>
          <w:lang w:val="fr-FR"/>
        </w:rPr>
        <w:t xml:space="preserve">sur les menus des </w:t>
      </w:r>
      <w:r w:rsidR="001B2F58" w:rsidRPr="00DD03D6">
        <w:rPr>
          <w:noProof/>
          <w:lang w:val="fr-FR"/>
        </w:rPr>
        <w:t>restaurant</w:t>
      </w:r>
      <w:r w:rsidR="00F725B1">
        <w:rPr>
          <w:noProof/>
          <w:lang w:val="fr-FR"/>
        </w:rPr>
        <w:t>s</w:t>
      </w:r>
      <w:r w:rsidR="001B2F58" w:rsidRPr="00DD03D6">
        <w:rPr>
          <w:noProof/>
          <w:lang w:val="fr-FR"/>
        </w:rPr>
        <w:t xml:space="preserve">, </w:t>
      </w:r>
      <w:r w:rsidR="00F725B1">
        <w:rPr>
          <w:noProof/>
          <w:lang w:val="fr-FR"/>
        </w:rPr>
        <w:t xml:space="preserve">la </w:t>
      </w:r>
      <w:r w:rsidR="001B2F58" w:rsidRPr="00DD03D6">
        <w:rPr>
          <w:noProof/>
          <w:lang w:val="fr-FR"/>
        </w:rPr>
        <w:t xml:space="preserve">promotion </w:t>
      </w:r>
      <w:r w:rsidR="00F725B1">
        <w:rPr>
          <w:noProof/>
          <w:lang w:val="fr-FR"/>
        </w:rPr>
        <w:t xml:space="preserve">de l’activité physique et la </w:t>
      </w:r>
      <w:r w:rsidR="001B2F58" w:rsidRPr="00DD03D6">
        <w:rPr>
          <w:noProof/>
          <w:lang w:val="fr-FR"/>
        </w:rPr>
        <w:t>d</w:t>
      </w:r>
      <w:r w:rsidR="00F725B1">
        <w:rPr>
          <w:noProof/>
          <w:lang w:val="fr-FR"/>
        </w:rPr>
        <w:t>é</w:t>
      </w:r>
      <w:r w:rsidR="001B2F58" w:rsidRPr="00DD03D6">
        <w:rPr>
          <w:noProof/>
          <w:lang w:val="fr-FR"/>
        </w:rPr>
        <w:t xml:space="preserve">tection </w:t>
      </w:r>
      <w:r w:rsidR="00F725B1">
        <w:rPr>
          <w:noProof/>
          <w:lang w:val="fr-FR"/>
        </w:rPr>
        <w:t>et le traitement de l’</w:t>
      </w:r>
      <w:r w:rsidR="001B2F58" w:rsidRPr="00DD03D6">
        <w:rPr>
          <w:noProof/>
          <w:lang w:val="fr-FR"/>
        </w:rPr>
        <w:t>ob</w:t>
      </w:r>
      <w:r w:rsidR="00F725B1">
        <w:rPr>
          <w:noProof/>
          <w:lang w:val="fr-FR"/>
        </w:rPr>
        <w:t>é</w:t>
      </w:r>
      <w:r w:rsidR="001B2F58" w:rsidRPr="00DD03D6">
        <w:rPr>
          <w:noProof/>
          <w:lang w:val="fr-FR"/>
        </w:rPr>
        <w:t>sit</w:t>
      </w:r>
      <w:r w:rsidR="00F725B1">
        <w:rPr>
          <w:noProof/>
          <w:lang w:val="fr-FR"/>
        </w:rPr>
        <w:t>é</w:t>
      </w:r>
      <w:r w:rsidR="001B2F58" w:rsidRPr="00DD03D6">
        <w:rPr>
          <w:noProof/>
          <w:lang w:val="fr-FR"/>
        </w:rPr>
        <w:t>.</w:t>
      </w:r>
    </w:p>
    <w:p w:rsidR="001B2F58" w:rsidRPr="00DD03D6" w:rsidRDefault="00F725B1" w:rsidP="00B67BD3">
      <w:pPr>
        <w:pStyle w:val="SingleTxtG"/>
        <w:numPr>
          <w:ilvl w:val="0"/>
          <w:numId w:val="3"/>
        </w:numPr>
        <w:ind w:left="1134" w:firstLine="0"/>
        <w:rPr>
          <w:noProof/>
          <w:lang w:val="fr-FR"/>
        </w:rPr>
      </w:pPr>
      <w:r>
        <w:rPr>
          <w:noProof/>
          <w:lang w:val="fr-FR"/>
        </w:rPr>
        <w:t>Le Groupe spécial</w:t>
      </w:r>
      <w:r w:rsidR="001B2F58" w:rsidRPr="00DD03D6">
        <w:rPr>
          <w:noProof/>
          <w:lang w:val="fr-FR"/>
        </w:rPr>
        <w:t xml:space="preserve"> </w:t>
      </w:r>
      <w:r>
        <w:rPr>
          <w:noProof/>
          <w:lang w:val="fr-FR"/>
        </w:rPr>
        <w:t>a pris un certain nombre de mesures pour lutter contre l’obésité</w:t>
      </w:r>
      <w:r w:rsidR="001B2F58" w:rsidRPr="00DD03D6">
        <w:rPr>
          <w:noProof/>
          <w:lang w:val="fr-FR"/>
        </w:rPr>
        <w:t xml:space="preserve">. </w:t>
      </w:r>
      <w:r>
        <w:rPr>
          <w:noProof/>
          <w:lang w:val="fr-FR"/>
        </w:rPr>
        <w:t>C’est ainsi qu’il a révisé les Directives concernant une alimentation saine</w:t>
      </w:r>
      <w:r w:rsidR="001B2F58" w:rsidRPr="00DD03D6">
        <w:rPr>
          <w:noProof/>
          <w:lang w:val="fr-FR"/>
        </w:rPr>
        <w:t xml:space="preserve">, </w:t>
      </w:r>
      <w:r>
        <w:rPr>
          <w:noProof/>
          <w:lang w:val="fr-FR"/>
        </w:rPr>
        <w:t>notamment la p</w:t>
      </w:r>
      <w:r w:rsidR="001B2F58" w:rsidRPr="00DD03D6">
        <w:rPr>
          <w:noProof/>
          <w:lang w:val="fr-FR"/>
        </w:rPr>
        <w:t>yramid</w:t>
      </w:r>
      <w:r>
        <w:rPr>
          <w:noProof/>
          <w:lang w:val="fr-FR"/>
        </w:rPr>
        <w:t>e alimentaire</w:t>
      </w:r>
      <w:r w:rsidR="001B2F58" w:rsidRPr="00DD03D6">
        <w:rPr>
          <w:noProof/>
          <w:lang w:val="fr-FR"/>
        </w:rPr>
        <w:t xml:space="preserve">, </w:t>
      </w:r>
      <w:r>
        <w:rPr>
          <w:noProof/>
          <w:lang w:val="fr-FR"/>
        </w:rPr>
        <w:t xml:space="preserve">pour </w:t>
      </w:r>
      <w:r w:rsidR="001B2F58" w:rsidRPr="00DD03D6">
        <w:rPr>
          <w:noProof/>
          <w:lang w:val="fr-FR"/>
        </w:rPr>
        <w:t>inform</w:t>
      </w:r>
      <w:r>
        <w:rPr>
          <w:noProof/>
          <w:lang w:val="fr-FR"/>
        </w:rPr>
        <w:t>er</w:t>
      </w:r>
      <w:r w:rsidR="001B2F58" w:rsidRPr="00DD03D6">
        <w:rPr>
          <w:noProof/>
          <w:lang w:val="fr-FR"/>
        </w:rPr>
        <w:t xml:space="preserve"> </w:t>
      </w:r>
      <w:r>
        <w:rPr>
          <w:noProof/>
          <w:lang w:val="fr-FR"/>
        </w:rPr>
        <w:t>la population sur les choix à faire en matière d’aliments et de boissons</w:t>
      </w:r>
      <w:r w:rsidR="00266A6E">
        <w:rPr>
          <w:noProof/>
          <w:lang w:val="fr-FR"/>
        </w:rPr>
        <w:t xml:space="preserve">, en expliquant en termes simples les portions nécessaires pour </w:t>
      </w:r>
      <w:r w:rsidR="00F62ECA">
        <w:rPr>
          <w:noProof/>
          <w:lang w:val="fr-FR"/>
        </w:rPr>
        <w:t>conserver sa santé et son bien-être</w:t>
      </w:r>
      <w:r w:rsidR="001B2F58" w:rsidRPr="00DD03D6">
        <w:rPr>
          <w:noProof/>
          <w:lang w:val="fr-FR"/>
        </w:rPr>
        <w:t xml:space="preserve">; </w:t>
      </w:r>
      <w:r>
        <w:rPr>
          <w:noProof/>
          <w:lang w:val="fr-FR"/>
        </w:rPr>
        <w:t xml:space="preserve">a encouragé </w:t>
      </w:r>
      <w:r w:rsidR="00F62ECA">
        <w:rPr>
          <w:noProof/>
          <w:lang w:val="fr-FR"/>
        </w:rPr>
        <w:t xml:space="preserve">la mention du nombre de </w:t>
      </w:r>
      <w:r w:rsidR="00F62ECA" w:rsidRPr="00DD03D6">
        <w:rPr>
          <w:noProof/>
          <w:lang w:val="fr-FR"/>
        </w:rPr>
        <w:t>calorie</w:t>
      </w:r>
      <w:r w:rsidR="00F62ECA">
        <w:rPr>
          <w:noProof/>
          <w:lang w:val="fr-FR"/>
        </w:rPr>
        <w:t>s</w:t>
      </w:r>
      <w:r w:rsidR="00F62ECA" w:rsidRPr="00DD03D6">
        <w:rPr>
          <w:noProof/>
          <w:lang w:val="fr-FR"/>
        </w:rPr>
        <w:t xml:space="preserve"> </w:t>
      </w:r>
      <w:r w:rsidR="00F62ECA">
        <w:rPr>
          <w:noProof/>
          <w:lang w:val="fr-FR"/>
        </w:rPr>
        <w:t xml:space="preserve">sur les menus des </w:t>
      </w:r>
      <w:r w:rsidR="00F62ECA" w:rsidRPr="00DD03D6">
        <w:rPr>
          <w:noProof/>
          <w:lang w:val="fr-FR"/>
        </w:rPr>
        <w:t>restaurant</w:t>
      </w:r>
      <w:r w:rsidR="00F62ECA">
        <w:rPr>
          <w:noProof/>
          <w:lang w:val="fr-FR"/>
        </w:rPr>
        <w:t>s</w:t>
      </w:r>
      <w:r w:rsidR="00F62ECA" w:rsidRPr="00DD03D6">
        <w:rPr>
          <w:noProof/>
          <w:lang w:val="fr-FR"/>
        </w:rPr>
        <w:t xml:space="preserve"> </w:t>
      </w:r>
      <w:r w:rsidR="00F62ECA">
        <w:rPr>
          <w:noProof/>
          <w:lang w:val="fr-FR"/>
        </w:rPr>
        <w:t>et des cafés</w:t>
      </w:r>
      <w:r w:rsidR="001B2F58" w:rsidRPr="00DD03D6">
        <w:rPr>
          <w:noProof/>
          <w:lang w:val="fr-FR"/>
        </w:rPr>
        <w:t xml:space="preserve">; </w:t>
      </w:r>
      <w:r>
        <w:rPr>
          <w:noProof/>
          <w:lang w:val="fr-FR"/>
        </w:rPr>
        <w:t xml:space="preserve">a </w:t>
      </w:r>
      <w:r w:rsidR="00F62ECA">
        <w:rPr>
          <w:noProof/>
          <w:lang w:val="fr-FR"/>
        </w:rPr>
        <w:t xml:space="preserve">engagé un processus de </w:t>
      </w:r>
      <w:r w:rsidR="001B2F58" w:rsidRPr="00DD03D6">
        <w:rPr>
          <w:noProof/>
          <w:lang w:val="fr-FR"/>
        </w:rPr>
        <w:t xml:space="preserve">consultation </w:t>
      </w:r>
      <w:r w:rsidR="00F62ECA">
        <w:rPr>
          <w:noProof/>
          <w:lang w:val="fr-FR"/>
        </w:rPr>
        <w:t>avec l’Agence nationale de sécurité des aliments</w:t>
      </w:r>
      <w:r w:rsidR="00F62ECA" w:rsidRPr="00DD03D6">
        <w:rPr>
          <w:noProof/>
          <w:lang w:val="fr-FR"/>
        </w:rPr>
        <w:t xml:space="preserve"> </w:t>
      </w:r>
      <w:r w:rsidR="00F62ECA">
        <w:rPr>
          <w:noProof/>
          <w:lang w:val="fr-FR"/>
        </w:rPr>
        <w:t xml:space="preserve">afin de </w:t>
      </w:r>
      <w:r w:rsidR="001B2F58" w:rsidRPr="00DD03D6">
        <w:rPr>
          <w:noProof/>
          <w:lang w:val="fr-FR"/>
        </w:rPr>
        <w:t>d</w:t>
      </w:r>
      <w:r w:rsidR="00F62ECA">
        <w:rPr>
          <w:noProof/>
          <w:lang w:val="fr-FR"/>
        </w:rPr>
        <w:t>é</w:t>
      </w:r>
      <w:r w:rsidR="001B2F58" w:rsidRPr="00DD03D6">
        <w:rPr>
          <w:noProof/>
          <w:lang w:val="fr-FR"/>
        </w:rPr>
        <w:t>termin</w:t>
      </w:r>
      <w:r w:rsidR="00F62ECA">
        <w:rPr>
          <w:noProof/>
          <w:lang w:val="fr-FR"/>
        </w:rPr>
        <w:t>er les étapes suivantes de la lutte contre l’</w:t>
      </w:r>
      <w:r w:rsidR="001B2F58" w:rsidRPr="00DD03D6">
        <w:rPr>
          <w:noProof/>
          <w:lang w:val="fr-FR"/>
        </w:rPr>
        <w:t>ob</w:t>
      </w:r>
      <w:r w:rsidR="00F62ECA">
        <w:rPr>
          <w:noProof/>
          <w:lang w:val="fr-FR"/>
        </w:rPr>
        <w:t>é</w:t>
      </w:r>
      <w:r w:rsidR="001B2F58" w:rsidRPr="00DD03D6">
        <w:rPr>
          <w:noProof/>
          <w:lang w:val="fr-FR"/>
        </w:rPr>
        <w:t>sit</w:t>
      </w:r>
      <w:r w:rsidR="00F62ECA">
        <w:rPr>
          <w:noProof/>
          <w:lang w:val="fr-FR"/>
        </w:rPr>
        <w:t>é</w:t>
      </w:r>
      <w:r w:rsidR="001B2F58" w:rsidRPr="00DD03D6">
        <w:rPr>
          <w:noProof/>
          <w:lang w:val="fr-FR"/>
        </w:rPr>
        <w:t xml:space="preserve">; </w:t>
      </w:r>
      <w:r>
        <w:rPr>
          <w:noProof/>
          <w:lang w:val="fr-FR"/>
        </w:rPr>
        <w:t xml:space="preserve">et a </w:t>
      </w:r>
      <w:r w:rsidR="00F62ECA">
        <w:rPr>
          <w:noProof/>
          <w:lang w:val="fr-FR"/>
        </w:rPr>
        <w:t xml:space="preserve">élaboré de concert avec les professionnels de santé </w:t>
      </w:r>
      <w:r w:rsidR="003B4239">
        <w:rPr>
          <w:noProof/>
          <w:lang w:val="fr-FR"/>
        </w:rPr>
        <w:t xml:space="preserve">un </w:t>
      </w:r>
      <w:r w:rsidR="001B2F58" w:rsidRPr="00DD03D6">
        <w:rPr>
          <w:noProof/>
          <w:lang w:val="fr-FR"/>
        </w:rPr>
        <w:t>algorithm</w:t>
      </w:r>
      <w:r w:rsidR="003B4239">
        <w:rPr>
          <w:noProof/>
          <w:lang w:val="fr-FR"/>
        </w:rPr>
        <w:t>e de traitement des adultes</w:t>
      </w:r>
      <w:r w:rsidR="001B2F58" w:rsidRPr="00DD03D6">
        <w:rPr>
          <w:noProof/>
          <w:lang w:val="fr-FR"/>
        </w:rPr>
        <w:t>.</w:t>
      </w:r>
    </w:p>
    <w:p w:rsidR="001B2F58" w:rsidRPr="00DD03D6" w:rsidRDefault="00FF31C2" w:rsidP="00C40435">
      <w:pPr>
        <w:pStyle w:val="SingleTxtG"/>
        <w:numPr>
          <w:ilvl w:val="0"/>
          <w:numId w:val="3"/>
        </w:numPr>
        <w:ind w:left="1134" w:firstLine="0"/>
        <w:rPr>
          <w:noProof/>
          <w:lang w:val="fr-FR"/>
        </w:rPr>
      </w:pPr>
      <w:r>
        <w:rPr>
          <w:noProof/>
          <w:lang w:val="fr-FR"/>
        </w:rPr>
        <w:t xml:space="preserve">Le Groupe spécial se penche actuellement sur un certain nombre de questions, qui sont les suivantes : la recherche actuellement menée, en </w:t>
      </w:r>
      <w:r w:rsidR="001B2F58" w:rsidRPr="00DD03D6">
        <w:rPr>
          <w:noProof/>
          <w:lang w:val="fr-FR"/>
        </w:rPr>
        <w:t xml:space="preserve">association </w:t>
      </w:r>
      <w:r>
        <w:rPr>
          <w:noProof/>
          <w:lang w:val="fr-FR"/>
        </w:rPr>
        <w:t xml:space="preserve">avec le Ministère de l’enfance et de la jeunesse par le biais de </w:t>
      </w:r>
      <w:r>
        <w:rPr>
          <w:i/>
          <w:noProof/>
          <w:lang w:val="fr-FR"/>
        </w:rPr>
        <w:t>Grandir en Irlande</w:t>
      </w:r>
      <w:r>
        <w:rPr>
          <w:noProof/>
          <w:lang w:val="fr-FR"/>
        </w:rPr>
        <w:t xml:space="preserve">, pour déterminer la consommation et les types d’aliments et de boissons stockés dans les distributeurs automatiques installés dans les écoles </w:t>
      </w:r>
      <w:r w:rsidR="001B2F58" w:rsidRPr="00DD03D6">
        <w:rPr>
          <w:noProof/>
          <w:lang w:val="fr-FR"/>
        </w:rPr>
        <w:t>postprima</w:t>
      </w:r>
      <w:r>
        <w:rPr>
          <w:noProof/>
          <w:lang w:val="fr-FR"/>
        </w:rPr>
        <w:t>ires</w:t>
      </w:r>
      <w:r w:rsidR="001B2F58" w:rsidRPr="00DD03D6">
        <w:rPr>
          <w:noProof/>
          <w:lang w:val="fr-FR"/>
        </w:rPr>
        <w:t xml:space="preserve">, initiative </w:t>
      </w:r>
      <w:r>
        <w:rPr>
          <w:noProof/>
          <w:lang w:val="fr-FR"/>
        </w:rPr>
        <w:t xml:space="preserve">qui est appuyée par </w:t>
      </w:r>
      <w:r w:rsidR="00D25E2D">
        <w:rPr>
          <w:noProof/>
          <w:lang w:val="fr-FR"/>
        </w:rPr>
        <w:t>F</w:t>
      </w:r>
      <w:r w:rsidR="001B2F58" w:rsidRPr="00DD03D6">
        <w:rPr>
          <w:noProof/>
          <w:lang w:val="fr-FR"/>
        </w:rPr>
        <w:t xml:space="preserve">ood and Drink Industry Ireland </w:t>
      </w:r>
      <w:r w:rsidR="00D25E2D">
        <w:rPr>
          <w:noProof/>
          <w:lang w:val="fr-FR"/>
        </w:rPr>
        <w:t xml:space="preserve">et ses membres; un projet d’évaluation d’impact sur la santé concernant les effets </w:t>
      </w:r>
      <w:r w:rsidR="002C0081">
        <w:rPr>
          <w:noProof/>
          <w:lang w:val="fr-FR"/>
        </w:rPr>
        <w:t xml:space="preserve">que pourrait avoir </w:t>
      </w:r>
      <w:r w:rsidR="00D25E2D">
        <w:rPr>
          <w:noProof/>
          <w:lang w:val="fr-FR"/>
        </w:rPr>
        <w:t>une taxe sur les boissons sucrées</w:t>
      </w:r>
      <w:r w:rsidR="001B2F58" w:rsidRPr="00DD03D6">
        <w:rPr>
          <w:noProof/>
          <w:lang w:val="fr-FR"/>
        </w:rPr>
        <w:t xml:space="preserve">; </w:t>
      </w:r>
      <w:r w:rsidR="00D25E2D">
        <w:rPr>
          <w:noProof/>
          <w:lang w:val="fr-FR"/>
        </w:rPr>
        <w:t xml:space="preserve">l’élaboration d’un </w:t>
      </w:r>
      <w:r w:rsidR="001B2F58" w:rsidRPr="00DD03D6">
        <w:rPr>
          <w:noProof/>
          <w:lang w:val="fr-FR"/>
        </w:rPr>
        <w:t>algorithm</w:t>
      </w:r>
      <w:r w:rsidR="00D25E2D">
        <w:rPr>
          <w:noProof/>
          <w:lang w:val="fr-FR"/>
        </w:rPr>
        <w:t>e de traitement pour les enfants</w:t>
      </w:r>
      <w:r w:rsidR="001B2F58" w:rsidRPr="00DD03D6">
        <w:rPr>
          <w:noProof/>
          <w:lang w:val="fr-FR"/>
        </w:rPr>
        <w:t xml:space="preserve">, </w:t>
      </w:r>
      <w:r w:rsidR="00751BD0">
        <w:rPr>
          <w:noProof/>
          <w:lang w:val="fr-FR"/>
        </w:rPr>
        <w:t xml:space="preserve">qui en est au stade </w:t>
      </w:r>
      <w:r w:rsidR="00483DCF">
        <w:rPr>
          <w:noProof/>
          <w:lang w:val="fr-FR"/>
        </w:rPr>
        <w:t>final de l’adoption et sera bientôt disponible pour aider les professionnels de santé à suivre et à traiter l’obé</w:t>
      </w:r>
      <w:r w:rsidR="001B2F58" w:rsidRPr="00DD03D6">
        <w:rPr>
          <w:noProof/>
          <w:lang w:val="fr-FR"/>
        </w:rPr>
        <w:t>sit</w:t>
      </w:r>
      <w:r w:rsidR="00483DCF">
        <w:rPr>
          <w:noProof/>
          <w:lang w:val="fr-FR"/>
        </w:rPr>
        <w:t>é</w:t>
      </w:r>
      <w:r w:rsidR="001B2F58" w:rsidRPr="00DD03D6">
        <w:rPr>
          <w:noProof/>
          <w:lang w:val="fr-FR"/>
        </w:rPr>
        <w:t xml:space="preserve"> </w:t>
      </w:r>
      <w:r w:rsidR="00483DCF">
        <w:rPr>
          <w:noProof/>
          <w:lang w:val="fr-FR"/>
        </w:rPr>
        <w:t>au niveau des soins de santé primaires</w:t>
      </w:r>
      <w:r w:rsidR="001B2F58" w:rsidRPr="00DD03D6">
        <w:rPr>
          <w:noProof/>
          <w:lang w:val="fr-FR"/>
        </w:rPr>
        <w:t xml:space="preserve">; </w:t>
      </w:r>
      <w:r w:rsidR="00483DCF">
        <w:rPr>
          <w:noProof/>
          <w:lang w:val="fr-FR"/>
        </w:rPr>
        <w:t>le potentiel de dépistage et de suivi opportunistes, en vue de permettre la détection précoce de la surcharge pondérale et de l’</w:t>
      </w:r>
      <w:r w:rsidR="001B2F58" w:rsidRPr="00DD03D6">
        <w:rPr>
          <w:noProof/>
          <w:lang w:val="fr-FR"/>
        </w:rPr>
        <w:t>ob</w:t>
      </w:r>
      <w:r w:rsidR="00483DCF">
        <w:rPr>
          <w:noProof/>
          <w:lang w:val="fr-FR"/>
        </w:rPr>
        <w:t>é</w:t>
      </w:r>
      <w:r w:rsidR="001B2F58" w:rsidRPr="00DD03D6">
        <w:rPr>
          <w:noProof/>
          <w:lang w:val="fr-FR"/>
        </w:rPr>
        <w:t>sit</w:t>
      </w:r>
      <w:r w:rsidR="00483DCF">
        <w:rPr>
          <w:noProof/>
          <w:lang w:val="fr-FR"/>
        </w:rPr>
        <w:t>é</w:t>
      </w:r>
      <w:r w:rsidR="001B2F58" w:rsidRPr="00DD03D6">
        <w:rPr>
          <w:noProof/>
          <w:lang w:val="fr-FR"/>
        </w:rPr>
        <w:t xml:space="preserve"> </w:t>
      </w:r>
      <w:r w:rsidR="00483DCF">
        <w:rPr>
          <w:noProof/>
          <w:lang w:val="fr-FR"/>
        </w:rPr>
        <w:t>chez les enfants</w:t>
      </w:r>
      <w:r w:rsidR="001B2F58" w:rsidRPr="00DD03D6">
        <w:rPr>
          <w:noProof/>
          <w:lang w:val="fr-FR"/>
        </w:rPr>
        <w:t xml:space="preserve">; </w:t>
      </w:r>
      <w:r w:rsidR="00483DCF">
        <w:rPr>
          <w:noProof/>
          <w:lang w:val="fr-FR"/>
        </w:rPr>
        <w:t xml:space="preserve">et une note adressée à la </w:t>
      </w:r>
      <w:r w:rsidR="00483DCF">
        <w:rPr>
          <w:lang w:val="fr-FR"/>
        </w:rPr>
        <w:t>Direction de la radio et de la télédiffusion</w:t>
      </w:r>
      <w:r w:rsidR="00483DCF" w:rsidRPr="00DD03D6">
        <w:rPr>
          <w:noProof/>
          <w:lang w:val="fr-FR"/>
        </w:rPr>
        <w:t xml:space="preserve"> </w:t>
      </w:r>
      <w:r w:rsidR="00483DCF">
        <w:rPr>
          <w:noProof/>
          <w:lang w:val="fr-FR"/>
        </w:rPr>
        <w:t>d’</w:t>
      </w:r>
      <w:r w:rsidR="001B2F58" w:rsidRPr="00DD03D6">
        <w:rPr>
          <w:noProof/>
          <w:lang w:val="fr-FR"/>
        </w:rPr>
        <w:t>Irland</w:t>
      </w:r>
      <w:r w:rsidR="00483DCF">
        <w:rPr>
          <w:noProof/>
          <w:lang w:val="fr-FR"/>
        </w:rPr>
        <w:t>e</w:t>
      </w:r>
      <w:r w:rsidR="001B2F58" w:rsidRPr="00DD03D6">
        <w:rPr>
          <w:noProof/>
          <w:lang w:val="fr-FR"/>
        </w:rPr>
        <w:t xml:space="preserve"> </w:t>
      </w:r>
      <w:r w:rsidR="00483DCF">
        <w:rPr>
          <w:noProof/>
          <w:lang w:val="fr-FR"/>
        </w:rPr>
        <w:t>pour lui demander d’imposer la limite de 21 heures aux annonceurs de produits alimentaires riches en graisse</w:t>
      </w:r>
      <w:r w:rsidR="002C0081">
        <w:rPr>
          <w:noProof/>
          <w:lang w:val="fr-FR"/>
        </w:rPr>
        <w:t>s</w:t>
      </w:r>
      <w:r w:rsidR="00483DCF">
        <w:rPr>
          <w:noProof/>
          <w:lang w:val="fr-FR"/>
        </w:rPr>
        <w:t>, en sel et en sucre, et de boissons riches en sucre, de manière à protéger la santé des enfants</w:t>
      </w:r>
      <w:r w:rsidR="001B2F58" w:rsidRPr="00DD03D6">
        <w:rPr>
          <w:noProof/>
          <w:lang w:val="fr-FR"/>
        </w:rPr>
        <w:t>.</w:t>
      </w:r>
    </w:p>
    <w:p w:rsidR="001B2F58" w:rsidRPr="00DD03D6" w:rsidRDefault="002C0081" w:rsidP="00B67BD3">
      <w:pPr>
        <w:pStyle w:val="SingleTxtG"/>
        <w:numPr>
          <w:ilvl w:val="0"/>
          <w:numId w:val="3"/>
        </w:numPr>
        <w:ind w:left="1134" w:firstLine="0"/>
        <w:rPr>
          <w:noProof/>
          <w:lang w:val="fr-FR"/>
        </w:rPr>
      </w:pPr>
      <w:r>
        <w:rPr>
          <w:noProof/>
          <w:lang w:val="fr-FR"/>
        </w:rPr>
        <w:t>On a commencé à mettre en œuvre un certain nombre de mesures et d’initiatives supplémentaires qui auront également des incidences sur l’</w:t>
      </w:r>
      <w:r w:rsidR="001B2F58" w:rsidRPr="00DD03D6">
        <w:rPr>
          <w:noProof/>
          <w:lang w:val="fr-FR"/>
        </w:rPr>
        <w:t>ob</w:t>
      </w:r>
      <w:r>
        <w:rPr>
          <w:noProof/>
          <w:lang w:val="fr-FR"/>
        </w:rPr>
        <w:t>é</w:t>
      </w:r>
      <w:r w:rsidR="001B2F58" w:rsidRPr="00DD03D6">
        <w:rPr>
          <w:noProof/>
          <w:lang w:val="fr-FR"/>
        </w:rPr>
        <w:t>sit</w:t>
      </w:r>
      <w:r>
        <w:rPr>
          <w:noProof/>
          <w:lang w:val="fr-FR"/>
        </w:rPr>
        <w:t>é</w:t>
      </w:r>
      <w:r w:rsidR="00751BD0">
        <w:rPr>
          <w:noProof/>
          <w:lang w:val="fr-FR"/>
        </w:rPr>
        <w:t> </w:t>
      </w:r>
      <w:r w:rsidR="001B2F58" w:rsidRPr="00DD03D6">
        <w:rPr>
          <w:noProof/>
          <w:lang w:val="fr-FR"/>
        </w:rPr>
        <w:t>:</w:t>
      </w:r>
    </w:p>
    <w:p w:rsidR="001B2F58" w:rsidRPr="00DD03D6" w:rsidRDefault="002C0081" w:rsidP="00751BD0">
      <w:pPr>
        <w:pStyle w:val="Bullet1G"/>
        <w:tabs>
          <w:tab w:val="clear" w:pos="1701"/>
          <w:tab w:val="left" w:pos="1843"/>
          <w:tab w:val="left" w:pos="6237"/>
        </w:tabs>
        <w:ind w:left="1843" w:hanging="142"/>
        <w:rPr>
          <w:noProof/>
          <w:lang w:val="fr-FR"/>
        </w:rPr>
      </w:pPr>
      <w:r>
        <w:rPr>
          <w:noProof/>
          <w:lang w:val="fr-FR"/>
        </w:rPr>
        <w:t xml:space="preserve">La Direction des services de santé a récemment réaménagé le site Web </w:t>
      </w:r>
      <w:r w:rsidR="001B2F58" w:rsidRPr="00DD03D6">
        <w:rPr>
          <w:noProof/>
          <w:lang w:val="fr-FR"/>
        </w:rPr>
        <w:t>Get Ireland Active (</w:t>
      </w:r>
      <w:hyperlink r:id="rId32" w:history="1">
        <w:r w:rsidR="001B2F58" w:rsidRPr="00DD03D6">
          <w:rPr>
            <w:rStyle w:val="Lienhypertexte"/>
            <w:noProof/>
            <w:color w:val="0000FF"/>
            <w:u w:val="single"/>
            <w:lang w:val="fr-FR"/>
          </w:rPr>
          <w:t>www.getactive.ie</w:t>
        </w:r>
      </w:hyperlink>
      <w:r w:rsidR="001B2F58" w:rsidRPr="00DD03D6">
        <w:rPr>
          <w:noProof/>
          <w:lang w:val="fr-FR"/>
        </w:rPr>
        <w:t xml:space="preserve">), </w:t>
      </w:r>
      <w:r>
        <w:rPr>
          <w:noProof/>
          <w:lang w:val="fr-FR"/>
        </w:rPr>
        <w:t>qui fournit les Directives nationale</w:t>
      </w:r>
      <w:r w:rsidR="008E7AA0">
        <w:rPr>
          <w:noProof/>
          <w:lang w:val="fr-FR"/>
        </w:rPr>
        <w:t>s</w:t>
      </w:r>
      <w:r>
        <w:rPr>
          <w:noProof/>
          <w:lang w:val="fr-FR"/>
        </w:rPr>
        <w:t xml:space="preserve"> relatives à l’activité physique et qui est également devenu une source complète d’informations sur l’activité physique</w:t>
      </w:r>
      <w:r w:rsidR="001B2F58" w:rsidRPr="00DD03D6">
        <w:rPr>
          <w:noProof/>
          <w:lang w:val="fr-FR"/>
        </w:rPr>
        <w:t>.</w:t>
      </w:r>
    </w:p>
    <w:p w:rsidR="001B2F58" w:rsidRPr="00DD03D6" w:rsidRDefault="002C0081" w:rsidP="00751BD0">
      <w:pPr>
        <w:pStyle w:val="Bullet1G"/>
        <w:tabs>
          <w:tab w:val="clear" w:pos="1701"/>
          <w:tab w:val="left" w:pos="1843"/>
          <w:tab w:val="left" w:pos="6237"/>
        </w:tabs>
        <w:ind w:left="1843" w:hanging="142"/>
        <w:rPr>
          <w:noProof/>
          <w:lang w:val="fr-FR"/>
        </w:rPr>
      </w:pPr>
      <w:r>
        <w:rPr>
          <w:noProof/>
          <w:lang w:val="fr-FR"/>
        </w:rPr>
        <w:t>Un Plan n</w:t>
      </w:r>
      <w:r w:rsidR="001B2F58" w:rsidRPr="00DD03D6">
        <w:rPr>
          <w:noProof/>
          <w:lang w:val="fr-FR"/>
        </w:rPr>
        <w:t xml:space="preserve">ational </w:t>
      </w:r>
      <w:r>
        <w:rPr>
          <w:noProof/>
          <w:lang w:val="fr-FR"/>
        </w:rPr>
        <w:t>d’activité p</w:t>
      </w:r>
      <w:r w:rsidR="001B2F58" w:rsidRPr="00DD03D6">
        <w:rPr>
          <w:noProof/>
          <w:lang w:val="fr-FR"/>
        </w:rPr>
        <w:t>hysi</w:t>
      </w:r>
      <w:r>
        <w:rPr>
          <w:noProof/>
          <w:lang w:val="fr-FR"/>
        </w:rPr>
        <w:t>que est actuellement à l’étude au Ministère de la santé</w:t>
      </w:r>
      <w:r w:rsidR="001B2F58" w:rsidRPr="00DD03D6">
        <w:rPr>
          <w:noProof/>
          <w:lang w:val="fr-FR"/>
        </w:rPr>
        <w:t>.</w:t>
      </w:r>
    </w:p>
    <w:p w:rsidR="001B2F58" w:rsidRPr="00DD03D6" w:rsidRDefault="002C0081" w:rsidP="00751BD0">
      <w:pPr>
        <w:pStyle w:val="Bullet1G"/>
        <w:tabs>
          <w:tab w:val="clear" w:pos="1701"/>
          <w:tab w:val="left" w:pos="1843"/>
          <w:tab w:val="left" w:pos="6237"/>
        </w:tabs>
        <w:ind w:left="1843" w:hanging="142"/>
        <w:rPr>
          <w:noProof/>
          <w:lang w:val="fr-FR"/>
        </w:rPr>
      </w:pPr>
      <w:r>
        <w:rPr>
          <w:noProof/>
          <w:lang w:val="fr-FR"/>
        </w:rPr>
        <w:lastRenderedPageBreak/>
        <w:t xml:space="preserve">Votre santé est votre richesse : </w:t>
      </w:r>
      <w:r w:rsidR="008E7AA0">
        <w:rPr>
          <w:noProof/>
          <w:lang w:val="fr-FR"/>
        </w:rPr>
        <w:t>c</w:t>
      </w:r>
      <w:r>
        <w:rPr>
          <w:noProof/>
          <w:lang w:val="fr-FR"/>
        </w:rPr>
        <w:t>adre direct</w:t>
      </w:r>
      <w:r w:rsidR="008E7AA0">
        <w:rPr>
          <w:noProof/>
          <w:lang w:val="fr-FR"/>
        </w:rPr>
        <w:t>eur</w:t>
      </w:r>
      <w:r>
        <w:rPr>
          <w:noProof/>
          <w:lang w:val="fr-FR"/>
        </w:rPr>
        <w:t xml:space="preserve"> pour une Irlande en meilleure santé pour 2012-2020 (</w:t>
      </w:r>
      <w:r w:rsidR="001B2F58" w:rsidRPr="00DD03D6">
        <w:rPr>
          <w:noProof/>
          <w:lang w:val="fr-FR"/>
        </w:rPr>
        <w:t>Your Health is Your Wealth: A Policy Framewor</w:t>
      </w:r>
      <w:r w:rsidR="00B32F00" w:rsidRPr="00DD03D6">
        <w:rPr>
          <w:noProof/>
          <w:lang w:val="fr-FR"/>
        </w:rPr>
        <w:t>k for a Healthier Ireland</w:t>
      </w:r>
      <w:r>
        <w:rPr>
          <w:noProof/>
          <w:lang w:val="fr-FR"/>
        </w:rPr>
        <w:t xml:space="preserve">, </w:t>
      </w:r>
      <w:r w:rsidR="00B32F00" w:rsidRPr="00DD03D6">
        <w:rPr>
          <w:noProof/>
          <w:lang w:val="fr-FR"/>
        </w:rPr>
        <w:t>2012</w:t>
      </w:r>
      <w:r w:rsidR="00B32F00" w:rsidRPr="00DD03D6">
        <w:rPr>
          <w:noProof/>
          <w:lang w:val="fr-FR"/>
        </w:rPr>
        <w:noBreakHyphen/>
      </w:r>
      <w:r w:rsidR="001B2F58" w:rsidRPr="00DD03D6">
        <w:rPr>
          <w:noProof/>
          <w:lang w:val="fr-FR"/>
        </w:rPr>
        <w:t>2020</w:t>
      </w:r>
      <w:r>
        <w:rPr>
          <w:noProof/>
          <w:lang w:val="fr-FR"/>
        </w:rPr>
        <w:t xml:space="preserve">) vise à </w:t>
      </w:r>
      <w:r w:rsidR="008E7AA0">
        <w:rPr>
          <w:noProof/>
          <w:lang w:val="fr-FR"/>
        </w:rPr>
        <w:t>élabore</w:t>
      </w:r>
      <w:r>
        <w:rPr>
          <w:noProof/>
          <w:lang w:val="fr-FR"/>
        </w:rPr>
        <w:t>r un cadre direct</w:t>
      </w:r>
      <w:r w:rsidR="008E7AA0">
        <w:rPr>
          <w:noProof/>
          <w:lang w:val="fr-FR"/>
        </w:rPr>
        <w:t>eur</w:t>
      </w:r>
      <w:r>
        <w:rPr>
          <w:noProof/>
          <w:lang w:val="fr-FR"/>
        </w:rPr>
        <w:t xml:space="preserve"> de haut niveau pour la santé publique</w:t>
      </w:r>
      <w:r w:rsidR="001B2F58" w:rsidRPr="00DD03D6">
        <w:rPr>
          <w:noProof/>
          <w:lang w:val="fr-FR"/>
        </w:rPr>
        <w:t xml:space="preserve">. </w:t>
      </w:r>
      <w:r>
        <w:rPr>
          <w:noProof/>
          <w:lang w:val="fr-FR"/>
        </w:rPr>
        <w:t>À l’issue</w:t>
      </w:r>
      <w:r w:rsidR="00EF40C6">
        <w:rPr>
          <w:noProof/>
          <w:lang w:val="fr-FR"/>
        </w:rPr>
        <w:t xml:space="preserve"> de vastes </w:t>
      </w:r>
      <w:r w:rsidR="001B2F58" w:rsidRPr="00DD03D6">
        <w:rPr>
          <w:noProof/>
          <w:lang w:val="fr-FR"/>
        </w:rPr>
        <w:t>consultation</w:t>
      </w:r>
      <w:r w:rsidR="00EF40C6">
        <w:rPr>
          <w:noProof/>
          <w:lang w:val="fr-FR"/>
        </w:rPr>
        <w:t>s</w:t>
      </w:r>
      <w:r w:rsidR="001B2F58" w:rsidRPr="00DD03D6">
        <w:rPr>
          <w:noProof/>
          <w:lang w:val="fr-FR"/>
        </w:rPr>
        <w:t xml:space="preserve">, </w:t>
      </w:r>
      <w:r w:rsidR="00EF40C6">
        <w:rPr>
          <w:noProof/>
          <w:lang w:val="fr-FR"/>
        </w:rPr>
        <w:t>la rédaction de ce document directif a commencé</w:t>
      </w:r>
      <w:r w:rsidR="001B2F58" w:rsidRPr="00DD03D6">
        <w:rPr>
          <w:noProof/>
          <w:lang w:val="fr-FR"/>
        </w:rPr>
        <w:t xml:space="preserve">. </w:t>
      </w:r>
      <w:r w:rsidR="00EF40C6">
        <w:rPr>
          <w:noProof/>
          <w:lang w:val="fr-FR"/>
        </w:rPr>
        <w:t xml:space="preserve">Toutes les </w:t>
      </w:r>
      <w:r w:rsidR="001B2F58" w:rsidRPr="00DD03D6">
        <w:rPr>
          <w:noProof/>
          <w:lang w:val="fr-FR"/>
        </w:rPr>
        <w:t xml:space="preserve">initiatives </w:t>
      </w:r>
      <w:r w:rsidR="00EF40C6">
        <w:rPr>
          <w:noProof/>
          <w:lang w:val="fr-FR"/>
        </w:rPr>
        <w:t>actuellement étudiées par le Groupe spécial de lutte contre l’obésité</w:t>
      </w:r>
      <w:r w:rsidR="00EF40C6" w:rsidRPr="00DD03D6">
        <w:rPr>
          <w:noProof/>
          <w:lang w:val="fr-FR"/>
        </w:rPr>
        <w:t xml:space="preserve"> </w:t>
      </w:r>
      <w:r w:rsidR="00EF40C6">
        <w:rPr>
          <w:noProof/>
          <w:lang w:val="fr-FR"/>
        </w:rPr>
        <w:t>seront intégrées à ce document</w:t>
      </w:r>
      <w:r w:rsidR="001B2F58" w:rsidRPr="00DD03D6">
        <w:rPr>
          <w:noProof/>
          <w:lang w:val="fr-FR"/>
        </w:rPr>
        <w:t xml:space="preserve">, </w:t>
      </w:r>
      <w:r w:rsidR="00EF40C6">
        <w:rPr>
          <w:noProof/>
          <w:lang w:val="fr-FR"/>
        </w:rPr>
        <w:t>qui entend améliorer la santé et le bien-être de l’ensemble de la</w:t>
      </w:r>
      <w:r w:rsidR="001B2F58" w:rsidRPr="00DD03D6">
        <w:rPr>
          <w:noProof/>
          <w:lang w:val="fr-FR"/>
        </w:rPr>
        <w:t xml:space="preserve"> population.</w:t>
      </w:r>
    </w:p>
    <w:p w:rsidR="001B2F58" w:rsidRPr="00DD03D6" w:rsidRDefault="00751BD0" w:rsidP="00751BD0">
      <w:pPr>
        <w:pStyle w:val="Bullet1G"/>
        <w:tabs>
          <w:tab w:val="clear" w:pos="1701"/>
          <w:tab w:val="left" w:pos="1843"/>
          <w:tab w:val="left" w:pos="6237"/>
        </w:tabs>
        <w:ind w:left="1843" w:hanging="142"/>
        <w:rPr>
          <w:noProof/>
          <w:lang w:val="fr-FR"/>
        </w:rPr>
      </w:pPr>
      <w:r>
        <w:rPr>
          <w:noProof/>
          <w:lang w:val="fr-FR"/>
        </w:rPr>
        <w:t>Vingt</w:t>
      </w:r>
      <w:r w:rsidR="001B2F58" w:rsidRPr="00DD03D6">
        <w:rPr>
          <w:noProof/>
          <w:lang w:val="fr-FR"/>
        </w:rPr>
        <w:t xml:space="preserve"> </w:t>
      </w:r>
      <w:r w:rsidR="00FD4B3A">
        <w:rPr>
          <w:noProof/>
          <w:lang w:val="fr-FR"/>
        </w:rPr>
        <w:t>collectivit</w:t>
      </w:r>
      <w:r w:rsidR="00EF40C6">
        <w:rPr>
          <w:noProof/>
          <w:lang w:val="fr-FR"/>
        </w:rPr>
        <w:t xml:space="preserve">és </w:t>
      </w:r>
      <w:r w:rsidR="001B2F58" w:rsidRPr="00DD03D6">
        <w:rPr>
          <w:noProof/>
          <w:lang w:val="fr-FR"/>
        </w:rPr>
        <w:t>local</w:t>
      </w:r>
      <w:r w:rsidR="00EF40C6">
        <w:rPr>
          <w:noProof/>
          <w:lang w:val="fr-FR"/>
        </w:rPr>
        <w:t>es</w:t>
      </w:r>
      <w:r w:rsidR="001B2F58" w:rsidRPr="00DD03D6">
        <w:rPr>
          <w:noProof/>
          <w:lang w:val="fr-FR"/>
        </w:rPr>
        <w:t xml:space="preserve"> </w:t>
      </w:r>
      <w:r w:rsidR="00EF40C6">
        <w:rPr>
          <w:noProof/>
          <w:lang w:val="fr-FR"/>
        </w:rPr>
        <w:t>ont participé à la Semaine n</w:t>
      </w:r>
      <w:r w:rsidR="001B2F58" w:rsidRPr="00DD03D6">
        <w:rPr>
          <w:noProof/>
          <w:lang w:val="fr-FR"/>
        </w:rPr>
        <w:t>ational</w:t>
      </w:r>
      <w:r w:rsidR="00EF40C6">
        <w:rPr>
          <w:noProof/>
          <w:lang w:val="fr-FR"/>
        </w:rPr>
        <w:t xml:space="preserve">e des loisirs de </w:t>
      </w:r>
      <w:r w:rsidR="001B2F58" w:rsidRPr="00DD03D6">
        <w:rPr>
          <w:noProof/>
          <w:lang w:val="fr-FR"/>
        </w:rPr>
        <w:t xml:space="preserve">2011, </w:t>
      </w:r>
      <w:r w:rsidR="00EF40C6">
        <w:rPr>
          <w:noProof/>
          <w:lang w:val="fr-FR"/>
        </w:rPr>
        <w:t>manifestation apparentée à la Journée n</w:t>
      </w:r>
      <w:r w:rsidR="001B2F58" w:rsidRPr="00DD03D6">
        <w:rPr>
          <w:noProof/>
          <w:lang w:val="fr-FR"/>
        </w:rPr>
        <w:t>ational</w:t>
      </w:r>
      <w:r w:rsidR="00EF40C6">
        <w:rPr>
          <w:noProof/>
          <w:lang w:val="fr-FR"/>
        </w:rPr>
        <w:t>e du jeu</w:t>
      </w:r>
      <w:r w:rsidR="001B2F58" w:rsidRPr="00DD03D6">
        <w:rPr>
          <w:noProof/>
          <w:lang w:val="fr-FR"/>
        </w:rPr>
        <w:t xml:space="preserve">, </w:t>
      </w:r>
      <w:r w:rsidR="00EF40C6">
        <w:rPr>
          <w:noProof/>
          <w:lang w:val="fr-FR"/>
        </w:rPr>
        <w:t>qui s’adresse à des enfants plus jeunes</w:t>
      </w:r>
      <w:r w:rsidR="001B2F58" w:rsidRPr="00DD03D6">
        <w:rPr>
          <w:noProof/>
          <w:lang w:val="fr-FR"/>
        </w:rPr>
        <w:t xml:space="preserve">. </w:t>
      </w:r>
      <w:r w:rsidR="00EF40C6">
        <w:rPr>
          <w:noProof/>
          <w:lang w:val="fr-FR"/>
        </w:rPr>
        <w:t>La pa</w:t>
      </w:r>
      <w:r w:rsidR="001B2F58" w:rsidRPr="00DD03D6">
        <w:rPr>
          <w:noProof/>
          <w:lang w:val="fr-FR"/>
        </w:rPr>
        <w:t xml:space="preserve">rticipation </w:t>
      </w:r>
      <w:r w:rsidR="00EF40C6">
        <w:rPr>
          <w:noProof/>
          <w:lang w:val="fr-FR"/>
        </w:rPr>
        <w:t xml:space="preserve">aux deux manifestations a augmenté : de </w:t>
      </w:r>
      <w:r w:rsidR="001B2F58" w:rsidRPr="00DD03D6">
        <w:rPr>
          <w:noProof/>
          <w:lang w:val="fr-FR"/>
        </w:rPr>
        <w:t>25</w:t>
      </w:r>
      <w:r w:rsidR="003F1ADB">
        <w:rPr>
          <w:noProof/>
          <w:lang w:val="fr-FR"/>
        </w:rPr>
        <w:t> %</w:t>
      </w:r>
      <w:r w:rsidR="001B2F58" w:rsidRPr="00DD03D6">
        <w:rPr>
          <w:noProof/>
          <w:lang w:val="fr-FR"/>
        </w:rPr>
        <w:t xml:space="preserve"> </w:t>
      </w:r>
      <w:r w:rsidR="00EF40C6">
        <w:rPr>
          <w:noProof/>
          <w:lang w:val="fr-FR"/>
        </w:rPr>
        <w:t xml:space="preserve">des </w:t>
      </w:r>
      <w:r w:rsidR="00FD4B3A">
        <w:rPr>
          <w:noProof/>
          <w:lang w:val="fr-FR"/>
        </w:rPr>
        <w:t>collectivi</w:t>
      </w:r>
      <w:r w:rsidR="00EF40C6">
        <w:rPr>
          <w:noProof/>
          <w:lang w:val="fr-FR"/>
        </w:rPr>
        <w:t xml:space="preserve">tés locales en </w:t>
      </w:r>
      <w:r w:rsidR="001B2F58" w:rsidRPr="00DD03D6">
        <w:rPr>
          <w:noProof/>
          <w:lang w:val="fr-FR"/>
        </w:rPr>
        <w:t>2009</w:t>
      </w:r>
      <w:r w:rsidR="00EF40C6">
        <w:rPr>
          <w:noProof/>
          <w:lang w:val="fr-FR"/>
        </w:rPr>
        <w:t xml:space="preserve">, elle est </w:t>
      </w:r>
      <w:r w:rsidR="00E056D2">
        <w:rPr>
          <w:noProof/>
          <w:lang w:val="fr-FR"/>
        </w:rPr>
        <w:t>pa</w:t>
      </w:r>
      <w:r w:rsidR="00EF40C6">
        <w:rPr>
          <w:noProof/>
          <w:lang w:val="fr-FR"/>
        </w:rPr>
        <w:t xml:space="preserve">ssée à environ </w:t>
      </w:r>
      <w:r w:rsidR="001B2F58" w:rsidRPr="00DD03D6">
        <w:rPr>
          <w:noProof/>
          <w:lang w:val="fr-FR"/>
        </w:rPr>
        <w:t>75</w:t>
      </w:r>
      <w:r w:rsidR="003F1ADB">
        <w:rPr>
          <w:noProof/>
          <w:lang w:val="fr-FR"/>
        </w:rPr>
        <w:t> %</w:t>
      </w:r>
      <w:r w:rsidR="001B2F58" w:rsidRPr="00DD03D6">
        <w:rPr>
          <w:noProof/>
          <w:lang w:val="fr-FR"/>
        </w:rPr>
        <w:t xml:space="preserve"> </w:t>
      </w:r>
      <w:r w:rsidR="00EF40C6">
        <w:rPr>
          <w:noProof/>
          <w:lang w:val="fr-FR"/>
        </w:rPr>
        <w:t>e</w:t>
      </w:r>
      <w:r w:rsidR="001B2F58" w:rsidRPr="00DD03D6">
        <w:rPr>
          <w:noProof/>
          <w:lang w:val="fr-FR"/>
        </w:rPr>
        <w:t xml:space="preserve">n 2011, </w:t>
      </w:r>
      <w:r w:rsidR="00EF40C6">
        <w:rPr>
          <w:noProof/>
          <w:lang w:val="fr-FR"/>
        </w:rPr>
        <w:t xml:space="preserve">et, en </w:t>
      </w:r>
      <w:r w:rsidR="001B2F58" w:rsidRPr="00DD03D6">
        <w:rPr>
          <w:noProof/>
          <w:lang w:val="fr-FR"/>
        </w:rPr>
        <w:t>2012</w:t>
      </w:r>
      <w:r w:rsidR="00EF40C6">
        <w:rPr>
          <w:noProof/>
          <w:lang w:val="fr-FR"/>
        </w:rPr>
        <w:t xml:space="preserve">, les </w:t>
      </w:r>
      <w:r w:rsidR="001B2F58" w:rsidRPr="00DD03D6">
        <w:rPr>
          <w:noProof/>
          <w:lang w:val="fr-FR"/>
        </w:rPr>
        <w:t xml:space="preserve">34 </w:t>
      </w:r>
      <w:r w:rsidR="00FD4B3A">
        <w:rPr>
          <w:noProof/>
          <w:lang w:val="fr-FR"/>
        </w:rPr>
        <w:t>collectivi</w:t>
      </w:r>
      <w:r w:rsidR="00EF40C6">
        <w:rPr>
          <w:noProof/>
          <w:lang w:val="fr-FR"/>
        </w:rPr>
        <w:t>tés locales y ont participé</w:t>
      </w:r>
      <w:r w:rsidR="001B2F58" w:rsidRPr="00DD03D6">
        <w:rPr>
          <w:noProof/>
          <w:lang w:val="fr-FR"/>
        </w:rPr>
        <w:t xml:space="preserve">. </w:t>
      </w:r>
      <w:r w:rsidR="00EF40C6">
        <w:rPr>
          <w:noProof/>
          <w:lang w:val="fr-FR"/>
        </w:rPr>
        <w:t>Les deux manifestations sont destinées à promouvoir le jeu et les loisirs, tant physiques que culturels, pour les enfants et les jeunes et à encourager les enfants et les parents à adopter un mode de vie moins sédentaire</w:t>
      </w:r>
      <w:r w:rsidR="001B2F58" w:rsidRPr="00DD03D6">
        <w:rPr>
          <w:noProof/>
          <w:lang w:val="fr-FR"/>
        </w:rPr>
        <w:t xml:space="preserve">. </w:t>
      </w:r>
      <w:r w:rsidR="00EF40C6">
        <w:rPr>
          <w:noProof/>
          <w:lang w:val="fr-FR"/>
        </w:rPr>
        <w:t xml:space="preserve">Le Ministère de l’enfance et de la jeunesse </w:t>
      </w:r>
      <w:r w:rsidR="00FD4B3A">
        <w:rPr>
          <w:noProof/>
          <w:lang w:val="fr-FR"/>
        </w:rPr>
        <w:t xml:space="preserve">verse </w:t>
      </w:r>
      <w:r w:rsidR="00EF40C6">
        <w:rPr>
          <w:noProof/>
          <w:lang w:val="fr-FR"/>
        </w:rPr>
        <w:t xml:space="preserve">de petits subventions </w:t>
      </w:r>
      <w:r w:rsidR="00E056D2">
        <w:rPr>
          <w:noProof/>
          <w:lang w:val="fr-FR"/>
        </w:rPr>
        <w:t xml:space="preserve">aux </w:t>
      </w:r>
      <w:r w:rsidR="00FD4B3A">
        <w:rPr>
          <w:noProof/>
          <w:lang w:val="fr-FR"/>
        </w:rPr>
        <w:t>collectiv</w:t>
      </w:r>
      <w:r w:rsidR="00E056D2">
        <w:rPr>
          <w:noProof/>
          <w:lang w:val="fr-FR"/>
        </w:rPr>
        <w:t>ités locales pour les inciter à participer et couvrir une partie des dépenses</w:t>
      </w:r>
      <w:r w:rsidR="001B2F58" w:rsidRPr="00DD03D6">
        <w:rPr>
          <w:noProof/>
          <w:lang w:val="fr-FR"/>
        </w:rPr>
        <w:t>.</w:t>
      </w:r>
    </w:p>
    <w:p w:rsidR="001B2F58" w:rsidRPr="00DD03D6" w:rsidRDefault="008E7AA0" w:rsidP="00751BD0">
      <w:pPr>
        <w:pStyle w:val="Bullet1G"/>
        <w:tabs>
          <w:tab w:val="clear" w:pos="1701"/>
          <w:tab w:val="left" w:pos="1843"/>
          <w:tab w:val="left" w:pos="6237"/>
        </w:tabs>
        <w:ind w:left="1843" w:hanging="142"/>
        <w:rPr>
          <w:noProof/>
          <w:lang w:val="fr-FR"/>
        </w:rPr>
      </w:pPr>
      <w:r>
        <w:rPr>
          <w:noProof/>
          <w:lang w:val="fr-FR"/>
        </w:rPr>
        <w:t>La</w:t>
      </w:r>
      <w:r w:rsidR="00E056D2">
        <w:rPr>
          <w:noProof/>
          <w:lang w:val="fr-FR"/>
        </w:rPr>
        <w:t xml:space="preserve"> Ministre de l’e</w:t>
      </w:r>
      <w:r w:rsidR="00FD4B3A">
        <w:rPr>
          <w:noProof/>
          <w:lang w:val="fr-FR"/>
        </w:rPr>
        <w:t>nf</w:t>
      </w:r>
      <w:r w:rsidR="00E056D2">
        <w:rPr>
          <w:noProof/>
          <w:lang w:val="fr-FR"/>
        </w:rPr>
        <w:t xml:space="preserve">ance et de la jeunesse a récemment lancé </w:t>
      </w:r>
      <w:r w:rsidR="00FD4B3A">
        <w:rPr>
          <w:noProof/>
          <w:lang w:val="fr-FR"/>
        </w:rPr>
        <w:t>le Réseau des collectivités locales et des loisirs</w:t>
      </w:r>
      <w:r w:rsidR="001B2F58" w:rsidRPr="00DD03D6">
        <w:rPr>
          <w:noProof/>
          <w:lang w:val="fr-FR"/>
        </w:rPr>
        <w:t xml:space="preserve">, </w:t>
      </w:r>
      <w:r w:rsidR="00FD4B3A">
        <w:rPr>
          <w:noProof/>
          <w:lang w:val="fr-FR"/>
        </w:rPr>
        <w:t>qui rassemble pour la première fois les agents des collectivités locales associés à la fourniture de services de jeu et de loisirs aux communautés locales</w:t>
      </w:r>
      <w:r w:rsidR="001B2F58" w:rsidRPr="00DD03D6">
        <w:rPr>
          <w:noProof/>
          <w:lang w:val="fr-FR"/>
        </w:rPr>
        <w:t xml:space="preserve">. </w:t>
      </w:r>
      <w:r w:rsidR="00FD4B3A">
        <w:rPr>
          <w:noProof/>
          <w:lang w:val="fr-FR"/>
        </w:rPr>
        <w:t xml:space="preserve">Il s’agit en premier lieu de partager des informations sur les meilleures pratiques et, le cas échéant, </w:t>
      </w:r>
      <w:r>
        <w:rPr>
          <w:noProof/>
          <w:lang w:val="fr-FR"/>
        </w:rPr>
        <w:t>d’</w:t>
      </w:r>
      <w:r w:rsidR="00FD4B3A">
        <w:rPr>
          <w:noProof/>
          <w:lang w:val="fr-FR"/>
        </w:rPr>
        <w:t>encourager la coopération mutuelle</w:t>
      </w:r>
      <w:r w:rsidR="001B2F58" w:rsidRPr="00DD03D6">
        <w:rPr>
          <w:noProof/>
          <w:lang w:val="fr-FR"/>
        </w:rPr>
        <w:t>.</w:t>
      </w:r>
    </w:p>
    <w:p w:rsidR="001B2F58" w:rsidRPr="00DD03D6" w:rsidRDefault="00956C4A" w:rsidP="00751BD0">
      <w:pPr>
        <w:pStyle w:val="Bullet1G"/>
        <w:tabs>
          <w:tab w:val="clear" w:pos="1701"/>
          <w:tab w:val="left" w:pos="1843"/>
          <w:tab w:val="left" w:pos="6237"/>
        </w:tabs>
        <w:ind w:left="1843" w:hanging="142"/>
        <w:rPr>
          <w:noProof/>
          <w:lang w:val="fr-FR"/>
        </w:rPr>
      </w:pPr>
      <w:r>
        <w:rPr>
          <w:noProof/>
          <w:lang w:val="fr-FR"/>
        </w:rPr>
        <w:t>La campagne « Drapeau d’école active »</w:t>
      </w:r>
      <w:r w:rsidR="005B26F1">
        <w:rPr>
          <w:noProof/>
          <w:lang w:val="fr-FR"/>
        </w:rPr>
        <w:t xml:space="preserve"> est un</w:t>
      </w:r>
      <w:r>
        <w:rPr>
          <w:noProof/>
          <w:lang w:val="fr-FR"/>
        </w:rPr>
        <w:t xml:space="preserve"> programme du Ministère de l’éducation et de la formation </w:t>
      </w:r>
      <w:r w:rsidR="005B26F1">
        <w:rPr>
          <w:noProof/>
          <w:lang w:val="fr-FR"/>
        </w:rPr>
        <w:t>destiné à</w:t>
      </w:r>
      <w:r>
        <w:rPr>
          <w:noProof/>
          <w:lang w:val="fr-FR"/>
        </w:rPr>
        <w:t xml:space="preserve"> récompenser les écoles qui fournissent à leurs élèves des programmes d’éducation physique, de sport et d’activité physique de qualité</w:t>
      </w:r>
      <w:r w:rsidR="001B2F58" w:rsidRPr="00DD03D6">
        <w:rPr>
          <w:noProof/>
          <w:lang w:val="fr-FR"/>
        </w:rPr>
        <w:t xml:space="preserve">. </w:t>
      </w:r>
      <w:r>
        <w:rPr>
          <w:noProof/>
          <w:lang w:val="fr-FR"/>
        </w:rPr>
        <w:t xml:space="preserve">Peuvent y participer les écoles primaires et postprimaires et les écoles pour enfants ayant des besoins spéciaux et, éventuellement, les </w:t>
      </w:r>
      <w:r w:rsidR="00B32031">
        <w:rPr>
          <w:noProof/>
          <w:lang w:val="fr-FR"/>
        </w:rPr>
        <w:t xml:space="preserve">centres </w:t>
      </w:r>
      <w:r w:rsidR="001B2F58" w:rsidRPr="00DD03D6">
        <w:rPr>
          <w:noProof/>
          <w:lang w:val="fr-FR"/>
        </w:rPr>
        <w:t xml:space="preserve">Youthreach. </w:t>
      </w:r>
      <w:r w:rsidR="00B32031">
        <w:rPr>
          <w:noProof/>
          <w:lang w:val="fr-FR"/>
        </w:rPr>
        <w:t xml:space="preserve">Plus de </w:t>
      </w:r>
      <w:r w:rsidR="001B2F58" w:rsidRPr="00DD03D6">
        <w:rPr>
          <w:noProof/>
          <w:lang w:val="fr-FR"/>
        </w:rPr>
        <w:t xml:space="preserve">70 </w:t>
      </w:r>
      <w:r w:rsidR="00B32031">
        <w:rPr>
          <w:noProof/>
          <w:lang w:val="fr-FR"/>
        </w:rPr>
        <w:t xml:space="preserve">écoles ont ainsi reçu un drapeau d’école active et plus de </w:t>
      </w:r>
      <w:r w:rsidR="001B2F58" w:rsidRPr="00DD03D6">
        <w:rPr>
          <w:noProof/>
          <w:lang w:val="fr-FR"/>
        </w:rPr>
        <w:t xml:space="preserve">750 </w:t>
      </w:r>
      <w:r w:rsidR="00B32031">
        <w:rPr>
          <w:noProof/>
          <w:lang w:val="fr-FR"/>
        </w:rPr>
        <w:t>autres écoles ont manifesté en ligne leur intérêt pour ce programme</w:t>
      </w:r>
      <w:r w:rsidR="001B2F58" w:rsidRPr="00DD03D6">
        <w:rPr>
          <w:noProof/>
          <w:lang w:val="fr-FR"/>
        </w:rPr>
        <w:t>.</w:t>
      </w:r>
    </w:p>
    <w:p w:rsidR="001B2F58" w:rsidRPr="00DD03D6" w:rsidRDefault="00975917" w:rsidP="00751BD0">
      <w:pPr>
        <w:pStyle w:val="Bullet1G"/>
        <w:tabs>
          <w:tab w:val="clear" w:pos="1701"/>
          <w:tab w:val="left" w:pos="1843"/>
          <w:tab w:val="left" w:pos="6237"/>
        </w:tabs>
        <w:ind w:left="1843" w:hanging="142"/>
        <w:rPr>
          <w:noProof/>
          <w:lang w:val="fr-FR"/>
        </w:rPr>
      </w:pPr>
      <w:r>
        <w:rPr>
          <w:noProof/>
          <w:lang w:val="fr-FR"/>
        </w:rPr>
        <w:t>E</w:t>
      </w:r>
      <w:r w:rsidR="001B2F58" w:rsidRPr="00DD03D6">
        <w:rPr>
          <w:noProof/>
          <w:lang w:val="fr-FR"/>
        </w:rPr>
        <w:t xml:space="preserve">n </w:t>
      </w:r>
      <w:r>
        <w:rPr>
          <w:noProof/>
          <w:lang w:val="fr-FR"/>
        </w:rPr>
        <w:t xml:space="preserve">juin </w:t>
      </w:r>
      <w:r w:rsidR="001B2F58" w:rsidRPr="00DD03D6">
        <w:rPr>
          <w:noProof/>
          <w:lang w:val="fr-FR"/>
        </w:rPr>
        <w:t xml:space="preserve">2011, </w:t>
      </w:r>
      <w:r>
        <w:rPr>
          <w:noProof/>
          <w:lang w:val="fr-FR"/>
        </w:rPr>
        <w:t>le Ministère de l’enfance et de la jeunesse a rencontré des représentants d’</w:t>
      </w:r>
      <w:r w:rsidR="001B2F58" w:rsidRPr="00DD03D6">
        <w:rPr>
          <w:noProof/>
          <w:lang w:val="fr-FR"/>
        </w:rPr>
        <w:t>ILAM (</w:t>
      </w:r>
      <w:r>
        <w:rPr>
          <w:noProof/>
          <w:lang w:val="fr-FR"/>
        </w:rPr>
        <w:t>organisme coiffant l’industrie des loisirs</w:t>
      </w:r>
      <w:r w:rsidR="001B2F58" w:rsidRPr="00DD03D6">
        <w:rPr>
          <w:noProof/>
          <w:lang w:val="fr-FR"/>
        </w:rPr>
        <w:t xml:space="preserve">), </w:t>
      </w:r>
      <w:r>
        <w:rPr>
          <w:noProof/>
          <w:lang w:val="fr-FR"/>
        </w:rPr>
        <w:t>qui gèrent en collaboration divers centres de loisirs des collectivités locales</w:t>
      </w:r>
      <w:r w:rsidR="001B2F58" w:rsidRPr="00DD03D6">
        <w:rPr>
          <w:noProof/>
          <w:lang w:val="fr-FR"/>
        </w:rPr>
        <w:t xml:space="preserve">. ILAM </w:t>
      </w:r>
      <w:r>
        <w:rPr>
          <w:noProof/>
          <w:lang w:val="fr-FR"/>
        </w:rPr>
        <w:t>souhaite vivement faire avancer l’exécution de programmes de lutte contre l’</w:t>
      </w:r>
      <w:r w:rsidR="001B2F58" w:rsidRPr="00DD03D6">
        <w:rPr>
          <w:noProof/>
          <w:lang w:val="fr-FR"/>
        </w:rPr>
        <w:t>ob</w:t>
      </w:r>
      <w:r>
        <w:rPr>
          <w:noProof/>
          <w:lang w:val="fr-FR"/>
        </w:rPr>
        <w:t>é</w:t>
      </w:r>
      <w:r w:rsidR="001B2F58" w:rsidRPr="00DD03D6">
        <w:rPr>
          <w:noProof/>
          <w:lang w:val="fr-FR"/>
        </w:rPr>
        <w:t>sit</w:t>
      </w:r>
      <w:r>
        <w:rPr>
          <w:noProof/>
          <w:lang w:val="fr-FR"/>
        </w:rPr>
        <w:t>é</w:t>
      </w:r>
      <w:r w:rsidR="001B2F58" w:rsidRPr="00DD03D6">
        <w:rPr>
          <w:noProof/>
          <w:lang w:val="fr-FR"/>
        </w:rPr>
        <w:t xml:space="preserve"> </w:t>
      </w:r>
      <w:r>
        <w:rPr>
          <w:noProof/>
          <w:lang w:val="fr-FR"/>
        </w:rPr>
        <w:t>et collabore d’ores et déjà avec la Direction des services de santé à un programme d’aiguillage des enfants en surcharge pondérale vers des médecins généralistes, qui pourrait servir de modèle pour les enfants et les jeunes</w:t>
      </w:r>
      <w:r w:rsidR="001B2F58" w:rsidRPr="00DD03D6">
        <w:rPr>
          <w:noProof/>
          <w:lang w:val="fr-FR"/>
        </w:rPr>
        <w:t xml:space="preserve">. ILAM </w:t>
      </w:r>
      <w:r>
        <w:rPr>
          <w:noProof/>
          <w:lang w:val="fr-FR"/>
        </w:rPr>
        <w:t xml:space="preserve">se rapprochera du Réseau des collectivités locales et des loisirs en </w:t>
      </w:r>
      <w:r w:rsidR="001B2F58" w:rsidRPr="00DD03D6">
        <w:rPr>
          <w:noProof/>
          <w:lang w:val="fr-FR"/>
        </w:rPr>
        <w:t xml:space="preserve">2012 </w:t>
      </w:r>
      <w:r>
        <w:rPr>
          <w:noProof/>
          <w:lang w:val="fr-FR"/>
        </w:rPr>
        <w:t>pour étudier les autres possibilités dans ce domaine</w:t>
      </w:r>
      <w:r w:rsidR="001B2F58" w:rsidRPr="00DD03D6">
        <w:rPr>
          <w:noProof/>
          <w:lang w:val="fr-FR"/>
        </w:rPr>
        <w:t>.</w:t>
      </w:r>
    </w:p>
    <w:p w:rsidR="001B2F58" w:rsidRPr="00DD03D6" w:rsidRDefault="00595E8D" w:rsidP="00751BD0">
      <w:pPr>
        <w:pStyle w:val="Bullet1G"/>
        <w:tabs>
          <w:tab w:val="clear" w:pos="1701"/>
          <w:tab w:val="left" w:pos="1843"/>
          <w:tab w:val="left" w:pos="6237"/>
        </w:tabs>
        <w:ind w:left="1843" w:hanging="142"/>
        <w:rPr>
          <w:noProof/>
          <w:lang w:val="fr-FR"/>
        </w:rPr>
      </w:pPr>
      <w:r>
        <w:rPr>
          <w:noProof/>
          <w:lang w:val="fr-FR"/>
        </w:rPr>
        <w:t>L’Initiative Arguments pour la vie (</w:t>
      </w:r>
      <w:r w:rsidR="001B2F58" w:rsidRPr="00DD03D6">
        <w:rPr>
          <w:noProof/>
          <w:lang w:val="fr-FR"/>
        </w:rPr>
        <w:t>Points for Life Initiative</w:t>
      </w:r>
      <w:r>
        <w:rPr>
          <w:noProof/>
          <w:lang w:val="fr-FR"/>
        </w:rPr>
        <w:t>) est menée par un sénateur irlandais, qui l’a lancée parce qu’il jugeait préoccupante l’augmentation des niveaux d’obésité</w:t>
      </w:r>
      <w:r w:rsidR="001B2F58" w:rsidRPr="00DD03D6">
        <w:rPr>
          <w:noProof/>
          <w:lang w:val="fr-FR"/>
        </w:rPr>
        <w:t xml:space="preserve">. </w:t>
      </w:r>
      <w:r>
        <w:rPr>
          <w:noProof/>
          <w:lang w:val="fr-FR"/>
        </w:rPr>
        <w:t>Le Ministère de l’enfance et de la jeunesse, le Ministère de l’éducation et de la formation, le Ministère de la santé</w:t>
      </w:r>
      <w:r w:rsidR="006825FC">
        <w:rPr>
          <w:noProof/>
          <w:lang w:val="fr-FR"/>
        </w:rPr>
        <w:t xml:space="preserve"> et le Ministère des transports, du tourisme et du sport sont représentés au comité national de pilotage de cette initiative</w:t>
      </w:r>
      <w:r w:rsidR="00526503">
        <w:rPr>
          <w:noProof/>
          <w:lang w:val="fr-FR"/>
        </w:rPr>
        <w:t xml:space="preserve"> de politique générale, qui vise à améliorer la condition physique des enfants dans les écoles irlandaises</w:t>
      </w:r>
      <w:r w:rsidR="001B2F58" w:rsidRPr="00DD03D6">
        <w:rPr>
          <w:noProof/>
          <w:lang w:val="fr-FR"/>
        </w:rPr>
        <w:t xml:space="preserve">. </w:t>
      </w:r>
      <w:r w:rsidR="00526503">
        <w:rPr>
          <w:noProof/>
          <w:lang w:val="fr-FR"/>
        </w:rPr>
        <w:t xml:space="preserve">Un </w:t>
      </w:r>
      <w:r w:rsidR="001B2F58" w:rsidRPr="00DD03D6">
        <w:rPr>
          <w:noProof/>
          <w:lang w:val="fr-FR"/>
        </w:rPr>
        <w:t xml:space="preserve">programme </w:t>
      </w:r>
      <w:r w:rsidR="00526503">
        <w:rPr>
          <w:noProof/>
          <w:lang w:val="fr-FR"/>
        </w:rPr>
        <w:t xml:space="preserve">pilote doit démarrer en </w:t>
      </w:r>
      <w:r w:rsidR="001B2F58" w:rsidRPr="00DD03D6">
        <w:rPr>
          <w:noProof/>
          <w:lang w:val="fr-FR"/>
        </w:rPr>
        <w:t>2012.</w:t>
      </w:r>
    </w:p>
    <w:p w:rsidR="001B2F58" w:rsidRPr="00DD03D6" w:rsidRDefault="00526503" w:rsidP="00751BD0">
      <w:pPr>
        <w:pStyle w:val="Bullet1G"/>
        <w:tabs>
          <w:tab w:val="clear" w:pos="1701"/>
          <w:tab w:val="left" w:pos="1843"/>
          <w:tab w:val="left" w:pos="6237"/>
        </w:tabs>
        <w:ind w:left="1843" w:hanging="142"/>
        <w:rPr>
          <w:noProof/>
          <w:lang w:val="fr-FR"/>
        </w:rPr>
      </w:pPr>
      <w:r>
        <w:rPr>
          <w:noProof/>
          <w:lang w:val="fr-FR"/>
        </w:rPr>
        <w:t>Le Programme « </w:t>
      </w:r>
      <w:r w:rsidR="001B2F58" w:rsidRPr="00DD03D6">
        <w:rPr>
          <w:noProof/>
          <w:lang w:val="fr-FR"/>
        </w:rPr>
        <w:t>Food Dudes</w:t>
      </w:r>
      <w:r>
        <w:rPr>
          <w:noProof/>
          <w:lang w:val="fr-FR"/>
        </w:rPr>
        <w:t> »</w:t>
      </w:r>
      <w:r w:rsidR="001B2F58" w:rsidRPr="00DD03D6">
        <w:rPr>
          <w:noProof/>
          <w:lang w:val="fr-FR"/>
        </w:rPr>
        <w:t xml:space="preserve"> </w:t>
      </w:r>
      <w:r>
        <w:rPr>
          <w:noProof/>
          <w:lang w:val="fr-FR"/>
        </w:rPr>
        <w:t>est un</w:t>
      </w:r>
      <w:r w:rsidR="001B2F58" w:rsidRPr="00DD03D6">
        <w:rPr>
          <w:noProof/>
          <w:lang w:val="fr-FR"/>
        </w:rPr>
        <w:t xml:space="preserve"> programme </w:t>
      </w:r>
      <w:r>
        <w:rPr>
          <w:noProof/>
          <w:lang w:val="fr-FR"/>
        </w:rPr>
        <w:t xml:space="preserve">primé élaboré par l’Unité de recherche sur l’alimentation et l’activité de l’Université de </w:t>
      </w:r>
      <w:r w:rsidR="001B2F58" w:rsidRPr="00DD03D6">
        <w:rPr>
          <w:noProof/>
          <w:lang w:val="fr-FR"/>
        </w:rPr>
        <w:t>Bangor</w:t>
      </w:r>
      <w:r>
        <w:rPr>
          <w:noProof/>
          <w:lang w:val="fr-FR"/>
        </w:rPr>
        <w:t xml:space="preserve"> au Pays de Galles</w:t>
      </w:r>
      <w:r w:rsidR="00370F46">
        <w:rPr>
          <w:noProof/>
          <w:lang w:val="fr-FR"/>
        </w:rPr>
        <w:t xml:space="preserve">. Il </w:t>
      </w:r>
      <w:r>
        <w:rPr>
          <w:noProof/>
          <w:lang w:val="fr-FR"/>
        </w:rPr>
        <w:t xml:space="preserve">entend </w:t>
      </w:r>
      <w:r w:rsidR="001B2F58" w:rsidRPr="00DD03D6">
        <w:rPr>
          <w:noProof/>
          <w:lang w:val="fr-FR"/>
        </w:rPr>
        <w:t>encourag</w:t>
      </w:r>
      <w:r>
        <w:rPr>
          <w:noProof/>
          <w:lang w:val="fr-FR"/>
        </w:rPr>
        <w:t>er les enfants à consommer davantage de fruits et de légumes à l’école et à leur domicile</w:t>
      </w:r>
      <w:r w:rsidR="001B2F58" w:rsidRPr="00DD03D6">
        <w:rPr>
          <w:noProof/>
          <w:lang w:val="fr-FR"/>
        </w:rPr>
        <w:t xml:space="preserve">. </w:t>
      </w:r>
      <w:r>
        <w:rPr>
          <w:noProof/>
          <w:lang w:val="fr-FR"/>
        </w:rPr>
        <w:t xml:space="preserve">Il est basé sur des modèles d’identification </w:t>
      </w:r>
      <w:r>
        <w:rPr>
          <w:noProof/>
          <w:lang w:val="fr-FR"/>
        </w:rPr>
        <w:lastRenderedPageBreak/>
        <w:t xml:space="preserve">positifs </w:t>
      </w:r>
      <w:r w:rsidR="001B2F58" w:rsidRPr="00DD03D6">
        <w:rPr>
          <w:noProof/>
          <w:lang w:val="fr-FR"/>
        </w:rPr>
        <w:t>(</w:t>
      </w:r>
      <w:r>
        <w:rPr>
          <w:noProof/>
          <w:lang w:val="fr-FR"/>
        </w:rPr>
        <w:t xml:space="preserve">les personnages de </w:t>
      </w:r>
      <w:r w:rsidR="001B2F58" w:rsidRPr="00DD03D6">
        <w:rPr>
          <w:noProof/>
          <w:lang w:val="fr-FR"/>
        </w:rPr>
        <w:t xml:space="preserve">Food Dudes), </w:t>
      </w:r>
      <w:r w:rsidR="004A1FB9">
        <w:rPr>
          <w:noProof/>
          <w:lang w:val="fr-FR"/>
        </w:rPr>
        <w:t>des dégustations répétées et des récompenses</w:t>
      </w:r>
      <w:r w:rsidR="001B2F58" w:rsidRPr="00DD03D6">
        <w:rPr>
          <w:noProof/>
          <w:lang w:val="fr-FR"/>
        </w:rPr>
        <w:t xml:space="preserve">. </w:t>
      </w:r>
      <w:r w:rsidR="004A1FB9">
        <w:rPr>
          <w:noProof/>
          <w:lang w:val="fr-FR"/>
        </w:rPr>
        <w:t>Il a été élaboré par le Ministère de l’a</w:t>
      </w:r>
      <w:r w:rsidR="001B2F58" w:rsidRPr="00DD03D6">
        <w:rPr>
          <w:noProof/>
          <w:lang w:val="fr-FR"/>
        </w:rPr>
        <w:t xml:space="preserve">griculture, </w:t>
      </w:r>
      <w:r w:rsidR="004A1FB9">
        <w:rPr>
          <w:noProof/>
          <w:lang w:val="fr-FR"/>
        </w:rPr>
        <w:t xml:space="preserve">de l’alimentation et de la marine en collaboration avec </w:t>
      </w:r>
      <w:r w:rsidR="001B2F58" w:rsidRPr="00DD03D6">
        <w:rPr>
          <w:noProof/>
          <w:lang w:val="fr-FR"/>
        </w:rPr>
        <w:t>An Bord Bia (</w:t>
      </w:r>
      <w:r w:rsidR="004A1FB9">
        <w:rPr>
          <w:noProof/>
          <w:lang w:val="fr-FR"/>
        </w:rPr>
        <w:t>qui en assure le financement et la gestion</w:t>
      </w:r>
      <w:r w:rsidR="001B2F58" w:rsidRPr="00DD03D6">
        <w:rPr>
          <w:noProof/>
          <w:lang w:val="fr-FR"/>
        </w:rPr>
        <w:t xml:space="preserve">), </w:t>
      </w:r>
      <w:r w:rsidR="004A1FB9">
        <w:rPr>
          <w:noProof/>
          <w:lang w:val="fr-FR"/>
        </w:rPr>
        <w:t>e</w:t>
      </w:r>
      <w:r w:rsidR="001B2F58" w:rsidRPr="00DD03D6">
        <w:rPr>
          <w:noProof/>
          <w:lang w:val="fr-FR"/>
        </w:rPr>
        <w:t xml:space="preserve">n consultation </w:t>
      </w:r>
      <w:r w:rsidR="004A1FB9">
        <w:rPr>
          <w:noProof/>
          <w:lang w:val="fr-FR"/>
        </w:rPr>
        <w:t>avec le Ministère de l’éducation et de la formation, le Ministère de la santé et le Ministère de la protection sociale</w:t>
      </w:r>
      <w:r w:rsidR="001B2F58" w:rsidRPr="00DD03D6">
        <w:rPr>
          <w:noProof/>
          <w:lang w:val="fr-FR"/>
        </w:rPr>
        <w:t xml:space="preserve">. </w:t>
      </w:r>
      <w:r w:rsidR="00370F46">
        <w:rPr>
          <w:noProof/>
          <w:lang w:val="fr-FR"/>
        </w:rPr>
        <w:t>Il doit être adopté par toutes les écoles primaires dans les années qui viennent, en fonction des moyens de financement disponibles</w:t>
      </w:r>
      <w:r w:rsidR="001B2F58" w:rsidRPr="00DD03D6">
        <w:rPr>
          <w:noProof/>
          <w:lang w:val="fr-FR"/>
        </w:rPr>
        <w:t xml:space="preserve">. </w:t>
      </w:r>
      <w:r w:rsidR="00370F46">
        <w:rPr>
          <w:noProof/>
          <w:lang w:val="fr-FR"/>
        </w:rPr>
        <w:t xml:space="preserve">À ce jour, il a été exécuté dans </w:t>
      </w:r>
      <w:r w:rsidR="001B2F58" w:rsidRPr="00DD03D6">
        <w:rPr>
          <w:noProof/>
          <w:lang w:val="fr-FR"/>
        </w:rPr>
        <w:t>2</w:t>
      </w:r>
      <w:r w:rsidR="00751BD0">
        <w:rPr>
          <w:noProof/>
          <w:lang w:val="fr-FR"/>
        </w:rPr>
        <w:t> </w:t>
      </w:r>
      <w:r w:rsidR="001B2F58" w:rsidRPr="00DD03D6">
        <w:rPr>
          <w:noProof/>
          <w:lang w:val="fr-FR"/>
        </w:rPr>
        <w:t xml:space="preserve">108 </w:t>
      </w:r>
      <w:r w:rsidR="00370F46">
        <w:rPr>
          <w:noProof/>
          <w:lang w:val="fr-FR"/>
        </w:rPr>
        <w:t xml:space="preserve">écoles </w:t>
      </w:r>
      <w:r w:rsidR="001B2F58" w:rsidRPr="00DD03D6">
        <w:rPr>
          <w:noProof/>
          <w:lang w:val="fr-FR"/>
        </w:rPr>
        <w:t>(64</w:t>
      </w:r>
      <w:r w:rsidR="003F1ADB">
        <w:rPr>
          <w:noProof/>
          <w:lang w:val="fr-FR"/>
        </w:rPr>
        <w:t> %</w:t>
      </w:r>
      <w:r w:rsidR="001B2F58" w:rsidRPr="00DD03D6">
        <w:rPr>
          <w:noProof/>
          <w:lang w:val="fr-FR"/>
        </w:rPr>
        <w:t xml:space="preserve"> </w:t>
      </w:r>
      <w:r w:rsidR="00370F46">
        <w:rPr>
          <w:noProof/>
          <w:lang w:val="fr-FR"/>
        </w:rPr>
        <w:t xml:space="preserve">des écoles primaires) et a donné lieu à la distribution de </w:t>
      </w:r>
      <w:r w:rsidR="001B2F58" w:rsidRPr="00DD03D6">
        <w:rPr>
          <w:noProof/>
          <w:lang w:val="fr-FR"/>
        </w:rPr>
        <w:t>9</w:t>
      </w:r>
      <w:r w:rsidR="00370F46">
        <w:rPr>
          <w:noProof/>
          <w:lang w:val="fr-FR"/>
        </w:rPr>
        <w:t>,</w:t>
      </w:r>
      <w:r w:rsidR="001B2F58" w:rsidRPr="00DD03D6">
        <w:rPr>
          <w:noProof/>
          <w:lang w:val="fr-FR"/>
        </w:rPr>
        <w:t>8 million</w:t>
      </w:r>
      <w:r w:rsidR="00370F46">
        <w:rPr>
          <w:noProof/>
          <w:lang w:val="fr-FR"/>
        </w:rPr>
        <w:t>s de</w:t>
      </w:r>
      <w:r w:rsidR="001B2F58" w:rsidRPr="00DD03D6">
        <w:rPr>
          <w:noProof/>
          <w:lang w:val="fr-FR"/>
        </w:rPr>
        <w:t xml:space="preserve"> portions </w:t>
      </w:r>
      <w:r w:rsidR="00370F46">
        <w:rPr>
          <w:noProof/>
          <w:lang w:val="fr-FR"/>
        </w:rPr>
        <w:t xml:space="preserve">de </w:t>
      </w:r>
      <w:r w:rsidR="001B2F58" w:rsidRPr="00DD03D6">
        <w:rPr>
          <w:noProof/>
          <w:lang w:val="fr-FR"/>
        </w:rPr>
        <w:t>fruit</w:t>
      </w:r>
      <w:r w:rsidR="00370F46">
        <w:rPr>
          <w:noProof/>
          <w:lang w:val="fr-FR"/>
        </w:rPr>
        <w:t xml:space="preserve">s et de légumes à </w:t>
      </w:r>
      <w:r w:rsidR="001B2F58" w:rsidRPr="00DD03D6">
        <w:rPr>
          <w:noProof/>
          <w:lang w:val="fr-FR"/>
        </w:rPr>
        <w:t>309</w:t>
      </w:r>
      <w:r w:rsidR="00751BD0">
        <w:rPr>
          <w:noProof/>
          <w:lang w:val="fr-FR"/>
        </w:rPr>
        <w:t> </w:t>
      </w:r>
      <w:r w:rsidR="001B2F58" w:rsidRPr="00DD03D6">
        <w:rPr>
          <w:noProof/>
          <w:lang w:val="fr-FR"/>
        </w:rPr>
        <w:t xml:space="preserve">000 </w:t>
      </w:r>
      <w:r w:rsidR="00370F46">
        <w:rPr>
          <w:noProof/>
          <w:lang w:val="fr-FR"/>
        </w:rPr>
        <w:t>enfants</w:t>
      </w:r>
      <w:r w:rsidR="001B2F58" w:rsidRPr="00DD03D6">
        <w:rPr>
          <w:noProof/>
          <w:lang w:val="fr-FR"/>
        </w:rPr>
        <w:t xml:space="preserve">. </w:t>
      </w:r>
      <w:r w:rsidR="00370F46">
        <w:rPr>
          <w:noProof/>
          <w:lang w:val="fr-FR"/>
        </w:rPr>
        <w:t>On envisage de l’</w:t>
      </w:r>
      <w:r w:rsidR="001B2F58" w:rsidRPr="00DD03D6">
        <w:rPr>
          <w:noProof/>
          <w:lang w:val="fr-FR"/>
        </w:rPr>
        <w:t>introdu</w:t>
      </w:r>
      <w:r w:rsidR="00370F46">
        <w:rPr>
          <w:noProof/>
          <w:lang w:val="fr-FR"/>
        </w:rPr>
        <w:t>ire dans</w:t>
      </w:r>
      <w:r w:rsidR="00751BD0">
        <w:rPr>
          <w:noProof/>
          <w:lang w:val="fr-FR"/>
        </w:rPr>
        <w:t xml:space="preserve"> 390 </w:t>
      </w:r>
      <w:r w:rsidR="00370F46">
        <w:rPr>
          <w:noProof/>
          <w:lang w:val="fr-FR"/>
        </w:rPr>
        <w:t xml:space="preserve">nouvelles écoles </w:t>
      </w:r>
      <w:r w:rsidR="001B2F58" w:rsidRPr="00DD03D6">
        <w:rPr>
          <w:noProof/>
          <w:lang w:val="fr-FR"/>
        </w:rPr>
        <w:t>(</w:t>
      </w:r>
      <w:r w:rsidR="00751BD0">
        <w:rPr>
          <w:noProof/>
          <w:lang w:val="fr-FR"/>
        </w:rPr>
        <w:t>environ 61 </w:t>
      </w:r>
      <w:r w:rsidR="001B2F58" w:rsidRPr="00DD03D6">
        <w:rPr>
          <w:noProof/>
          <w:lang w:val="fr-FR"/>
        </w:rPr>
        <w:t xml:space="preserve">000 </w:t>
      </w:r>
      <w:r w:rsidR="00370F46">
        <w:rPr>
          <w:noProof/>
          <w:lang w:val="fr-FR"/>
        </w:rPr>
        <w:t>enfants</w:t>
      </w:r>
      <w:r w:rsidR="001B2F58" w:rsidRPr="00DD03D6">
        <w:rPr>
          <w:noProof/>
          <w:lang w:val="fr-FR"/>
        </w:rPr>
        <w:t xml:space="preserve">) </w:t>
      </w:r>
      <w:r w:rsidR="00370F46">
        <w:rPr>
          <w:noProof/>
          <w:lang w:val="fr-FR"/>
        </w:rPr>
        <w:t xml:space="preserve">au cours de l’année scolaire </w:t>
      </w:r>
      <w:r w:rsidR="001B2F58" w:rsidRPr="00DD03D6">
        <w:rPr>
          <w:noProof/>
          <w:lang w:val="fr-FR"/>
        </w:rPr>
        <w:t>2012/</w:t>
      </w:r>
      <w:r w:rsidR="00370F46">
        <w:rPr>
          <w:noProof/>
          <w:lang w:val="fr-FR"/>
        </w:rPr>
        <w:t>20</w:t>
      </w:r>
      <w:r w:rsidR="001B2F58" w:rsidRPr="00DD03D6">
        <w:rPr>
          <w:noProof/>
          <w:lang w:val="fr-FR"/>
        </w:rPr>
        <w:t>13.</w:t>
      </w:r>
    </w:p>
    <w:p w:rsidR="001B2F58" w:rsidRPr="00DD03D6" w:rsidRDefault="00370F46" w:rsidP="00751BD0">
      <w:pPr>
        <w:pStyle w:val="Bullet1G"/>
        <w:tabs>
          <w:tab w:val="clear" w:pos="1701"/>
          <w:tab w:val="left" w:pos="1843"/>
          <w:tab w:val="left" w:pos="6237"/>
        </w:tabs>
        <w:ind w:left="1843" w:hanging="142"/>
        <w:rPr>
          <w:noProof/>
          <w:lang w:val="fr-FR"/>
        </w:rPr>
      </w:pPr>
      <w:r>
        <w:rPr>
          <w:noProof/>
          <w:lang w:val="fr-FR"/>
        </w:rPr>
        <w:t xml:space="preserve">La Stratégie nationale relative à la recherche et aux données sur la vie des enfants pour </w:t>
      </w:r>
      <w:r w:rsidR="001B2F58" w:rsidRPr="00DD03D6">
        <w:rPr>
          <w:noProof/>
          <w:lang w:val="fr-FR"/>
        </w:rPr>
        <w:t xml:space="preserve">2011-2016 </w:t>
      </w:r>
      <w:r>
        <w:rPr>
          <w:noProof/>
          <w:lang w:val="fr-FR"/>
        </w:rPr>
        <w:t>prévoit des mesures concernant les données et la recherche sur l’</w:t>
      </w:r>
      <w:r w:rsidR="001B2F58" w:rsidRPr="00DD03D6">
        <w:rPr>
          <w:noProof/>
          <w:lang w:val="fr-FR"/>
        </w:rPr>
        <w:t>ob</w:t>
      </w:r>
      <w:r>
        <w:rPr>
          <w:noProof/>
          <w:lang w:val="fr-FR"/>
        </w:rPr>
        <w:t>é</w:t>
      </w:r>
      <w:r w:rsidR="001B2F58" w:rsidRPr="00DD03D6">
        <w:rPr>
          <w:noProof/>
          <w:lang w:val="fr-FR"/>
        </w:rPr>
        <w:t>sit</w:t>
      </w:r>
      <w:r>
        <w:rPr>
          <w:noProof/>
          <w:lang w:val="fr-FR"/>
        </w:rPr>
        <w:t>é</w:t>
      </w:r>
      <w:r w:rsidR="001B2F58" w:rsidRPr="00DD03D6">
        <w:rPr>
          <w:noProof/>
          <w:lang w:val="fr-FR"/>
        </w:rPr>
        <w:t xml:space="preserve">, </w:t>
      </w:r>
      <w:r>
        <w:rPr>
          <w:noProof/>
          <w:lang w:val="fr-FR"/>
        </w:rPr>
        <w:t xml:space="preserve">la </w:t>
      </w:r>
      <w:r w:rsidR="001B2F58" w:rsidRPr="00DD03D6">
        <w:rPr>
          <w:noProof/>
          <w:lang w:val="fr-FR"/>
        </w:rPr>
        <w:t xml:space="preserve">nutrition </w:t>
      </w:r>
      <w:r>
        <w:rPr>
          <w:noProof/>
          <w:lang w:val="fr-FR"/>
        </w:rPr>
        <w:t xml:space="preserve">et l’activité </w:t>
      </w:r>
      <w:r w:rsidR="001B2F58" w:rsidRPr="00DD03D6">
        <w:rPr>
          <w:noProof/>
          <w:lang w:val="fr-FR"/>
        </w:rPr>
        <w:t>physi</w:t>
      </w:r>
      <w:r>
        <w:rPr>
          <w:noProof/>
          <w:lang w:val="fr-FR"/>
        </w:rPr>
        <w:t>que</w:t>
      </w:r>
      <w:r w:rsidR="001B2F58" w:rsidRPr="00DD03D6">
        <w:rPr>
          <w:noProof/>
          <w:lang w:val="fr-FR"/>
        </w:rPr>
        <w:t xml:space="preserve">, </w:t>
      </w:r>
      <w:r>
        <w:rPr>
          <w:noProof/>
          <w:lang w:val="fr-FR"/>
        </w:rPr>
        <w:t xml:space="preserve">notamment l’analyse des ensembles de données existants sur la </w:t>
      </w:r>
      <w:r w:rsidR="001B2F58" w:rsidRPr="00DD03D6">
        <w:rPr>
          <w:noProof/>
          <w:lang w:val="fr-FR"/>
        </w:rPr>
        <w:t xml:space="preserve">nutrition </w:t>
      </w:r>
      <w:r>
        <w:rPr>
          <w:noProof/>
          <w:lang w:val="fr-FR"/>
        </w:rPr>
        <w:t>et l’activité physique</w:t>
      </w:r>
      <w:r w:rsidR="001B2F58" w:rsidRPr="00DD03D6">
        <w:rPr>
          <w:noProof/>
          <w:lang w:val="fr-FR"/>
        </w:rPr>
        <w:t xml:space="preserve">, </w:t>
      </w:r>
      <w:r>
        <w:rPr>
          <w:noProof/>
          <w:lang w:val="fr-FR"/>
        </w:rPr>
        <w:t xml:space="preserve">l’élaboration de mesures adaptées pour suivre les résultats et l’examen des </w:t>
      </w:r>
      <w:r w:rsidR="001B2F58" w:rsidRPr="00DD03D6">
        <w:rPr>
          <w:noProof/>
          <w:lang w:val="fr-FR"/>
        </w:rPr>
        <w:t xml:space="preserve">options </w:t>
      </w:r>
      <w:r>
        <w:rPr>
          <w:noProof/>
          <w:lang w:val="fr-FR"/>
        </w:rPr>
        <w:t xml:space="preserve">en matière d’extension et d’amélioration des outils de collecte de données existants, toutes mesures </w:t>
      </w:r>
      <w:r w:rsidR="00235EC8">
        <w:rPr>
          <w:noProof/>
          <w:lang w:val="fr-FR"/>
        </w:rPr>
        <w:t xml:space="preserve">qui ont été arrêtées avec diverses </w:t>
      </w:r>
      <w:r w:rsidR="00E83488">
        <w:rPr>
          <w:noProof/>
          <w:lang w:val="fr-FR"/>
        </w:rPr>
        <w:t>acteurs</w:t>
      </w:r>
      <w:r w:rsidR="00235EC8">
        <w:rPr>
          <w:noProof/>
          <w:lang w:val="fr-FR"/>
        </w:rPr>
        <w:t>, dont le Centre n</w:t>
      </w:r>
      <w:r w:rsidR="001B2F58" w:rsidRPr="00DD03D6">
        <w:rPr>
          <w:noProof/>
          <w:lang w:val="fr-FR"/>
        </w:rPr>
        <w:t xml:space="preserve">ational </w:t>
      </w:r>
      <w:r w:rsidR="00235EC8">
        <w:rPr>
          <w:noProof/>
          <w:lang w:val="fr-FR"/>
        </w:rPr>
        <w:t>de s</w:t>
      </w:r>
      <w:r w:rsidR="001B2F58" w:rsidRPr="00DD03D6">
        <w:rPr>
          <w:noProof/>
          <w:lang w:val="fr-FR"/>
        </w:rPr>
        <w:t xml:space="preserve">urveillance </w:t>
      </w:r>
      <w:r w:rsidR="00235EC8">
        <w:rPr>
          <w:noProof/>
          <w:lang w:val="fr-FR"/>
        </w:rPr>
        <w:t>de la nutrition</w:t>
      </w:r>
      <w:r w:rsidR="001B2F58" w:rsidRPr="00DD03D6">
        <w:rPr>
          <w:noProof/>
          <w:lang w:val="fr-FR"/>
        </w:rPr>
        <w:t xml:space="preserve">, </w:t>
      </w:r>
      <w:r w:rsidR="00235EC8">
        <w:rPr>
          <w:noProof/>
          <w:lang w:val="fr-FR"/>
        </w:rPr>
        <w:t>la Direction des services de santé et le Conseil irlandais des sports</w:t>
      </w:r>
      <w:r w:rsidR="001B2F58" w:rsidRPr="00DD03D6">
        <w:rPr>
          <w:noProof/>
          <w:lang w:val="fr-FR"/>
        </w:rPr>
        <w:t>.</w:t>
      </w:r>
    </w:p>
    <w:p w:rsidR="001B2F58" w:rsidRPr="00DD03D6" w:rsidRDefault="00074833" w:rsidP="00751BD0">
      <w:pPr>
        <w:pStyle w:val="Bullet1G"/>
        <w:tabs>
          <w:tab w:val="clear" w:pos="1701"/>
          <w:tab w:val="left" w:pos="1843"/>
          <w:tab w:val="left" w:pos="6237"/>
        </w:tabs>
        <w:ind w:left="1843" w:hanging="142"/>
        <w:rPr>
          <w:noProof/>
          <w:lang w:val="fr-FR"/>
        </w:rPr>
      </w:pPr>
      <w:r>
        <w:rPr>
          <w:noProof/>
          <w:lang w:val="fr-FR"/>
        </w:rPr>
        <w:t xml:space="preserve">Dans le prolongement d’activités antérieures menées entre </w:t>
      </w:r>
      <w:r w:rsidR="001B2F58" w:rsidRPr="00DD03D6">
        <w:rPr>
          <w:noProof/>
          <w:lang w:val="fr-FR"/>
        </w:rPr>
        <w:t xml:space="preserve">2008 </w:t>
      </w:r>
      <w:r>
        <w:rPr>
          <w:noProof/>
          <w:lang w:val="fr-FR"/>
        </w:rPr>
        <w:t>et</w:t>
      </w:r>
      <w:r w:rsidR="001B2F58" w:rsidRPr="00DD03D6">
        <w:rPr>
          <w:noProof/>
          <w:lang w:val="fr-FR"/>
        </w:rPr>
        <w:t xml:space="preserve"> 2011, </w:t>
      </w:r>
      <w:r>
        <w:rPr>
          <w:noProof/>
          <w:lang w:val="fr-FR"/>
        </w:rPr>
        <w:t xml:space="preserve">la Direction de la radio et de la télédiffusion d’Irlande a entrepris de réexaminer ses codes de communications commerciales concernant l’ensemble de la population et les enfants. Ce réexamen est centré sur la question de savoir si et comment la </w:t>
      </w:r>
      <w:r w:rsidR="001B2F58" w:rsidRPr="00DD03D6">
        <w:rPr>
          <w:noProof/>
          <w:lang w:val="fr-FR"/>
        </w:rPr>
        <w:t xml:space="preserve">promotion </w:t>
      </w:r>
      <w:r>
        <w:rPr>
          <w:noProof/>
          <w:lang w:val="fr-FR"/>
        </w:rPr>
        <w:t>à l’intention des enfants de produits alimentaires et de boissons riches en graisses, en sel et en sucre devrait être réglementée à la radio et à la télévision irlandaises.</w:t>
      </w:r>
      <w:r w:rsidR="001B2F58" w:rsidRPr="00DD03D6">
        <w:rPr>
          <w:noProof/>
          <w:lang w:val="fr-FR"/>
        </w:rPr>
        <w:t xml:space="preserve"> </w:t>
      </w:r>
      <w:r>
        <w:rPr>
          <w:noProof/>
          <w:lang w:val="fr-FR"/>
        </w:rPr>
        <w:t>Dans le courant de l’année, la Direction de la radio et de la télédiffusion</w:t>
      </w:r>
      <w:r w:rsidR="00E92D3C">
        <w:rPr>
          <w:noProof/>
          <w:lang w:val="fr-FR"/>
        </w:rPr>
        <w:t xml:space="preserve"> </w:t>
      </w:r>
      <w:r>
        <w:rPr>
          <w:noProof/>
          <w:lang w:val="fr-FR"/>
        </w:rPr>
        <w:t xml:space="preserve">étudiera les résultats de la deuxième phase des consultations publiques menées sur cette question </w:t>
      </w:r>
      <w:r w:rsidR="006C0427">
        <w:rPr>
          <w:noProof/>
          <w:lang w:val="fr-FR"/>
        </w:rPr>
        <w:t>en vue de se doter de nouvelles règles au début de 2013.</w:t>
      </w:r>
    </w:p>
    <w:p w:rsidR="001B2F58" w:rsidRPr="00DD03D6" w:rsidRDefault="00B67BD3" w:rsidP="00B67BD3">
      <w:pPr>
        <w:pStyle w:val="H23G"/>
        <w:rPr>
          <w:noProof/>
          <w:lang w:val="fr-FR"/>
        </w:rPr>
      </w:pPr>
      <w:r w:rsidRPr="00DD03D6">
        <w:rPr>
          <w:noProof/>
          <w:lang w:val="fr-FR"/>
        </w:rPr>
        <w:tab/>
      </w:r>
      <w:r w:rsidRPr="00DD03D6">
        <w:rPr>
          <w:noProof/>
          <w:lang w:val="fr-FR"/>
        </w:rPr>
        <w:tab/>
      </w:r>
      <w:r w:rsidR="006C0427">
        <w:rPr>
          <w:noProof/>
          <w:lang w:val="fr-FR"/>
        </w:rPr>
        <w:t>Exercic</w:t>
      </w:r>
      <w:r w:rsidR="001B2F58" w:rsidRPr="00DD03D6">
        <w:rPr>
          <w:noProof/>
          <w:lang w:val="fr-FR"/>
        </w:rPr>
        <w:t>e</w:t>
      </w:r>
    </w:p>
    <w:p w:rsidR="001B2F58" w:rsidRPr="00DD03D6" w:rsidRDefault="002F04D3" w:rsidP="00B32F00">
      <w:pPr>
        <w:pStyle w:val="SingleTxtG"/>
        <w:numPr>
          <w:ilvl w:val="0"/>
          <w:numId w:val="3"/>
        </w:numPr>
        <w:ind w:left="1134" w:firstLine="0"/>
        <w:rPr>
          <w:i/>
          <w:iCs/>
          <w:noProof/>
          <w:lang w:val="fr-FR"/>
        </w:rPr>
      </w:pPr>
      <w:r>
        <w:rPr>
          <w:noProof/>
          <w:lang w:val="fr-FR"/>
        </w:rPr>
        <w:t xml:space="preserve">Le projet de recherche intitulé </w:t>
      </w:r>
      <w:r>
        <w:rPr>
          <w:lang w:val="fr-FR"/>
        </w:rPr>
        <w:t xml:space="preserve">Comportement des enfants d’âge scolaire en matière de santé </w:t>
      </w:r>
      <w:r w:rsidR="00C46428">
        <w:rPr>
          <w:lang w:val="fr-FR"/>
        </w:rPr>
        <w:t xml:space="preserve">(HBSC) </w:t>
      </w:r>
      <w:r>
        <w:rPr>
          <w:lang w:val="fr-FR"/>
        </w:rPr>
        <w:t>pour</w:t>
      </w:r>
      <w:r w:rsidRPr="00DD03D6">
        <w:rPr>
          <w:noProof/>
          <w:lang w:val="fr-FR"/>
        </w:rPr>
        <w:t xml:space="preserve"> </w:t>
      </w:r>
      <w:r w:rsidR="001B2F58" w:rsidRPr="00DD03D6">
        <w:rPr>
          <w:noProof/>
          <w:lang w:val="fr-FR"/>
        </w:rPr>
        <w:t xml:space="preserve">2006 </w:t>
      </w:r>
      <w:r w:rsidR="002156AB">
        <w:rPr>
          <w:noProof/>
          <w:lang w:val="fr-FR"/>
        </w:rPr>
        <w:t>a montré que plus de la moitié des élèves du primaire n’atteignai</w:t>
      </w:r>
      <w:r w:rsidR="00C46428">
        <w:rPr>
          <w:noProof/>
          <w:lang w:val="fr-FR"/>
        </w:rPr>
        <w:t>en</w:t>
      </w:r>
      <w:r w:rsidR="002156AB">
        <w:rPr>
          <w:noProof/>
          <w:lang w:val="fr-FR"/>
        </w:rPr>
        <w:t>t pas le niveau d’activité physique recommandé, tandis que parmi les enfants âgés</w:t>
      </w:r>
      <w:r w:rsidR="001B2F58" w:rsidRPr="00DD03D6">
        <w:rPr>
          <w:noProof/>
          <w:lang w:val="fr-FR"/>
        </w:rPr>
        <w:t xml:space="preserve"> </w:t>
      </w:r>
      <w:r w:rsidR="002156AB">
        <w:rPr>
          <w:noProof/>
          <w:lang w:val="fr-FR"/>
        </w:rPr>
        <w:t>de 15 ans, près de neuf filles sur 10 et sept garçons sur 10 n’atteignaient pas le niveau qui leur était recommandé</w:t>
      </w:r>
      <w:r w:rsidR="001B2F58" w:rsidRPr="00DD03D6">
        <w:rPr>
          <w:noProof/>
          <w:lang w:val="fr-FR"/>
        </w:rPr>
        <w:t xml:space="preserve">. </w:t>
      </w:r>
      <w:r w:rsidR="002156AB">
        <w:rPr>
          <w:noProof/>
          <w:lang w:val="fr-FR"/>
        </w:rPr>
        <w:t>E</w:t>
      </w:r>
      <w:r w:rsidR="001B2F58" w:rsidRPr="00DD03D6">
        <w:rPr>
          <w:noProof/>
          <w:lang w:val="fr-FR"/>
        </w:rPr>
        <w:t xml:space="preserve">n 2009, </w:t>
      </w:r>
      <w:r w:rsidR="002156AB">
        <w:rPr>
          <w:noProof/>
          <w:lang w:val="fr-FR"/>
        </w:rPr>
        <w:t xml:space="preserve">une étude réalisée pour le compte du Conseil irlandais du sport </w:t>
      </w:r>
      <w:r w:rsidR="001B2F58" w:rsidRPr="00DD03D6">
        <w:rPr>
          <w:noProof/>
          <w:lang w:val="fr-FR"/>
        </w:rPr>
        <w:t xml:space="preserve">a </w:t>
      </w:r>
      <w:r w:rsidR="002156AB">
        <w:rPr>
          <w:noProof/>
          <w:lang w:val="fr-FR"/>
        </w:rPr>
        <w:t xml:space="preserve">indiqué que seulement </w:t>
      </w:r>
      <w:r w:rsidR="001B2F58" w:rsidRPr="00DD03D6">
        <w:rPr>
          <w:noProof/>
          <w:lang w:val="fr-FR"/>
        </w:rPr>
        <w:t>19</w:t>
      </w:r>
      <w:r w:rsidR="003F1ADB">
        <w:rPr>
          <w:noProof/>
          <w:lang w:val="fr-FR"/>
        </w:rPr>
        <w:t> %</w:t>
      </w:r>
      <w:r w:rsidR="001B2F58" w:rsidRPr="00DD03D6">
        <w:rPr>
          <w:noProof/>
          <w:lang w:val="fr-FR"/>
        </w:rPr>
        <w:t xml:space="preserve"> </w:t>
      </w:r>
      <w:r w:rsidR="002156AB">
        <w:rPr>
          <w:noProof/>
          <w:lang w:val="fr-FR"/>
        </w:rPr>
        <w:t xml:space="preserve">des élèves du primaire et </w:t>
      </w:r>
      <w:r w:rsidR="001B2F58" w:rsidRPr="00DD03D6">
        <w:rPr>
          <w:noProof/>
          <w:lang w:val="fr-FR"/>
        </w:rPr>
        <w:t>12</w:t>
      </w:r>
      <w:r w:rsidR="003F1ADB">
        <w:rPr>
          <w:noProof/>
          <w:lang w:val="fr-FR"/>
        </w:rPr>
        <w:t> %</w:t>
      </w:r>
      <w:r w:rsidR="001B2F58" w:rsidRPr="00DD03D6">
        <w:rPr>
          <w:noProof/>
          <w:lang w:val="fr-FR"/>
        </w:rPr>
        <w:t xml:space="preserve"> </w:t>
      </w:r>
      <w:r w:rsidR="002156AB">
        <w:rPr>
          <w:noProof/>
          <w:lang w:val="fr-FR"/>
        </w:rPr>
        <w:t>des élèves du postprimaire suivaient les recommandations</w:t>
      </w:r>
      <w:r w:rsidR="00C46428">
        <w:rPr>
          <w:noProof/>
          <w:lang w:val="fr-FR"/>
        </w:rPr>
        <w:t xml:space="preserve"> du Ministère de la santé et de l’enfance en matière d’activité physique, à savoir au moins </w:t>
      </w:r>
      <w:r w:rsidR="001B2F58" w:rsidRPr="00DD03D6">
        <w:rPr>
          <w:noProof/>
          <w:lang w:val="fr-FR"/>
        </w:rPr>
        <w:t xml:space="preserve">60 minutes </w:t>
      </w:r>
      <w:r w:rsidR="00C46428">
        <w:rPr>
          <w:noProof/>
          <w:lang w:val="fr-FR"/>
        </w:rPr>
        <w:t>d’exercice modéré à vigoureux par jour</w:t>
      </w:r>
      <w:r w:rsidR="001B2F58" w:rsidRPr="00DD03D6">
        <w:rPr>
          <w:noProof/>
          <w:lang w:val="fr-FR"/>
        </w:rPr>
        <w:t xml:space="preserve">. </w:t>
      </w:r>
      <w:r w:rsidR="00C46428">
        <w:rPr>
          <w:noProof/>
          <w:lang w:val="fr-FR"/>
        </w:rPr>
        <w:t xml:space="preserve">Ces </w:t>
      </w:r>
      <w:r w:rsidR="001B2F58" w:rsidRPr="00DD03D6">
        <w:rPr>
          <w:noProof/>
          <w:lang w:val="fr-FR"/>
        </w:rPr>
        <w:t xml:space="preserve">proportions </w:t>
      </w:r>
      <w:r w:rsidR="00C46428">
        <w:rPr>
          <w:noProof/>
          <w:lang w:val="fr-FR"/>
        </w:rPr>
        <w:t xml:space="preserve">ne se sont pas améliorées depuis l’étude précédente réalisée en </w:t>
      </w:r>
      <w:r w:rsidR="001B2F58" w:rsidRPr="00DD03D6">
        <w:rPr>
          <w:noProof/>
          <w:lang w:val="fr-FR"/>
        </w:rPr>
        <w:t>2004.</w:t>
      </w:r>
    </w:p>
    <w:p w:rsidR="001B2F58" w:rsidRPr="00DD03D6" w:rsidRDefault="00C46428" w:rsidP="00FB0BA4">
      <w:pPr>
        <w:pStyle w:val="SingleTxtG"/>
        <w:numPr>
          <w:ilvl w:val="0"/>
          <w:numId w:val="3"/>
        </w:numPr>
        <w:ind w:left="1134" w:firstLine="0"/>
        <w:rPr>
          <w:i/>
          <w:iCs/>
          <w:noProof/>
          <w:lang w:val="fr-FR"/>
        </w:rPr>
      </w:pPr>
      <w:r>
        <w:rPr>
          <w:noProof/>
          <w:lang w:val="fr-FR"/>
        </w:rPr>
        <w:t xml:space="preserve">Sur </w:t>
      </w:r>
      <w:r w:rsidR="00EF368B">
        <w:rPr>
          <w:noProof/>
          <w:lang w:val="fr-FR"/>
        </w:rPr>
        <w:t xml:space="preserve">un </w:t>
      </w:r>
      <w:r>
        <w:rPr>
          <w:noProof/>
          <w:lang w:val="fr-FR"/>
        </w:rPr>
        <w:t xml:space="preserve">plan plus positif, le projet </w:t>
      </w:r>
      <w:r w:rsidR="001B2F58" w:rsidRPr="00DD03D6">
        <w:rPr>
          <w:noProof/>
          <w:lang w:val="fr-FR"/>
        </w:rPr>
        <w:t xml:space="preserve">HBSC </w:t>
      </w:r>
      <w:r>
        <w:rPr>
          <w:noProof/>
          <w:lang w:val="fr-FR"/>
        </w:rPr>
        <w:t xml:space="preserve">pour 2010 a montré que </w:t>
      </w:r>
      <w:r w:rsidR="001B2F58" w:rsidRPr="00DD03D6">
        <w:rPr>
          <w:noProof/>
          <w:lang w:val="fr-FR"/>
        </w:rPr>
        <w:t>53</w:t>
      </w:r>
      <w:r>
        <w:rPr>
          <w:noProof/>
          <w:lang w:val="fr-FR"/>
        </w:rPr>
        <w:t>,</w:t>
      </w:r>
      <w:r w:rsidR="001B2F58" w:rsidRPr="00DD03D6">
        <w:rPr>
          <w:noProof/>
          <w:lang w:val="fr-FR"/>
        </w:rPr>
        <w:t>1</w:t>
      </w:r>
      <w:r w:rsidR="003F1ADB">
        <w:rPr>
          <w:noProof/>
          <w:lang w:val="fr-FR"/>
        </w:rPr>
        <w:t> %</w:t>
      </w:r>
      <w:r w:rsidR="001B2F58" w:rsidRPr="00DD03D6">
        <w:rPr>
          <w:noProof/>
          <w:lang w:val="fr-FR"/>
        </w:rPr>
        <w:t xml:space="preserve"> </w:t>
      </w:r>
      <w:r>
        <w:rPr>
          <w:noProof/>
          <w:lang w:val="fr-FR"/>
        </w:rPr>
        <w:t xml:space="preserve">des enfants âgés de </w:t>
      </w:r>
      <w:r w:rsidR="001B2F58" w:rsidRPr="00DD03D6">
        <w:rPr>
          <w:noProof/>
          <w:lang w:val="fr-FR"/>
        </w:rPr>
        <w:t>10</w:t>
      </w:r>
      <w:r>
        <w:rPr>
          <w:noProof/>
          <w:lang w:val="fr-FR"/>
        </w:rPr>
        <w:t xml:space="preserve"> à </w:t>
      </w:r>
      <w:r w:rsidR="001B2F58" w:rsidRPr="00DD03D6">
        <w:rPr>
          <w:noProof/>
          <w:lang w:val="fr-FR"/>
        </w:rPr>
        <w:t xml:space="preserve">17 </w:t>
      </w:r>
      <w:r>
        <w:rPr>
          <w:noProof/>
          <w:lang w:val="fr-FR"/>
        </w:rPr>
        <w:t xml:space="preserve">ans signalaient faire de l’exercice physique pendant au moins </w:t>
      </w:r>
      <w:r w:rsidR="001B2F58" w:rsidRPr="00DD03D6">
        <w:rPr>
          <w:noProof/>
          <w:lang w:val="fr-FR"/>
        </w:rPr>
        <w:t>60 minutes p</w:t>
      </w:r>
      <w:r w:rsidR="00EF368B">
        <w:rPr>
          <w:noProof/>
          <w:lang w:val="fr-FR"/>
        </w:rPr>
        <w:t>a</w:t>
      </w:r>
      <w:r w:rsidR="001B2F58" w:rsidRPr="00DD03D6">
        <w:rPr>
          <w:noProof/>
          <w:lang w:val="fr-FR"/>
        </w:rPr>
        <w:t xml:space="preserve">r </w:t>
      </w:r>
      <w:r w:rsidR="00EF368B">
        <w:rPr>
          <w:noProof/>
          <w:lang w:val="fr-FR"/>
        </w:rPr>
        <w:t>jour plus de quatre jours par semaine</w:t>
      </w:r>
      <w:r w:rsidR="001B2F58" w:rsidRPr="00DD03D6">
        <w:rPr>
          <w:noProof/>
          <w:lang w:val="fr-FR"/>
        </w:rPr>
        <w:t>.</w:t>
      </w:r>
    </w:p>
    <w:p w:rsidR="001B2F58" w:rsidRPr="00DD03D6" w:rsidRDefault="00EF368B" w:rsidP="00FB0BA4">
      <w:pPr>
        <w:pStyle w:val="SingleTxtG"/>
        <w:numPr>
          <w:ilvl w:val="0"/>
          <w:numId w:val="3"/>
        </w:numPr>
        <w:ind w:left="1134" w:firstLine="0"/>
        <w:rPr>
          <w:i/>
          <w:iCs/>
          <w:noProof/>
          <w:lang w:val="fr-FR"/>
        </w:rPr>
      </w:pPr>
      <w:r>
        <w:rPr>
          <w:noProof/>
          <w:lang w:val="fr-FR"/>
        </w:rPr>
        <w:t>Le Comité n</w:t>
      </w:r>
      <w:r w:rsidR="001B2F58" w:rsidRPr="00DD03D6">
        <w:rPr>
          <w:noProof/>
          <w:lang w:val="fr-FR"/>
        </w:rPr>
        <w:t xml:space="preserve">ational </w:t>
      </w:r>
      <w:r>
        <w:rPr>
          <w:noProof/>
          <w:lang w:val="fr-FR"/>
        </w:rPr>
        <w:t>de pilotage sur l’activité physique a entrepris d’élaborer un document directif national sur l’activité physique</w:t>
      </w:r>
      <w:r w:rsidR="001B2F58" w:rsidRPr="00DD03D6">
        <w:rPr>
          <w:noProof/>
          <w:lang w:val="fr-FR"/>
        </w:rPr>
        <w:t xml:space="preserve">. </w:t>
      </w:r>
      <w:r>
        <w:rPr>
          <w:noProof/>
          <w:lang w:val="fr-FR"/>
        </w:rPr>
        <w:t>Ce document fera des recomma</w:t>
      </w:r>
      <w:r w:rsidR="001B2F58" w:rsidRPr="00DD03D6">
        <w:rPr>
          <w:noProof/>
          <w:lang w:val="fr-FR"/>
        </w:rPr>
        <w:t xml:space="preserve">ndations </w:t>
      </w:r>
      <w:r>
        <w:rPr>
          <w:noProof/>
          <w:lang w:val="fr-FR"/>
        </w:rPr>
        <w:t>spécifiques concernant les niveaux d’activité des enfants et les mesures à prendre pour les augmenter</w:t>
      </w:r>
      <w:r w:rsidR="001B2F58" w:rsidRPr="00DD03D6">
        <w:rPr>
          <w:noProof/>
          <w:lang w:val="fr-FR"/>
        </w:rPr>
        <w:t>.</w:t>
      </w:r>
    </w:p>
    <w:p w:rsidR="001B2F58" w:rsidRPr="00DD03D6" w:rsidRDefault="00EF368B" w:rsidP="0043465D">
      <w:pPr>
        <w:pStyle w:val="SingleTxtG"/>
        <w:numPr>
          <w:ilvl w:val="0"/>
          <w:numId w:val="3"/>
        </w:numPr>
        <w:ind w:left="1134" w:firstLine="0"/>
        <w:rPr>
          <w:i/>
          <w:iCs/>
          <w:noProof/>
          <w:lang w:val="fr-FR"/>
        </w:rPr>
      </w:pPr>
      <w:r>
        <w:rPr>
          <w:noProof/>
          <w:lang w:val="fr-FR"/>
        </w:rPr>
        <w:t xml:space="preserve">La Direction des services de santé gère le site Web </w:t>
      </w:r>
      <w:r w:rsidR="001B2F58" w:rsidRPr="00DD03D6">
        <w:rPr>
          <w:noProof/>
          <w:lang w:val="fr-FR"/>
        </w:rPr>
        <w:t>Get Ireland Active (</w:t>
      </w:r>
      <w:hyperlink r:id="rId33" w:history="1">
        <w:r w:rsidR="001B2F58" w:rsidRPr="00DD03D6">
          <w:rPr>
            <w:rStyle w:val="Lienhypertexte"/>
            <w:noProof/>
            <w:color w:val="0000FF"/>
            <w:u w:val="single"/>
            <w:lang w:val="fr-FR"/>
          </w:rPr>
          <w:t>www.getactive.ie</w:t>
        </w:r>
      </w:hyperlink>
      <w:r w:rsidR="001B2F58" w:rsidRPr="00DD03D6">
        <w:rPr>
          <w:noProof/>
          <w:lang w:val="fr-FR"/>
        </w:rPr>
        <w:t xml:space="preserve">), </w:t>
      </w:r>
      <w:r>
        <w:rPr>
          <w:noProof/>
          <w:lang w:val="fr-FR"/>
        </w:rPr>
        <w:t xml:space="preserve">qui fournit des conseils et des </w:t>
      </w:r>
      <w:r w:rsidR="001B2F58" w:rsidRPr="00DD03D6">
        <w:rPr>
          <w:noProof/>
          <w:lang w:val="fr-FR"/>
        </w:rPr>
        <w:t>information</w:t>
      </w:r>
      <w:r>
        <w:rPr>
          <w:noProof/>
          <w:lang w:val="fr-FR"/>
        </w:rPr>
        <w:t>s</w:t>
      </w:r>
      <w:r w:rsidR="001B2F58" w:rsidRPr="00DD03D6">
        <w:rPr>
          <w:noProof/>
          <w:lang w:val="fr-FR"/>
        </w:rPr>
        <w:t xml:space="preserve"> </w:t>
      </w:r>
      <w:r>
        <w:rPr>
          <w:noProof/>
          <w:lang w:val="fr-FR"/>
        </w:rPr>
        <w:t xml:space="preserve">sur l’activité physique, </w:t>
      </w:r>
      <w:r>
        <w:rPr>
          <w:noProof/>
          <w:lang w:val="fr-FR"/>
        </w:rPr>
        <w:lastRenderedPageBreak/>
        <w:t xml:space="preserve">notamment la promotion de l’activité physique parmi les enfants </w:t>
      </w:r>
      <w:r w:rsidR="001B2F58" w:rsidRPr="00DD03D6">
        <w:rPr>
          <w:noProof/>
          <w:lang w:val="fr-FR"/>
        </w:rPr>
        <w:t>(</w:t>
      </w:r>
      <w:r>
        <w:rPr>
          <w:noProof/>
          <w:lang w:val="fr-FR"/>
        </w:rPr>
        <w:t xml:space="preserve">voir les </w:t>
      </w:r>
      <w:r w:rsidR="0043465D" w:rsidRPr="00DD03D6">
        <w:rPr>
          <w:noProof/>
          <w:lang w:val="fr-FR"/>
        </w:rPr>
        <w:t>p</w:t>
      </w:r>
      <w:r w:rsidR="00796A7C" w:rsidRPr="00DD03D6">
        <w:rPr>
          <w:noProof/>
          <w:lang w:val="fr-FR"/>
        </w:rPr>
        <w:t>ar</w:t>
      </w:r>
      <w:r w:rsidR="00751BD0">
        <w:rPr>
          <w:noProof/>
          <w:lang w:val="fr-FR"/>
        </w:rPr>
        <w:t>agraphes</w:t>
      </w:r>
      <w:r w:rsidR="00796A7C" w:rsidRPr="00DD03D6">
        <w:rPr>
          <w:noProof/>
          <w:lang w:val="fr-FR"/>
        </w:rPr>
        <w:t> </w:t>
      </w:r>
      <w:r w:rsidR="0043465D" w:rsidRPr="00DD03D6">
        <w:rPr>
          <w:noProof/>
          <w:lang w:val="fr-FR"/>
        </w:rPr>
        <w:t>500</w:t>
      </w:r>
      <w:r w:rsidR="00751BD0">
        <w:rPr>
          <w:noProof/>
          <w:lang w:val="fr-FR"/>
        </w:rPr>
        <w:t xml:space="preserve"> et </w:t>
      </w:r>
      <w:r w:rsidR="0043465D" w:rsidRPr="00DD03D6">
        <w:rPr>
          <w:noProof/>
          <w:lang w:val="fr-FR"/>
        </w:rPr>
        <w:t>501</w:t>
      </w:r>
      <w:r w:rsidR="001B2F58" w:rsidRPr="00DD03D6">
        <w:rPr>
          <w:noProof/>
          <w:lang w:val="fr-FR"/>
        </w:rPr>
        <w:t xml:space="preserve">). </w:t>
      </w:r>
      <w:r>
        <w:rPr>
          <w:noProof/>
          <w:lang w:val="fr-FR"/>
        </w:rPr>
        <w:t>E</w:t>
      </w:r>
      <w:r w:rsidR="001B2F58" w:rsidRPr="00DD03D6">
        <w:rPr>
          <w:noProof/>
          <w:lang w:val="fr-FR"/>
        </w:rPr>
        <w:t xml:space="preserve">n </w:t>
      </w:r>
      <w:r>
        <w:rPr>
          <w:noProof/>
          <w:lang w:val="fr-FR"/>
        </w:rPr>
        <w:t>outre, elle a élaboré les Directives nationales relatives à l’</w:t>
      </w:r>
      <w:r w:rsidR="00F71148">
        <w:rPr>
          <w:noProof/>
          <w:lang w:val="fr-FR"/>
        </w:rPr>
        <w:t>activité physique</w:t>
      </w:r>
      <w:r>
        <w:rPr>
          <w:noProof/>
          <w:lang w:val="fr-FR"/>
        </w:rPr>
        <w:t xml:space="preserve">, dont une section </w:t>
      </w:r>
      <w:r w:rsidR="00F71148">
        <w:rPr>
          <w:noProof/>
          <w:lang w:val="fr-FR"/>
        </w:rPr>
        <w:t>traite des moyens de</w:t>
      </w:r>
      <w:r w:rsidR="001B2F58" w:rsidRPr="00DD03D6">
        <w:rPr>
          <w:noProof/>
          <w:lang w:val="fr-FR"/>
        </w:rPr>
        <w:t xml:space="preserve"> promo</w:t>
      </w:r>
      <w:r w:rsidR="00F71148">
        <w:rPr>
          <w:noProof/>
          <w:lang w:val="fr-FR"/>
        </w:rPr>
        <w:t>uvoir l’activité physique parmi les enfants et les jeunes</w:t>
      </w:r>
      <w:r w:rsidR="001B2F58" w:rsidRPr="00DD03D6">
        <w:rPr>
          <w:noProof/>
          <w:lang w:val="fr-FR"/>
        </w:rPr>
        <w:t>.</w:t>
      </w:r>
    </w:p>
    <w:p w:rsidR="001B2F58" w:rsidRPr="00DD03D6" w:rsidRDefault="00F71148" w:rsidP="00F71148">
      <w:pPr>
        <w:pStyle w:val="H23G"/>
        <w:ind w:firstLine="0"/>
        <w:rPr>
          <w:noProof/>
          <w:lang w:val="fr-FR"/>
        </w:rPr>
      </w:pPr>
      <w:r>
        <w:rPr>
          <w:noProof/>
          <w:lang w:val="fr-FR"/>
        </w:rPr>
        <w:t>Santé mentale de l’enfant et de l’</w:t>
      </w:r>
      <w:r w:rsidR="001B2F58" w:rsidRPr="00DD03D6">
        <w:rPr>
          <w:noProof/>
          <w:lang w:val="fr-FR"/>
        </w:rPr>
        <w:t xml:space="preserve">adolescent </w:t>
      </w:r>
    </w:p>
    <w:p w:rsidR="001B2F58" w:rsidRPr="00DD03D6" w:rsidRDefault="00F71148" w:rsidP="00FB0BA4">
      <w:pPr>
        <w:pStyle w:val="SingleTxtG"/>
        <w:numPr>
          <w:ilvl w:val="0"/>
          <w:numId w:val="3"/>
        </w:numPr>
        <w:ind w:left="1134" w:firstLine="0"/>
        <w:rPr>
          <w:noProof/>
          <w:lang w:val="fr-FR"/>
        </w:rPr>
      </w:pPr>
      <w:r>
        <w:rPr>
          <w:i/>
          <w:iCs/>
          <w:noProof/>
          <w:lang w:val="fr-FR"/>
        </w:rPr>
        <w:t xml:space="preserve">Une vision pour le changement : Rapport du Groupe d’experts sur la politique en matière de santé mentale </w:t>
      </w:r>
      <w:r>
        <w:rPr>
          <w:iCs/>
          <w:noProof/>
          <w:lang w:val="fr-FR"/>
        </w:rPr>
        <w:t>(</w:t>
      </w:r>
      <w:r w:rsidR="001B2F58" w:rsidRPr="00DD03D6">
        <w:rPr>
          <w:i/>
          <w:iCs/>
          <w:noProof/>
          <w:lang w:val="fr-FR"/>
        </w:rPr>
        <w:t>A Vision for Change: Report of the Expert Group on Mental Health Policy</w:t>
      </w:r>
      <w:r>
        <w:rPr>
          <w:noProof/>
          <w:lang w:val="fr-FR"/>
        </w:rPr>
        <w:t xml:space="preserve">), rapport publié par le Ministère de la santé et de l’enfance en </w:t>
      </w:r>
      <w:r w:rsidR="001B2F58" w:rsidRPr="00DD03D6">
        <w:rPr>
          <w:noProof/>
          <w:lang w:val="fr-FR"/>
        </w:rPr>
        <w:t>2006, pr</w:t>
      </w:r>
      <w:r w:rsidR="0059552F">
        <w:rPr>
          <w:noProof/>
          <w:lang w:val="fr-FR"/>
        </w:rPr>
        <w:t>é</w:t>
      </w:r>
      <w:r w:rsidR="001B2F58" w:rsidRPr="00DD03D6">
        <w:rPr>
          <w:noProof/>
          <w:lang w:val="fr-FR"/>
        </w:rPr>
        <w:t>sent</w:t>
      </w:r>
      <w:r w:rsidR="0059552F">
        <w:rPr>
          <w:noProof/>
          <w:lang w:val="fr-FR"/>
        </w:rPr>
        <w:t>e un schéma d’organisation d’un service de santé mentale moderne et de qualité</w:t>
      </w:r>
      <w:r w:rsidR="001B2F58" w:rsidRPr="00DD03D6">
        <w:rPr>
          <w:noProof/>
          <w:lang w:val="fr-FR"/>
        </w:rPr>
        <w:t xml:space="preserve">. </w:t>
      </w:r>
      <w:r w:rsidR="0059552F">
        <w:rPr>
          <w:noProof/>
          <w:lang w:val="fr-FR"/>
        </w:rPr>
        <w:t xml:space="preserve">Cette stratégie nationale en matière de santé a pris acte des lacunes de la prestation de services de santé mentale aux enfants et aux </w:t>
      </w:r>
      <w:r w:rsidR="001B2F58" w:rsidRPr="00DD03D6">
        <w:rPr>
          <w:noProof/>
          <w:lang w:val="fr-FR"/>
        </w:rPr>
        <w:t>adolescent</w:t>
      </w:r>
      <w:r w:rsidR="0059552F">
        <w:rPr>
          <w:noProof/>
          <w:lang w:val="fr-FR"/>
        </w:rPr>
        <w:t>s</w:t>
      </w:r>
      <w:r w:rsidR="001B2F58" w:rsidRPr="00DD03D6">
        <w:rPr>
          <w:noProof/>
          <w:lang w:val="fr-FR"/>
        </w:rPr>
        <w:t xml:space="preserve"> </w:t>
      </w:r>
      <w:r w:rsidR="0059552F">
        <w:rPr>
          <w:noProof/>
          <w:lang w:val="fr-FR"/>
        </w:rPr>
        <w:t>et fait un certain nombre de recomma</w:t>
      </w:r>
      <w:r w:rsidR="001B2F58" w:rsidRPr="00DD03D6">
        <w:rPr>
          <w:noProof/>
          <w:lang w:val="fr-FR"/>
        </w:rPr>
        <w:t xml:space="preserve">ndations </w:t>
      </w:r>
      <w:r w:rsidR="0059552F">
        <w:rPr>
          <w:noProof/>
          <w:lang w:val="fr-FR"/>
        </w:rPr>
        <w:t>tendant à les améliorer, en mettant en relief la nécessité d’augmenter le nombre de lits pour enfants et adolescents hospitalisés et d’équipes pluridisciplinaires</w:t>
      </w:r>
      <w:r w:rsidR="001B2F58" w:rsidRPr="00DD03D6">
        <w:rPr>
          <w:noProof/>
          <w:lang w:val="fr-FR"/>
        </w:rPr>
        <w:t xml:space="preserve">. </w:t>
      </w:r>
      <w:r w:rsidR="0059552F">
        <w:rPr>
          <w:noProof/>
          <w:lang w:val="fr-FR"/>
        </w:rPr>
        <w:t xml:space="preserve">Depuis quelques années, la Direction des services de santé met tout particulièrement l’accent sur le développement des services de santé mentale pour les enfants et les adolescents, l’amélioration de l’accès des patients à l’hôpital </w:t>
      </w:r>
      <w:r w:rsidR="001D7045">
        <w:rPr>
          <w:noProof/>
          <w:lang w:val="fr-FR"/>
        </w:rPr>
        <w:t>et la diminution du temps d’attente pour évaluation</w:t>
      </w:r>
      <w:r w:rsidR="001B2F58" w:rsidRPr="00DD03D6">
        <w:rPr>
          <w:noProof/>
          <w:lang w:val="fr-FR"/>
        </w:rPr>
        <w:t xml:space="preserve">. </w:t>
      </w:r>
      <w:r w:rsidR="001D7045">
        <w:rPr>
          <w:noProof/>
          <w:lang w:val="fr-FR"/>
        </w:rPr>
        <w:t>Des progrès importants ont été enregistrés sur tous ces fronts</w:t>
      </w:r>
      <w:r w:rsidR="001B2F58" w:rsidRPr="00DD03D6">
        <w:rPr>
          <w:noProof/>
          <w:lang w:val="fr-FR"/>
        </w:rPr>
        <w:t xml:space="preserve">. </w:t>
      </w:r>
      <w:r w:rsidR="001D7045">
        <w:rPr>
          <w:noProof/>
          <w:lang w:val="fr-FR"/>
        </w:rPr>
        <w:t>Il est prévu de poursuivre le développement de</w:t>
      </w:r>
      <w:r w:rsidR="00BB00A8">
        <w:rPr>
          <w:noProof/>
          <w:lang w:val="fr-FR"/>
        </w:rPr>
        <w:t>s</w:t>
      </w:r>
      <w:r w:rsidR="001D7045">
        <w:rPr>
          <w:noProof/>
          <w:lang w:val="fr-FR"/>
        </w:rPr>
        <w:t xml:space="preserve"> services de soins en établissement et de</w:t>
      </w:r>
      <w:r w:rsidR="00BB00A8">
        <w:rPr>
          <w:noProof/>
          <w:lang w:val="fr-FR"/>
        </w:rPr>
        <w:t>s</w:t>
      </w:r>
      <w:r w:rsidR="001D7045">
        <w:rPr>
          <w:noProof/>
          <w:lang w:val="fr-FR"/>
        </w:rPr>
        <w:t xml:space="preserve"> services communautaires dans ce domaine spécifique, s’agissant notamment des questions relatives au handicap intellectuel ou aux soins cliniques</w:t>
      </w:r>
      <w:r w:rsidR="00BB00A8">
        <w:rPr>
          <w:noProof/>
          <w:lang w:val="fr-FR"/>
        </w:rPr>
        <w:t>, concernant par exemple les troubles de l’alimentation et l’automutilation</w:t>
      </w:r>
      <w:r w:rsidR="001B2F58" w:rsidRPr="00DD03D6">
        <w:rPr>
          <w:noProof/>
          <w:lang w:val="fr-FR"/>
        </w:rPr>
        <w:t>.</w:t>
      </w:r>
    </w:p>
    <w:p w:rsidR="001B2F58" w:rsidRPr="00DD03D6" w:rsidRDefault="006F7AE4" w:rsidP="00FB0BA4">
      <w:pPr>
        <w:pStyle w:val="SingleTxtG"/>
        <w:numPr>
          <w:ilvl w:val="0"/>
          <w:numId w:val="3"/>
        </w:numPr>
        <w:ind w:left="1134" w:firstLine="0"/>
        <w:rPr>
          <w:noProof/>
          <w:lang w:val="fr-FR"/>
        </w:rPr>
      </w:pPr>
      <w:r>
        <w:rPr>
          <w:noProof/>
          <w:lang w:val="fr-FR"/>
        </w:rPr>
        <w:t>Le développement des Services de santé mentale pour enfants et a</w:t>
      </w:r>
      <w:r w:rsidR="001B2F58" w:rsidRPr="00DD03D6">
        <w:rPr>
          <w:noProof/>
          <w:lang w:val="fr-FR"/>
        </w:rPr>
        <w:t>dolescent</w:t>
      </w:r>
      <w:r>
        <w:rPr>
          <w:noProof/>
          <w:lang w:val="fr-FR"/>
        </w:rPr>
        <w:t>s</w:t>
      </w:r>
      <w:r w:rsidR="001B2F58" w:rsidRPr="00DD03D6">
        <w:rPr>
          <w:noProof/>
          <w:lang w:val="fr-FR"/>
        </w:rPr>
        <w:t xml:space="preserve"> (CAMHS) </w:t>
      </w:r>
      <w:r>
        <w:rPr>
          <w:noProof/>
          <w:lang w:val="fr-FR"/>
        </w:rPr>
        <w:t xml:space="preserve">repose sur la création de </w:t>
      </w:r>
      <w:r w:rsidR="001B2F58" w:rsidRPr="00DD03D6">
        <w:rPr>
          <w:noProof/>
          <w:lang w:val="fr-FR"/>
        </w:rPr>
        <w:t xml:space="preserve">99 </w:t>
      </w:r>
      <w:r>
        <w:rPr>
          <w:noProof/>
          <w:lang w:val="fr-FR"/>
        </w:rPr>
        <w:t>équipes pluridisciplinaires</w:t>
      </w:r>
      <w:r w:rsidR="001B2F58" w:rsidRPr="00DD03D6">
        <w:rPr>
          <w:noProof/>
          <w:lang w:val="fr-FR"/>
        </w:rPr>
        <w:t xml:space="preserve">, </w:t>
      </w:r>
      <w:r>
        <w:rPr>
          <w:noProof/>
          <w:lang w:val="fr-FR"/>
        </w:rPr>
        <w:t xml:space="preserve">dont </w:t>
      </w:r>
      <w:r w:rsidR="001B2F58" w:rsidRPr="00DD03D6">
        <w:rPr>
          <w:noProof/>
          <w:lang w:val="fr-FR"/>
        </w:rPr>
        <w:t xml:space="preserve">61 </w:t>
      </w:r>
      <w:r>
        <w:rPr>
          <w:noProof/>
          <w:lang w:val="fr-FR"/>
        </w:rPr>
        <w:t xml:space="preserve">sont déjà en </w:t>
      </w:r>
      <w:r w:rsidR="001B2F58" w:rsidRPr="00DD03D6">
        <w:rPr>
          <w:noProof/>
          <w:lang w:val="fr-FR"/>
        </w:rPr>
        <w:t xml:space="preserve">place. </w:t>
      </w:r>
      <w:r>
        <w:rPr>
          <w:noProof/>
          <w:lang w:val="fr-FR"/>
        </w:rPr>
        <w:t>E</w:t>
      </w:r>
      <w:r w:rsidR="001B2F58" w:rsidRPr="00DD03D6">
        <w:rPr>
          <w:noProof/>
          <w:lang w:val="fr-FR"/>
        </w:rPr>
        <w:t xml:space="preserve">n 2011, 56 </w:t>
      </w:r>
      <w:r>
        <w:rPr>
          <w:noProof/>
          <w:lang w:val="fr-FR"/>
        </w:rPr>
        <w:t xml:space="preserve">équipes étaient opérationnelles, avec un effectif de </w:t>
      </w:r>
      <w:r w:rsidR="001B2F58" w:rsidRPr="00DD03D6">
        <w:rPr>
          <w:noProof/>
          <w:lang w:val="fr-FR"/>
        </w:rPr>
        <w:t xml:space="preserve">465 </w:t>
      </w:r>
      <w:r>
        <w:rPr>
          <w:noProof/>
          <w:lang w:val="fr-FR"/>
        </w:rPr>
        <w:t>équivalents temps plein</w:t>
      </w:r>
      <w:r w:rsidR="001B2F58" w:rsidRPr="00DD03D6">
        <w:rPr>
          <w:noProof/>
          <w:lang w:val="fr-FR"/>
        </w:rPr>
        <w:t xml:space="preserve">, </w:t>
      </w:r>
      <w:r>
        <w:rPr>
          <w:noProof/>
          <w:lang w:val="fr-FR"/>
        </w:rPr>
        <w:t xml:space="preserve">soit </w:t>
      </w:r>
      <w:r w:rsidR="001B2F58" w:rsidRPr="00DD03D6">
        <w:rPr>
          <w:noProof/>
          <w:lang w:val="fr-FR"/>
        </w:rPr>
        <w:t>64</w:t>
      </w:r>
      <w:r w:rsidR="003F1ADB">
        <w:rPr>
          <w:noProof/>
          <w:lang w:val="fr-FR"/>
        </w:rPr>
        <w:t> %</w:t>
      </w:r>
      <w:r w:rsidR="001B2F58" w:rsidRPr="00DD03D6">
        <w:rPr>
          <w:noProof/>
          <w:lang w:val="fr-FR"/>
        </w:rPr>
        <w:t xml:space="preserve"> </w:t>
      </w:r>
      <w:r>
        <w:rPr>
          <w:noProof/>
          <w:lang w:val="fr-FR"/>
        </w:rPr>
        <w:t>de l’effectif recommandé</w:t>
      </w:r>
      <w:r w:rsidR="001B2F58" w:rsidRPr="00DD03D6">
        <w:rPr>
          <w:noProof/>
          <w:lang w:val="fr-FR"/>
        </w:rPr>
        <w:t xml:space="preserve">. </w:t>
      </w:r>
      <w:r>
        <w:rPr>
          <w:noProof/>
          <w:lang w:val="fr-FR"/>
        </w:rPr>
        <w:t>L’effectif des deux équipes de l’</w:t>
      </w:r>
      <w:r w:rsidR="001B2F58" w:rsidRPr="00DD03D6">
        <w:rPr>
          <w:noProof/>
          <w:lang w:val="fr-FR"/>
        </w:rPr>
        <w:t xml:space="preserve">Adolescent Mental Day Hospital </w:t>
      </w:r>
      <w:r>
        <w:rPr>
          <w:noProof/>
          <w:lang w:val="fr-FR"/>
        </w:rPr>
        <w:t xml:space="preserve">et des trois équipes de liaison représentait </w:t>
      </w:r>
      <w:r w:rsidR="001B2F58" w:rsidRPr="00DD03D6">
        <w:rPr>
          <w:noProof/>
          <w:lang w:val="fr-FR"/>
        </w:rPr>
        <w:t>84</w:t>
      </w:r>
      <w:r w:rsidR="003F1ADB">
        <w:rPr>
          <w:noProof/>
          <w:lang w:val="fr-FR"/>
        </w:rPr>
        <w:t> %</w:t>
      </w:r>
      <w:r w:rsidR="001B2F58" w:rsidRPr="00DD03D6">
        <w:rPr>
          <w:noProof/>
          <w:lang w:val="fr-FR"/>
        </w:rPr>
        <w:t xml:space="preserve"> </w:t>
      </w:r>
      <w:r>
        <w:rPr>
          <w:noProof/>
          <w:lang w:val="fr-FR"/>
        </w:rPr>
        <w:t>de l’effectif recommandé</w:t>
      </w:r>
      <w:r w:rsidR="001B2F58" w:rsidRPr="00DD03D6">
        <w:rPr>
          <w:noProof/>
          <w:lang w:val="fr-FR"/>
        </w:rPr>
        <w:t xml:space="preserve">. </w:t>
      </w:r>
      <w:r w:rsidR="004168AF">
        <w:rPr>
          <w:noProof/>
          <w:lang w:val="fr-FR"/>
        </w:rPr>
        <w:t>E</w:t>
      </w:r>
      <w:r w:rsidR="001B2F58" w:rsidRPr="00DD03D6">
        <w:rPr>
          <w:noProof/>
          <w:lang w:val="fr-FR"/>
        </w:rPr>
        <w:t>n 2011, 8</w:t>
      </w:r>
      <w:r w:rsidR="004168AF">
        <w:rPr>
          <w:noProof/>
          <w:lang w:val="fr-FR"/>
        </w:rPr>
        <w:t xml:space="preserve"> </w:t>
      </w:r>
      <w:r w:rsidR="001B2F58" w:rsidRPr="00DD03D6">
        <w:rPr>
          <w:noProof/>
          <w:lang w:val="fr-FR"/>
        </w:rPr>
        <w:t xml:space="preserve">114 </w:t>
      </w:r>
      <w:r w:rsidR="004168AF">
        <w:rPr>
          <w:noProof/>
          <w:lang w:val="fr-FR"/>
        </w:rPr>
        <w:t xml:space="preserve">enfants se sont vu accorder un premier rendez-vous et ont été examinés dans les </w:t>
      </w:r>
      <w:r w:rsidR="001B2F58" w:rsidRPr="00DD03D6">
        <w:rPr>
          <w:noProof/>
          <w:lang w:val="fr-FR"/>
        </w:rPr>
        <w:t xml:space="preserve">CAMHS, </w:t>
      </w:r>
      <w:r w:rsidR="004168AF">
        <w:rPr>
          <w:noProof/>
          <w:lang w:val="fr-FR"/>
        </w:rPr>
        <w:t xml:space="preserve">soit </w:t>
      </w:r>
      <w:r w:rsidR="001B2F58" w:rsidRPr="00DD03D6">
        <w:rPr>
          <w:noProof/>
          <w:lang w:val="fr-FR"/>
        </w:rPr>
        <w:t>8</w:t>
      </w:r>
      <w:r w:rsidR="004168AF">
        <w:rPr>
          <w:noProof/>
          <w:lang w:val="fr-FR"/>
        </w:rPr>
        <w:t>,</w:t>
      </w:r>
      <w:r w:rsidR="001B2F58" w:rsidRPr="00DD03D6">
        <w:rPr>
          <w:noProof/>
          <w:lang w:val="fr-FR"/>
        </w:rPr>
        <w:t>5</w:t>
      </w:r>
      <w:r w:rsidR="003F1ADB">
        <w:rPr>
          <w:noProof/>
          <w:lang w:val="fr-FR"/>
        </w:rPr>
        <w:t> %</w:t>
      </w:r>
      <w:r w:rsidR="001B2F58" w:rsidRPr="00DD03D6">
        <w:rPr>
          <w:noProof/>
          <w:lang w:val="fr-FR"/>
        </w:rPr>
        <w:t xml:space="preserve"> </w:t>
      </w:r>
      <w:r w:rsidR="004168AF">
        <w:rPr>
          <w:noProof/>
          <w:lang w:val="fr-FR"/>
        </w:rPr>
        <w:t>de plus que l’année précédente</w:t>
      </w:r>
      <w:r w:rsidR="001B2F58" w:rsidRPr="00DD03D6">
        <w:rPr>
          <w:noProof/>
          <w:lang w:val="fr-FR"/>
        </w:rPr>
        <w:t xml:space="preserve">. </w:t>
      </w:r>
      <w:r w:rsidR="004168AF">
        <w:rPr>
          <w:noProof/>
          <w:lang w:val="fr-FR"/>
        </w:rPr>
        <w:t xml:space="preserve">Les </w:t>
      </w:r>
      <w:r w:rsidR="001B2F58" w:rsidRPr="00DD03D6">
        <w:rPr>
          <w:noProof/>
          <w:lang w:val="fr-FR"/>
        </w:rPr>
        <w:t xml:space="preserve">CAMHS </w:t>
      </w:r>
      <w:r w:rsidR="004168AF">
        <w:rPr>
          <w:noProof/>
          <w:lang w:val="fr-FR"/>
        </w:rPr>
        <w:t xml:space="preserve">traitent </w:t>
      </w:r>
      <w:r w:rsidR="00A7392C">
        <w:rPr>
          <w:noProof/>
          <w:lang w:val="fr-FR"/>
        </w:rPr>
        <w:t xml:space="preserve">au même moment quelque </w:t>
      </w:r>
      <w:r w:rsidR="001B2F58" w:rsidRPr="00DD03D6">
        <w:rPr>
          <w:noProof/>
          <w:lang w:val="fr-FR"/>
        </w:rPr>
        <w:t>16</w:t>
      </w:r>
      <w:r w:rsidR="00751BD0">
        <w:rPr>
          <w:noProof/>
          <w:lang w:val="fr-FR"/>
        </w:rPr>
        <w:t> </w:t>
      </w:r>
      <w:r w:rsidR="001B2F58" w:rsidRPr="00DD03D6">
        <w:rPr>
          <w:noProof/>
          <w:lang w:val="fr-FR"/>
        </w:rPr>
        <w:t xml:space="preserve">000 </w:t>
      </w:r>
      <w:r w:rsidR="004168AF">
        <w:rPr>
          <w:noProof/>
          <w:lang w:val="fr-FR"/>
        </w:rPr>
        <w:t>cas</w:t>
      </w:r>
      <w:r w:rsidR="001B2F58" w:rsidRPr="00DD03D6">
        <w:rPr>
          <w:noProof/>
          <w:lang w:val="fr-FR"/>
        </w:rPr>
        <w:t>.</w:t>
      </w:r>
    </w:p>
    <w:p w:rsidR="001B2F58" w:rsidRPr="00DD03D6" w:rsidRDefault="009C1034" w:rsidP="0073464A">
      <w:pPr>
        <w:pStyle w:val="SingleTxtG"/>
        <w:numPr>
          <w:ilvl w:val="0"/>
          <w:numId w:val="3"/>
        </w:numPr>
        <w:ind w:left="1134" w:firstLine="0"/>
        <w:rPr>
          <w:noProof/>
          <w:lang w:val="fr-FR" w:eastAsia="en-GB"/>
        </w:rPr>
      </w:pPr>
      <w:r>
        <w:rPr>
          <w:noProof/>
          <w:lang w:val="fr-FR"/>
        </w:rPr>
        <w:t xml:space="preserve">Le rapport annuel des </w:t>
      </w:r>
      <w:r w:rsidR="001B2F58" w:rsidRPr="00DD03D6">
        <w:rPr>
          <w:noProof/>
          <w:lang w:val="fr-FR"/>
        </w:rPr>
        <w:t xml:space="preserve">CAMHS </w:t>
      </w:r>
      <w:r>
        <w:rPr>
          <w:noProof/>
          <w:lang w:val="fr-FR"/>
        </w:rPr>
        <w:t xml:space="preserve">pour 2012 a utilisé les données du recensement de </w:t>
      </w:r>
      <w:r w:rsidR="001B2F58" w:rsidRPr="00DD03D6">
        <w:rPr>
          <w:noProof/>
          <w:lang w:val="fr-FR"/>
        </w:rPr>
        <w:t xml:space="preserve">2011, </w:t>
      </w:r>
      <w:r>
        <w:rPr>
          <w:noProof/>
          <w:lang w:val="fr-FR"/>
        </w:rPr>
        <w:t xml:space="preserve">une fois qu’elles ont été confirmées et disponibles </w:t>
      </w:r>
      <w:r w:rsidR="00990DE4">
        <w:rPr>
          <w:noProof/>
          <w:lang w:val="fr-FR"/>
        </w:rPr>
        <w:t>par âge</w:t>
      </w:r>
      <w:r w:rsidR="001B2F58" w:rsidRPr="00DD03D6">
        <w:rPr>
          <w:noProof/>
          <w:lang w:val="fr-FR"/>
        </w:rPr>
        <w:t>. I</w:t>
      </w:r>
      <w:r w:rsidR="00E61D7B">
        <w:rPr>
          <w:noProof/>
          <w:lang w:val="fr-FR"/>
        </w:rPr>
        <w:t xml:space="preserve">l est vrai que le rapport </w:t>
      </w:r>
      <w:r w:rsidR="00E61D7B">
        <w:rPr>
          <w:i/>
          <w:iCs/>
          <w:noProof/>
          <w:lang w:val="fr-FR"/>
        </w:rPr>
        <w:t>Une vision pour le changement </w:t>
      </w:r>
      <w:r w:rsidR="00E61D7B">
        <w:rPr>
          <w:iCs/>
          <w:noProof/>
          <w:lang w:val="fr-FR"/>
        </w:rPr>
        <w:t xml:space="preserve">a </w:t>
      </w:r>
      <w:r w:rsidR="003F36DD">
        <w:rPr>
          <w:noProof/>
          <w:lang w:val="fr-FR"/>
        </w:rPr>
        <w:t>« </w:t>
      </w:r>
      <w:r w:rsidR="001B2F58" w:rsidRPr="00DD03D6">
        <w:rPr>
          <w:noProof/>
          <w:lang w:val="fr-FR"/>
        </w:rPr>
        <w:t>prescri</w:t>
      </w:r>
      <w:r w:rsidR="00E61D7B">
        <w:rPr>
          <w:noProof/>
          <w:lang w:val="fr-FR"/>
        </w:rPr>
        <w:t>t</w:t>
      </w:r>
      <w:r w:rsidR="003F36DD">
        <w:rPr>
          <w:noProof/>
          <w:lang w:val="fr-FR"/>
        </w:rPr>
        <w:t> »</w:t>
      </w:r>
      <w:r w:rsidR="001B2F58" w:rsidRPr="00DD03D6">
        <w:rPr>
          <w:noProof/>
          <w:lang w:val="fr-FR"/>
        </w:rPr>
        <w:t xml:space="preserve"> </w:t>
      </w:r>
      <w:r w:rsidR="00E61D7B">
        <w:rPr>
          <w:noProof/>
          <w:lang w:val="fr-FR"/>
        </w:rPr>
        <w:t xml:space="preserve">des </w:t>
      </w:r>
      <w:r w:rsidR="001B2F58" w:rsidRPr="00DD03D6">
        <w:rPr>
          <w:noProof/>
          <w:lang w:val="fr-FR"/>
        </w:rPr>
        <w:t xml:space="preserve">services </w:t>
      </w:r>
      <w:r w:rsidR="00E61D7B">
        <w:rPr>
          <w:noProof/>
          <w:lang w:val="fr-FR"/>
        </w:rPr>
        <w:t xml:space="preserve">selon l’effectif de la </w:t>
      </w:r>
      <w:r w:rsidR="001B2F58" w:rsidRPr="00DD03D6">
        <w:rPr>
          <w:noProof/>
          <w:lang w:val="fr-FR"/>
        </w:rPr>
        <w:t>population (</w:t>
      </w:r>
      <w:r w:rsidR="002F1619">
        <w:rPr>
          <w:noProof/>
          <w:lang w:val="fr-FR"/>
        </w:rPr>
        <w:t>e</w:t>
      </w:r>
      <w:r w:rsidR="001B2F58" w:rsidRPr="00DD03D6">
        <w:rPr>
          <w:noProof/>
          <w:lang w:val="fr-FR"/>
        </w:rPr>
        <w:t>n fa</w:t>
      </w:r>
      <w:r w:rsidR="002F1619">
        <w:rPr>
          <w:noProof/>
          <w:lang w:val="fr-FR"/>
        </w:rPr>
        <w:t>i</w:t>
      </w:r>
      <w:r w:rsidR="001B2F58" w:rsidRPr="00DD03D6">
        <w:rPr>
          <w:noProof/>
          <w:lang w:val="fr-FR"/>
        </w:rPr>
        <w:t xml:space="preserve">t, </w:t>
      </w:r>
      <w:r w:rsidR="002F1619">
        <w:rPr>
          <w:noProof/>
          <w:lang w:val="fr-FR"/>
        </w:rPr>
        <w:t xml:space="preserve">il était obligé d’utiliser des données projetées à partir du recensement de </w:t>
      </w:r>
      <w:r w:rsidR="001B2F58" w:rsidRPr="00DD03D6">
        <w:rPr>
          <w:noProof/>
          <w:lang w:val="fr-FR"/>
        </w:rPr>
        <w:t xml:space="preserve">2001 </w:t>
      </w:r>
      <w:r w:rsidR="002F1619">
        <w:rPr>
          <w:noProof/>
          <w:lang w:val="fr-FR"/>
        </w:rPr>
        <w:t xml:space="preserve">puisqu’il a été présenté en janvier </w:t>
      </w:r>
      <w:r w:rsidR="001B2F58" w:rsidRPr="00DD03D6">
        <w:rPr>
          <w:noProof/>
          <w:lang w:val="fr-FR"/>
        </w:rPr>
        <w:t xml:space="preserve">2006, </w:t>
      </w:r>
      <w:r w:rsidR="002F1619">
        <w:rPr>
          <w:noProof/>
          <w:lang w:val="fr-FR"/>
        </w:rPr>
        <w:t xml:space="preserve">soit trois mois avant le recensement de </w:t>
      </w:r>
      <w:r w:rsidR="001B2F58" w:rsidRPr="00DD03D6">
        <w:rPr>
          <w:noProof/>
          <w:lang w:val="fr-FR"/>
        </w:rPr>
        <w:t>2006)</w:t>
      </w:r>
      <w:r w:rsidR="002F1619">
        <w:rPr>
          <w:noProof/>
          <w:lang w:val="fr-FR"/>
        </w:rPr>
        <w:t>.</w:t>
      </w:r>
      <w:r w:rsidR="001B2F58" w:rsidRPr="00DD03D6">
        <w:rPr>
          <w:noProof/>
          <w:lang w:val="fr-FR"/>
        </w:rPr>
        <w:t xml:space="preserve"> </w:t>
      </w:r>
      <w:r w:rsidR="002F1619">
        <w:rPr>
          <w:noProof/>
          <w:lang w:val="fr-FR"/>
        </w:rPr>
        <w:t xml:space="preserve">Étant donné que l’accroissement de la </w:t>
      </w:r>
      <w:r w:rsidR="001B2F58" w:rsidRPr="00DD03D6">
        <w:rPr>
          <w:noProof/>
          <w:lang w:val="fr-FR"/>
        </w:rPr>
        <w:t xml:space="preserve">population </w:t>
      </w:r>
      <w:r w:rsidR="002F1619">
        <w:rPr>
          <w:noProof/>
          <w:lang w:val="fr-FR"/>
        </w:rPr>
        <w:t xml:space="preserve">concerne principalement </w:t>
      </w:r>
      <w:r w:rsidR="001B2F58" w:rsidRPr="00DD03D6">
        <w:rPr>
          <w:noProof/>
          <w:lang w:val="fr-FR"/>
        </w:rPr>
        <w:t>(</w:t>
      </w:r>
      <w:r w:rsidR="002F1619">
        <w:rPr>
          <w:noProof/>
          <w:lang w:val="fr-FR"/>
        </w:rPr>
        <w:t xml:space="preserve">mais non </w:t>
      </w:r>
      <w:r w:rsidR="001B2F58" w:rsidRPr="00DD03D6">
        <w:rPr>
          <w:noProof/>
          <w:lang w:val="fr-FR"/>
        </w:rPr>
        <w:t>exclusive</w:t>
      </w:r>
      <w:r w:rsidR="002F1619">
        <w:rPr>
          <w:noProof/>
          <w:lang w:val="fr-FR"/>
        </w:rPr>
        <w:t>ment</w:t>
      </w:r>
      <w:r w:rsidR="001B2F58" w:rsidRPr="00DD03D6">
        <w:rPr>
          <w:noProof/>
          <w:lang w:val="fr-FR"/>
        </w:rPr>
        <w:t xml:space="preserve">) </w:t>
      </w:r>
      <w:r w:rsidR="002F1619">
        <w:rPr>
          <w:noProof/>
          <w:lang w:val="fr-FR"/>
        </w:rPr>
        <w:t xml:space="preserve">les enfants de moins de </w:t>
      </w:r>
      <w:r w:rsidR="00751BD0">
        <w:rPr>
          <w:noProof/>
          <w:lang w:val="fr-FR"/>
        </w:rPr>
        <w:t>5 </w:t>
      </w:r>
      <w:r w:rsidR="002F1619">
        <w:rPr>
          <w:noProof/>
          <w:lang w:val="fr-FR"/>
        </w:rPr>
        <w:t>ans</w:t>
      </w:r>
      <w:r w:rsidR="001B2F58" w:rsidRPr="00DD03D6">
        <w:rPr>
          <w:noProof/>
          <w:lang w:val="fr-FR"/>
        </w:rPr>
        <w:t xml:space="preserve">, </w:t>
      </w:r>
      <w:r w:rsidR="002F1619">
        <w:rPr>
          <w:noProof/>
          <w:lang w:val="fr-FR"/>
        </w:rPr>
        <w:t xml:space="preserve">cela se traduit directement par une augmentation de la demande de </w:t>
      </w:r>
      <w:r w:rsidR="001B2F58" w:rsidRPr="00DD03D6">
        <w:rPr>
          <w:noProof/>
          <w:lang w:val="fr-FR"/>
        </w:rPr>
        <w:t xml:space="preserve">CAMHS </w:t>
      </w:r>
      <w:r w:rsidR="002F1619">
        <w:rPr>
          <w:noProof/>
          <w:lang w:val="fr-FR"/>
        </w:rPr>
        <w:t>et d’autres services destinés aux enfants</w:t>
      </w:r>
      <w:r w:rsidR="001B2F58" w:rsidRPr="00DD03D6">
        <w:rPr>
          <w:noProof/>
          <w:lang w:val="fr-FR"/>
        </w:rPr>
        <w:t xml:space="preserve">. </w:t>
      </w:r>
      <w:r w:rsidR="002F1619">
        <w:rPr>
          <w:noProof/>
          <w:lang w:val="fr-FR"/>
        </w:rPr>
        <w:t xml:space="preserve">Le rapport annuel sur les </w:t>
      </w:r>
      <w:r w:rsidR="001B2F58" w:rsidRPr="00DD03D6">
        <w:rPr>
          <w:noProof/>
          <w:lang w:val="fr-FR"/>
        </w:rPr>
        <w:t xml:space="preserve">CAMHS </w:t>
      </w:r>
      <w:r w:rsidR="002F1619">
        <w:rPr>
          <w:noProof/>
          <w:lang w:val="fr-FR"/>
        </w:rPr>
        <w:t xml:space="preserve">a pour objectif de rendre compte de façon complète et </w:t>
      </w:r>
      <w:r w:rsidR="001B2F58" w:rsidRPr="00DD03D6">
        <w:rPr>
          <w:noProof/>
          <w:lang w:val="fr-FR"/>
        </w:rPr>
        <w:t>transparent</w:t>
      </w:r>
      <w:r w:rsidR="002F1619">
        <w:rPr>
          <w:noProof/>
          <w:lang w:val="fr-FR"/>
        </w:rPr>
        <w:t>e</w:t>
      </w:r>
      <w:r w:rsidR="001B2F58" w:rsidRPr="00DD03D6">
        <w:rPr>
          <w:noProof/>
          <w:lang w:val="fr-FR"/>
        </w:rPr>
        <w:t xml:space="preserve"> </w:t>
      </w:r>
      <w:r w:rsidR="002F1619">
        <w:rPr>
          <w:noProof/>
          <w:lang w:val="fr-FR"/>
        </w:rPr>
        <w:t xml:space="preserve">de la capacité, </w:t>
      </w:r>
      <w:r w:rsidR="00925875">
        <w:rPr>
          <w:noProof/>
          <w:lang w:val="fr-FR"/>
        </w:rPr>
        <w:t xml:space="preserve">de l’approche et du bilan des </w:t>
      </w:r>
      <w:r w:rsidR="001B2F58" w:rsidRPr="00DD03D6">
        <w:rPr>
          <w:noProof/>
          <w:lang w:val="fr-FR"/>
        </w:rPr>
        <w:t>service</w:t>
      </w:r>
      <w:r w:rsidR="00925875">
        <w:rPr>
          <w:noProof/>
          <w:lang w:val="fr-FR"/>
        </w:rPr>
        <w:t>s fournis</w:t>
      </w:r>
      <w:r w:rsidR="001B2F58" w:rsidRPr="00DD03D6">
        <w:rPr>
          <w:noProof/>
          <w:lang w:val="fr-FR"/>
        </w:rPr>
        <w:t xml:space="preserve">. </w:t>
      </w:r>
      <w:r w:rsidR="003A5C5B">
        <w:rPr>
          <w:noProof/>
          <w:lang w:val="fr-FR"/>
        </w:rPr>
        <w:t>Le besoin d’équipes supplémentaires est bien connu et demeure un objectif primordial dans la planification des services de la Direction des services de santé</w:t>
      </w:r>
      <w:r w:rsidR="001B2F58" w:rsidRPr="00DD03D6">
        <w:rPr>
          <w:noProof/>
          <w:lang w:val="fr-FR"/>
        </w:rPr>
        <w:t xml:space="preserve">. </w:t>
      </w:r>
      <w:r w:rsidR="003A5C5B">
        <w:rPr>
          <w:noProof/>
          <w:lang w:val="fr-FR"/>
        </w:rPr>
        <w:t xml:space="preserve">Par exemple, en </w:t>
      </w:r>
      <w:r w:rsidR="001B2F58" w:rsidRPr="00DD03D6">
        <w:rPr>
          <w:noProof/>
          <w:lang w:val="fr-FR"/>
        </w:rPr>
        <w:t>2013</w:t>
      </w:r>
      <w:r w:rsidR="003A5C5B">
        <w:rPr>
          <w:noProof/>
          <w:lang w:val="fr-FR"/>
        </w:rPr>
        <w:t>, il s’agit de recruter 80 équivalents temps plein (ETP) supplémentaires pour compléter les équipes des</w:t>
      </w:r>
      <w:r w:rsidR="0073464A" w:rsidRPr="00DD03D6">
        <w:rPr>
          <w:noProof/>
          <w:lang w:val="fr-FR"/>
        </w:rPr>
        <w:t xml:space="preserve"> </w:t>
      </w:r>
      <w:r w:rsidR="001B2F58" w:rsidRPr="00DD03D6">
        <w:rPr>
          <w:noProof/>
          <w:lang w:val="fr-FR"/>
        </w:rPr>
        <w:t>CAMHS (</w:t>
      </w:r>
      <w:r w:rsidR="003A5C5B">
        <w:rPr>
          <w:noProof/>
          <w:lang w:val="fr-FR"/>
        </w:rPr>
        <w:t xml:space="preserve">ce nombre est limité par la disponibilité de personnel ayant les compétences et aptitudes nécessaire pour travailler avec des enfants </w:t>
      </w:r>
      <w:r w:rsidR="00E235BD">
        <w:rPr>
          <w:noProof/>
          <w:lang w:val="fr-FR"/>
        </w:rPr>
        <w:t>ayant des besoins en matière de santé mentale</w:t>
      </w:r>
      <w:r w:rsidR="001B2F58" w:rsidRPr="00DD03D6">
        <w:rPr>
          <w:noProof/>
          <w:lang w:val="fr-FR"/>
        </w:rPr>
        <w:t>).</w:t>
      </w:r>
    </w:p>
    <w:p w:rsidR="001B2F58" w:rsidRPr="00DD03D6" w:rsidRDefault="00E235BD" w:rsidP="00FB0BA4">
      <w:pPr>
        <w:pStyle w:val="SingleTxtG"/>
        <w:numPr>
          <w:ilvl w:val="0"/>
          <w:numId w:val="3"/>
        </w:numPr>
        <w:ind w:left="1134" w:firstLine="0"/>
        <w:rPr>
          <w:noProof/>
          <w:lang w:val="fr-FR" w:eastAsia="en-GB"/>
        </w:rPr>
      </w:pPr>
      <w:r>
        <w:rPr>
          <w:noProof/>
          <w:lang w:val="fr-FR"/>
        </w:rPr>
        <w:t xml:space="preserve">La Direction des services de santé a presque inversé le profil des enfants admis dans des unités pour adultes, ramené de </w:t>
      </w:r>
      <w:r w:rsidR="001B2F58" w:rsidRPr="00DD03D6">
        <w:rPr>
          <w:noProof/>
          <w:lang w:val="fr-FR"/>
        </w:rPr>
        <w:t>75</w:t>
      </w:r>
      <w:r w:rsidR="003F1ADB">
        <w:rPr>
          <w:noProof/>
          <w:lang w:val="fr-FR"/>
        </w:rPr>
        <w:t> %</w:t>
      </w:r>
      <w:r w:rsidR="001B2F58" w:rsidRPr="00DD03D6">
        <w:rPr>
          <w:noProof/>
          <w:lang w:val="fr-FR"/>
        </w:rPr>
        <w:t xml:space="preserve"> </w:t>
      </w:r>
      <w:r>
        <w:rPr>
          <w:noProof/>
          <w:lang w:val="fr-FR"/>
        </w:rPr>
        <w:t>à</w:t>
      </w:r>
      <w:r w:rsidR="001B2F58" w:rsidRPr="00DD03D6">
        <w:rPr>
          <w:noProof/>
          <w:lang w:val="fr-FR"/>
        </w:rPr>
        <w:t xml:space="preserve"> 25</w:t>
      </w:r>
      <w:r w:rsidR="003F1ADB">
        <w:rPr>
          <w:noProof/>
          <w:lang w:val="fr-FR"/>
        </w:rPr>
        <w:t> %</w:t>
      </w:r>
      <w:r w:rsidR="001B2F58" w:rsidRPr="00DD03D6">
        <w:rPr>
          <w:noProof/>
          <w:lang w:val="fr-FR"/>
        </w:rPr>
        <w:t xml:space="preserve">, </w:t>
      </w:r>
      <w:r>
        <w:rPr>
          <w:noProof/>
          <w:lang w:val="fr-FR"/>
        </w:rPr>
        <w:t>et les enfants sont désormais admis dans leur majorité dans un cadre approprié à leur âge</w:t>
      </w:r>
      <w:r w:rsidR="001B2F58" w:rsidRPr="00DD03D6">
        <w:rPr>
          <w:noProof/>
          <w:lang w:val="fr-FR"/>
        </w:rPr>
        <w:t xml:space="preserve">. </w:t>
      </w:r>
      <w:r>
        <w:rPr>
          <w:noProof/>
          <w:lang w:val="fr-FR"/>
        </w:rPr>
        <w:t xml:space="preserve">Il est prévu d’avancer dans la réalisation de cet objectif à mesure que des lits supplémentaires pour </w:t>
      </w:r>
      <w:r w:rsidR="001B2F58" w:rsidRPr="00DD03D6">
        <w:rPr>
          <w:noProof/>
          <w:lang w:val="fr-FR"/>
        </w:rPr>
        <w:t xml:space="preserve">CAMHS </w:t>
      </w:r>
      <w:r>
        <w:rPr>
          <w:noProof/>
          <w:lang w:val="fr-FR"/>
        </w:rPr>
        <w:t xml:space="preserve">seront obtenus en </w:t>
      </w:r>
      <w:r w:rsidR="001B2F58" w:rsidRPr="00DD03D6">
        <w:rPr>
          <w:noProof/>
          <w:lang w:val="fr-FR"/>
        </w:rPr>
        <w:t xml:space="preserve">2013. </w:t>
      </w:r>
      <w:r>
        <w:rPr>
          <w:noProof/>
          <w:lang w:val="fr-FR"/>
        </w:rPr>
        <w:t>La Commission de la santé mentale a conscience de la réalité clinique selon laquell</w:t>
      </w:r>
      <w:r w:rsidR="0052142F">
        <w:rPr>
          <w:noProof/>
          <w:lang w:val="fr-FR"/>
        </w:rPr>
        <w:t xml:space="preserve">e </w:t>
      </w:r>
      <w:r w:rsidR="0052142F">
        <w:rPr>
          <w:noProof/>
          <w:lang w:val="fr-FR"/>
        </w:rPr>
        <w:lastRenderedPageBreak/>
        <w:t>certains enfants devront ê</w:t>
      </w:r>
      <w:r>
        <w:rPr>
          <w:noProof/>
          <w:lang w:val="fr-FR"/>
        </w:rPr>
        <w:t xml:space="preserve">tre admis dans un cadre pour adultes </w:t>
      </w:r>
      <w:r w:rsidR="00786347">
        <w:rPr>
          <w:noProof/>
          <w:lang w:val="fr-FR"/>
        </w:rPr>
        <w:t xml:space="preserve">pour des raisons qui tiennent à </w:t>
      </w:r>
      <w:r w:rsidR="0052142F">
        <w:rPr>
          <w:noProof/>
          <w:lang w:val="fr-FR"/>
        </w:rPr>
        <w:t xml:space="preserve">leur présentation, </w:t>
      </w:r>
      <w:r w:rsidR="00786347">
        <w:rPr>
          <w:noProof/>
          <w:lang w:val="fr-FR"/>
        </w:rPr>
        <w:t xml:space="preserve">à </w:t>
      </w:r>
      <w:r w:rsidR="0052142F">
        <w:rPr>
          <w:noProof/>
          <w:lang w:val="fr-FR"/>
        </w:rPr>
        <w:t xml:space="preserve">leur niveau de maturité, </w:t>
      </w:r>
      <w:r w:rsidR="00786347">
        <w:rPr>
          <w:noProof/>
          <w:lang w:val="fr-FR"/>
        </w:rPr>
        <w:t xml:space="preserve">à </w:t>
      </w:r>
      <w:r w:rsidR="0052142F">
        <w:rPr>
          <w:noProof/>
          <w:lang w:val="fr-FR"/>
        </w:rPr>
        <w:t xml:space="preserve">l’acuité clinique de leur cas, </w:t>
      </w:r>
      <w:r w:rsidR="00786347">
        <w:rPr>
          <w:noProof/>
          <w:lang w:val="fr-FR"/>
        </w:rPr>
        <w:t xml:space="preserve">à </w:t>
      </w:r>
      <w:r w:rsidR="0052142F">
        <w:rPr>
          <w:noProof/>
          <w:lang w:val="fr-FR"/>
        </w:rPr>
        <w:t xml:space="preserve">la menace physique </w:t>
      </w:r>
      <w:r w:rsidR="00786347">
        <w:rPr>
          <w:noProof/>
          <w:lang w:val="fr-FR"/>
        </w:rPr>
        <w:t xml:space="preserve">qu’ils représentent </w:t>
      </w:r>
      <w:r w:rsidR="00292312">
        <w:rPr>
          <w:noProof/>
          <w:lang w:val="fr-FR"/>
        </w:rPr>
        <w:t xml:space="preserve">ou </w:t>
      </w:r>
      <w:r w:rsidR="00786347">
        <w:rPr>
          <w:noProof/>
          <w:lang w:val="fr-FR"/>
        </w:rPr>
        <w:t xml:space="preserve">au fait qu’il serait inapproprié de </w:t>
      </w:r>
      <w:r w:rsidR="00292312">
        <w:rPr>
          <w:noProof/>
          <w:lang w:val="fr-FR"/>
        </w:rPr>
        <w:t>les accueillir dans les même</w:t>
      </w:r>
      <w:r w:rsidR="00786347">
        <w:rPr>
          <w:noProof/>
          <w:lang w:val="fr-FR"/>
        </w:rPr>
        <w:t>s locaux que les autres enfants. L’admission dans un cadre pour adultes est de courte durée et tous les enfants se trouvant dans ce cas se verront assigner un membre du personnel</w:t>
      </w:r>
      <w:r w:rsidR="001B2F58" w:rsidRPr="00DD03D6">
        <w:rPr>
          <w:noProof/>
          <w:lang w:val="fr-FR"/>
        </w:rPr>
        <w:t>.</w:t>
      </w:r>
    </w:p>
    <w:p w:rsidR="001B2F58" w:rsidRPr="00DD03D6" w:rsidRDefault="004465AA" w:rsidP="0088436E">
      <w:pPr>
        <w:pStyle w:val="SingleTxtG"/>
        <w:numPr>
          <w:ilvl w:val="0"/>
          <w:numId w:val="3"/>
        </w:numPr>
        <w:ind w:left="1134" w:firstLine="0"/>
        <w:rPr>
          <w:noProof/>
          <w:lang w:val="fr-FR" w:eastAsia="en-GB"/>
        </w:rPr>
      </w:pPr>
      <w:r>
        <w:rPr>
          <w:noProof/>
          <w:lang w:val="fr-FR" w:eastAsia="en-GB"/>
        </w:rPr>
        <w:t>E</w:t>
      </w:r>
      <w:r w:rsidR="001B2F58" w:rsidRPr="00DD03D6">
        <w:rPr>
          <w:noProof/>
          <w:lang w:val="fr-FR" w:eastAsia="en-GB"/>
        </w:rPr>
        <w:t>n 2012,</w:t>
      </w:r>
      <w:r>
        <w:rPr>
          <w:noProof/>
          <w:lang w:val="fr-FR" w:eastAsia="en-GB"/>
        </w:rPr>
        <w:t xml:space="preserve"> un crédit </w:t>
      </w:r>
      <w:r w:rsidR="001B2F58" w:rsidRPr="00DD03D6">
        <w:rPr>
          <w:noProof/>
          <w:lang w:val="fr-FR" w:eastAsia="en-GB"/>
        </w:rPr>
        <w:t>sp</w:t>
      </w:r>
      <w:r>
        <w:rPr>
          <w:noProof/>
          <w:lang w:val="fr-FR" w:eastAsia="en-GB"/>
        </w:rPr>
        <w:t>é</w:t>
      </w:r>
      <w:r w:rsidR="001B2F58" w:rsidRPr="00DD03D6">
        <w:rPr>
          <w:noProof/>
          <w:lang w:val="fr-FR" w:eastAsia="en-GB"/>
        </w:rPr>
        <w:t xml:space="preserve">cial </w:t>
      </w:r>
      <w:r>
        <w:rPr>
          <w:noProof/>
          <w:lang w:val="fr-FR" w:eastAsia="en-GB"/>
        </w:rPr>
        <w:t xml:space="preserve">de </w:t>
      </w:r>
      <w:r w:rsidR="001B2F58" w:rsidRPr="00DD03D6">
        <w:rPr>
          <w:noProof/>
          <w:lang w:val="fr-FR" w:eastAsia="en-GB"/>
        </w:rPr>
        <w:t>35 million</w:t>
      </w:r>
      <w:r>
        <w:rPr>
          <w:noProof/>
          <w:lang w:val="fr-FR" w:eastAsia="en-GB"/>
        </w:rPr>
        <w:t>s d’euros</w:t>
      </w:r>
      <w:r w:rsidR="00E92D3C">
        <w:rPr>
          <w:noProof/>
          <w:lang w:val="fr-FR" w:eastAsia="en-GB"/>
        </w:rPr>
        <w:t xml:space="preserve"> </w:t>
      </w:r>
      <w:r>
        <w:rPr>
          <w:noProof/>
          <w:lang w:val="fr-FR" w:eastAsia="en-GB"/>
        </w:rPr>
        <w:t>a été ouvert</w:t>
      </w:r>
      <w:r w:rsidR="001B2F58" w:rsidRPr="00DD03D6">
        <w:rPr>
          <w:noProof/>
          <w:lang w:val="fr-FR" w:eastAsia="en-GB"/>
        </w:rPr>
        <w:t>, pri</w:t>
      </w:r>
      <w:r>
        <w:rPr>
          <w:noProof/>
          <w:lang w:val="fr-FR" w:eastAsia="en-GB"/>
        </w:rPr>
        <w:t xml:space="preserve">ncipalement pour renforcer encore les équipes communautaires de santé mentale des services de santé mentale pour adultes et pour enfants, faire avancer l’exécution des activités enreprises dans le domaine de la prévention du </w:t>
      </w:r>
      <w:r w:rsidR="001B2F58" w:rsidRPr="00DD03D6">
        <w:rPr>
          <w:noProof/>
          <w:lang w:val="fr-FR" w:eastAsia="en-GB"/>
        </w:rPr>
        <w:t xml:space="preserve">suicide, </w:t>
      </w:r>
      <w:r>
        <w:rPr>
          <w:noProof/>
          <w:lang w:val="fr-FR" w:eastAsia="en-GB"/>
        </w:rPr>
        <w:t>commencer à assurer des services psychologiques et de consultation au niveau des soins de santé primaires spécifiquement</w:t>
      </w:r>
      <w:r w:rsidR="00500686">
        <w:rPr>
          <w:noProof/>
          <w:lang w:val="fr-FR" w:eastAsia="en-GB"/>
        </w:rPr>
        <w:t xml:space="preserve"> pour les personnes présentant des problèmes de santé mentale</w:t>
      </w:r>
      <w:r w:rsidR="001B2F58" w:rsidRPr="00DD03D6">
        <w:rPr>
          <w:noProof/>
          <w:lang w:val="fr-FR" w:eastAsia="en-GB"/>
        </w:rPr>
        <w:t xml:space="preserve">, </w:t>
      </w:r>
      <w:r w:rsidR="00500686">
        <w:rPr>
          <w:noProof/>
          <w:lang w:val="fr-FR" w:eastAsia="en-GB"/>
        </w:rPr>
        <w:t xml:space="preserve">et </w:t>
      </w:r>
      <w:r w:rsidR="001B2F58" w:rsidRPr="00DD03D6">
        <w:rPr>
          <w:noProof/>
          <w:lang w:val="fr-FR" w:eastAsia="en-GB"/>
        </w:rPr>
        <w:t>facilit</w:t>
      </w:r>
      <w:r w:rsidR="00500686">
        <w:rPr>
          <w:noProof/>
          <w:lang w:val="fr-FR" w:eastAsia="en-GB"/>
        </w:rPr>
        <w:t xml:space="preserve">er </w:t>
      </w:r>
      <w:r w:rsidR="00E0261B">
        <w:rPr>
          <w:noProof/>
          <w:lang w:val="fr-FR" w:eastAsia="en-GB"/>
        </w:rPr>
        <w:t>la réinstallation</w:t>
      </w:r>
      <w:r w:rsidR="00500686">
        <w:rPr>
          <w:noProof/>
          <w:lang w:val="fr-FR" w:eastAsia="en-GB"/>
        </w:rPr>
        <w:t xml:space="preserve"> d’usagers des services de santé mentale en établissement </w:t>
      </w:r>
      <w:r w:rsidR="00E0261B">
        <w:rPr>
          <w:noProof/>
          <w:lang w:val="fr-FR" w:eastAsia="en-GB"/>
        </w:rPr>
        <w:t>dans un lieu où ils puissent mener un mode de vie plus indépendant au sein de leur communauté</w:t>
      </w:r>
      <w:r w:rsidR="001B2F58" w:rsidRPr="00DD03D6">
        <w:rPr>
          <w:noProof/>
          <w:lang w:val="fr-FR" w:eastAsia="en-GB"/>
        </w:rPr>
        <w:t xml:space="preserve">. </w:t>
      </w:r>
      <w:r w:rsidR="00E0261B">
        <w:rPr>
          <w:noProof/>
          <w:lang w:val="fr-FR" w:eastAsia="en-GB"/>
        </w:rPr>
        <w:t xml:space="preserve">Pour appliquer ce train de mesures spéciales, </w:t>
      </w:r>
      <w:r w:rsidR="001B2F58" w:rsidRPr="00DD03D6">
        <w:rPr>
          <w:noProof/>
          <w:lang w:val="fr-FR" w:eastAsia="en-GB"/>
        </w:rPr>
        <w:t>414 post</w:t>
      </w:r>
      <w:r w:rsidR="00E0261B">
        <w:rPr>
          <w:noProof/>
          <w:lang w:val="fr-FR" w:eastAsia="en-GB"/>
        </w:rPr>
        <w:t xml:space="preserve">es ont été approuvés, dont </w:t>
      </w:r>
      <w:r w:rsidR="001B2F58" w:rsidRPr="00DD03D6">
        <w:rPr>
          <w:noProof/>
          <w:lang w:val="fr-FR" w:eastAsia="en-GB"/>
        </w:rPr>
        <w:t xml:space="preserve">150 </w:t>
      </w:r>
      <w:r w:rsidR="00E0261B">
        <w:rPr>
          <w:noProof/>
          <w:lang w:val="fr-FR" w:eastAsia="en-GB"/>
        </w:rPr>
        <w:t>dans les équipes communautaires de santé mentale de l’enfant et de l’a</w:t>
      </w:r>
      <w:r w:rsidR="001B2F58" w:rsidRPr="00DD03D6">
        <w:rPr>
          <w:noProof/>
          <w:lang w:val="fr-FR" w:eastAsia="en-GB"/>
        </w:rPr>
        <w:t>dolescent.</w:t>
      </w:r>
    </w:p>
    <w:p w:rsidR="001B2F58" w:rsidRPr="00DD03D6" w:rsidRDefault="00E0261B" w:rsidP="00C3298F">
      <w:pPr>
        <w:pStyle w:val="SingleTxtG"/>
        <w:numPr>
          <w:ilvl w:val="0"/>
          <w:numId w:val="3"/>
        </w:numPr>
        <w:ind w:left="1134" w:firstLine="0"/>
        <w:rPr>
          <w:noProof/>
          <w:lang w:val="fr-FR"/>
        </w:rPr>
      </w:pPr>
      <w:r>
        <w:rPr>
          <w:noProof/>
          <w:lang w:val="fr-FR"/>
        </w:rPr>
        <w:t xml:space="preserve">Un autre crédit de </w:t>
      </w:r>
      <w:r w:rsidR="001B2F58" w:rsidRPr="00DD03D6">
        <w:rPr>
          <w:noProof/>
          <w:szCs w:val="24"/>
          <w:lang w:val="fr-FR"/>
        </w:rPr>
        <w:t>35</w:t>
      </w:r>
      <w:r w:rsidR="001B2F58" w:rsidRPr="00DD03D6">
        <w:rPr>
          <w:noProof/>
          <w:lang w:val="fr-FR"/>
        </w:rPr>
        <w:t xml:space="preserve"> </w:t>
      </w:r>
      <w:r w:rsidR="001B2F58" w:rsidRPr="00DD03D6">
        <w:rPr>
          <w:noProof/>
          <w:szCs w:val="24"/>
          <w:lang w:val="fr-FR"/>
        </w:rPr>
        <w:t>m</w:t>
      </w:r>
      <w:r w:rsidR="001B2F58" w:rsidRPr="00DD03D6">
        <w:rPr>
          <w:noProof/>
          <w:lang w:val="fr-FR"/>
        </w:rPr>
        <w:t>illion</w:t>
      </w:r>
      <w:r>
        <w:rPr>
          <w:noProof/>
          <w:lang w:val="fr-FR"/>
        </w:rPr>
        <w:t xml:space="preserve">s d’euros a été inscrit au </w:t>
      </w:r>
      <w:r>
        <w:rPr>
          <w:noProof/>
          <w:szCs w:val="24"/>
          <w:lang w:val="fr-FR"/>
        </w:rPr>
        <w:t>b</w:t>
      </w:r>
      <w:r w:rsidR="001B2F58" w:rsidRPr="00DD03D6">
        <w:rPr>
          <w:noProof/>
          <w:lang w:val="fr-FR"/>
        </w:rPr>
        <w:t xml:space="preserve">udget 2013 </w:t>
      </w:r>
      <w:r>
        <w:rPr>
          <w:noProof/>
          <w:lang w:val="fr-FR"/>
        </w:rPr>
        <w:t>au titre de la poursuite du développement des services de santé mentale sous divers</w:t>
      </w:r>
      <w:r w:rsidR="00C2190D">
        <w:rPr>
          <w:noProof/>
          <w:lang w:val="fr-FR"/>
        </w:rPr>
        <w:t xml:space="preserve"> postes</w:t>
      </w:r>
      <w:r w:rsidR="001B2F58" w:rsidRPr="00DD03D6">
        <w:rPr>
          <w:noProof/>
          <w:lang w:val="fr-FR"/>
        </w:rPr>
        <w:t xml:space="preserve">, </w:t>
      </w:r>
      <w:r w:rsidR="00C2190D">
        <w:rPr>
          <w:noProof/>
          <w:lang w:val="fr-FR"/>
        </w:rPr>
        <w:t xml:space="preserve">notamment le développement de services </w:t>
      </w:r>
      <w:r w:rsidR="00257357">
        <w:rPr>
          <w:noProof/>
          <w:lang w:val="fr-FR"/>
        </w:rPr>
        <w:t>d’analyse scientifique</w:t>
      </w:r>
      <w:r w:rsidR="00C2190D">
        <w:rPr>
          <w:noProof/>
          <w:lang w:val="fr-FR"/>
        </w:rPr>
        <w:t xml:space="preserve"> et des équipes communautaires de santé mentale </w:t>
      </w:r>
      <w:r w:rsidR="00D8380E">
        <w:rPr>
          <w:noProof/>
          <w:lang w:val="fr-FR"/>
        </w:rPr>
        <w:t xml:space="preserve">des adultes, des enfants, des personnes âgées et des personnes atteintes d’un handicap </w:t>
      </w:r>
      <w:r w:rsidR="001B2F58" w:rsidRPr="00DD03D6">
        <w:rPr>
          <w:noProof/>
          <w:lang w:val="fr-FR"/>
        </w:rPr>
        <w:t>intellectu</w:t>
      </w:r>
      <w:r w:rsidR="00D8380E">
        <w:rPr>
          <w:noProof/>
          <w:lang w:val="fr-FR"/>
        </w:rPr>
        <w:t>e</w:t>
      </w:r>
      <w:r w:rsidR="001B2F58" w:rsidRPr="00DD03D6">
        <w:rPr>
          <w:noProof/>
          <w:lang w:val="fr-FR"/>
        </w:rPr>
        <w:t xml:space="preserve">l. </w:t>
      </w:r>
      <w:r w:rsidR="009B5576">
        <w:rPr>
          <w:noProof/>
          <w:lang w:val="fr-FR"/>
        </w:rPr>
        <w:t xml:space="preserve">Pour appliquer ces mesures, </w:t>
      </w:r>
      <w:r w:rsidR="001B2F58" w:rsidRPr="00DD03D6">
        <w:rPr>
          <w:noProof/>
          <w:lang w:val="fr-FR"/>
        </w:rPr>
        <w:t xml:space="preserve">477 </w:t>
      </w:r>
      <w:r w:rsidR="009B5576">
        <w:rPr>
          <w:noProof/>
          <w:lang w:val="fr-FR"/>
        </w:rPr>
        <w:t xml:space="preserve">agents supplémentaires (dont </w:t>
      </w:r>
      <w:r w:rsidR="001B2F58" w:rsidRPr="00DD03D6">
        <w:rPr>
          <w:noProof/>
          <w:lang w:val="fr-FR"/>
        </w:rPr>
        <w:t xml:space="preserve">80 </w:t>
      </w:r>
      <w:r w:rsidR="009B5576">
        <w:rPr>
          <w:noProof/>
          <w:lang w:val="fr-FR"/>
        </w:rPr>
        <w:t>pour les services de santé mentale de l’enfant et de l’a</w:t>
      </w:r>
      <w:r w:rsidR="001B2F58" w:rsidRPr="00DD03D6">
        <w:rPr>
          <w:noProof/>
          <w:lang w:val="fr-FR"/>
        </w:rPr>
        <w:t xml:space="preserve">dolescent (CAMHS) </w:t>
      </w:r>
      <w:r w:rsidR="009B5576">
        <w:rPr>
          <w:noProof/>
          <w:lang w:val="fr-FR"/>
        </w:rPr>
        <w:t xml:space="preserve">et les </w:t>
      </w:r>
      <w:r w:rsidR="001B2F58" w:rsidRPr="00DD03D6">
        <w:rPr>
          <w:noProof/>
          <w:lang w:val="fr-FR"/>
        </w:rPr>
        <w:t xml:space="preserve">CMHT) </w:t>
      </w:r>
      <w:r w:rsidR="009B5576">
        <w:rPr>
          <w:noProof/>
          <w:lang w:val="fr-FR"/>
        </w:rPr>
        <w:t>seront recrutés</w:t>
      </w:r>
      <w:r w:rsidR="001B2F58" w:rsidRPr="00DD03D6">
        <w:rPr>
          <w:noProof/>
          <w:lang w:val="fr-FR"/>
        </w:rPr>
        <w:t>.</w:t>
      </w:r>
    </w:p>
    <w:p w:rsidR="001B2F58" w:rsidRPr="00DD03D6" w:rsidRDefault="009B5576" w:rsidP="0088436E">
      <w:pPr>
        <w:pStyle w:val="SingleTxtG"/>
        <w:numPr>
          <w:ilvl w:val="0"/>
          <w:numId w:val="3"/>
        </w:numPr>
        <w:ind w:left="1134" w:firstLine="0"/>
        <w:rPr>
          <w:noProof/>
          <w:lang w:val="fr-FR"/>
        </w:rPr>
      </w:pPr>
      <w:r>
        <w:rPr>
          <w:noProof/>
          <w:lang w:val="fr-FR" w:eastAsia="en-GB"/>
        </w:rPr>
        <w:t xml:space="preserve">En ce qui concerne les établissements de soins, la capacité d’accueil des enfants et des adolescents en service psychiatrique est passée de 12 en </w:t>
      </w:r>
      <w:r w:rsidR="001B2F58" w:rsidRPr="00DD03D6">
        <w:rPr>
          <w:noProof/>
          <w:lang w:val="fr-FR" w:eastAsia="en-GB"/>
        </w:rPr>
        <w:t xml:space="preserve">2007 </w:t>
      </w:r>
      <w:r>
        <w:rPr>
          <w:noProof/>
          <w:lang w:val="fr-FR" w:eastAsia="en-GB"/>
        </w:rPr>
        <w:t xml:space="preserve">à </w:t>
      </w:r>
      <w:r w:rsidR="001B2F58" w:rsidRPr="00DD03D6">
        <w:rPr>
          <w:noProof/>
          <w:lang w:val="fr-FR" w:eastAsia="en-GB"/>
        </w:rPr>
        <w:t xml:space="preserve">44 </w:t>
      </w:r>
      <w:r>
        <w:rPr>
          <w:noProof/>
          <w:lang w:val="fr-FR" w:eastAsia="en-GB"/>
        </w:rPr>
        <w:t>aujourd’hui</w:t>
      </w:r>
      <w:r w:rsidR="001B2F58" w:rsidRPr="00DD03D6">
        <w:rPr>
          <w:noProof/>
          <w:lang w:val="fr-FR" w:eastAsia="en-GB"/>
        </w:rPr>
        <w:t xml:space="preserve">. </w:t>
      </w:r>
      <w:r>
        <w:rPr>
          <w:noProof/>
          <w:lang w:val="fr-FR" w:eastAsia="en-GB"/>
        </w:rPr>
        <w:t>Par ailleurs, un nouve</w:t>
      </w:r>
      <w:r w:rsidR="00AA633B">
        <w:rPr>
          <w:noProof/>
          <w:lang w:val="fr-FR" w:eastAsia="en-GB"/>
        </w:rPr>
        <w:t xml:space="preserve">au centre de soins </w:t>
      </w:r>
      <w:r>
        <w:rPr>
          <w:noProof/>
          <w:lang w:val="fr-FR" w:eastAsia="en-GB"/>
        </w:rPr>
        <w:t xml:space="preserve">de jour pour enfants et </w:t>
      </w:r>
      <w:r w:rsidR="001B2F58" w:rsidRPr="00DD03D6">
        <w:rPr>
          <w:noProof/>
          <w:lang w:val="fr-FR" w:eastAsia="en-GB"/>
        </w:rPr>
        <w:t>adolescent</w:t>
      </w:r>
      <w:r>
        <w:rPr>
          <w:noProof/>
          <w:lang w:val="fr-FR" w:eastAsia="en-GB"/>
        </w:rPr>
        <w:t xml:space="preserve">s ouvrira prochainement ses portes à </w:t>
      </w:r>
      <w:r w:rsidR="001B2F58" w:rsidRPr="00DD03D6">
        <w:rPr>
          <w:noProof/>
          <w:lang w:val="fr-FR" w:eastAsia="en-GB"/>
        </w:rPr>
        <w:t xml:space="preserve">Dublin, </w:t>
      </w:r>
      <w:r w:rsidR="00AA633B">
        <w:rPr>
          <w:noProof/>
          <w:lang w:val="fr-FR" w:eastAsia="en-GB"/>
        </w:rPr>
        <w:t>ce qui, espère-t-on, rendra inutiles certaines hospitalisations</w:t>
      </w:r>
      <w:r w:rsidR="001B2F58" w:rsidRPr="00DD03D6">
        <w:rPr>
          <w:noProof/>
          <w:lang w:val="fr-FR" w:eastAsia="en-GB"/>
        </w:rPr>
        <w:t xml:space="preserve">. </w:t>
      </w:r>
      <w:r w:rsidR="00EF74B1">
        <w:rPr>
          <w:noProof/>
          <w:lang w:val="fr-FR" w:eastAsia="en-GB"/>
        </w:rPr>
        <w:t xml:space="preserve">Pour l’avenir, on envisage notamment de construire un établissement de soins de </w:t>
      </w:r>
      <w:r w:rsidR="001B2F58" w:rsidRPr="00DD03D6">
        <w:rPr>
          <w:noProof/>
          <w:lang w:val="fr-FR" w:eastAsia="en-GB"/>
        </w:rPr>
        <w:t>22</w:t>
      </w:r>
      <w:r w:rsidR="00EF74B1">
        <w:rPr>
          <w:noProof/>
          <w:lang w:val="fr-FR" w:eastAsia="en-GB"/>
        </w:rPr>
        <w:t xml:space="preserve"> lits à</w:t>
      </w:r>
      <w:r w:rsidR="001B2F58" w:rsidRPr="00DD03D6">
        <w:rPr>
          <w:noProof/>
          <w:lang w:val="fr-FR" w:eastAsia="en-GB"/>
        </w:rPr>
        <w:t xml:space="preserve"> Dublin (</w:t>
      </w:r>
      <w:r w:rsidR="00EF74B1">
        <w:rPr>
          <w:noProof/>
          <w:lang w:val="fr-FR" w:eastAsia="en-GB"/>
        </w:rPr>
        <w:t xml:space="preserve">qui devrait être prêt pour la fin de 2013 ou </w:t>
      </w:r>
      <w:r w:rsidR="004227E9">
        <w:rPr>
          <w:noProof/>
          <w:lang w:val="fr-FR" w:eastAsia="en-GB"/>
        </w:rPr>
        <w:t xml:space="preserve">au </w:t>
      </w:r>
      <w:r w:rsidR="00EF74B1">
        <w:rPr>
          <w:noProof/>
          <w:lang w:val="fr-FR" w:eastAsia="en-GB"/>
        </w:rPr>
        <w:t>début de 2014</w:t>
      </w:r>
      <w:r w:rsidR="001B2F58" w:rsidRPr="00DD03D6">
        <w:rPr>
          <w:noProof/>
          <w:lang w:val="fr-FR" w:eastAsia="en-GB"/>
        </w:rPr>
        <w:t xml:space="preserve">) </w:t>
      </w:r>
      <w:r w:rsidR="00EF74B1">
        <w:rPr>
          <w:noProof/>
          <w:lang w:val="fr-FR" w:eastAsia="en-GB"/>
        </w:rPr>
        <w:t>et</w:t>
      </w:r>
      <w:r w:rsidR="001B2F58" w:rsidRPr="00DD03D6">
        <w:rPr>
          <w:noProof/>
          <w:lang w:val="fr-FR" w:eastAsia="en-GB"/>
        </w:rPr>
        <w:t xml:space="preserve"> </w:t>
      </w:r>
      <w:r w:rsidR="00EF74B1">
        <w:rPr>
          <w:noProof/>
          <w:lang w:val="fr-FR" w:eastAsia="en-GB"/>
        </w:rPr>
        <w:t>de créer un Service</w:t>
      </w:r>
      <w:r w:rsidR="00EC0C5E">
        <w:rPr>
          <w:noProof/>
          <w:lang w:val="fr-FR" w:eastAsia="en-GB"/>
        </w:rPr>
        <w:t xml:space="preserve"> </w:t>
      </w:r>
      <w:r w:rsidR="004227E9">
        <w:rPr>
          <w:noProof/>
          <w:lang w:val="fr-FR" w:eastAsia="en-GB"/>
        </w:rPr>
        <w:t>d’analyse scientifique</w:t>
      </w:r>
      <w:r w:rsidR="00EF74B1">
        <w:rPr>
          <w:noProof/>
          <w:lang w:val="fr-FR" w:eastAsia="en-GB"/>
        </w:rPr>
        <w:t xml:space="preserve"> de santé mentale de l’enfant et de l’adolescent de 10 lits</w:t>
      </w:r>
      <w:r w:rsidR="00EC0C5E">
        <w:rPr>
          <w:noProof/>
          <w:lang w:val="fr-FR" w:eastAsia="en-GB"/>
        </w:rPr>
        <w:t xml:space="preserve"> dans le cadre du Projet national </w:t>
      </w:r>
      <w:r w:rsidR="00257357">
        <w:rPr>
          <w:noProof/>
          <w:lang w:val="fr-FR" w:eastAsia="en-GB"/>
        </w:rPr>
        <w:t>d’analyse scientifique</w:t>
      </w:r>
      <w:r w:rsidR="00EC0C5E">
        <w:rPr>
          <w:noProof/>
          <w:lang w:val="fr-FR" w:eastAsia="en-GB"/>
        </w:rPr>
        <w:t xml:space="preserve"> de santé mentale</w:t>
      </w:r>
      <w:r w:rsidR="001B2F58" w:rsidRPr="00DD03D6">
        <w:rPr>
          <w:noProof/>
          <w:lang w:val="fr-FR" w:eastAsia="en-GB"/>
        </w:rPr>
        <w:t xml:space="preserve">. </w:t>
      </w:r>
      <w:r w:rsidR="00EC0C5E">
        <w:rPr>
          <w:noProof/>
          <w:lang w:val="fr-FR" w:eastAsia="en-GB"/>
        </w:rPr>
        <w:t xml:space="preserve">Ce Service sera implanté à </w:t>
      </w:r>
      <w:r w:rsidR="00880009">
        <w:rPr>
          <w:noProof/>
          <w:lang w:val="fr-FR" w:eastAsia="en-GB"/>
        </w:rPr>
        <w:t>Dublin et sera contigu au nouvel</w:t>
      </w:r>
      <w:r w:rsidR="001B2F58" w:rsidRPr="00DD03D6">
        <w:rPr>
          <w:noProof/>
          <w:lang w:val="fr-FR" w:eastAsia="en-GB"/>
        </w:rPr>
        <w:t xml:space="preserve"> </w:t>
      </w:r>
      <w:r w:rsidR="00880009">
        <w:rPr>
          <w:noProof/>
          <w:lang w:val="fr-FR" w:eastAsia="en-GB"/>
        </w:rPr>
        <w:t xml:space="preserve">Hôpital psychiatrique central; il sera prêt en </w:t>
      </w:r>
      <w:r w:rsidR="001B2F58" w:rsidRPr="00DD03D6">
        <w:rPr>
          <w:noProof/>
          <w:lang w:val="fr-FR" w:eastAsia="en-GB"/>
        </w:rPr>
        <w:t>2016.</w:t>
      </w:r>
    </w:p>
    <w:p w:rsidR="001B2F58" w:rsidRPr="00DD03D6" w:rsidRDefault="00880009" w:rsidP="00F700C9">
      <w:pPr>
        <w:pStyle w:val="SingleTxtG"/>
        <w:numPr>
          <w:ilvl w:val="0"/>
          <w:numId w:val="3"/>
        </w:numPr>
        <w:ind w:left="1134" w:firstLine="0"/>
        <w:rPr>
          <w:noProof/>
          <w:lang w:val="fr-FR"/>
        </w:rPr>
      </w:pPr>
      <w:r>
        <w:rPr>
          <w:noProof/>
          <w:lang w:val="fr-FR"/>
        </w:rPr>
        <w:t xml:space="preserve">Les mesures concernant la prévention du </w:t>
      </w:r>
      <w:r w:rsidR="001B2F58" w:rsidRPr="00DD03D6">
        <w:rPr>
          <w:noProof/>
          <w:lang w:val="fr-FR"/>
        </w:rPr>
        <w:t xml:space="preserve">suicide </w:t>
      </w:r>
      <w:r>
        <w:rPr>
          <w:noProof/>
          <w:lang w:val="fr-FR"/>
        </w:rPr>
        <w:t xml:space="preserve">sont présentées aux </w:t>
      </w:r>
      <w:r w:rsidR="0088436E" w:rsidRPr="00DD03D6">
        <w:rPr>
          <w:noProof/>
          <w:lang w:val="fr-FR"/>
        </w:rPr>
        <w:t>p</w:t>
      </w:r>
      <w:r w:rsidR="00796A7C" w:rsidRPr="00DD03D6">
        <w:rPr>
          <w:noProof/>
          <w:lang w:val="fr-FR"/>
        </w:rPr>
        <w:t>aragraph</w:t>
      </w:r>
      <w:r>
        <w:rPr>
          <w:noProof/>
          <w:lang w:val="fr-FR"/>
        </w:rPr>
        <w:t>e</w:t>
      </w:r>
      <w:r w:rsidR="00796A7C" w:rsidRPr="00DD03D6">
        <w:rPr>
          <w:noProof/>
          <w:lang w:val="fr-FR"/>
        </w:rPr>
        <w:t>s </w:t>
      </w:r>
      <w:r w:rsidR="00F700C9" w:rsidRPr="00DD03D6">
        <w:rPr>
          <w:noProof/>
          <w:lang w:val="fr-FR"/>
        </w:rPr>
        <w:t>113</w:t>
      </w:r>
      <w:r>
        <w:rPr>
          <w:noProof/>
          <w:lang w:val="fr-FR"/>
        </w:rPr>
        <w:t xml:space="preserve"> et </w:t>
      </w:r>
      <w:r w:rsidR="00F700C9" w:rsidRPr="00DD03D6">
        <w:rPr>
          <w:noProof/>
          <w:lang w:val="fr-FR"/>
        </w:rPr>
        <w:t>114</w:t>
      </w:r>
      <w:r w:rsidR="001B2F58" w:rsidRPr="00DD03D6">
        <w:rPr>
          <w:noProof/>
          <w:lang w:val="fr-FR"/>
        </w:rPr>
        <w:t>.</w:t>
      </w:r>
    </w:p>
    <w:p w:rsidR="001B2F58" w:rsidRPr="00DD03D6" w:rsidRDefault="00FB0BA4" w:rsidP="00C3298F">
      <w:pPr>
        <w:pStyle w:val="H1G"/>
        <w:rPr>
          <w:noProof/>
          <w:lang w:val="fr-FR"/>
        </w:rPr>
      </w:pPr>
      <w:bookmarkStart w:id="60" w:name="_Toc356430884"/>
      <w:r w:rsidRPr="00DD03D6">
        <w:rPr>
          <w:noProof/>
          <w:lang w:val="fr-FR"/>
        </w:rPr>
        <w:tab/>
      </w:r>
      <w:r w:rsidR="001B2F58" w:rsidRPr="00DD03D6">
        <w:rPr>
          <w:noProof/>
          <w:lang w:val="fr-FR"/>
        </w:rPr>
        <w:t>F.</w:t>
      </w:r>
      <w:r w:rsidR="001B2F58" w:rsidRPr="00DD03D6">
        <w:rPr>
          <w:noProof/>
          <w:lang w:val="fr-FR"/>
        </w:rPr>
        <w:tab/>
      </w:r>
      <w:r w:rsidR="00880009">
        <w:rPr>
          <w:noProof/>
          <w:lang w:val="fr-FR"/>
        </w:rPr>
        <w:t xml:space="preserve">Droits des adolescents en matière de santé procréative et mesures adoptées pour promouvoir un mode de vie sain </w:t>
      </w:r>
      <w:bookmarkEnd w:id="60"/>
    </w:p>
    <w:p w:rsidR="001B2F58" w:rsidRPr="00DD03D6" w:rsidRDefault="00880009" w:rsidP="00FB0BA4">
      <w:pPr>
        <w:pStyle w:val="SingleTxtG"/>
        <w:numPr>
          <w:ilvl w:val="0"/>
          <w:numId w:val="3"/>
        </w:numPr>
        <w:ind w:left="1134" w:firstLine="0"/>
        <w:rPr>
          <w:noProof/>
          <w:lang w:val="fr-FR" w:eastAsia="en-IE"/>
        </w:rPr>
      </w:pPr>
      <w:r>
        <w:rPr>
          <w:noProof/>
          <w:lang w:val="fr-FR" w:eastAsia="en-IE"/>
        </w:rPr>
        <w:t xml:space="preserve">Il ressort des données tirées de l’enquête </w:t>
      </w:r>
      <w:r w:rsidR="001B2F58" w:rsidRPr="00DD03D6">
        <w:rPr>
          <w:noProof/>
          <w:lang w:val="fr-FR" w:eastAsia="en-IE"/>
        </w:rPr>
        <w:t xml:space="preserve">HBSC </w:t>
      </w:r>
      <w:r>
        <w:rPr>
          <w:noProof/>
          <w:lang w:val="fr-FR" w:eastAsia="en-IE"/>
        </w:rPr>
        <w:t xml:space="preserve">de 2010 que </w:t>
      </w:r>
      <w:r w:rsidR="001B2F58" w:rsidRPr="00DD03D6">
        <w:rPr>
          <w:noProof/>
          <w:lang w:val="fr-FR" w:eastAsia="en-IE"/>
        </w:rPr>
        <w:t>27</w:t>
      </w:r>
      <w:r w:rsidR="003F1ADB">
        <w:rPr>
          <w:noProof/>
          <w:lang w:val="fr-FR" w:eastAsia="en-IE"/>
        </w:rPr>
        <w:t> %</w:t>
      </w:r>
      <w:r w:rsidR="001B2F58" w:rsidRPr="00DD03D6">
        <w:rPr>
          <w:noProof/>
          <w:lang w:val="fr-FR" w:eastAsia="en-IE"/>
        </w:rPr>
        <w:t xml:space="preserve"> </w:t>
      </w:r>
      <w:r>
        <w:rPr>
          <w:noProof/>
          <w:lang w:val="fr-FR" w:eastAsia="en-IE"/>
        </w:rPr>
        <w:t xml:space="preserve">des enfants âgés de </w:t>
      </w:r>
      <w:r w:rsidR="001B2F58" w:rsidRPr="00DD03D6">
        <w:rPr>
          <w:noProof/>
          <w:lang w:val="fr-FR" w:eastAsia="en-IE"/>
        </w:rPr>
        <w:t>15</w:t>
      </w:r>
      <w:r>
        <w:rPr>
          <w:noProof/>
          <w:lang w:val="fr-FR" w:eastAsia="en-IE"/>
        </w:rPr>
        <w:t xml:space="preserve"> à </w:t>
      </w:r>
      <w:r w:rsidR="001B2F58" w:rsidRPr="00DD03D6">
        <w:rPr>
          <w:noProof/>
          <w:lang w:val="fr-FR" w:eastAsia="en-IE"/>
        </w:rPr>
        <w:t xml:space="preserve">17 </w:t>
      </w:r>
      <w:r>
        <w:rPr>
          <w:noProof/>
          <w:lang w:val="fr-FR" w:eastAsia="en-IE"/>
        </w:rPr>
        <w:t xml:space="preserve">ans </w:t>
      </w:r>
      <w:r w:rsidR="001B2F58" w:rsidRPr="00DD03D6">
        <w:rPr>
          <w:noProof/>
          <w:lang w:val="fr-FR" w:eastAsia="en-IE"/>
        </w:rPr>
        <w:t>(31</w:t>
      </w:r>
      <w:r w:rsidR="003F1ADB">
        <w:rPr>
          <w:noProof/>
          <w:lang w:val="fr-FR" w:eastAsia="en-IE"/>
        </w:rPr>
        <w:t> %</w:t>
      </w:r>
      <w:r w:rsidR="001B2F58" w:rsidRPr="00DD03D6">
        <w:rPr>
          <w:noProof/>
          <w:lang w:val="fr-FR" w:eastAsia="en-IE"/>
        </w:rPr>
        <w:t xml:space="preserve"> </w:t>
      </w:r>
      <w:r>
        <w:rPr>
          <w:noProof/>
          <w:lang w:val="fr-FR" w:eastAsia="en-IE"/>
        </w:rPr>
        <w:t xml:space="preserve">des garçons et </w:t>
      </w:r>
      <w:r w:rsidR="001B2F58" w:rsidRPr="00DD03D6">
        <w:rPr>
          <w:noProof/>
          <w:lang w:val="fr-FR" w:eastAsia="en-IE"/>
        </w:rPr>
        <w:t>23</w:t>
      </w:r>
      <w:r w:rsidR="003F1ADB">
        <w:rPr>
          <w:noProof/>
          <w:lang w:val="fr-FR" w:eastAsia="en-IE"/>
        </w:rPr>
        <w:t> %</w:t>
      </w:r>
      <w:r w:rsidR="001B2F58" w:rsidRPr="00DD03D6">
        <w:rPr>
          <w:noProof/>
          <w:lang w:val="fr-FR" w:eastAsia="en-IE"/>
        </w:rPr>
        <w:t xml:space="preserve"> </w:t>
      </w:r>
      <w:r>
        <w:rPr>
          <w:noProof/>
          <w:lang w:val="fr-FR" w:eastAsia="en-IE"/>
        </w:rPr>
        <w:t>des filles</w:t>
      </w:r>
      <w:r w:rsidR="001B2F58" w:rsidRPr="00DD03D6">
        <w:rPr>
          <w:noProof/>
          <w:lang w:val="fr-FR" w:eastAsia="en-IE"/>
        </w:rPr>
        <w:t xml:space="preserve">) </w:t>
      </w:r>
      <w:r>
        <w:rPr>
          <w:noProof/>
          <w:lang w:val="fr-FR" w:eastAsia="en-IE"/>
        </w:rPr>
        <w:t>ont indiqué</w:t>
      </w:r>
      <w:r w:rsidR="00743548">
        <w:rPr>
          <w:noProof/>
          <w:lang w:val="fr-FR" w:eastAsia="en-IE"/>
        </w:rPr>
        <w:t xml:space="preserve"> avoir eu des rapports sexuels</w:t>
      </w:r>
      <w:r w:rsidR="001B2F58" w:rsidRPr="00DD03D6">
        <w:rPr>
          <w:noProof/>
          <w:lang w:val="fr-FR" w:eastAsia="en-IE"/>
        </w:rPr>
        <w:t xml:space="preserve">. </w:t>
      </w:r>
      <w:r w:rsidR="00743548">
        <w:rPr>
          <w:noProof/>
          <w:lang w:val="fr-FR" w:eastAsia="en-IE"/>
        </w:rPr>
        <w:t xml:space="preserve">Parmi eux, </w:t>
      </w:r>
      <w:r w:rsidR="001B2F58" w:rsidRPr="00DD03D6">
        <w:rPr>
          <w:noProof/>
          <w:lang w:val="fr-FR" w:eastAsia="en-IE"/>
        </w:rPr>
        <w:t>92</w:t>
      </w:r>
      <w:r w:rsidR="003F1ADB">
        <w:rPr>
          <w:noProof/>
          <w:lang w:val="fr-FR" w:eastAsia="en-IE"/>
        </w:rPr>
        <w:t> %</w:t>
      </w:r>
      <w:r w:rsidR="001B2F58" w:rsidRPr="00DD03D6">
        <w:rPr>
          <w:noProof/>
          <w:lang w:val="fr-FR" w:eastAsia="en-IE"/>
        </w:rPr>
        <w:t xml:space="preserve"> </w:t>
      </w:r>
      <w:r w:rsidR="00743548">
        <w:rPr>
          <w:noProof/>
          <w:lang w:val="fr-FR" w:eastAsia="en-IE"/>
        </w:rPr>
        <w:t xml:space="preserve">des garçons et </w:t>
      </w:r>
      <w:r w:rsidR="001B2F58" w:rsidRPr="00DD03D6">
        <w:rPr>
          <w:noProof/>
          <w:lang w:val="fr-FR" w:eastAsia="en-IE"/>
        </w:rPr>
        <w:t>95</w:t>
      </w:r>
      <w:r w:rsidR="003F1ADB">
        <w:rPr>
          <w:noProof/>
          <w:lang w:val="fr-FR" w:eastAsia="en-IE"/>
        </w:rPr>
        <w:t> %</w:t>
      </w:r>
      <w:r w:rsidR="001B2F58" w:rsidRPr="00DD03D6">
        <w:rPr>
          <w:noProof/>
          <w:lang w:val="fr-FR" w:eastAsia="en-IE"/>
        </w:rPr>
        <w:t xml:space="preserve"> </w:t>
      </w:r>
      <w:r w:rsidR="00743548">
        <w:rPr>
          <w:noProof/>
          <w:lang w:val="fr-FR" w:eastAsia="en-IE"/>
        </w:rPr>
        <w:t xml:space="preserve">des filles ont indiqué avoir utilisé des préservatifs, tandis que </w:t>
      </w:r>
      <w:r w:rsidR="001B2F58" w:rsidRPr="00DD03D6">
        <w:rPr>
          <w:noProof/>
          <w:lang w:val="fr-FR" w:eastAsia="en-IE"/>
        </w:rPr>
        <w:t>54</w:t>
      </w:r>
      <w:r w:rsidR="003F1ADB">
        <w:rPr>
          <w:noProof/>
          <w:lang w:val="fr-FR" w:eastAsia="en-IE"/>
        </w:rPr>
        <w:t> %</w:t>
      </w:r>
      <w:r w:rsidR="001B2F58" w:rsidRPr="00DD03D6">
        <w:rPr>
          <w:noProof/>
          <w:lang w:val="fr-FR" w:eastAsia="en-IE"/>
        </w:rPr>
        <w:t xml:space="preserve"> </w:t>
      </w:r>
      <w:r w:rsidR="00743548">
        <w:rPr>
          <w:noProof/>
          <w:lang w:val="fr-FR" w:eastAsia="en-IE"/>
        </w:rPr>
        <w:t xml:space="preserve">des garçons et </w:t>
      </w:r>
      <w:r w:rsidR="001B2F58" w:rsidRPr="00DD03D6">
        <w:rPr>
          <w:noProof/>
          <w:lang w:val="fr-FR" w:eastAsia="en-IE"/>
        </w:rPr>
        <w:t>66</w:t>
      </w:r>
      <w:r w:rsidR="003F1ADB">
        <w:rPr>
          <w:noProof/>
          <w:lang w:val="fr-FR" w:eastAsia="en-IE"/>
        </w:rPr>
        <w:t> %</w:t>
      </w:r>
      <w:r w:rsidR="001B2F58" w:rsidRPr="00DD03D6">
        <w:rPr>
          <w:noProof/>
          <w:lang w:val="fr-FR" w:eastAsia="en-IE"/>
        </w:rPr>
        <w:t xml:space="preserve"> </w:t>
      </w:r>
      <w:r w:rsidR="00743548">
        <w:rPr>
          <w:noProof/>
          <w:lang w:val="fr-FR" w:eastAsia="en-IE"/>
        </w:rPr>
        <w:t xml:space="preserve">des filles ont indiqué avoir eu recours à la pilule </w:t>
      </w:r>
      <w:r w:rsidR="001B2F58" w:rsidRPr="00DD03D6">
        <w:rPr>
          <w:noProof/>
          <w:lang w:val="fr-FR" w:eastAsia="en-IE"/>
        </w:rPr>
        <w:t xml:space="preserve">contraceptive. </w:t>
      </w:r>
      <w:r w:rsidR="00743548">
        <w:rPr>
          <w:noProof/>
          <w:lang w:val="fr-FR" w:eastAsia="en-IE"/>
        </w:rPr>
        <w:t>Les taux élevés d’utilisation des contraceptifs indiqués coïncident avec la chute du nombre des naissances chez des mères adolescentes</w:t>
      </w:r>
      <w:r w:rsidR="001B2F58" w:rsidRPr="00DD03D6">
        <w:rPr>
          <w:noProof/>
          <w:lang w:val="fr-FR" w:eastAsia="en-IE"/>
        </w:rPr>
        <w:t xml:space="preserve">. </w:t>
      </w:r>
      <w:r w:rsidR="00743548">
        <w:rPr>
          <w:noProof/>
          <w:lang w:val="fr-FR" w:eastAsia="en-IE"/>
        </w:rPr>
        <w:t xml:space="preserve">Entre </w:t>
      </w:r>
      <w:r w:rsidR="001B2F58" w:rsidRPr="00DD03D6">
        <w:rPr>
          <w:noProof/>
          <w:lang w:val="fr-FR" w:eastAsia="en-IE"/>
        </w:rPr>
        <w:t>2007</w:t>
      </w:r>
      <w:r w:rsidR="00743548">
        <w:rPr>
          <w:noProof/>
          <w:lang w:val="fr-FR" w:eastAsia="en-IE"/>
        </w:rPr>
        <w:t xml:space="preserve"> et </w:t>
      </w:r>
      <w:r w:rsidR="001B2F58" w:rsidRPr="00DD03D6">
        <w:rPr>
          <w:noProof/>
          <w:lang w:val="fr-FR" w:eastAsia="en-IE"/>
        </w:rPr>
        <w:t xml:space="preserve">2011, </w:t>
      </w:r>
      <w:r w:rsidR="00743548">
        <w:rPr>
          <w:noProof/>
          <w:lang w:val="fr-FR" w:eastAsia="en-IE"/>
        </w:rPr>
        <w:t xml:space="preserve">le nombre de naissances chez les filles âgées de </w:t>
      </w:r>
      <w:r w:rsidR="001B2F58" w:rsidRPr="00DD03D6">
        <w:rPr>
          <w:noProof/>
          <w:lang w:val="fr-FR" w:eastAsia="en-IE"/>
        </w:rPr>
        <w:t>10</w:t>
      </w:r>
      <w:r w:rsidR="00743548">
        <w:rPr>
          <w:noProof/>
          <w:lang w:val="fr-FR" w:eastAsia="en-IE"/>
        </w:rPr>
        <w:t xml:space="preserve"> à </w:t>
      </w:r>
      <w:r w:rsidR="001B2F58" w:rsidRPr="00DD03D6">
        <w:rPr>
          <w:noProof/>
          <w:lang w:val="fr-FR" w:eastAsia="en-IE"/>
        </w:rPr>
        <w:t xml:space="preserve">17 </w:t>
      </w:r>
      <w:r w:rsidR="00743548">
        <w:rPr>
          <w:noProof/>
          <w:lang w:val="fr-FR" w:eastAsia="en-IE"/>
        </w:rPr>
        <w:t xml:space="preserve">ans a chuté de </w:t>
      </w:r>
      <w:r w:rsidR="001B2F58" w:rsidRPr="00DD03D6">
        <w:rPr>
          <w:noProof/>
          <w:lang w:val="fr-FR" w:eastAsia="en-IE"/>
        </w:rPr>
        <w:t>36</w:t>
      </w:r>
      <w:r w:rsidR="00743548">
        <w:rPr>
          <w:noProof/>
          <w:lang w:val="fr-FR" w:eastAsia="en-IE"/>
        </w:rPr>
        <w:t>,</w:t>
      </w:r>
      <w:r w:rsidR="001B2F58" w:rsidRPr="00DD03D6">
        <w:rPr>
          <w:noProof/>
          <w:lang w:val="fr-FR" w:eastAsia="en-IE"/>
        </w:rPr>
        <w:t>1</w:t>
      </w:r>
      <w:r w:rsidR="003F1ADB">
        <w:rPr>
          <w:noProof/>
          <w:lang w:val="fr-FR" w:eastAsia="en-IE"/>
        </w:rPr>
        <w:t> %</w:t>
      </w:r>
      <w:r w:rsidR="001B2F58" w:rsidRPr="00DD03D6">
        <w:rPr>
          <w:noProof/>
          <w:lang w:val="fr-FR" w:eastAsia="en-IE"/>
        </w:rPr>
        <w:t xml:space="preserve">, </w:t>
      </w:r>
      <w:r w:rsidR="00743548">
        <w:rPr>
          <w:noProof/>
          <w:lang w:val="fr-FR" w:eastAsia="en-IE"/>
        </w:rPr>
        <w:t xml:space="preserve">ramené de </w:t>
      </w:r>
      <w:r w:rsidR="001B2F58" w:rsidRPr="00DD03D6">
        <w:rPr>
          <w:noProof/>
          <w:lang w:val="fr-FR" w:eastAsia="en-IE"/>
        </w:rPr>
        <w:t xml:space="preserve">624 </w:t>
      </w:r>
      <w:r w:rsidR="00743548">
        <w:rPr>
          <w:noProof/>
          <w:lang w:val="fr-FR" w:eastAsia="en-IE"/>
        </w:rPr>
        <w:t>à</w:t>
      </w:r>
      <w:r w:rsidR="001B2F58" w:rsidRPr="00DD03D6">
        <w:rPr>
          <w:noProof/>
          <w:lang w:val="fr-FR" w:eastAsia="en-IE"/>
        </w:rPr>
        <w:t xml:space="preserve"> 399.</w:t>
      </w:r>
    </w:p>
    <w:p w:rsidR="001B2F58" w:rsidRPr="00DD03D6" w:rsidRDefault="00743548" w:rsidP="00E77652">
      <w:pPr>
        <w:pStyle w:val="SingleTxtG"/>
        <w:numPr>
          <w:ilvl w:val="0"/>
          <w:numId w:val="3"/>
        </w:numPr>
        <w:ind w:left="1134" w:firstLine="0"/>
        <w:rPr>
          <w:noProof/>
          <w:lang w:val="fr-FR" w:eastAsia="en-IE"/>
        </w:rPr>
      </w:pPr>
      <w:r>
        <w:rPr>
          <w:noProof/>
          <w:lang w:val="fr-FR"/>
        </w:rPr>
        <w:lastRenderedPageBreak/>
        <w:t>E</w:t>
      </w:r>
      <w:r w:rsidR="001B2F58" w:rsidRPr="00DD03D6">
        <w:rPr>
          <w:noProof/>
          <w:lang w:val="fr-FR"/>
        </w:rPr>
        <w:t xml:space="preserve">n 2010, </w:t>
      </w:r>
      <w:r w:rsidR="00904C0D">
        <w:rPr>
          <w:noProof/>
          <w:lang w:val="fr-FR"/>
        </w:rPr>
        <w:t xml:space="preserve">les fonctions de l’Agence de prévention des grossesses non désirées </w:t>
      </w:r>
      <w:r w:rsidR="001B2F58" w:rsidRPr="00DD03D6">
        <w:rPr>
          <w:noProof/>
          <w:lang w:val="fr-FR"/>
        </w:rPr>
        <w:t>(</w:t>
      </w:r>
      <w:r w:rsidR="00904C0D">
        <w:rPr>
          <w:noProof/>
          <w:lang w:val="fr-FR"/>
        </w:rPr>
        <w:t>voir le deuxième rapport périodique de l’</w:t>
      </w:r>
      <w:r w:rsidR="001B2F58" w:rsidRPr="00DD03D6">
        <w:rPr>
          <w:noProof/>
          <w:lang w:val="fr-FR"/>
        </w:rPr>
        <w:t>Irland</w:t>
      </w:r>
      <w:r w:rsidR="00904C0D">
        <w:rPr>
          <w:noProof/>
          <w:lang w:val="fr-FR"/>
        </w:rPr>
        <w:t>e</w:t>
      </w:r>
      <w:r w:rsidR="00E77652" w:rsidRPr="00DD03D6">
        <w:rPr>
          <w:noProof/>
          <w:lang w:val="fr-FR"/>
        </w:rPr>
        <w:t>)</w:t>
      </w:r>
      <w:r w:rsidR="001B2F58" w:rsidRPr="00DD03D6">
        <w:rPr>
          <w:rStyle w:val="Appelnotedebasdep"/>
          <w:noProof/>
          <w:lang w:val="fr-FR"/>
        </w:rPr>
        <w:footnoteReference w:id="38"/>
      </w:r>
      <w:r w:rsidR="001B2F58" w:rsidRPr="00DD03D6">
        <w:rPr>
          <w:noProof/>
          <w:lang w:val="fr-FR"/>
        </w:rPr>
        <w:t xml:space="preserve"> </w:t>
      </w:r>
      <w:r w:rsidR="00904C0D">
        <w:rPr>
          <w:noProof/>
          <w:lang w:val="fr-FR"/>
        </w:rPr>
        <w:t>ont été intégrées au Programme de prévention des grossesses non désirées de la Direction des services de santé</w:t>
      </w:r>
      <w:r w:rsidR="001B2F58" w:rsidRPr="00DD03D6">
        <w:rPr>
          <w:noProof/>
          <w:lang w:val="fr-FR"/>
        </w:rPr>
        <w:t xml:space="preserve">. </w:t>
      </w:r>
      <w:r w:rsidR="00904C0D">
        <w:rPr>
          <w:noProof/>
          <w:lang w:val="fr-FR"/>
        </w:rPr>
        <w:t xml:space="preserve">Ce </w:t>
      </w:r>
      <w:r w:rsidR="001B2F58" w:rsidRPr="00DD03D6">
        <w:rPr>
          <w:noProof/>
          <w:lang w:val="fr-FR"/>
        </w:rPr>
        <w:t xml:space="preserve">programme </w:t>
      </w:r>
      <w:r w:rsidR="00904C0D">
        <w:rPr>
          <w:noProof/>
          <w:lang w:val="fr-FR"/>
        </w:rPr>
        <w:t xml:space="preserve">gère et finance divers </w:t>
      </w:r>
      <w:r w:rsidR="001B2F58" w:rsidRPr="00DD03D6">
        <w:rPr>
          <w:noProof/>
          <w:lang w:val="fr-FR"/>
        </w:rPr>
        <w:t xml:space="preserve">programmes </w:t>
      </w:r>
      <w:r w:rsidR="00904C0D">
        <w:rPr>
          <w:noProof/>
          <w:lang w:val="fr-FR"/>
        </w:rPr>
        <w:t xml:space="preserve">de </w:t>
      </w:r>
      <w:r w:rsidR="001B2F58" w:rsidRPr="00DD03D6">
        <w:rPr>
          <w:noProof/>
          <w:lang w:val="fr-FR"/>
        </w:rPr>
        <w:t>pr</w:t>
      </w:r>
      <w:r w:rsidR="00904C0D">
        <w:rPr>
          <w:noProof/>
          <w:lang w:val="fr-FR"/>
        </w:rPr>
        <w:t>é</w:t>
      </w:r>
      <w:r w:rsidR="001B2F58" w:rsidRPr="00DD03D6">
        <w:rPr>
          <w:noProof/>
          <w:lang w:val="fr-FR"/>
        </w:rPr>
        <w:t>vent</w:t>
      </w:r>
      <w:r w:rsidR="00904C0D">
        <w:rPr>
          <w:noProof/>
          <w:lang w:val="fr-FR"/>
        </w:rPr>
        <w:t xml:space="preserve">ion des grossesses non désirées, ciblant </w:t>
      </w:r>
      <w:r w:rsidR="00480F56">
        <w:rPr>
          <w:noProof/>
          <w:lang w:val="fr-FR"/>
        </w:rPr>
        <w:t xml:space="preserve">certains </w:t>
      </w:r>
      <w:r w:rsidR="00904C0D">
        <w:rPr>
          <w:noProof/>
          <w:lang w:val="fr-FR"/>
        </w:rPr>
        <w:t>groupes</w:t>
      </w:r>
      <w:r w:rsidR="00480F56">
        <w:rPr>
          <w:noProof/>
          <w:lang w:val="fr-FR"/>
        </w:rPr>
        <w:t xml:space="preserve">, notamment les </w:t>
      </w:r>
      <w:r w:rsidR="001B2F58" w:rsidRPr="00DD03D6">
        <w:rPr>
          <w:noProof/>
          <w:lang w:val="fr-FR"/>
        </w:rPr>
        <w:t xml:space="preserve">adolescents. </w:t>
      </w:r>
      <w:r w:rsidR="00480F56">
        <w:rPr>
          <w:noProof/>
          <w:lang w:val="fr-FR"/>
        </w:rPr>
        <w:t xml:space="preserve">Les principaux domaines de travail au titre de ce </w:t>
      </w:r>
      <w:r w:rsidR="001B2F58" w:rsidRPr="00DD03D6">
        <w:rPr>
          <w:noProof/>
          <w:lang w:val="fr-FR"/>
        </w:rPr>
        <w:t xml:space="preserve">programme </w:t>
      </w:r>
      <w:r w:rsidR="00480F56">
        <w:rPr>
          <w:noProof/>
          <w:lang w:val="fr-FR"/>
        </w:rPr>
        <w:t>sont notamment le travail mené avec le Ministère de l’éducation et de la formation et le Conseil n</w:t>
      </w:r>
      <w:r w:rsidR="001B2F58" w:rsidRPr="00DD03D6">
        <w:rPr>
          <w:noProof/>
          <w:lang w:val="fr-FR" w:eastAsia="en-IE"/>
        </w:rPr>
        <w:t xml:space="preserve">ational </w:t>
      </w:r>
      <w:r w:rsidR="00480F56">
        <w:rPr>
          <w:noProof/>
          <w:lang w:val="fr-FR" w:eastAsia="en-IE"/>
        </w:rPr>
        <w:t xml:space="preserve">de la jeunesse d’Irlande pour parachever l’exécution du Programme </w:t>
      </w:r>
      <w:r w:rsidR="00252163">
        <w:rPr>
          <w:noProof/>
          <w:lang w:val="fr-FR" w:eastAsia="en-IE"/>
        </w:rPr>
        <w:t xml:space="preserve">d’éducation aux relations et à la sexualité </w:t>
      </w:r>
      <w:r w:rsidR="000B621B">
        <w:rPr>
          <w:noProof/>
          <w:lang w:val="fr-FR" w:eastAsia="en-IE"/>
        </w:rPr>
        <w:t>en milieu</w:t>
      </w:r>
      <w:r w:rsidR="00252163">
        <w:rPr>
          <w:noProof/>
          <w:lang w:val="fr-FR" w:eastAsia="en-IE"/>
        </w:rPr>
        <w:t xml:space="preserve"> scolaire et </w:t>
      </w:r>
      <w:r w:rsidR="000B621B">
        <w:rPr>
          <w:noProof/>
          <w:lang w:val="fr-FR" w:eastAsia="en-IE"/>
        </w:rPr>
        <w:t>dans le cadre des activités en faveur des jeunes</w:t>
      </w:r>
      <w:r w:rsidR="001B2F58" w:rsidRPr="00DD03D6">
        <w:rPr>
          <w:noProof/>
          <w:lang w:val="fr-FR" w:eastAsia="en-IE"/>
        </w:rPr>
        <w:t xml:space="preserve">; </w:t>
      </w:r>
      <w:r w:rsidR="000B621B">
        <w:rPr>
          <w:noProof/>
          <w:lang w:val="fr-FR" w:eastAsia="en-IE"/>
        </w:rPr>
        <w:t xml:space="preserve">l’élaboration, la </w:t>
      </w:r>
      <w:r w:rsidR="001B2F58" w:rsidRPr="00DD03D6">
        <w:rPr>
          <w:noProof/>
          <w:lang w:val="fr-FR" w:eastAsia="en-IE"/>
        </w:rPr>
        <w:t xml:space="preserve">promotion </w:t>
      </w:r>
      <w:r w:rsidR="000B621B">
        <w:rPr>
          <w:noProof/>
          <w:lang w:val="fr-FR" w:eastAsia="en-IE"/>
        </w:rPr>
        <w:t xml:space="preserve">et la </w:t>
      </w:r>
      <w:r w:rsidR="001B2F58" w:rsidRPr="00DD03D6">
        <w:rPr>
          <w:noProof/>
          <w:lang w:val="fr-FR" w:eastAsia="en-IE"/>
        </w:rPr>
        <w:t xml:space="preserve">distribution </w:t>
      </w:r>
      <w:r w:rsidR="000B621B">
        <w:rPr>
          <w:noProof/>
          <w:lang w:val="fr-FR" w:eastAsia="en-IE"/>
        </w:rPr>
        <w:t xml:space="preserve">de documents d’information à l’intention des jeunes et de leurs </w:t>
      </w:r>
      <w:r w:rsidR="001B2F58" w:rsidRPr="00DD03D6">
        <w:rPr>
          <w:noProof/>
          <w:lang w:val="fr-FR" w:eastAsia="en-IE"/>
        </w:rPr>
        <w:t xml:space="preserve">parents </w:t>
      </w:r>
      <w:r w:rsidR="000B621B">
        <w:rPr>
          <w:noProof/>
          <w:lang w:val="fr-FR" w:eastAsia="en-IE"/>
        </w:rPr>
        <w:t xml:space="preserve">destinés à promouvoir une bonne </w:t>
      </w:r>
      <w:r w:rsidR="001B2F58" w:rsidRPr="00DD03D6">
        <w:rPr>
          <w:noProof/>
          <w:lang w:val="fr-FR" w:eastAsia="en-IE"/>
        </w:rPr>
        <w:t xml:space="preserve">communication </w:t>
      </w:r>
      <w:r w:rsidR="000B621B">
        <w:rPr>
          <w:noProof/>
          <w:lang w:val="fr-FR" w:eastAsia="en-IE"/>
        </w:rPr>
        <w:t xml:space="preserve">en matière de </w:t>
      </w:r>
      <w:r w:rsidR="001B2F58" w:rsidRPr="00DD03D6">
        <w:rPr>
          <w:noProof/>
          <w:lang w:val="fr-FR" w:eastAsia="en-IE"/>
        </w:rPr>
        <w:t>sex</w:t>
      </w:r>
      <w:r w:rsidR="000B621B">
        <w:rPr>
          <w:noProof/>
          <w:lang w:val="fr-FR" w:eastAsia="en-IE"/>
        </w:rPr>
        <w:t>ualité</w:t>
      </w:r>
      <w:r w:rsidR="001B2F58" w:rsidRPr="00DD03D6">
        <w:rPr>
          <w:noProof/>
          <w:lang w:val="fr-FR" w:eastAsia="en-IE"/>
        </w:rPr>
        <w:t xml:space="preserve">; </w:t>
      </w:r>
      <w:r w:rsidR="000B621B">
        <w:rPr>
          <w:noProof/>
          <w:lang w:val="fr-FR" w:eastAsia="en-IE"/>
        </w:rPr>
        <w:t xml:space="preserve">une formation assurée en faveur de diverses organisations de jeunes qui leur permette de dispenser une éducation aux relations et à la sexualité </w:t>
      </w:r>
      <w:r w:rsidR="001420B6">
        <w:rPr>
          <w:noProof/>
          <w:lang w:val="fr-FR" w:eastAsia="en-IE"/>
        </w:rPr>
        <w:t>aux pri</w:t>
      </w:r>
      <w:r w:rsidR="000B621B">
        <w:rPr>
          <w:noProof/>
          <w:lang w:val="fr-FR" w:eastAsia="en-IE"/>
        </w:rPr>
        <w:t>ncipaux groupes cibles</w:t>
      </w:r>
      <w:r w:rsidR="001B2F58" w:rsidRPr="00DD03D6">
        <w:rPr>
          <w:noProof/>
          <w:lang w:val="fr-FR" w:eastAsia="en-IE"/>
        </w:rPr>
        <w:t xml:space="preserve">; </w:t>
      </w:r>
      <w:r w:rsidR="000B621B">
        <w:rPr>
          <w:noProof/>
          <w:lang w:val="fr-FR" w:eastAsia="en-IE"/>
        </w:rPr>
        <w:t xml:space="preserve">et </w:t>
      </w:r>
      <w:r w:rsidR="001420B6">
        <w:rPr>
          <w:noProof/>
          <w:lang w:val="fr-FR" w:eastAsia="en-IE"/>
        </w:rPr>
        <w:t xml:space="preserve">le financement des services axés sur la jeunesse, en particulier ceux qui travaillent avec des groupes difficiles à atteindre </w:t>
      </w:r>
      <w:r w:rsidR="003B700B">
        <w:rPr>
          <w:noProof/>
          <w:lang w:val="fr-FR" w:eastAsia="en-IE"/>
        </w:rPr>
        <w:t xml:space="preserve">en milieu communautaire, tels que les </w:t>
      </w:r>
      <w:r w:rsidR="00031612">
        <w:rPr>
          <w:noProof/>
          <w:lang w:val="fr-FR" w:eastAsia="en-IE"/>
        </w:rPr>
        <w:t>cafés pour les jeunes,</w:t>
      </w:r>
      <w:r w:rsidR="00E92D3C">
        <w:rPr>
          <w:noProof/>
          <w:lang w:val="fr-FR" w:eastAsia="en-IE"/>
        </w:rPr>
        <w:t xml:space="preserve"> </w:t>
      </w:r>
      <w:r w:rsidR="001420B6">
        <w:rPr>
          <w:noProof/>
          <w:lang w:val="fr-FR" w:eastAsia="en-IE"/>
        </w:rPr>
        <w:t xml:space="preserve">et la collaboration avec </w:t>
      </w:r>
      <w:r w:rsidR="004B38CC">
        <w:rPr>
          <w:noProof/>
          <w:lang w:val="fr-FR" w:eastAsia="en-IE"/>
        </w:rPr>
        <w:t>ces services</w:t>
      </w:r>
      <w:r w:rsidR="001420B6">
        <w:rPr>
          <w:noProof/>
          <w:lang w:val="fr-FR" w:eastAsia="en-IE"/>
        </w:rPr>
        <w:t xml:space="preserve"> pour faire en sorte qu’ils se dotent d’une composante éducation aux relations et à la sexualité</w:t>
      </w:r>
      <w:r w:rsidR="001B2F58" w:rsidRPr="00DD03D6">
        <w:rPr>
          <w:noProof/>
          <w:lang w:val="fr-FR" w:eastAsia="en-IE"/>
        </w:rPr>
        <w:t xml:space="preserve">. </w:t>
      </w:r>
      <w:r w:rsidR="00031612">
        <w:rPr>
          <w:noProof/>
          <w:lang w:val="fr-FR" w:eastAsia="en-IE"/>
        </w:rPr>
        <w:t xml:space="preserve">Le </w:t>
      </w:r>
      <w:r w:rsidR="00031612">
        <w:rPr>
          <w:noProof/>
          <w:lang w:val="fr-FR"/>
        </w:rPr>
        <w:t xml:space="preserve">Programme de prévention des grossesses non désirées a également lancé un site Web </w:t>
      </w:r>
      <w:r w:rsidR="001B2F58" w:rsidRPr="00DD03D6">
        <w:rPr>
          <w:noProof/>
          <w:lang w:val="fr-FR" w:eastAsia="en-IE"/>
        </w:rPr>
        <w:t>(</w:t>
      </w:r>
      <w:hyperlink r:id="rId34" w:history="1">
        <w:r w:rsidR="001B2F58" w:rsidRPr="00DD03D6">
          <w:rPr>
            <w:rStyle w:val="Lienhypertexte"/>
            <w:noProof/>
            <w:color w:val="0000FF"/>
            <w:u w:val="single"/>
            <w:lang w:val="fr-FR" w:eastAsia="en-IE"/>
          </w:rPr>
          <w:t>www.b4udecide.ie</w:t>
        </w:r>
      </w:hyperlink>
      <w:r w:rsidR="001B2F58" w:rsidRPr="00DD03D6">
        <w:rPr>
          <w:noProof/>
          <w:lang w:val="fr-FR" w:eastAsia="en-IE"/>
        </w:rPr>
        <w:t xml:space="preserve">) </w:t>
      </w:r>
      <w:r w:rsidR="00031612">
        <w:rPr>
          <w:noProof/>
          <w:lang w:val="fr-FR" w:eastAsia="en-IE"/>
        </w:rPr>
        <w:t xml:space="preserve">qui fournit des </w:t>
      </w:r>
      <w:r w:rsidR="001B2F58" w:rsidRPr="00DD03D6">
        <w:rPr>
          <w:noProof/>
          <w:lang w:val="fr-FR" w:eastAsia="en-IE"/>
        </w:rPr>
        <w:t>information</w:t>
      </w:r>
      <w:r w:rsidR="00031612">
        <w:rPr>
          <w:noProof/>
          <w:lang w:val="fr-FR" w:eastAsia="en-IE"/>
        </w:rPr>
        <w:t>s</w:t>
      </w:r>
      <w:r w:rsidR="001B2F58" w:rsidRPr="00DD03D6">
        <w:rPr>
          <w:noProof/>
          <w:lang w:val="fr-FR" w:eastAsia="en-IE"/>
        </w:rPr>
        <w:t xml:space="preserve"> </w:t>
      </w:r>
      <w:r w:rsidR="004B38CC">
        <w:rPr>
          <w:noProof/>
          <w:lang w:val="fr-FR" w:eastAsia="en-IE"/>
        </w:rPr>
        <w:t>sur la sant</w:t>
      </w:r>
      <w:r w:rsidR="00031612">
        <w:rPr>
          <w:noProof/>
          <w:lang w:val="fr-FR" w:eastAsia="en-IE"/>
        </w:rPr>
        <w:t xml:space="preserve">é sexuelle aux jeunes, aux </w:t>
      </w:r>
      <w:r w:rsidR="001B2F58" w:rsidRPr="00DD03D6">
        <w:rPr>
          <w:noProof/>
          <w:lang w:val="fr-FR" w:eastAsia="en-IE"/>
        </w:rPr>
        <w:t xml:space="preserve">parents </w:t>
      </w:r>
      <w:r w:rsidR="00031612">
        <w:rPr>
          <w:noProof/>
          <w:lang w:val="fr-FR" w:eastAsia="en-IE"/>
        </w:rPr>
        <w:t xml:space="preserve">et aux </w:t>
      </w:r>
      <w:r w:rsidR="001B2F58" w:rsidRPr="00DD03D6">
        <w:rPr>
          <w:noProof/>
          <w:lang w:val="fr-FR" w:eastAsia="en-IE"/>
        </w:rPr>
        <w:t>profession</w:t>
      </w:r>
      <w:r w:rsidR="00031612">
        <w:rPr>
          <w:noProof/>
          <w:lang w:val="fr-FR" w:eastAsia="en-IE"/>
        </w:rPr>
        <w:t>ne</w:t>
      </w:r>
      <w:r w:rsidR="001B2F58" w:rsidRPr="00DD03D6">
        <w:rPr>
          <w:noProof/>
          <w:lang w:val="fr-FR" w:eastAsia="en-IE"/>
        </w:rPr>
        <w:t>ls.</w:t>
      </w:r>
    </w:p>
    <w:p w:rsidR="001B2F58" w:rsidRPr="00DD03D6" w:rsidRDefault="004B38CC" w:rsidP="00FB0BA4">
      <w:pPr>
        <w:pStyle w:val="SingleTxtG"/>
        <w:numPr>
          <w:ilvl w:val="0"/>
          <w:numId w:val="3"/>
        </w:numPr>
        <w:ind w:left="1134" w:firstLine="0"/>
        <w:rPr>
          <w:noProof/>
          <w:lang w:val="fr-FR"/>
        </w:rPr>
      </w:pPr>
      <w:r>
        <w:rPr>
          <w:noProof/>
          <w:lang w:val="fr-FR"/>
        </w:rPr>
        <w:t xml:space="preserve">Un groupe de pilotage a été créé en mai </w:t>
      </w:r>
      <w:r w:rsidR="001B2F58" w:rsidRPr="00DD03D6">
        <w:rPr>
          <w:noProof/>
          <w:lang w:val="fr-FR"/>
        </w:rPr>
        <w:t xml:space="preserve">2012 </w:t>
      </w:r>
      <w:r>
        <w:rPr>
          <w:noProof/>
          <w:lang w:val="fr-FR"/>
        </w:rPr>
        <w:t xml:space="preserve">pour superviser l’élaboration de la Stratégie nationale </w:t>
      </w:r>
      <w:r w:rsidR="0023267A">
        <w:rPr>
          <w:noProof/>
          <w:lang w:val="fr-FR"/>
        </w:rPr>
        <w:t xml:space="preserve">en matière de santé sexuelle, qui doit être présentée au Gouvernement. </w:t>
      </w:r>
      <w:r w:rsidR="00C56F42">
        <w:rPr>
          <w:noProof/>
          <w:lang w:val="fr-FR"/>
        </w:rPr>
        <w:t>Ce</w:t>
      </w:r>
      <w:r w:rsidR="0023267A">
        <w:rPr>
          <w:noProof/>
          <w:lang w:val="fr-FR"/>
        </w:rPr>
        <w:t>lle</w:t>
      </w:r>
      <w:r w:rsidR="00C56F42">
        <w:rPr>
          <w:noProof/>
          <w:lang w:val="fr-FR"/>
        </w:rPr>
        <w:t>-ci</w:t>
      </w:r>
      <w:r w:rsidR="0023267A">
        <w:rPr>
          <w:noProof/>
          <w:lang w:val="fr-FR"/>
        </w:rPr>
        <w:t xml:space="preserve"> imprimera une orientation stratégique à la prestation de services de santé sexuelle</w:t>
      </w:r>
      <w:r w:rsidR="001B2F58" w:rsidRPr="00DD03D6">
        <w:rPr>
          <w:noProof/>
          <w:lang w:val="fr-FR"/>
        </w:rPr>
        <w:t xml:space="preserve">. </w:t>
      </w:r>
      <w:r w:rsidR="0023267A">
        <w:rPr>
          <w:noProof/>
          <w:lang w:val="fr-FR"/>
        </w:rPr>
        <w:t xml:space="preserve">Le </w:t>
      </w:r>
      <w:r w:rsidR="001B2F58" w:rsidRPr="00DD03D6">
        <w:rPr>
          <w:noProof/>
          <w:lang w:val="fr-FR"/>
        </w:rPr>
        <w:t xml:space="preserve">plan </w:t>
      </w:r>
      <w:r w:rsidR="0023267A">
        <w:rPr>
          <w:noProof/>
          <w:lang w:val="fr-FR"/>
        </w:rPr>
        <w:t xml:space="preserve">sera axé sur l’amélioration de la santé et du bien-être sexuels et portera sur la </w:t>
      </w:r>
      <w:r w:rsidR="001B2F58" w:rsidRPr="00DD03D6">
        <w:rPr>
          <w:noProof/>
          <w:lang w:val="fr-FR"/>
        </w:rPr>
        <w:t xml:space="preserve">surveillance, </w:t>
      </w:r>
      <w:r w:rsidR="0023267A">
        <w:rPr>
          <w:noProof/>
          <w:lang w:val="fr-FR"/>
        </w:rPr>
        <w:t xml:space="preserve">le dépistage, le traitement et la prévention de l’infection au VIH et des IST, les grossesses non désirées </w:t>
      </w:r>
      <w:r w:rsidR="009E60B9">
        <w:rPr>
          <w:noProof/>
          <w:lang w:val="fr-FR"/>
        </w:rPr>
        <w:t>et l’éducation à la santé et la promotion de la santé</w:t>
      </w:r>
      <w:r w:rsidR="001B2F58" w:rsidRPr="00DD03D6">
        <w:rPr>
          <w:noProof/>
          <w:lang w:val="fr-FR"/>
        </w:rPr>
        <w:t xml:space="preserve">. </w:t>
      </w:r>
      <w:r w:rsidR="009E60B9">
        <w:rPr>
          <w:noProof/>
          <w:lang w:val="fr-FR"/>
        </w:rPr>
        <w:t xml:space="preserve">La stratégie sera conforme au prochain cadre </w:t>
      </w:r>
      <w:r w:rsidR="00C56F42">
        <w:rPr>
          <w:noProof/>
          <w:lang w:val="fr-FR"/>
        </w:rPr>
        <w:t>directeur</w:t>
      </w:r>
      <w:r w:rsidR="009E60B9">
        <w:rPr>
          <w:noProof/>
          <w:lang w:val="fr-FR"/>
        </w:rPr>
        <w:t xml:space="preserve"> relatif à la santé publique</w:t>
      </w:r>
      <w:r w:rsidR="001B2F58" w:rsidRPr="00DD03D6">
        <w:rPr>
          <w:noProof/>
          <w:lang w:val="fr-FR"/>
        </w:rPr>
        <w:t>.</w:t>
      </w:r>
    </w:p>
    <w:p w:rsidR="001B2F58" w:rsidRPr="00DD03D6" w:rsidRDefault="009E60B9" w:rsidP="00FB0BA4">
      <w:pPr>
        <w:pStyle w:val="SingleTxtG"/>
        <w:numPr>
          <w:ilvl w:val="0"/>
          <w:numId w:val="3"/>
        </w:numPr>
        <w:ind w:left="1134" w:firstLine="0"/>
        <w:rPr>
          <w:noProof/>
          <w:lang w:val="fr-FR"/>
        </w:rPr>
      </w:pPr>
      <w:r>
        <w:rPr>
          <w:noProof/>
          <w:lang w:val="fr-FR"/>
        </w:rPr>
        <w:t>E</w:t>
      </w:r>
      <w:r w:rsidR="001B2F58" w:rsidRPr="00DD03D6">
        <w:rPr>
          <w:noProof/>
          <w:lang w:val="fr-FR"/>
        </w:rPr>
        <w:t xml:space="preserve">n 2008, </w:t>
      </w:r>
      <w:r>
        <w:rPr>
          <w:noProof/>
          <w:lang w:val="fr-FR"/>
        </w:rPr>
        <w:t xml:space="preserve">le Ministère de la santé et de l’enfance a publié le </w:t>
      </w:r>
      <w:r>
        <w:rPr>
          <w:i/>
          <w:noProof/>
          <w:lang w:val="fr-FR"/>
        </w:rPr>
        <w:t xml:space="preserve">Plan d’éducation et de prévention concernant le VIH et le sida pour 2008-2012 </w:t>
      </w:r>
      <w:r>
        <w:rPr>
          <w:noProof/>
          <w:lang w:val="fr-FR"/>
        </w:rPr>
        <w:t>(</w:t>
      </w:r>
      <w:r w:rsidR="001B2F58" w:rsidRPr="00DD03D6">
        <w:rPr>
          <w:i/>
          <w:noProof/>
          <w:lang w:val="fr-FR"/>
        </w:rPr>
        <w:t>HIV and AIDS Education and Prevention Plan, 2008-2012</w:t>
      </w:r>
      <w:r>
        <w:rPr>
          <w:noProof/>
          <w:lang w:val="fr-FR"/>
        </w:rPr>
        <w:t xml:space="preserve">), qui a désigné les jeunes comme groupe particulièrement exposé au risque de nouvelles </w:t>
      </w:r>
      <w:r w:rsidR="001B2F58" w:rsidRPr="00DD03D6">
        <w:rPr>
          <w:noProof/>
          <w:lang w:val="fr-FR"/>
        </w:rPr>
        <w:t xml:space="preserve">infections. </w:t>
      </w:r>
      <w:r>
        <w:rPr>
          <w:noProof/>
          <w:lang w:val="fr-FR"/>
        </w:rPr>
        <w:t xml:space="preserve">Ce </w:t>
      </w:r>
      <w:r w:rsidR="001B2F58" w:rsidRPr="00DD03D6">
        <w:rPr>
          <w:noProof/>
          <w:lang w:val="fr-FR"/>
        </w:rPr>
        <w:t xml:space="preserve">plan </w:t>
      </w:r>
      <w:r>
        <w:rPr>
          <w:noProof/>
          <w:lang w:val="fr-FR"/>
        </w:rPr>
        <w:t>contient un certain nombre de mesures</w:t>
      </w:r>
      <w:r w:rsidR="00E92D3C">
        <w:rPr>
          <w:noProof/>
          <w:lang w:val="fr-FR"/>
        </w:rPr>
        <w:t xml:space="preserve"> </w:t>
      </w:r>
      <w:r>
        <w:rPr>
          <w:noProof/>
          <w:lang w:val="fr-FR"/>
        </w:rPr>
        <w:t>qui concernent les jeunes et qui sont regroupées sous les rubriques suivantes : é</w:t>
      </w:r>
      <w:r w:rsidR="001B2F58" w:rsidRPr="00DD03D6">
        <w:rPr>
          <w:noProof/>
          <w:lang w:val="fr-FR"/>
        </w:rPr>
        <w:t xml:space="preserve">ducation </w:t>
      </w:r>
      <w:r>
        <w:rPr>
          <w:noProof/>
          <w:lang w:val="fr-FR"/>
        </w:rPr>
        <w:t xml:space="preserve">et sensibilisation, </w:t>
      </w:r>
      <w:r w:rsidR="001B2F58" w:rsidRPr="00DD03D6">
        <w:rPr>
          <w:noProof/>
          <w:lang w:val="fr-FR"/>
        </w:rPr>
        <w:t>interventions</w:t>
      </w:r>
      <w:r>
        <w:rPr>
          <w:noProof/>
          <w:lang w:val="fr-FR"/>
        </w:rPr>
        <w:t xml:space="preserve"> spécifiques</w:t>
      </w:r>
      <w:r w:rsidR="001B2F58" w:rsidRPr="00DD03D6">
        <w:rPr>
          <w:noProof/>
          <w:lang w:val="fr-FR"/>
        </w:rPr>
        <w:t xml:space="preserve">, </w:t>
      </w:r>
      <w:r>
        <w:rPr>
          <w:noProof/>
          <w:lang w:val="fr-FR"/>
        </w:rPr>
        <w:t>renforcement du dépistage</w:t>
      </w:r>
      <w:r w:rsidR="001B2F58" w:rsidRPr="00DD03D6">
        <w:rPr>
          <w:noProof/>
          <w:lang w:val="fr-FR"/>
        </w:rPr>
        <w:t xml:space="preserve">, </w:t>
      </w:r>
      <w:r w:rsidR="002D07AF">
        <w:rPr>
          <w:noProof/>
          <w:lang w:val="fr-FR"/>
        </w:rPr>
        <w:t>recherche et renforcement des capacités</w:t>
      </w:r>
      <w:r w:rsidR="001B2F58" w:rsidRPr="00DD03D6">
        <w:rPr>
          <w:noProof/>
          <w:lang w:val="fr-FR"/>
        </w:rPr>
        <w:t xml:space="preserve">, </w:t>
      </w:r>
      <w:r w:rsidR="002D07AF">
        <w:rPr>
          <w:noProof/>
          <w:lang w:val="fr-FR"/>
        </w:rPr>
        <w:t>et liens avec les cadres direct</w:t>
      </w:r>
      <w:r w:rsidR="00C56F42">
        <w:rPr>
          <w:noProof/>
          <w:lang w:val="fr-FR"/>
        </w:rPr>
        <w:t>eur</w:t>
      </w:r>
      <w:r w:rsidR="002D07AF">
        <w:rPr>
          <w:noProof/>
          <w:lang w:val="fr-FR"/>
        </w:rPr>
        <w:t>s pertinents</w:t>
      </w:r>
      <w:r w:rsidR="001B2F58" w:rsidRPr="00DD03D6">
        <w:rPr>
          <w:noProof/>
          <w:lang w:val="fr-FR"/>
        </w:rPr>
        <w:t xml:space="preserve">. </w:t>
      </w:r>
      <w:r w:rsidR="002D07AF">
        <w:rPr>
          <w:noProof/>
          <w:lang w:val="fr-FR"/>
        </w:rPr>
        <w:t>Des progrès réguliers ont été accomplis en matière d’éducation et de sensibilisation des jeunes</w:t>
      </w:r>
      <w:r w:rsidR="001B2F58" w:rsidRPr="00DD03D6">
        <w:rPr>
          <w:noProof/>
          <w:lang w:val="fr-FR"/>
        </w:rPr>
        <w:t xml:space="preserve">. </w:t>
      </w:r>
      <w:r w:rsidR="003F1ADB">
        <w:rPr>
          <w:noProof/>
          <w:lang w:val="fr-FR"/>
        </w:rPr>
        <w:t>Cela a été rendu possible </w:t>
      </w:r>
      <w:r w:rsidR="001B2F58" w:rsidRPr="00DD03D6">
        <w:rPr>
          <w:noProof/>
          <w:lang w:val="fr-FR"/>
        </w:rPr>
        <w:t xml:space="preserve">: </w:t>
      </w:r>
    </w:p>
    <w:p w:rsidR="001B2F58" w:rsidRPr="00DD03D6" w:rsidRDefault="00CA7648" w:rsidP="003F1ADB">
      <w:pPr>
        <w:pStyle w:val="Bullet1G"/>
        <w:tabs>
          <w:tab w:val="clear" w:pos="1701"/>
          <w:tab w:val="left" w:pos="1843"/>
          <w:tab w:val="left" w:pos="6237"/>
        </w:tabs>
        <w:ind w:left="1843" w:hanging="142"/>
        <w:rPr>
          <w:noProof/>
          <w:lang w:val="fr-FR"/>
        </w:rPr>
      </w:pPr>
      <w:r>
        <w:rPr>
          <w:noProof/>
          <w:lang w:val="fr-FR"/>
        </w:rPr>
        <w:t>En ciblant directement les jeunes</w:t>
      </w:r>
      <w:r w:rsidR="001B2F58" w:rsidRPr="00DD03D6">
        <w:rPr>
          <w:noProof/>
          <w:lang w:val="fr-FR"/>
        </w:rPr>
        <w:t>;</w:t>
      </w:r>
    </w:p>
    <w:p w:rsidR="001B2F58" w:rsidRPr="00DD03D6" w:rsidRDefault="00CA7648" w:rsidP="003F1ADB">
      <w:pPr>
        <w:pStyle w:val="Bullet1G"/>
        <w:tabs>
          <w:tab w:val="clear" w:pos="1701"/>
          <w:tab w:val="left" w:pos="1843"/>
          <w:tab w:val="left" w:pos="6237"/>
        </w:tabs>
        <w:ind w:left="1843" w:hanging="142"/>
        <w:rPr>
          <w:noProof/>
          <w:lang w:val="fr-FR"/>
        </w:rPr>
      </w:pPr>
      <w:r>
        <w:rPr>
          <w:noProof/>
          <w:lang w:val="fr-FR"/>
        </w:rPr>
        <w:t>En ciblant directement les jeunes en situation de risque et</w:t>
      </w:r>
      <w:r w:rsidR="001B2F58" w:rsidRPr="00DD03D6">
        <w:rPr>
          <w:noProof/>
          <w:lang w:val="fr-FR"/>
        </w:rPr>
        <w:t xml:space="preserve"> vuln</w:t>
      </w:r>
      <w:r>
        <w:rPr>
          <w:noProof/>
          <w:lang w:val="fr-FR"/>
        </w:rPr>
        <w:t>é</w:t>
      </w:r>
      <w:r w:rsidR="001B2F58" w:rsidRPr="00DD03D6">
        <w:rPr>
          <w:noProof/>
          <w:lang w:val="fr-FR"/>
        </w:rPr>
        <w:t>rable</w:t>
      </w:r>
      <w:r>
        <w:rPr>
          <w:noProof/>
          <w:lang w:val="fr-FR"/>
        </w:rPr>
        <w:t xml:space="preserve">s par l’intermédiaire d’ONG telles que </w:t>
      </w:r>
      <w:r w:rsidR="001B2F58" w:rsidRPr="00DD03D6">
        <w:rPr>
          <w:noProof/>
          <w:lang w:val="fr-FR"/>
        </w:rPr>
        <w:t>BeLonG To (</w:t>
      </w:r>
      <w:r w:rsidR="001B2F58" w:rsidRPr="00DD03D6">
        <w:rPr>
          <w:noProof/>
          <w:color w:val="0000FF"/>
          <w:u w:val="single"/>
          <w:lang w:val="fr-FR"/>
        </w:rPr>
        <w:t>www.belongto.org</w:t>
      </w:r>
      <w:r w:rsidR="001B2F58" w:rsidRPr="00DD03D6">
        <w:rPr>
          <w:noProof/>
          <w:lang w:val="fr-FR"/>
        </w:rPr>
        <w:t>);</w:t>
      </w:r>
    </w:p>
    <w:p w:rsidR="001B2F58" w:rsidRPr="00DD03D6" w:rsidRDefault="00CA7648" w:rsidP="003F1ADB">
      <w:pPr>
        <w:pStyle w:val="Bullet1G"/>
        <w:tabs>
          <w:tab w:val="clear" w:pos="1701"/>
          <w:tab w:val="left" w:pos="1843"/>
          <w:tab w:val="left" w:pos="6237"/>
        </w:tabs>
        <w:ind w:left="1843" w:hanging="142"/>
        <w:rPr>
          <w:noProof/>
          <w:lang w:val="fr-FR"/>
        </w:rPr>
      </w:pPr>
      <w:r>
        <w:rPr>
          <w:noProof/>
          <w:lang w:val="fr-FR"/>
        </w:rPr>
        <w:t xml:space="preserve">En fournissant des </w:t>
      </w:r>
      <w:r w:rsidR="001B2F58" w:rsidRPr="00DD03D6">
        <w:rPr>
          <w:noProof/>
          <w:lang w:val="fr-FR"/>
        </w:rPr>
        <w:t>information</w:t>
      </w:r>
      <w:r>
        <w:rPr>
          <w:noProof/>
          <w:lang w:val="fr-FR"/>
        </w:rPr>
        <w:t>s</w:t>
      </w:r>
      <w:r w:rsidR="001B2F58" w:rsidRPr="00DD03D6">
        <w:rPr>
          <w:noProof/>
          <w:lang w:val="fr-FR"/>
        </w:rPr>
        <w:t xml:space="preserve"> </w:t>
      </w:r>
      <w:r>
        <w:rPr>
          <w:noProof/>
          <w:lang w:val="fr-FR"/>
        </w:rPr>
        <w:t xml:space="preserve">et un appui aux </w:t>
      </w:r>
      <w:r w:rsidR="001B2F58" w:rsidRPr="00DD03D6">
        <w:rPr>
          <w:noProof/>
          <w:lang w:val="fr-FR"/>
        </w:rPr>
        <w:t xml:space="preserve">parents </w:t>
      </w:r>
      <w:r>
        <w:rPr>
          <w:noProof/>
          <w:lang w:val="fr-FR"/>
        </w:rPr>
        <w:t>en tant que principaux éducateurs de leurs enfants</w:t>
      </w:r>
      <w:r w:rsidR="001B2F58" w:rsidRPr="00DD03D6">
        <w:rPr>
          <w:noProof/>
          <w:lang w:val="fr-FR"/>
        </w:rPr>
        <w:t>;</w:t>
      </w:r>
    </w:p>
    <w:p w:rsidR="001B2F58" w:rsidRPr="00DD03D6" w:rsidRDefault="00CA7648" w:rsidP="003F1ADB">
      <w:pPr>
        <w:pStyle w:val="Bullet1G"/>
        <w:tabs>
          <w:tab w:val="clear" w:pos="1701"/>
          <w:tab w:val="left" w:pos="1843"/>
          <w:tab w:val="left" w:pos="6237"/>
        </w:tabs>
        <w:ind w:left="1843" w:hanging="142"/>
        <w:rPr>
          <w:noProof/>
          <w:lang w:val="fr-FR"/>
        </w:rPr>
      </w:pPr>
      <w:r>
        <w:rPr>
          <w:noProof/>
          <w:lang w:val="fr-FR"/>
        </w:rPr>
        <w:t>En insistant davantage sur la nécessité de s’adresser directement aux jeunes pour leur demander leur opinion sur l’éducation aux relations et à la sexualité et l’éducation sociale, personnelle et sanitaire (</w:t>
      </w:r>
      <w:r w:rsidR="001B2F58" w:rsidRPr="00DD03D6">
        <w:rPr>
          <w:noProof/>
          <w:lang w:val="fr-FR"/>
        </w:rPr>
        <w:t>RSE/SPHE</w:t>
      </w:r>
      <w:r>
        <w:rPr>
          <w:noProof/>
          <w:lang w:val="fr-FR"/>
        </w:rPr>
        <w:t>)</w:t>
      </w:r>
      <w:r w:rsidR="001B2F58" w:rsidRPr="00DD03D6">
        <w:rPr>
          <w:noProof/>
          <w:lang w:val="fr-FR"/>
        </w:rPr>
        <w:t xml:space="preserve"> </w:t>
      </w:r>
      <w:r w:rsidR="00626104">
        <w:rPr>
          <w:noProof/>
          <w:lang w:val="fr-FR"/>
        </w:rPr>
        <w:t xml:space="preserve">et de s’adresser à eux par l’intermédiaire d’ONG telles que </w:t>
      </w:r>
      <w:r w:rsidR="001B2F58" w:rsidRPr="00DD03D6">
        <w:rPr>
          <w:noProof/>
          <w:lang w:val="fr-FR"/>
        </w:rPr>
        <w:t>SpunOut;</w:t>
      </w:r>
    </w:p>
    <w:p w:rsidR="001B2F58" w:rsidRPr="00DD03D6" w:rsidRDefault="00626104" w:rsidP="003F1ADB">
      <w:pPr>
        <w:pStyle w:val="Bullet1G"/>
        <w:tabs>
          <w:tab w:val="clear" w:pos="1701"/>
          <w:tab w:val="left" w:pos="1843"/>
          <w:tab w:val="left" w:pos="6237"/>
        </w:tabs>
        <w:ind w:left="1843" w:hanging="142"/>
        <w:rPr>
          <w:noProof/>
          <w:lang w:val="fr-FR"/>
        </w:rPr>
      </w:pPr>
      <w:r>
        <w:rPr>
          <w:noProof/>
          <w:lang w:val="fr-FR"/>
        </w:rPr>
        <w:lastRenderedPageBreak/>
        <w:t xml:space="preserve">L’enquête sur le </w:t>
      </w:r>
      <w:r w:rsidR="00067B0B">
        <w:rPr>
          <w:noProof/>
          <w:lang w:val="fr-FR"/>
        </w:rPr>
        <w:t xml:space="preserve">comportement </w:t>
      </w:r>
      <w:r>
        <w:rPr>
          <w:lang w:val="fr-FR"/>
        </w:rPr>
        <w:t xml:space="preserve">des enfants d’âge scolaire en matière de santé </w:t>
      </w:r>
      <w:r w:rsidRPr="00DD03D6">
        <w:rPr>
          <w:noProof/>
          <w:lang w:val="fr-FR"/>
        </w:rPr>
        <w:t xml:space="preserve">(HBSC) </w:t>
      </w:r>
      <w:r>
        <w:rPr>
          <w:noProof/>
          <w:lang w:val="fr-FR"/>
        </w:rPr>
        <w:t xml:space="preserve">réalisée en </w:t>
      </w:r>
      <w:r w:rsidR="001B2F58" w:rsidRPr="00DD03D6">
        <w:rPr>
          <w:noProof/>
          <w:lang w:val="fr-FR"/>
        </w:rPr>
        <w:t xml:space="preserve">2012 </w:t>
      </w:r>
      <w:r>
        <w:rPr>
          <w:noProof/>
          <w:lang w:val="fr-FR"/>
        </w:rPr>
        <w:t>a été la première à comporter une question sur le comportement sexuel</w:t>
      </w:r>
      <w:r w:rsidR="001B2F58" w:rsidRPr="00DD03D6">
        <w:rPr>
          <w:noProof/>
          <w:lang w:val="fr-FR"/>
        </w:rPr>
        <w:t>;</w:t>
      </w:r>
    </w:p>
    <w:p w:rsidR="001B2F58" w:rsidRPr="00DD03D6" w:rsidRDefault="001B2F58" w:rsidP="003F1ADB">
      <w:pPr>
        <w:pStyle w:val="Bullet1G"/>
        <w:tabs>
          <w:tab w:val="clear" w:pos="1701"/>
          <w:tab w:val="left" w:pos="1843"/>
          <w:tab w:val="left" w:pos="6237"/>
        </w:tabs>
        <w:ind w:left="1843" w:hanging="142"/>
        <w:rPr>
          <w:noProof/>
          <w:lang w:val="fr-FR"/>
        </w:rPr>
      </w:pPr>
      <w:r w:rsidRPr="00DD03D6">
        <w:rPr>
          <w:noProof/>
          <w:lang w:val="fr-FR"/>
        </w:rPr>
        <w:t xml:space="preserve">BeLonG To </w:t>
      </w:r>
      <w:r w:rsidR="00626104">
        <w:rPr>
          <w:noProof/>
          <w:lang w:val="fr-FR"/>
        </w:rPr>
        <w:t xml:space="preserve">et </w:t>
      </w:r>
      <w:r w:rsidRPr="00DD03D6">
        <w:rPr>
          <w:noProof/>
          <w:lang w:val="fr-FR"/>
        </w:rPr>
        <w:t>GLEN (Gay + Lesbian Equality Network</w:t>
      </w:r>
      <w:r w:rsidR="00626104">
        <w:rPr>
          <w:noProof/>
          <w:lang w:val="fr-FR"/>
        </w:rPr>
        <w:t xml:space="preserve"> (Réseau pour l’égalité pour les gays et les lesbiennes)</w:t>
      </w:r>
      <w:r w:rsidRPr="00DD03D6">
        <w:rPr>
          <w:noProof/>
          <w:lang w:val="fr-FR"/>
        </w:rPr>
        <w:t>)</w:t>
      </w:r>
      <w:r w:rsidR="00626104">
        <w:rPr>
          <w:noProof/>
          <w:lang w:val="fr-FR"/>
        </w:rPr>
        <w:t xml:space="preserve"> ont pris la tête des efforts faits pour élaborer des politiques et donner des avis sur les meilleures pratiques en ce qui concerne les jeunes </w:t>
      </w:r>
      <w:r w:rsidRPr="00DD03D6">
        <w:rPr>
          <w:noProof/>
          <w:lang w:val="fr-FR"/>
        </w:rPr>
        <w:t>LGBT;</w:t>
      </w:r>
    </w:p>
    <w:p w:rsidR="001B2F58" w:rsidRPr="00DD03D6" w:rsidRDefault="00626104" w:rsidP="003F1ADB">
      <w:pPr>
        <w:pStyle w:val="Bullet1G"/>
        <w:tabs>
          <w:tab w:val="clear" w:pos="1701"/>
          <w:tab w:val="left" w:pos="1843"/>
          <w:tab w:val="left" w:pos="6237"/>
        </w:tabs>
        <w:ind w:left="1843" w:hanging="142"/>
        <w:rPr>
          <w:noProof/>
          <w:lang w:val="fr-FR"/>
        </w:rPr>
      </w:pPr>
      <w:r>
        <w:rPr>
          <w:noProof/>
          <w:lang w:val="fr-FR"/>
        </w:rPr>
        <w:t>L’Ir</w:t>
      </w:r>
      <w:r w:rsidR="001B2F58" w:rsidRPr="00DD03D6">
        <w:rPr>
          <w:noProof/>
          <w:lang w:val="fr-FR"/>
        </w:rPr>
        <w:t>land</w:t>
      </w:r>
      <w:r>
        <w:rPr>
          <w:noProof/>
          <w:lang w:val="fr-FR"/>
        </w:rPr>
        <w:t>e</w:t>
      </w:r>
      <w:r w:rsidR="001B2F58" w:rsidRPr="00DD03D6">
        <w:rPr>
          <w:noProof/>
          <w:lang w:val="fr-FR"/>
        </w:rPr>
        <w:t xml:space="preserve"> </w:t>
      </w:r>
      <w:r>
        <w:rPr>
          <w:noProof/>
          <w:lang w:val="fr-FR"/>
        </w:rPr>
        <w:t xml:space="preserve">a organisé sa première </w:t>
      </w:r>
      <w:r w:rsidR="001B2F58" w:rsidRPr="00DD03D6">
        <w:rPr>
          <w:noProof/>
          <w:lang w:val="fr-FR"/>
        </w:rPr>
        <w:t>SHAW (Sexual Health Awareness Week</w:t>
      </w:r>
      <w:r>
        <w:rPr>
          <w:noProof/>
          <w:lang w:val="fr-FR"/>
        </w:rPr>
        <w:t xml:space="preserve"> (Semaine de sensibilisation à la santé sexuelle)</w:t>
      </w:r>
      <w:r w:rsidR="001B2F58" w:rsidRPr="00DD03D6">
        <w:rPr>
          <w:noProof/>
          <w:lang w:val="fr-FR"/>
        </w:rPr>
        <w:t xml:space="preserve">) </w:t>
      </w:r>
      <w:r>
        <w:rPr>
          <w:noProof/>
          <w:lang w:val="fr-FR"/>
        </w:rPr>
        <w:t>e</w:t>
      </w:r>
      <w:r w:rsidR="001B2F58" w:rsidRPr="00DD03D6">
        <w:rPr>
          <w:noProof/>
          <w:lang w:val="fr-FR"/>
        </w:rPr>
        <w:t xml:space="preserve">n </w:t>
      </w:r>
      <w:r>
        <w:rPr>
          <w:noProof/>
          <w:lang w:val="fr-FR"/>
        </w:rPr>
        <w:t xml:space="preserve">mai </w:t>
      </w:r>
      <w:r w:rsidR="001B2F58" w:rsidRPr="00DD03D6">
        <w:rPr>
          <w:noProof/>
          <w:lang w:val="fr-FR"/>
        </w:rPr>
        <w:t xml:space="preserve">2012, </w:t>
      </w:r>
      <w:r>
        <w:rPr>
          <w:noProof/>
          <w:lang w:val="fr-FR"/>
        </w:rPr>
        <w:t xml:space="preserve">sous l’égide du </w:t>
      </w:r>
      <w:r w:rsidR="001B2F58" w:rsidRPr="00DD03D6">
        <w:rPr>
          <w:noProof/>
          <w:lang w:val="fr-FR"/>
        </w:rPr>
        <w:t xml:space="preserve">Royal College of Surgeons, </w:t>
      </w:r>
      <w:r>
        <w:rPr>
          <w:noProof/>
          <w:lang w:val="fr-FR"/>
        </w:rPr>
        <w:t>qui a été principalement axée sur les jeunes</w:t>
      </w:r>
      <w:r w:rsidR="001B2F58" w:rsidRPr="00DD03D6">
        <w:rPr>
          <w:noProof/>
          <w:lang w:val="fr-FR"/>
        </w:rPr>
        <w:t>.</w:t>
      </w:r>
    </w:p>
    <w:p w:rsidR="001B2F58" w:rsidRPr="00DD03D6" w:rsidRDefault="00FB0BA4" w:rsidP="00FB0BA4">
      <w:pPr>
        <w:pStyle w:val="H1G"/>
        <w:rPr>
          <w:noProof/>
          <w:lang w:val="fr-FR"/>
        </w:rPr>
      </w:pPr>
      <w:r w:rsidRPr="00DD03D6">
        <w:rPr>
          <w:noProof/>
          <w:lang w:val="fr-FR"/>
        </w:rPr>
        <w:tab/>
      </w:r>
      <w:r w:rsidR="001B2F58" w:rsidRPr="00DD03D6">
        <w:rPr>
          <w:noProof/>
          <w:lang w:val="fr-FR"/>
        </w:rPr>
        <w:t>G.</w:t>
      </w:r>
      <w:r w:rsidR="001B2F58" w:rsidRPr="00DD03D6">
        <w:rPr>
          <w:noProof/>
          <w:lang w:val="fr-FR"/>
        </w:rPr>
        <w:tab/>
      </w:r>
      <w:r w:rsidR="00626104" w:rsidRPr="00DD03D6">
        <w:rPr>
          <w:noProof/>
          <w:lang w:val="fr-FR"/>
        </w:rPr>
        <w:t xml:space="preserve">Mesures </w:t>
      </w:r>
      <w:r w:rsidR="00626104">
        <w:rPr>
          <w:noProof/>
          <w:lang w:val="fr-FR"/>
        </w:rPr>
        <w:t>adoptées pour interdire et éliminer tous</w:t>
      </w:r>
      <w:r w:rsidR="00626104" w:rsidRPr="00DD03D6">
        <w:rPr>
          <w:noProof/>
          <w:lang w:val="fr-FR"/>
        </w:rPr>
        <w:t xml:space="preserve"> </w:t>
      </w:r>
      <w:r w:rsidR="00626104">
        <w:rPr>
          <w:noProof/>
          <w:lang w:val="fr-FR"/>
        </w:rPr>
        <w:t xml:space="preserve">types de pratiques </w:t>
      </w:r>
      <w:r w:rsidR="00626104" w:rsidRPr="00DD03D6">
        <w:rPr>
          <w:noProof/>
          <w:lang w:val="fr-FR"/>
        </w:rPr>
        <w:t>tradition</w:t>
      </w:r>
      <w:r w:rsidR="00626104">
        <w:rPr>
          <w:noProof/>
          <w:lang w:val="fr-FR"/>
        </w:rPr>
        <w:t xml:space="preserve">nelles </w:t>
      </w:r>
      <w:r w:rsidR="00626104" w:rsidRPr="00DD03D6">
        <w:rPr>
          <w:noProof/>
          <w:lang w:val="fr-FR"/>
        </w:rPr>
        <w:t>pr</w:t>
      </w:r>
      <w:r w:rsidR="00626104">
        <w:rPr>
          <w:noProof/>
          <w:lang w:val="fr-FR"/>
        </w:rPr>
        <w:t>éjudiciables</w:t>
      </w:r>
      <w:r w:rsidR="00E92D3C">
        <w:rPr>
          <w:noProof/>
          <w:lang w:val="fr-FR"/>
        </w:rPr>
        <w:t xml:space="preserve"> </w:t>
      </w:r>
    </w:p>
    <w:p w:rsidR="001B2F58" w:rsidRPr="00DD03D6" w:rsidRDefault="00626104" w:rsidP="00CB29F7">
      <w:pPr>
        <w:pStyle w:val="SingleTxtG"/>
        <w:numPr>
          <w:ilvl w:val="0"/>
          <w:numId w:val="3"/>
        </w:numPr>
        <w:ind w:left="1134" w:firstLine="0"/>
        <w:rPr>
          <w:noProof/>
          <w:lang w:val="fr-FR"/>
        </w:rPr>
      </w:pPr>
      <w:r>
        <w:rPr>
          <w:noProof/>
          <w:lang w:val="fr-FR"/>
        </w:rPr>
        <w:t xml:space="preserve">La </w:t>
      </w:r>
      <w:r w:rsidR="001B2F58" w:rsidRPr="00DD03D6">
        <w:rPr>
          <w:noProof/>
          <w:lang w:val="fr-FR"/>
        </w:rPr>
        <w:t>principal</w:t>
      </w:r>
      <w:r>
        <w:rPr>
          <w:noProof/>
          <w:lang w:val="fr-FR"/>
        </w:rPr>
        <w:t>e</w:t>
      </w:r>
      <w:r w:rsidR="001B2F58" w:rsidRPr="00DD03D6">
        <w:rPr>
          <w:noProof/>
          <w:lang w:val="fr-FR"/>
        </w:rPr>
        <w:t xml:space="preserve"> </w:t>
      </w:r>
      <w:r>
        <w:rPr>
          <w:noProof/>
          <w:lang w:val="fr-FR"/>
        </w:rPr>
        <w:t>pratique traditionnelle préjudiciable qui suscite des préoccupations en Irlande est celle des mutilations génitales féminines (MGF)</w:t>
      </w:r>
      <w:r w:rsidR="001B2F58" w:rsidRPr="00DD03D6">
        <w:rPr>
          <w:noProof/>
          <w:lang w:val="fr-FR"/>
        </w:rPr>
        <w:t xml:space="preserve">. </w:t>
      </w:r>
      <w:r>
        <w:rPr>
          <w:noProof/>
          <w:lang w:val="fr-FR"/>
        </w:rPr>
        <w:t>E</w:t>
      </w:r>
      <w:r w:rsidR="001B2F58" w:rsidRPr="00DD03D6">
        <w:rPr>
          <w:noProof/>
          <w:lang w:val="fr-FR"/>
        </w:rPr>
        <w:t xml:space="preserve">n 2008, </w:t>
      </w:r>
      <w:r w:rsidR="003D491F">
        <w:rPr>
          <w:noProof/>
          <w:lang w:val="fr-FR"/>
        </w:rPr>
        <w:t>un certain nombre d’</w:t>
      </w:r>
      <w:r w:rsidR="001B2F58" w:rsidRPr="00DD03D6">
        <w:rPr>
          <w:noProof/>
          <w:lang w:val="fr-FR"/>
        </w:rPr>
        <w:t xml:space="preserve">organisations </w:t>
      </w:r>
      <w:r w:rsidR="003D491F">
        <w:rPr>
          <w:noProof/>
          <w:lang w:val="fr-FR"/>
        </w:rPr>
        <w:t>officielles et d’ONG se sont rencontrées pour constituer un Comité national de pilotage et élaborer le Plan national d’action pour lutter contre les MGF</w:t>
      </w:r>
      <w:r w:rsidR="001B2F58" w:rsidRPr="00DD03D6">
        <w:rPr>
          <w:noProof/>
          <w:lang w:val="fr-FR"/>
        </w:rPr>
        <w:t xml:space="preserve">. </w:t>
      </w:r>
      <w:r w:rsidR="003D491F">
        <w:rPr>
          <w:noProof/>
          <w:lang w:val="fr-FR"/>
        </w:rPr>
        <w:t>L’un des principaux objectifs de ce Plan d’action était de faire adopter une loi interdisant expressément les MGF en Irlande et incluant le principe d’extraterritorialité</w:t>
      </w:r>
      <w:r w:rsidR="001B2F58" w:rsidRPr="00DD03D6">
        <w:rPr>
          <w:noProof/>
          <w:lang w:val="fr-FR"/>
        </w:rPr>
        <w:t xml:space="preserve"> </w:t>
      </w:r>
      <w:r w:rsidR="003D491F">
        <w:rPr>
          <w:noProof/>
          <w:lang w:val="fr-FR"/>
        </w:rPr>
        <w:t xml:space="preserve">en tant qu’extension de la protection législative </w:t>
      </w:r>
      <w:r w:rsidR="001B2F58" w:rsidRPr="00DD03D6">
        <w:rPr>
          <w:noProof/>
          <w:lang w:val="fr-FR"/>
        </w:rPr>
        <w:t>national</w:t>
      </w:r>
      <w:r w:rsidR="003D491F">
        <w:rPr>
          <w:noProof/>
          <w:lang w:val="fr-FR"/>
        </w:rPr>
        <w:t>e</w:t>
      </w:r>
      <w:r w:rsidR="001B2F58" w:rsidRPr="00DD03D6">
        <w:rPr>
          <w:noProof/>
          <w:lang w:val="fr-FR"/>
        </w:rPr>
        <w:t xml:space="preserve">. </w:t>
      </w:r>
      <w:r w:rsidR="003D491F">
        <w:rPr>
          <w:noProof/>
          <w:lang w:val="fr-FR"/>
        </w:rPr>
        <w:t>C’est chose faite depuis l’adoption de la loi de 2012 sur la justice pénale (mutilations génitales féminines)</w:t>
      </w:r>
      <w:r w:rsidR="001B2F58" w:rsidRPr="00DD03D6">
        <w:rPr>
          <w:noProof/>
          <w:lang w:val="fr-FR"/>
        </w:rPr>
        <w:t xml:space="preserve">. </w:t>
      </w:r>
      <w:r w:rsidR="003D491F">
        <w:rPr>
          <w:noProof/>
          <w:lang w:val="fr-FR"/>
        </w:rPr>
        <w:t xml:space="preserve">Les dispositions de cette loi sont décrites au </w:t>
      </w:r>
      <w:r w:rsidR="00CB29F7" w:rsidRPr="00DD03D6">
        <w:rPr>
          <w:noProof/>
          <w:lang w:val="fr-FR"/>
        </w:rPr>
        <w:t>p</w:t>
      </w:r>
      <w:r w:rsidR="00796A7C" w:rsidRPr="00DD03D6">
        <w:rPr>
          <w:noProof/>
          <w:lang w:val="fr-FR"/>
        </w:rPr>
        <w:t>aragraph</w:t>
      </w:r>
      <w:r w:rsidR="003D491F">
        <w:rPr>
          <w:noProof/>
          <w:lang w:val="fr-FR"/>
        </w:rPr>
        <w:t>e</w:t>
      </w:r>
      <w:r w:rsidR="00796A7C" w:rsidRPr="00DD03D6">
        <w:rPr>
          <w:noProof/>
          <w:lang w:val="fr-FR"/>
        </w:rPr>
        <w:t> </w:t>
      </w:r>
      <w:r w:rsidR="00B93A4D" w:rsidRPr="00DD03D6">
        <w:rPr>
          <w:noProof/>
          <w:lang w:val="fr-FR"/>
        </w:rPr>
        <w:t>210</w:t>
      </w:r>
      <w:r w:rsidR="001B2F58" w:rsidRPr="00DD03D6">
        <w:rPr>
          <w:noProof/>
          <w:lang w:val="fr-FR"/>
        </w:rPr>
        <w:t>.</w:t>
      </w:r>
    </w:p>
    <w:p w:rsidR="001B2F58" w:rsidRPr="00DD03D6" w:rsidRDefault="00C05BF5" w:rsidP="00C05BF5">
      <w:pPr>
        <w:pStyle w:val="H1G"/>
        <w:rPr>
          <w:noProof/>
          <w:lang w:val="fr-FR"/>
        </w:rPr>
      </w:pPr>
      <w:r w:rsidRPr="00DD03D6">
        <w:rPr>
          <w:noProof/>
          <w:lang w:val="fr-FR"/>
        </w:rPr>
        <w:tab/>
      </w:r>
      <w:r w:rsidR="001B2F58" w:rsidRPr="00DD03D6">
        <w:rPr>
          <w:noProof/>
          <w:lang w:val="fr-FR"/>
        </w:rPr>
        <w:t>H.</w:t>
      </w:r>
      <w:r w:rsidR="001B2F58" w:rsidRPr="00DD03D6">
        <w:rPr>
          <w:noProof/>
          <w:lang w:val="fr-FR"/>
        </w:rPr>
        <w:tab/>
      </w:r>
      <w:r w:rsidR="009E5EB9" w:rsidRPr="00DD03D6">
        <w:rPr>
          <w:noProof/>
          <w:lang w:val="fr-FR"/>
        </w:rPr>
        <w:t xml:space="preserve">Mesures </w:t>
      </w:r>
      <w:r w:rsidR="009E5EB9">
        <w:rPr>
          <w:noProof/>
          <w:lang w:val="fr-FR"/>
        </w:rPr>
        <w:t>adoptées pour protéger les enfants contre l’abus de substances psychotropes</w:t>
      </w:r>
    </w:p>
    <w:p w:rsidR="001B2F58" w:rsidRPr="00DD03D6" w:rsidRDefault="00C05BF5" w:rsidP="00C05BF5">
      <w:pPr>
        <w:pStyle w:val="H23G"/>
        <w:rPr>
          <w:noProof/>
          <w:lang w:val="fr-FR"/>
        </w:rPr>
      </w:pPr>
      <w:r w:rsidRPr="00DD03D6">
        <w:rPr>
          <w:noProof/>
          <w:lang w:val="fr-FR"/>
        </w:rPr>
        <w:tab/>
      </w:r>
      <w:r w:rsidRPr="00DD03D6">
        <w:rPr>
          <w:noProof/>
          <w:lang w:val="fr-FR"/>
        </w:rPr>
        <w:tab/>
      </w:r>
      <w:r w:rsidR="001B2F58" w:rsidRPr="00DD03D6">
        <w:rPr>
          <w:noProof/>
          <w:lang w:val="fr-FR"/>
        </w:rPr>
        <w:t>Dr</w:t>
      </w:r>
      <w:r w:rsidR="009E5EB9">
        <w:rPr>
          <w:noProof/>
          <w:lang w:val="fr-FR"/>
        </w:rPr>
        <w:t xml:space="preserve">ogue </w:t>
      </w:r>
    </w:p>
    <w:p w:rsidR="001B2F58" w:rsidRPr="00DD03D6" w:rsidRDefault="009E5EB9" w:rsidP="001D2A76">
      <w:pPr>
        <w:pStyle w:val="SingleTxtG"/>
        <w:numPr>
          <w:ilvl w:val="0"/>
          <w:numId w:val="3"/>
        </w:numPr>
        <w:ind w:left="1134" w:firstLine="0"/>
        <w:rPr>
          <w:noProof/>
          <w:lang w:val="fr-FR"/>
        </w:rPr>
      </w:pPr>
      <w:r>
        <w:rPr>
          <w:noProof/>
          <w:lang w:val="fr-FR"/>
        </w:rPr>
        <w:t xml:space="preserve">La Stratégie nationale en matière de drogues pour </w:t>
      </w:r>
      <w:r w:rsidR="001B2F58" w:rsidRPr="00DD03D6">
        <w:rPr>
          <w:noProof/>
          <w:lang w:val="fr-FR"/>
        </w:rPr>
        <w:t xml:space="preserve">2009-2016 </w:t>
      </w:r>
      <w:r>
        <w:rPr>
          <w:noProof/>
          <w:lang w:val="fr-FR"/>
        </w:rPr>
        <w:t xml:space="preserve">entend </w:t>
      </w:r>
      <w:r w:rsidR="001B2F58" w:rsidRPr="00DD03D6">
        <w:rPr>
          <w:noProof/>
          <w:lang w:val="fr-FR"/>
        </w:rPr>
        <w:t>continue</w:t>
      </w:r>
      <w:r>
        <w:rPr>
          <w:noProof/>
          <w:lang w:val="fr-FR"/>
        </w:rPr>
        <w:t xml:space="preserve">r de remédier au préjudice </w:t>
      </w:r>
      <w:r w:rsidR="001B2F58" w:rsidRPr="00DD03D6">
        <w:rPr>
          <w:noProof/>
          <w:lang w:val="fr-FR"/>
        </w:rPr>
        <w:t>caus</w:t>
      </w:r>
      <w:r>
        <w:rPr>
          <w:noProof/>
          <w:lang w:val="fr-FR"/>
        </w:rPr>
        <w:t xml:space="preserve">é aux individus et à la </w:t>
      </w:r>
      <w:r w:rsidR="001B2F58" w:rsidRPr="00DD03D6">
        <w:rPr>
          <w:noProof/>
          <w:lang w:val="fr-FR"/>
        </w:rPr>
        <w:t>soci</w:t>
      </w:r>
      <w:r>
        <w:rPr>
          <w:noProof/>
          <w:lang w:val="fr-FR"/>
        </w:rPr>
        <w:t>été par l’abus de drogue en axant de façon concertée les efforts sur les cinq piliers que sont la réduction de l’offre, la</w:t>
      </w:r>
      <w:r w:rsidR="001B2F58" w:rsidRPr="00DD03D6">
        <w:rPr>
          <w:noProof/>
          <w:lang w:val="fr-FR"/>
        </w:rPr>
        <w:t xml:space="preserve"> pr</w:t>
      </w:r>
      <w:r>
        <w:rPr>
          <w:noProof/>
          <w:lang w:val="fr-FR"/>
        </w:rPr>
        <w:t>é</w:t>
      </w:r>
      <w:r w:rsidR="001B2F58" w:rsidRPr="00DD03D6">
        <w:rPr>
          <w:noProof/>
          <w:lang w:val="fr-FR"/>
        </w:rPr>
        <w:t xml:space="preserve">vention, </w:t>
      </w:r>
      <w:r>
        <w:rPr>
          <w:noProof/>
          <w:lang w:val="fr-FR"/>
        </w:rPr>
        <w:t>le traitement</w:t>
      </w:r>
      <w:r w:rsidR="001B2F58" w:rsidRPr="00DD03D6">
        <w:rPr>
          <w:noProof/>
          <w:lang w:val="fr-FR"/>
        </w:rPr>
        <w:t xml:space="preserve">, </w:t>
      </w:r>
      <w:r>
        <w:rPr>
          <w:noProof/>
          <w:lang w:val="fr-FR"/>
        </w:rPr>
        <w:t>la désintoxication et la recherche</w:t>
      </w:r>
      <w:r w:rsidR="001B2F58" w:rsidRPr="00DD03D6">
        <w:rPr>
          <w:noProof/>
          <w:lang w:val="fr-FR"/>
        </w:rPr>
        <w:t xml:space="preserve">. </w:t>
      </w:r>
      <w:r>
        <w:rPr>
          <w:noProof/>
          <w:lang w:val="fr-FR"/>
        </w:rPr>
        <w:t xml:space="preserve">Cette </w:t>
      </w:r>
      <w:r w:rsidR="001B2F58" w:rsidRPr="00DD03D6">
        <w:rPr>
          <w:noProof/>
          <w:lang w:val="fr-FR"/>
        </w:rPr>
        <w:t>strat</w:t>
      </w:r>
      <w:r>
        <w:rPr>
          <w:noProof/>
          <w:lang w:val="fr-FR"/>
        </w:rPr>
        <w:t>é</w:t>
      </w:r>
      <w:r w:rsidR="001B2F58" w:rsidRPr="00DD03D6">
        <w:rPr>
          <w:noProof/>
          <w:lang w:val="fr-FR"/>
        </w:rPr>
        <w:t>g</w:t>
      </w:r>
      <w:r>
        <w:rPr>
          <w:noProof/>
          <w:lang w:val="fr-FR"/>
        </w:rPr>
        <w:t>ie contient un certa</w:t>
      </w:r>
      <w:r w:rsidR="003B4D3C">
        <w:rPr>
          <w:noProof/>
          <w:lang w:val="fr-FR"/>
        </w:rPr>
        <w:t>i</w:t>
      </w:r>
      <w:r>
        <w:rPr>
          <w:noProof/>
          <w:lang w:val="fr-FR"/>
        </w:rPr>
        <w:t>n nombre de mesures s’adressant spécifiquement aux jeunes, principalement dans les domaines de la prévention et du traitement</w:t>
      </w:r>
      <w:r w:rsidR="001B2F58" w:rsidRPr="00DD03D6">
        <w:rPr>
          <w:noProof/>
          <w:lang w:val="fr-FR"/>
        </w:rPr>
        <w:t xml:space="preserve">. </w:t>
      </w:r>
      <w:r>
        <w:rPr>
          <w:noProof/>
          <w:lang w:val="fr-FR"/>
        </w:rPr>
        <w:t xml:space="preserve">Elle </w:t>
      </w:r>
      <w:r w:rsidR="003B4D3C">
        <w:rPr>
          <w:noProof/>
          <w:lang w:val="fr-FR"/>
        </w:rPr>
        <w:t xml:space="preserve">poursuit quatre objectifs : </w:t>
      </w:r>
      <w:r>
        <w:rPr>
          <w:noProof/>
          <w:lang w:val="fr-FR"/>
        </w:rPr>
        <w:t xml:space="preserve">retarder l’âge de la première consommation de drogues illicites, réduire le niveau de consommation parmi les écoliers, diminuer </w:t>
      </w:r>
      <w:r w:rsidR="003B4D3C">
        <w:rPr>
          <w:noProof/>
          <w:lang w:val="fr-FR"/>
        </w:rPr>
        <w:t>le taux d’abandon scolaire précoce et faire en sorte que tous les gros consommateurs de drogues âgés de moins de 18 ans puissent avoir accès à un traitement dans les deux semaines qui suivent leur évaluation. Ce dernier objectif a été atteint par la Direction des services de santé en</w:t>
      </w:r>
      <w:r w:rsidR="001B2F58" w:rsidRPr="00DD03D6">
        <w:rPr>
          <w:noProof/>
          <w:lang w:val="fr-FR"/>
        </w:rPr>
        <w:t xml:space="preserve"> 2012.</w:t>
      </w:r>
    </w:p>
    <w:p w:rsidR="001B2F58" w:rsidRPr="00DD03D6" w:rsidRDefault="003B4D3C" w:rsidP="00C05BF5">
      <w:pPr>
        <w:pStyle w:val="SingleTxtG"/>
        <w:numPr>
          <w:ilvl w:val="0"/>
          <w:numId w:val="3"/>
        </w:numPr>
        <w:ind w:left="1134" w:firstLine="0"/>
        <w:rPr>
          <w:noProof/>
          <w:lang w:val="fr-FR"/>
        </w:rPr>
      </w:pPr>
      <w:r w:rsidRPr="003B4D3C">
        <w:rPr>
          <w:noProof/>
          <w:lang w:val="fr-FR"/>
        </w:rPr>
        <w:t xml:space="preserve">Le Fonds pour les structures et les services destinés à la jeunesse a été créé </w:t>
      </w:r>
      <w:r>
        <w:rPr>
          <w:noProof/>
          <w:lang w:val="fr-FR"/>
        </w:rPr>
        <w:t xml:space="preserve">par le Gouvernement </w:t>
      </w:r>
      <w:r w:rsidRPr="003B4D3C">
        <w:rPr>
          <w:noProof/>
          <w:lang w:val="fr-FR"/>
        </w:rPr>
        <w:t>en</w:t>
      </w:r>
      <w:r w:rsidR="003F1ADB">
        <w:rPr>
          <w:noProof/>
          <w:lang w:val="fr-FR"/>
        </w:rPr>
        <w:t xml:space="preserve"> </w:t>
      </w:r>
      <w:r w:rsidRPr="003B4D3C">
        <w:rPr>
          <w:noProof/>
          <w:lang w:val="fr-FR"/>
        </w:rPr>
        <w:t xml:space="preserve">1998 pour contribuer </w:t>
      </w:r>
      <w:r>
        <w:rPr>
          <w:noProof/>
          <w:lang w:val="fr-FR"/>
        </w:rPr>
        <w:t xml:space="preserve">à l’élaboration ciblée de stratégies de prévention en </w:t>
      </w:r>
      <w:r w:rsidRPr="003B4D3C">
        <w:rPr>
          <w:noProof/>
          <w:lang w:val="fr-FR"/>
        </w:rPr>
        <w:t>développ</w:t>
      </w:r>
      <w:r>
        <w:rPr>
          <w:noProof/>
          <w:lang w:val="fr-FR"/>
        </w:rPr>
        <w:t xml:space="preserve">ant </w:t>
      </w:r>
      <w:r w:rsidRPr="003B4D3C">
        <w:rPr>
          <w:noProof/>
          <w:lang w:val="fr-FR"/>
        </w:rPr>
        <w:t>des installations (y compris sportives et récréatives) et des services dans les zones défavorisées, où la drogue représente ou peut représenter un problème important</w:t>
      </w:r>
      <w:r w:rsidR="001B2F58" w:rsidRPr="00DD03D6">
        <w:rPr>
          <w:noProof/>
          <w:lang w:val="fr-FR"/>
        </w:rPr>
        <w:t xml:space="preserve">. </w:t>
      </w:r>
      <w:r w:rsidR="00616975">
        <w:rPr>
          <w:noProof/>
          <w:lang w:val="fr-FR"/>
        </w:rPr>
        <w:t xml:space="preserve">À l’heure actuellle, ce Fonds </w:t>
      </w:r>
      <w:r w:rsidR="00912FD0">
        <w:rPr>
          <w:noProof/>
          <w:lang w:val="fr-FR"/>
        </w:rPr>
        <w:t>appuie 182 proje</w:t>
      </w:r>
      <w:r w:rsidR="001B2F58" w:rsidRPr="00DD03D6">
        <w:rPr>
          <w:noProof/>
          <w:lang w:val="fr-FR"/>
        </w:rPr>
        <w:t xml:space="preserve">ts </w:t>
      </w:r>
      <w:r w:rsidR="00912FD0">
        <w:rPr>
          <w:noProof/>
          <w:lang w:val="fr-FR"/>
        </w:rPr>
        <w:t xml:space="preserve">et est </w:t>
      </w:r>
      <w:r w:rsidR="001B2F58" w:rsidRPr="00DD03D6">
        <w:rPr>
          <w:noProof/>
          <w:lang w:val="fr-FR"/>
        </w:rPr>
        <w:t>administ</w:t>
      </w:r>
      <w:r w:rsidR="00912FD0">
        <w:rPr>
          <w:noProof/>
          <w:lang w:val="fr-FR"/>
        </w:rPr>
        <w:t>ré par le Ministère de l’enfance et de la jeunesse dans le cadre de son programme en faveur de la jeunesse</w:t>
      </w:r>
      <w:r w:rsidR="001B2F58" w:rsidRPr="00DD03D6">
        <w:rPr>
          <w:noProof/>
          <w:lang w:val="fr-FR"/>
        </w:rPr>
        <w:t>.</w:t>
      </w:r>
    </w:p>
    <w:p w:rsidR="001B2F58" w:rsidRPr="00DD03D6" w:rsidRDefault="001B2F58" w:rsidP="00912FD0">
      <w:pPr>
        <w:pStyle w:val="H23G"/>
        <w:ind w:firstLine="0"/>
        <w:rPr>
          <w:noProof/>
          <w:lang w:val="fr-FR"/>
        </w:rPr>
      </w:pPr>
      <w:r w:rsidRPr="00DD03D6">
        <w:rPr>
          <w:noProof/>
          <w:lang w:val="fr-FR"/>
        </w:rPr>
        <w:t>T</w:t>
      </w:r>
      <w:r w:rsidR="00912FD0">
        <w:rPr>
          <w:noProof/>
          <w:lang w:val="fr-FR"/>
        </w:rPr>
        <w:t xml:space="preserve">abagisme </w:t>
      </w:r>
    </w:p>
    <w:p w:rsidR="001B2F58" w:rsidRPr="00DD03D6" w:rsidRDefault="008173FF" w:rsidP="00C05BF5">
      <w:pPr>
        <w:pStyle w:val="SingleTxtG"/>
        <w:numPr>
          <w:ilvl w:val="0"/>
          <w:numId w:val="3"/>
        </w:numPr>
        <w:ind w:left="1134" w:firstLine="0"/>
        <w:rPr>
          <w:noProof/>
          <w:lang w:val="fr-FR"/>
        </w:rPr>
      </w:pPr>
      <w:r>
        <w:rPr>
          <w:noProof/>
          <w:lang w:val="fr-FR"/>
        </w:rPr>
        <w:t xml:space="preserve">La consommation de tabac parmi les enfants diminue depuis quelques années en Irlande. Dans l’enquête </w:t>
      </w:r>
      <w:r w:rsidRPr="00DD03D6">
        <w:rPr>
          <w:noProof/>
          <w:lang w:val="fr-FR"/>
        </w:rPr>
        <w:t xml:space="preserve">HBSC </w:t>
      </w:r>
      <w:r>
        <w:rPr>
          <w:noProof/>
          <w:lang w:val="fr-FR"/>
        </w:rPr>
        <w:t xml:space="preserve">de 2002, </w:t>
      </w:r>
      <w:r w:rsidR="001B2F58" w:rsidRPr="00DD03D6">
        <w:rPr>
          <w:noProof/>
          <w:lang w:val="fr-FR"/>
        </w:rPr>
        <w:t>18</w:t>
      </w:r>
      <w:r>
        <w:rPr>
          <w:noProof/>
          <w:lang w:val="fr-FR"/>
        </w:rPr>
        <w:t>,</w:t>
      </w:r>
      <w:r w:rsidR="001B2F58" w:rsidRPr="00DD03D6">
        <w:rPr>
          <w:noProof/>
          <w:lang w:val="fr-FR"/>
        </w:rPr>
        <w:t>6</w:t>
      </w:r>
      <w:r w:rsidR="003F1ADB">
        <w:rPr>
          <w:noProof/>
          <w:lang w:val="fr-FR"/>
        </w:rPr>
        <w:t> %</w:t>
      </w:r>
      <w:r w:rsidR="001B2F58" w:rsidRPr="00DD03D6">
        <w:rPr>
          <w:noProof/>
          <w:lang w:val="fr-FR"/>
        </w:rPr>
        <w:t xml:space="preserve"> </w:t>
      </w:r>
      <w:r>
        <w:rPr>
          <w:noProof/>
          <w:lang w:val="fr-FR"/>
        </w:rPr>
        <w:t xml:space="preserve">des enfants âgés de </w:t>
      </w:r>
      <w:r w:rsidR="001B2F58" w:rsidRPr="00DD03D6">
        <w:rPr>
          <w:noProof/>
          <w:lang w:val="fr-FR"/>
        </w:rPr>
        <w:t>10</w:t>
      </w:r>
      <w:r>
        <w:rPr>
          <w:noProof/>
          <w:lang w:val="fr-FR"/>
        </w:rPr>
        <w:t xml:space="preserve"> à </w:t>
      </w:r>
      <w:r w:rsidR="001B2F58" w:rsidRPr="00DD03D6">
        <w:rPr>
          <w:noProof/>
          <w:lang w:val="fr-FR"/>
        </w:rPr>
        <w:t xml:space="preserve">17 </w:t>
      </w:r>
      <w:r>
        <w:rPr>
          <w:noProof/>
          <w:lang w:val="fr-FR"/>
        </w:rPr>
        <w:t xml:space="preserve">ans </w:t>
      </w:r>
      <w:r w:rsidR="00A01AE1">
        <w:rPr>
          <w:noProof/>
          <w:lang w:val="fr-FR"/>
        </w:rPr>
        <w:t xml:space="preserve">avaient </w:t>
      </w:r>
      <w:r w:rsidR="009B535D">
        <w:rPr>
          <w:noProof/>
          <w:lang w:val="fr-FR"/>
        </w:rPr>
        <w:lastRenderedPageBreak/>
        <w:t>déclaré fumer</w:t>
      </w:r>
      <w:r w:rsidR="001B2F58" w:rsidRPr="00DD03D6">
        <w:rPr>
          <w:noProof/>
          <w:lang w:val="fr-FR"/>
        </w:rPr>
        <w:t xml:space="preserve"> (</w:t>
      </w:r>
      <w:r w:rsidR="009B535D">
        <w:rPr>
          <w:noProof/>
          <w:lang w:val="fr-FR"/>
        </w:rPr>
        <w:t>au moins une fois par mois</w:t>
      </w:r>
      <w:r w:rsidR="001B2F58" w:rsidRPr="00DD03D6">
        <w:rPr>
          <w:noProof/>
          <w:lang w:val="fr-FR"/>
        </w:rPr>
        <w:t xml:space="preserve">). </w:t>
      </w:r>
      <w:r w:rsidR="009B535D">
        <w:rPr>
          <w:noProof/>
          <w:lang w:val="fr-FR"/>
        </w:rPr>
        <w:t xml:space="preserve">Cette proportion avait été ramenée à </w:t>
      </w:r>
      <w:r w:rsidR="001B2F58" w:rsidRPr="00DD03D6">
        <w:rPr>
          <w:noProof/>
          <w:lang w:val="fr-FR"/>
        </w:rPr>
        <w:t>15</w:t>
      </w:r>
      <w:r w:rsidR="009B535D">
        <w:rPr>
          <w:noProof/>
          <w:lang w:val="fr-FR"/>
        </w:rPr>
        <w:t>,</w:t>
      </w:r>
      <w:r w:rsidR="001B2F58" w:rsidRPr="00DD03D6">
        <w:rPr>
          <w:noProof/>
          <w:lang w:val="fr-FR"/>
        </w:rPr>
        <w:t>3</w:t>
      </w:r>
      <w:r w:rsidR="003F1ADB">
        <w:rPr>
          <w:noProof/>
          <w:lang w:val="fr-FR"/>
        </w:rPr>
        <w:t> %</w:t>
      </w:r>
      <w:r w:rsidR="001B2F58" w:rsidRPr="00DD03D6">
        <w:rPr>
          <w:noProof/>
          <w:lang w:val="fr-FR"/>
        </w:rPr>
        <w:t xml:space="preserve"> </w:t>
      </w:r>
      <w:r w:rsidR="009B535D">
        <w:rPr>
          <w:noProof/>
          <w:lang w:val="fr-FR"/>
        </w:rPr>
        <w:t xml:space="preserve">en </w:t>
      </w:r>
      <w:r w:rsidR="001B2F58" w:rsidRPr="00DD03D6">
        <w:rPr>
          <w:noProof/>
          <w:lang w:val="fr-FR"/>
        </w:rPr>
        <w:t xml:space="preserve">2006 </w:t>
      </w:r>
      <w:r w:rsidR="009B535D">
        <w:rPr>
          <w:noProof/>
          <w:lang w:val="fr-FR"/>
        </w:rPr>
        <w:t xml:space="preserve">et à </w:t>
      </w:r>
      <w:r w:rsidR="001B2F58" w:rsidRPr="00DD03D6">
        <w:rPr>
          <w:noProof/>
          <w:lang w:val="fr-FR"/>
        </w:rPr>
        <w:t>12</w:t>
      </w:r>
      <w:r w:rsidR="003F1ADB">
        <w:rPr>
          <w:noProof/>
          <w:lang w:val="fr-FR"/>
        </w:rPr>
        <w:t> %</w:t>
      </w:r>
      <w:r w:rsidR="001B2F58" w:rsidRPr="00DD03D6">
        <w:rPr>
          <w:noProof/>
          <w:lang w:val="fr-FR"/>
        </w:rPr>
        <w:t xml:space="preserve"> </w:t>
      </w:r>
      <w:r w:rsidR="009B535D">
        <w:rPr>
          <w:noProof/>
          <w:lang w:val="fr-FR"/>
        </w:rPr>
        <w:t>en</w:t>
      </w:r>
      <w:r w:rsidR="001B2F58" w:rsidRPr="00DD03D6">
        <w:rPr>
          <w:noProof/>
          <w:lang w:val="fr-FR"/>
        </w:rPr>
        <w:t xml:space="preserve"> 2010. </w:t>
      </w:r>
      <w:r w:rsidR="009B535D">
        <w:rPr>
          <w:noProof/>
          <w:lang w:val="fr-FR"/>
        </w:rPr>
        <w:t xml:space="preserve">Cette dernière année, </w:t>
      </w:r>
      <w:r w:rsidR="001B2F58" w:rsidRPr="00DD03D6">
        <w:rPr>
          <w:noProof/>
          <w:lang w:val="fr-FR"/>
        </w:rPr>
        <w:t>6</w:t>
      </w:r>
      <w:r w:rsidR="003F1ADB">
        <w:rPr>
          <w:noProof/>
          <w:lang w:val="fr-FR"/>
        </w:rPr>
        <w:t> %</w:t>
      </w:r>
      <w:r w:rsidR="001B2F58" w:rsidRPr="00DD03D6">
        <w:rPr>
          <w:noProof/>
          <w:lang w:val="fr-FR"/>
        </w:rPr>
        <w:t xml:space="preserve"> </w:t>
      </w:r>
      <w:r w:rsidR="009B535D">
        <w:rPr>
          <w:noProof/>
          <w:lang w:val="fr-FR"/>
        </w:rPr>
        <w:t xml:space="preserve">des enfants âgés de </w:t>
      </w:r>
      <w:r w:rsidR="001B2F58" w:rsidRPr="00DD03D6">
        <w:rPr>
          <w:noProof/>
          <w:lang w:val="fr-FR"/>
        </w:rPr>
        <w:t xml:space="preserve">11, 13 </w:t>
      </w:r>
      <w:r w:rsidR="009B535D">
        <w:rPr>
          <w:noProof/>
          <w:lang w:val="fr-FR"/>
        </w:rPr>
        <w:t>et</w:t>
      </w:r>
      <w:r w:rsidR="001B2F58" w:rsidRPr="00DD03D6">
        <w:rPr>
          <w:noProof/>
          <w:lang w:val="fr-FR"/>
        </w:rPr>
        <w:t xml:space="preserve"> 15 </w:t>
      </w:r>
      <w:r w:rsidR="009B535D">
        <w:rPr>
          <w:noProof/>
          <w:lang w:val="fr-FR"/>
        </w:rPr>
        <w:t>ans ont déclaré fumer des</w:t>
      </w:r>
      <w:r w:rsidR="001B2F58" w:rsidRPr="00DD03D6">
        <w:rPr>
          <w:noProof/>
          <w:lang w:val="fr-FR"/>
        </w:rPr>
        <w:t xml:space="preserve"> cigarettes </w:t>
      </w:r>
      <w:r w:rsidR="009B535D">
        <w:rPr>
          <w:noProof/>
          <w:lang w:val="fr-FR"/>
        </w:rPr>
        <w:t>chaque semaine</w:t>
      </w:r>
      <w:r w:rsidR="001B2F58" w:rsidRPr="00DD03D6">
        <w:rPr>
          <w:noProof/>
          <w:lang w:val="fr-FR"/>
        </w:rPr>
        <w:t xml:space="preserve">, </w:t>
      </w:r>
      <w:r w:rsidR="009B535D">
        <w:rPr>
          <w:noProof/>
          <w:lang w:val="fr-FR"/>
        </w:rPr>
        <w:t xml:space="preserve">ce qui était nettement au-dessous de la moyenne de </w:t>
      </w:r>
      <w:r w:rsidR="001B2F58" w:rsidRPr="00DD03D6">
        <w:rPr>
          <w:noProof/>
          <w:lang w:val="fr-FR"/>
        </w:rPr>
        <w:t>7</w:t>
      </w:r>
      <w:r w:rsidR="009B535D">
        <w:rPr>
          <w:noProof/>
          <w:lang w:val="fr-FR"/>
        </w:rPr>
        <w:t>,</w:t>
      </w:r>
      <w:r w:rsidR="001B2F58" w:rsidRPr="00DD03D6">
        <w:rPr>
          <w:noProof/>
          <w:lang w:val="fr-FR"/>
        </w:rPr>
        <w:t>7</w:t>
      </w:r>
      <w:r w:rsidR="003F1ADB">
        <w:rPr>
          <w:noProof/>
          <w:lang w:val="fr-FR"/>
        </w:rPr>
        <w:t> %</w:t>
      </w:r>
      <w:r w:rsidR="001B2F58" w:rsidRPr="00DD03D6">
        <w:rPr>
          <w:noProof/>
          <w:lang w:val="fr-FR"/>
        </w:rPr>
        <w:t xml:space="preserve"> </w:t>
      </w:r>
      <w:r w:rsidR="009B535D">
        <w:rPr>
          <w:noProof/>
          <w:lang w:val="fr-FR"/>
        </w:rPr>
        <w:t xml:space="preserve">des </w:t>
      </w:r>
      <w:r w:rsidR="001B2F58" w:rsidRPr="00DD03D6">
        <w:rPr>
          <w:noProof/>
          <w:lang w:val="fr-FR"/>
        </w:rPr>
        <w:t xml:space="preserve">39 </w:t>
      </w:r>
      <w:r w:rsidR="009B535D">
        <w:rPr>
          <w:noProof/>
          <w:lang w:val="fr-FR"/>
        </w:rPr>
        <w:t xml:space="preserve">pays et régions participant à l’enquête </w:t>
      </w:r>
      <w:r w:rsidR="001B2F58" w:rsidRPr="00DD03D6">
        <w:rPr>
          <w:noProof/>
          <w:lang w:val="fr-FR"/>
        </w:rPr>
        <w:t>HBSC.</w:t>
      </w:r>
    </w:p>
    <w:p w:rsidR="001B2F58" w:rsidRPr="00DD03D6" w:rsidRDefault="0014093A" w:rsidP="001D2A76">
      <w:pPr>
        <w:pStyle w:val="SingleTxtG"/>
        <w:numPr>
          <w:ilvl w:val="0"/>
          <w:numId w:val="3"/>
        </w:numPr>
        <w:ind w:left="1134" w:firstLine="0"/>
        <w:rPr>
          <w:noProof/>
          <w:lang w:val="fr-FR"/>
        </w:rPr>
      </w:pPr>
      <w:r>
        <w:rPr>
          <w:noProof/>
          <w:lang w:val="fr-FR"/>
        </w:rPr>
        <w:t>De nouvelles dispositions des lois de 2002 et 2004 sur la santé publi</w:t>
      </w:r>
      <w:r w:rsidR="001567D0">
        <w:rPr>
          <w:noProof/>
          <w:lang w:val="fr-FR"/>
        </w:rPr>
        <w:t>que</w:t>
      </w:r>
      <w:r>
        <w:rPr>
          <w:noProof/>
          <w:lang w:val="fr-FR"/>
        </w:rPr>
        <w:t xml:space="preserve"> (tabagisme) </w:t>
      </w:r>
      <w:r w:rsidR="001567D0">
        <w:rPr>
          <w:noProof/>
          <w:lang w:val="fr-FR"/>
        </w:rPr>
        <w:t>s</w:t>
      </w:r>
      <w:r>
        <w:rPr>
          <w:noProof/>
          <w:lang w:val="fr-FR"/>
        </w:rPr>
        <w:t xml:space="preserve">ont entrées en vigueur au </w:t>
      </w:r>
      <w:r w:rsidR="001B2F58" w:rsidRPr="00DD03D6">
        <w:rPr>
          <w:noProof/>
          <w:lang w:val="fr-FR"/>
        </w:rPr>
        <w:t>1</w:t>
      </w:r>
      <w:r w:rsidRPr="0014093A">
        <w:rPr>
          <w:noProof/>
          <w:vertAlign w:val="superscript"/>
          <w:lang w:val="fr-FR"/>
        </w:rPr>
        <w:t>er</w:t>
      </w:r>
      <w:r>
        <w:rPr>
          <w:noProof/>
          <w:lang w:val="fr-FR"/>
        </w:rPr>
        <w:t xml:space="preserve"> juillet </w:t>
      </w:r>
      <w:r w:rsidR="001B2F58" w:rsidRPr="00DD03D6">
        <w:rPr>
          <w:noProof/>
          <w:lang w:val="fr-FR"/>
        </w:rPr>
        <w:t xml:space="preserve">2009. </w:t>
      </w:r>
      <w:r>
        <w:rPr>
          <w:noProof/>
          <w:lang w:val="fr-FR"/>
        </w:rPr>
        <w:t xml:space="preserve">Elles portent sur </w:t>
      </w:r>
      <w:r w:rsidR="001567D0">
        <w:rPr>
          <w:noProof/>
          <w:lang w:val="fr-FR"/>
        </w:rPr>
        <w:t>l’</w:t>
      </w:r>
      <w:r>
        <w:rPr>
          <w:noProof/>
          <w:lang w:val="fr-FR"/>
        </w:rPr>
        <w:t>interdiction de la présentation des produits du tabac et de la publicité les concernant</w:t>
      </w:r>
      <w:r w:rsidR="001B2F58" w:rsidRPr="00DD03D6">
        <w:rPr>
          <w:noProof/>
          <w:lang w:val="fr-FR"/>
        </w:rPr>
        <w:t xml:space="preserve">; </w:t>
      </w:r>
      <w:r w:rsidR="00E10AD0">
        <w:rPr>
          <w:noProof/>
          <w:lang w:val="fr-FR"/>
        </w:rPr>
        <w:t xml:space="preserve">l’obligation </w:t>
      </w:r>
      <w:r w:rsidR="001567D0">
        <w:rPr>
          <w:noProof/>
          <w:lang w:val="fr-FR"/>
        </w:rPr>
        <w:t>de stocker tous les produits du tabac dans un récipient fermé auquel seul le détaillant a accès</w:t>
      </w:r>
      <w:r w:rsidR="001B2F58" w:rsidRPr="00DD03D6">
        <w:rPr>
          <w:noProof/>
          <w:lang w:val="fr-FR"/>
        </w:rPr>
        <w:t xml:space="preserve">; </w:t>
      </w:r>
      <w:r w:rsidR="001567D0">
        <w:rPr>
          <w:noProof/>
          <w:lang w:val="fr-FR"/>
        </w:rPr>
        <w:t>l’obligation pour tous les détaillants souhaitant vendre ces produits de se faire enregistrer au Bureau de contrôle du tabac</w:t>
      </w:r>
      <w:r w:rsidR="001B2F58" w:rsidRPr="00DD03D6">
        <w:rPr>
          <w:noProof/>
          <w:lang w:val="fr-FR"/>
        </w:rPr>
        <w:t xml:space="preserve">; </w:t>
      </w:r>
      <w:r w:rsidR="001567D0">
        <w:rPr>
          <w:noProof/>
          <w:lang w:val="fr-FR"/>
        </w:rPr>
        <w:t xml:space="preserve">et l’interdiction des distributeurs automatiques en libre-service, sauf dans les débits de boissons ou les </w:t>
      </w:r>
      <w:r w:rsidR="001B2F58" w:rsidRPr="00DD03D6">
        <w:rPr>
          <w:noProof/>
          <w:lang w:val="fr-FR"/>
        </w:rPr>
        <w:t>clubs</w:t>
      </w:r>
      <w:r w:rsidR="001567D0">
        <w:rPr>
          <w:noProof/>
          <w:lang w:val="fr-FR"/>
        </w:rPr>
        <w:t xml:space="preserve"> agréés</w:t>
      </w:r>
      <w:r w:rsidR="001B2F58" w:rsidRPr="00DD03D6">
        <w:rPr>
          <w:noProof/>
          <w:lang w:val="fr-FR"/>
        </w:rPr>
        <w:t xml:space="preserve">. </w:t>
      </w:r>
      <w:r w:rsidR="001567D0">
        <w:rPr>
          <w:noProof/>
          <w:lang w:val="fr-FR"/>
        </w:rPr>
        <w:t xml:space="preserve">Ces dispositions visent à </w:t>
      </w:r>
      <w:r w:rsidR="003F36DD">
        <w:rPr>
          <w:noProof/>
          <w:lang w:val="fr-FR"/>
        </w:rPr>
        <w:t>« </w:t>
      </w:r>
      <w:r w:rsidR="001B2F58" w:rsidRPr="00DD03D6">
        <w:rPr>
          <w:noProof/>
          <w:lang w:val="fr-FR"/>
        </w:rPr>
        <w:t>d</w:t>
      </w:r>
      <w:r w:rsidR="001567D0">
        <w:rPr>
          <w:noProof/>
          <w:lang w:val="fr-FR"/>
        </w:rPr>
        <w:t>é</w:t>
      </w:r>
      <w:r w:rsidR="001B2F58" w:rsidRPr="00DD03D6">
        <w:rPr>
          <w:noProof/>
          <w:lang w:val="fr-FR"/>
        </w:rPr>
        <w:t>normalise</w:t>
      </w:r>
      <w:r w:rsidR="001567D0">
        <w:rPr>
          <w:noProof/>
          <w:lang w:val="fr-FR"/>
        </w:rPr>
        <w:t>r</w:t>
      </w:r>
      <w:r w:rsidR="003F36DD">
        <w:rPr>
          <w:noProof/>
          <w:lang w:val="fr-FR"/>
        </w:rPr>
        <w:t> »</w:t>
      </w:r>
      <w:r w:rsidR="001B2F58" w:rsidRPr="00DD03D6">
        <w:rPr>
          <w:noProof/>
          <w:lang w:val="fr-FR"/>
        </w:rPr>
        <w:t xml:space="preserve"> </w:t>
      </w:r>
      <w:r w:rsidR="001567D0">
        <w:rPr>
          <w:noProof/>
          <w:lang w:val="fr-FR"/>
        </w:rPr>
        <w:t xml:space="preserve">un peu plus le tabac et à protéger les enfants contre les </w:t>
      </w:r>
      <w:r w:rsidR="001B2F58" w:rsidRPr="00DD03D6">
        <w:rPr>
          <w:noProof/>
          <w:lang w:val="fr-FR"/>
        </w:rPr>
        <w:t xml:space="preserve">dangers </w:t>
      </w:r>
      <w:r w:rsidR="001567D0">
        <w:rPr>
          <w:noProof/>
          <w:lang w:val="fr-FR"/>
        </w:rPr>
        <w:t>de sa consommation</w:t>
      </w:r>
      <w:r w:rsidR="001B2F58" w:rsidRPr="00DD03D6">
        <w:rPr>
          <w:noProof/>
          <w:lang w:val="fr-FR"/>
        </w:rPr>
        <w:t xml:space="preserve">. </w:t>
      </w:r>
    </w:p>
    <w:p w:rsidR="001B2F58" w:rsidRPr="00DD03D6" w:rsidRDefault="009D7AD5" w:rsidP="00C05BF5">
      <w:pPr>
        <w:pStyle w:val="SingleTxtG"/>
        <w:numPr>
          <w:ilvl w:val="0"/>
          <w:numId w:val="3"/>
        </w:numPr>
        <w:ind w:left="1134" w:firstLine="0"/>
        <w:rPr>
          <w:noProof/>
          <w:lang w:val="fr-FR"/>
        </w:rPr>
      </w:pPr>
      <w:r>
        <w:rPr>
          <w:noProof/>
          <w:lang w:val="fr-FR"/>
        </w:rPr>
        <w:t>En dé</w:t>
      </w:r>
      <w:r w:rsidR="001B2F58" w:rsidRPr="00DD03D6">
        <w:rPr>
          <w:noProof/>
          <w:lang w:val="fr-FR"/>
        </w:rPr>
        <w:t>cemb</w:t>
      </w:r>
      <w:r>
        <w:rPr>
          <w:noProof/>
          <w:lang w:val="fr-FR"/>
        </w:rPr>
        <w:t>re</w:t>
      </w:r>
      <w:r w:rsidR="001B2F58" w:rsidRPr="00DD03D6">
        <w:rPr>
          <w:noProof/>
          <w:lang w:val="fr-FR"/>
        </w:rPr>
        <w:t xml:space="preserve"> 2011, </w:t>
      </w:r>
      <w:r>
        <w:rPr>
          <w:noProof/>
          <w:lang w:val="fr-FR"/>
        </w:rPr>
        <w:t xml:space="preserve">un règlement a été adopté qui, à compter de février </w:t>
      </w:r>
      <w:r w:rsidR="001B2F58" w:rsidRPr="00DD03D6">
        <w:rPr>
          <w:noProof/>
          <w:lang w:val="fr-FR"/>
        </w:rPr>
        <w:t xml:space="preserve">2013, </w:t>
      </w:r>
      <w:r>
        <w:rPr>
          <w:noProof/>
          <w:lang w:val="fr-FR"/>
        </w:rPr>
        <w:t xml:space="preserve">fera </w:t>
      </w:r>
      <w:r w:rsidR="001B2F58" w:rsidRPr="00DD03D6">
        <w:rPr>
          <w:noProof/>
          <w:lang w:val="fr-FR"/>
        </w:rPr>
        <w:t xml:space="preserve">obligation </w:t>
      </w:r>
      <w:r>
        <w:rPr>
          <w:noProof/>
          <w:lang w:val="fr-FR"/>
        </w:rPr>
        <w:t xml:space="preserve">aux fabricants de produits du tabac de faire figurer sur l’emballage </w:t>
      </w:r>
      <w:r w:rsidR="00537D19">
        <w:rPr>
          <w:noProof/>
          <w:lang w:val="fr-FR"/>
        </w:rPr>
        <w:t xml:space="preserve">de ces produits </w:t>
      </w:r>
      <w:r>
        <w:rPr>
          <w:noProof/>
          <w:lang w:val="fr-FR"/>
        </w:rPr>
        <w:t xml:space="preserve">des éléments graphiques illustrant les conséquences négatives </w:t>
      </w:r>
      <w:r w:rsidR="00537D19">
        <w:rPr>
          <w:noProof/>
          <w:lang w:val="fr-FR"/>
        </w:rPr>
        <w:t xml:space="preserve">du tabagisme </w:t>
      </w:r>
      <w:r>
        <w:rPr>
          <w:noProof/>
          <w:lang w:val="fr-FR"/>
        </w:rPr>
        <w:t>pour la santé</w:t>
      </w:r>
      <w:r w:rsidR="001B2F58" w:rsidRPr="00DD03D6">
        <w:rPr>
          <w:noProof/>
          <w:lang w:val="fr-FR"/>
        </w:rPr>
        <w:t>.</w:t>
      </w:r>
    </w:p>
    <w:p w:rsidR="001B2F58" w:rsidRPr="00DD03D6" w:rsidRDefault="00537D19" w:rsidP="00C05BF5">
      <w:pPr>
        <w:pStyle w:val="SingleTxtG"/>
        <w:numPr>
          <w:ilvl w:val="0"/>
          <w:numId w:val="3"/>
        </w:numPr>
        <w:ind w:left="1134" w:firstLine="0"/>
        <w:rPr>
          <w:noProof/>
          <w:lang w:val="fr-FR"/>
        </w:rPr>
      </w:pPr>
      <w:r>
        <w:rPr>
          <w:noProof/>
          <w:lang w:val="fr-FR"/>
        </w:rPr>
        <w:t>E</w:t>
      </w:r>
      <w:r w:rsidR="001B2F58" w:rsidRPr="00DD03D6">
        <w:rPr>
          <w:noProof/>
          <w:lang w:val="fr-FR"/>
        </w:rPr>
        <w:t xml:space="preserve">n </w:t>
      </w:r>
      <w:r>
        <w:rPr>
          <w:noProof/>
          <w:lang w:val="fr-FR"/>
        </w:rPr>
        <w:t xml:space="preserve">juin </w:t>
      </w:r>
      <w:r w:rsidR="001B2F58" w:rsidRPr="00DD03D6">
        <w:rPr>
          <w:noProof/>
          <w:lang w:val="fr-FR"/>
        </w:rPr>
        <w:t xml:space="preserve">2011, </w:t>
      </w:r>
      <w:r w:rsidR="006545B4">
        <w:rPr>
          <w:noProof/>
          <w:lang w:val="fr-FR"/>
        </w:rPr>
        <w:t>une nouvelle campagne d’éducation à la santé visant à encourager les fumeurs à s’arrêter de fumer a été lancée par la Direction des services de santé</w:t>
      </w:r>
      <w:r w:rsidR="001B2F58" w:rsidRPr="00DD03D6">
        <w:rPr>
          <w:noProof/>
          <w:lang w:val="fr-FR"/>
        </w:rPr>
        <w:t xml:space="preserve">. </w:t>
      </w:r>
      <w:r w:rsidR="006545B4">
        <w:rPr>
          <w:noProof/>
          <w:lang w:val="fr-FR"/>
        </w:rPr>
        <w:t>Sur la base de statistiques selon lesquelles un fumeur sur deux décèdera d’une maladie liée au tabac, cette campagne met en exergue les graves répercussions du tabagisme sur les fumeurs eux-mêmes, leurs amis et leur famille</w:t>
      </w:r>
      <w:r w:rsidR="001B2F58" w:rsidRPr="00DD03D6">
        <w:rPr>
          <w:noProof/>
          <w:lang w:val="fr-FR"/>
        </w:rPr>
        <w:t>.</w:t>
      </w:r>
    </w:p>
    <w:p w:rsidR="001B2F58" w:rsidRPr="00DD03D6" w:rsidRDefault="006545B4" w:rsidP="00AB23BB">
      <w:pPr>
        <w:pStyle w:val="SingleTxtG"/>
        <w:numPr>
          <w:ilvl w:val="0"/>
          <w:numId w:val="3"/>
        </w:numPr>
        <w:ind w:left="1134" w:firstLine="0"/>
        <w:rPr>
          <w:noProof/>
          <w:lang w:val="fr-FR"/>
        </w:rPr>
      </w:pPr>
      <w:r>
        <w:rPr>
          <w:noProof/>
          <w:lang w:val="fr-FR"/>
        </w:rPr>
        <w:t xml:space="preserve">L’article </w:t>
      </w:r>
      <w:r w:rsidR="001B2F58" w:rsidRPr="00DD03D6">
        <w:rPr>
          <w:noProof/>
          <w:lang w:val="fr-FR"/>
        </w:rPr>
        <w:t xml:space="preserve">45 </w:t>
      </w:r>
      <w:r>
        <w:rPr>
          <w:noProof/>
          <w:lang w:val="fr-FR"/>
        </w:rPr>
        <w:t>des lois de 2002 à 2010 sur la santé publique (tabagisme) interdit la vente de produits du tabac à des personnes âgées de moins de 18 ans</w:t>
      </w:r>
      <w:r w:rsidR="001B2F58" w:rsidRPr="00DD03D6">
        <w:rPr>
          <w:noProof/>
          <w:lang w:val="fr-FR"/>
        </w:rPr>
        <w:t xml:space="preserve">. </w:t>
      </w:r>
      <w:r>
        <w:rPr>
          <w:noProof/>
          <w:lang w:val="fr-FR"/>
        </w:rPr>
        <w:t>Un détaillant déclaré coupable de vente de produits de ce type à un mineur encourt une amende d’un montant maximal de 3 000 euros et</w:t>
      </w:r>
      <w:r w:rsidR="00E311B0">
        <w:rPr>
          <w:noProof/>
          <w:lang w:val="fr-FR"/>
        </w:rPr>
        <w:t xml:space="preserve"> son inscription au registre du commerce peut être suspendue pour une période maximale de trois mois fixée par le Tribunal de district</w:t>
      </w:r>
      <w:r w:rsidR="001B2F58" w:rsidRPr="00DD03D6">
        <w:rPr>
          <w:noProof/>
          <w:lang w:val="fr-FR"/>
        </w:rPr>
        <w:t xml:space="preserve">. </w:t>
      </w:r>
      <w:r w:rsidR="00E311B0">
        <w:rPr>
          <w:noProof/>
          <w:lang w:val="fr-FR"/>
        </w:rPr>
        <w:t xml:space="preserve">Le contrôle de l’application de cette </w:t>
      </w:r>
      <w:r w:rsidR="001B2F58" w:rsidRPr="00DD03D6">
        <w:rPr>
          <w:noProof/>
          <w:lang w:val="fr-FR"/>
        </w:rPr>
        <w:t>l</w:t>
      </w:r>
      <w:r w:rsidR="00E311B0">
        <w:rPr>
          <w:noProof/>
          <w:lang w:val="fr-FR"/>
        </w:rPr>
        <w:t>é</w:t>
      </w:r>
      <w:r w:rsidR="001B2F58" w:rsidRPr="00DD03D6">
        <w:rPr>
          <w:noProof/>
          <w:lang w:val="fr-FR"/>
        </w:rPr>
        <w:t xml:space="preserve">gislation </w:t>
      </w:r>
      <w:r w:rsidR="00E311B0">
        <w:rPr>
          <w:noProof/>
          <w:lang w:val="fr-FR"/>
        </w:rPr>
        <w:t>sur le tabagisme est assuré par le Service de santé environnementale de la Direction des services de santé</w:t>
      </w:r>
      <w:r w:rsidR="001B2F58" w:rsidRPr="00DD03D6">
        <w:rPr>
          <w:noProof/>
          <w:lang w:val="fr-FR"/>
        </w:rPr>
        <w:t xml:space="preserve">. </w:t>
      </w:r>
      <w:r w:rsidR="00E311B0">
        <w:rPr>
          <w:noProof/>
          <w:lang w:val="fr-FR"/>
        </w:rPr>
        <w:t xml:space="preserve">Pour s’acquitter de cette mission, les agents de santé environnementale </w:t>
      </w:r>
      <w:r w:rsidR="009D7068">
        <w:rPr>
          <w:noProof/>
          <w:lang w:val="fr-FR"/>
        </w:rPr>
        <w:t>f</w:t>
      </w:r>
      <w:r w:rsidR="003E6BFC">
        <w:rPr>
          <w:noProof/>
          <w:lang w:val="fr-FR"/>
        </w:rPr>
        <w:t>on</w:t>
      </w:r>
      <w:r w:rsidR="009D7068">
        <w:rPr>
          <w:noProof/>
          <w:lang w:val="fr-FR"/>
        </w:rPr>
        <w:t xml:space="preserve">t </w:t>
      </w:r>
      <w:r w:rsidR="00E311B0">
        <w:rPr>
          <w:noProof/>
          <w:lang w:val="fr-FR"/>
        </w:rPr>
        <w:t>effectue</w:t>
      </w:r>
      <w:r w:rsidR="009D7068">
        <w:rPr>
          <w:noProof/>
          <w:lang w:val="fr-FR"/>
        </w:rPr>
        <w:t>r</w:t>
      </w:r>
      <w:r w:rsidR="00E311B0">
        <w:rPr>
          <w:noProof/>
          <w:lang w:val="fr-FR"/>
        </w:rPr>
        <w:t xml:space="preserve"> des achats de contrôle de produits du tabac </w:t>
      </w:r>
      <w:r w:rsidR="009D7068">
        <w:rPr>
          <w:noProof/>
          <w:lang w:val="fr-FR"/>
        </w:rPr>
        <w:t>par des mineurs</w:t>
      </w:r>
      <w:r w:rsidR="001B2F58" w:rsidRPr="00DD03D6">
        <w:rPr>
          <w:noProof/>
          <w:lang w:val="fr-FR"/>
        </w:rPr>
        <w:t>.</w:t>
      </w:r>
    </w:p>
    <w:p w:rsidR="001B2F58" w:rsidRPr="00DD03D6" w:rsidRDefault="009D7068" w:rsidP="00B0360E">
      <w:pPr>
        <w:pStyle w:val="SingleTxtG"/>
        <w:numPr>
          <w:ilvl w:val="0"/>
          <w:numId w:val="3"/>
        </w:numPr>
        <w:ind w:left="1134" w:firstLine="0"/>
        <w:rPr>
          <w:noProof/>
          <w:lang w:val="fr-FR"/>
        </w:rPr>
      </w:pPr>
      <w:r>
        <w:rPr>
          <w:noProof/>
          <w:lang w:val="fr-FR"/>
        </w:rPr>
        <w:t>En Irlande, l’encadrement de la vente de c</w:t>
      </w:r>
      <w:r w:rsidR="001B2F58" w:rsidRPr="00DD03D6">
        <w:rPr>
          <w:noProof/>
          <w:lang w:val="fr-FR"/>
        </w:rPr>
        <w:t>igarette</w:t>
      </w:r>
      <w:r>
        <w:rPr>
          <w:noProof/>
          <w:lang w:val="fr-FR"/>
        </w:rPr>
        <w:t>s par les prix s’inscrit dans le cadre d’un effort de longue durée et ambitieux pour réduire la prévalence du tabagisme</w:t>
      </w:r>
      <w:r w:rsidR="001B2F58" w:rsidRPr="00DD03D6">
        <w:rPr>
          <w:noProof/>
          <w:lang w:val="fr-FR"/>
        </w:rPr>
        <w:t xml:space="preserve">. </w:t>
      </w:r>
      <w:r>
        <w:rPr>
          <w:noProof/>
          <w:lang w:val="fr-FR"/>
        </w:rPr>
        <w:t xml:space="preserve">Les faits montrent que la fixation des prix est un instrument essentiel </w:t>
      </w:r>
      <w:r w:rsidR="00616AC7">
        <w:rPr>
          <w:noProof/>
          <w:lang w:val="fr-FR"/>
        </w:rPr>
        <w:t>de la lutte contre le</w:t>
      </w:r>
      <w:r>
        <w:rPr>
          <w:noProof/>
          <w:lang w:val="fr-FR"/>
        </w:rPr>
        <w:t xml:space="preserve"> tabagisme</w:t>
      </w:r>
      <w:r w:rsidR="00616AC7">
        <w:rPr>
          <w:noProof/>
          <w:lang w:val="fr-FR"/>
        </w:rPr>
        <w:t xml:space="preserve"> pour ce qui est d’empêcher les enfants et les </w:t>
      </w:r>
      <w:r w:rsidR="001B2F58" w:rsidRPr="00DD03D6">
        <w:rPr>
          <w:noProof/>
          <w:lang w:val="fr-FR"/>
        </w:rPr>
        <w:t>adolescents</w:t>
      </w:r>
      <w:r w:rsidR="00616AC7">
        <w:rPr>
          <w:noProof/>
          <w:lang w:val="fr-FR"/>
        </w:rPr>
        <w:t>, en particulier,</w:t>
      </w:r>
      <w:r w:rsidR="001B2F58" w:rsidRPr="00DD03D6">
        <w:rPr>
          <w:noProof/>
          <w:lang w:val="fr-FR"/>
        </w:rPr>
        <w:t xml:space="preserve"> </w:t>
      </w:r>
      <w:r w:rsidR="00616AC7">
        <w:rPr>
          <w:noProof/>
          <w:lang w:val="fr-FR"/>
        </w:rPr>
        <w:t>de prendre l’habitude de fumer</w:t>
      </w:r>
      <w:r w:rsidR="001B2F58" w:rsidRPr="00DD03D6">
        <w:rPr>
          <w:noProof/>
          <w:lang w:val="fr-FR"/>
        </w:rPr>
        <w:t xml:space="preserve">. </w:t>
      </w:r>
      <w:r w:rsidR="00C43165">
        <w:rPr>
          <w:noProof/>
          <w:lang w:val="fr-FR"/>
        </w:rPr>
        <w:t>Les prix des c</w:t>
      </w:r>
      <w:r w:rsidR="001B2F58" w:rsidRPr="00DD03D6">
        <w:rPr>
          <w:noProof/>
          <w:lang w:val="fr-FR"/>
        </w:rPr>
        <w:t>igarette</w:t>
      </w:r>
      <w:r w:rsidR="00C43165">
        <w:rPr>
          <w:noProof/>
          <w:lang w:val="fr-FR"/>
        </w:rPr>
        <w:t xml:space="preserve">s en Irlande sont les plus élevés du monde, selon le </w:t>
      </w:r>
      <w:r w:rsidR="001B2F58" w:rsidRPr="00DD03D6">
        <w:rPr>
          <w:i/>
          <w:noProof/>
          <w:lang w:val="fr-FR"/>
        </w:rPr>
        <w:t>R</w:t>
      </w:r>
      <w:r w:rsidR="00C43165">
        <w:rPr>
          <w:i/>
          <w:noProof/>
          <w:lang w:val="fr-FR"/>
        </w:rPr>
        <w:t xml:space="preserve">apport de l’OMS sur l’épidémie mondiale de tabagisme </w:t>
      </w:r>
      <w:r w:rsidR="001B2F58" w:rsidRPr="00DD03D6">
        <w:rPr>
          <w:i/>
          <w:noProof/>
          <w:lang w:val="fr-FR"/>
        </w:rPr>
        <w:t>(2009)</w:t>
      </w:r>
      <w:r w:rsidR="001B2F58" w:rsidRPr="00DD03D6">
        <w:rPr>
          <w:noProof/>
          <w:lang w:val="fr-FR"/>
        </w:rPr>
        <w:t xml:space="preserve">. </w:t>
      </w:r>
      <w:r w:rsidR="00C43165">
        <w:rPr>
          <w:noProof/>
          <w:lang w:val="fr-FR"/>
        </w:rPr>
        <w:t xml:space="preserve">Dans son budget de 2012, l’Irlande a augmenté de 25 cents le prix d’un paquet de 20 </w:t>
      </w:r>
      <w:r w:rsidR="001B2F58" w:rsidRPr="00DD03D6">
        <w:rPr>
          <w:noProof/>
          <w:lang w:val="fr-FR"/>
        </w:rPr>
        <w:t xml:space="preserve">cigarettes, </w:t>
      </w:r>
      <w:r w:rsidR="003F7503">
        <w:rPr>
          <w:noProof/>
          <w:lang w:val="fr-FR"/>
        </w:rPr>
        <w:t>les autres produits du tabac enregistrant une augmentation proportionnelle</w:t>
      </w:r>
      <w:r w:rsidR="001B2F58" w:rsidRPr="00DD03D6">
        <w:rPr>
          <w:noProof/>
          <w:lang w:val="fr-FR"/>
        </w:rPr>
        <w:t xml:space="preserve">. </w:t>
      </w:r>
      <w:r w:rsidR="003F7503">
        <w:rPr>
          <w:noProof/>
          <w:lang w:val="fr-FR"/>
        </w:rPr>
        <w:t xml:space="preserve">Le budget de </w:t>
      </w:r>
      <w:r w:rsidR="001B2F58" w:rsidRPr="00DD03D6">
        <w:rPr>
          <w:noProof/>
          <w:lang w:val="fr-FR"/>
        </w:rPr>
        <w:t xml:space="preserve">2013 </w:t>
      </w:r>
      <w:r w:rsidR="003F7503">
        <w:rPr>
          <w:noProof/>
          <w:lang w:val="fr-FR"/>
        </w:rPr>
        <w:t xml:space="preserve">a encore augmenté ce prix de </w:t>
      </w:r>
      <w:r w:rsidR="001B2F58" w:rsidRPr="00DD03D6">
        <w:rPr>
          <w:noProof/>
          <w:lang w:val="fr-FR"/>
        </w:rPr>
        <w:t>10 cent</w:t>
      </w:r>
      <w:r w:rsidR="00B0360E" w:rsidRPr="00DD03D6">
        <w:rPr>
          <w:noProof/>
          <w:lang w:val="fr-FR"/>
        </w:rPr>
        <w:t>s</w:t>
      </w:r>
      <w:r w:rsidR="001B2F58" w:rsidRPr="00DD03D6">
        <w:rPr>
          <w:noProof/>
          <w:lang w:val="fr-FR"/>
        </w:rPr>
        <w:t xml:space="preserve"> </w:t>
      </w:r>
      <w:r w:rsidR="003F7503">
        <w:rPr>
          <w:noProof/>
          <w:lang w:val="fr-FR"/>
        </w:rPr>
        <w:t>et augmenté proportionnellement les autres produits du tabac</w:t>
      </w:r>
      <w:r w:rsidR="001B2F58" w:rsidRPr="00DD03D6">
        <w:rPr>
          <w:noProof/>
          <w:lang w:val="fr-FR"/>
        </w:rPr>
        <w:t>.</w:t>
      </w:r>
    </w:p>
    <w:p w:rsidR="001B2F58" w:rsidRPr="00DD03D6" w:rsidRDefault="003F7503" w:rsidP="00C05BF5">
      <w:pPr>
        <w:pStyle w:val="SingleTxtG"/>
        <w:numPr>
          <w:ilvl w:val="0"/>
          <w:numId w:val="3"/>
        </w:numPr>
        <w:ind w:left="1134" w:firstLine="0"/>
        <w:rPr>
          <w:noProof/>
          <w:lang w:val="fr-FR"/>
        </w:rPr>
      </w:pPr>
      <w:r>
        <w:rPr>
          <w:noProof/>
          <w:lang w:val="fr-FR"/>
        </w:rPr>
        <w:t xml:space="preserve">Afin de réduire la </w:t>
      </w:r>
      <w:r w:rsidR="001B2F58" w:rsidRPr="00DD03D6">
        <w:rPr>
          <w:noProof/>
          <w:lang w:val="fr-FR"/>
        </w:rPr>
        <w:t>pr</w:t>
      </w:r>
      <w:r>
        <w:rPr>
          <w:noProof/>
          <w:lang w:val="fr-FR"/>
        </w:rPr>
        <w:t>é</w:t>
      </w:r>
      <w:r w:rsidR="001B2F58" w:rsidRPr="00DD03D6">
        <w:rPr>
          <w:noProof/>
          <w:lang w:val="fr-FR"/>
        </w:rPr>
        <w:t xml:space="preserve">valence </w:t>
      </w:r>
      <w:r>
        <w:rPr>
          <w:noProof/>
          <w:lang w:val="fr-FR"/>
        </w:rPr>
        <w:t>du tabagisme</w:t>
      </w:r>
      <w:r w:rsidR="001B2F58" w:rsidRPr="00DD03D6">
        <w:rPr>
          <w:noProof/>
          <w:lang w:val="fr-FR"/>
        </w:rPr>
        <w:t xml:space="preserve">, </w:t>
      </w:r>
      <w:r>
        <w:rPr>
          <w:noProof/>
          <w:lang w:val="fr-FR"/>
        </w:rPr>
        <w:t xml:space="preserve">le Ministère de la santé a entrepris de procéder à un examen visant à </w:t>
      </w:r>
      <w:r w:rsidR="00A23C70">
        <w:rPr>
          <w:noProof/>
          <w:lang w:val="fr-FR"/>
        </w:rPr>
        <w:t>dégager de nouvelles propositions de politiques qui pourraient être menées pour réduire le nombre des personnes qui fument et de celles qui commencent à fumer</w:t>
      </w:r>
      <w:r w:rsidR="001B2F58" w:rsidRPr="00DD03D6">
        <w:rPr>
          <w:noProof/>
          <w:lang w:val="fr-FR"/>
        </w:rPr>
        <w:t xml:space="preserve">. </w:t>
      </w:r>
      <w:r w:rsidR="00A23C70">
        <w:rPr>
          <w:noProof/>
          <w:lang w:val="fr-FR"/>
        </w:rPr>
        <w:t xml:space="preserve">L’élaboration du </w:t>
      </w:r>
      <w:r w:rsidR="00A23C70">
        <w:rPr>
          <w:i/>
          <w:noProof/>
          <w:lang w:val="fr-FR"/>
        </w:rPr>
        <w:t xml:space="preserve">Rapport du Groupe d’examen des politiques antitabac </w:t>
      </w:r>
      <w:r w:rsidR="00A23C70">
        <w:rPr>
          <w:noProof/>
          <w:lang w:val="fr-FR"/>
        </w:rPr>
        <w:t>(</w:t>
      </w:r>
      <w:r w:rsidR="001B2F58" w:rsidRPr="00DD03D6">
        <w:rPr>
          <w:i/>
          <w:noProof/>
          <w:lang w:val="fr-FR"/>
        </w:rPr>
        <w:t>Report of the Tobacco Policy Review Group</w:t>
      </w:r>
      <w:r w:rsidR="00A23C70">
        <w:rPr>
          <w:noProof/>
          <w:lang w:val="fr-FR"/>
        </w:rPr>
        <w:t>) est bien avancée; ce rapport sera axé plus particulièrement sur les enfants</w:t>
      </w:r>
      <w:r w:rsidR="001B2F58" w:rsidRPr="00DD03D6">
        <w:rPr>
          <w:noProof/>
          <w:lang w:val="fr-FR"/>
        </w:rPr>
        <w:t>.</w:t>
      </w:r>
    </w:p>
    <w:p w:rsidR="001B2F58" w:rsidRPr="00DD03D6" w:rsidRDefault="00C05BF5" w:rsidP="00C05BF5">
      <w:pPr>
        <w:pStyle w:val="H23G"/>
        <w:rPr>
          <w:noProof/>
          <w:lang w:val="fr-FR"/>
        </w:rPr>
      </w:pPr>
      <w:r w:rsidRPr="00DD03D6">
        <w:rPr>
          <w:noProof/>
          <w:lang w:val="fr-FR"/>
        </w:rPr>
        <w:tab/>
      </w:r>
      <w:r w:rsidRPr="00DD03D6">
        <w:rPr>
          <w:noProof/>
          <w:lang w:val="fr-FR"/>
        </w:rPr>
        <w:tab/>
      </w:r>
      <w:r w:rsidR="001B2F58" w:rsidRPr="00DD03D6">
        <w:rPr>
          <w:noProof/>
          <w:lang w:val="fr-FR"/>
        </w:rPr>
        <w:t>Alcool</w:t>
      </w:r>
    </w:p>
    <w:p w:rsidR="001B2F58" w:rsidRPr="00DD03D6" w:rsidRDefault="00E27C4E" w:rsidP="00C05BF5">
      <w:pPr>
        <w:pStyle w:val="SingleTxtG"/>
        <w:numPr>
          <w:ilvl w:val="0"/>
          <w:numId w:val="3"/>
        </w:numPr>
        <w:ind w:left="1134" w:firstLine="0"/>
        <w:rPr>
          <w:noProof/>
          <w:lang w:val="fr-FR"/>
        </w:rPr>
      </w:pPr>
      <w:r>
        <w:rPr>
          <w:noProof/>
          <w:lang w:val="fr-FR"/>
        </w:rPr>
        <w:t xml:space="preserve">Il ressort des enquêtes </w:t>
      </w:r>
      <w:r w:rsidR="001B2F58" w:rsidRPr="00DD03D6">
        <w:rPr>
          <w:noProof/>
          <w:lang w:val="fr-FR"/>
        </w:rPr>
        <w:t xml:space="preserve">HBSC </w:t>
      </w:r>
      <w:r>
        <w:rPr>
          <w:noProof/>
          <w:lang w:val="fr-FR"/>
        </w:rPr>
        <w:t xml:space="preserve">successives que la </w:t>
      </w:r>
      <w:r w:rsidR="001B2F58" w:rsidRPr="00DD03D6">
        <w:rPr>
          <w:noProof/>
          <w:lang w:val="fr-FR"/>
        </w:rPr>
        <w:t xml:space="preserve">proportion </w:t>
      </w:r>
      <w:r>
        <w:rPr>
          <w:noProof/>
          <w:lang w:val="fr-FR"/>
        </w:rPr>
        <w:t xml:space="preserve">des enfants âgés de </w:t>
      </w:r>
      <w:r w:rsidR="001B2F58" w:rsidRPr="00DD03D6">
        <w:rPr>
          <w:noProof/>
          <w:lang w:val="fr-FR"/>
        </w:rPr>
        <w:t>10</w:t>
      </w:r>
      <w:r>
        <w:rPr>
          <w:noProof/>
          <w:lang w:val="fr-FR"/>
        </w:rPr>
        <w:t xml:space="preserve"> à </w:t>
      </w:r>
      <w:r w:rsidR="001B2F58" w:rsidRPr="00DD03D6">
        <w:rPr>
          <w:noProof/>
          <w:lang w:val="fr-FR"/>
        </w:rPr>
        <w:t xml:space="preserve">17 </w:t>
      </w:r>
      <w:r>
        <w:rPr>
          <w:noProof/>
          <w:lang w:val="fr-FR"/>
        </w:rPr>
        <w:t>ans qui n’ont jamais consommé de boissons alcoolisées augmente</w:t>
      </w:r>
      <w:r w:rsidR="001B2F58" w:rsidRPr="00DD03D6">
        <w:rPr>
          <w:noProof/>
          <w:lang w:val="fr-FR"/>
        </w:rPr>
        <w:t xml:space="preserve">. </w:t>
      </w:r>
      <w:r>
        <w:rPr>
          <w:noProof/>
          <w:lang w:val="fr-FR"/>
        </w:rPr>
        <w:t>E</w:t>
      </w:r>
      <w:r w:rsidR="001B2F58" w:rsidRPr="00DD03D6">
        <w:rPr>
          <w:noProof/>
          <w:lang w:val="fr-FR"/>
        </w:rPr>
        <w:t>n 2002, 40</w:t>
      </w:r>
      <w:r w:rsidR="003F1ADB">
        <w:rPr>
          <w:noProof/>
          <w:lang w:val="fr-FR"/>
        </w:rPr>
        <w:t> %</w:t>
      </w:r>
      <w:r w:rsidR="001B2F58" w:rsidRPr="00DD03D6">
        <w:rPr>
          <w:noProof/>
          <w:lang w:val="fr-FR"/>
        </w:rPr>
        <w:t xml:space="preserve"> </w:t>
      </w:r>
      <w:r>
        <w:rPr>
          <w:noProof/>
          <w:lang w:val="fr-FR"/>
        </w:rPr>
        <w:t xml:space="preserve">des </w:t>
      </w:r>
      <w:r>
        <w:rPr>
          <w:noProof/>
          <w:lang w:val="fr-FR"/>
        </w:rPr>
        <w:lastRenderedPageBreak/>
        <w:t xml:space="preserve">enfants de ce groupe d’âges avaient déclaré qu’ils n’avaient jamais consommé d’alcool, contre </w:t>
      </w:r>
      <w:r w:rsidR="001B2F58" w:rsidRPr="00DD03D6">
        <w:rPr>
          <w:noProof/>
          <w:lang w:val="fr-FR"/>
        </w:rPr>
        <w:t>47</w:t>
      </w:r>
      <w:r>
        <w:rPr>
          <w:noProof/>
          <w:lang w:val="fr-FR"/>
        </w:rPr>
        <w:t>,</w:t>
      </w:r>
      <w:r w:rsidR="001B2F58" w:rsidRPr="00DD03D6">
        <w:rPr>
          <w:noProof/>
          <w:lang w:val="fr-FR"/>
        </w:rPr>
        <w:t>2</w:t>
      </w:r>
      <w:r w:rsidR="003F1ADB">
        <w:rPr>
          <w:noProof/>
          <w:lang w:val="fr-FR"/>
        </w:rPr>
        <w:t> %</w:t>
      </w:r>
      <w:r w:rsidR="001B2F58" w:rsidRPr="00DD03D6">
        <w:rPr>
          <w:noProof/>
          <w:lang w:val="fr-FR"/>
        </w:rPr>
        <w:t xml:space="preserve"> </w:t>
      </w:r>
      <w:r>
        <w:rPr>
          <w:noProof/>
          <w:lang w:val="fr-FR"/>
        </w:rPr>
        <w:t>e</w:t>
      </w:r>
      <w:r w:rsidR="001B2F58" w:rsidRPr="00DD03D6">
        <w:rPr>
          <w:noProof/>
          <w:lang w:val="fr-FR"/>
        </w:rPr>
        <w:t xml:space="preserve">n 2006 </w:t>
      </w:r>
      <w:r>
        <w:rPr>
          <w:noProof/>
          <w:lang w:val="fr-FR"/>
        </w:rPr>
        <w:t>et</w:t>
      </w:r>
      <w:r w:rsidR="001B2F58" w:rsidRPr="00DD03D6">
        <w:rPr>
          <w:noProof/>
          <w:lang w:val="fr-FR"/>
        </w:rPr>
        <w:t xml:space="preserve"> 54</w:t>
      </w:r>
      <w:r>
        <w:rPr>
          <w:noProof/>
          <w:lang w:val="fr-FR"/>
        </w:rPr>
        <w:t>,</w:t>
      </w:r>
      <w:r w:rsidR="001B2F58" w:rsidRPr="00DD03D6">
        <w:rPr>
          <w:noProof/>
          <w:lang w:val="fr-FR"/>
        </w:rPr>
        <w:t>1</w:t>
      </w:r>
      <w:r w:rsidR="003F1ADB">
        <w:rPr>
          <w:noProof/>
          <w:lang w:val="fr-FR"/>
        </w:rPr>
        <w:t> %</w:t>
      </w:r>
      <w:r w:rsidR="001B2F58" w:rsidRPr="00DD03D6">
        <w:rPr>
          <w:noProof/>
          <w:lang w:val="fr-FR"/>
        </w:rPr>
        <w:t xml:space="preserve"> </w:t>
      </w:r>
      <w:r>
        <w:rPr>
          <w:noProof/>
          <w:lang w:val="fr-FR"/>
        </w:rPr>
        <w:t>e</w:t>
      </w:r>
      <w:r w:rsidR="001B2F58" w:rsidRPr="00DD03D6">
        <w:rPr>
          <w:noProof/>
          <w:lang w:val="fr-FR"/>
        </w:rPr>
        <w:t xml:space="preserve">n 2010. </w:t>
      </w:r>
      <w:r>
        <w:rPr>
          <w:noProof/>
          <w:lang w:val="fr-FR"/>
        </w:rPr>
        <w:t xml:space="preserve">Toutefois, la </w:t>
      </w:r>
      <w:r w:rsidR="001B2F58" w:rsidRPr="00DD03D6">
        <w:rPr>
          <w:noProof/>
          <w:lang w:val="fr-FR"/>
        </w:rPr>
        <w:t xml:space="preserve">proportion </w:t>
      </w:r>
      <w:r>
        <w:rPr>
          <w:noProof/>
          <w:lang w:val="fr-FR"/>
        </w:rPr>
        <w:t xml:space="preserve">des enfants irlandais âgés de </w:t>
      </w:r>
      <w:r w:rsidR="001B2F58" w:rsidRPr="00DD03D6">
        <w:rPr>
          <w:noProof/>
          <w:lang w:val="fr-FR"/>
        </w:rPr>
        <w:t>15</w:t>
      </w:r>
      <w:r>
        <w:rPr>
          <w:noProof/>
          <w:lang w:val="fr-FR"/>
        </w:rPr>
        <w:t xml:space="preserve"> ans qui</w:t>
      </w:r>
      <w:r w:rsidR="001B2F58" w:rsidRPr="00DD03D6">
        <w:rPr>
          <w:noProof/>
          <w:lang w:val="fr-FR"/>
        </w:rPr>
        <w:t xml:space="preserve"> </w:t>
      </w:r>
      <w:r>
        <w:rPr>
          <w:noProof/>
          <w:lang w:val="fr-FR"/>
        </w:rPr>
        <w:t xml:space="preserve">ont en consommé – </w:t>
      </w:r>
      <w:r w:rsidR="001B2F58" w:rsidRPr="00DD03D6">
        <w:rPr>
          <w:noProof/>
          <w:lang w:val="fr-FR"/>
        </w:rPr>
        <w:t>37</w:t>
      </w:r>
      <w:r>
        <w:rPr>
          <w:noProof/>
          <w:lang w:val="fr-FR"/>
        </w:rPr>
        <w:t>,</w:t>
      </w:r>
      <w:r w:rsidR="001B2F58" w:rsidRPr="00DD03D6">
        <w:rPr>
          <w:noProof/>
          <w:lang w:val="fr-FR"/>
        </w:rPr>
        <w:t>2</w:t>
      </w:r>
      <w:r w:rsidR="003F1ADB">
        <w:rPr>
          <w:noProof/>
          <w:lang w:val="fr-FR"/>
        </w:rPr>
        <w:t> %</w:t>
      </w:r>
      <w:r w:rsidR="001B2F58" w:rsidRPr="00DD03D6">
        <w:rPr>
          <w:noProof/>
          <w:lang w:val="fr-FR"/>
        </w:rPr>
        <w:t xml:space="preserve"> </w:t>
      </w:r>
      <w:r>
        <w:rPr>
          <w:noProof/>
          <w:lang w:val="fr-FR"/>
        </w:rPr>
        <w:t>e</w:t>
      </w:r>
      <w:r w:rsidR="001B2F58" w:rsidRPr="00DD03D6">
        <w:rPr>
          <w:noProof/>
          <w:lang w:val="fr-FR"/>
        </w:rPr>
        <w:t>n 2010</w:t>
      </w:r>
      <w:r>
        <w:rPr>
          <w:noProof/>
          <w:lang w:val="fr-FR"/>
        </w:rPr>
        <w:t xml:space="preserve"> – reste</w:t>
      </w:r>
      <w:r w:rsidR="001B2F58" w:rsidRPr="00DD03D6">
        <w:rPr>
          <w:noProof/>
          <w:lang w:val="fr-FR"/>
        </w:rPr>
        <w:t xml:space="preserve"> </w:t>
      </w:r>
      <w:r>
        <w:rPr>
          <w:noProof/>
          <w:lang w:val="fr-FR"/>
        </w:rPr>
        <w:t xml:space="preserve">élevée par rapport au reste du monde quand on la rapproche de la moyenne des pays participant à l’enquête </w:t>
      </w:r>
      <w:r w:rsidR="001B2F58" w:rsidRPr="00DD03D6">
        <w:rPr>
          <w:noProof/>
          <w:lang w:val="fr-FR"/>
        </w:rPr>
        <w:t>HBSC</w:t>
      </w:r>
      <w:r>
        <w:rPr>
          <w:noProof/>
          <w:lang w:val="fr-FR"/>
        </w:rPr>
        <w:t xml:space="preserve">, à savoir </w:t>
      </w:r>
      <w:r w:rsidR="001B2F58" w:rsidRPr="00DD03D6">
        <w:rPr>
          <w:noProof/>
          <w:lang w:val="fr-FR"/>
        </w:rPr>
        <w:t>25</w:t>
      </w:r>
      <w:r>
        <w:rPr>
          <w:noProof/>
          <w:lang w:val="fr-FR"/>
        </w:rPr>
        <w:t>,</w:t>
      </w:r>
      <w:r w:rsidR="001B2F58" w:rsidRPr="00DD03D6">
        <w:rPr>
          <w:noProof/>
          <w:lang w:val="fr-FR"/>
        </w:rPr>
        <w:t>2</w:t>
      </w:r>
      <w:r w:rsidR="003F1ADB">
        <w:rPr>
          <w:noProof/>
          <w:lang w:val="fr-FR"/>
        </w:rPr>
        <w:t> %</w:t>
      </w:r>
      <w:r w:rsidR="001B2F58" w:rsidRPr="00DD03D6">
        <w:rPr>
          <w:noProof/>
          <w:lang w:val="fr-FR"/>
        </w:rPr>
        <w:t>.</w:t>
      </w:r>
    </w:p>
    <w:p w:rsidR="001B2F58" w:rsidRPr="00DD03D6" w:rsidRDefault="00E27C4E" w:rsidP="00B0360E">
      <w:pPr>
        <w:pStyle w:val="SingleTxtG"/>
        <w:numPr>
          <w:ilvl w:val="0"/>
          <w:numId w:val="3"/>
        </w:numPr>
        <w:ind w:left="1134" w:firstLine="0"/>
        <w:rPr>
          <w:noProof/>
          <w:lang w:val="fr-FR"/>
        </w:rPr>
      </w:pPr>
      <w:r>
        <w:rPr>
          <w:noProof/>
          <w:lang w:val="fr-FR"/>
        </w:rPr>
        <w:t>L</w:t>
      </w:r>
      <w:r w:rsidR="001B2F58" w:rsidRPr="00DD03D6">
        <w:rPr>
          <w:noProof/>
          <w:lang w:val="fr-FR"/>
        </w:rPr>
        <w:t xml:space="preserve">e </w:t>
      </w:r>
      <w:r w:rsidRPr="00DD03D6">
        <w:rPr>
          <w:i/>
          <w:iCs/>
          <w:noProof/>
          <w:lang w:val="fr-FR"/>
        </w:rPr>
        <w:t>R</w:t>
      </w:r>
      <w:r>
        <w:rPr>
          <w:i/>
          <w:iCs/>
          <w:noProof/>
          <w:lang w:val="fr-FR"/>
        </w:rPr>
        <w:t xml:space="preserve">apport du Comité de pilotage de la Stratégie en matière d’abus de substances psychotropes </w:t>
      </w:r>
      <w:r>
        <w:rPr>
          <w:iCs/>
          <w:noProof/>
          <w:lang w:val="fr-FR"/>
        </w:rPr>
        <w:t>(</w:t>
      </w:r>
      <w:r w:rsidR="001B2F58" w:rsidRPr="00DD03D6">
        <w:rPr>
          <w:i/>
          <w:noProof/>
          <w:lang w:val="fr-FR"/>
        </w:rPr>
        <w:t>Report of the National Substance</w:t>
      </w:r>
      <w:r>
        <w:rPr>
          <w:i/>
          <w:noProof/>
          <w:lang w:val="fr-FR"/>
        </w:rPr>
        <w:t xml:space="preserve"> Misuse Strategy Steering Group</w:t>
      </w:r>
      <w:r>
        <w:rPr>
          <w:noProof/>
          <w:lang w:val="fr-FR"/>
        </w:rPr>
        <w:t xml:space="preserve">) a été présenté en février </w:t>
      </w:r>
      <w:r w:rsidR="001B2F58" w:rsidRPr="00DD03D6">
        <w:rPr>
          <w:noProof/>
          <w:lang w:val="fr-FR"/>
        </w:rPr>
        <w:t>2012. I</w:t>
      </w:r>
      <w:r w:rsidR="007A2858">
        <w:rPr>
          <w:noProof/>
          <w:lang w:val="fr-FR"/>
        </w:rPr>
        <w:t xml:space="preserve">l contient un certain nombre de </w:t>
      </w:r>
      <w:r w:rsidR="001B2F58" w:rsidRPr="00DD03D6">
        <w:rPr>
          <w:noProof/>
          <w:lang w:val="fr-FR"/>
        </w:rPr>
        <w:t>recomm</w:t>
      </w:r>
      <w:r w:rsidR="007A2858">
        <w:rPr>
          <w:noProof/>
          <w:lang w:val="fr-FR"/>
        </w:rPr>
        <w:t>a</w:t>
      </w:r>
      <w:r w:rsidR="001B2F58" w:rsidRPr="00DD03D6">
        <w:rPr>
          <w:noProof/>
          <w:lang w:val="fr-FR"/>
        </w:rPr>
        <w:t xml:space="preserve">ndations, </w:t>
      </w:r>
      <w:r w:rsidR="007A2858">
        <w:rPr>
          <w:noProof/>
          <w:lang w:val="fr-FR"/>
        </w:rPr>
        <w:t xml:space="preserve">concernant notamment la </w:t>
      </w:r>
      <w:r w:rsidR="001B2F58" w:rsidRPr="00DD03D6">
        <w:rPr>
          <w:noProof/>
          <w:lang w:val="fr-FR"/>
        </w:rPr>
        <w:t>r</w:t>
      </w:r>
      <w:r w:rsidR="007A2858">
        <w:rPr>
          <w:noProof/>
          <w:lang w:val="fr-FR"/>
        </w:rPr>
        <w:t>é</w:t>
      </w:r>
      <w:r w:rsidR="001B2F58" w:rsidRPr="00DD03D6">
        <w:rPr>
          <w:noProof/>
          <w:lang w:val="fr-FR"/>
        </w:rPr>
        <w:t xml:space="preserve">duction </w:t>
      </w:r>
      <w:r w:rsidR="007A2858">
        <w:rPr>
          <w:noProof/>
          <w:lang w:val="fr-FR"/>
        </w:rPr>
        <w:t xml:space="preserve">de la consommation d’alcool en </w:t>
      </w:r>
      <w:r w:rsidR="001B2F58" w:rsidRPr="00DD03D6">
        <w:rPr>
          <w:noProof/>
          <w:lang w:val="fr-FR"/>
        </w:rPr>
        <w:t>g</w:t>
      </w:r>
      <w:r w:rsidR="007A2858">
        <w:rPr>
          <w:noProof/>
          <w:lang w:val="fr-FR"/>
        </w:rPr>
        <w:t>é</w:t>
      </w:r>
      <w:r w:rsidR="001B2F58" w:rsidRPr="00DD03D6">
        <w:rPr>
          <w:noProof/>
          <w:lang w:val="fr-FR"/>
        </w:rPr>
        <w:t>n</w:t>
      </w:r>
      <w:r w:rsidR="007A2858">
        <w:rPr>
          <w:noProof/>
          <w:lang w:val="fr-FR"/>
        </w:rPr>
        <w:t>é</w:t>
      </w:r>
      <w:r w:rsidR="001B2F58" w:rsidRPr="00DD03D6">
        <w:rPr>
          <w:noProof/>
          <w:lang w:val="fr-FR"/>
        </w:rPr>
        <w:t xml:space="preserve">ral. </w:t>
      </w:r>
      <w:r w:rsidR="007A2858">
        <w:rPr>
          <w:noProof/>
          <w:lang w:val="fr-FR"/>
        </w:rPr>
        <w:t>Comme dans le cas de la Stratégie en matière de drogues pour</w:t>
      </w:r>
      <w:r w:rsidR="001B2F58" w:rsidRPr="00DD03D6">
        <w:rPr>
          <w:noProof/>
          <w:lang w:val="fr-FR"/>
        </w:rPr>
        <w:t xml:space="preserve"> 2009-2016 (</w:t>
      </w:r>
      <w:r w:rsidR="007A2858">
        <w:rPr>
          <w:noProof/>
          <w:lang w:val="fr-FR"/>
        </w:rPr>
        <w:t xml:space="preserve">voir </w:t>
      </w:r>
      <w:r w:rsidR="00B0360E" w:rsidRPr="00DD03D6">
        <w:rPr>
          <w:noProof/>
          <w:lang w:val="fr-FR"/>
        </w:rPr>
        <w:t>p</w:t>
      </w:r>
      <w:r w:rsidR="00796A7C" w:rsidRPr="00DD03D6">
        <w:rPr>
          <w:noProof/>
          <w:lang w:val="fr-FR"/>
        </w:rPr>
        <w:t>ar</w:t>
      </w:r>
      <w:r w:rsidR="00B0360E" w:rsidRPr="00DD03D6">
        <w:rPr>
          <w:noProof/>
          <w:lang w:val="fr-FR"/>
        </w:rPr>
        <w:t>.</w:t>
      </w:r>
      <w:r w:rsidR="00796A7C" w:rsidRPr="00DD03D6">
        <w:rPr>
          <w:noProof/>
          <w:lang w:val="fr-FR"/>
        </w:rPr>
        <w:t> </w:t>
      </w:r>
      <w:r w:rsidR="00B0360E" w:rsidRPr="00DD03D6">
        <w:rPr>
          <w:noProof/>
          <w:lang w:val="fr-FR"/>
        </w:rPr>
        <w:t>517</w:t>
      </w:r>
      <w:r w:rsidR="001B2F58" w:rsidRPr="00DD03D6">
        <w:rPr>
          <w:noProof/>
          <w:lang w:val="fr-FR"/>
        </w:rPr>
        <w:t xml:space="preserve">), </w:t>
      </w:r>
      <w:r w:rsidR="00E75B8A">
        <w:rPr>
          <w:noProof/>
          <w:lang w:val="fr-FR"/>
        </w:rPr>
        <w:t>ces recomma</w:t>
      </w:r>
      <w:r w:rsidR="001B2F58" w:rsidRPr="00DD03D6">
        <w:rPr>
          <w:noProof/>
          <w:lang w:val="fr-FR"/>
        </w:rPr>
        <w:t xml:space="preserve">ndations </w:t>
      </w:r>
      <w:r w:rsidR="00E75B8A">
        <w:rPr>
          <w:noProof/>
          <w:lang w:val="fr-FR"/>
        </w:rPr>
        <w:t>sont regroupées sous les cinq piliers que sont la réduction de l’offre, la</w:t>
      </w:r>
      <w:r w:rsidR="00E75B8A" w:rsidRPr="00DD03D6">
        <w:rPr>
          <w:noProof/>
          <w:lang w:val="fr-FR"/>
        </w:rPr>
        <w:t xml:space="preserve"> pr</w:t>
      </w:r>
      <w:r w:rsidR="00E75B8A">
        <w:rPr>
          <w:noProof/>
          <w:lang w:val="fr-FR"/>
        </w:rPr>
        <w:t>é</w:t>
      </w:r>
      <w:r w:rsidR="00E75B8A" w:rsidRPr="00DD03D6">
        <w:rPr>
          <w:noProof/>
          <w:lang w:val="fr-FR"/>
        </w:rPr>
        <w:t xml:space="preserve">vention, </w:t>
      </w:r>
      <w:r w:rsidR="00E75B8A">
        <w:rPr>
          <w:noProof/>
          <w:lang w:val="fr-FR"/>
        </w:rPr>
        <w:t>le traitement</w:t>
      </w:r>
      <w:r w:rsidR="00E75B8A" w:rsidRPr="00DD03D6">
        <w:rPr>
          <w:noProof/>
          <w:lang w:val="fr-FR"/>
        </w:rPr>
        <w:t xml:space="preserve">, </w:t>
      </w:r>
      <w:r w:rsidR="00E75B8A">
        <w:rPr>
          <w:noProof/>
          <w:lang w:val="fr-FR"/>
        </w:rPr>
        <w:t>la désintoxication et la recherche</w:t>
      </w:r>
      <w:r w:rsidR="001B2F58" w:rsidRPr="00DD03D6">
        <w:rPr>
          <w:noProof/>
          <w:lang w:val="fr-FR"/>
        </w:rPr>
        <w:t xml:space="preserve">. </w:t>
      </w:r>
      <w:r w:rsidR="00E75B8A">
        <w:rPr>
          <w:noProof/>
          <w:lang w:val="fr-FR"/>
        </w:rPr>
        <w:t>Le rapport inclut certaines recomma</w:t>
      </w:r>
      <w:r w:rsidR="001B2F58" w:rsidRPr="00DD03D6">
        <w:rPr>
          <w:noProof/>
          <w:lang w:val="fr-FR"/>
        </w:rPr>
        <w:t xml:space="preserve">ndations </w:t>
      </w:r>
      <w:r w:rsidR="00E75B8A">
        <w:rPr>
          <w:noProof/>
          <w:lang w:val="fr-FR"/>
        </w:rPr>
        <w:t>tendant à agir sur la consommation d’alcool par les enfants et les jeunes, à savoir notamment une augmentation du prix de l’alcool</w:t>
      </w:r>
      <w:r w:rsidR="001B2F58" w:rsidRPr="00DD03D6">
        <w:rPr>
          <w:noProof/>
          <w:lang w:val="fr-FR"/>
        </w:rPr>
        <w:t xml:space="preserve">; </w:t>
      </w:r>
      <w:r w:rsidR="00E75B8A">
        <w:rPr>
          <w:noProof/>
          <w:lang w:val="fr-FR"/>
        </w:rPr>
        <w:t xml:space="preserve">l’entrée en vigueur de l’article </w:t>
      </w:r>
      <w:r w:rsidR="001B2F58" w:rsidRPr="00DD03D6">
        <w:rPr>
          <w:noProof/>
          <w:lang w:val="fr-FR"/>
        </w:rPr>
        <w:t>9 (s</w:t>
      </w:r>
      <w:r w:rsidR="00121B79">
        <w:rPr>
          <w:noProof/>
          <w:lang w:val="fr-FR"/>
        </w:rPr>
        <w:t>é</w:t>
      </w:r>
      <w:r w:rsidR="001B2F58" w:rsidRPr="00DD03D6">
        <w:rPr>
          <w:noProof/>
          <w:lang w:val="fr-FR"/>
        </w:rPr>
        <w:t xml:space="preserve">paration </w:t>
      </w:r>
      <w:r w:rsidR="00452EFA">
        <w:rPr>
          <w:noProof/>
          <w:lang w:val="fr-FR"/>
        </w:rPr>
        <w:t xml:space="preserve">physique </w:t>
      </w:r>
      <w:r w:rsidR="00121B79">
        <w:rPr>
          <w:noProof/>
          <w:lang w:val="fr-FR"/>
        </w:rPr>
        <w:t>de l’</w:t>
      </w:r>
      <w:r w:rsidR="00452EFA">
        <w:rPr>
          <w:noProof/>
          <w:lang w:val="fr-FR"/>
        </w:rPr>
        <w:t>alco</w:t>
      </w:r>
      <w:r w:rsidR="00121B79">
        <w:rPr>
          <w:noProof/>
          <w:lang w:val="fr-FR"/>
        </w:rPr>
        <w:t>ol des autres produits dans les supermarché</w:t>
      </w:r>
      <w:r w:rsidR="001B2F58" w:rsidRPr="00DD03D6">
        <w:rPr>
          <w:noProof/>
          <w:lang w:val="fr-FR"/>
        </w:rPr>
        <w:t>s, etc</w:t>
      </w:r>
      <w:r w:rsidR="00B0360E" w:rsidRPr="00DD03D6">
        <w:rPr>
          <w:noProof/>
          <w:lang w:val="fr-FR"/>
        </w:rPr>
        <w:t>.</w:t>
      </w:r>
      <w:r w:rsidR="00452EFA">
        <w:rPr>
          <w:noProof/>
          <w:lang w:val="fr-FR"/>
        </w:rPr>
        <w:t xml:space="preserve">) </w:t>
      </w:r>
      <w:r w:rsidR="00121B79">
        <w:rPr>
          <w:noProof/>
          <w:lang w:val="fr-FR"/>
        </w:rPr>
        <w:t xml:space="preserve">de la loi de 2008 sur les </w:t>
      </w:r>
      <w:r w:rsidR="00452EFA">
        <w:rPr>
          <w:noProof/>
          <w:lang w:val="fr-FR"/>
        </w:rPr>
        <w:t>boissons alcoolisées</w:t>
      </w:r>
      <w:r w:rsidR="001B2F58" w:rsidRPr="00DD03D6">
        <w:rPr>
          <w:noProof/>
          <w:lang w:val="fr-FR"/>
        </w:rPr>
        <w:t xml:space="preserve">; </w:t>
      </w:r>
      <w:r w:rsidR="00452EFA">
        <w:rPr>
          <w:noProof/>
          <w:lang w:val="fr-FR"/>
        </w:rPr>
        <w:t>des contrôles plus rigoureux des publicités concernant l’alcool dans les lieux et aux moments où les enfants sont susceptibles de les voir</w:t>
      </w:r>
      <w:r w:rsidR="001B2F58" w:rsidRPr="00DD03D6">
        <w:rPr>
          <w:noProof/>
          <w:lang w:val="fr-FR"/>
        </w:rPr>
        <w:t xml:space="preserve">; </w:t>
      </w:r>
      <w:r w:rsidR="00452EFA">
        <w:rPr>
          <w:noProof/>
          <w:lang w:val="fr-FR"/>
        </w:rPr>
        <w:t>et l’élimination progressive du parrainage de manifestations sportives et autres rassemblements de masse par l’industrie des boissons d’ici à</w:t>
      </w:r>
      <w:r w:rsidR="001B2F58" w:rsidRPr="00DD03D6">
        <w:rPr>
          <w:noProof/>
          <w:lang w:val="fr-FR"/>
        </w:rPr>
        <w:t xml:space="preserve"> 2016.</w:t>
      </w:r>
    </w:p>
    <w:p w:rsidR="001B2F58" w:rsidRPr="00DD03D6" w:rsidRDefault="00452EFA" w:rsidP="00964B26">
      <w:pPr>
        <w:pStyle w:val="SingleTxtG"/>
        <w:numPr>
          <w:ilvl w:val="0"/>
          <w:numId w:val="3"/>
        </w:numPr>
        <w:ind w:left="1134" w:firstLine="0"/>
        <w:rPr>
          <w:noProof/>
          <w:lang w:val="fr-FR"/>
        </w:rPr>
      </w:pPr>
      <w:r>
        <w:rPr>
          <w:noProof/>
          <w:lang w:val="fr-FR" w:eastAsia="en-IE"/>
        </w:rPr>
        <w:t>Des c</w:t>
      </w:r>
      <w:r w:rsidRPr="00DD03D6">
        <w:rPr>
          <w:noProof/>
          <w:lang w:val="fr-FR" w:eastAsia="en-IE"/>
        </w:rPr>
        <w:t xml:space="preserve">odes </w:t>
      </w:r>
      <w:r>
        <w:rPr>
          <w:noProof/>
          <w:lang w:val="fr-FR" w:eastAsia="en-IE"/>
        </w:rPr>
        <w:t xml:space="preserve">de déontologie sur l’insertion d’annonces publicitaires sur des boissons alcoolisées ont été établis en </w:t>
      </w:r>
      <w:r w:rsidRPr="00DD03D6">
        <w:rPr>
          <w:noProof/>
          <w:lang w:val="fr-FR" w:eastAsia="en-IE"/>
        </w:rPr>
        <w:t xml:space="preserve">2004 </w:t>
      </w:r>
      <w:r>
        <w:rPr>
          <w:noProof/>
          <w:lang w:val="fr-FR" w:eastAsia="en-IE"/>
        </w:rPr>
        <w:t>par le secteur des boissons alcoolisées, le secteur de la publicité et le Ministère de la santé</w:t>
      </w:r>
      <w:r w:rsidRPr="00DD03D6">
        <w:rPr>
          <w:noProof/>
          <w:lang w:val="fr-FR" w:eastAsia="en-IE"/>
        </w:rPr>
        <w:t xml:space="preserve">, </w:t>
      </w:r>
      <w:r>
        <w:rPr>
          <w:noProof/>
          <w:lang w:val="fr-FR" w:eastAsia="en-IE"/>
        </w:rPr>
        <w:t xml:space="preserve">et ont été renforcés en </w:t>
      </w:r>
      <w:r w:rsidRPr="00DD03D6">
        <w:rPr>
          <w:noProof/>
          <w:lang w:val="fr-FR" w:eastAsia="en-IE"/>
        </w:rPr>
        <w:t xml:space="preserve">2008. </w:t>
      </w:r>
      <w:r>
        <w:rPr>
          <w:noProof/>
          <w:lang w:val="fr-FR" w:eastAsia="en-IE"/>
        </w:rPr>
        <w:t>Ces codes se proposent de réduire l’exposition des enfants et des jeunes à la promotion des boissons alcoolisées</w:t>
      </w:r>
      <w:r w:rsidRPr="00DD03D6">
        <w:rPr>
          <w:noProof/>
          <w:lang w:val="fr-FR" w:eastAsia="en-IE"/>
        </w:rPr>
        <w:t>.</w:t>
      </w:r>
      <w:r w:rsidR="001B2F58" w:rsidRPr="00DD03D6">
        <w:rPr>
          <w:noProof/>
          <w:lang w:val="fr-FR"/>
        </w:rPr>
        <w:t xml:space="preserve"> </w:t>
      </w:r>
      <w:r w:rsidR="00907583">
        <w:rPr>
          <w:noProof/>
          <w:lang w:val="fr-FR"/>
        </w:rPr>
        <w:t>Sur la base d’un profilage de l’</w:t>
      </w:r>
      <w:r w:rsidR="001B2F58" w:rsidRPr="00DD03D6">
        <w:rPr>
          <w:noProof/>
          <w:lang w:val="fr-FR"/>
        </w:rPr>
        <w:t xml:space="preserve">audience, </w:t>
      </w:r>
      <w:r w:rsidR="0090441A">
        <w:rPr>
          <w:noProof/>
          <w:lang w:val="fr-FR"/>
        </w:rPr>
        <w:t>ils</w:t>
      </w:r>
      <w:r w:rsidR="001B2F58" w:rsidRPr="00DD03D6">
        <w:rPr>
          <w:noProof/>
          <w:lang w:val="fr-FR"/>
        </w:rPr>
        <w:t xml:space="preserve"> </w:t>
      </w:r>
      <w:r w:rsidR="00AE183F">
        <w:rPr>
          <w:noProof/>
          <w:lang w:val="fr-FR"/>
        </w:rPr>
        <w:t xml:space="preserve">ne permettent la </w:t>
      </w:r>
      <w:r w:rsidR="009F1F6C">
        <w:rPr>
          <w:noProof/>
          <w:lang w:val="fr-FR"/>
        </w:rPr>
        <w:t>publicité/</w:t>
      </w:r>
      <w:r w:rsidR="00AE183F">
        <w:rPr>
          <w:noProof/>
          <w:lang w:val="fr-FR"/>
        </w:rPr>
        <w:t xml:space="preserve">promotion de l’alcool que si </w:t>
      </w:r>
      <w:r w:rsidR="009F1F6C">
        <w:rPr>
          <w:noProof/>
          <w:lang w:val="fr-FR"/>
        </w:rPr>
        <w:t>le support considéré a un profil d’audience composé à plus de 75</w:t>
      </w:r>
      <w:r w:rsidR="003F1ADB">
        <w:rPr>
          <w:noProof/>
          <w:lang w:val="fr-FR"/>
        </w:rPr>
        <w:t> %</w:t>
      </w:r>
      <w:r w:rsidR="009F1F6C">
        <w:rPr>
          <w:noProof/>
          <w:lang w:val="fr-FR"/>
        </w:rPr>
        <w:t xml:space="preserve"> d’adultes</w:t>
      </w:r>
      <w:r w:rsidR="001B2F58" w:rsidRPr="00DD03D6">
        <w:rPr>
          <w:noProof/>
          <w:lang w:val="fr-FR"/>
        </w:rPr>
        <w:t xml:space="preserve">, </w:t>
      </w:r>
      <w:r w:rsidR="009F1F6C">
        <w:rPr>
          <w:noProof/>
          <w:lang w:val="fr-FR"/>
        </w:rPr>
        <w:t xml:space="preserve">tandis que la publicité de l’alcool est limitée </w:t>
      </w:r>
      <w:r w:rsidR="00741922">
        <w:rPr>
          <w:noProof/>
          <w:lang w:val="fr-FR"/>
        </w:rPr>
        <w:t xml:space="preserve">en toutes circonstances </w:t>
      </w:r>
      <w:r w:rsidR="003F1ADB">
        <w:rPr>
          <w:noProof/>
          <w:lang w:val="fr-FR"/>
        </w:rPr>
        <w:t>à 25 %</w:t>
      </w:r>
      <w:r w:rsidR="009F1F6C">
        <w:rPr>
          <w:noProof/>
          <w:lang w:val="fr-FR"/>
        </w:rPr>
        <w:t xml:space="preserve"> de l’espace ou du temps disponible</w:t>
      </w:r>
      <w:r w:rsidR="001B2F58" w:rsidRPr="00DD03D6">
        <w:rPr>
          <w:noProof/>
          <w:lang w:val="fr-FR"/>
        </w:rPr>
        <w:t xml:space="preserve">. </w:t>
      </w:r>
      <w:r w:rsidR="00741922">
        <w:rPr>
          <w:noProof/>
          <w:lang w:val="fr-FR"/>
        </w:rPr>
        <w:t xml:space="preserve">La majorité des membres du </w:t>
      </w:r>
      <w:r w:rsidR="00741922" w:rsidRPr="00741922">
        <w:rPr>
          <w:iCs/>
          <w:noProof/>
          <w:lang w:val="fr-FR"/>
        </w:rPr>
        <w:t>Comité de pilotage de la Stratégie en matière d’abus de substances psychotropes</w:t>
      </w:r>
      <w:r w:rsidR="001B2F58" w:rsidRPr="00741922">
        <w:rPr>
          <w:noProof/>
          <w:lang w:val="fr-FR"/>
        </w:rPr>
        <w:t xml:space="preserve"> </w:t>
      </w:r>
      <w:r w:rsidR="00741922">
        <w:rPr>
          <w:noProof/>
          <w:lang w:val="fr-FR"/>
        </w:rPr>
        <w:t xml:space="preserve">sont favorables à l’imposition de contrôles plus stricts à la promotion de l’alcool, principalement pour protéger les enfants et les jeunes, et ils considèrent d’une façon générale que </w:t>
      </w:r>
      <w:r w:rsidR="0090441A">
        <w:rPr>
          <w:noProof/>
          <w:lang w:val="fr-FR"/>
        </w:rPr>
        <w:t xml:space="preserve">les mesures réglementaires sont </w:t>
      </w:r>
      <w:r w:rsidR="00741922">
        <w:rPr>
          <w:noProof/>
          <w:lang w:val="fr-FR"/>
        </w:rPr>
        <w:t xml:space="preserve">un bon moyen </w:t>
      </w:r>
      <w:r w:rsidR="0090441A">
        <w:rPr>
          <w:noProof/>
          <w:lang w:val="fr-FR"/>
        </w:rPr>
        <w:t>de protéger les jeunes</w:t>
      </w:r>
      <w:r w:rsidR="001B2F58" w:rsidRPr="00DD03D6">
        <w:rPr>
          <w:noProof/>
          <w:lang w:val="fr-FR"/>
        </w:rPr>
        <w:t xml:space="preserve">. </w:t>
      </w:r>
      <w:r w:rsidR="0090441A">
        <w:rPr>
          <w:noProof/>
          <w:lang w:val="fr-FR"/>
        </w:rPr>
        <w:t>Des propositions</w:t>
      </w:r>
      <w:r w:rsidR="0090441A">
        <w:rPr>
          <w:noProof/>
          <w:lang w:val="fr-FR" w:eastAsia="en-IE"/>
        </w:rPr>
        <w:t xml:space="preserve"> concrètes </w:t>
      </w:r>
      <w:r w:rsidR="0090441A">
        <w:rPr>
          <w:noProof/>
          <w:lang w:val="fr-FR"/>
        </w:rPr>
        <w:t xml:space="preserve">sont en cours de mise au point sur la base </w:t>
      </w:r>
      <w:r w:rsidR="0090441A">
        <w:rPr>
          <w:noProof/>
          <w:lang w:val="fr-FR" w:eastAsia="en-IE"/>
        </w:rPr>
        <w:t xml:space="preserve">des </w:t>
      </w:r>
      <w:r w:rsidR="0090441A">
        <w:rPr>
          <w:noProof/>
          <w:lang w:val="fr-FR"/>
        </w:rPr>
        <w:t>recomma</w:t>
      </w:r>
      <w:r w:rsidR="0090441A" w:rsidRPr="00DD03D6">
        <w:rPr>
          <w:noProof/>
          <w:lang w:val="fr-FR"/>
        </w:rPr>
        <w:t xml:space="preserve">ndations </w:t>
      </w:r>
      <w:r w:rsidR="0090441A">
        <w:rPr>
          <w:noProof/>
          <w:lang w:val="fr-FR"/>
        </w:rPr>
        <w:t>du r</w:t>
      </w:r>
      <w:r w:rsidR="0090441A" w:rsidRPr="0090441A">
        <w:rPr>
          <w:iCs/>
          <w:noProof/>
          <w:lang w:val="fr-FR"/>
        </w:rPr>
        <w:t>apport du Comité</w:t>
      </w:r>
      <w:r w:rsidR="0090441A">
        <w:rPr>
          <w:iCs/>
          <w:noProof/>
          <w:lang w:val="fr-FR"/>
        </w:rPr>
        <w:t xml:space="preserve"> de pilotage</w:t>
      </w:r>
      <w:r w:rsidR="001B2F58" w:rsidRPr="00DD03D6">
        <w:rPr>
          <w:noProof/>
          <w:lang w:val="fr-FR"/>
        </w:rPr>
        <w:t>.</w:t>
      </w:r>
    </w:p>
    <w:p w:rsidR="001B2F58" w:rsidRPr="00DD03D6" w:rsidRDefault="00C05BF5" w:rsidP="00C05BF5">
      <w:pPr>
        <w:pStyle w:val="H1G"/>
        <w:rPr>
          <w:noProof/>
          <w:lang w:val="fr-FR"/>
        </w:rPr>
      </w:pPr>
      <w:r w:rsidRPr="00DD03D6">
        <w:rPr>
          <w:noProof/>
          <w:lang w:val="fr-FR"/>
        </w:rPr>
        <w:tab/>
      </w:r>
      <w:r w:rsidR="001B2F58" w:rsidRPr="00DD03D6">
        <w:rPr>
          <w:noProof/>
          <w:lang w:val="fr-FR"/>
        </w:rPr>
        <w:t>I.</w:t>
      </w:r>
      <w:r w:rsidR="001B2F58" w:rsidRPr="00DD03D6">
        <w:rPr>
          <w:noProof/>
          <w:lang w:val="fr-FR"/>
        </w:rPr>
        <w:tab/>
      </w:r>
      <w:r w:rsidR="0090441A">
        <w:rPr>
          <w:lang w:val="fr-FR"/>
        </w:rPr>
        <w:t xml:space="preserve">Mesures adoptées pour garantir la protection des enfants dont </w:t>
      </w:r>
      <w:r w:rsidR="003F1ADB">
        <w:rPr>
          <w:lang w:val="fr-FR"/>
        </w:rPr>
        <w:br/>
      </w:r>
      <w:r w:rsidR="0090441A">
        <w:rPr>
          <w:lang w:val="fr-FR"/>
        </w:rPr>
        <w:t>les parents sont incarcérés et des enfants qui accompagnent leur mère en prison</w:t>
      </w:r>
      <w:r w:rsidR="00E92D3C">
        <w:rPr>
          <w:noProof/>
          <w:lang w:val="fr-FR"/>
        </w:rPr>
        <w:t xml:space="preserve"> </w:t>
      </w:r>
    </w:p>
    <w:p w:rsidR="001B2F58" w:rsidRPr="00DD03D6" w:rsidRDefault="00EC7662" w:rsidP="00964B26">
      <w:pPr>
        <w:pStyle w:val="SingleTxtG"/>
        <w:numPr>
          <w:ilvl w:val="0"/>
          <w:numId w:val="3"/>
        </w:numPr>
        <w:ind w:left="1134" w:firstLine="0"/>
        <w:rPr>
          <w:noProof/>
          <w:lang w:val="fr-FR"/>
        </w:rPr>
      </w:pPr>
      <w:r>
        <w:rPr>
          <w:noProof/>
          <w:lang w:val="fr-FR"/>
        </w:rPr>
        <w:t>L’Administration pénitentiaire et le Service de p</w:t>
      </w:r>
      <w:r w:rsidR="001B2F58" w:rsidRPr="00DD03D6">
        <w:rPr>
          <w:noProof/>
          <w:lang w:val="fr-FR"/>
        </w:rPr>
        <w:t xml:space="preserve">robation </w:t>
      </w:r>
      <w:r>
        <w:rPr>
          <w:noProof/>
          <w:lang w:val="fr-FR"/>
        </w:rPr>
        <w:t xml:space="preserve">s’emploient à élaborer un plan d’action </w:t>
      </w:r>
      <w:r w:rsidR="001B2F58" w:rsidRPr="00DD03D6">
        <w:rPr>
          <w:noProof/>
          <w:lang w:val="fr-FR"/>
        </w:rPr>
        <w:t>strat</w:t>
      </w:r>
      <w:r>
        <w:rPr>
          <w:noProof/>
          <w:lang w:val="fr-FR"/>
        </w:rPr>
        <w:t>é</w:t>
      </w:r>
      <w:r w:rsidR="001B2F58" w:rsidRPr="00DD03D6">
        <w:rPr>
          <w:noProof/>
          <w:lang w:val="fr-FR"/>
        </w:rPr>
        <w:t>gi</w:t>
      </w:r>
      <w:r>
        <w:rPr>
          <w:noProof/>
          <w:lang w:val="fr-FR"/>
        </w:rPr>
        <w:t>que visant à répondre aux besoins particuliers des délinquantes</w:t>
      </w:r>
      <w:r w:rsidR="001B2F58" w:rsidRPr="00DD03D6">
        <w:rPr>
          <w:noProof/>
          <w:lang w:val="fr-FR"/>
        </w:rPr>
        <w:t xml:space="preserve">. </w:t>
      </w:r>
      <w:r w:rsidR="003869FC">
        <w:rPr>
          <w:noProof/>
          <w:lang w:val="fr-FR"/>
        </w:rPr>
        <w:t>Les deux institutions se concertent pour f</w:t>
      </w:r>
      <w:r w:rsidR="003F0659">
        <w:rPr>
          <w:noProof/>
          <w:lang w:val="fr-FR"/>
        </w:rPr>
        <w:t>or</w:t>
      </w:r>
      <w:r w:rsidR="003869FC">
        <w:rPr>
          <w:noProof/>
          <w:lang w:val="fr-FR"/>
        </w:rPr>
        <w:t>muler une stratégie intégrée axée sur la femme qui puisse remédier aux facteurs qui conduisent certaines femmes</w:t>
      </w:r>
      <w:r w:rsidR="003F0659">
        <w:rPr>
          <w:noProof/>
          <w:lang w:val="fr-FR"/>
        </w:rPr>
        <w:t xml:space="preserve"> à avoir maille à partir avec le système de justice pénale</w:t>
      </w:r>
      <w:r w:rsidR="001B2F58" w:rsidRPr="00DD03D6">
        <w:rPr>
          <w:noProof/>
          <w:lang w:val="fr-FR"/>
        </w:rPr>
        <w:t xml:space="preserve">, </w:t>
      </w:r>
      <w:r w:rsidR="003F0659">
        <w:rPr>
          <w:noProof/>
          <w:lang w:val="fr-FR"/>
        </w:rPr>
        <w:t>tout en cherchant à améliorer la situation des femmes auxquelles les tribunaux estiment devoir infliger des peines privatives de liberté</w:t>
      </w:r>
      <w:r w:rsidR="001B2F58" w:rsidRPr="00DD03D6">
        <w:rPr>
          <w:noProof/>
          <w:lang w:val="fr-FR"/>
        </w:rPr>
        <w:t>.</w:t>
      </w:r>
    </w:p>
    <w:p w:rsidR="001B2F58" w:rsidRPr="00DD03D6" w:rsidRDefault="003F0659" w:rsidP="00C05BF5">
      <w:pPr>
        <w:pStyle w:val="SingleTxtG"/>
        <w:numPr>
          <w:ilvl w:val="0"/>
          <w:numId w:val="3"/>
        </w:numPr>
        <w:ind w:left="1134" w:firstLine="0"/>
        <w:rPr>
          <w:noProof/>
          <w:lang w:val="fr-FR"/>
        </w:rPr>
      </w:pPr>
      <w:r>
        <w:rPr>
          <w:noProof/>
          <w:lang w:val="fr-FR"/>
        </w:rPr>
        <w:t xml:space="preserve">L’Administration pénitentiaire a toujours eu conscience de la nécessité de trouver une équilibre adéquat entre la protection des enfants et le respect des droirs et des besoins des mères, </w:t>
      </w:r>
      <w:r w:rsidR="00CF34B7">
        <w:rPr>
          <w:noProof/>
          <w:lang w:val="fr-FR"/>
        </w:rPr>
        <w:t xml:space="preserve">équilibre </w:t>
      </w:r>
      <w:r>
        <w:rPr>
          <w:noProof/>
          <w:lang w:val="fr-FR"/>
        </w:rPr>
        <w:t>dans lequel le bien-être de l’enfant ne ce</w:t>
      </w:r>
      <w:r w:rsidR="00CF34B7">
        <w:rPr>
          <w:noProof/>
          <w:lang w:val="fr-FR"/>
        </w:rPr>
        <w:t>s</w:t>
      </w:r>
      <w:r>
        <w:rPr>
          <w:noProof/>
          <w:lang w:val="fr-FR"/>
        </w:rPr>
        <w:t>se de revêtir une importante primordiale</w:t>
      </w:r>
      <w:r w:rsidR="001B2F58" w:rsidRPr="00DD03D6">
        <w:rPr>
          <w:noProof/>
          <w:lang w:val="fr-FR"/>
        </w:rPr>
        <w:t xml:space="preserve">. </w:t>
      </w:r>
      <w:r>
        <w:rPr>
          <w:noProof/>
          <w:lang w:val="fr-FR"/>
        </w:rPr>
        <w:t xml:space="preserve">En vertu du Règlement pénitentiaire de </w:t>
      </w:r>
      <w:r w:rsidR="001B2F58" w:rsidRPr="00DD03D6">
        <w:rPr>
          <w:noProof/>
          <w:lang w:val="fr-FR"/>
        </w:rPr>
        <w:t xml:space="preserve">2007, </w:t>
      </w:r>
      <w:r w:rsidR="003F1ADB">
        <w:rPr>
          <w:noProof/>
          <w:lang w:val="fr-FR"/>
        </w:rPr>
        <w:t>un enfant âgé de moins de 12 </w:t>
      </w:r>
      <w:r>
        <w:rPr>
          <w:noProof/>
          <w:lang w:val="fr-FR"/>
        </w:rPr>
        <w:t xml:space="preserve">mois peut </w:t>
      </w:r>
      <w:r w:rsidR="00CF34B7">
        <w:rPr>
          <w:noProof/>
          <w:lang w:val="fr-FR"/>
        </w:rPr>
        <w:t>accompagner sa mère en prison jusqu’à son premier anniversaire</w:t>
      </w:r>
      <w:r w:rsidR="001B2F58" w:rsidRPr="00DD03D6">
        <w:rPr>
          <w:noProof/>
          <w:lang w:val="fr-FR"/>
        </w:rPr>
        <w:t xml:space="preserve">. </w:t>
      </w:r>
      <w:r w:rsidR="00CF34B7">
        <w:rPr>
          <w:noProof/>
          <w:lang w:val="fr-FR"/>
        </w:rPr>
        <w:t xml:space="preserve">Passé cette date, il ne peut rester avec sa mère que dans des circonstances </w:t>
      </w:r>
      <w:r w:rsidR="001B2F58" w:rsidRPr="00DD03D6">
        <w:rPr>
          <w:noProof/>
          <w:lang w:val="fr-FR"/>
        </w:rPr>
        <w:t>exception</w:t>
      </w:r>
      <w:r w:rsidR="00CF34B7">
        <w:rPr>
          <w:noProof/>
          <w:lang w:val="fr-FR"/>
        </w:rPr>
        <w:t>nelles</w:t>
      </w:r>
      <w:r w:rsidR="001B2F58" w:rsidRPr="00DD03D6">
        <w:rPr>
          <w:noProof/>
          <w:lang w:val="fr-FR"/>
        </w:rPr>
        <w:t>.</w:t>
      </w:r>
    </w:p>
    <w:p w:rsidR="001B2F58" w:rsidRPr="00DD03D6" w:rsidRDefault="005D67A0" w:rsidP="00964B26">
      <w:pPr>
        <w:pStyle w:val="SingleTxtG"/>
        <w:numPr>
          <w:ilvl w:val="0"/>
          <w:numId w:val="3"/>
        </w:numPr>
        <w:ind w:left="1134" w:firstLine="0"/>
        <w:rPr>
          <w:noProof/>
          <w:lang w:val="fr-FR"/>
        </w:rPr>
      </w:pPr>
      <w:r>
        <w:rPr>
          <w:noProof/>
          <w:lang w:val="fr-FR"/>
        </w:rPr>
        <w:lastRenderedPageBreak/>
        <w:t xml:space="preserve">Le </w:t>
      </w:r>
      <w:r w:rsidRPr="00DD03D6">
        <w:rPr>
          <w:noProof/>
          <w:lang w:val="fr-FR"/>
        </w:rPr>
        <w:t>Dóchas Centre (</w:t>
      </w:r>
      <w:r>
        <w:rPr>
          <w:noProof/>
          <w:lang w:val="fr-FR"/>
        </w:rPr>
        <w:t>prison pour femmes)</w:t>
      </w:r>
      <w:r w:rsidRPr="00DD03D6">
        <w:rPr>
          <w:noProof/>
          <w:lang w:val="fr-FR"/>
        </w:rPr>
        <w:t xml:space="preserve"> </w:t>
      </w:r>
      <w:r>
        <w:rPr>
          <w:noProof/>
          <w:lang w:val="fr-FR"/>
        </w:rPr>
        <w:t>met des moyens d’appui considérables à la disposition des mères et des nourrissons.</w:t>
      </w:r>
      <w:r w:rsidR="001B2F58" w:rsidRPr="00DD03D6">
        <w:rPr>
          <w:noProof/>
          <w:lang w:val="fr-FR"/>
        </w:rPr>
        <w:t xml:space="preserve"> </w:t>
      </w:r>
      <w:r>
        <w:rPr>
          <w:noProof/>
          <w:lang w:val="fr-FR"/>
        </w:rPr>
        <w:t xml:space="preserve">Des dispositions sont prises pour aider les nouvelles mères à garder leurs nourrissons avec elles en prison de manière à ne </w:t>
      </w:r>
      <w:r w:rsidR="0059400E">
        <w:rPr>
          <w:noProof/>
          <w:lang w:val="fr-FR"/>
        </w:rPr>
        <w:t xml:space="preserve">pas </w:t>
      </w:r>
      <w:r>
        <w:rPr>
          <w:noProof/>
          <w:lang w:val="fr-FR"/>
        </w:rPr>
        <w:t>compromettre l’établissement précoce de liens affectifs</w:t>
      </w:r>
      <w:r w:rsidR="001B2F58" w:rsidRPr="00DD03D6">
        <w:rPr>
          <w:noProof/>
          <w:lang w:val="fr-FR"/>
        </w:rPr>
        <w:t xml:space="preserve">. </w:t>
      </w:r>
      <w:r>
        <w:rPr>
          <w:noProof/>
          <w:lang w:val="fr-FR"/>
        </w:rPr>
        <w:t>Ce Centre accueille actuellement un nourrisson et le nombre maximal de nourrisssons qui y ont accompagné leur mère à un moment ou à un autre est de cinq</w:t>
      </w:r>
      <w:r w:rsidR="001B2F58" w:rsidRPr="00DD03D6">
        <w:rPr>
          <w:noProof/>
          <w:lang w:val="fr-FR"/>
        </w:rPr>
        <w:t xml:space="preserve">. </w:t>
      </w:r>
      <w:r>
        <w:rPr>
          <w:noProof/>
          <w:lang w:val="fr-FR"/>
        </w:rPr>
        <w:t>Bien sûr, il peut arriver qu’il n’</w:t>
      </w:r>
      <w:r w:rsidR="003F1ADB">
        <w:rPr>
          <w:noProof/>
          <w:lang w:val="fr-FR"/>
        </w:rPr>
        <w:t>y ait aucun nourrisson dans ce c</w:t>
      </w:r>
      <w:r>
        <w:rPr>
          <w:noProof/>
          <w:lang w:val="fr-FR"/>
        </w:rPr>
        <w:t>entre</w:t>
      </w:r>
      <w:r w:rsidR="001B2F58" w:rsidRPr="00DD03D6">
        <w:rPr>
          <w:noProof/>
          <w:lang w:val="fr-FR"/>
        </w:rPr>
        <w:t xml:space="preserve">. </w:t>
      </w:r>
      <w:r>
        <w:rPr>
          <w:noProof/>
          <w:lang w:val="fr-FR"/>
        </w:rPr>
        <w:t xml:space="preserve">Dans chaque cas, la mère et l’enfant disposent de leur propre pièce </w:t>
      </w:r>
      <w:r w:rsidR="0059400E">
        <w:rPr>
          <w:noProof/>
          <w:lang w:val="fr-FR"/>
        </w:rPr>
        <w:t>avec installations sanitaires attenantes, et les articles nécessaires (lit de bébé, aliments pour nourrissons et couches, par exemple) sont également fournis</w:t>
      </w:r>
      <w:r w:rsidR="001B2F58" w:rsidRPr="00DD03D6">
        <w:rPr>
          <w:noProof/>
          <w:lang w:val="fr-FR"/>
        </w:rPr>
        <w:t>.</w:t>
      </w:r>
    </w:p>
    <w:p w:rsidR="001B2F58" w:rsidRPr="00DD03D6" w:rsidRDefault="00C05BF5" w:rsidP="00C05BF5">
      <w:pPr>
        <w:pStyle w:val="H1G"/>
        <w:rPr>
          <w:noProof/>
          <w:lang w:val="fr-FR"/>
        </w:rPr>
      </w:pPr>
      <w:r w:rsidRPr="00DD03D6">
        <w:rPr>
          <w:noProof/>
          <w:lang w:val="fr-FR"/>
        </w:rPr>
        <w:tab/>
      </w:r>
      <w:r w:rsidR="001B2F58" w:rsidRPr="00DD03D6">
        <w:rPr>
          <w:noProof/>
          <w:lang w:val="fr-FR"/>
        </w:rPr>
        <w:t>J.</w:t>
      </w:r>
      <w:r w:rsidR="001B2F58" w:rsidRPr="00DD03D6">
        <w:rPr>
          <w:noProof/>
          <w:lang w:val="fr-FR"/>
        </w:rPr>
        <w:tab/>
      </w:r>
      <w:r w:rsidR="0059400E" w:rsidRPr="006E0E0C">
        <w:rPr>
          <w:lang w:val="fr-FR"/>
        </w:rPr>
        <w:t>Sécurité sociale et services et établissements de garde d’enfants</w:t>
      </w:r>
      <w:r w:rsidR="0059400E" w:rsidRPr="00DD03D6">
        <w:rPr>
          <w:noProof/>
          <w:lang w:val="fr-FR"/>
        </w:rPr>
        <w:t xml:space="preserve"> </w:t>
      </w:r>
    </w:p>
    <w:p w:rsidR="001B2F58" w:rsidRDefault="0059400E" w:rsidP="00E77652">
      <w:pPr>
        <w:pStyle w:val="SingleTxtG"/>
        <w:numPr>
          <w:ilvl w:val="0"/>
          <w:numId w:val="3"/>
        </w:numPr>
        <w:ind w:left="1134" w:firstLine="0"/>
        <w:rPr>
          <w:noProof/>
          <w:lang w:val="fr-FR"/>
        </w:rPr>
      </w:pPr>
      <w:r>
        <w:rPr>
          <w:noProof/>
          <w:lang w:val="fr-FR"/>
        </w:rPr>
        <w:t xml:space="preserve">Le deuxième rapport périodique de l’Irlande </w:t>
      </w:r>
      <w:r w:rsidR="001B2F58" w:rsidRPr="00DD03D6">
        <w:rPr>
          <w:noProof/>
          <w:lang w:val="fr-FR"/>
        </w:rPr>
        <w:t xml:space="preserve">(2005) </w:t>
      </w:r>
      <w:r>
        <w:rPr>
          <w:noProof/>
          <w:lang w:val="fr-FR"/>
        </w:rPr>
        <w:t>a fourni de très nombreuses informations sur la sécurité sociale et les autres dépenses consacrées aux enfants et aux familles</w:t>
      </w:r>
      <w:r w:rsidR="00C05BF5" w:rsidRPr="00DD03D6">
        <w:rPr>
          <w:rStyle w:val="Appelnotedebasdep"/>
          <w:noProof/>
          <w:lang w:val="fr-FR"/>
        </w:rPr>
        <w:footnoteReference w:id="39"/>
      </w:r>
      <w:r>
        <w:rPr>
          <w:noProof/>
          <w:lang w:val="fr-FR"/>
        </w:rPr>
        <w:t>.</w:t>
      </w:r>
      <w:r w:rsidR="001B2F58" w:rsidRPr="00DD03D6">
        <w:rPr>
          <w:noProof/>
          <w:lang w:val="fr-FR"/>
        </w:rPr>
        <w:t xml:space="preserve"> </w:t>
      </w:r>
      <w:r w:rsidR="00122A45">
        <w:rPr>
          <w:noProof/>
          <w:lang w:val="fr-FR"/>
        </w:rPr>
        <w:t>La présente section rend compte des faits survenus récemment dans ce domaine</w:t>
      </w:r>
      <w:r w:rsidR="001B2F58" w:rsidRPr="00DD03D6">
        <w:rPr>
          <w:noProof/>
          <w:lang w:val="fr-FR"/>
        </w:rPr>
        <w:t>.</w:t>
      </w:r>
    </w:p>
    <w:p w:rsidR="001B2F58" w:rsidRPr="00DD03D6" w:rsidRDefault="00122A45" w:rsidP="00411388">
      <w:pPr>
        <w:pStyle w:val="SingleTxtG"/>
        <w:numPr>
          <w:ilvl w:val="0"/>
          <w:numId w:val="3"/>
        </w:numPr>
        <w:ind w:left="1134" w:firstLine="0"/>
        <w:rPr>
          <w:noProof/>
          <w:lang w:val="fr-FR"/>
        </w:rPr>
      </w:pPr>
      <w:r>
        <w:rPr>
          <w:noProof/>
          <w:lang w:val="fr-FR"/>
        </w:rPr>
        <w:t>Toutes les familles touchent des allocations familiales pour tous les enfants jusqu’à l’âge de 16 ans</w:t>
      </w:r>
      <w:r w:rsidR="001B2F58" w:rsidRPr="00DD03D6">
        <w:rPr>
          <w:noProof/>
          <w:lang w:val="fr-FR"/>
        </w:rPr>
        <w:t xml:space="preserve">. </w:t>
      </w:r>
      <w:r>
        <w:rPr>
          <w:noProof/>
          <w:lang w:val="fr-FR"/>
        </w:rPr>
        <w:t xml:space="preserve">L’allocation continue d’être versée jusqu’au </w:t>
      </w:r>
      <w:r w:rsidR="00305183">
        <w:rPr>
          <w:noProof/>
          <w:lang w:val="fr-FR"/>
        </w:rPr>
        <w:t>dix-huitième</w:t>
      </w:r>
      <w:r>
        <w:rPr>
          <w:noProof/>
          <w:lang w:val="fr-FR"/>
        </w:rPr>
        <w:t xml:space="preserve"> anniversaire d’un enfant si celui-ci fait des études à plein temps ou est atteint d’un handicap physique</w:t>
      </w:r>
      <w:r w:rsidR="001B2F58" w:rsidRPr="00DD03D6">
        <w:rPr>
          <w:noProof/>
          <w:lang w:val="fr-FR"/>
        </w:rPr>
        <w:t xml:space="preserve"> o</w:t>
      </w:r>
      <w:r>
        <w:rPr>
          <w:noProof/>
          <w:lang w:val="fr-FR"/>
        </w:rPr>
        <w:t>u</w:t>
      </w:r>
      <w:r w:rsidR="001B2F58" w:rsidRPr="00DD03D6">
        <w:rPr>
          <w:noProof/>
          <w:lang w:val="fr-FR"/>
        </w:rPr>
        <w:t xml:space="preserve"> mental. </w:t>
      </w:r>
      <w:r>
        <w:rPr>
          <w:noProof/>
          <w:lang w:val="fr-FR"/>
        </w:rPr>
        <w:t>E</w:t>
      </w:r>
      <w:r w:rsidR="001B2F58" w:rsidRPr="00DD03D6">
        <w:rPr>
          <w:noProof/>
          <w:lang w:val="fr-FR"/>
        </w:rPr>
        <w:t xml:space="preserve">n 2011, </w:t>
      </w:r>
      <w:r>
        <w:rPr>
          <w:noProof/>
          <w:lang w:val="fr-FR"/>
        </w:rPr>
        <w:t xml:space="preserve">les dépenses liées aux allocations familiales se sont élevées à </w:t>
      </w:r>
      <w:r w:rsidR="001B2F58" w:rsidRPr="00DD03D6">
        <w:rPr>
          <w:noProof/>
          <w:lang w:val="fr-FR"/>
        </w:rPr>
        <w:t>2</w:t>
      </w:r>
      <w:r>
        <w:rPr>
          <w:noProof/>
          <w:lang w:val="fr-FR"/>
        </w:rPr>
        <w:t>,</w:t>
      </w:r>
      <w:r w:rsidR="00305183">
        <w:rPr>
          <w:noProof/>
          <w:lang w:val="fr-FR"/>
        </w:rPr>
        <w:t>08 </w:t>
      </w:r>
      <w:r>
        <w:rPr>
          <w:noProof/>
          <w:lang w:val="fr-FR"/>
        </w:rPr>
        <w:t>milliards d’euros et ces allocations ont été versée</w:t>
      </w:r>
      <w:r w:rsidR="00657CE7">
        <w:rPr>
          <w:noProof/>
          <w:lang w:val="fr-FR"/>
        </w:rPr>
        <w:t>s</w:t>
      </w:r>
      <w:r>
        <w:rPr>
          <w:noProof/>
          <w:lang w:val="fr-FR"/>
        </w:rPr>
        <w:t xml:space="preserve"> à quelque 600</w:t>
      </w:r>
      <w:r w:rsidR="003F1ADB">
        <w:rPr>
          <w:noProof/>
          <w:lang w:val="fr-FR"/>
        </w:rPr>
        <w:t> </w:t>
      </w:r>
      <w:r w:rsidR="001B2F58" w:rsidRPr="00DD03D6">
        <w:rPr>
          <w:noProof/>
          <w:lang w:val="fr-FR"/>
        </w:rPr>
        <w:t>000 famil</w:t>
      </w:r>
      <w:r>
        <w:rPr>
          <w:noProof/>
          <w:lang w:val="fr-FR"/>
        </w:rPr>
        <w:t>l</w:t>
      </w:r>
      <w:r w:rsidR="001B2F58" w:rsidRPr="00DD03D6">
        <w:rPr>
          <w:noProof/>
          <w:lang w:val="fr-FR"/>
        </w:rPr>
        <w:t xml:space="preserve">es </w:t>
      </w:r>
      <w:r>
        <w:rPr>
          <w:noProof/>
          <w:lang w:val="fr-FR"/>
        </w:rPr>
        <w:t xml:space="preserve">pour environ </w:t>
      </w:r>
      <w:r w:rsidR="001B2F58" w:rsidRPr="00DD03D6">
        <w:rPr>
          <w:noProof/>
          <w:lang w:val="fr-FR"/>
        </w:rPr>
        <w:t>1</w:t>
      </w:r>
      <w:r>
        <w:rPr>
          <w:noProof/>
          <w:lang w:val="fr-FR"/>
        </w:rPr>
        <w:t>,</w:t>
      </w:r>
      <w:r w:rsidR="001B2F58" w:rsidRPr="00DD03D6">
        <w:rPr>
          <w:noProof/>
          <w:lang w:val="fr-FR"/>
        </w:rPr>
        <w:t xml:space="preserve">14 million </w:t>
      </w:r>
      <w:r>
        <w:rPr>
          <w:noProof/>
          <w:lang w:val="fr-FR"/>
        </w:rPr>
        <w:t>d’enfants</w:t>
      </w:r>
      <w:r w:rsidR="001B2F58" w:rsidRPr="00DD03D6">
        <w:rPr>
          <w:noProof/>
          <w:lang w:val="fr-FR"/>
        </w:rPr>
        <w:t xml:space="preserve">. </w:t>
      </w:r>
      <w:r>
        <w:rPr>
          <w:noProof/>
          <w:lang w:val="fr-FR"/>
        </w:rPr>
        <w:t xml:space="preserve">Entre </w:t>
      </w:r>
      <w:r w:rsidR="001B2F58" w:rsidRPr="00DD03D6">
        <w:rPr>
          <w:noProof/>
          <w:lang w:val="fr-FR"/>
        </w:rPr>
        <w:t xml:space="preserve">2006 </w:t>
      </w:r>
      <w:r>
        <w:rPr>
          <w:noProof/>
          <w:lang w:val="fr-FR"/>
        </w:rPr>
        <w:t>et</w:t>
      </w:r>
      <w:r w:rsidR="001B2F58" w:rsidRPr="00DD03D6">
        <w:rPr>
          <w:noProof/>
          <w:lang w:val="fr-FR"/>
        </w:rPr>
        <w:t xml:space="preserve"> 2009, </w:t>
      </w:r>
      <w:r>
        <w:rPr>
          <w:noProof/>
          <w:lang w:val="fr-FR"/>
        </w:rPr>
        <w:t xml:space="preserve">ces dépenses sont passées de </w:t>
      </w:r>
      <w:r w:rsidR="00305183">
        <w:rPr>
          <w:noProof/>
          <w:lang w:val="fr-FR"/>
        </w:rPr>
        <w:t>2 </w:t>
      </w:r>
      <w:r>
        <w:rPr>
          <w:noProof/>
          <w:lang w:val="fr-FR"/>
        </w:rPr>
        <w:t xml:space="preserve">milliards d’euros à </w:t>
      </w:r>
      <w:r w:rsidR="001B2F58" w:rsidRPr="00DD03D6">
        <w:rPr>
          <w:noProof/>
          <w:lang w:val="fr-FR"/>
        </w:rPr>
        <w:t>2</w:t>
      </w:r>
      <w:r>
        <w:rPr>
          <w:noProof/>
          <w:lang w:val="fr-FR"/>
        </w:rPr>
        <w:t>,</w:t>
      </w:r>
      <w:r w:rsidR="003F1ADB">
        <w:rPr>
          <w:noProof/>
          <w:lang w:val="fr-FR"/>
        </w:rPr>
        <w:t>5 </w:t>
      </w:r>
      <w:r>
        <w:rPr>
          <w:noProof/>
          <w:lang w:val="fr-FR"/>
        </w:rPr>
        <w:t>milliards en raison d’une politique tendant à augmenter</w:t>
      </w:r>
      <w:r w:rsidR="00657CE7">
        <w:rPr>
          <w:noProof/>
          <w:lang w:val="fr-FR"/>
        </w:rPr>
        <w:t xml:space="preserve"> le complément de revenu pour toutes les familles</w:t>
      </w:r>
      <w:r w:rsidR="001B2F58" w:rsidRPr="00DD03D6">
        <w:rPr>
          <w:noProof/>
          <w:lang w:val="fr-FR"/>
        </w:rPr>
        <w:t xml:space="preserve">. </w:t>
      </w:r>
      <w:r w:rsidR="00657CE7">
        <w:rPr>
          <w:noProof/>
          <w:lang w:val="fr-FR"/>
        </w:rPr>
        <w:t xml:space="preserve">Toutefois, la crise économique ayant contraint à réduire le niveau des dépenses publiques, les dépenses liées aux allocations familiales ont été ramenées à </w:t>
      </w:r>
      <w:r w:rsidR="001B2F58" w:rsidRPr="00DD03D6">
        <w:rPr>
          <w:noProof/>
          <w:lang w:val="fr-FR"/>
        </w:rPr>
        <w:t>2</w:t>
      </w:r>
      <w:r w:rsidR="00657CE7">
        <w:rPr>
          <w:noProof/>
          <w:lang w:val="fr-FR"/>
        </w:rPr>
        <w:t>,</w:t>
      </w:r>
      <w:r w:rsidR="001B2F58" w:rsidRPr="00DD03D6">
        <w:rPr>
          <w:noProof/>
          <w:lang w:val="fr-FR"/>
        </w:rPr>
        <w:t xml:space="preserve">1 </w:t>
      </w:r>
      <w:r w:rsidR="00657CE7">
        <w:rPr>
          <w:noProof/>
          <w:lang w:val="fr-FR"/>
        </w:rPr>
        <w:t xml:space="preserve">milliards d’euros en </w:t>
      </w:r>
      <w:r w:rsidR="001B2F58" w:rsidRPr="00DD03D6">
        <w:rPr>
          <w:noProof/>
          <w:lang w:val="fr-FR"/>
        </w:rPr>
        <w:t xml:space="preserve">2011 </w:t>
      </w:r>
      <w:r w:rsidR="00657CE7">
        <w:rPr>
          <w:noProof/>
          <w:lang w:val="fr-FR"/>
        </w:rPr>
        <w:t>par le jeu d’une réduction des taux et de l’abaissement de la limite d’âge supérieure, qui a é</w:t>
      </w:r>
      <w:r w:rsidR="00305183">
        <w:rPr>
          <w:noProof/>
          <w:lang w:val="fr-FR"/>
        </w:rPr>
        <w:t>té fixée à 18 ans au lieu de 19 </w:t>
      </w:r>
      <w:r w:rsidR="00657CE7">
        <w:rPr>
          <w:noProof/>
          <w:lang w:val="fr-FR"/>
        </w:rPr>
        <w:t>ans.</w:t>
      </w:r>
    </w:p>
    <w:p w:rsidR="001B2F58" w:rsidRPr="00DD03D6" w:rsidRDefault="00E87518" w:rsidP="00C05BF5">
      <w:pPr>
        <w:pStyle w:val="SingleTxtG"/>
        <w:numPr>
          <w:ilvl w:val="0"/>
          <w:numId w:val="3"/>
        </w:numPr>
        <w:ind w:left="1134" w:firstLine="0"/>
        <w:rPr>
          <w:noProof/>
          <w:lang w:val="fr-FR"/>
        </w:rPr>
      </w:pPr>
      <w:r>
        <w:rPr>
          <w:noProof/>
          <w:lang w:val="fr-FR"/>
        </w:rPr>
        <w:t>Outre les allocations familiales, le système de protection sociale fournit une aide aux familles à faible revenu avec enfants en leur versant</w:t>
      </w:r>
      <w:r w:rsidR="000836D0">
        <w:rPr>
          <w:noProof/>
          <w:lang w:val="fr-FR"/>
        </w:rPr>
        <w:t xml:space="preserve"> des allocations complémentaires pour enfant remplissant les conditions requises </w:t>
      </w:r>
      <w:r w:rsidR="001B2F58" w:rsidRPr="00DD03D6">
        <w:rPr>
          <w:noProof/>
          <w:lang w:val="fr-FR"/>
        </w:rPr>
        <w:t xml:space="preserve">(QCI) </w:t>
      </w:r>
      <w:r w:rsidR="000836D0">
        <w:rPr>
          <w:noProof/>
          <w:lang w:val="fr-FR"/>
        </w:rPr>
        <w:t>venant s’ajouter aux allocations sociales principales</w:t>
      </w:r>
      <w:r w:rsidR="001B2F58" w:rsidRPr="00DD03D6">
        <w:rPr>
          <w:noProof/>
          <w:lang w:val="fr-FR"/>
        </w:rPr>
        <w:t xml:space="preserve">. </w:t>
      </w:r>
      <w:r w:rsidR="000836D0">
        <w:rPr>
          <w:noProof/>
          <w:lang w:val="fr-FR"/>
        </w:rPr>
        <w:t>E</w:t>
      </w:r>
      <w:r w:rsidR="001B2F58" w:rsidRPr="00DD03D6">
        <w:rPr>
          <w:noProof/>
          <w:lang w:val="fr-FR"/>
        </w:rPr>
        <w:t xml:space="preserve">n 2011, </w:t>
      </w:r>
      <w:r w:rsidR="000836D0">
        <w:rPr>
          <w:noProof/>
          <w:lang w:val="fr-FR"/>
        </w:rPr>
        <w:t xml:space="preserve">des </w:t>
      </w:r>
      <w:r w:rsidR="001B2F58" w:rsidRPr="00DD03D6">
        <w:rPr>
          <w:noProof/>
          <w:lang w:val="fr-FR"/>
        </w:rPr>
        <w:t xml:space="preserve">QCI </w:t>
      </w:r>
      <w:r w:rsidR="000836D0">
        <w:rPr>
          <w:noProof/>
          <w:lang w:val="fr-FR"/>
        </w:rPr>
        <w:t xml:space="preserve">ont été versées pour un peu plus de </w:t>
      </w:r>
      <w:r w:rsidR="001B2F58" w:rsidRPr="00DD03D6">
        <w:rPr>
          <w:noProof/>
          <w:lang w:val="fr-FR"/>
        </w:rPr>
        <w:t>496</w:t>
      </w:r>
      <w:r w:rsidR="003F1ADB">
        <w:rPr>
          <w:noProof/>
          <w:lang w:val="fr-FR"/>
        </w:rPr>
        <w:t> </w:t>
      </w:r>
      <w:r w:rsidR="001B2F58" w:rsidRPr="00DD03D6">
        <w:rPr>
          <w:noProof/>
          <w:lang w:val="fr-FR"/>
        </w:rPr>
        <w:t xml:space="preserve">000 </w:t>
      </w:r>
      <w:r w:rsidR="000836D0">
        <w:rPr>
          <w:noProof/>
          <w:lang w:val="fr-FR"/>
        </w:rPr>
        <w:t xml:space="preserve">enfants, ce qui représente une progression de </w:t>
      </w:r>
      <w:r w:rsidR="001B2F58" w:rsidRPr="00DD03D6">
        <w:rPr>
          <w:noProof/>
          <w:lang w:val="fr-FR"/>
        </w:rPr>
        <w:t>45</w:t>
      </w:r>
      <w:r w:rsidR="003F1ADB">
        <w:rPr>
          <w:noProof/>
          <w:lang w:val="fr-FR"/>
        </w:rPr>
        <w:t> %</w:t>
      </w:r>
      <w:r w:rsidR="001B2F58" w:rsidRPr="00DD03D6">
        <w:rPr>
          <w:noProof/>
          <w:lang w:val="fr-FR"/>
        </w:rPr>
        <w:t xml:space="preserve"> </w:t>
      </w:r>
      <w:r w:rsidR="000836D0">
        <w:rPr>
          <w:noProof/>
          <w:lang w:val="fr-FR"/>
        </w:rPr>
        <w:t xml:space="preserve">par rapport au chiffre de </w:t>
      </w:r>
      <w:r w:rsidR="001B2F58" w:rsidRPr="00DD03D6">
        <w:rPr>
          <w:noProof/>
          <w:lang w:val="fr-FR"/>
        </w:rPr>
        <w:t xml:space="preserve">2006 </w:t>
      </w:r>
      <w:r w:rsidR="000836D0">
        <w:rPr>
          <w:noProof/>
          <w:lang w:val="fr-FR"/>
        </w:rPr>
        <w:t>(</w:t>
      </w:r>
      <w:r w:rsidR="001B2F58" w:rsidRPr="00DD03D6">
        <w:rPr>
          <w:noProof/>
          <w:lang w:val="fr-FR"/>
        </w:rPr>
        <w:t>341</w:t>
      </w:r>
      <w:r w:rsidR="000836D0">
        <w:rPr>
          <w:noProof/>
          <w:lang w:val="fr-FR"/>
        </w:rPr>
        <w:t> </w:t>
      </w:r>
      <w:r w:rsidR="001B2F58" w:rsidRPr="00DD03D6">
        <w:rPr>
          <w:noProof/>
          <w:lang w:val="fr-FR"/>
        </w:rPr>
        <w:t>336</w:t>
      </w:r>
      <w:r w:rsidR="000836D0">
        <w:rPr>
          <w:noProof/>
          <w:lang w:val="fr-FR"/>
        </w:rPr>
        <w:t>)</w:t>
      </w:r>
      <w:r w:rsidR="001B2F58" w:rsidRPr="00DD03D6">
        <w:rPr>
          <w:noProof/>
          <w:lang w:val="fr-FR"/>
        </w:rPr>
        <w:t xml:space="preserve">. </w:t>
      </w:r>
      <w:r w:rsidR="005642DB">
        <w:rPr>
          <w:noProof/>
          <w:lang w:val="fr-FR"/>
        </w:rPr>
        <w:t>Près d’un tiers des</w:t>
      </w:r>
      <w:r w:rsidR="001B2F58" w:rsidRPr="00DD03D6">
        <w:rPr>
          <w:noProof/>
          <w:lang w:val="fr-FR"/>
        </w:rPr>
        <w:t xml:space="preserve"> </w:t>
      </w:r>
      <w:r w:rsidR="005642DB">
        <w:rPr>
          <w:noProof/>
          <w:lang w:val="fr-FR"/>
        </w:rPr>
        <w:t>QCI</w:t>
      </w:r>
      <w:r w:rsidR="001B2F58" w:rsidRPr="00DD03D6">
        <w:rPr>
          <w:noProof/>
          <w:lang w:val="fr-FR"/>
        </w:rPr>
        <w:t xml:space="preserve"> (30</w:t>
      </w:r>
      <w:r w:rsidR="003F1ADB">
        <w:rPr>
          <w:noProof/>
          <w:lang w:val="fr-FR"/>
        </w:rPr>
        <w:t> %</w:t>
      </w:r>
      <w:r w:rsidR="001B2F58" w:rsidRPr="00DD03D6">
        <w:rPr>
          <w:noProof/>
          <w:lang w:val="fr-FR"/>
        </w:rPr>
        <w:t xml:space="preserve">) </w:t>
      </w:r>
      <w:r w:rsidR="005642DB">
        <w:rPr>
          <w:noProof/>
          <w:lang w:val="fr-FR"/>
        </w:rPr>
        <w:t>ont été associées aux allocations versées aux familles monoparentales</w:t>
      </w:r>
      <w:r w:rsidR="001B2F58" w:rsidRPr="00DD03D6">
        <w:rPr>
          <w:noProof/>
          <w:lang w:val="fr-FR"/>
        </w:rPr>
        <w:t xml:space="preserve">. </w:t>
      </w:r>
      <w:r w:rsidR="00184732">
        <w:rPr>
          <w:noProof/>
          <w:lang w:val="fr-FR"/>
        </w:rPr>
        <w:t>Afin de protéger les familles avec enfants qui touchent les allocations sociales contre la diminution des taux des allocations familiales, le b</w:t>
      </w:r>
      <w:r w:rsidR="001B2F58" w:rsidRPr="00DD03D6">
        <w:rPr>
          <w:noProof/>
          <w:lang w:val="fr-FR"/>
        </w:rPr>
        <w:t xml:space="preserve">udget 2010 </w:t>
      </w:r>
      <w:r w:rsidR="00184732">
        <w:rPr>
          <w:noProof/>
          <w:lang w:val="fr-FR"/>
        </w:rPr>
        <w:t xml:space="preserve">a prévu des augmentations compensatoires des </w:t>
      </w:r>
      <w:r w:rsidR="001B2F58" w:rsidRPr="00DD03D6">
        <w:rPr>
          <w:noProof/>
          <w:lang w:val="fr-FR"/>
        </w:rPr>
        <w:t xml:space="preserve">QCIs. </w:t>
      </w:r>
      <w:r w:rsidR="00184732">
        <w:rPr>
          <w:noProof/>
          <w:lang w:val="fr-FR"/>
        </w:rPr>
        <w:t xml:space="preserve">Les taux de </w:t>
      </w:r>
      <w:r w:rsidR="001B2F58" w:rsidRPr="00DD03D6">
        <w:rPr>
          <w:noProof/>
          <w:lang w:val="fr-FR"/>
        </w:rPr>
        <w:t xml:space="preserve">QCI </w:t>
      </w:r>
      <w:r w:rsidR="00184732">
        <w:rPr>
          <w:noProof/>
          <w:lang w:val="fr-FR"/>
        </w:rPr>
        <w:t>ont été maintenus au même niveau dans le b</w:t>
      </w:r>
      <w:r w:rsidR="001B2F58" w:rsidRPr="00DD03D6">
        <w:rPr>
          <w:noProof/>
          <w:lang w:val="fr-FR"/>
        </w:rPr>
        <w:t>udget 2011.</w:t>
      </w:r>
    </w:p>
    <w:p w:rsidR="001B2F58" w:rsidRPr="00DD03D6" w:rsidRDefault="00184732" w:rsidP="00C05BF5">
      <w:pPr>
        <w:pStyle w:val="SingleTxtG"/>
        <w:numPr>
          <w:ilvl w:val="0"/>
          <w:numId w:val="3"/>
        </w:numPr>
        <w:ind w:left="1134" w:firstLine="0"/>
        <w:rPr>
          <w:noProof/>
          <w:lang w:val="fr-FR"/>
        </w:rPr>
      </w:pPr>
      <w:r>
        <w:rPr>
          <w:noProof/>
          <w:lang w:val="fr-FR"/>
        </w:rPr>
        <w:t>E</w:t>
      </w:r>
      <w:r w:rsidR="001B2F58" w:rsidRPr="00DD03D6">
        <w:rPr>
          <w:noProof/>
          <w:lang w:val="fr-FR"/>
        </w:rPr>
        <w:t xml:space="preserve">n 2011, </w:t>
      </w:r>
      <w:r w:rsidR="00A36F48">
        <w:rPr>
          <w:noProof/>
          <w:lang w:val="fr-FR"/>
        </w:rPr>
        <w:t xml:space="preserve">des </w:t>
      </w:r>
      <w:r w:rsidR="001B2F58" w:rsidRPr="00DD03D6">
        <w:rPr>
          <w:noProof/>
          <w:lang w:val="fr-FR"/>
        </w:rPr>
        <w:t>change</w:t>
      </w:r>
      <w:r w:rsidR="00A36F48">
        <w:rPr>
          <w:noProof/>
          <w:lang w:val="fr-FR"/>
        </w:rPr>
        <w:t>ment</w:t>
      </w:r>
      <w:r w:rsidR="001B2F58" w:rsidRPr="00DD03D6">
        <w:rPr>
          <w:noProof/>
          <w:lang w:val="fr-FR"/>
        </w:rPr>
        <w:t xml:space="preserve">s </w:t>
      </w:r>
      <w:r w:rsidR="00A36F48">
        <w:rPr>
          <w:noProof/>
          <w:lang w:val="fr-FR"/>
        </w:rPr>
        <w:t>ont également été apportés aux allocations versées aux familles monoparentales</w:t>
      </w:r>
      <w:r w:rsidR="001B2F58" w:rsidRPr="00DD03D6">
        <w:rPr>
          <w:noProof/>
          <w:lang w:val="fr-FR"/>
        </w:rPr>
        <w:t xml:space="preserve">. </w:t>
      </w:r>
      <w:r w:rsidR="00A36F48">
        <w:rPr>
          <w:noProof/>
          <w:lang w:val="fr-FR"/>
        </w:rPr>
        <w:t xml:space="preserve">L’âge </w:t>
      </w:r>
      <w:r w:rsidR="00A36F48" w:rsidRPr="00DD03D6">
        <w:rPr>
          <w:noProof/>
          <w:lang w:val="fr-FR"/>
        </w:rPr>
        <w:t>maxim</w:t>
      </w:r>
      <w:r w:rsidR="00A36F48">
        <w:rPr>
          <w:noProof/>
          <w:lang w:val="fr-FR"/>
        </w:rPr>
        <w:t xml:space="preserve">al du plus jeune enfant pour lequel l’allocation peut être demandée serait ainsi ramené progressivement de </w:t>
      </w:r>
      <w:r w:rsidR="001B2F58" w:rsidRPr="00DD03D6">
        <w:rPr>
          <w:noProof/>
          <w:lang w:val="fr-FR"/>
        </w:rPr>
        <w:t xml:space="preserve">18 </w:t>
      </w:r>
      <w:r w:rsidR="00A36F48">
        <w:rPr>
          <w:noProof/>
          <w:lang w:val="fr-FR"/>
        </w:rPr>
        <w:t xml:space="preserve">ans à </w:t>
      </w:r>
      <w:r w:rsidR="00305183">
        <w:rPr>
          <w:noProof/>
          <w:lang w:val="fr-FR"/>
        </w:rPr>
        <w:t>7</w:t>
      </w:r>
      <w:r w:rsidR="00A36F48">
        <w:rPr>
          <w:noProof/>
          <w:lang w:val="fr-FR"/>
        </w:rPr>
        <w:t xml:space="preserve"> ans d’ici à </w:t>
      </w:r>
      <w:r w:rsidR="001B2F58" w:rsidRPr="00DD03D6">
        <w:rPr>
          <w:noProof/>
          <w:lang w:val="fr-FR"/>
        </w:rPr>
        <w:t xml:space="preserve">2014 </w:t>
      </w:r>
      <w:r w:rsidR="00A36F48">
        <w:rPr>
          <w:noProof/>
          <w:lang w:val="fr-FR"/>
        </w:rPr>
        <w:t xml:space="preserve">pour les nouveaux bénéficiaires et à </w:t>
      </w:r>
      <w:r w:rsidR="001B2F58" w:rsidRPr="00DD03D6">
        <w:rPr>
          <w:noProof/>
          <w:lang w:val="fr-FR"/>
        </w:rPr>
        <w:t xml:space="preserve">2015 </w:t>
      </w:r>
      <w:r w:rsidR="00A36F48">
        <w:rPr>
          <w:noProof/>
          <w:lang w:val="fr-FR"/>
        </w:rPr>
        <w:t xml:space="preserve">pour les bénéficiaires actuels </w:t>
      </w:r>
      <w:r w:rsidR="001B2F58" w:rsidRPr="00DD03D6">
        <w:rPr>
          <w:noProof/>
          <w:lang w:val="fr-FR"/>
        </w:rPr>
        <w:t>(</w:t>
      </w:r>
      <w:r w:rsidR="00305183">
        <w:rPr>
          <w:noProof/>
          <w:lang w:val="fr-FR"/>
        </w:rPr>
        <w:t>voir le</w:t>
      </w:r>
      <w:r w:rsidR="00A36F48">
        <w:rPr>
          <w:noProof/>
          <w:lang w:val="fr-FR"/>
        </w:rPr>
        <w:t xml:space="preserve"> t</w:t>
      </w:r>
      <w:r w:rsidR="001B2F58" w:rsidRPr="00DD03D6">
        <w:rPr>
          <w:noProof/>
          <w:lang w:val="fr-FR"/>
        </w:rPr>
        <w:t>able</w:t>
      </w:r>
      <w:r w:rsidR="00A36F48">
        <w:rPr>
          <w:noProof/>
          <w:lang w:val="fr-FR"/>
        </w:rPr>
        <w:t>au</w:t>
      </w:r>
      <w:r w:rsidR="001B2F58" w:rsidRPr="00DD03D6">
        <w:rPr>
          <w:noProof/>
          <w:lang w:val="fr-FR"/>
        </w:rPr>
        <w:t xml:space="preserve"> 9).</w:t>
      </w:r>
    </w:p>
    <w:p w:rsidR="001B2F58" w:rsidRPr="00DD03D6" w:rsidRDefault="00B32F00" w:rsidP="00305183">
      <w:pPr>
        <w:pStyle w:val="H23G"/>
        <w:rPr>
          <w:noProof/>
          <w:lang w:val="fr-FR"/>
        </w:rPr>
      </w:pPr>
      <w:r w:rsidRPr="00DD03D6">
        <w:rPr>
          <w:noProof/>
          <w:lang w:val="fr-FR"/>
        </w:rPr>
        <w:lastRenderedPageBreak/>
        <w:tab/>
      </w:r>
      <w:r w:rsidRPr="00DD03D6">
        <w:rPr>
          <w:noProof/>
          <w:lang w:val="fr-FR"/>
        </w:rPr>
        <w:tab/>
      </w:r>
      <w:r w:rsidRPr="00DD03D6">
        <w:rPr>
          <w:b w:val="0"/>
          <w:bCs/>
          <w:noProof/>
          <w:lang w:val="fr-FR"/>
        </w:rPr>
        <w:t>Table</w:t>
      </w:r>
      <w:r w:rsidR="00A36F48">
        <w:rPr>
          <w:b w:val="0"/>
          <w:bCs/>
          <w:noProof/>
          <w:lang w:val="fr-FR"/>
        </w:rPr>
        <w:t>au</w:t>
      </w:r>
      <w:r w:rsidRPr="00DD03D6">
        <w:rPr>
          <w:b w:val="0"/>
          <w:bCs/>
          <w:noProof/>
          <w:lang w:val="fr-FR"/>
        </w:rPr>
        <w:t xml:space="preserve"> 9</w:t>
      </w:r>
      <w:r w:rsidR="009E353E" w:rsidRPr="00DD03D6">
        <w:rPr>
          <w:noProof/>
          <w:lang w:val="fr-FR"/>
        </w:rPr>
        <w:br/>
      </w:r>
      <w:r w:rsidR="00A36F48">
        <w:rPr>
          <w:noProof/>
          <w:lang w:val="fr-FR"/>
        </w:rPr>
        <w:t>Limite d’âge m</w:t>
      </w:r>
      <w:r w:rsidR="001B2F58" w:rsidRPr="00DD03D6">
        <w:rPr>
          <w:noProof/>
          <w:lang w:val="fr-FR"/>
        </w:rPr>
        <w:t>axim</w:t>
      </w:r>
      <w:r w:rsidR="00A36F48">
        <w:rPr>
          <w:noProof/>
          <w:lang w:val="fr-FR"/>
        </w:rPr>
        <w:t>ale pour le versement d’une allocation de famille monoparentale</w:t>
      </w:r>
      <w:r w:rsidR="001B2F58" w:rsidRPr="00DD03D6">
        <w:rPr>
          <w:noProof/>
          <w:lang w:val="fr-FR"/>
        </w:rPr>
        <w:t>, 2013-2015</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820"/>
        <w:gridCol w:w="851"/>
        <w:gridCol w:w="851"/>
        <w:gridCol w:w="851"/>
      </w:tblGrid>
      <w:tr w:rsidR="00C05BF5" w:rsidRPr="00DD03D6" w:rsidTr="0096638F">
        <w:trPr>
          <w:trHeight w:val="240"/>
          <w:tblHeader/>
        </w:trPr>
        <w:tc>
          <w:tcPr>
            <w:tcW w:w="4820" w:type="dxa"/>
            <w:vMerge w:val="restart"/>
            <w:tcBorders>
              <w:top w:val="single" w:sz="4" w:space="0" w:color="auto"/>
              <w:bottom w:val="single" w:sz="12" w:space="0" w:color="auto"/>
            </w:tcBorders>
            <w:shd w:val="clear" w:color="auto" w:fill="auto"/>
            <w:vAlign w:val="bottom"/>
          </w:tcPr>
          <w:p w:rsidR="00C05BF5" w:rsidRPr="00DD03D6" w:rsidRDefault="00C05BF5" w:rsidP="00305183">
            <w:pPr>
              <w:keepNext/>
              <w:keepLines/>
              <w:suppressAutoHyphens w:val="0"/>
              <w:spacing w:before="80" w:after="80" w:line="200" w:lineRule="exact"/>
              <w:rPr>
                <w:i/>
                <w:noProof/>
                <w:sz w:val="16"/>
                <w:szCs w:val="16"/>
                <w:lang w:val="fr-FR"/>
              </w:rPr>
            </w:pPr>
          </w:p>
        </w:tc>
        <w:tc>
          <w:tcPr>
            <w:tcW w:w="851" w:type="dxa"/>
            <w:tcBorders>
              <w:top w:val="single" w:sz="4" w:space="0" w:color="auto"/>
              <w:bottom w:val="single" w:sz="4" w:space="0" w:color="auto"/>
            </w:tcBorders>
            <w:shd w:val="clear" w:color="auto" w:fill="auto"/>
            <w:vAlign w:val="bottom"/>
          </w:tcPr>
          <w:p w:rsidR="00C05BF5" w:rsidRPr="00DD03D6" w:rsidRDefault="00C05BF5" w:rsidP="00305183">
            <w:pPr>
              <w:keepNext/>
              <w:keepLines/>
              <w:suppressAutoHyphens w:val="0"/>
              <w:spacing w:before="80" w:after="80" w:line="200" w:lineRule="exact"/>
              <w:jc w:val="right"/>
              <w:rPr>
                <w:bCs/>
                <w:i/>
                <w:noProof/>
                <w:sz w:val="16"/>
                <w:szCs w:val="16"/>
                <w:lang w:val="fr-FR"/>
              </w:rPr>
            </w:pPr>
            <w:r w:rsidRPr="00DD03D6">
              <w:rPr>
                <w:bCs/>
                <w:i/>
                <w:noProof/>
                <w:sz w:val="16"/>
                <w:szCs w:val="16"/>
                <w:lang w:val="fr-FR"/>
              </w:rPr>
              <w:t>2013</w:t>
            </w:r>
          </w:p>
        </w:tc>
        <w:tc>
          <w:tcPr>
            <w:tcW w:w="851" w:type="dxa"/>
            <w:tcBorders>
              <w:top w:val="single" w:sz="4" w:space="0" w:color="auto"/>
              <w:bottom w:val="single" w:sz="4" w:space="0" w:color="auto"/>
            </w:tcBorders>
            <w:shd w:val="clear" w:color="auto" w:fill="auto"/>
            <w:vAlign w:val="bottom"/>
          </w:tcPr>
          <w:p w:rsidR="00C05BF5" w:rsidRPr="00DD03D6" w:rsidRDefault="00C05BF5" w:rsidP="00305183">
            <w:pPr>
              <w:keepNext/>
              <w:keepLines/>
              <w:suppressAutoHyphens w:val="0"/>
              <w:spacing w:before="80" w:after="80" w:line="200" w:lineRule="exact"/>
              <w:jc w:val="right"/>
              <w:rPr>
                <w:bCs/>
                <w:i/>
                <w:noProof/>
                <w:sz w:val="16"/>
                <w:szCs w:val="16"/>
                <w:lang w:val="fr-FR"/>
              </w:rPr>
            </w:pPr>
            <w:r w:rsidRPr="00DD03D6">
              <w:rPr>
                <w:bCs/>
                <w:i/>
                <w:noProof/>
                <w:sz w:val="16"/>
                <w:szCs w:val="16"/>
                <w:lang w:val="fr-FR"/>
              </w:rPr>
              <w:t>2014</w:t>
            </w:r>
          </w:p>
        </w:tc>
        <w:tc>
          <w:tcPr>
            <w:tcW w:w="851" w:type="dxa"/>
            <w:tcBorders>
              <w:top w:val="single" w:sz="4" w:space="0" w:color="auto"/>
              <w:bottom w:val="single" w:sz="4" w:space="0" w:color="auto"/>
            </w:tcBorders>
            <w:shd w:val="clear" w:color="auto" w:fill="auto"/>
            <w:vAlign w:val="bottom"/>
          </w:tcPr>
          <w:p w:rsidR="00C05BF5" w:rsidRPr="00DD03D6" w:rsidRDefault="00C05BF5" w:rsidP="00305183">
            <w:pPr>
              <w:keepNext/>
              <w:keepLines/>
              <w:suppressAutoHyphens w:val="0"/>
              <w:spacing w:before="80" w:after="80" w:line="200" w:lineRule="exact"/>
              <w:jc w:val="right"/>
              <w:rPr>
                <w:bCs/>
                <w:i/>
                <w:noProof/>
                <w:sz w:val="16"/>
                <w:szCs w:val="16"/>
                <w:lang w:val="fr-FR"/>
              </w:rPr>
            </w:pPr>
            <w:r w:rsidRPr="00DD03D6">
              <w:rPr>
                <w:bCs/>
                <w:i/>
                <w:noProof/>
                <w:sz w:val="16"/>
                <w:szCs w:val="16"/>
                <w:lang w:val="fr-FR"/>
              </w:rPr>
              <w:t>2015</w:t>
            </w:r>
          </w:p>
        </w:tc>
      </w:tr>
      <w:tr w:rsidR="00C05BF5" w:rsidRPr="00DD03D6" w:rsidTr="0096638F">
        <w:trPr>
          <w:trHeight w:val="240"/>
          <w:tblHeader/>
        </w:trPr>
        <w:tc>
          <w:tcPr>
            <w:tcW w:w="4820" w:type="dxa"/>
            <w:vMerge/>
            <w:tcBorders>
              <w:top w:val="single" w:sz="12" w:space="0" w:color="auto"/>
              <w:bottom w:val="single" w:sz="12" w:space="0" w:color="auto"/>
            </w:tcBorders>
            <w:shd w:val="clear" w:color="auto" w:fill="auto"/>
            <w:vAlign w:val="bottom"/>
          </w:tcPr>
          <w:p w:rsidR="00C05BF5" w:rsidRPr="00DD03D6" w:rsidRDefault="00C05BF5" w:rsidP="00305183">
            <w:pPr>
              <w:keepNext/>
              <w:keepLines/>
              <w:suppressAutoHyphens w:val="0"/>
              <w:spacing w:before="80" w:after="80" w:line="200" w:lineRule="exact"/>
              <w:rPr>
                <w:i/>
                <w:noProof/>
                <w:sz w:val="16"/>
                <w:szCs w:val="16"/>
                <w:lang w:val="fr-FR"/>
              </w:rPr>
            </w:pPr>
          </w:p>
        </w:tc>
        <w:tc>
          <w:tcPr>
            <w:tcW w:w="851" w:type="dxa"/>
            <w:gridSpan w:val="3"/>
            <w:tcBorders>
              <w:top w:val="single" w:sz="4" w:space="0" w:color="auto"/>
              <w:bottom w:val="single" w:sz="12" w:space="0" w:color="auto"/>
            </w:tcBorders>
            <w:shd w:val="clear" w:color="auto" w:fill="auto"/>
            <w:vAlign w:val="bottom"/>
          </w:tcPr>
          <w:p w:rsidR="00C05BF5" w:rsidRPr="00DD03D6" w:rsidRDefault="00103B63" w:rsidP="00305183">
            <w:pPr>
              <w:keepNext/>
              <w:keepLines/>
              <w:suppressAutoHyphens w:val="0"/>
              <w:spacing w:before="80" w:after="80" w:line="200" w:lineRule="exact"/>
              <w:jc w:val="center"/>
              <w:rPr>
                <w:bCs/>
                <w:i/>
                <w:noProof/>
                <w:sz w:val="16"/>
                <w:szCs w:val="16"/>
                <w:lang w:val="fr-FR"/>
              </w:rPr>
            </w:pPr>
            <w:r>
              <w:rPr>
                <w:bCs/>
                <w:i/>
                <w:noProof/>
                <w:sz w:val="16"/>
                <w:szCs w:val="16"/>
                <w:lang w:val="fr-FR"/>
              </w:rPr>
              <w:t xml:space="preserve">Allocation versée jusqu’à l’âge de </w:t>
            </w:r>
          </w:p>
        </w:tc>
      </w:tr>
      <w:tr w:rsidR="00C05BF5" w:rsidRPr="00DD03D6" w:rsidTr="0096638F">
        <w:trPr>
          <w:trHeight w:val="240"/>
        </w:trPr>
        <w:tc>
          <w:tcPr>
            <w:tcW w:w="4820" w:type="dxa"/>
            <w:tcBorders>
              <w:top w:val="single" w:sz="12" w:space="0" w:color="auto"/>
            </w:tcBorders>
            <w:shd w:val="clear" w:color="auto" w:fill="auto"/>
          </w:tcPr>
          <w:p w:rsidR="00C05BF5" w:rsidRPr="00DD03D6" w:rsidRDefault="00103B63" w:rsidP="00305183">
            <w:pPr>
              <w:keepNext/>
              <w:keepLines/>
              <w:suppressAutoHyphens w:val="0"/>
              <w:spacing w:before="40" w:after="40" w:line="220" w:lineRule="exact"/>
              <w:rPr>
                <w:noProof/>
                <w:sz w:val="18"/>
                <w:szCs w:val="24"/>
                <w:lang w:val="fr-FR"/>
              </w:rPr>
            </w:pPr>
            <w:r>
              <w:rPr>
                <w:noProof/>
                <w:sz w:val="18"/>
                <w:szCs w:val="24"/>
                <w:lang w:val="fr-FR"/>
              </w:rPr>
              <w:t>Si l’allocation a commencé à être versée avant le</w:t>
            </w:r>
            <w:r w:rsidR="00C05BF5" w:rsidRPr="00DD03D6">
              <w:rPr>
                <w:noProof/>
                <w:sz w:val="18"/>
                <w:szCs w:val="24"/>
                <w:lang w:val="fr-FR"/>
              </w:rPr>
              <w:t xml:space="preserve"> 27 </w:t>
            </w:r>
            <w:r>
              <w:rPr>
                <w:noProof/>
                <w:sz w:val="18"/>
                <w:szCs w:val="24"/>
                <w:lang w:val="fr-FR"/>
              </w:rPr>
              <w:t>av</w:t>
            </w:r>
            <w:r w:rsidR="00C05BF5" w:rsidRPr="00DD03D6">
              <w:rPr>
                <w:noProof/>
                <w:sz w:val="18"/>
                <w:szCs w:val="24"/>
                <w:lang w:val="fr-FR"/>
              </w:rPr>
              <w:t>ril 2011</w:t>
            </w:r>
          </w:p>
        </w:tc>
        <w:tc>
          <w:tcPr>
            <w:tcW w:w="851" w:type="dxa"/>
            <w:tcBorders>
              <w:top w:val="single" w:sz="12" w:space="0" w:color="auto"/>
            </w:tcBorders>
            <w:shd w:val="clear" w:color="auto" w:fill="auto"/>
            <w:vAlign w:val="bottom"/>
          </w:tcPr>
          <w:p w:rsidR="00C05BF5" w:rsidRPr="00DD03D6" w:rsidRDefault="00C05BF5" w:rsidP="00305183">
            <w:pPr>
              <w:keepNext/>
              <w:keepLines/>
              <w:suppressAutoHyphens w:val="0"/>
              <w:spacing w:before="40" w:after="40" w:line="220" w:lineRule="exact"/>
              <w:jc w:val="right"/>
              <w:rPr>
                <w:noProof/>
                <w:sz w:val="18"/>
                <w:szCs w:val="24"/>
                <w:lang w:val="fr-FR"/>
              </w:rPr>
            </w:pPr>
            <w:r w:rsidRPr="00DD03D6">
              <w:rPr>
                <w:noProof/>
                <w:sz w:val="18"/>
                <w:szCs w:val="24"/>
                <w:lang w:val="fr-FR"/>
              </w:rPr>
              <w:t>17</w:t>
            </w:r>
          </w:p>
        </w:tc>
        <w:tc>
          <w:tcPr>
            <w:tcW w:w="851" w:type="dxa"/>
            <w:tcBorders>
              <w:top w:val="single" w:sz="12" w:space="0" w:color="auto"/>
            </w:tcBorders>
            <w:shd w:val="clear" w:color="auto" w:fill="auto"/>
            <w:vAlign w:val="bottom"/>
          </w:tcPr>
          <w:p w:rsidR="00C05BF5" w:rsidRPr="00DD03D6" w:rsidRDefault="00C05BF5" w:rsidP="00305183">
            <w:pPr>
              <w:keepNext/>
              <w:keepLines/>
              <w:suppressAutoHyphens w:val="0"/>
              <w:spacing w:before="40" w:after="40" w:line="220" w:lineRule="exact"/>
              <w:jc w:val="right"/>
              <w:rPr>
                <w:noProof/>
                <w:sz w:val="18"/>
                <w:szCs w:val="24"/>
                <w:lang w:val="fr-FR"/>
              </w:rPr>
            </w:pPr>
            <w:r w:rsidRPr="00DD03D6">
              <w:rPr>
                <w:noProof/>
                <w:sz w:val="18"/>
                <w:szCs w:val="24"/>
                <w:lang w:val="fr-FR"/>
              </w:rPr>
              <w:t>16</w:t>
            </w:r>
          </w:p>
        </w:tc>
        <w:tc>
          <w:tcPr>
            <w:tcW w:w="851" w:type="dxa"/>
            <w:tcBorders>
              <w:top w:val="single" w:sz="12" w:space="0" w:color="auto"/>
            </w:tcBorders>
            <w:shd w:val="clear" w:color="auto" w:fill="auto"/>
            <w:vAlign w:val="bottom"/>
          </w:tcPr>
          <w:p w:rsidR="00C05BF5" w:rsidRPr="00DD03D6" w:rsidRDefault="00C05BF5" w:rsidP="00305183">
            <w:pPr>
              <w:keepNext/>
              <w:keepLines/>
              <w:suppressAutoHyphens w:val="0"/>
              <w:spacing w:before="40" w:after="40" w:line="220" w:lineRule="exact"/>
              <w:jc w:val="right"/>
              <w:rPr>
                <w:noProof/>
                <w:sz w:val="18"/>
                <w:szCs w:val="24"/>
                <w:lang w:val="fr-FR"/>
              </w:rPr>
            </w:pPr>
            <w:r w:rsidRPr="00DD03D6">
              <w:rPr>
                <w:noProof/>
                <w:sz w:val="18"/>
                <w:szCs w:val="24"/>
                <w:lang w:val="fr-FR"/>
              </w:rPr>
              <w:t>7</w:t>
            </w:r>
          </w:p>
        </w:tc>
      </w:tr>
      <w:tr w:rsidR="00C05BF5" w:rsidRPr="00DD03D6" w:rsidTr="0096638F">
        <w:trPr>
          <w:trHeight w:val="240"/>
        </w:trPr>
        <w:tc>
          <w:tcPr>
            <w:tcW w:w="4820" w:type="dxa"/>
            <w:shd w:val="clear" w:color="auto" w:fill="auto"/>
          </w:tcPr>
          <w:p w:rsidR="00C05BF5" w:rsidRPr="00DD03D6" w:rsidRDefault="00103B63" w:rsidP="00103B63">
            <w:pPr>
              <w:suppressAutoHyphens w:val="0"/>
              <w:spacing w:before="40" w:after="40" w:line="220" w:lineRule="exact"/>
              <w:rPr>
                <w:noProof/>
                <w:sz w:val="18"/>
                <w:szCs w:val="24"/>
                <w:lang w:val="fr-FR"/>
              </w:rPr>
            </w:pPr>
            <w:r>
              <w:rPr>
                <w:noProof/>
                <w:sz w:val="18"/>
                <w:szCs w:val="24"/>
                <w:lang w:val="fr-FR"/>
              </w:rPr>
              <w:t>Si l’allocation a commencé à être versée entre</w:t>
            </w:r>
            <w:r w:rsidR="00C05BF5" w:rsidRPr="00DD03D6">
              <w:rPr>
                <w:noProof/>
                <w:sz w:val="18"/>
                <w:szCs w:val="24"/>
                <w:lang w:val="fr-FR"/>
              </w:rPr>
              <w:t xml:space="preserve"> </w:t>
            </w:r>
            <w:r>
              <w:rPr>
                <w:noProof/>
                <w:sz w:val="18"/>
                <w:szCs w:val="24"/>
                <w:lang w:val="fr-FR"/>
              </w:rPr>
              <w:t xml:space="preserve">le </w:t>
            </w:r>
            <w:r w:rsidR="00C05BF5" w:rsidRPr="00DD03D6">
              <w:rPr>
                <w:noProof/>
                <w:sz w:val="18"/>
                <w:szCs w:val="24"/>
                <w:lang w:val="fr-FR"/>
              </w:rPr>
              <w:t xml:space="preserve">27 </w:t>
            </w:r>
            <w:r>
              <w:rPr>
                <w:noProof/>
                <w:sz w:val="18"/>
                <w:szCs w:val="24"/>
                <w:lang w:val="fr-FR"/>
              </w:rPr>
              <w:t>av</w:t>
            </w:r>
            <w:r w:rsidR="00C05BF5" w:rsidRPr="00DD03D6">
              <w:rPr>
                <w:noProof/>
                <w:sz w:val="18"/>
                <w:szCs w:val="24"/>
                <w:lang w:val="fr-FR"/>
              </w:rPr>
              <w:t xml:space="preserve">ril 2011 </w:t>
            </w:r>
            <w:r>
              <w:rPr>
                <w:noProof/>
                <w:sz w:val="18"/>
                <w:szCs w:val="24"/>
                <w:lang w:val="fr-FR"/>
              </w:rPr>
              <w:t>et le</w:t>
            </w:r>
            <w:r w:rsidR="00C05BF5" w:rsidRPr="00DD03D6">
              <w:rPr>
                <w:noProof/>
                <w:sz w:val="18"/>
                <w:szCs w:val="24"/>
                <w:lang w:val="fr-FR"/>
              </w:rPr>
              <w:t xml:space="preserve"> 3 </w:t>
            </w:r>
            <w:r>
              <w:rPr>
                <w:noProof/>
                <w:sz w:val="18"/>
                <w:szCs w:val="24"/>
                <w:lang w:val="fr-FR"/>
              </w:rPr>
              <w:t>mai</w:t>
            </w:r>
            <w:r w:rsidR="00C05BF5" w:rsidRPr="00DD03D6">
              <w:rPr>
                <w:noProof/>
                <w:sz w:val="18"/>
                <w:szCs w:val="24"/>
                <w:lang w:val="fr-FR"/>
              </w:rPr>
              <w:t xml:space="preserve"> 2012</w:t>
            </w:r>
          </w:p>
        </w:tc>
        <w:tc>
          <w:tcPr>
            <w:tcW w:w="851" w:type="dxa"/>
            <w:shd w:val="clear" w:color="auto" w:fill="auto"/>
            <w:vAlign w:val="bottom"/>
          </w:tcPr>
          <w:p w:rsidR="00C05BF5" w:rsidRPr="00DD03D6" w:rsidRDefault="00C05BF5" w:rsidP="00B32F00">
            <w:pPr>
              <w:suppressAutoHyphens w:val="0"/>
              <w:spacing w:before="40" w:after="40" w:line="220" w:lineRule="exact"/>
              <w:jc w:val="right"/>
              <w:rPr>
                <w:noProof/>
                <w:sz w:val="18"/>
                <w:szCs w:val="24"/>
                <w:lang w:val="fr-FR"/>
              </w:rPr>
            </w:pPr>
            <w:r w:rsidRPr="00DD03D6">
              <w:rPr>
                <w:noProof/>
                <w:sz w:val="18"/>
                <w:szCs w:val="24"/>
                <w:lang w:val="fr-FR"/>
              </w:rPr>
              <w:t>12</w:t>
            </w:r>
          </w:p>
        </w:tc>
        <w:tc>
          <w:tcPr>
            <w:tcW w:w="851" w:type="dxa"/>
            <w:shd w:val="clear" w:color="auto" w:fill="auto"/>
            <w:vAlign w:val="bottom"/>
          </w:tcPr>
          <w:p w:rsidR="00C05BF5" w:rsidRPr="00DD03D6" w:rsidRDefault="00C05BF5" w:rsidP="00B32F00">
            <w:pPr>
              <w:suppressAutoHyphens w:val="0"/>
              <w:spacing w:before="40" w:after="40" w:line="220" w:lineRule="exact"/>
              <w:jc w:val="right"/>
              <w:rPr>
                <w:noProof/>
                <w:sz w:val="18"/>
                <w:szCs w:val="24"/>
                <w:lang w:val="fr-FR"/>
              </w:rPr>
            </w:pPr>
            <w:r w:rsidRPr="00DD03D6">
              <w:rPr>
                <w:noProof/>
                <w:sz w:val="18"/>
                <w:szCs w:val="24"/>
                <w:lang w:val="fr-FR"/>
              </w:rPr>
              <w:t>10</w:t>
            </w:r>
          </w:p>
        </w:tc>
        <w:tc>
          <w:tcPr>
            <w:tcW w:w="851" w:type="dxa"/>
            <w:shd w:val="clear" w:color="auto" w:fill="auto"/>
            <w:vAlign w:val="bottom"/>
          </w:tcPr>
          <w:p w:rsidR="00C05BF5" w:rsidRPr="00DD03D6" w:rsidRDefault="00C05BF5" w:rsidP="00B32F00">
            <w:pPr>
              <w:suppressAutoHyphens w:val="0"/>
              <w:spacing w:before="40" w:after="40" w:line="220" w:lineRule="exact"/>
              <w:jc w:val="right"/>
              <w:rPr>
                <w:noProof/>
                <w:sz w:val="18"/>
                <w:szCs w:val="24"/>
                <w:lang w:val="fr-FR"/>
              </w:rPr>
            </w:pPr>
            <w:r w:rsidRPr="00DD03D6">
              <w:rPr>
                <w:noProof/>
                <w:sz w:val="18"/>
                <w:szCs w:val="24"/>
                <w:lang w:val="fr-FR"/>
              </w:rPr>
              <w:t>7</w:t>
            </w:r>
          </w:p>
        </w:tc>
      </w:tr>
      <w:tr w:rsidR="00C05BF5" w:rsidRPr="00DD03D6" w:rsidTr="0096638F">
        <w:trPr>
          <w:trHeight w:val="240"/>
        </w:trPr>
        <w:tc>
          <w:tcPr>
            <w:tcW w:w="4820" w:type="dxa"/>
            <w:shd w:val="clear" w:color="auto" w:fill="auto"/>
          </w:tcPr>
          <w:p w:rsidR="00C05BF5" w:rsidRPr="00DD03D6" w:rsidRDefault="00103B63" w:rsidP="00103B63">
            <w:pPr>
              <w:suppressAutoHyphens w:val="0"/>
              <w:spacing w:before="40" w:after="40" w:line="220" w:lineRule="exact"/>
              <w:rPr>
                <w:noProof/>
                <w:sz w:val="18"/>
                <w:szCs w:val="24"/>
                <w:lang w:val="fr-FR"/>
              </w:rPr>
            </w:pPr>
            <w:r>
              <w:rPr>
                <w:noProof/>
                <w:sz w:val="18"/>
                <w:szCs w:val="24"/>
                <w:lang w:val="fr-FR"/>
              </w:rPr>
              <w:t xml:space="preserve">Si l’allocation a commencé à être versée après le </w:t>
            </w:r>
            <w:r w:rsidR="00C05BF5" w:rsidRPr="00DD03D6">
              <w:rPr>
                <w:noProof/>
                <w:sz w:val="18"/>
                <w:szCs w:val="24"/>
                <w:lang w:val="fr-FR"/>
              </w:rPr>
              <w:t xml:space="preserve">3 </w:t>
            </w:r>
            <w:r>
              <w:rPr>
                <w:noProof/>
                <w:sz w:val="18"/>
                <w:szCs w:val="24"/>
                <w:lang w:val="fr-FR"/>
              </w:rPr>
              <w:t xml:space="preserve">mai </w:t>
            </w:r>
            <w:r w:rsidR="00C05BF5" w:rsidRPr="00DD03D6">
              <w:rPr>
                <w:noProof/>
                <w:sz w:val="18"/>
                <w:szCs w:val="24"/>
                <w:lang w:val="fr-FR"/>
              </w:rPr>
              <w:t>2012</w:t>
            </w:r>
          </w:p>
        </w:tc>
        <w:tc>
          <w:tcPr>
            <w:tcW w:w="851" w:type="dxa"/>
            <w:shd w:val="clear" w:color="auto" w:fill="auto"/>
            <w:vAlign w:val="bottom"/>
          </w:tcPr>
          <w:p w:rsidR="00C05BF5" w:rsidRPr="00DD03D6" w:rsidRDefault="00C05BF5" w:rsidP="00B32F00">
            <w:pPr>
              <w:suppressAutoHyphens w:val="0"/>
              <w:spacing w:before="40" w:after="40" w:line="220" w:lineRule="exact"/>
              <w:jc w:val="right"/>
              <w:rPr>
                <w:noProof/>
                <w:sz w:val="18"/>
                <w:szCs w:val="24"/>
                <w:lang w:val="fr-FR"/>
              </w:rPr>
            </w:pPr>
            <w:r w:rsidRPr="00DD03D6">
              <w:rPr>
                <w:noProof/>
                <w:sz w:val="18"/>
                <w:szCs w:val="24"/>
                <w:lang w:val="fr-FR"/>
              </w:rPr>
              <w:t>10</w:t>
            </w:r>
          </w:p>
        </w:tc>
        <w:tc>
          <w:tcPr>
            <w:tcW w:w="851" w:type="dxa"/>
            <w:shd w:val="clear" w:color="auto" w:fill="auto"/>
            <w:vAlign w:val="bottom"/>
          </w:tcPr>
          <w:p w:rsidR="00C05BF5" w:rsidRPr="00DD03D6" w:rsidRDefault="00C05BF5" w:rsidP="00B32F00">
            <w:pPr>
              <w:suppressAutoHyphens w:val="0"/>
              <w:spacing w:before="40" w:after="40" w:line="220" w:lineRule="exact"/>
              <w:jc w:val="right"/>
              <w:rPr>
                <w:noProof/>
                <w:sz w:val="18"/>
                <w:szCs w:val="24"/>
                <w:lang w:val="fr-FR"/>
              </w:rPr>
            </w:pPr>
            <w:r w:rsidRPr="00DD03D6">
              <w:rPr>
                <w:noProof/>
                <w:sz w:val="18"/>
                <w:szCs w:val="24"/>
                <w:lang w:val="fr-FR"/>
              </w:rPr>
              <w:t>7</w:t>
            </w:r>
          </w:p>
        </w:tc>
        <w:tc>
          <w:tcPr>
            <w:tcW w:w="851" w:type="dxa"/>
            <w:shd w:val="clear" w:color="auto" w:fill="auto"/>
            <w:vAlign w:val="bottom"/>
          </w:tcPr>
          <w:p w:rsidR="00C05BF5" w:rsidRPr="00DD03D6" w:rsidRDefault="00C05BF5" w:rsidP="00B32F00">
            <w:pPr>
              <w:suppressAutoHyphens w:val="0"/>
              <w:spacing w:before="40" w:after="40" w:line="220" w:lineRule="exact"/>
              <w:jc w:val="right"/>
              <w:rPr>
                <w:noProof/>
                <w:sz w:val="18"/>
                <w:szCs w:val="24"/>
                <w:lang w:val="fr-FR"/>
              </w:rPr>
            </w:pPr>
            <w:r w:rsidRPr="00DD03D6">
              <w:rPr>
                <w:noProof/>
                <w:sz w:val="18"/>
                <w:szCs w:val="24"/>
                <w:lang w:val="fr-FR"/>
              </w:rPr>
              <w:t>7</w:t>
            </w:r>
          </w:p>
        </w:tc>
      </w:tr>
    </w:tbl>
    <w:p w:rsidR="001B2F58" w:rsidRPr="00DD03D6" w:rsidRDefault="00C05BF5" w:rsidP="00C05BF5">
      <w:pPr>
        <w:pStyle w:val="H23G"/>
        <w:rPr>
          <w:noProof/>
          <w:lang w:val="fr-FR"/>
        </w:rPr>
      </w:pPr>
      <w:r w:rsidRPr="00DD03D6">
        <w:rPr>
          <w:noProof/>
          <w:lang w:val="fr-FR"/>
        </w:rPr>
        <w:tab/>
      </w:r>
      <w:r w:rsidRPr="00DD03D6">
        <w:rPr>
          <w:noProof/>
          <w:lang w:val="fr-FR"/>
        </w:rPr>
        <w:tab/>
      </w:r>
      <w:r w:rsidR="00103B63">
        <w:rPr>
          <w:noProof/>
          <w:lang w:val="fr-FR"/>
        </w:rPr>
        <w:t xml:space="preserve">Complément familial </w:t>
      </w:r>
    </w:p>
    <w:p w:rsidR="001B2F58" w:rsidRPr="00DD03D6" w:rsidRDefault="00103B63" w:rsidP="00C05BF5">
      <w:pPr>
        <w:pStyle w:val="SingleTxtG"/>
        <w:numPr>
          <w:ilvl w:val="0"/>
          <w:numId w:val="3"/>
        </w:numPr>
        <w:ind w:left="1134" w:firstLine="0"/>
        <w:rPr>
          <w:noProof/>
          <w:lang w:val="fr-FR"/>
        </w:rPr>
      </w:pPr>
      <w:r>
        <w:rPr>
          <w:noProof/>
          <w:lang w:val="fr-FR"/>
        </w:rPr>
        <w:t>Le complément familial constitue un soutien au revenu familial aux employés avec enfants à faibles revenus</w:t>
      </w:r>
      <w:r w:rsidR="001B2F58" w:rsidRPr="00DD03D6">
        <w:rPr>
          <w:noProof/>
          <w:lang w:val="fr-FR"/>
        </w:rPr>
        <w:t xml:space="preserve">. </w:t>
      </w:r>
      <w:r>
        <w:rPr>
          <w:noProof/>
          <w:lang w:val="fr-FR"/>
        </w:rPr>
        <w:t>Grâce à l’existence de ce complément, l’employé a intérêt à prendre ou conserver un emploi dans des cas où il pourrait s’en sortir un peu mieux qu’en demandant d’autres allocations sociales</w:t>
      </w:r>
      <w:r w:rsidR="001B2F58" w:rsidRPr="00DD03D6">
        <w:rPr>
          <w:noProof/>
          <w:lang w:val="fr-FR"/>
        </w:rPr>
        <w:t xml:space="preserve">. </w:t>
      </w:r>
      <w:r>
        <w:rPr>
          <w:noProof/>
          <w:lang w:val="fr-FR"/>
        </w:rPr>
        <w:t>E</w:t>
      </w:r>
      <w:r w:rsidR="001B2F58" w:rsidRPr="00DD03D6">
        <w:rPr>
          <w:noProof/>
          <w:lang w:val="fr-FR"/>
        </w:rPr>
        <w:t>n 2011, 62</w:t>
      </w:r>
      <w:r w:rsidR="00305183">
        <w:rPr>
          <w:noProof/>
          <w:lang w:val="fr-FR"/>
        </w:rPr>
        <w:t> </w:t>
      </w:r>
      <w:r w:rsidR="001B2F58" w:rsidRPr="00DD03D6">
        <w:rPr>
          <w:noProof/>
          <w:lang w:val="fr-FR"/>
        </w:rPr>
        <w:t xml:space="preserve">281 </w:t>
      </w:r>
      <w:r>
        <w:rPr>
          <w:noProof/>
          <w:lang w:val="fr-FR"/>
        </w:rPr>
        <w:t>enfants vivaient dans des familles qui touchaient ce complément, soit près de 50</w:t>
      </w:r>
      <w:r w:rsidR="003F1ADB">
        <w:rPr>
          <w:noProof/>
          <w:lang w:val="fr-FR"/>
        </w:rPr>
        <w:t> %</w:t>
      </w:r>
      <w:r>
        <w:rPr>
          <w:noProof/>
          <w:lang w:val="fr-FR"/>
        </w:rPr>
        <w:t xml:space="preserve"> de plus qu’en 2006 (</w:t>
      </w:r>
      <w:r w:rsidR="001B2F58" w:rsidRPr="00DD03D6">
        <w:rPr>
          <w:noProof/>
          <w:lang w:val="fr-FR"/>
        </w:rPr>
        <w:t>43</w:t>
      </w:r>
      <w:r>
        <w:rPr>
          <w:noProof/>
          <w:lang w:val="fr-FR"/>
        </w:rPr>
        <w:t> </w:t>
      </w:r>
      <w:r w:rsidR="001B2F58" w:rsidRPr="00DD03D6">
        <w:rPr>
          <w:noProof/>
          <w:lang w:val="fr-FR"/>
        </w:rPr>
        <w:t>861</w:t>
      </w:r>
      <w:r>
        <w:rPr>
          <w:noProof/>
          <w:lang w:val="fr-FR"/>
        </w:rPr>
        <w:t>)</w:t>
      </w:r>
      <w:r w:rsidR="001B2F58" w:rsidRPr="00DD03D6">
        <w:rPr>
          <w:noProof/>
          <w:lang w:val="fr-FR"/>
        </w:rPr>
        <w:t>.</w:t>
      </w:r>
    </w:p>
    <w:p w:rsidR="001B2F58" w:rsidRPr="00DD03D6" w:rsidRDefault="002100C9" w:rsidP="002100C9">
      <w:pPr>
        <w:pStyle w:val="H23G"/>
        <w:ind w:firstLine="0"/>
        <w:rPr>
          <w:noProof/>
          <w:lang w:val="fr-FR"/>
        </w:rPr>
      </w:pPr>
      <w:r>
        <w:rPr>
          <w:noProof/>
          <w:lang w:val="fr-FR"/>
        </w:rPr>
        <w:t xml:space="preserve">Allocation de rentrée scolaire </w:t>
      </w:r>
    </w:p>
    <w:p w:rsidR="001B2F58" w:rsidRPr="00DD03D6" w:rsidRDefault="002100C9" w:rsidP="001B2AC4">
      <w:pPr>
        <w:pStyle w:val="SingleTxtG"/>
        <w:numPr>
          <w:ilvl w:val="0"/>
          <w:numId w:val="3"/>
        </w:numPr>
        <w:ind w:left="1134" w:firstLine="0"/>
        <w:rPr>
          <w:noProof/>
          <w:lang w:val="fr-FR"/>
        </w:rPr>
      </w:pPr>
      <w:r>
        <w:rPr>
          <w:noProof/>
          <w:lang w:val="fr-FR"/>
        </w:rPr>
        <w:t>Cette allocation est versée aux familles qui touchent une allocation sociale ou qui participent à un programme de formation ou d’éducation agréé et disposent d’un revenu inférieur à un seuil spécifié</w:t>
      </w:r>
      <w:r w:rsidR="001B2F58" w:rsidRPr="00DD03D6">
        <w:rPr>
          <w:noProof/>
          <w:lang w:val="fr-FR"/>
        </w:rPr>
        <w:t xml:space="preserve">. </w:t>
      </w:r>
      <w:r>
        <w:rPr>
          <w:noProof/>
          <w:lang w:val="fr-FR"/>
        </w:rPr>
        <w:t xml:space="preserve">Le nombre d’enfants bénéficiant de cette allocation est passé de </w:t>
      </w:r>
      <w:r w:rsidR="001B2F58" w:rsidRPr="00DD03D6">
        <w:rPr>
          <w:noProof/>
          <w:lang w:val="fr-FR"/>
        </w:rPr>
        <w:t>161</w:t>
      </w:r>
      <w:r w:rsidR="003F1ADB">
        <w:rPr>
          <w:noProof/>
          <w:lang w:val="fr-FR"/>
        </w:rPr>
        <w:t> </w:t>
      </w:r>
      <w:r w:rsidR="001B2F58" w:rsidRPr="00DD03D6">
        <w:rPr>
          <w:noProof/>
          <w:lang w:val="fr-FR"/>
        </w:rPr>
        <w:t xml:space="preserve">000 </w:t>
      </w:r>
      <w:r>
        <w:rPr>
          <w:noProof/>
          <w:lang w:val="fr-FR"/>
        </w:rPr>
        <w:t>e</w:t>
      </w:r>
      <w:r w:rsidR="001B2F58" w:rsidRPr="00DD03D6">
        <w:rPr>
          <w:noProof/>
          <w:lang w:val="fr-FR"/>
        </w:rPr>
        <w:t xml:space="preserve">n 2006 </w:t>
      </w:r>
      <w:r>
        <w:rPr>
          <w:noProof/>
          <w:lang w:val="fr-FR"/>
        </w:rPr>
        <w:t>à plu</w:t>
      </w:r>
      <w:r w:rsidR="003F1ADB">
        <w:rPr>
          <w:noProof/>
          <w:lang w:val="fr-FR"/>
        </w:rPr>
        <w:t>s de 377 </w:t>
      </w:r>
      <w:r w:rsidR="001B2F58" w:rsidRPr="00DD03D6">
        <w:rPr>
          <w:noProof/>
          <w:lang w:val="fr-FR"/>
        </w:rPr>
        <w:t xml:space="preserve">000 </w:t>
      </w:r>
      <w:r>
        <w:rPr>
          <w:noProof/>
          <w:lang w:val="fr-FR"/>
        </w:rPr>
        <w:t>e</w:t>
      </w:r>
      <w:r w:rsidR="001B2F58" w:rsidRPr="00DD03D6">
        <w:rPr>
          <w:noProof/>
          <w:lang w:val="fr-FR"/>
        </w:rPr>
        <w:t xml:space="preserve">n 2011. </w:t>
      </w:r>
      <w:r>
        <w:rPr>
          <w:noProof/>
          <w:lang w:val="fr-FR"/>
        </w:rPr>
        <w:t xml:space="preserve">Les dépenses liées à ce programme ont presque quadruplé au cours de la même période, passant de </w:t>
      </w:r>
      <w:r w:rsidR="001B2F58" w:rsidRPr="00DD03D6">
        <w:rPr>
          <w:noProof/>
          <w:lang w:val="fr-FR"/>
        </w:rPr>
        <w:t>25 million</w:t>
      </w:r>
      <w:r>
        <w:rPr>
          <w:noProof/>
          <w:lang w:val="fr-FR"/>
        </w:rPr>
        <w:t xml:space="preserve">s d’euros à </w:t>
      </w:r>
      <w:r w:rsidR="003F1ADB">
        <w:rPr>
          <w:noProof/>
          <w:lang w:val="fr-FR"/>
        </w:rPr>
        <w:t>91 </w:t>
      </w:r>
      <w:r w:rsidR="001B2F58" w:rsidRPr="00DD03D6">
        <w:rPr>
          <w:noProof/>
          <w:lang w:val="fr-FR"/>
        </w:rPr>
        <w:t>million</w:t>
      </w:r>
      <w:r>
        <w:rPr>
          <w:noProof/>
          <w:lang w:val="fr-FR"/>
        </w:rPr>
        <w:t>s</w:t>
      </w:r>
      <w:r w:rsidR="001B2F58" w:rsidRPr="00DD03D6">
        <w:rPr>
          <w:noProof/>
          <w:lang w:val="fr-FR"/>
        </w:rPr>
        <w:t>.</w:t>
      </w:r>
    </w:p>
    <w:p w:rsidR="001B2F58" w:rsidRPr="00DD03D6" w:rsidRDefault="002100C9" w:rsidP="002100C9">
      <w:pPr>
        <w:pStyle w:val="H23G"/>
        <w:ind w:firstLine="0"/>
        <w:rPr>
          <w:noProof/>
          <w:lang w:val="fr-FR"/>
        </w:rPr>
      </w:pPr>
      <w:r>
        <w:rPr>
          <w:noProof/>
          <w:lang w:val="fr-FR"/>
        </w:rPr>
        <w:t xml:space="preserve">Allocation d’invalidité </w:t>
      </w:r>
    </w:p>
    <w:p w:rsidR="001B2F58" w:rsidRPr="00DD03D6" w:rsidRDefault="002100C9" w:rsidP="001B2AC4">
      <w:pPr>
        <w:pStyle w:val="SingleTxtG"/>
        <w:numPr>
          <w:ilvl w:val="0"/>
          <w:numId w:val="3"/>
        </w:numPr>
        <w:ind w:left="1134" w:firstLine="0"/>
        <w:rPr>
          <w:noProof/>
          <w:lang w:val="fr-FR"/>
        </w:rPr>
      </w:pPr>
      <w:r>
        <w:rPr>
          <w:noProof/>
          <w:lang w:val="fr-FR"/>
        </w:rPr>
        <w:t xml:space="preserve">L’allocation d’invalidité est versée aux personnes handicapées et peut être demandée par des jeunes </w:t>
      </w:r>
      <w:r w:rsidR="00CA4188">
        <w:rPr>
          <w:noProof/>
          <w:lang w:val="fr-FR"/>
        </w:rPr>
        <w:t>âgé</w:t>
      </w:r>
      <w:r>
        <w:rPr>
          <w:noProof/>
          <w:lang w:val="fr-FR"/>
        </w:rPr>
        <w:t xml:space="preserve">s de </w:t>
      </w:r>
      <w:r w:rsidR="001B2F58" w:rsidRPr="00DD03D6">
        <w:rPr>
          <w:noProof/>
          <w:lang w:val="fr-FR"/>
        </w:rPr>
        <w:t>16</w:t>
      </w:r>
      <w:r w:rsidR="00CA4188">
        <w:rPr>
          <w:noProof/>
          <w:lang w:val="fr-FR"/>
        </w:rPr>
        <w:t xml:space="preserve"> à </w:t>
      </w:r>
      <w:r w:rsidR="001B2F58" w:rsidRPr="00DD03D6">
        <w:rPr>
          <w:noProof/>
          <w:lang w:val="fr-FR"/>
        </w:rPr>
        <w:t xml:space="preserve">18 </w:t>
      </w:r>
      <w:r w:rsidR="00CA4188">
        <w:rPr>
          <w:noProof/>
          <w:lang w:val="fr-FR"/>
        </w:rPr>
        <w:t>ans</w:t>
      </w:r>
      <w:r w:rsidR="001B2F58" w:rsidRPr="00DD03D6">
        <w:rPr>
          <w:noProof/>
          <w:lang w:val="fr-FR"/>
        </w:rPr>
        <w:t xml:space="preserve">. </w:t>
      </w:r>
      <w:r w:rsidR="00CA4188">
        <w:rPr>
          <w:noProof/>
          <w:lang w:val="fr-FR"/>
        </w:rPr>
        <w:t>E</w:t>
      </w:r>
      <w:r w:rsidR="001B2F58" w:rsidRPr="00DD03D6">
        <w:rPr>
          <w:noProof/>
          <w:lang w:val="fr-FR"/>
        </w:rPr>
        <w:t>n 2012, 1</w:t>
      </w:r>
      <w:r w:rsidR="003F1ADB">
        <w:rPr>
          <w:noProof/>
          <w:lang w:val="fr-FR"/>
        </w:rPr>
        <w:t> </w:t>
      </w:r>
      <w:r w:rsidR="001B2F58" w:rsidRPr="00DD03D6">
        <w:rPr>
          <w:noProof/>
          <w:lang w:val="fr-FR"/>
        </w:rPr>
        <w:t xml:space="preserve">681 </w:t>
      </w:r>
      <w:r w:rsidR="00CA4188">
        <w:rPr>
          <w:noProof/>
          <w:lang w:val="fr-FR"/>
        </w:rPr>
        <w:t xml:space="preserve">jeunes âgés de </w:t>
      </w:r>
      <w:r w:rsidR="001B2F58" w:rsidRPr="00DD03D6">
        <w:rPr>
          <w:noProof/>
          <w:lang w:val="fr-FR"/>
        </w:rPr>
        <w:t xml:space="preserve">16 </w:t>
      </w:r>
      <w:r w:rsidR="00CA4188">
        <w:rPr>
          <w:noProof/>
          <w:lang w:val="fr-FR"/>
        </w:rPr>
        <w:t>et</w:t>
      </w:r>
      <w:r w:rsidR="001B2F58" w:rsidRPr="00DD03D6">
        <w:rPr>
          <w:noProof/>
          <w:lang w:val="fr-FR"/>
        </w:rPr>
        <w:t xml:space="preserve"> 17 </w:t>
      </w:r>
      <w:r w:rsidR="00CA4188">
        <w:rPr>
          <w:noProof/>
          <w:lang w:val="fr-FR"/>
        </w:rPr>
        <w:t xml:space="preserve">ans touchaient cette allocation, ce qui </w:t>
      </w:r>
      <w:r w:rsidR="001B2F58" w:rsidRPr="00DD03D6">
        <w:rPr>
          <w:noProof/>
          <w:lang w:val="fr-FR"/>
        </w:rPr>
        <w:t>repr</w:t>
      </w:r>
      <w:r w:rsidR="00CA4188">
        <w:rPr>
          <w:noProof/>
          <w:lang w:val="fr-FR"/>
        </w:rPr>
        <w:t>é</w:t>
      </w:r>
      <w:r w:rsidR="001B2F58" w:rsidRPr="00DD03D6">
        <w:rPr>
          <w:noProof/>
          <w:lang w:val="fr-FR"/>
        </w:rPr>
        <w:t>sent</w:t>
      </w:r>
      <w:r w:rsidR="00CA4188">
        <w:rPr>
          <w:noProof/>
          <w:lang w:val="fr-FR"/>
        </w:rPr>
        <w:t xml:space="preserve">ait </w:t>
      </w:r>
      <w:r w:rsidR="001B2F58" w:rsidRPr="00DD03D6">
        <w:rPr>
          <w:noProof/>
          <w:lang w:val="fr-FR"/>
        </w:rPr>
        <w:t>1</w:t>
      </w:r>
      <w:r w:rsidR="00CA4188">
        <w:rPr>
          <w:noProof/>
          <w:lang w:val="fr-FR"/>
        </w:rPr>
        <w:t>,</w:t>
      </w:r>
      <w:r w:rsidR="001B2F58" w:rsidRPr="00DD03D6">
        <w:rPr>
          <w:noProof/>
          <w:lang w:val="fr-FR"/>
        </w:rPr>
        <w:t>6</w:t>
      </w:r>
      <w:r w:rsidR="003F1ADB">
        <w:rPr>
          <w:noProof/>
          <w:lang w:val="fr-FR"/>
        </w:rPr>
        <w:t> %</w:t>
      </w:r>
      <w:r w:rsidR="001B2F58" w:rsidRPr="00DD03D6">
        <w:rPr>
          <w:noProof/>
          <w:lang w:val="fr-FR"/>
        </w:rPr>
        <w:t xml:space="preserve"> </w:t>
      </w:r>
      <w:r w:rsidR="00CA4188">
        <w:rPr>
          <w:noProof/>
          <w:lang w:val="fr-FR"/>
        </w:rPr>
        <w:t xml:space="preserve">du nombre </w:t>
      </w:r>
      <w:r w:rsidR="001B2F58" w:rsidRPr="00DD03D6">
        <w:rPr>
          <w:noProof/>
          <w:lang w:val="fr-FR"/>
        </w:rPr>
        <w:t xml:space="preserve">total </w:t>
      </w:r>
      <w:r w:rsidR="00CA4188">
        <w:rPr>
          <w:noProof/>
          <w:lang w:val="fr-FR"/>
        </w:rPr>
        <w:t>de personnes qui en bénéficiaient</w:t>
      </w:r>
      <w:r w:rsidR="001B2F58" w:rsidRPr="00DD03D6">
        <w:rPr>
          <w:noProof/>
          <w:lang w:val="fr-FR"/>
        </w:rPr>
        <w:t>.</w:t>
      </w:r>
    </w:p>
    <w:p w:rsidR="001B2F58" w:rsidRPr="00DD03D6" w:rsidRDefault="00CA4188" w:rsidP="00CA4188">
      <w:pPr>
        <w:pStyle w:val="H23G"/>
        <w:ind w:firstLine="0"/>
        <w:rPr>
          <w:noProof/>
          <w:lang w:val="fr-FR"/>
        </w:rPr>
      </w:pPr>
      <w:r>
        <w:rPr>
          <w:noProof/>
          <w:lang w:val="fr-FR"/>
        </w:rPr>
        <w:t xml:space="preserve">Services et établissements de garde d’enfants </w:t>
      </w:r>
    </w:p>
    <w:p w:rsidR="001B2F58" w:rsidRPr="00DD03D6" w:rsidRDefault="00CA4188" w:rsidP="00E508C0">
      <w:pPr>
        <w:pStyle w:val="SingleTxtG"/>
        <w:numPr>
          <w:ilvl w:val="0"/>
          <w:numId w:val="3"/>
        </w:numPr>
        <w:ind w:left="1134" w:firstLine="0"/>
        <w:rPr>
          <w:noProof/>
          <w:lang w:val="fr-FR"/>
        </w:rPr>
      </w:pPr>
      <w:r>
        <w:rPr>
          <w:noProof/>
          <w:lang w:val="fr-FR"/>
        </w:rPr>
        <w:t>Les dispositions régissant la garde d’enfants sont exposées au chapitre V</w:t>
      </w:r>
      <w:r w:rsidR="001B2F58" w:rsidRPr="00DD03D6">
        <w:rPr>
          <w:noProof/>
          <w:lang w:val="fr-FR"/>
        </w:rPr>
        <w:t xml:space="preserve">. </w:t>
      </w:r>
      <w:r>
        <w:rPr>
          <w:noProof/>
          <w:lang w:val="fr-FR"/>
        </w:rPr>
        <w:t xml:space="preserve">En sus des dispositions déjà décrites, les bénéficiaires de la protection sociale peuvent demander </w:t>
      </w:r>
      <w:r w:rsidR="00546DE6">
        <w:rPr>
          <w:noProof/>
          <w:lang w:val="fr-FR"/>
        </w:rPr>
        <w:t>un complément garderie pour aider à financer le coût de la garde des enfants lorsqu’ils peuvent prouver l’existence d’un besoin lié à leur situation et que leurs ressources ne leur permettent pas d’acquitter ce coût</w:t>
      </w:r>
      <w:r w:rsidR="001B2F58" w:rsidRPr="00DD03D6">
        <w:rPr>
          <w:noProof/>
          <w:lang w:val="fr-FR"/>
        </w:rPr>
        <w:t xml:space="preserve">. </w:t>
      </w:r>
      <w:r w:rsidR="00546DE6">
        <w:rPr>
          <w:noProof/>
          <w:lang w:val="fr-FR"/>
        </w:rPr>
        <w:t xml:space="preserve">Le versement de ce complément est destiné à aider les parents d’un enfant qui, se trouvant dans une situation difficile, pourrait tirer profit de la fréquentation d’une garderie </w:t>
      </w:r>
      <w:r w:rsidR="001B2F58" w:rsidRPr="00DD03D6">
        <w:rPr>
          <w:noProof/>
          <w:lang w:val="fr-FR"/>
        </w:rPr>
        <w:t>commun</w:t>
      </w:r>
      <w:r w:rsidR="00546DE6">
        <w:rPr>
          <w:noProof/>
          <w:lang w:val="fr-FR"/>
        </w:rPr>
        <w:t>autaire</w:t>
      </w:r>
      <w:r w:rsidR="001B2F58" w:rsidRPr="00DD03D6">
        <w:rPr>
          <w:noProof/>
          <w:lang w:val="fr-FR"/>
        </w:rPr>
        <w:t>. I</w:t>
      </w:r>
      <w:r w:rsidR="00546DE6">
        <w:rPr>
          <w:noProof/>
          <w:lang w:val="fr-FR"/>
        </w:rPr>
        <w:t xml:space="preserve">l constitue également une aide dans les </w:t>
      </w:r>
      <w:r w:rsidR="003D40D7">
        <w:rPr>
          <w:noProof/>
          <w:lang w:val="fr-FR"/>
        </w:rPr>
        <w:t xml:space="preserve">cas </w:t>
      </w:r>
      <w:r w:rsidR="00546DE6">
        <w:rPr>
          <w:noProof/>
          <w:lang w:val="fr-FR"/>
        </w:rPr>
        <w:t xml:space="preserve">où les </w:t>
      </w:r>
      <w:r w:rsidR="001B2F58" w:rsidRPr="00DD03D6">
        <w:rPr>
          <w:noProof/>
          <w:lang w:val="fr-FR"/>
        </w:rPr>
        <w:t>parent</w:t>
      </w:r>
      <w:r w:rsidR="00546DE6">
        <w:rPr>
          <w:noProof/>
          <w:lang w:val="fr-FR"/>
        </w:rPr>
        <w:t>s</w:t>
      </w:r>
      <w:r w:rsidR="001B2F58" w:rsidRPr="00DD03D6">
        <w:rPr>
          <w:noProof/>
          <w:lang w:val="fr-FR"/>
        </w:rPr>
        <w:t xml:space="preserve"> </w:t>
      </w:r>
      <w:r w:rsidR="00546DE6">
        <w:rPr>
          <w:noProof/>
          <w:lang w:val="fr-FR"/>
        </w:rPr>
        <w:t>pourraient avoir besoin d’un soutien psychologique, d’une désintoxication ou de services analogue</w:t>
      </w:r>
      <w:r w:rsidR="003D40D7">
        <w:rPr>
          <w:noProof/>
          <w:lang w:val="fr-FR"/>
        </w:rPr>
        <w:t>s</w:t>
      </w:r>
      <w:r w:rsidR="00546DE6">
        <w:rPr>
          <w:noProof/>
          <w:lang w:val="fr-FR"/>
        </w:rPr>
        <w:t>, la garderie pouvant alors fa</w:t>
      </w:r>
      <w:r w:rsidR="003D40D7">
        <w:rPr>
          <w:noProof/>
          <w:lang w:val="fr-FR"/>
        </w:rPr>
        <w:t xml:space="preserve">ciliter </w:t>
      </w:r>
      <w:r w:rsidR="00546DE6">
        <w:rPr>
          <w:noProof/>
          <w:lang w:val="fr-FR"/>
        </w:rPr>
        <w:t xml:space="preserve">les choses. </w:t>
      </w:r>
    </w:p>
    <w:p w:rsidR="001B2F58" w:rsidRPr="00DD03D6" w:rsidRDefault="00C05BF5" w:rsidP="00CD046A">
      <w:pPr>
        <w:pStyle w:val="H1G"/>
        <w:rPr>
          <w:noProof/>
          <w:lang w:val="fr-FR"/>
        </w:rPr>
      </w:pPr>
      <w:r w:rsidRPr="00DD03D6">
        <w:rPr>
          <w:noProof/>
          <w:lang w:val="fr-FR"/>
        </w:rPr>
        <w:lastRenderedPageBreak/>
        <w:tab/>
      </w:r>
      <w:r w:rsidR="001B2F58" w:rsidRPr="00DD03D6">
        <w:rPr>
          <w:noProof/>
          <w:lang w:val="fr-FR"/>
        </w:rPr>
        <w:t>K.</w:t>
      </w:r>
      <w:r w:rsidR="001B2F58" w:rsidRPr="00DD03D6">
        <w:rPr>
          <w:noProof/>
          <w:lang w:val="fr-FR"/>
        </w:rPr>
        <w:tab/>
      </w:r>
      <w:r w:rsidR="003D40D7">
        <w:rPr>
          <w:noProof/>
          <w:lang w:val="fr-FR"/>
        </w:rPr>
        <w:t>Niveau de vie et mesures adoptées</w:t>
      </w:r>
      <w:r w:rsidR="003D40D7" w:rsidRPr="00DD03D6">
        <w:rPr>
          <w:noProof/>
          <w:lang w:val="fr-FR"/>
        </w:rPr>
        <w:t xml:space="preserve">, </w:t>
      </w:r>
      <w:r w:rsidR="003D40D7">
        <w:rPr>
          <w:noProof/>
          <w:lang w:val="fr-FR"/>
        </w:rPr>
        <w:t>y compris sous la forme d’</w:t>
      </w:r>
      <w:r w:rsidR="003D40D7">
        <w:rPr>
          <w:color w:val="000000"/>
          <w:shd w:val="clear" w:color="auto" w:fill="FFFFFF"/>
          <w:lang w:val="fr-FR"/>
        </w:rPr>
        <w:t>une assistance matérielle et de</w:t>
      </w:r>
      <w:r w:rsidR="003D40D7" w:rsidRPr="00DD03D6">
        <w:rPr>
          <w:noProof/>
          <w:lang w:val="fr-FR"/>
        </w:rPr>
        <w:t xml:space="preserve"> </w:t>
      </w:r>
      <w:r w:rsidR="003D40D7" w:rsidRPr="00042A71">
        <w:rPr>
          <w:color w:val="000000"/>
          <w:shd w:val="clear" w:color="auto" w:fill="FFFFFF"/>
          <w:lang w:val="fr-FR"/>
        </w:rPr>
        <w:t>programmes d'appui,</w:t>
      </w:r>
      <w:r w:rsidR="00305183">
        <w:rPr>
          <w:color w:val="000000"/>
          <w:shd w:val="clear" w:color="auto" w:fill="FFFFFF"/>
          <w:lang w:val="fr-FR"/>
        </w:rPr>
        <w:t xml:space="preserve"> notamment en ce qui concerne l’</w:t>
      </w:r>
      <w:r w:rsidR="003D40D7" w:rsidRPr="00042A71">
        <w:rPr>
          <w:color w:val="000000"/>
          <w:shd w:val="clear" w:color="auto" w:fill="FFFFFF"/>
          <w:lang w:val="fr-FR"/>
        </w:rPr>
        <w:t>alimentation, le vêtement et le logement</w:t>
      </w:r>
      <w:r w:rsidR="003D40D7" w:rsidRPr="00DD03D6">
        <w:rPr>
          <w:noProof/>
          <w:lang w:val="fr-FR"/>
        </w:rPr>
        <w:t>,</w:t>
      </w:r>
      <w:r w:rsidR="003D40D7">
        <w:rPr>
          <w:noProof/>
          <w:lang w:val="fr-FR"/>
        </w:rPr>
        <w:t xml:space="preserve"> pour garantir le développement </w:t>
      </w:r>
      <w:r w:rsidR="003D40D7" w:rsidRPr="00DD03D6">
        <w:rPr>
          <w:noProof/>
          <w:lang w:val="fr-FR"/>
        </w:rPr>
        <w:t>mental, spiritu</w:t>
      </w:r>
      <w:r w:rsidR="003D40D7">
        <w:rPr>
          <w:noProof/>
          <w:lang w:val="fr-FR"/>
        </w:rPr>
        <w:t>e</w:t>
      </w:r>
      <w:r w:rsidR="003D40D7" w:rsidRPr="00DD03D6">
        <w:rPr>
          <w:noProof/>
          <w:lang w:val="fr-FR"/>
        </w:rPr>
        <w:t xml:space="preserve">l, moral </w:t>
      </w:r>
      <w:r w:rsidR="003D40D7">
        <w:rPr>
          <w:noProof/>
          <w:lang w:val="fr-FR"/>
        </w:rPr>
        <w:t>et</w:t>
      </w:r>
      <w:r w:rsidR="003D40D7" w:rsidRPr="00DD03D6">
        <w:rPr>
          <w:noProof/>
          <w:lang w:val="fr-FR"/>
        </w:rPr>
        <w:t xml:space="preserve"> social,</w:t>
      </w:r>
      <w:r w:rsidR="003D40D7">
        <w:rPr>
          <w:noProof/>
          <w:lang w:val="fr-FR"/>
        </w:rPr>
        <w:t xml:space="preserve"> et</w:t>
      </w:r>
      <w:r w:rsidR="003D40D7" w:rsidRPr="00DD03D6">
        <w:rPr>
          <w:noProof/>
          <w:lang w:val="fr-FR"/>
        </w:rPr>
        <w:t xml:space="preserve"> r</w:t>
      </w:r>
      <w:r w:rsidR="003D40D7">
        <w:rPr>
          <w:noProof/>
          <w:lang w:val="fr-FR"/>
        </w:rPr>
        <w:t>é</w:t>
      </w:r>
      <w:r w:rsidR="003D40D7" w:rsidRPr="00DD03D6">
        <w:rPr>
          <w:noProof/>
          <w:lang w:val="fr-FR"/>
        </w:rPr>
        <w:t>du</w:t>
      </w:r>
      <w:r w:rsidR="003D40D7">
        <w:rPr>
          <w:noProof/>
          <w:lang w:val="fr-FR"/>
        </w:rPr>
        <w:t>ir</w:t>
      </w:r>
      <w:r w:rsidR="003D40D7" w:rsidRPr="00DD03D6">
        <w:rPr>
          <w:noProof/>
          <w:lang w:val="fr-FR"/>
        </w:rPr>
        <w:t xml:space="preserve">e </w:t>
      </w:r>
      <w:r w:rsidR="003D40D7">
        <w:rPr>
          <w:noProof/>
          <w:lang w:val="fr-FR"/>
        </w:rPr>
        <w:t xml:space="preserve">la </w:t>
      </w:r>
      <w:r w:rsidR="003D40D7" w:rsidRPr="00DD03D6">
        <w:rPr>
          <w:noProof/>
          <w:lang w:val="fr-FR"/>
        </w:rPr>
        <w:t>p</w:t>
      </w:r>
      <w:r w:rsidR="003D40D7">
        <w:rPr>
          <w:noProof/>
          <w:lang w:val="fr-FR"/>
        </w:rPr>
        <w:t>auvreté et les i</w:t>
      </w:r>
      <w:r w:rsidR="003D40D7" w:rsidRPr="00DD03D6">
        <w:rPr>
          <w:noProof/>
          <w:lang w:val="fr-FR"/>
        </w:rPr>
        <w:t>n</w:t>
      </w:r>
      <w:r w:rsidR="003D40D7">
        <w:rPr>
          <w:noProof/>
          <w:lang w:val="fr-FR"/>
        </w:rPr>
        <w:t>ég</w:t>
      </w:r>
      <w:r w:rsidR="003D40D7" w:rsidRPr="00DD03D6">
        <w:rPr>
          <w:noProof/>
          <w:lang w:val="fr-FR"/>
        </w:rPr>
        <w:t>alit</w:t>
      </w:r>
      <w:r w:rsidR="003D40D7">
        <w:rPr>
          <w:noProof/>
          <w:lang w:val="fr-FR"/>
        </w:rPr>
        <w:t>és</w:t>
      </w:r>
      <w:r w:rsidR="00E92D3C">
        <w:rPr>
          <w:noProof/>
          <w:lang w:val="fr-FR"/>
        </w:rPr>
        <w:t xml:space="preserve"> </w:t>
      </w:r>
    </w:p>
    <w:p w:rsidR="001B2F58" w:rsidRPr="00DD03D6" w:rsidRDefault="001B2AC4" w:rsidP="001B2AC4">
      <w:pPr>
        <w:pStyle w:val="H23G"/>
        <w:rPr>
          <w:noProof/>
          <w:lang w:val="fr-FR"/>
        </w:rPr>
      </w:pPr>
      <w:r w:rsidRPr="00DD03D6">
        <w:rPr>
          <w:noProof/>
          <w:lang w:val="fr-FR"/>
        </w:rPr>
        <w:tab/>
      </w:r>
      <w:r w:rsidRPr="00DD03D6">
        <w:rPr>
          <w:noProof/>
          <w:lang w:val="fr-FR"/>
        </w:rPr>
        <w:tab/>
      </w:r>
      <w:r w:rsidR="00A913F2">
        <w:rPr>
          <w:noProof/>
          <w:lang w:val="fr-FR"/>
        </w:rPr>
        <w:t xml:space="preserve">La pauvreté infantile en </w:t>
      </w:r>
      <w:r w:rsidR="00E92D3C">
        <w:rPr>
          <w:noProof/>
          <w:lang w:val="fr-FR"/>
        </w:rPr>
        <w:t xml:space="preserve">Irlande </w:t>
      </w:r>
    </w:p>
    <w:p w:rsidR="001B2F58" w:rsidRDefault="00A913F2" w:rsidP="001B2AC4">
      <w:pPr>
        <w:pStyle w:val="SingleTxtG"/>
        <w:numPr>
          <w:ilvl w:val="0"/>
          <w:numId w:val="3"/>
        </w:numPr>
        <w:ind w:left="1134" w:firstLine="0"/>
        <w:rPr>
          <w:noProof/>
          <w:lang w:val="fr-FR"/>
        </w:rPr>
      </w:pPr>
      <w:r>
        <w:rPr>
          <w:noProof/>
          <w:lang w:val="fr-FR"/>
        </w:rPr>
        <w:t>E</w:t>
      </w:r>
      <w:r w:rsidR="001B2F58" w:rsidRPr="00DD03D6">
        <w:rPr>
          <w:noProof/>
          <w:lang w:val="fr-FR"/>
        </w:rPr>
        <w:t xml:space="preserve">n 2003, </w:t>
      </w:r>
      <w:r w:rsidR="00E72DE7">
        <w:rPr>
          <w:noProof/>
          <w:lang w:val="fr-FR"/>
        </w:rPr>
        <w:t>le taux de</w:t>
      </w:r>
      <w:r>
        <w:rPr>
          <w:noProof/>
          <w:lang w:val="fr-FR"/>
        </w:rPr>
        <w:t xml:space="preserve"> risque </w:t>
      </w:r>
      <w:r w:rsidR="00E72DE7">
        <w:rPr>
          <w:noProof/>
          <w:lang w:val="fr-FR"/>
        </w:rPr>
        <w:t xml:space="preserve">de pauvreté parmi les enfants (âgés de 0 à 17 ans) était de </w:t>
      </w:r>
      <w:r w:rsidR="001B2F58" w:rsidRPr="00DD03D6">
        <w:rPr>
          <w:noProof/>
          <w:lang w:val="fr-FR"/>
        </w:rPr>
        <w:t>20</w:t>
      </w:r>
      <w:r w:rsidR="00E72DE7">
        <w:rPr>
          <w:noProof/>
          <w:lang w:val="fr-FR"/>
        </w:rPr>
        <w:t>,</w:t>
      </w:r>
      <w:r w:rsidR="001B2F58" w:rsidRPr="00DD03D6">
        <w:rPr>
          <w:noProof/>
          <w:lang w:val="fr-FR"/>
        </w:rPr>
        <w:t>9</w:t>
      </w:r>
      <w:r w:rsidR="003F1ADB">
        <w:rPr>
          <w:noProof/>
          <w:lang w:val="fr-FR"/>
        </w:rPr>
        <w:t> %</w:t>
      </w:r>
      <w:r w:rsidR="00E72DE7">
        <w:rPr>
          <w:noProof/>
          <w:lang w:val="fr-FR"/>
        </w:rPr>
        <w:t xml:space="preserve">; il a été ramené à </w:t>
      </w:r>
      <w:r w:rsidR="00CD046A" w:rsidRPr="00DD03D6">
        <w:rPr>
          <w:noProof/>
          <w:lang w:val="fr-FR"/>
        </w:rPr>
        <w:t>18</w:t>
      </w:r>
      <w:r w:rsidR="00E72DE7">
        <w:rPr>
          <w:noProof/>
          <w:lang w:val="fr-FR"/>
        </w:rPr>
        <w:t>,</w:t>
      </w:r>
      <w:r w:rsidR="00CD046A" w:rsidRPr="00DD03D6">
        <w:rPr>
          <w:noProof/>
          <w:lang w:val="fr-FR"/>
        </w:rPr>
        <w:t>4</w:t>
      </w:r>
      <w:r w:rsidR="003F1ADB">
        <w:rPr>
          <w:noProof/>
          <w:lang w:val="fr-FR"/>
        </w:rPr>
        <w:t> %</w:t>
      </w:r>
      <w:r w:rsidR="00CD046A" w:rsidRPr="00DD03D6">
        <w:rPr>
          <w:noProof/>
          <w:lang w:val="fr-FR"/>
        </w:rPr>
        <w:t xml:space="preserve"> </w:t>
      </w:r>
      <w:r w:rsidR="00E72DE7">
        <w:rPr>
          <w:noProof/>
          <w:lang w:val="fr-FR"/>
        </w:rPr>
        <w:t>e</w:t>
      </w:r>
      <w:r w:rsidR="00CD046A" w:rsidRPr="00DD03D6">
        <w:rPr>
          <w:noProof/>
          <w:lang w:val="fr-FR"/>
        </w:rPr>
        <w:t>n 2010</w:t>
      </w:r>
      <w:r w:rsidR="001B2AC4" w:rsidRPr="00DD03D6">
        <w:rPr>
          <w:rStyle w:val="Appelnotedebasdep"/>
          <w:noProof/>
          <w:lang w:val="fr-FR"/>
        </w:rPr>
        <w:footnoteReference w:id="40"/>
      </w:r>
      <w:r w:rsidR="00E72DE7">
        <w:rPr>
          <w:noProof/>
          <w:lang w:val="fr-FR"/>
        </w:rPr>
        <w:t>.</w:t>
      </w:r>
      <w:r w:rsidR="00E33C82">
        <w:rPr>
          <w:noProof/>
          <w:lang w:val="fr-FR"/>
        </w:rPr>
        <w:t xml:space="preserve"> </w:t>
      </w:r>
      <w:r w:rsidR="00222B1B">
        <w:rPr>
          <w:noProof/>
          <w:lang w:val="fr-FR"/>
        </w:rPr>
        <w:t>Le taux de risque de pauvreté le plus faible a été enregistré en 2008 (18</w:t>
      </w:r>
      <w:r w:rsidR="003F1ADB">
        <w:rPr>
          <w:noProof/>
          <w:lang w:val="fr-FR"/>
        </w:rPr>
        <w:t> %</w:t>
      </w:r>
      <w:r w:rsidR="00222B1B">
        <w:rPr>
          <w:noProof/>
          <w:lang w:val="fr-FR"/>
        </w:rPr>
        <w:t>).</w:t>
      </w:r>
      <w:r w:rsidR="001B2F58" w:rsidRPr="00DD03D6">
        <w:rPr>
          <w:noProof/>
          <w:lang w:val="fr-FR"/>
        </w:rPr>
        <w:t xml:space="preserve"> </w:t>
      </w:r>
      <w:r w:rsidR="00222B1B">
        <w:rPr>
          <w:noProof/>
          <w:lang w:val="fr-FR"/>
        </w:rPr>
        <w:t>La tendance en ce qui concerne les privations matérielles parmi les enfants a été à la hausse entre 2003 et 2009, passant de</w:t>
      </w:r>
      <w:r w:rsidR="001B2F58" w:rsidRPr="00DD03D6">
        <w:rPr>
          <w:noProof/>
          <w:lang w:val="fr-FR"/>
        </w:rPr>
        <w:t xml:space="preserve"> 19</w:t>
      </w:r>
      <w:r w:rsidR="00222B1B">
        <w:rPr>
          <w:noProof/>
          <w:lang w:val="fr-FR"/>
        </w:rPr>
        <w:t>,</w:t>
      </w:r>
      <w:r w:rsidR="001B2F58" w:rsidRPr="00DD03D6">
        <w:rPr>
          <w:noProof/>
          <w:lang w:val="fr-FR"/>
        </w:rPr>
        <w:t>2</w:t>
      </w:r>
      <w:r w:rsidR="003F1ADB">
        <w:rPr>
          <w:noProof/>
          <w:lang w:val="fr-FR"/>
        </w:rPr>
        <w:t> %</w:t>
      </w:r>
      <w:r w:rsidR="001B2F58" w:rsidRPr="00DD03D6">
        <w:rPr>
          <w:noProof/>
          <w:lang w:val="fr-FR"/>
        </w:rPr>
        <w:t xml:space="preserve"> </w:t>
      </w:r>
      <w:r w:rsidR="00222B1B">
        <w:rPr>
          <w:noProof/>
          <w:lang w:val="fr-FR"/>
        </w:rPr>
        <w:t>à</w:t>
      </w:r>
      <w:r w:rsidR="001B2F58" w:rsidRPr="00DD03D6">
        <w:rPr>
          <w:noProof/>
          <w:lang w:val="fr-FR"/>
        </w:rPr>
        <w:t xml:space="preserve"> 23</w:t>
      </w:r>
      <w:r w:rsidR="00222B1B">
        <w:rPr>
          <w:noProof/>
          <w:lang w:val="fr-FR"/>
        </w:rPr>
        <w:t>,</w:t>
      </w:r>
      <w:r w:rsidR="001B2F58" w:rsidRPr="00DD03D6">
        <w:rPr>
          <w:noProof/>
          <w:lang w:val="fr-FR"/>
        </w:rPr>
        <w:t>5</w:t>
      </w:r>
      <w:r w:rsidR="003F1ADB">
        <w:rPr>
          <w:noProof/>
          <w:lang w:val="fr-FR"/>
        </w:rPr>
        <w:t> %</w:t>
      </w:r>
      <w:r w:rsidR="001B2F58" w:rsidRPr="00DD03D6">
        <w:rPr>
          <w:noProof/>
          <w:lang w:val="fr-FR"/>
        </w:rPr>
        <w:t xml:space="preserve"> </w:t>
      </w:r>
      <w:r w:rsidR="00222B1B">
        <w:rPr>
          <w:noProof/>
          <w:lang w:val="fr-FR"/>
        </w:rPr>
        <w:t>entre ces deux dates</w:t>
      </w:r>
      <w:r w:rsidR="001B2F58" w:rsidRPr="00DD03D6">
        <w:rPr>
          <w:noProof/>
          <w:lang w:val="fr-FR"/>
        </w:rPr>
        <w:t xml:space="preserve">. </w:t>
      </w:r>
      <w:r w:rsidR="00C626B8">
        <w:rPr>
          <w:noProof/>
          <w:lang w:val="fr-FR"/>
        </w:rPr>
        <w:t xml:space="preserve">Là encore, la tendance </w:t>
      </w:r>
      <w:r w:rsidR="00D67C68">
        <w:rPr>
          <w:noProof/>
          <w:lang w:val="fr-FR"/>
        </w:rPr>
        <w:t xml:space="preserve">est inégale au fil des ans, avec un taux faible de </w:t>
      </w:r>
      <w:r w:rsidR="001B2F58" w:rsidRPr="00DD03D6">
        <w:rPr>
          <w:noProof/>
          <w:lang w:val="fr-FR"/>
        </w:rPr>
        <w:t>16</w:t>
      </w:r>
      <w:r w:rsidR="003F1ADB">
        <w:rPr>
          <w:noProof/>
          <w:lang w:val="fr-FR"/>
        </w:rPr>
        <w:t> %</w:t>
      </w:r>
      <w:r w:rsidR="001B2F58" w:rsidRPr="00DD03D6">
        <w:rPr>
          <w:noProof/>
          <w:lang w:val="fr-FR"/>
        </w:rPr>
        <w:t xml:space="preserve"> </w:t>
      </w:r>
      <w:r w:rsidR="00D67C68">
        <w:rPr>
          <w:noProof/>
          <w:lang w:val="fr-FR"/>
        </w:rPr>
        <w:t>e</w:t>
      </w:r>
      <w:r w:rsidR="001B2F58" w:rsidRPr="00DD03D6">
        <w:rPr>
          <w:noProof/>
          <w:lang w:val="fr-FR"/>
        </w:rPr>
        <w:t xml:space="preserve">n 2007, </w:t>
      </w:r>
      <w:r w:rsidR="00D67C68">
        <w:rPr>
          <w:noProof/>
          <w:lang w:val="fr-FR"/>
        </w:rPr>
        <w:t xml:space="preserve">avant une forte hausse pour atteindre un pic de </w:t>
      </w:r>
      <w:r w:rsidR="001B2F58" w:rsidRPr="00DD03D6">
        <w:rPr>
          <w:noProof/>
          <w:lang w:val="fr-FR"/>
        </w:rPr>
        <w:t>30</w:t>
      </w:r>
      <w:r w:rsidR="00D67C68">
        <w:rPr>
          <w:noProof/>
          <w:lang w:val="fr-FR"/>
        </w:rPr>
        <w:t>,</w:t>
      </w:r>
      <w:r w:rsidR="001B2F58" w:rsidRPr="00DD03D6">
        <w:rPr>
          <w:noProof/>
          <w:lang w:val="fr-FR"/>
        </w:rPr>
        <w:t>5</w:t>
      </w:r>
      <w:r w:rsidR="003F1ADB">
        <w:rPr>
          <w:noProof/>
          <w:lang w:val="fr-FR"/>
        </w:rPr>
        <w:t> %</w:t>
      </w:r>
      <w:r w:rsidR="001B2F58" w:rsidRPr="00DD03D6">
        <w:rPr>
          <w:noProof/>
          <w:lang w:val="fr-FR"/>
        </w:rPr>
        <w:t xml:space="preserve"> </w:t>
      </w:r>
      <w:r w:rsidR="00D67C68">
        <w:rPr>
          <w:noProof/>
          <w:lang w:val="fr-FR"/>
        </w:rPr>
        <w:t>e</w:t>
      </w:r>
      <w:r w:rsidR="001B2F58" w:rsidRPr="00DD03D6">
        <w:rPr>
          <w:noProof/>
          <w:lang w:val="fr-FR"/>
        </w:rPr>
        <w:t xml:space="preserve">n 2010. </w:t>
      </w:r>
      <w:r w:rsidR="008B54F4">
        <w:rPr>
          <w:noProof/>
          <w:lang w:val="fr-FR"/>
        </w:rPr>
        <w:t xml:space="preserve">Le taux de pauvreté constante parmi les enfants fait apparaître une tendance analogue, tombant de </w:t>
      </w:r>
      <w:r w:rsidR="001B2F58" w:rsidRPr="00DD03D6">
        <w:rPr>
          <w:noProof/>
          <w:lang w:val="fr-FR"/>
        </w:rPr>
        <w:t>8</w:t>
      </w:r>
      <w:r w:rsidR="008B54F4">
        <w:rPr>
          <w:noProof/>
          <w:lang w:val="fr-FR"/>
        </w:rPr>
        <w:t>,</w:t>
      </w:r>
      <w:r w:rsidR="001B2F58" w:rsidRPr="00DD03D6">
        <w:rPr>
          <w:noProof/>
          <w:lang w:val="fr-FR"/>
        </w:rPr>
        <w:t>2</w:t>
      </w:r>
      <w:r w:rsidR="003F1ADB">
        <w:rPr>
          <w:noProof/>
          <w:lang w:val="fr-FR"/>
        </w:rPr>
        <w:t> %</w:t>
      </w:r>
      <w:r w:rsidR="001B2F58" w:rsidRPr="00DD03D6">
        <w:rPr>
          <w:noProof/>
          <w:lang w:val="fr-FR"/>
        </w:rPr>
        <w:t xml:space="preserve"> </w:t>
      </w:r>
      <w:r w:rsidR="008B54F4">
        <w:rPr>
          <w:noProof/>
          <w:lang w:val="fr-FR"/>
        </w:rPr>
        <w:t>e</w:t>
      </w:r>
      <w:r w:rsidR="001B2F58" w:rsidRPr="00DD03D6">
        <w:rPr>
          <w:noProof/>
          <w:lang w:val="fr-FR"/>
        </w:rPr>
        <w:t xml:space="preserve">n 2003 </w:t>
      </w:r>
      <w:r w:rsidR="008B54F4">
        <w:rPr>
          <w:noProof/>
          <w:lang w:val="fr-FR"/>
        </w:rPr>
        <w:t>à</w:t>
      </w:r>
      <w:r w:rsidR="001B2F58" w:rsidRPr="00DD03D6">
        <w:rPr>
          <w:noProof/>
          <w:lang w:val="fr-FR"/>
        </w:rPr>
        <w:t xml:space="preserve"> 6</w:t>
      </w:r>
      <w:r w:rsidR="008B54F4">
        <w:rPr>
          <w:noProof/>
          <w:lang w:val="fr-FR"/>
        </w:rPr>
        <w:t>,</w:t>
      </w:r>
      <w:r w:rsidR="001B2F58" w:rsidRPr="00DD03D6">
        <w:rPr>
          <w:noProof/>
          <w:lang w:val="fr-FR"/>
        </w:rPr>
        <w:t>3</w:t>
      </w:r>
      <w:r w:rsidR="003F1ADB">
        <w:rPr>
          <w:noProof/>
          <w:lang w:val="fr-FR"/>
        </w:rPr>
        <w:t> %</w:t>
      </w:r>
      <w:r w:rsidR="001B2F58" w:rsidRPr="00DD03D6">
        <w:rPr>
          <w:noProof/>
          <w:lang w:val="fr-FR"/>
        </w:rPr>
        <w:t xml:space="preserve"> </w:t>
      </w:r>
      <w:r w:rsidR="008B54F4">
        <w:rPr>
          <w:noProof/>
          <w:lang w:val="fr-FR"/>
        </w:rPr>
        <w:t>e</w:t>
      </w:r>
      <w:r w:rsidR="001B2F58" w:rsidRPr="00DD03D6">
        <w:rPr>
          <w:noProof/>
          <w:lang w:val="fr-FR"/>
        </w:rPr>
        <w:t xml:space="preserve">n 2008 </w:t>
      </w:r>
      <w:r w:rsidR="008B54F4">
        <w:rPr>
          <w:noProof/>
          <w:lang w:val="fr-FR"/>
        </w:rPr>
        <w:t xml:space="preserve">avant de remonter jusqu’à </w:t>
      </w:r>
      <w:r w:rsidR="001B2F58" w:rsidRPr="00DD03D6">
        <w:rPr>
          <w:noProof/>
          <w:lang w:val="fr-FR"/>
        </w:rPr>
        <w:t>8</w:t>
      </w:r>
      <w:r w:rsidR="008B54F4">
        <w:rPr>
          <w:noProof/>
          <w:lang w:val="fr-FR"/>
        </w:rPr>
        <w:t>,</w:t>
      </w:r>
      <w:r w:rsidR="001B2F58" w:rsidRPr="00DD03D6">
        <w:rPr>
          <w:noProof/>
          <w:lang w:val="fr-FR"/>
        </w:rPr>
        <w:t>8</w:t>
      </w:r>
      <w:r w:rsidR="003F1ADB">
        <w:rPr>
          <w:noProof/>
          <w:lang w:val="fr-FR"/>
        </w:rPr>
        <w:t> %</w:t>
      </w:r>
      <w:r w:rsidR="001B2F58" w:rsidRPr="00DD03D6">
        <w:rPr>
          <w:noProof/>
          <w:lang w:val="fr-FR"/>
        </w:rPr>
        <w:t xml:space="preserve"> </w:t>
      </w:r>
      <w:r w:rsidR="008B54F4">
        <w:rPr>
          <w:noProof/>
          <w:lang w:val="fr-FR"/>
        </w:rPr>
        <w:t>e</w:t>
      </w:r>
      <w:r w:rsidR="001B2F58" w:rsidRPr="00DD03D6">
        <w:rPr>
          <w:noProof/>
          <w:lang w:val="fr-FR"/>
        </w:rPr>
        <w:t>n 2010.</w:t>
      </w:r>
    </w:p>
    <w:p w:rsidR="001B2F58" w:rsidRPr="00DD03D6" w:rsidRDefault="008B54F4" w:rsidP="001B2AC4">
      <w:pPr>
        <w:pStyle w:val="SingleTxtG"/>
        <w:numPr>
          <w:ilvl w:val="0"/>
          <w:numId w:val="3"/>
        </w:numPr>
        <w:ind w:left="1134" w:firstLine="0"/>
        <w:rPr>
          <w:noProof/>
          <w:lang w:val="fr-FR"/>
        </w:rPr>
      </w:pPr>
      <w:r>
        <w:rPr>
          <w:noProof/>
          <w:lang w:val="fr-FR"/>
        </w:rPr>
        <w:t xml:space="preserve">Les données de </w:t>
      </w:r>
      <w:r w:rsidR="001B2F58" w:rsidRPr="00DD03D6">
        <w:rPr>
          <w:noProof/>
          <w:lang w:val="fr-FR"/>
        </w:rPr>
        <w:t xml:space="preserve">2010 </w:t>
      </w:r>
      <w:r>
        <w:rPr>
          <w:noProof/>
          <w:lang w:val="fr-FR"/>
        </w:rPr>
        <w:t>font état d’une inversion des récentes améliorations à mesure que les effets du ralentissement économique sur les familles se font sentir</w:t>
      </w:r>
      <w:r w:rsidR="001B2F58" w:rsidRPr="00DD03D6">
        <w:rPr>
          <w:noProof/>
          <w:lang w:val="fr-FR"/>
        </w:rPr>
        <w:t xml:space="preserve">. </w:t>
      </w:r>
      <w:r>
        <w:rPr>
          <w:noProof/>
          <w:lang w:val="fr-FR"/>
        </w:rPr>
        <w:t>Les facteurs de risque spé</w:t>
      </w:r>
      <w:r w:rsidR="001B2F58" w:rsidRPr="00DD03D6">
        <w:rPr>
          <w:noProof/>
          <w:lang w:val="fr-FR"/>
        </w:rPr>
        <w:t>cifi</w:t>
      </w:r>
      <w:r>
        <w:rPr>
          <w:noProof/>
          <w:lang w:val="fr-FR"/>
        </w:rPr>
        <w:t xml:space="preserve">ques </w:t>
      </w:r>
      <w:r w:rsidR="001B2F58" w:rsidRPr="00DD03D6">
        <w:rPr>
          <w:noProof/>
          <w:lang w:val="fr-FR"/>
        </w:rPr>
        <w:t>associ</w:t>
      </w:r>
      <w:r>
        <w:rPr>
          <w:noProof/>
          <w:lang w:val="fr-FR"/>
        </w:rPr>
        <w:t>és à la pauvreté infantile sont les enfants plus âgés, le(s) parent(s) mal</w:t>
      </w:r>
      <w:r w:rsidR="00BD7177">
        <w:rPr>
          <w:noProof/>
          <w:lang w:val="fr-FR"/>
        </w:rPr>
        <w:t>a</w:t>
      </w:r>
      <w:r>
        <w:rPr>
          <w:noProof/>
          <w:lang w:val="fr-FR"/>
        </w:rPr>
        <w:t xml:space="preserve">de(s) ou handicapé(s), le chômage </w:t>
      </w:r>
      <w:r w:rsidR="0059095B">
        <w:rPr>
          <w:noProof/>
          <w:lang w:val="fr-FR"/>
        </w:rPr>
        <w:t xml:space="preserve">dans la famille, le faible </w:t>
      </w:r>
      <w:r w:rsidR="00BD7177">
        <w:rPr>
          <w:noProof/>
          <w:lang w:val="fr-FR"/>
        </w:rPr>
        <w:t xml:space="preserve">niveau </w:t>
      </w:r>
      <w:r w:rsidR="0059095B">
        <w:rPr>
          <w:noProof/>
          <w:lang w:val="fr-FR"/>
        </w:rPr>
        <w:t>d’instruction des parents, les fa</w:t>
      </w:r>
      <w:r w:rsidR="00BD7177">
        <w:rPr>
          <w:noProof/>
          <w:lang w:val="fr-FR"/>
        </w:rPr>
        <w:t xml:space="preserve">milles </w:t>
      </w:r>
      <w:r w:rsidR="0059095B">
        <w:rPr>
          <w:noProof/>
          <w:lang w:val="fr-FR"/>
        </w:rPr>
        <w:t xml:space="preserve">monoparentales </w:t>
      </w:r>
      <w:r w:rsidR="00BD7177">
        <w:rPr>
          <w:noProof/>
          <w:lang w:val="fr-FR"/>
        </w:rPr>
        <w:t>et les familles nombreuses</w:t>
      </w:r>
      <w:r w:rsidR="001B2F58" w:rsidRPr="00DD03D6">
        <w:rPr>
          <w:noProof/>
          <w:lang w:val="fr-FR"/>
        </w:rPr>
        <w:t>.</w:t>
      </w:r>
    </w:p>
    <w:p w:rsidR="001B2F58" w:rsidRPr="00DD03D6" w:rsidRDefault="00BD7177" w:rsidP="001B2AC4">
      <w:pPr>
        <w:pStyle w:val="SingleTxtG"/>
        <w:numPr>
          <w:ilvl w:val="0"/>
          <w:numId w:val="3"/>
        </w:numPr>
        <w:ind w:left="1134" w:firstLine="0"/>
        <w:rPr>
          <w:noProof/>
          <w:lang w:val="fr-FR"/>
        </w:rPr>
      </w:pPr>
      <w:r>
        <w:rPr>
          <w:noProof/>
          <w:lang w:val="fr-FR"/>
        </w:rPr>
        <w:t>Les transferts s</w:t>
      </w:r>
      <w:r w:rsidR="001B2F58" w:rsidRPr="00DD03D6">
        <w:rPr>
          <w:noProof/>
          <w:lang w:val="fr-FR"/>
        </w:rPr>
        <w:t>ocia</w:t>
      </w:r>
      <w:r>
        <w:rPr>
          <w:noProof/>
          <w:lang w:val="fr-FR"/>
        </w:rPr>
        <w:t>ux tiennent une place essentielle dans la réduction de la pauvreté infantile en Irlande et l’effet redistributif de ces transferts (notamment les allocations familiales)</w:t>
      </w:r>
      <w:r w:rsidR="001B2F58" w:rsidRPr="00DD03D6">
        <w:rPr>
          <w:noProof/>
          <w:lang w:val="fr-FR"/>
        </w:rPr>
        <w:t xml:space="preserve"> </w:t>
      </w:r>
      <w:r w:rsidR="0061559D">
        <w:rPr>
          <w:noProof/>
          <w:lang w:val="fr-FR"/>
        </w:rPr>
        <w:t>sur le taux de risque de pauvreté parmi les enfants a augmenté</w:t>
      </w:r>
      <w:r w:rsidR="001B2F58" w:rsidRPr="00DD03D6">
        <w:rPr>
          <w:noProof/>
          <w:lang w:val="fr-FR"/>
        </w:rPr>
        <w:t xml:space="preserve">. </w:t>
      </w:r>
      <w:r w:rsidR="0061559D">
        <w:rPr>
          <w:noProof/>
          <w:lang w:val="fr-FR"/>
        </w:rPr>
        <w:t>E</w:t>
      </w:r>
      <w:r w:rsidR="001B2F58" w:rsidRPr="00DD03D6">
        <w:rPr>
          <w:noProof/>
          <w:lang w:val="fr-FR"/>
        </w:rPr>
        <w:t xml:space="preserve">n 2003, </w:t>
      </w:r>
      <w:r w:rsidR="0061559D">
        <w:rPr>
          <w:noProof/>
          <w:lang w:val="fr-FR"/>
        </w:rPr>
        <w:t>ce taux</w:t>
      </w:r>
      <w:r w:rsidR="00B1223C">
        <w:rPr>
          <w:noProof/>
          <w:lang w:val="fr-FR"/>
        </w:rPr>
        <w:t>, hors transferts</w:t>
      </w:r>
      <w:r w:rsidR="001B2F58" w:rsidRPr="00DD03D6">
        <w:rPr>
          <w:noProof/>
          <w:lang w:val="fr-FR"/>
        </w:rPr>
        <w:t xml:space="preserve"> socia</w:t>
      </w:r>
      <w:r w:rsidR="00B1223C">
        <w:rPr>
          <w:noProof/>
          <w:lang w:val="fr-FR"/>
        </w:rPr>
        <w:t>ux</w:t>
      </w:r>
      <w:r w:rsidR="001B2F58" w:rsidRPr="00DD03D6">
        <w:rPr>
          <w:noProof/>
          <w:lang w:val="fr-FR"/>
        </w:rPr>
        <w:t xml:space="preserve">, </w:t>
      </w:r>
      <w:r w:rsidR="00B1223C">
        <w:rPr>
          <w:noProof/>
          <w:lang w:val="fr-FR"/>
        </w:rPr>
        <w:t xml:space="preserve">était de </w:t>
      </w:r>
      <w:r w:rsidR="001B2F58" w:rsidRPr="00DD03D6">
        <w:rPr>
          <w:noProof/>
          <w:lang w:val="fr-FR"/>
        </w:rPr>
        <w:t>32</w:t>
      </w:r>
      <w:r w:rsidR="00B1223C">
        <w:rPr>
          <w:noProof/>
          <w:lang w:val="fr-FR"/>
        </w:rPr>
        <w:t>,</w:t>
      </w:r>
      <w:r w:rsidR="001B2F58" w:rsidRPr="00DD03D6">
        <w:rPr>
          <w:noProof/>
          <w:lang w:val="fr-FR"/>
        </w:rPr>
        <w:t>8</w:t>
      </w:r>
      <w:r w:rsidR="003F1ADB">
        <w:rPr>
          <w:noProof/>
          <w:lang w:val="fr-FR"/>
        </w:rPr>
        <w:t> %</w:t>
      </w:r>
      <w:r w:rsidR="001B2F58" w:rsidRPr="00DD03D6">
        <w:rPr>
          <w:noProof/>
          <w:lang w:val="fr-FR"/>
        </w:rPr>
        <w:t xml:space="preserve">. </w:t>
      </w:r>
      <w:r w:rsidR="00B1223C">
        <w:rPr>
          <w:noProof/>
          <w:lang w:val="fr-FR"/>
        </w:rPr>
        <w:t xml:space="preserve">Les transferts sociaux l’ont ramené à </w:t>
      </w:r>
      <w:r w:rsidR="001B2F58" w:rsidRPr="00DD03D6">
        <w:rPr>
          <w:noProof/>
          <w:lang w:val="fr-FR"/>
        </w:rPr>
        <w:t>20</w:t>
      </w:r>
      <w:r w:rsidR="00B1223C">
        <w:rPr>
          <w:noProof/>
          <w:lang w:val="fr-FR"/>
        </w:rPr>
        <w:t>,</w:t>
      </w:r>
      <w:r w:rsidR="001B2F58" w:rsidRPr="00DD03D6">
        <w:rPr>
          <w:noProof/>
          <w:lang w:val="fr-FR"/>
        </w:rPr>
        <w:t>9</w:t>
      </w:r>
      <w:r w:rsidR="003F1ADB">
        <w:rPr>
          <w:noProof/>
          <w:lang w:val="fr-FR"/>
        </w:rPr>
        <w:t> %</w:t>
      </w:r>
      <w:r w:rsidR="001B2F58" w:rsidRPr="00DD03D6">
        <w:rPr>
          <w:noProof/>
          <w:lang w:val="fr-FR"/>
        </w:rPr>
        <w:t xml:space="preserve">, </w:t>
      </w:r>
      <w:r w:rsidR="00B1223C">
        <w:rPr>
          <w:noProof/>
          <w:lang w:val="fr-FR"/>
        </w:rPr>
        <w:t xml:space="preserve">soit un effet de réduction de la pauvreté de </w:t>
      </w:r>
      <w:r w:rsidR="001B2F58" w:rsidRPr="00DD03D6">
        <w:rPr>
          <w:noProof/>
          <w:lang w:val="fr-FR"/>
        </w:rPr>
        <w:t>36</w:t>
      </w:r>
      <w:r w:rsidR="003F1ADB">
        <w:rPr>
          <w:noProof/>
          <w:lang w:val="fr-FR"/>
        </w:rPr>
        <w:t> %</w:t>
      </w:r>
      <w:r w:rsidR="001B2F58" w:rsidRPr="00DD03D6">
        <w:rPr>
          <w:noProof/>
          <w:lang w:val="fr-FR"/>
        </w:rPr>
        <w:t xml:space="preserve">. </w:t>
      </w:r>
      <w:r w:rsidR="00B1223C">
        <w:rPr>
          <w:noProof/>
          <w:lang w:val="fr-FR"/>
        </w:rPr>
        <w:t>Le taux</w:t>
      </w:r>
      <w:r w:rsidR="00B1223C" w:rsidRPr="00B1223C">
        <w:rPr>
          <w:noProof/>
          <w:lang w:val="fr-FR"/>
        </w:rPr>
        <w:t xml:space="preserve"> </w:t>
      </w:r>
      <w:r w:rsidR="00B1223C">
        <w:rPr>
          <w:noProof/>
          <w:lang w:val="fr-FR"/>
        </w:rPr>
        <w:t>de risque de pauvreté parmi les enfants, hors transferts</w:t>
      </w:r>
      <w:r w:rsidR="00B1223C" w:rsidRPr="00DD03D6">
        <w:rPr>
          <w:noProof/>
          <w:lang w:val="fr-FR"/>
        </w:rPr>
        <w:t xml:space="preserve"> socia</w:t>
      </w:r>
      <w:r w:rsidR="00B1223C">
        <w:rPr>
          <w:noProof/>
          <w:lang w:val="fr-FR"/>
        </w:rPr>
        <w:t xml:space="preserve">ux, a enregistré une augmentation régulière dans le temps, pour atteindre </w:t>
      </w:r>
      <w:r w:rsidR="001B2F58" w:rsidRPr="00DD03D6">
        <w:rPr>
          <w:noProof/>
          <w:lang w:val="fr-FR"/>
        </w:rPr>
        <w:t>51</w:t>
      </w:r>
      <w:r w:rsidR="00B1223C">
        <w:rPr>
          <w:noProof/>
          <w:lang w:val="fr-FR"/>
        </w:rPr>
        <w:t>,</w:t>
      </w:r>
      <w:r w:rsidR="001B2F58" w:rsidRPr="00DD03D6">
        <w:rPr>
          <w:noProof/>
          <w:lang w:val="fr-FR"/>
        </w:rPr>
        <w:t>1</w:t>
      </w:r>
      <w:r w:rsidR="003F1ADB">
        <w:rPr>
          <w:noProof/>
          <w:lang w:val="fr-FR"/>
        </w:rPr>
        <w:t> %</w:t>
      </w:r>
      <w:r w:rsidR="001B2F58" w:rsidRPr="00DD03D6">
        <w:rPr>
          <w:noProof/>
          <w:lang w:val="fr-FR"/>
        </w:rPr>
        <w:t xml:space="preserve"> </w:t>
      </w:r>
      <w:r w:rsidR="00B1223C">
        <w:rPr>
          <w:noProof/>
          <w:lang w:val="fr-FR"/>
        </w:rPr>
        <w:t xml:space="preserve">en </w:t>
      </w:r>
      <w:r w:rsidR="001B2F58" w:rsidRPr="00DD03D6">
        <w:rPr>
          <w:noProof/>
          <w:lang w:val="fr-FR"/>
        </w:rPr>
        <w:t xml:space="preserve">2010. </w:t>
      </w:r>
      <w:r w:rsidR="00B1223C">
        <w:rPr>
          <w:noProof/>
          <w:lang w:val="fr-FR"/>
        </w:rPr>
        <w:t xml:space="preserve">Toutefois, les transferts sociaux l’ont ramené à </w:t>
      </w:r>
      <w:r w:rsidR="001B2F58" w:rsidRPr="00DD03D6">
        <w:rPr>
          <w:noProof/>
          <w:lang w:val="fr-FR"/>
        </w:rPr>
        <w:t>19</w:t>
      </w:r>
      <w:r w:rsidR="00B1223C">
        <w:rPr>
          <w:noProof/>
          <w:lang w:val="fr-FR"/>
        </w:rPr>
        <w:t>,</w:t>
      </w:r>
      <w:r w:rsidR="001B2F58" w:rsidRPr="00DD03D6">
        <w:rPr>
          <w:noProof/>
          <w:lang w:val="fr-FR"/>
        </w:rPr>
        <w:t>5</w:t>
      </w:r>
      <w:r w:rsidR="003F1ADB">
        <w:rPr>
          <w:noProof/>
          <w:lang w:val="fr-FR"/>
        </w:rPr>
        <w:t> %</w:t>
      </w:r>
      <w:r w:rsidR="001B2F58" w:rsidRPr="00DD03D6">
        <w:rPr>
          <w:noProof/>
          <w:lang w:val="fr-FR"/>
        </w:rPr>
        <w:t xml:space="preserve">. </w:t>
      </w:r>
      <w:r w:rsidR="00B1223C">
        <w:rPr>
          <w:noProof/>
          <w:lang w:val="fr-FR"/>
        </w:rPr>
        <w:t xml:space="preserve">L’effet de réduction de la pauvreté dû à ces transferts a donc augmenté pour dépasser </w:t>
      </w:r>
      <w:r w:rsidR="001B2F58" w:rsidRPr="00DD03D6">
        <w:rPr>
          <w:noProof/>
          <w:lang w:val="fr-FR"/>
        </w:rPr>
        <w:t>60</w:t>
      </w:r>
      <w:r w:rsidR="003F1ADB">
        <w:rPr>
          <w:noProof/>
          <w:lang w:val="fr-FR"/>
        </w:rPr>
        <w:t> %</w:t>
      </w:r>
      <w:r w:rsidR="001B2F58" w:rsidRPr="00DD03D6">
        <w:rPr>
          <w:noProof/>
          <w:lang w:val="fr-FR"/>
        </w:rPr>
        <w:t xml:space="preserve"> </w:t>
      </w:r>
      <w:r w:rsidR="00B1223C">
        <w:rPr>
          <w:noProof/>
          <w:lang w:val="fr-FR"/>
        </w:rPr>
        <w:t>en</w:t>
      </w:r>
      <w:r w:rsidR="001B2F58" w:rsidRPr="00DD03D6">
        <w:rPr>
          <w:noProof/>
          <w:lang w:val="fr-FR"/>
        </w:rPr>
        <w:t xml:space="preserve"> 2010.</w:t>
      </w:r>
    </w:p>
    <w:p w:rsidR="001B2F58" w:rsidRPr="00DD03D6" w:rsidRDefault="00B1223C" w:rsidP="001B2AC4">
      <w:pPr>
        <w:pStyle w:val="SingleTxtG"/>
        <w:numPr>
          <w:ilvl w:val="0"/>
          <w:numId w:val="3"/>
        </w:numPr>
        <w:ind w:left="1134" w:firstLine="0"/>
        <w:rPr>
          <w:noProof/>
          <w:lang w:val="fr-FR"/>
        </w:rPr>
      </w:pPr>
      <w:r>
        <w:rPr>
          <w:noProof/>
          <w:lang w:val="fr-FR"/>
        </w:rPr>
        <w:t xml:space="preserve">La lutte contre la pauvreté infantile est </w:t>
      </w:r>
      <w:r w:rsidR="005B4A98">
        <w:rPr>
          <w:noProof/>
          <w:lang w:val="fr-FR"/>
        </w:rPr>
        <w:t>une prio</w:t>
      </w:r>
      <w:r>
        <w:rPr>
          <w:noProof/>
          <w:lang w:val="fr-FR"/>
        </w:rPr>
        <w:t>r</w:t>
      </w:r>
      <w:r w:rsidR="005B4A98">
        <w:rPr>
          <w:noProof/>
          <w:lang w:val="fr-FR"/>
        </w:rPr>
        <w:t>i</w:t>
      </w:r>
      <w:r>
        <w:rPr>
          <w:noProof/>
          <w:lang w:val="fr-FR"/>
        </w:rPr>
        <w:t>té pour le Gouvernement</w:t>
      </w:r>
      <w:r w:rsidR="001B2F58" w:rsidRPr="00DD03D6">
        <w:rPr>
          <w:noProof/>
          <w:lang w:val="fr-FR"/>
        </w:rPr>
        <w:t xml:space="preserve">. </w:t>
      </w:r>
      <w:r>
        <w:rPr>
          <w:noProof/>
          <w:lang w:val="fr-FR"/>
        </w:rPr>
        <w:t xml:space="preserve">Quatre des </w:t>
      </w:r>
      <w:r w:rsidR="001B2F58" w:rsidRPr="00DD03D6">
        <w:rPr>
          <w:noProof/>
          <w:lang w:val="fr-FR"/>
        </w:rPr>
        <w:t xml:space="preserve">12 </w:t>
      </w:r>
      <w:r>
        <w:rPr>
          <w:noProof/>
          <w:lang w:val="fr-FR"/>
        </w:rPr>
        <w:t>objectifs de haut niveau du Plan d’action n</w:t>
      </w:r>
      <w:r w:rsidR="001B2F58" w:rsidRPr="00DD03D6">
        <w:rPr>
          <w:noProof/>
          <w:lang w:val="fr-FR"/>
        </w:rPr>
        <w:t xml:space="preserve">ational </w:t>
      </w:r>
      <w:r>
        <w:rPr>
          <w:noProof/>
          <w:lang w:val="fr-FR"/>
        </w:rPr>
        <w:t xml:space="preserve">pour l’intégration sociale pour </w:t>
      </w:r>
      <w:r w:rsidR="001B2F58" w:rsidRPr="00DD03D6">
        <w:rPr>
          <w:noProof/>
          <w:lang w:val="fr-FR"/>
        </w:rPr>
        <w:t xml:space="preserve">2007-2016 </w:t>
      </w:r>
      <w:r>
        <w:rPr>
          <w:noProof/>
          <w:lang w:val="fr-FR"/>
        </w:rPr>
        <w:t>concernent les enfants</w:t>
      </w:r>
      <w:r w:rsidR="001B2F58" w:rsidRPr="00DD03D6">
        <w:rPr>
          <w:noProof/>
          <w:lang w:val="fr-FR"/>
        </w:rPr>
        <w:t xml:space="preserve">, </w:t>
      </w:r>
      <w:r>
        <w:rPr>
          <w:noProof/>
          <w:lang w:val="fr-FR"/>
        </w:rPr>
        <w:t>ce qui est conforme à l’ambition pour les enfants décrite dans Vers</w:t>
      </w:r>
      <w:r w:rsidR="001B2F58" w:rsidRPr="00DD03D6">
        <w:rPr>
          <w:noProof/>
          <w:lang w:val="fr-FR"/>
        </w:rPr>
        <w:t xml:space="preserve"> 2016, </w:t>
      </w:r>
      <w:r>
        <w:rPr>
          <w:noProof/>
          <w:lang w:val="fr-FR"/>
        </w:rPr>
        <w:t xml:space="preserve">qui considère que les enfants, en particulier ceux dont la famille connaît le chômage, sont plus </w:t>
      </w:r>
      <w:r w:rsidR="001B2F58" w:rsidRPr="00DD03D6">
        <w:rPr>
          <w:noProof/>
          <w:lang w:val="fr-FR"/>
        </w:rPr>
        <w:t>vuln</w:t>
      </w:r>
      <w:r w:rsidR="005B4A98">
        <w:rPr>
          <w:noProof/>
          <w:lang w:val="fr-FR"/>
        </w:rPr>
        <w:t>é</w:t>
      </w:r>
      <w:r w:rsidR="001B2F58" w:rsidRPr="00DD03D6">
        <w:rPr>
          <w:noProof/>
          <w:lang w:val="fr-FR"/>
        </w:rPr>
        <w:t xml:space="preserve">rable </w:t>
      </w:r>
      <w:r w:rsidR="005B4A98">
        <w:rPr>
          <w:noProof/>
          <w:lang w:val="fr-FR"/>
        </w:rPr>
        <w:t xml:space="preserve">face à la pauvreté que les </w:t>
      </w:r>
      <w:r w:rsidR="001B2F58" w:rsidRPr="00DD03D6">
        <w:rPr>
          <w:noProof/>
          <w:lang w:val="fr-FR"/>
        </w:rPr>
        <w:t>adult</w:t>
      </w:r>
      <w:r w:rsidR="005B4A98">
        <w:rPr>
          <w:noProof/>
          <w:lang w:val="fr-FR"/>
        </w:rPr>
        <w:t>e</w:t>
      </w:r>
      <w:r w:rsidR="001B2F58" w:rsidRPr="00DD03D6">
        <w:rPr>
          <w:noProof/>
          <w:lang w:val="fr-FR"/>
        </w:rPr>
        <w:t xml:space="preserve">s. </w:t>
      </w:r>
      <w:r w:rsidR="005B4A98">
        <w:rPr>
          <w:noProof/>
          <w:lang w:val="fr-FR"/>
        </w:rPr>
        <w:t>Ces objectifs de haut niveau font de l’éducation et du complément de revenu des domaines prioritaires</w:t>
      </w:r>
      <w:r w:rsidR="001B2F58" w:rsidRPr="00DD03D6">
        <w:rPr>
          <w:noProof/>
          <w:lang w:val="fr-FR"/>
        </w:rPr>
        <w:t xml:space="preserve">. </w:t>
      </w:r>
      <w:r w:rsidR="005B4A98">
        <w:rPr>
          <w:noProof/>
          <w:lang w:val="fr-FR"/>
        </w:rPr>
        <w:t>E</w:t>
      </w:r>
      <w:r w:rsidR="001B2F58" w:rsidRPr="00DD03D6">
        <w:rPr>
          <w:noProof/>
          <w:lang w:val="fr-FR"/>
        </w:rPr>
        <w:t xml:space="preserve">n </w:t>
      </w:r>
      <w:r w:rsidR="005B4A98">
        <w:rPr>
          <w:noProof/>
          <w:lang w:val="fr-FR"/>
        </w:rPr>
        <w:t>outre, le Plan d’action n</w:t>
      </w:r>
      <w:r w:rsidR="001B2F58" w:rsidRPr="00DD03D6">
        <w:rPr>
          <w:noProof/>
          <w:lang w:val="fr-FR"/>
        </w:rPr>
        <w:t>ational cont</w:t>
      </w:r>
      <w:r w:rsidR="005B4A98">
        <w:rPr>
          <w:noProof/>
          <w:lang w:val="fr-FR"/>
        </w:rPr>
        <w:t xml:space="preserve">ient </w:t>
      </w:r>
      <w:r w:rsidR="001B2F58" w:rsidRPr="00DD03D6">
        <w:rPr>
          <w:noProof/>
          <w:lang w:val="fr-FR"/>
        </w:rPr>
        <w:t>45</w:t>
      </w:r>
      <w:r w:rsidR="00E33C82">
        <w:rPr>
          <w:noProof/>
          <w:lang w:val="fr-FR"/>
        </w:rPr>
        <w:t xml:space="preserve"> cibles</w:t>
      </w:r>
      <w:r w:rsidR="005B4A98">
        <w:rPr>
          <w:noProof/>
          <w:lang w:val="fr-FR"/>
        </w:rPr>
        <w:t xml:space="preserve"> concernant les enfants, portant sur des questions telles que le développement du jeune enfant et les soins à lui prodiguer, la </w:t>
      </w:r>
      <w:r w:rsidR="001B2F58" w:rsidRPr="00DD03D6">
        <w:rPr>
          <w:noProof/>
          <w:lang w:val="fr-FR"/>
        </w:rPr>
        <w:t xml:space="preserve">nutrition, </w:t>
      </w:r>
      <w:r w:rsidR="005B4A98">
        <w:rPr>
          <w:noProof/>
          <w:lang w:val="fr-FR"/>
        </w:rPr>
        <w:t>l’absence de domicile</w:t>
      </w:r>
      <w:r w:rsidR="001B2F58" w:rsidRPr="00DD03D6">
        <w:rPr>
          <w:noProof/>
          <w:lang w:val="fr-FR"/>
        </w:rPr>
        <w:t xml:space="preserve">, </w:t>
      </w:r>
      <w:r w:rsidR="005B4A98">
        <w:rPr>
          <w:noProof/>
          <w:lang w:val="fr-FR"/>
        </w:rPr>
        <w:t xml:space="preserve">la </w:t>
      </w:r>
      <w:r w:rsidR="001B2F58" w:rsidRPr="00DD03D6">
        <w:rPr>
          <w:noProof/>
          <w:lang w:val="fr-FR"/>
        </w:rPr>
        <w:t xml:space="preserve">justice </w:t>
      </w:r>
      <w:r w:rsidR="005B4A98">
        <w:rPr>
          <w:noProof/>
          <w:lang w:val="fr-FR"/>
        </w:rPr>
        <w:t xml:space="preserve">pour mineurs et la </w:t>
      </w:r>
      <w:r w:rsidR="001B2F58" w:rsidRPr="00DD03D6">
        <w:rPr>
          <w:noProof/>
          <w:lang w:val="fr-FR"/>
        </w:rPr>
        <w:t xml:space="preserve">participation </w:t>
      </w:r>
      <w:r w:rsidR="005B4A98">
        <w:rPr>
          <w:noProof/>
          <w:lang w:val="fr-FR"/>
        </w:rPr>
        <w:t>des enfants à la prise de décisions</w:t>
      </w:r>
      <w:r w:rsidR="001B2F58" w:rsidRPr="00DD03D6">
        <w:rPr>
          <w:noProof/>
          <w:lang w:val="fr-FR"/>
        </w:rPr>
        <w:t>.</w:t>
      </w:r>
    </w:p>
    <w:p w:rsidR="001B2F58" w:rsidRDefault="00BC6828" w:rsidP="00E508C0">
      <w:pPr>
        <w:pStyle w:val="SingleTxtG"/>
        <w:numPr>
          <w:ilvl w:val="0"/>
          <w:numId w:val="3"/>
        </w:numPr>
        <w:ind w:left="1134" w:firstLine="0"/>
        <w:rPr>
          <w:noProof/>
          <w:lang w:val="fr-FR"/>
        </w:rPr>
      </w:pPr>
      <w:r>
        <w:rPr>
          <w:noProof/>
          <w:lang w:val="fr-FR"/>
        </w:rPr>
        <w:t>L’évolution ré</w:t>
      </w:r>
      <w:r w:rsidR="001B2F58" w:rsidRPr="00DD03D6">
        <w:rPr>
          <w:noProof/>
          <w:lang w:val="fr-FR"/>
        </w:rPr>
        <w:t>cent</w:t>
      </w:r>
      <w:r>
        <w:rPr>
          <w:noProof/>
          <w:lang w:val="fr-FR"/>
        </w:rPr>
        <w:t xml:space="preserve">e de la pauvreté </w:t>
      </w:r>
      <w:r w:rsidR="001C45EA">
        <w:rPr>
          <w:noProof/>
          <w:lang w:val="fr-FR"/>
        </w:rPr>
        <w:t>a amené le Gouvernement à réexaminer l’objectif national en matière de pauvreté afin de pouvoir adopter des objectifs appropriés et réalisables</w:t>
      </w:r>
      <w:r w:rsidR="001B2F58" w:rsidRPr="00DD03D6">
        <w:rPr>
          <w:noProof/>
          <w:lang w:val="fr-FR"/>
        </w:rPr>
        <w:t xml:space="preserve">. </w:t>
      </w:r>
      <w:r w:rsidR="001C45EA">
        <w:rPr>
          <w:noProof/>
          <w:lang w:val="fr-FR"/>
        </w:rPr>
        <w:t>Un nouveau sous-objectif de réduction de la pauvreté infantile a été recomma</w:t>
      </w:r>
      <w:r w:rsidR="001B2F58" w:rsidRPr="00DD03D6">
        <w:rPr>
          <w:noProof/>
          <w:lang w:val="fr-FR"/>
        </w:rPr>
        <w:t>nd</w:t>
      </w:r>
      <w:r w:rsidR="001C45EA">
        <w:rPr>
          <w:noProof/>
          <w:lang w:val="fr-FR"/>
        </w:rPr>
        <w:t xml:space="preserve">é sur la base de ce réexamen. Il se présentera sans doute sous la forme d’un engagement à réduire les taux différentiels de pauvreté constante entre les enfants et les </w:t>
      </w:r>
      <w:r w:rsidR="001C45EA">
        <w:rPr>
          <w:noProof/>
          <w:lang w:val="fr-FR"/>
        </w:rPr>
        <w:lastRenderedPageBreak/>
        <w:t>adultes</w:t>
      </w:r>
      <w:r w:rsidR="001B2F58" w:rsidRPr="00DD03D6">
        <w:rPr>
          <w:noProof/>
          <w:lang w:val="fr-FR"/>
        </w:rPr>
        <w:t xml:space="preserve">. </w:t>
      </w:r>
      <w:r w:rsidR="001C45EA">
        <w:rPr>
          <w:noProof/>
          <w:lang w:val="fr-FR"/>
        </w:rPr>
        <w:t>E</w:t>
      </w:r>
      <w:r w:rsidR="001B2F58" w:rsidRPr="00DD03D6">
        <w:rPr>
          <w:noProof/>
          <w:lang w:val="fr-FR"/>
        </w:rPr>
        <w:t xml:space="preserve">n 2010, </w:t>
      </w:r>
      <w:r w:rsidR="001C45EA">
        <w:rPr>
          <w:noProof/>
          <w:lang w:val="fr-FR"/>
        </w:rPr>
        <w:t>les taux de pauvreté constante parmi les enfants représentaient 1,5 fois ceux des adultes</w:t>
      </w:r>
      <w:r w:rsidR="001B2F58" w:rsidRPr="00DD03D6">
        <w:rPr>
          <w:noProof/>
          <w:lang w:val="fr-FR"/>
        </w:rPr>
        <w:t>.</w:t>
      </w:r>
    </w:p>
    <w:p w:rsidR="001B2F58" w:rsidRPr="00DD03D6" w:rsidRDefault="001C45EA" w:rsidP="00E508C0">
      <w:pPr>
        <w:pStyle w:val="SingleTxtG"/>
        <w:numPr>
          <w:ilvl w:val="0"/>
          <w:numId w:val="3"/>
        </w:numPr>
        <w:ind w:left="1134" w:firstLine="0"/>
        <w:rPr>
          <w:noProof/>
          <w:lang w:val="fr-FR"/>
        </w:rPr>
      </w:pPr>
      <w:r>
        <w:rPr>
          <w:noProof/>
          <w:lang w:val="fr-FR"/>
        </w:rPr>
        <w:t>L’</w:t>
      </w:r>
      <w:r w:rsidR="001B2F58" w:rsidRPr="00DD03D6">
        <w:rPr>
          <w:noProof/>
          <w:lang w:val="fr-FR"/>
        </w:rPr>
        <w:t xml:space="preserve">UNICEF </w:t>
      </w:r>
      <w:r>
        <w:rPr>
          <w:noProof/>
          <w:lang w:val="fr-FR"/>
        </w:rPr>
        <w:t>établit régulièrement des fiches sur la pauvreté et le bien-être des enfants</w:t>
      </w:r>
      <w:r w:rsidRPr="00DD03D6">
        <w:rPr>
          <w:noProof/>
          <w:lang w:val="fr-FR"/>
        </w:rPr>
        <w:t xml:space="preserve">. </w:t>
      </w:r>
      <w:r>
        <w:rPr>
          <w:noProof/>
          <w:lang w:val="fr-FR"/>
        </w:rPr>
        <w:t>La fiche la plus récente, intitulée</w:t>
      </w:r>
      <w:r w:rsidRPr="00DD03D6">
        <w:rPr>
          <w:noProof/>
          <w:lang w:val="fr-FR"/>
        </w:rPr>
        <w:t xml:space="preserve"> </w:t>
      </w:r>
      <w:r w:rsidR="00887DC5">
        <w:rPr>
          <w:i/>
          <w:noProof/>
          <w:lang w:val="fr-FR"/>
        </w:rPr>
        <w:t xml:space="preserve">Les enfants délaissés </w:t>
      </w:r>
      <w:r w:rsidR="00887DC5">
        <w:rPr>
          <w:noProof/>
          <w:lang w:val="fr-FR"/>
        </w:rPr>
        <w:t>(</w:t>
      </w:r>
      <w:r w:rsidRPr="00DD03D6">
        <w:rPr>
          <w:i/>
          <w:iCs/>
          <w:noProof/>
          <w:lang w:val="fr-FR"/>
        </w:rPr>
        <w:t>The Children Left Behind</w:t>
      </w:r>
      <w:r w:rsidR="00887DC5">
        <w:rPr>
          <w:noProof/>
          <w:lang w:val="fr-FR"/>
        </w:rPr>
        <w:t xml:space="preserve">) </w:t>
      </w:r>
      <w:r>
        <w:rPr>
          <w:noProof/>
          <w:lang w:val="fr-FR"/>
        </w:rPr>
        <w:t>(Adamson, 2010)</w:t>
      </w:r>
      <w:r w:rsidRPr="00DD03D6">
        <w:rPr>
          <w:noProof/>
          <w:lang w:val="fr-FR"/>
        </w:rPr>
        <w:t xml:space="preserve">, </w:t>
      </w:r>
      <w:r>
        <w:rPr>
          <w:noProof/>
          <w:lang w:val="fr-FR"/>
        </w:rPr>
        <w:t xml:space="preserve">classe </w:t>
      </w:r>
      <w:r w:rsidRPr="00DD03D6">
        <w:rPr>
          <w:noProof/>
          <w:lang w:val="fr-FR"/>
        </w:rPr>
        <w:t xml:space="preserve">24 </w:t>
      </w:r>
      <w:r>
        <w:rPr>
          <w:noProof/>
          <w:lang w:val="fr-FR"/>
        </w:rPr>
        <w:t>pays membres de l’O</w:t>
      </w:r>
      <w:r w:rsidR="00887DC5">
        <w:rPr>
          <w:noProof/>
          <w:lang w:val="fr-FR"/>
        </w:rPr>
        <w:t xml:space="preserve">rganisation de coopération et de développement économiques </w:t>
      </w:r>
      <w:r>
        <w:rPr>
          <w:noProof/>
          <w:lang w:val="fr-FR"/>
        </w:rPr>
        <w:t xml:space="preserve">selon les résultats obtenus eu égard à trois </w:t>
      </w:r>
      <w:r w:rsidRPr="00DD03D6">
        <w:rPr>
          <w:noProof/>
          <w:lang w:val="fr-FR"/>
        </w:rPr>
        <w:t xml:space="preserve">dimensions </w:t>
      </w:r>
      <w:r>
        <w:rPr>
          <w:noProof/>
          <w:lang w:val="fr-FR"/>
        </w:rPr>
        <w:t>de l’inégalité en matière de bien-être des enfants, à savoir le bien-être sur les plans matériel</w:t>
      </w:r>
      <w:r w:rsidRPr="00DD03D6">
        <w:rPr>
          <w:noProof/>
          <w:lang w:val="fr-FR"/>
        </w:rPr>
        <w:t xml:space="preserve">, </w:t>
      </w:r>
      <w:r>
        <w:rPr>
          <w:noProof/>
          <w:lang w:val="fr-FR"/>
        </w:rPr>
        <w:t>é</w:t>
      </w:r>
      <w:r w:rsidRPr="00DD03D6">
        <w:rPr>
          <w:noProof/>
          <w:lang w:val="fr-FR"/>
        </w:rPr>
        <w:t>ducati</w:t>
      </w:r>
      <w:r>
        <w:rPr>
          <w:noProof/>
          <w:lang w:val="fr-FR"/>
        </w:rPr>
        <w:t>f et sanitaire</w:t>
      </w:r>
      <w:r w:rsidRPr="00DD03D6">
        <w:rPr>
          <w:noProof/>
          <w:lang w:val="fr-FR"/>
        </w:rPr>
        <w:t xml:space="preserve">. </w:t>
      </w:r>
      <w:r w:rsidR="00887DC5">
        <w:rPr>
          <w:noProof/>
          <w:lang w:val="fr-FR"/>
        </w:rPr>
        <w:t xml:space="preserve">En ce qui concerne le bien-être matériel, l’Irlande se classe </w:t>
      </w:r>
      <w:r w:rsidR="00660A4F">
        <w:rPr>
          <w:noProof/>
          <w:lang w:val="fr-FR"/>
        </w:rPr>
        <w:t>treizième</w:t>
      </w:r>
      <w:r w:rsidR="00887DC5">
        <w:rPr>
          <w:noProof/>
          <w:lang w:val="fr-FR"/>
        </w:rPr>
        <w:t xml:space="preserve"> avec un niveau d’inégalité proche de la moyenne de l’OCDE. Le rapport a constaté que l</w:t>
      </w:r>
      <w:r>
        <w:rPr>
          <w:noProof/>
          <w:lang w:val="fr-FR"/>
        </w:rPr>
        <w:t xml:space="preserve">’Irlande </w:t>
      </w:r>
      <w:r w:rsidR="00887DC5">
        <w:rPr>
          <w:noProof/>
          <w:lang w:val="fr-FR"/>
        </w:rPr>
        <w:t xml:space="preserve">réduit les taux de pauvreté infantile d’environ les deux tiers par le biais des transferts sociaux. Il </w:t>
      </w:r>
      <w:r>
        <w:rPr>
          <w:noProof/>
          <w:lang w:val="fr-FR"/>
        </w:rPr>
        <w:t>a</w:t>
      </w:r>
      <w:r w:rsidR="00887DC5">
        <w:rPr>
          <w:noProof/>
          <w:lang w:val="fr-FR"/>
        </w:rPr>
        <w:t xml:space="preserve">ttribue à l’Irlande </w:t>
      </w:r>
      <w:r>
        <w:rPr>
          <w:noProof/>
          <w:lang w:val="fr-FR"/>
        </w:rPr>
        <w:t xml:space="preserve">une note de </w:t>
      </w:r>
      <w:r w:rsidRPr="00DD03D6">
        <w:rPr>
          <w:noProof/>
          <w:lang w:val="fr-FR"/>
        </w:rPr>
        <w:t xml:space="preserve">7 </w:t>
      </w:r>
      <w:r>
        <w:rPr>
          <w:noProof/>
          <w:lang w:val="fr-FR"/>
        </w:rPr>
        <w:t xml:space="preserve">sur </w:t>
      </w:r>
      <w:r w:rsidRPr="00DD03D6">
        <w:rPr>
          <w:noProof/>
          <w:lang w:val="fr-FR"/>
        </w:rPr>
        <w:t>8</w:t>
      </w:r>
      <w:r>
        <w:rPr>
          <w:noProof/>
          <w:lang w:val="fr-FR"/>
        </w:rPr>
        <w:t xml:space="preserve"> pour ses résultats globaux en matière d’inégalité</w:t>
      </w:r>
      <w:r w:rsidR="001B2AC4" w:rsidRPr="00DD03D6">
        <w:rPr>
          <w:rStyle w:val="Appelnotedebasdep"/>
          <w:noProof/>
          <w:lang w:val="fr-FR"/>
        </w:rPr>
        <w:footnoteReference w:id="41"/>
      </w:r>
      <w:r w:rsidR="00303B92">
        <w:rPr>
          <w:noProof/>
          <w:lang w:val="fr-FR"/>
        </w:rPr>
        <w:t xml:space="preserve">, ce qui la place au </w:t>
      </w:r>
      <w:r w:rsidR="00660A4F">
        <w:rPr>
          <w:noProof/>
          <w:lang w:val="fr-FR"/>
        </w:rPr>
        <w:t>deuxième</w:t>
      </w:r>
      <w:r w:rsidR="00303B92">
        <w:rPr>
          <w:noProof/>
          <w:lang w:val="fr-FR"/>
        </w:rPr>
        <w:t xml:space="preserve"> rang, </w:t>
      </w:r>
      <w:r>
        <w:rPr>
          <w:noProof/>
          <w:lang w:val="fr-FR"/>
        </w:rPr>
        <w:t>avec l’Islande, la Norvège et la Suède</w:t>
      </w:r>
      <w:r w:rsidRPr="00DD03D6">
        <w:rPr>
          <w:noProof/>
          <w:lang w:val="fr-FR"/>
        </w:rPr>
        <w:t>.</w:t>
      </w:r>
    </w:p>
    <w:p w:rsidR="001B2F58" w:rsidRPr="00DD03D6" w:rsidRDefault="00303B92" w:rsidP="001B2AC4">
      <w:pPr>
        <w:pStyle w:val="SingleTxtG"/>
        <w:numPr>
          <w:ilvl w:val="0"/>
          <w:numId w:val="3"/>
        </w:numPr>
        <w:ind w:left="1134" w:firstLine="0"/>
        <w:rPr>
          <w:noProof/>
          <w:lang w:val="fr-FR"/>
        </w:rPr>
      </w:pPr>
      <w:r>
        <w:rPr>
          <w:noProof/>
          <w:lang w:val="fr-FR"/>
        </w:rPr>
        <w:t>L’amélioration de la situation des groupes vulné</w:t>
      </w:r>
      <w:r w:rsidR="001B2F58" w:rsidRPr="00DD03D6">
        <w:rPr>
          <w:noProof/>
          <w:lang w:val="fr-FR"/>
        </w:rPr>
        <w:t>rable</w:t>
      </w:r>
      <w:r>
        <w:rPr>
          <w:noProof/>
          <w:lang w:val="fr-FR"/>
        </w:rPr>
        <w:t>s</w:t>
      </w:r>
      <w:r w:rsidR="001B2F58" w:rsidRPr="00DD03D6">
        <w:rPr>
          <w:noProof/>
          <w:lang w:val="fr-FR"/>
        </w:rPr>
        <w:t xml:space="preserve">, </w:t>
      </w:r>
      <w:r>
        <w:rPr>
          <w:noProof/>
          <w:lang w:val="fr-FR"/>
        </w:rPr>
        <w:t xml:space="preserve">tels que les enfants, les parents isolés, les personnes handicapées et les ménages </w:t>
      </w:r>
      <w:r w:rsidR="00637C9B">
        <w:rPr>
          <w:noProof/>
          <w:lang w:val="fr-FR"/>
        </w:rPr>
        <w:t>sans emploi</w:t>
      </w:r>
      <w:r w:rsidR="001B2F58" w:rsidRPr="00DD03D6">
        <w:rPr>
          <w:noProof/>
          <w:lang w:val="fr-FR"/>
        </w:rPr>
        <w:t xml:space="preserve">, </w:t>
      </w:r>
      <w:r w:rsidR="00637C9B">
        <w:rPr>
          <w:noProof/>
          <w:lang w:val="fr-FR"/>
        </w:rPr>
        <w:t xml:space="preserve">est indispensable pour atteindre l’objectif social national de réduction de la pauvreté d’ici à </w:t>
      </w:r>
      <w:r w:rsidR="001B2F58" w:rsidRPr="00DD03D6">
        <w:rPr>
          <w:noProof/>
          <w:lang w:val="fr-FR"/>
        </w:rPr>
        <w:t xml:space="preserve">2020. </w:t>
      </w:r>
      <w:r w:rsidR="00637C9B">
        <w:rPr>
          <w:noProof/>
          <w:lang w:val="fr-FR"/>
        </w:rPr>
        <w:t xml:space="preserve">Cet objectif consiste à ramener le taux de pauvreté constante à </w:t>
      </w:r>
      <w:r w:rsidR="001B2F58" w:rsidRPr="00DD03D6">
        <w:rPr>
          <w:noProof/>
          <w:lang w:val="fr-FR"/>
        </w:rPr>
        <w:t>4</w:t>
      </w:r>
      <w:r w:rsidR="003F1ADB">
        <w:rPr>
          <w:noProof/>
          <w:lang w:val="fr-FR"/>
        </w:rPr>
        <w:t> %</w:t>
      </w:r>
      <w:r w:rsidR="001B2F58" w:rsidRPr="00DD03D6">
        <w:rPr>
          <w:noProof/>
          <w:lang w:val="fr-FR"/>
        </w:rPr>
        <w:t xml:space="preserve"> </w:t>
      </w:r>
      <w:r w:rsidR="00637C9B">
        <w:rPr>
          <w:noProof/>
          <w:lang w:val="fr-FR"/>
        </w:rPr>
        <w:t xml:space="preserve">d’ici à </w:t>
      </w:r>
      <w:r w:rsidR="001B2F58" w:rsidRPr="00DD03D6">
        <w:rPr>
          <w:noProof/>
          <w:lang w:val="fr-FR"/>
        </w:rPr>
        <w:t>2016 (</w:t>
      </w:r>
      <w:r w:rsidR="00367766">
        <w:rPr>
          <w:noProof/>
          <w:lang w:val="fr-FR"/>
        </w:rPr>
        <w:t>objectif intermédiaire</w:t>
      </w:r>
      <w:r w:rsidR="001B2F58" w:rsidRPr="00DD03D6">
        <w:rPr>
          <w:noProof/>
          <w:lang w:val="fr-FR"/>
        </w:rPr>
        <w:t xml:space="preserve">) </w:t>
      </w:r>
      <w:r w:rsidR="00367766">
        <w:rPr>
          <w:noProof/>
          <w:lang w:val="fr-FR"/>
        </w:rPr>
        <w:t xml:space="preserve">et à </w:t>
      </w:r>
      <w:r w:rsidR="001B2F58" w:rsidRPr="00DD03D6">
        <w:rPr>
          <w:noProof/>
          <w:lang w:val="fr-FR"/>
        </w:rPr>
        <w:t>2</w:t>
      </w:r>
      <w:r w:rsidR="003F1ADB">
        <w:rPr>
          <w:noProof/>
          <w:lang w:val="fr-FR"/>
        </w:rPr>
        <w:t> %</w:t>
      </w:r>
      <w:r w:rsidR="001B2F58" w:rsidRPr="00DD03D6">
        <w:rPr>
          <w:noProof/>
          <w:lang w:val="fr-FR"/>
        </w:rPr>
        <w:t xml:space="preserve"> </w:t>
      </w:r>
      <w:r w:rsidR="00367766">
        <w:rPr>
          <w:noProof/>
          <w:lang w:val="fr-FR"/>
        </w:rPr>
        <w:t xml:space="preserve">ou moins d’ici à </w:t>
      </w:r>
      <w:r w:rsidR="001B2F58" w:rsidRPr="00DD03D6">
        <w:rPr>
          <w:noProof/>
          <w:lang w:val="fr-FR"/>
        </w:rPr>
        <w:t xml:space="preserve">2020, </w:t>
      </w:r>
      <w:r w:rsidR="00367766">
        <w:rPr>
          <w:noProof/>
          <w:lang w:val="fr-FR"/>
        </w:rPr>
        <w:t>par rapport au taux de référence de 6,2</w:t>
      </w:r>
      <w:r w:rsidR="003F1ADB">
        <w:rPr>
          <w:noProof/>
          <w:lang w:val="fr-FR"/>
        </w:rPr>
        <w:t> %</w:t>
      </w:r>
      <w:r w:rsidR="00367766">
        <w:rPr>
          <w:noProof/>
          <w:lang w:val="fr-FR"/>
        </w:rPr>
        <w:t xml:space="preserve"> en </w:t>
      </w:r>
      <w:r w:rsidR="001B2F58" w:rsidRPr="00DD03D6">
        <w:rPr>
          <w:noProof/>
          <w:lang w:val="fr-FR"/>
        </w:rPr>
        <w:t xml:space="preserve">2010. </w:t>
      </w:r>
      <w:r w:rsidR="00367766">
        <w:rPr>
          <w:noProof/>
          <w:lang w:val="fr-FR"/>
        </w:rPr>
        <w:t xml:space="preserve">Cela suppose de mener des </w:t>
      </w:r>
      <w:r w:rsidR="001B2F58" w:rsidRPr="00DD03D6">
        <w:rPr>
          <w:noProof/>
          <w:lang w:val="fr-FR"/>
        </w:rPr>
        <w:t xml:space="preserve">interventions </w:t>
      </w:r>
      <w:r w:rsidR="00367766">
        <w:rPr>
          <w:noProof/>
          <w:lang w:val="fr-FR"/>
        </w:rPr>
        <w:t xml:space="preserve">ciblées pour remédier à des problèmes </w:t>
      </w:r>
      <w:r w:rsidR="001B2F58" w:rsidRPr="00DD03D6">
        <w:rPr>
          <w:noProof/>
          <w:lang w:val="fr-FR"/>
        </w:rPr>
        <w:t>multiple</w:t>
      </w:r>
      <w:r w:rsidR="00367766">
        <w:rPr>
          <w:noProof/>
          <w:lang w:val="fr-FR"/>
        </w:rPr>
        <w:t>s</w:t>
      </w:r>
      <w:r w:rsidR="001B2F58" w:rsidRPr="00DD03D6">
        <w:rPr>
          <w:noProof/>
          <w:lang w:val="fr-FR"/>
        </w:rPr>
        <w:t xml:space="preserve">. </w:t>
      </w:r>
      <w:r w:rsidR="00367766">
        <w:rPr>
          <w:noProof/>
          <w:lang w:val="fr-FR"/>
        </w:rPr>
        <w:t>E</w:t>
      </w:r>
      <w:r w:rsidR="001B2F58" w:rsidRPr="00DD03D6">
        <w:rPr>
          <w:noProof/>
          <w:lang w:val="fr-FR"/>
        </w:rPr>
        <w:t>n particul</w:t>
      </w:r>
      <w:r w:rsidR="00367766">
        <w:rPr>
          <w:noProof/>
          <w:lang w:val="fr-FR"/>
        </w:rPr>
        <w:t>ie</w:t>
      </w:r>
      <w:r w:rsidR="001B2F58" w:rsidRPr="00DD03D6">
        <w:rPr>
          <w:noProof/>
          <w:lang w:val="fr-FR"/>
        </w:rPr>
        <w:t xml:space="preserve">r, </w:t>
      </w:r>
      <w:r w:rsidR="00367766">
        <w:rPr>
          <w:noProof/>
          <w:lang w:val="fr-FR"/>
        </w:rPr>
        <w:t xml:space="preserve">il est prévu d’adopter une nouvelle approche devant permettre de </w:t>
      </w:r>
      <w:r w:rsidR="00367766">
        <w:rPr>
          <w:lang w:val="fr-FR"/>
        </w:rPr>
        <w:t>rompre les cycles le plus profondément ancrés de la pauvreté infantile</w:t>
      </w:r>
      <w:r w:rsidR="001B2F58" w:rsidRPr="00DD03D6">
        <w:rPr>
          <w:noProof/>
          <w:lang w:val="fr-FR"/>
        </w:rPr>
        <w:t xml:space="preserve">, </w:t>
      </w:r>
      <w:r w:rsidR="00367766">
        <w:rPr>
          <w:noProof/>
          <w:lang w:val="fr-FR"/>
        </w:rPr>
        <w:t xml:space="preserve">comme l’a indiqué le Gouvernement dans son </w:t>
      </w:r>
      <w:r w:rsidR="001B2F58" w:rsidRPr="00DD03D6">
        <w:rPr>
          <w:noProof/>
          <w:lang w:val="fr-FR"/>
        </w:rPr>
        <w:t xml:space="preserve">Programme </w:t>
      </w:r>
      <w:r w:rsidR="00367766">
        <w:rPr>
          <w:noProof/>
          <w:lang w:val="fr-FR"/>
        </w:rPr>
        <w:t xml:space="preserve">pour </w:t>
      </w:r>
      <w:r w:rsidR="001B2F58" w:rsidRPr="00DD03D6">
        <w:rPr>
          <w:noProof/>
          <w:lang w:val="fr-FR"/>
        </w:rPr>
        <w:t>2011-2016.</w:t>
      </w:r>
    </w:p>
    <w:p w:rsidR="001B2F58" w:rsidRPr="00DD03D6" w:rsidRDefault="00785717" w:rsidP="001B2AC4">
      <w:pPr>
        <w:pStyle w:val="SingleTxtG"/>
        <w:numPr>
          <w:ilvl w:val="0"/>
          <w:numId w:val="3"/>
        </w:numPr>
        <w:ind w:left="1134" w:firstLine="0"/>
        <w:rPr>
          <w:noProof/>
          <w:lang w:val="fr-FR"/>
        </w:rPr>
      </w:pPr>
      <w:r>
        <w:rPr>
          <w:noProof/>
          <w:lang w:val="fr-FR"/>
        </w:rPr>
        <w:t>L’</w:t>
      </w:r>
      <w:r w:rsidR="001B2F58" w:rsidRPr="00DD03D6">
        <w:rPr>
          <w:noProof/>
          <w:lang w:val="fr-FR"/>
        </w:rPr>
        <w:t>Irland</w:t>
      </w:r>
      <w:r>
        <w:rPr>
          <w:noProof/>
          <w:lang w:val="fr-FR"/>
        </w:rPr>
        <w:t>e</w:t>
      </w:r>
      <w:r w:rsidR="001B2F58" w:rsidRPr="00DD03D6">
        <w:rPr>
          <w:noProof/>
          <w:lang w:val="fr-FR"/>
        </w:rPr>
        <w:t xml:space="preserve"> </w:t>
      </w:r>
      <w:r w:rsidR="001A6F00">
        <w:rPr>
          <w:noProof/>
          <w:lang w:val="fr-FR"/>
        </w:rPr>
        <w:t>est détermin</w:t>
      </w:r>
      <w:r w:rsidR="00840296">
        <w:rPr>
          <w:noProof/>
          <w:lang w:val="fr-FR"/>
        </w:rPr>
        <w:t>ée</w:t>
      </w:r>
      <w:r w:rsidR="001A6F00">
        <w:rPr>
          <w:noProof/>
          <w:lang w:val="fr-FR"/>
        </w:rPr>
        <w:t xml:space="preserve"> à appliquer un certain nombre de stratégies de l’UE qui visent à réduire la pauvreté, notamment le </w:t>
      </w:r>
      <w:r w:rsidR="001A6F00" w:rsidRPr="00804778">
        <w:rPr>
          <w:noProof/>
          <w:lang w:val="fr-FR"/>
        </w:rPr>
        <w:t>Programme national de réforme pour l’Irlande, établi en vertu de la Stratégie Europe 2020</w:t>
      </w:r>
      <w:r w:rsidR="00804778">
        <w:rPr>
          <w:noProof/>
          <w:lang w:val="fr-FR"/>
        </w:rPr>
        <w:t>, et le</w:t>
      </w:r>
      <w:r w:rsidR="001B2F58" w:rsidRPr="00DD03D6">
        <w:rPr>
          <w:noProof/>
          <w:lang w:val="fr-FR"/>
        </w:rPr>
        <w:t xml:space="preserve"> </w:t>
      </w:r>
      <w:r w:rsidR="00804778">
        <w:rPr>
          <w:noProof/>
          <w:lang w:val="fr-FR"/>
        </w:rPr>
        <w:t>Rapport social n</w:t>
      </w:r>
      <w:r w:rsidR="001B2F58" w:rsidRPr="00DD03D6">
        <w:rPr>
          <w:noProof/>
          <w:lang w:val="fr-FR"/>
        </w:rPr>
        <w:t xml:space="preserve">ational </w:t>
      </w:r>
      <w:r w:rsidR="00804778">
        <w:rPr>
          <w:noProof/>
          <w:lang w:val="fr-FR"/>
        </w:rPr>
        <w:t>établi en vertu de la méthode ouverte de coordination de l’UE</w:t>
      </w:r>
      <w:r w:rsidR="001B2F58" w:rsidRPr="00DD03D6">
        <w:rPr>
          <w:noProof/>
          <w:lang w:val="fr-FR"/>
        </w:rPr>
        <w:t xml:space="preserve">. </w:t>
      </w:r>
      <w:r w:rsidR="00804778">
        <w:rPr>
          <w:noProof/>
          <w:lang w:val="fr-FR"/>
        </w:rPr>
        <w:t xml:space="preserve">La </w:t>
      </w:r>
      <w:r w:rsidR="001B2F58" w:rsidRPr="00DD03D6">
        <w:rPr>
          <w:noProof/>
          <w:lang w:val="fr-FR"/>
        </w:rPr>
        <w:t xml:space="preserve">contribution </w:t>
      </w:r>
      <w:r w:rsidR="00804778">
        <w:rPr>
          <w:noProof/>
          <w:lang w:val="fr-FR"/>
        </w:rPr>
        <w:t xml:space="preserve">de l’Irlande à l’objectif de l’UE en matière de réduction de la pauvreté consiste à faire en sorte qu’au moins </w:t>
      </w:r>
      <w:r w:rsidR="001B2F58" w:rsidRPr="00DD03D6">
        <w:rPr>
          <w:noProof/>
          <w:lang w:val="fr-FR"/>
        </w:rPr>
        <w:t>200</w:t>
      </w:r>
      <w:r w:rsidR="00660A4F">
        <w:rPr>
          <w:noProof/>
          <w:lang w:val="fr-FR"/>
        </w:rPr>
        <w:t> 000 </w:t>
      </w:r>
      <w:r w:rsidR="001B2F58" w:rsidRPr="00DD03D6">
        <w:rPr>
          <w:noProof/>
          <w:lang w:val="fr-FR"/>
        </w:rPr>
        <w:t>pe</w:t>
      </w:r>
      <w:r w:rsidR="00804778">
        <w:rPr>
          <w:noProof/>
          <w:lang w:val="fr-FR"/>
        </w:rPr>
        <w:t xml:space="preserve">rsonnes ne se trouvent plus en situation de risque de pauvreté ou d’exclusion sociale d’ici à </w:t>
      </w:r>
      <w:r w:rsidR="001B2F58" w:rsidRPr="00DD03D6">
        <w:rPr>
          <w:noProof/>
          <w:lang w:val="fr-FR"/>
        </w:rPr>
        <w:t xml:space="preserve">2020 </w:t>
      </w:r>
      <w:r w:rsidR="00804778">
        <w:rPr>
          <w:noProof/>
          <w:lang w:val="fr-FR"/>
        </w:rPr>
        <w:t xml:space="preserve">par rapport à la référence de </w:t>
      </w:r>
      <w:r w:rsidR="001B2F58" w:rsidRPr="00DD03D6">
        <w:rPr>
          <w:noProof/>
          <w:lang w:val="fr-FR"/>
        </w:rPr>
        <w:t>2010.</w:t>
      </w:r>
    </w:p>
    <w:p w:rsidR="001B2F58" w:rsidRPr="00DD03D6" w:rsidRDefault="001B2AC4" w:rsidP="001B2AC4">
      <w:pPr>
        <w:pStyle w:val="H23G"/>
        <w:rPr>
          <w:noProof/>
          <w:lang w:val="fr-FR"/>
        </w:rPr>
      </w:pPr>
      <w:r w:rsidRPr="00DD03D6">
        <w:rPr>
          <w:noProof/>
          <w:lang w:val="fr-FR"/>
        </w:rPr>
        <w:tab/>
      </w:r>
      <w:r w:rsidRPr="00DD03D6">
        <w:rPr>
          <w:noProof/>
          <w:lang w:val="fr-FR"/>
        </w:rPr>
        <w:tab/>
      </w:r>
      <w:r w:rsidR="001B2F58" w:rsidRPr="00DD03D6">
        <w:rPr>
          <w:noProof/>
          <w:lang w:val="fr-FR"/>
        </w:rPr>
        <w:t>Nutrition</w:t>
      </w:r>
    </w:p>
    <w:p w:rsidR="001B2F58" w:rsidRPr="00DD03D6" w:rsidRDefault="00706132" w:rsidP="001B2AC4">
      <w:pPr>
        <w:pStyle w:val="SingleTxtG"/>
        <w:numPr>
          <w:ilvl w:val="0"/>
          <w:numId w:val="3"/>
        </w:numPr>
        <w:ind w:left="1134" w:firstLine="0"/>
        <w:rPr>
          <w:noProof/>
          <w:lang w:val="fr-FR"/>
        </w:rPr>
      </w:pPr>
      <w:r>
        <w:rPr>
          <w:noProof/>
          <w:lang w:val="fr-FR"/>
        </w:rPr>
        <w:t>Une allocation de supplément nutritionnel peut être versée au titre du régime d’aide sociale supplémentaire à des enfants remplissant les conditions requises auxquels un régime spécial est prescrit en liaison avec une maladie spécifiée</w:t>
      </w:r>
      <w:r w:rsidR="001B2F58" w:rsidRPr="00DD03D6">
        <w:rPr>
          <w:noProof/>
          <w:lang w:val="fr-FR"/>
        </w:rPr>
        <w:t>.</w:t>
      </w:r>
    </w:p>
    <w:p w:rsidR="001B2F58" w:rsidRPr="00DD03D6" w:rsidRDefault="00706132" w:rsidP="001B2AC4">
      <w:pPr>
        <w:pStyle w:val="SingleTxtG"/>
        <w:numPr>
          <w:ilvl w:val="0"/>
          <w:numId w:val="3"/>
        </w:numPr>
        <w:ind w:left="1134" w:firstLine="0"/>
        <w:rPr>
          <w:noProof/>
          <w:lang w:val="fr-FR"/>
        </w:rPr>
      </w:pPr>
      <w:r>
        <w:rPr>
          <w:noProof/>
          <w:lang w:val="fr-FR"/>
        </w:rPr>
        <w:t xml:space="preserve">Le </w:t>
      </w:r>
      <w:r w:rsidR="001B2F58" w:rsidRPr="00DD03D6">
        <w:rPr>
          <w:noProof/>
          <w:lang w:val="fr-FR"/>
        </w:rPr>
        <w:t xml:space="preserve">Programme </w:t>
      </w:r>
      <w:r>
        <w:rPr>
          <w:noProof/>
          <w:lang w:val="fr-FR"/>
        </w:rPr>
        <w:t xml:space="preserve">de </w:t>
      </w:r>
      <w:r w:rsidR="00A86150">
        <w:rPr>
          <w:noProof/>
          <w:lang w:val="fr-FR"/>
        </w:rPr>
        <w:t>cantine</w:t>
      </w:r>
      <w:r>
        <w:rPr>
          <w:noProof/>
          <w:lang w:val="fr-FR"/>
        </w:rPr>
        <w:t xml:space="preserve">s scolaires géré par le Ministère de la protection sociale finance la fourniture de services alimentaires aux enfants défavorisés </w:t>
      </w:r>
      <w:r w:rsidR="00A86150">
        <w:rPr>
          <w:noProof/>
          <w:lang w:val="fr-FR"/>
        </w:rPr>
        <w:t xml:space="preserve">par le biais de deux dispositifs </w:t>
      </w:r>
      <w:r w:rsidR="001B2F58" w:rsidRPr="00DD03D6">
        <w:rPr>
          <w:noProof/>
          <w:lang w:val="fr-FR"/>
        </w:rPr>
        <w:t>:</w:t>
      </w:r>
    </w:p>
    <w:p w:rsidR="001B2F58" w:rsidRPr="00DD03D6" w:rsidRDefault="00A86150" w:rsidP="00660A4F">
      <w:pPr>
        <w:pStyle w:val="Bullet1G"/>
        <w:tabs>
          <w:tab w:val="clear" w:pos="1701"/>
          <w:tab w:val="left" w:pos="1843"/>
          <w:tab w:val="left" w:pos="6237"/>
        </w:tabs>
        <w:ind w:left="1843" w:hanging="142"/>
        <w:rPr>
          <w:noProof/>
          <w:lang w:val="fr-FR"/>
        </w:rPr>
      </w:pPr>
      <w:r>
        <w:rPr>
          <w:noProof/>
          <w:lang w:val="fr-FR"/>
        </w:rPr>
        <w:t>L</w:t>
      </w:r>
      <w:r w:rsidR="00146CC6">
        <w:rPr>
          <w:noProof/>
          <w:lang w:val="fr-FR"/>
        </w:rPr>
        <w:t>e</w:t>
      </w:r>
      <w:r w:rsidR="00A13CB5">
        <w:rPr>
          <w:noProof/>
          <w:lang w:val="fr-FR"/>
        </w:rPr>
        <w:t xml:space="preserve"> plan </w:t>
      </w:r>
      <w:r>
        <w:rPr>
          <w:noProof/>
          <w:lang w:val="fr-FR"/>
        </w:rPr>
        <w:t>public de cantines scolaires en milieu urbain, géré par les autorités locales et financé en partie par le Ministère de la protection sociale</w:t>
      </w:r>
      <w:r w:rsidR="001B2F58" w:rsidRPr="00DD03D6">
        <w:rPr>
          <w:noProof/>
          <w:lang w:val="fr-FR"/>
        </w:rPr>
        <w:t>;</w:t>
      </w:r>
    </w:p>
    <w:p w:rsidR="001B2F58" w:rsidRPr="00DD03D6" w:rsidRDefault="00146CC6" w:rsidP="00660A4F">
      <w:pPr>
        <w:pStyle w:val="Bullet1G"/>
        <w:tabs>
          <w:tab w:val="clear" w:pos="1701"/>
          <w:tab w:val="left" w:pos="1843"/>
          <w:tab w:val="left" w:pos="6237"/>
        </w:tabs>
        <w:ind w:left="1843" w:hanging="142"/>
        <w:rPr>
          <w:noProof/>
          <w:lang w:val="fr-FR"/>
        </w:rPr>
      </w:pPr>
      <w:r>
        <w:rPr>
          <w:noProof/>
          <w:lang w:val="fr-FR"/>
        </w:rPr>
        <w:t xml:space="preserve">Le </w:t>
      </w:r>
      <w:r w:rsidR="00A13CB5">
        <w:rPr>
          <w:noProof/>
          <w:lang w:val="fr-FR"/>
        </w:rPr>
        <w:t xml:space="preserve">plan </w:t>
      </w:r>
      <w:r>
        <w:rPr>
          <w:noProof/>
          <w:lang w:val="fr-FR"/>
        </w:rPr>
        <w:t>de cantines scolaires lié à des initiatives locales</w:t>
      </w:r>
      <w:r w:rsidR="001B2F58" w:rsidRPr="00DD03D6">
        <w:rPr>
          <w:noProof/>
          <w:lang w:val="fr-FR"/>
        </w:rPr>
        <w:t xml:space="preserve">, </w:t>
      </w:r>
      <w:r>
        <w:rPr>
          <w:noProof/>
          <w:lang w:val="fr-FR"/>
        </w:rPr>
        <w:t xml:space="preserve">par le biais duquel un financement est fourni directement aux écoles participantes et aux </w:t>
      </w:r>
      <w:r w:rsidR="00C616DD">
        <w:rPr>
          <w:noProof/>
          <w:lang w:val="fr-FR"/>
        </w:rPr>
        <w:t>associations locales qui gèrent leurs propres cantines scolaires</w:t>
      </w:r>
      <w:r w:rsidR="001B2F58" w:rsidRPr="00DD03D6">
        <w:rPr>
          <w:noProof/>
          <w:lang w:val="fr-FR"/>
        </w:rPr>
        <w:t xml:space="preserve">. </w:t>
      </w:r>
    </w:p>
    <w:p w:rsidR="001B2F58" w:rsidRPr="00DD03D6" w:rsidRDefault="00840296" w:rsidP="008F0730">
      <w:pPr>
        <w:pStyle w:val="SingleTxtG"/>
        <w:numPr>
          <w:ilvl w:val="0"/>
          <w:numId w:val="3"/>
        </w:numPr>
        <w:ind w:left="1134" w:firstLine="0"/>
        <w:rPr>
          <w:noProof/>
          <w:lang w:val="fr-FR"/>
        </w:rPr>
      </w:pPr>
      <w:r>
        <w:rPr>
          <w:noProof/>
          <w:lang w:val="fr-FR"/>
        </w:rPr>
        <w:t xml:space="preserve">Le financement acheminé par le biais du </w:t>
      </w:r>
      <w:r w:rsidR="00A13CB5">
        <w:rPr>
          <w:noProof/>
          <w:lang w:val="fr-FR"/>
        </w:rPr>
        <w:t xml:space="preserve">plan </w:t>
      </w:r>
      <w:r>
        <w:rPr>
          <w:noProof/>
          <w:lang w:val="fr-FR"/>
        </w:rPr>
        <w:t xml:space="preserve">de cantines scolaires lié à des initiatives locales est destiné en priorité aux écoles qui relèvent du programme du Ministère de l’éducation et de la formation en faveur des écoles défavorisées intitulé Égalité des </w:t>
      </w:r>
      <w:r>
        <w:rPr>
          <w:noProof/>
          <w:lang w:val="fr-FR"/>
        </w:rPr>
        <w:lastRenderedPageBreak/>
        <w:t>chances en milieu scolaire (</w:t>
      </w:r>
      <w:r w:rsidR="001B2F58" w:rsidRPr="00DD03D6">
        <w:rPr>
          <w:noProof/>
          <w:lang w:val="fr-FR"/>
        </w:rPr>
        <w:t>Delivering Equality of Opportunity in Schools</w:t>
      </w:r>
      <w:r>
        <w:rPr>
          <w:noProof/>
          <w:lang w:val="fr-FR"/>
        </w:rPr>
        <w:t>)</w:t>
      </w:r>
      <w:r w:rsidR="001B2F58" w:rsidRPr="00DD03D6">
        <w:rPr>
          <w:noProof/>
          <w:lang w:val="fr-FR"/>
        </w:rPr>
        <w:t xml:space="preserve"> (</w:t>
      </w:r>
      <w:r>
        <w:rPr>
          <w:noProof/>
          <w:lang w:val="fr-FR"/>
        </w:rPr>
        <w:t xml:space="preserve">voir </w:t>
      </w:r>
      <w:r w:rsidR="00473813" w:rsidRPr="00DD03D6">
        <w:rPr>
          <w:noProof/>
          <w:lang w:val="fr-FR"/>
        </w:rPr>
        <w:t>p</w:t>
      </w:r>
      <w:r w:rsidR="00796A7C" w:rsidRPr="00DD03D6">
        <w:rPr>
          <w:noProof/>
          <w:lang w:val="fr-FR"/>
        </w:rPr>
        <w:t>ar</w:t>
      </w:r>
      <w:r w:rsidR="00473813" w:rsidRPr="00DD03D6">
        <w:rPr>
          <w:noProof/>
          <w:lang w:val="fr-FR"/>
        </w:rPr>
        <w:t>.</w:t>
      </w:r>
      <w:r w:rsidR="00796A7C" w:rsidRPr="00DD03D6">
        <w:rPr>
          <w:noProof/>
          <w:lang w:val="fr-FR"/>
        </w:rPr>
        <w:t> </w:t>
      </w:r>
      <w:r w:rsidR="00473813" w:rsidRPr="00DD03D6">
        <w:rPr>
          <w:noProof/>
          <w:lang w:val="fr-FR"/>
        </w:rPr>
        <w:t>588</w:t>
      </w:r>
      <w:r>
        <w:rPr>
          <w:noProof/>
          <w:lang w:val="fr-FR"/>
        </w:rPr>
        <w:t xml:space="preserve"> à </w:t>
      </w:r>
      <w:r w:rsidR="00473813" w:rsidRPr="00DD03D6">
        <w:rPr>
          <w:noProof/>
          <w:lang w:val="fr-FR"/>
        </w:rPr>
        <w:t>591</w:t>
      </w:r>
      <w:r w:rsidR="001B2F58" w:rsidRPr="00DD03D6">
        <w:rPr>
          <w:noProof/>
          <w:lang w:val="fr-FR"/>
        </w:rPr>
        <w:t xml:space="preserve">). </w:t>
      </w:r>
      <w:r>
        <w:rPr>
          <w:noProof/>
          <w:lang w:val="fr-FR"/>
        </w:rPr>
        <w:t xml:space="preserve">Toutefois, </w:t>
      </w:r>
      <w:r w:rsidR="00961F74">
        <w:rPr>
          <w:noProof/>
          <w:lang w:val="fr-FR"/>
        </w:rPr>
        <w:t>le financement n’est pas accordé de façon automatique et toutes les demandes doivent être examinées compte tenu du budget disponible</w:t>
      </w:r>
      <w:r w:rsidR="00A13CB5">
        <w:rPr>
          <w:noProof/>
          <w:lang w:val="fr-FR"/>
        </w:rPr>
        <w:t xml:space="preserve"> pour le plan</w:t>
      </w:r>
      <w:r w:rsidR="001B2F58" w:rsidRPr="00DD03D6">
        <w:rPr>
          <w:noProof/>
          <w:lang w:val="fr-FR"/>
        </w:rPr>
        <w:t xml:space="preserve">. </w:t>
      </w:r>
      <w:r w:rsidR="00961F74">
        <w:rPr>
          <w:noProof/>
          <w:lang w:val="fr-FR"/>
        </w:rPr>
        <w:t xml:space="preserve">Le nombre d’enfants bénéficiant de ce </w:t>
      </w:r>
      <w:r w:rsidR="001B2F58" w:rsidRPr="00DD03D6">
        <w:rPr>
          <w:noProof/>
          <w:lang w:val="fr-FR"/>
        </w:rPr>
        <w:t xml:space="preserve">programme </w:t>
      </w:r>
      <w:r w:rsidR="00961F74">
        <w:rPr>
          <w:noProof/>
          <w:lang w:val="fr-FR"/>
        </w:rPr>
        <w:t xml:space="preserve">est passé de </w:t>
      </w:r>
      <w:r w:rsidR="001B2F58" w:rsidRPr="00DD03D6">
        <w:rPr>
          <w:noProof/>
          <w:lang w:val="fr-FR"/>
        </w:rPr>
        <w:t>125</w:t>
      </w:r>
      <w:r w:rsidR="00660A4F">
        <w:rPr>
          <w:noProof/>
          <w:lang w:val="fr-FR"/>
        </w:rPr>
        <w:t> </w:t>
      </w:r>
      <w:r w:rsidR="001B2F58" w:rsidRPr="00DD03D6">
        <w:rPr>
          <w:noProof/>
          <w:lang w:val="fr-FR"/>
        </w:rPr>
        <w:t xml:space="preserve">138 </w:t>
      </w:r>
      <w:r w:rsidR="00961F74">
        <w:rPr>
          <w:noProof/>
          <w:lang w:val="fr-FR"/>
        </w:rPr>
        <w:t>e</w:t>
      </w:r>
      <w:r w:rsidR="001B2F58" w:rsidRPr="00DD03D6">
        <w:rPr>
          <w:noProof/>
          <w:lang w:val="fr-FR"/>
        </w:rPr>
        <w:t xml:space="preserve">n 2006 </w:t>
      </w:r>
      <w:r w:rsidR="00961F74">
        <w:rPr>
          <w:noProof/>
          <w:lang w:val="fr-FR"/>
        </w:rPr>
        <w:t xml:space="preserve">à plus de </w:t>
      </w:r>
      <w:r w:rsidR="001B2F58" w:rsidRPr="00DD03D6">
        <w:rPr>
          <w:noProof/>
          <w:lang w:val="fr-FR"/>
        </w:rPr>
        <w:t>189</w:t>
      </w:r>
      <w:r w:rsidR="00660A4F">
        <w:rPr>
          <w:noProof/>
          <w:lang w:val="fr-FR"/>
        </w:rPr>
        <w:t> </w:t>
      </w:r>
      <w:r w:rsidR="001B2F58" w:rsidRPr="00DD03D6">
        <w:rPr>
          <w:noProof/>
          <w:lang w:val="fr-FR"/>
        </w:rPr>
        <w:t xml:space="preserve">000 </w:t>
      </w:r>
      <w:r w:rsidR="00961F74">
        <w:rPr>
          <w:noProof/>
          <w:lang w:val="fr-FR"/>
        </w:rPr>
        <w:t>e</w:t>
      </w:r>
      <w:r w:rsidR="001B2F58" w:rsidRPr="00DD03D6">
        <w:rPr>
          <w:noProof/>
          <w:lang w:val="fr-FR"/>
        </w:rPr>
        <w:t xml:space="preserve">n 2011. </w:t>
      </w:r>
      <w:r w:rsidR="00961F74">
        <w:rPr>
          <w:noProof/>
          <w:lang w:val="fr-FR"/>
        </w:rPr>
        <w:t xml:space="preserve">Les dépenses liées au Programme de cantines scolaires se sont élevées à 13,6 millions d’euros en </w:t>
      </w:r>
      <w:r w:rsidR="001B2F58" w:rsidRPr="00DD03D6">
        <w:rPr>
          <w:noProof/>
          <w:lang w:val="fr-FR"/>
        </w:rPr>
        <w:t xml:space="preserve">2006 </w:t>
      </w:r>
      <w:r w:rsidR="00961F74">
        <w:rPr>
          <w:noProof/>
          <w:lang w:val="fr-FR"/>
        </w:rPr>
        <w:t>et sont passées à</w:t>
      </w:r>
      <w:r w:rsidR="001B2F58" w:rsidRPr="00DD03D6">
        <w:rPr>
          <w:noProof/>
          <w:lang w:val="fr-FR"/>
        </w:rPr>
        <w:t xml:space="preserve"> 34</w:t>
      </w:r>
      <w:r w:rsidR="00961F74">
        <w:rPr>
          <w:noProof/>
          <w:lang w:val="fr-FR"/>
        </w:rPr>
        <w:t>,</w:t>
      </w:r>
      <w:r w:rsidR="001B2F58" w:rsidRPr="00DD03D6">
        <w:rPr>
          <w:noProof/>
          <w:lang w:val="fr-FR"/>
        </w:rPr>
        <w:t>975 million</w:t>
      </w:r>
      <w:r w:rsidR="00961F74">
        <w:rPr>
          <w:noProof/>
          <w:lang w:val="fr-FR"/>
        </w:rPr>
        <w:t>s</w:t>
      </w:r>
      <w:r w:rsidR="001B2F58" w:rsidRPr="00DD03D6">
        <w:rPr>
          <w:noProof/>
          <w:lang w:val="fr-FR"/>
        </w:rPr>
        <w:t xml:space="preserve"> </w:t>
      </w:r>
      <w:r w:rsidR="00961F74">
        <w:rPr>
          <w:noProof/>
          <w:lang w:val="fr-FR"/>
        </w:rPr>
        <w:t>e</w:t>
      </w:r>
      <w:r w:rsidR="001B2F58" w:rsidRPr="00DD03D6">
        <w:rPr>
          <w:noProof/>
          <w:lang w:val="fr-FR"/>
        </w:rPr>
        <w:t xml:space="preserve">n 2011. </w:t>
      </w:r>
      <w:r w:rsidR="00660A4F">
        <w:rPr>
          <w:noProof/>
          <w:lang w:val="fr-FR"/>
        </w:rPr>
        <w:t>En 2012, 35 </w:t>
      </w:r>
      <w:r w:rsidR="00961F74">
        <w:rPr>
          <w:noProof/>
          <w:lang w:val="fr-FR"/>
        </w:rPr>
        <w:t>millions d’euros ont été inscrits au budget au titre de ce</w:t>
      </w:r>
      <w:r w:rsidR="001B2F58" w:rsidRPr="00DD03D6">
        <w:rPr>
          <w:noProof/>
          <w:lang w:val="fr-FR"/>
        </w:rPr>
        <w:t xml:space="preserve"> programme.</w:t>
      </w:r>
    </w:p>
    <w:p w:rsidR="001B2F58" w:rsidRPr="00DD03D6" w:rsidRDefault="0090164E" w:rsidP="0090164E">
      <w:pPr>
        <w:pStyle w:val="H23G"/>
        <w:ind w:firstLine="0"/>
        <w:rPr>
          <w:noProof/>
          <w:lang w:val="fr-FR"/>
        </w:rPr>
      </w:pPr>
      <w:r>
        <w:rPr>
          <w:noProof/>
          <w:lang w:val="fr-FR"/>
        </w:rPr>
        <w:t xml:space="preserve">Logement </w:t>
      </w:r>
    </w:p>
    <w:p w:rsidR="001B2F58" w:rsidRDefault="006F1137" w:rsidP="001B2AC4">
      <w:pPr>
        <w:pStyle w:val="SingleTxtG"/>
        <w:numPr>
          <w:ilvl w:val="0"/>
          <w:numId w:val="3"/>
        </w:numPr>
        <w:ind w:left="1134" w:firstLine="0"/>
        <w:rPr>
          <w:noProof/>
          <w:lang w:val="fr-FR"/>
        </w:rPr>
      </w:pPr>
      <w:r>
        <w:rPr>
          <w:noProof/>
          <w:lang w:val="fr-FR"/>
        </w:rPr>
        <w:t xml:space="preserve">La </w:t>
      </w:r>
      <w:r>
        <w:rPr>
          <w:i/>
          <w:noProof/>
          <w:lang w:val="fr-FR"/>
        </w:rPr>
        <w:t xml:space="preserve">Politique publique du logement </w:t>
      </w:r>
      <w:r>
        <w:rPr>
          <w:noProof/>
          <w:lang w:val="fr-FR"/>
        </w:rPr>
        <w:t>(</w:t>
      </w:r>
      <w:r w:rsidR="001B2F58" w:rsidRPr="00DD03D6">
        <w:rPr>
          <w:i/>
          <w:noProof/>
          <w:lang w:val="fr-FR"/>
        </w:rPr>
        <w:t>Housing Policy Statement</w:t>
      </w:r>
      <w:r>
        <w:rPr>
          <w:noProof/>
          <w:lang w:val="fr-FR"/>
        </w:rPr>
        <w:t>) du Gouvernement</w:t>
      </w:r>
      <w:r w:rsidR="001B2F58" w:rsidRPr="00DD03D6">
        <w:rPr>
          <w:noProof/>
          <w:lang w:val="fr-FR"/>
        </w:rPr>
        <w:t>, publi</w:t>
      </w:r>
      <w:r>
        <w:rPr>
          <w:noProof/>
          <w:lang w:val="fr-FR"/>
        </w:rPr>
        <w:t xml:space="preserve">ée en juin </w:t>
      </w:r>
      <w:r w:rsidR="001B2F58" w:rsidRPr="00DD03D6">
        <w:rPr>
          <w:noProof/>
          <w:lang w:val="fr-FR"/>
        </w:rPr>
        <w:t xml:space="preserve">2011, </w:t>
      </w:r>
      <w:r>
        <w:rPr>
          <w:noProof/>
          <w:lang w:val="fr-FR"/>
        </w:rPr>
        <w:t>indique clairement que ce dernier devra s’employer en priorité à répondre aux besoins les plus pressants des ménages qui font une demande de logement social</w:t>
      </w:r>
      <w:r w:rsidR="001B2F58" w:rsidRPr="00DD03D6">
        <w:rPr>
          <w:noProof/>
          <w:lang w:val="fr-FR"/>
        </w:rPr>
        <w:t xml:space="preserve">. </w:t>
      </w:r>
      <w:r>
        <w:rPr>
          <w:noProof/>
          <w:lang w:val="fr-FR"/>
        </w:rPr>
        <w:t>Le Gouvernement est déterminé à satisfaire plus rapidement et sur une plus grande échelle aux besoins d’appui en matière de logement social en mettant en œuvre un certain nombre de mécanismes, notamment en augmentant le nombre de logements sociaux disponibles</w:t>
      </w:r>
      <w:r w:rsidR="001B2F58" w:rsidRPr="00DD03D6">
        <w:rPr>
          <w:noProof/>
          <w:lang w:val="fr-FR"/>
        </w:rPr>
        <w:t>.</w:t>
      </w:r>
    </w:p>
    <w:p w:rsidR="001B2F58" w:rsidRPr="00DD03D6" w:rsidRDefault="006F1137" w:rsidP="001B2AC4">
      <w:pPr>
        <w:pStyle w:val="SingleTxtG"/>
        <w:numPr>
          <w:ilvl w:val="0"/>
          <w:numId w:val="3"/>
        </w:numPr>
        <w:ind w:left="1134" w:firstLine="0"/>
        <w:rPr>
          <w:noProof/>
          <w:lang w:val="fr-FR"/>
        </w:rPr>
      </w:pPr>
      <w:r>
        <w:rPr>
          <w:noProof/>
          <w:lang w:val="fr-FR"/>
        </w:rPr>
        <w:t>La fournit</w:t>
      </w:r>
      <w:r w:rsidR="00A13CB5">
        <w:rPr>
          <w:noProof/>
          <w:lang w:val="fr-FR"/>
        </w:rPr>
        <w:t>ure de logements sociaux sera nettement facilitée si l’on utilise des modèles de financement plus souples, tels que le Plan pour le logement locatif et le crédit-bail</w:t>
      </w:r>
      <w:r w:rsidR="001B2F58" w:rsidRPr="00DD03D6">
        <w:rPr>
          <w:noProof/>
          <w:lang w:val="fr-FR"/>
        </w:rPr>
        <w:t xml:space="preserve">, </w:t>
      </w:r>
      <w:r w:rsidR="00A13CB5">
        <w:rPr>
          <w:noProof/>
          <w:lang w:val="fr-FR"/>
        </w:rPr>
        <w:t>mais le Gouvernement entend également développer d’autres mécanismes de financement qui augmenteront l’offre de nouveaux logements sociaux permanents</w:t>
      </w:r>
      <w:r w:rsidR="001B2F58" w:rsidRPr="00DD03D6">
        <w:rPr>
          <w:noProof/>
          <w:lang w:val="fr-FR"/>
        </w:rPr>
        <w:t xml:space="preserve">. </w:t>
      </w:r>
      <w:r w:rsidR="00A13CB5">
        <w:rPr>
          <w:noProof/>
          <w:lang w:val="fr-FR"/>
        </w:rPr>
        <w:t xml:space="preserve">Ces mécanismes </w:t>
      </w:r>
      <w:r w:rsidR="000068FB">
        <w:rPr>
          <w:noProof/>
          <w:lang w:val="fr-FR"/>
        </w:rPr>
        <w:t xml:space="preserve">seront notamment les options d’achat, la construction pour la location et la recherche de financements par des organismes agréés de location de logements au titre de la </w:t>
      </w:r>
      <w:r w:rsidR="001B2F58" w:rsidRPr="00DD03D6">
        <w:rPr>
          <w:noProof/>
          <w:lang w:val="fr-FR"/>
        </w:rPr>
        <w:t xml:space="preserve">construction </w:t>
      </w:r>
      <w:r w:rsidR="000068FB">
        <w:rPr>
          <w:noProof/>
          <w:lang w:val="fr-FR"/>
        </w:rPr>
        <w:t>et de l’</w:t>
      </w:r>
      <w:r w:rsidR="001B2F58" w:rsidRPr="00DD03D6">
        <w:rPr>
          <w:noProof/>
          <w:lang w:val="fr-FR"/>
        </w:rPr>
        <w:t>acquisition.</w:t>
      </w:r>
    </w:p>
    <w:p w:rsidR="001B2F58" w:rsidRPr="00DD03D6" w:rsidRDefault="000068FB" w:rsidP="001B2AC4">
      <w:pPr>
        <w:pStyle w:val="SingleTxtG"/>
        <w:numPr>
          <w:ilvl w:val="0"/>
          <w:numId w:val="3"/>
        </w:numPr>
        <w:ind w:left="1134" w:firstLine="0"/>
        <w:rPr>
          <w:noProof/>
          <w:lang w:val="fr-FR"/>
        </w:rPr>
      </w:pPr>
      <w:r>
        <w:rPr>
          <w:noProof/>
          <w:lang w:val="fr-FR"/>
        </w:rPr>
        <w:t>E</w:t>
      </w:r>
      <w:r w:rsidR="001B2F58" w:rsidRPr="00DD03D6">
        <w:rPr>
          <w:noProof/>
          <w:lang w:val="fr-FR"/>
        </w:rPr>
        <w:t xml:space="preserve">n 2011, </w:t>
      </w:r>
      <w:r>
        <w:rPr>
          <w:noProof/>
          <w:lang w:val="fr-FR"/>
        </w:rPr>
        <w:t xml:space="preserve">il a été déterminé que </w:t>
      </w:r>
      <w:r w:rsidR="001B2F58" w:rsidRPr="00DD03D6">
        <w:rPr>
          <w:noProof/>
          <w:lang w:val="fr-FR"/>
        </w:rPr>
        <w:t>43</w:t>
      </w:r>
      <w:r w:rsidR="00C439D5">
        <w:rPr>
          <w:noProof/>
          <w:lang w:val="fr-FR"/>
        </w:rPr>
        <w:t> </w:t>
      </w:r>
      <w:r w:rsidR="001B2F58" w:rsidRPr="00DD03D6">
        <w:rPr>
          <w:noProof/>
          <w:lang w:val="fr-FR"/>
        </w:rPr>
        <w:t xml:space="preserve">578 </w:t>
      </w:r>
      <w:r>
        <w:rPr>
          <w:noProof/>
          <w:lang w:val="fr-FR"/>
        </w:rPr>
        <w:t>ménages avec enfants avaient besoin d’un logement social</w:t>
      </w:r>
      <w:r w:rsidR="001B2F58" w:rsidRPr="00DD03D6">
        <w:rPr>
          <w:noProof/>
          <w:lang w:val="fr-FR"/>
        </w:rPr>
        <w:t xml:space="preserve">. </w:t>
      </w:r>
      <w:r>
        <w:rPr>
          <w:noProof/>
          <w:lang w:val="fr-FR"/>
        </w:rPr>
        <w:t>La prochaine évaluation des besoins de logement doit être effectuée par les autorités locales en av</w:t>
      </w:r>
      <w:r w:rsidR="001B2F58" w:rsidRPr="00DD03D6">
        <w:rPr>
          <w:noProof/>
          <w:lang w:val="fr-FR"/>
        </w:rPr>
        <w:t xml:space="preserve">ril 2013. </w:t>
      </w:r>
      <w:r w:rsidR="007C49DA">
        <w:rPr>
          <w:noProof/>
          <w:lang w:val="fr-FR"/>
        </w:rPr>
        <w:t>Cette évaluation sera l’occasion de recueillir des i</w:t>
      </w:r>
      <w:r w:rsidR="001B2F58" w:rsidRPr="00DD03D6">
        <w:rPr>
          <w:noProof/>
          <w:lang w:val="fr-FR"/>
        </w:rPr>
        <w:t>nformation</w:t>
      </w:r>
      <w:r w:rsidR="007C49DA">
        <w:rPr>
          <w:noProof/>
          <w:lang w:val="fr-FR"/>
        </w:rPr>
        <w:t>s</w:t>
      </w:r>
      <w:r w:rsidR="001B2F58" w:rsidRPr="00DD03D6">
        <w:rPr>
          <w:noProof/>
          <w:lang w:val="fr-FR"/>
        </w:rPr>
        <w:t xml:space="preserve"> </w:t>
      </w:r>
      <w:r w:rsidR="007C49DA">
        <w:rPr>
          <w:noProof/>
          <w:lang w:val="fr-FR"/>
        </w:rPr>
        <w:t xml:space="preserve">sur les besoins des ménages en la matière, la taille de ces ménages et leur </w:t>
      </w:r>
      <w:r w:rsidR="001B2F58" w:rsidRPr="00DD03D6">
        <w:rPr>
          <w:noProof/>
          <w:lang w:val="fr-FR"/>
        </w:rPr>
        <w:t>composition (</w:t>
      </w:r>
      <w:r w:rsidR="007C49DA">
        <w:rPr>
          <w:noProof/>
          <w:lang w:val="fr-FR"/>
        </w:rPr>
        <w:t>y compris le nombre et l’âge des enfants</w:t>
      </w:r>
      <w:r w:rsidR="001B2F58" w:rsidRPr="00DD03D6">
        <w:rPr>
          <w:noProof/>
          <w:lang w:val="fr-FR"/>
        </w:rPr>
        <w:t xml:space="preserve">). </w:t>
      </w:r>
      <w:r w:rsidR="007C49DA">
        <w:rPr>
          <w:noProof/>
          <w:lang w:val="fr-FR"/>
        </w:rPr>
        <w:t xml:space="preserve">Les autorités utiliseront ces </w:t>
      </w:r>
      <w:r w:rsidR="001B2F58" w:rsidRPr="00DD03D6">
        <w:rPr>
          <w:noProof/>
          <w:lang w:val="fr-FR"/>
        </w:rPr>
        <w:t>information</w:t>
      </w:r>
      <w:r w:rsidR="007C49DA">
        <w:rPr>
          <w:noProof/>
          <w:lang w:val="fr-FR"/>
        </w:rPr>
        <w:t>s</w:t>
      </w:r>
      <w:r w:rsidR="001B2F58" w:rsidRPr="00DD03D6">
        <w:rPr>
          <w:noProof/>
          <w:lang w:val="fr-FR"/>
        </w:rPr>
        <w:t xml:space="preserve"> </w:t>
      </w:r>
      <w:r w:rsidR="007C49DA">
        <w:rPr>
          <w:noProof/>
          <w:lang w:val="fr-FR"/>
        </w:rPr>
        <w:t>pour élaborer leurs programmes de logements sociaux</w:t>
      </w:r>
      <w:r w:rsidR="001B2F58" w:rsidRPr="00DD03D6">
        <w:rPr>
          <w:noProof/>
          <w:lang w:val="fr-FR"/>
        </w:rPr>
        <w:t xml:space="preserve">. </w:t>
      </w:r>
    </w:p>
    <w:p w:rsidR="001B2F58" w:rsidRPr="00DD03D6" w:rsidRDefault="00721F32" w:rsidP="00721F32">
      <w:pPr>
        <w:pStyle w:val="H23G"/>
        <w:ind w:firstLine="0"/>
        <w:rPr>
          <w:noProof/>
          <w:lang w:val="fr-FR"/>
        </w:rPr>
      </w:pPr>
      <w:r>
        <w:rPr>
          <w:noProof/>
          <w:lang w:val="fr-FR"/>
        </w:rPr>
        <w:t xml:space="preserve">Logement des gens du voyage </w:t>
      </w:r>
    </w:p>
    <w:p w:rsidR="001B2F58" w:rsidRPr="00DD03D6" w:rsidRDefault="00F60F92" w:rsidP="001B2AC4">
      <w:pPr>
        <w:pStyle w:val="SingleTxtG"/>
        <w:numPr>
          <w:ilvl w:val="0"/>
          <w:numId w:val="3"/>
        </w:numPr>
        <w:ind w:left="1134" w:firstLine="0"/>
        <w:rPr>
          <w:noProof/>
          <w:lang w:val="fr-FR"/>
        </w:rPr>
      </w:pPr>
      <w:r>
        <w:rPr>
          <w:noProof/>
          <w:lang w:val="fr-FR"/>
        </w:rPr>
        <w:t>Conformément à la loi de 1998 sur le l</w:t>
      </w:r>
      <w:r w:rsidR="00B269EC">
        <w:rPr>
          <w:noProof/>
          <w:lang w:val="fr-FR"/>
        </w:rPr>
        <w:t>ogement (hébergement</w:t>
      </w:r>
      <w:r>
        <w:rPr>
          <w:noProof/>
          <w:lang w:val="fr-FR"/>
        </w:rPr>
        <w:t xml:space="preserve"> des gens du voyage), </w:t>
      </w:r>
      <w:r w:rsidR="00B269EC">
        <w:rPr>
          <w:noProof/>
          <w:lang w:val="fr-FR"/>
        </w:rPr>
        <w:t>il incombe à chaque autorité qui s’occupe du logement d’évaluer les besoins des gens du voyage en matière de logement et d’élaborer, d’adopter et d’exécuter en faveur de cette communauté des programmes pluriannuels de logement destinés à répondre à ses besoins en la matière</w:t>
      </w:r>
      <w:r w:rsidR="001B2F58" w:rsidRPr="00DD03D6">
        <w:rPr>
          <w:noProof/>
          <w:lang w:val="fr-FR"/>
        </w:rPr>
        <w:t xml:space="preserve">. </w:t>
      </w:r>
    </w:p>
    <w:p w:rsidR="001B2F58" w:rsidRPr="00DD03D6" w:rsidRDefault="00B269EC" w:rsidP="001B2AC4">
      <w:pPr>
        <w:pStyle w:val="SingleTxtG"/>
        <w:numPr>
          <w:ilvl w:val="0"/>
          <w:numId w:val="3"/>
        </w:numPr>
        <w:ind w:left="1134" w:firstLine="0"/>
        <w:rPr>
          <w:noProof/>
          <w:lang w:val="fr-FR"/>
        </w:rPr>
      </w:pPr>
      <w:r>
        <w:rPr>
          <w:noProof/>
          <w:lang w:val="fr-FR"/>
        </w:rPr>
        <w:t>Depuis l’adoption de la loi susvisée</w:t>
      </w:r>
      <w:r w:rsidR="001B2F58" w:rsidRPr="00DD03D6">
        <w:rPr>
          <w:noProof/>
          <w:lang w:val="fr-FR"/>
        </w:rPr>
        <w:t xml:space="preserve">, </w:t>
      </w:r>
      <w:r>
        <w:rPr>
          <w:noProof/>
          <w:lang w:val="fr-FR"/>
        </w:rPr>
        <w:t xml:space="preserve">chaque autorité </w:t>
      </w:r>
      <w:r w:rsidR="001B2F58" w:rsidRPr="00DD03D6">
        <w:rPr>
          <w:noProof/>
          <w:lang w:val="fr-FR"/>
        </w:rPr>
        <w:t>local</w:t>
      </w:r>
      <w:r>
        <w:rPr>
          <w:noProof/>
          <w:lang w:val="fr-FR"/>
        </w:rPr>
        <w:t>e</w:t>
      </w:r>
      <w:r w:rsidR="001B2F58" w:rsidRPr="00DD03D6">
        <w:rPr>
          <w:noProof/>
          <w:lang w:val="fr-FR"/>
        </w:rPr>
        <w:t xml:space="preserve"> </w:t>
      </w:r>
      <w:r>
        <w:rPr>
          <w:noProof/>
          <w:lang w:val="fr-FR"/>
        </w:rPr>
        <w:t xml:space="preserve">a mené à bien deux programmes successif relatifs à l’hébergement des gens du voyage et s’emploie à mener à son terme sa troisième série de </w:t>
      </w:r>
      <w:r w:rsidR="001B2F58" w:rsidRPr="00DD03D6">
        <w:rPr>
          <w:noProof/>
          <w:lang w:val="fr-FR"/>
        </w:rPr>
        <w:t xml:space="preserve">programmes. </w:t>
      </w:r>
      <w:r>
        <w:rPr>
          <w:noProof/>
          <w:lang w:val="fr-FR"/>
        </w:rPr>
        <w:t>Dans l’intervalle, des progrès sensibles ont été réalisés dans la fourniture de logements aux membres de cette communauté</w:t>
      </w:r>
      <w:r w:rsidR="001B2F58" w:rsidRPr="00DD03D6">
        <w:rPr>
          <w:noProof/>
          <w:lang w:val="fr-FR"/>
        </w:rPr>
        <w:t>.</w:t>
      </w:r>
    </w:p>
    <w:p w:rsidR="001B2F58" w:rsidRPr="00DD03D6" w:rsidRDefault="00B269EC" w:rsidP="001B2AC4">
      <w:pPr>
        <w:pStyle w:val="SingleTxtG"/>
        <w:numPr>
          <w:ilvl w:val="0"/>
          <w:numId w:val="3"/>
        </w:numPr>
        <w:ind w:left="1134" w:firstLine="0"/>
        <w:rPr>
          <w:noProof/>
          <w:lang w:val="fr-FR"/>
        </w:rPr>
      </w:pPr>
      <w:r>
        <w:rPr>
          <w:noProof/>
          <w:lang w:val="fr-FR"/>
        </w:rPr>
        <w:t xml:space="preserve">Dans le cadre du premier programme relatif à l’hébergement des gens du voyage </w:t>
      </w:r>
      <w:r w:rsidR="001B2F58" w:rsidRPr="00DD03D6">
        <w:rPr>
          <w:noProof/>
          <w:lang w:val="fr-FR"/>
        </w:rPr>
        <w:t>(2000-2004)</w:t>
      </w:r>
      <w:r w:rsidR="00C439D5">
        <w:rPr>
          <w:noProof/>
          <w:lang w:val="fr-FR"/>
        </w:rPr>
        <w:t> </w:t>
      </w:r>
      <w:r w:rsidR="001B2F58" w:rsidRPr="00DD03D6">
        <w:rPr>
          <w:noProof/>
          <w:lang w:val="fr-FR"/>
        </w:rPr>
        <w:t>:</w:t>
      </w:r>
    </w:p>
    <w:p w:rsidR="001B2F58" w:rsidRPr="00DD03D6" w:rsidRDefault="00B269EC" w:rsidP="00C439D5">
      <w:pPr>
        <w:pStyle w:val="Bullet1G"/>
        <w:tabs>
          <w:tab w:val="clear" w:pos="1701"/>
          <w:tab w:val="left" w:pos="1843"/>
          <w:tab w:val="left" w:pos="6237"/>
        </w:tabs>
        <w:ind w:left="1843" w:hanging="142"/>
        <w:rPr>
          <w:noProof/>
          <w:lang w:val="fr-FR"/>
        </w:rPr>
      </w:pPr>
      <w:r>
        <w:rPr>
          <w:noProof/>
          <w:lang w:val="fr-FR"/>
        </w:rPr>
        <w:t xml:space="preserve">Un logement sûr et permanent a été fourni à </w:t>
      </w:r>
      <w:r w:rsidR="001B2F58" w:rsidRPr="00DD03D6">
        <w:rPr>
          <w:noProof/>
          <w:lang w:val="fr-FR"/>
        </w:rPr>
        <w:t>1</w:t>
      </w:r>
      <w:r>
        <w:rPr>
          <w:noProof/>
          <w:lang w:val="fr-FR"/>
        </w:rPr>
        <w:t xml:space="preserve"> </w:t>
      </w:r>
      <w:r w:rsidR="001B2F58" w:rsidRPr="00DD03D6">
        <w:rPr>
          <w:noProof/>
          <w:lang w:val="fr-FR"/>
        </w:rPr>
        <w:t xml:space="preserve">371 </w:t>
      </w:r>
      <w:r>
        <w:rPr>
          <w:noProof/>
          <w:lang w:val="fr-FR"/>
        </w:rPr>
        <w:t>familles supplémentaires</w:t>
      </w:r>
      <w:r w:rsidR="001B2F58" w:rsidRPr="00DD03D6">
        <w:rPr>
          <w:noProof/>
          <w:lang w:val="fr-FR"/>
        </w:rPr>
        <w:t>;</w:t>
      </w:r>
    </w:p>
    <w:p w:rsidR="001B2F58" w:rsidRPr="00DD03D6" w:rsidRDefault="00B269EC" w:rsidP="00C439D5">
      <w:pPr>
        <w:pStyle w:val="Bullet1G"/>
        <w:tabs>
          <w:tab w:val="clear" w:pos="1701"/>
          <w:tab w:val="left" w:pos="1843"/>
          <w:tab w:val="left" w:pos="6237"/>
        </w:tabs>
        <w:ind w:left="1843" w:hanging="142"/>
        <w:rPr>
          <w:noProof/>
          <w:lang w:val="fr-FR"/>
        </w:rPr>
      </w:pPr>
      <w:r>
        <w:rPr>
          <w:noProof/>
          <w:lang w:val="fr-FR"/>
        </w:rPr>
        <w:t>Le nombre des fa</w:t>
      </w:r>
      <w:r w:rsidR="00C36231">
        <w:rPr>
          <w:noProof/>
          <w:lang w:val="fr-FR"/>
        </w:rPr>
        <w:t>mi</w:t>
      </w:r>
      <w:r>
        <w:rPr>
          <w:noProof/>
          <w:lang w:val="fr-FR"/>
        </w:rPr>
        <w:t xml:space="preserve">lles </w:t>
      </w:r>
      <w:r w:rsidR="00C36231">
        <w:rPr>
          <w:noProof/>
          <w:lang w:val="fr-FR"/>
        </w:rPr>
        <w:t xml:space="preserve">s’installant sur des sites non autorisés a été réduit de </w:t>
      </w:r>
      <w:r w:rsidR="001B2F58" w:rsidRPr="00DD03D6">
        <w:rPr>
          <w:noProof/>
          <w:lang w:val="fr-FR"/>
        </w:rPr>
        <w:t>50</w:t>
      </w:r>
      <w:r w:rsidR="003F1ADB">
        <w:rPr>
          <w:noProof/>
          <w:lang w:val="fr-FR"/>
        </w:rPr>
        <w:t> %</w:t>
      </w:r>
      <w:r w:rsidR="00C36231">
        <w:rPr>
          <w:noProof/>
          <w:lang w:val="fr-FR"/>
        </w:rPr>
        <w:t xml:space="preserve"> : elles étaient </w:t>
      </w:r>
      <w:r w:rsidR="001B2F58" w:rsidRPr="00DD03D6">
        <w:rPr>
          <w:noProof/>
          <w:lang w:val="fr-FR"/>
        </w:rPr>
        <w:t>1</w:t>
      </w:r>
      <w:r w:rsidR="00C439D5">
        <w:rPr>
          <w:noProof/>
          <w:lang w:val="fr-FR"/>
        </w:rPr>
        <w:t> </w:t>
      </w:r>
      <w:r w:rsidR="001B2F58" w:rsidRPr="00DD03D6">
        <w:rPr>
          <w:noProof/>
          <w:lang w:val="fr-FR"/>
        </w:rPr>
        <w:t xml:space="preserve">207 </w:t>
      </w:r>
      <w:r w:rsidR="00C36231">
        <w:rPr>
          <w:noProof/>
          <w:lang w:val="fr-FR"/>
        </w:rPr>
        <w:t xml:space="preserve">au début du programme et </w:t>
      </w:r>
      <w:r w:rsidR="001B2F58" w:rsidRPr="00DD03D6">
        <w:rPr>
          <w:noProof/>
          <w:lang w:val="fr-FR"/>
        </w:rPr>
        <w:t xml:space="preserve">601 </w:t>
      </w:r>
      <w:r w:rsidR="00C36231">
        <w:rPr>
          <w:noProof/>
          <w:lang w:val="fr-FR"/>
        </w:rPr>
        <w:t>lors de son achèvement</w:t>
      </w:r>
      <w:r w:rsidR="001B2F58" w:rsidRPr="00DD03D6">
        <w:rPr>
          <w:noProof/>
          <w:lang w:val="fr-FR"/>
        </w:rPr>
        <w:t>.</w:t>
      </w:r>
    </w:p>
    <w:p w:rsidR="001B2F58" w:rsidRPr="00DD03D6" w:rsidRDefault="00C36231" w:rsidP="001B2AC4">
      <w:pPr>
        <w:pStyle w:val="SingleTxtG"/>
        <w:numPr>
          <w:ilvl w:val="0"/>
          <w:numId w:val="3"/>
        </w:numPr>
        <w:ind w:left="1134" w:firstLine="0"/>
        <w:rPr>
          <w:noProof/>
          <w:lang w:val="fr-FR"/>
        </w:rPr>
      </w:pPr>
      <w:r>
        <w:rPr>
          <w:noProof/>
          <w:lang w:val="fr-FR"/>
        </w:rPr>
        <w:t xml:space="preserve">Dans le cadre du deuxième programme relatif à l’hébergement des gens du voyage </w:t>
      </w:r>
      <w:r w:rsidR="001B2F58" w:rsidRPr="00DD03D6">
        <w:rPr>
          <w:noProof/>
          <w:lang w:val="fr-FR"/>
        </w:rPr>
        <w:t>(2005-2008)</w:t>
      </w:r>
      <w:r w:rsidR="00C439D5">
        <w:rPr>
          <w:noProof/>
          <w:lang w:val="fr-FR"/>
        </w:rPr>
        <w:t> </w:t>
      </w:r>
      <w:r w:rsidR="001B2F58" w:rsidRPr="00DD03D6">
        <w:rPr>
          <w:noProof/>
          <w:lang w:val="fr-FR"/>
        </w:rPr>
        <w:t>:</w:t>
      </w:r>
    </w:p>
    <w:p w:rsidR="001B2F58" w:rsidRPr="00DD03D6" w:rsidRDefault="00C36231" w:rsidP="00C439D5">
      <w:pPr>
        <w:pStyle w:val="Bullet1G"/>
        <w:tabs>
          <w:tab w:val="clear" w:pos="1701"/>
          <w:tab w:val="left" w:pos="1843"/>
          <w:tab w:val="left" w:pos="6237"/>
        </w:tabs>
        <w:ind w:left="1843" w:hanging="142"/>
        <w:rPr>
          <w:noProof/>
          <w:lang w:val="fr-FR"/>
        </w:rPr>
      </w:pPr>
      <w:r>
        <w:rPr>
          <w:noProof/>
          <w:lang w:val="fr-FR"/>
        </w:rPr>
        <w:lastRenderedPageBreak/>
        <w:t>Des progrès importants ont été faits</w:t>
      </w:r>
      <w:r w:rsidR="001B2F58" w:rsidRPr="00DD03D6">
        <w:rPr>
          <w:noProof/>
          <w:lang w:val="fr-FR"/>
        </w:rPr>
        <w:t xml:space="preserve">, </w:t>
      </w:r>
      <w:r>
        <w:rPr>
          <w:noProof/>
          <w:lang w:val="fr-FR"/>
        </w:rPr>
        <w:t xml:space="preserve">et </w:t>
      </w:r>
      <w:r w:rsidR="001B2F58" w:rsidRPr="00DD03D6">
        <w:rPr>
          <w:noProof/>
          <w:lang w:val="fr-FR"/>
        </w:rPr>
        <w:t xml:space="preserve">775 </w:t>
      </w:r>
      <w:r>
        <w:rPr>
          <w:noProof/>
          <w:lang w:val="fr-FR"/>
        </w:rPr>
        <w:t>logements neufs et rénovés ont été fournis aux gens du voyage</w:t>
      </w:r>
      <w:r w:rsidR="001B2F58" w:rsidRPr="00DD03D6">
        <w:rPr>
          <w:noProof/>
          <w:lang w:val="fr-FR"/>
        </w:rPr>
        <w:t xml:space="preserve">; </w:t>
      </w:r>
    </w:p>
    <w:p w:rsidR="001B2F58" w:rsidRPr="00DD03D6" w:rsidRDefault="00C36231" w:rsidP="00C439D5">
      <w:pPr>
        <w:pStyle w:val="Bullet1G"/>
        <w:tabs>
          <w:tab w:val="clear" w:pos="1701"/>
          <w:tab w:val="left" w:pos="1843"/>
          <w:tab w:val="left" w:pos="6237"/>
        </w:tabs>
        <w:ind w:left="1843" w:hanging="142"/>
        <w:rPr>
          <w:noProof/>
          <w:lang w:val="fr-FR"/>
        </w:rPr>
      </w:pPr>
      <w:r>
        <w:rPr>
          <w:noProof/>
          <w:lang w:val="fr-FR"/>
        </w:rPr>
        <w:t>Les collectivités locales ont fourni des logements aux normes à 458 familles supplémentaires</w:t>
      </w:r>
      <w:r w:rsidR="001B2F58" w:rsidRPr="00DD03D6">
        <w:rPr>
          <w:noProof/>
          <w:lang w:val="fr-FR"/>
        </w:rPr>
        <w:t>.</w:t>
      </w:r>
    </w:p>
    <w:p w:rsidR="001B2F58" w:rsidRPr="00DD03D6" w:rsidRDefault="001B2AC4" w:rsidP="001B2AC4">
      <w:pPr>
        <w:pStyle w:val="H23G"/>
        <w:rPr>
          <w:noProof/>
          <w:lang w:val="fr-FR"/>
        </w:rPr>
      </w:pPr>
      <w:r w:rsidRPr="00DD03D6">
        <w:rPr>
          <w:noProof/>
          <w:lang w:val="fr-FR"/>
        </w:rPr>
        <w:tab/>
      </w:r>
      <w:r w:rsidRPr="00DD03D6">
        <w:rPr>
          <w:noProof/>
          <w:lang w:val="fr-FR"/>
        </w:rPr>
        <w:tab/>
      </w:r>
      <w:r w:rsidR="00C36231">
        <w:rPr>
          <w:noProof/>
          <w:lang w:val="fr-FR"/>
        </w:rPr>
        <w:t>Développement s</w:t>
      </w:r>
      <w:r w:rsidR="001B2F58" w:rsidRPr="00DD03D6">
        <w:rPr>
          <w:noProof/>
          <w:lang w:val="fr-FR"/>
        </w:rPr>
        <w:t>piritu</w:t>
      </w:r>
      <w:r w:rsidR="00C36231">
        <w:rPr>
          <w:noProof/>
          <w:lang w:val="fr-FR"/>
        </w:rPr>
        <w:t>e</w:t>
      </w:r>
      <w:r w:rsidR="001B2F58" w:rsidRPr="00DD03D6">
        <w:rPr>
          <w:noProof/>
          <w:lang w:val="fr-FR"/>
        </w:rPr>
        <w:t xml:space="preserve">l, moral </w:t>
      </w:r>
      <w:r w:rsidR="00C36231">
        <w:rPr>
          <w:noProof/>
          <w:lang w:val="fr-FR"/>
        </w:rPr>
        <w:t>et</w:t>
      </w:r>
      <w:r w:rsidR="001B2F58" w:rsidRPr="00DD03D6">
        <w:rPr>
          <w:noProof/>
          <w:lang w:val="fr-FR"/>
        </w:rPr>
        <w:t xml:space="preserve"> social </w:t>
      </w:r>
    </w:p>
    <w:p w:rsidR="001B2F58" w:rsidRPr="00DD03D6" w:rsidRDefault="00A70A72" w:rsidP="008F0730">
      <w:pPr>
        <w:pStyle w:val="SingleTxtG"/>
        <w:numPr>
          <w:ilvl w:val="0"/>
          <w:numId w:val="3"/>
        </w:numPr>
        <w:ind w:left="1134" w:firstLine="0"/>
        <w:rPr>
          <w:noProof/>
          <w:lang w:val="fr-FR"/>
        </w:rPr>
      </w:pPr>
      <w:r>
        <w:rPr>
          <w:noProof/>
          <w:lang w:val="fr-FR"/>
        </w:rPr>
        <w:t xml:space="preserve">Le développement </w:t>
      </w:r>
      <w:r w:rsidR="001B2F58" w:rsidRPr="00DD03D6">
        <w:rPr>
          <w:noProof/>
          <w:lang w:val="fr-FR"/>
        </w:rPr>
        <w:t>spiritu</w:t>
      </w:r>
      <w:r>
        <w:rPr>
          <w:noProof/>
          <w:lang w:val="fr-FR"/>
        </w:rPr>
        <w:t>e</w:t>
      </w:r>
      <w:r w:rsidR="001B2F58" w:rsidRPr="00DD03D6">
        <w:rPr>
          <w:noProof/>
          <w:lang w:val="fr-FR"/>
        </w:rPr>
        <w:t xml:space="preserve">l, moral </w:t>
      </w:r>
      <w:r>
        <w:rPr>
          <w:noProof/>
          <w:lang w:val="fr-FR"/>
        </w:rPr>
        <w:t xml:space="preserve">et </w:t>
      </w:r>
      <w:r w:rsidR="001B2F58" w:rsidRPr="00DD03D6">
        <w:rPr>
          <w:noProof/>
          <w:lang w:val="fr-FR"/>
        </w:rPr>
        <w:t xml:space="preserve">social </w:t>
      </w:r>
      <w:r>
        <w:rPr>
          <w:noProof/>
          <w:lang w:val="fr-FR"/>
        </w:rPr>
        <w:t>des enfants relève principalement du système éducatif</w:t>
      </w:r>
      <w:r w:rsidR="001B2F58" w:rsidRPr="00DD03D6">
        <w:rPr>
          <w:noProof/>
          <w:lang w:val="fr-FR"/>
        </w:rPr>
        <w:t xml:space="preserve">. </w:t>
      </w:r>
      <w:r>
        <w:rPr>
          <w:noProof/>
          <w:lang w:val="fr-FR"/>
        </w:rPr>
        <w:t>Le programme d’éducation s</w:t>
      </w:r>
      <w:r w:rsidR="001B2F58" w:rsidRPr="00DD03D6">
        <w:rPr>
          <w:noProof/>
          <w:lang w:val="fr-FR"/>
        </w:rPr>
        <w:t>ocial</w:t>
      </w:r>
      <w:r>
        <w:rPr>
          <w:noProof/>
          <w:lang w:val="fr-FR"/>
        </w:rPr>
        <w:t>e</w:t>
      </w:r>
      <w:r w:rsidR="001B2F58" w:rsidRPr="00DD03D6">
        <w:rPr>
          <w:noProof/>
          <w:lang w:val="fr-FR"/>
        </w:rPr>
        <w:t xml:space="preserve">, </w:t>
      </w:r>
      <w:r>
        <w:rPr>
          <w:noProof/>
          <w:lang w:val="fr-FR"/>
        </w:rPr>
        <w:t xml:space="preserve">personnelle et sanitaire </w:t>
      </w:r>
      <w:r w:rsidR="001B2F58" w:rsidRPr="00DD03D6">
        <w:rPr>
          <w:noProof/>
          <w:lang w:val="fr-FR"/>
        </w:rPr>
        <w:t xml:space="preserve">(SPHE) </w:t>
      </w:r>
      <w:r>
        <w:rPr>
          <w:noProof/>
          <w:lang w:val="fr-FR"/>
        </w:rPr>
        <w:t xml:space="preserve">est une partie obligatoire du programme des études primaires et du premier cycle du secondaire depuis </w:t>
      </w:r>
      <w:r w:rsidR="001B2F58" w:rsidRPr="00DD03D6">
        <w:rPr>
          <w:noProof/>
          <w:lang w:val="fr-FR"/>
        </w:rPr>
        <w:t xml:space="preserve">2003, </w:t>
      </w:r>
      <w:r>
        <w:rPr>
          <w:noProof/>
          <w:lang w:val="fr-FR"/>
        </w:rPr>
        <w:t xml:space="preserve">le but étant de favoriser le développement personnel, la santé et le bien-être des enfants, </w:t>
      </w:r>
      <w:r w:rsidR="00CA7657">
        <w:rPr>
          <w:noProof/>
          <w:lang w:val="fr-FR"/>
        </w:rPr>
        <w:t xml:space="preserve">et </w:t>
      </w:r>
      <w:r>
        <w:rPr>
          <w:noProof/>
          <w:lang w:val="fr-FR"/>
        </w:rPr>
        <w:t xml:space="preserve">de les aider à créer et maintenir </w:t>
      </w:r>
      <w:r w:rsidR="00CA7657">
        <w:rPr>
          <w:noProof/>
          <w:lang w:val="fr-FR"/>
        </w:rPr>
        <w:t xml:space="preserve">des relations de soutien et à acquérir les compétences et </w:t>
      </w:r>
      <w:r w:rsidR="001B2F58" w:rsidRPr="00DD03D6">
        <w:rPr>
          <w:noProof/>
          <w:lang w:val="fr-FR"/>
        </w:rPr>
        <w:t xml:space="preserve">attitudes </w:t>
      </w:r>
      <w:r w:rsidR="00CA7657">
        <w:rPr>
          <w:noProof/>
          <w:lang w:val="fr-FR"/>
        </w:rPr>
        <w:t>nécessaires pour devenir des citoyens responsables.</w:t>
      </w:r>
      <w:r w:rsidR="001B2F58" w:rsidRPr="00DD03D6">
        <w:rPr>
          <w:noProof/>
          <w:lang w:val="fr-FR"/>
        </w:rPr>
        <w:t xml:space="preserve"> A</w:t>
      </w:r>
      <w:r w:rsidR="00CA7657">
        <w:rPr>
          <w:noProof/>
          <w:lang w:val="fr-FR"/>
        </w:rPr>
        <w:t xml:space="preserve">u niveau </w:t>
      </w:r>
      <w:r w:rsidR="003E692F">
        <w:rPr>
          <w:noProof/>
          <w:lang w:val="fr-FR"/>
        </w:rPr>
        <w:t>du second sycle du second</w:t>
      </w:r>
      <w:r w:rsidR="00CA7657">
        <w:rPr>
          <w:noProof/>
          <w:lang w:val="fr-FR"/>
        </w:rPr>
        <w:t>aire</w:t>
      </w:r>
      <w:r w:rsidR="001B2F58" w:rsidRPr="00DD03D6">
        <w:rPr>
          <w:noProof/>
          <w:lang w:val="fr-FR"/>
        </w:rPr>
        <w:t xml:space="preserve">, </w:t>
      </w:r>
      <w:r w:rsidR="003E692F">
        <w:rPr>
          <w:noProof/>
          <w:lang w:val="fr-FR"/>
        </w:rPr>
        <w:t>le programme d’éducation civique</w:t>
      </w:r>
      <w:r w:rsidR="001B2F58" w:rsidRPr="00DD03D6">
        <w:rPr>
          <w:noProof/>
          <w:lang w:val="fr-FR"/>
        </w:rPr>
        <w:t xml:space="preserve">, </w:t>
      </w:r>
      <w:r w:rsidR="003E692F">
        <w:rPr>
          <w:noProof/>
          <w:lang w:val="fr-FR"/>
        </w:rPr>
        <w:t>s</w:t>
      </w:r>
      <w:r w:rsidR="001B2F58" w:rsidRPr="00DD03D6">
        <w:rPr>
          <w:noProof/>
          <w:lang w:val="fr-FR"/>
        </w:rPr>
        <w:t>ocial</w:t>
      </w:r>
      <w:r w:rsidR="003E692F">
        <w:rPr>
          <w:noProof/>
          <w:lang w:val="fr-FR"/>
        </w:rPr>
        <w:t>e et</w:t>
      </w:r>
      <w:r w:rsidR="001B2F58" w:rsidRPr="00DD03D6">
        <w:rPr>
          <w:noProof/>
          <w:lang w:val="fr-FR"/>
        </w:rPr>
        <w:t xml:space="preserve"> </w:t>
      </w:r>
      <w:r w:rsidR="003E692F">
        <w:rPr>
          <w:noProof/>
          <w:lang w:val="fr-FR"/>
        </w:rPr>
        <w:t>p</w:t>
      </w:r>
      <w:r w:rsidR="001B2F58" w:rsidRPr="00DD03D6">
        <w:rPr>
          <w:noProof/>
          <w:lang w:val="fr-FR"/>
        </w:rPr>
        <w:t>oliti</w:t>
      </w:r>
      <w:r w:rsidR="003E692F">
        <w:rPr>
          <w:noProof/>
          <w:lang w:val="fr-FR"/>
        </w:rPr>
        <w:t>que</w:t>
      </w:r>
      <w:r w:rsidR="001B2F58" w:rsidRPr="00DD03D6">
        <w:rPr>
          <w:noProof/>
          <w:lang w:val="fr-FR"/>
        </w:rPr>
        <w:t xml:space="preserve"> pr</w:t>
      </w:r>
      <w:r w:rsidR="003E692F">
        <w:rPr>
          <w:noProof/>
          <w:lang w:val="fr-FR"/>
        </w:rPr>
        <w:t>é</w:t>
      </w:r>
      <w:r w:rsidR="001B2F58" w:rsidRPr="00DD03D6">
        <w:rPr>
          <w:noProof/>
          <w:lang w:val="fr-FR"/>
        </w:rPr>
        <w:t>pare</w:t>
      </w:r>
      <w:r w:rsidR="003E692F">
        <w:rPr>
          <w:noProof/>
          <w:lang w:val="fr-FR"/>
        </w:rPr>
        <w:t xml:space="preserve"> le</w:t>
      </w:r>
      <w:r w:rsidR="001B2F58" w:rsidRPr="00DD03D6">
        <w:rPr>
          <w:noProof/>
          <w:lang w:val="fr-FR"/>
        </w:rPr>
        <w:t xml:space="preserve">s </w:t>
      </w:r>
      <w:r w:rsidR="003E692F">
        <w:rPr>
          <w:noProof/>
          <w:lang w:val="fr-FR"/>
        </w:rPr>
        <w:t xml:space="preserve">élèves </w:t>
      </w:r>
      <w:r w:rsidR="002F6F27">
        <w:rPr>
          <w:noProof/>
          <w:lang w:val="fr-FR"/>
        </w:rPr>
        <w:t>à une participation citoyenne active</w:t>
      </w:r>
      <w:r w:rsidR="001B2F58" w:rsidRPr="00DD03D6">
        <w:rPr>
          <w:noProof/>
          <w:lang w:val="fr-FR"/>
        </w:rPr>
        <w:t xml:space="preserve">. </w:t>
      </w:r>
      <w:r w:rsidR="002F6F27">
        <w:rPr>
          <w:noProof/>
          <w:lang w:val="fr-FR"/>
        </w:rPr>
        <w:t>Ce programme, qui vise à faire prendre conscience aux élèves des dimensions civique</w:t>
      </w:r>
      <w:r w:rsidR="001B2F58" w:rsidRPr="00DD03D6">
        <w:rPr>
          <w:noProof/>
          <w:lang w:val="fr-FR"/>
        </w:rPr>
        <w:t>, social</w:t>
      </w:r>
      <w:r w:rsidR="002F6F27">
        <w:rPr>
          <w:noProof/>
          <w:lang w:val="fr-FR"/>
        </w:rPr>
        <w:t>e</w:t>
      </w:r>
      <w:r w:rsidR="001B2F58" w:rsidRPr="00DD03D6">
        <w:rPr>
          <w:noProof/>
          <w:lang w:val="fr-FR"/>
        </w:rPr>
        <w:t xml:space="preserve"> </w:t>
      </w:r>
      <w:r w:rsidR="002F6F27">
        <w:rPr>
          <w:noProof/>
          <w:lang w:val="fr-FR"/>
        </w:rPr>
        <w:t>et politique de leur vie,</w:t>
      </w:r>
      <w:r w:rsidR="00C439D5">
        <w:rPr>
          <w:noProof/>
          <w:lang w:val="fr-FR"/>
        </w:rPr>
        <w:t xml:space="preserve"> repose sur sept concepts clefs </w:t>
      </w:r>
      <w:r w:rsidR="001B2F58" w:rsidRPr="00DD03D6">
        <w:rPr>
          <w:noProof/>
          <w:lang w:val="fr-FR"/>
        </w:rPr>
        <w:t>: d</w:t>
      </w:r>
      <w:r w:rsidR="002F6F27">
        <w:rPr>
          <w:noProof/>
          <w:lang w:val="fr-FR"/>
        </w:rPr>
        <w:t>é</w:t>
      </w:r>
      <w:r w:rsidR="001B2F58" w:rsidRPr="00DD03D6">
        <w:rPr>
          <w:noProof/>
          <w:lang w:val="fr-FR"/>
        </w:rPr>
        <w:t>mocra</w:t>
      </w:r>
      <w:r w:rsidR="002F6F27">
        <w:rPr>
          <w:noProof/>
          <w:lang w:val="fr-FR"/>
        </w:rPr>
        <w:t>tie</w:t>
      </w:r>
      <w:r w:rsidR="001B2F58" w:rsidRPr="00DD03D6">
        <w:rPr>
          <w:noProof/>
          <w:lang w:val="fr-FR"/>
        </w:rPr>
        <w:t xml:space="preserve">; </w:t>
      </w:r>
      <w:r w:rsidR="002F6F27">
        <w:rPr>
          <w:noProof/>
          <w:lang w:val="fr-FR"/>
        </w:rPr>
        <w:t xml:space="preserve">droits et </w:t>
      </w:r>
      <w:r w:rsidR="001B2F58" w:rsidRPr="00DD03D6">
        <w:rPr>
          <w:noProof/>
          <w:lang w:val="fr-FR"/>
        </w:rPr>
        <w:t>respons</w:t>
      </w:r>
      <w:r w:rsidR="002F6F27">
        <w:rPr>
          <w:noProof/>
          <w:lang w:val="fr-FR"/>
        </w:rPr>
        <w:t>a</w:t>
      </w:r>
      <w:r w:rsidR="001B2F58" w:rsidRPr="00DD03D6">
        <w:rPr>
          <w:noProof/>
          <w:lang w:val="fr-FR"/>
        </w:rPr>
        <w:t>bilit</w:t>
      </w:r>
      <w:r w:rsidR="002F6F27">
        <w:rPr>
          <w:noProof/>
          <w:lang w:val="fr-FR"/>
        </w:rPr>
        <w:t>é</w:t>
      </w:r>
      <w:r w:rsidR="001B2F58" w:rsidRPr="00DD03D6">
        <w:rPr>
          <w:noProof/>
          <w:lang w:val="fr-FR"/>
        </w:rPr>
        <w:t xml:space="preserve">s; </w:t>
      </w:r>
      <w:r w:rsidR="002F6F27">
        <w:rPr>
          <w:noProof/>
          <w:lang w:val="fr-FR"/>
        </w:rPr>
        <w:t>dignité humaine</w:t>
      </w:r>
      <w:r w:rsidR="001B2F58" w:rsidRPr="00DD03D6">
        <w:rPr>
          <w:noProof/>
          <w:lang w:val="fr-FR"/>
        </w:rPr>
        <w:t>; interd</w:t>
      </w:r>
      <w:r w:rsidR="002F6F27">
        <w:rPr>
          <w:noProof/>
          <w:lang w:val="fr-FR"/>
        </w:rPr>
        <w:t>é</w:t>
      </w:r>
      <w:r w:rsidR="001B2F58" w:rsidRPr="00DD03D6">
        <w:rPr>
          <w:noProof/>
          <w:lang w:val="fr-FR"/>
        </w:rPr>
        <w:t>pend</w:t>
      </w:r>
      <w:r w:rsidR="002F6F27">
        <w:rPr>
          <w:noProof/>
          <w:lang w:val="fr-FR"/>
        </w:rPr>
        <w:t>a</w:t>
      </w:r>
      <w:r w:rsidR="001B2F58" w:rsidRPr="00DD03D6">
        <w:rPr>
          <w:noProof/>
          <w:lang w:val="fr-FR"/>
        </w:rPr>
        <w:t>nce; d</w:t>
      </w:r>
      <w:r w:rsidR="002F6F27">
        <w:rPr>
          <w:noProof/>
          <w:lang w:val="fr-FR"/>
        </w:rPr>
        <w:t>é</w:t>
      </w:r>
      <w:r w:rsidR="001B2F58" w:rsidRPr="00DD03D6">
        <w:rPr>
          <w:noProof/>
          <w:lang w:val="fr-FR"/>
        </w:rPr>
        <w:t>velop</w:t>
      </w:r>
      <w:r w:rsidR="002F6F27">
        <w:rPr>
          <w:noProof/>
          <w:lang w:val="fr-FR"/>
        </w:rPr>
        <w:t>pe</w:t>
      </w:r>
      <w:r w:rsidR="001B2F58" w:rsidRPr="00DD03D6">
        <w:rPr>
          <w:noProof/>
          <w:lang w:val="fr-FR"/>
        </w:rPr>
        <w:t xml:space="preserve">ment; </w:t>
      </w:r>
      <w:r w:rsidR="00A71081">
        <w:rPr>
          <w:noProof/>
          <w:lang w:val="fr-FR"/>
        </w:rPr>
        <w:t>loi</w:t>
      </w:r>
      <w:r w:rsidR="001B2F58" w:rsidRPr="00DD03D6">
        <w:rPr>
          <w:noProof/>
          <w:lang w:val="fr-FR"/>
        </w:rPr>
        <w:t xml:space="preserve">; </w:t>
      </w:r>
      <w:r w:rsidR="002F6F27">
        <w:rPr>
          <w:noProof/>
          <w:lang w:val="fr-FR"/>
        </w:rPr>
        <w:t>et conduite des affaires</w:t>
      </w:r>
      <w:r w:rsidR="001B2F58" w:rsidRPr="00DD03D6">
        <w:rPr>
          <w:noProof/>
          <w:lang w:val="fr-FR"/>
        </w:rPr>
        <w:t>.</w:t>
      </w:r>
    </w:p>
    <w:p w:rsidR="001B2F58" w:rsidRPr="00DD03D6" w:rsidRDefault="001B2F58" w:rsidP="001B2AC4">
      <w:pPr>
        <w:pStyle w:val="SingleTxtG"/>
        <w:numPr>
          <w:ilvl w:val="0"/>
          <w:numId w:val="3"/>
        </w:numPr>
        <w:ind w:left="1134" w:firstLine="0"/>
        <w:rPr>
          <w:noProof/>
          <w:lang w:val="fr-FR"/>
        </w:rPr>
      </w:pPr>
      <w:r w:rsidRPr="00DD03D6">
        <w:rPr>
          <w:noProof/>
          <w:lang w:val="fr-FR"/>
        </w:rPr>
        <w:t>A</w:t>
      </w:r>
      <w:r w:rsidR="002F6F27">
        <w:rPr>
          <w:noProof/>
          <w:lang w:val="fr-FR"/>
        </w:rPr>
        <w:t xml:space="preserve">u niveau </w:t>
      </w:r>
      <w:r w:rsidRPr="00DD03D6">
        <w:rPr>
          <w:noProof/>
          <w:lang w:val="fr-FR"/>
        </w:rPr>
        <w:t>post</w:t>
      </w:r>
      <w:r w:rsidR="002F6F27">
        <w:rPr>
          <w:noProof/>
          <w:lang w:val="fr-FR"/>
        </w:rPr>
        <w:t>primaire</w:t>
      </w:r>
      <w:r w:rsidRPr="00DD03D6">
        <w:rPr>
          <w:noProof/>
          <w:lang w:val="fr-FR"/>
        </w:rPr>
        <w:t xml:space="preserve">, </w:t>
      </w:r>
      <w:r w:rsidR="002F6F27">
        <w:rPr>
          <w:noProof/>
          <w:lang w:val="fr-FR"/>
        </w:rPr>
        <w:t>les plans d’études considèrent que l’instruction religieuse est bien placée pour fournir aux élèves des possibilités de réflexion, de compréhension et d’interprétation concernant l’</w:t>
      </w:r>
      <w:r w:rsidRPr="00DD03D6">
        <w:rPr>
          <w:noProof/>
          <w:lang w:val="fr-FR"/>
        </w:rPr>
        <w:t>exp</w:t>
      </w:r>
      <w:r w:rsidR="002F6F27">
        <w:rPr>
          <w:noProof/>
          <w:lang w:val="fr-FR"/>
        </w:rPr>
        <w:t>é</w:t>
      </w:r>
      <w:r w:rsidRPr="00DD03D6">
        <w:rPr>
          <w:noProof/>
          <w:lang w:val="fr-FR"/>
        </w:rPr>
        <w:t>rience</w:t>
      </w:r>
      <w:r w:rsidR="002F6F27">
        <w:rPr>
          <w:noProof/>
          <w:lang w:val="fr-FR"/>
        </w:rPr>
        <w:t xml:space="preserve"> humaine et pourvoir à leur développement </w:t>
      </w:r>
      <w:r w:rsidRPr="00DD03D6">
        <w:rPr>
          <w:noProof/>
          <w:lang w:val="fr-FR"/>
        </w:rPr>
        <w:t xml:space="preserve">moral. </w:t>
      </w:r>
      <w:r w:rsidR="002F6F27">
        <w:rPr>
          <w:noProof/>
          <w:lang w:val="fr-FR"/>
        </w:rPr>
        <w:t xml:space="preserve">Elle permet </w:t>
      </w:r>
      <w:r w:rsidR="009275C6">
        <w:rPr>
          <w:noProof/>
          <w:lang w:val="fr-FR"/>
        </w:rPr>
        <w:t>un engagement critique vis-à-vis de différents codes déontologiques et normes de comportement</w:t>
      </w:r>
      <w:r w:rsidRPr="00DD03D6">
        <w:rPr>
          <w:noProof/>
          <w:lang w:val="fr-FR"/>
        </w:rPr>
        <w:t>.</w:t>
      </w:r>
    </w:p>
    <w:p w:rsidR="001B2F58" w:rsidRPr="00DD03D6" w:rsidRDefault="009275C6" w:rsidP="009275C6">
      <w:pPr>
        <w:pStyle w:val="H23G"/>
        <w:ind w:firstLine="0"/>
        <w:rPr>
          <w:noProof/>
          <w:lang w:val="fr-FR"/>
        </w:rPr>
      </w:pPr>
      <w:r>
        <w:rPr>
          <w:noProof/>
          <w:lang w:val="fr-FR"/>
        </w:rPr>
        <w:t xml:space="preserve">Enfants bénéficiant d’une prestation directe </w:t>
      </w:r>
    </w:p>
    <w:p w:rsidR="001B2F58" w:rsidRPr="00DD03D6" w:rsidRDefault="009275C6" w:rsidP="00352749">
      <w:pPr>
        <w:pStyle w:val="SingleTxtG"/>
        <w:numPr>
          <w:ilvl w:val="0"/>
          <w:numId w:val="3"/>
        </w:numPr>
        <w:ind w:left="1134" w:firstLine="0"/>
        <w:rPr>
          <w:noProof/>
          <w:lang w:val="fr-FR"/>
        </w:rPr>
      </w:pPr>
      <w:r>
        <w:rPr>
          <w:noProof/>
          <w:color w:val="000000"/>
          <w:lang w:val="fr-FR"/>
        </w:rPr>
        <w:t>L</w:t>
      </w:r>
      <w:r w:rsidRPr="009275C6">
        <w:rPr>
          <w:noProof/>
          <w:color w:val="000000"/>
          <w:lang w:val="fr-FR"/>
        </w:rPr>
        <w:t>’Agence p</w:t>
      </w:r>
      <w:r w:rsidR="00A71081">
        <w:rPr>
          <w:noProof/>
          <w:color w:val="000000"/>
          <w:lang w:val="fr-FR"/>
        </w:rPr>
        <w:t>our l’accueil et l’intégration</w:t>
      </w:r>
      <w:r w:rsidR="001B2F58" w:rsidRPr="00DD03D6">
        <w:rPr>
          <w:noProof/>
          <w:lang w:val="fr-FR"/>
        </w:rPr>
        <w:t xml:space="preserve">, </w:t>
      </w:r>
      <w:r>
        <w:rPr>
          <w:noProof/>
          <w:lang w:val="fr-FR"/>
        </w:rPr>
        <w:t>qui relève du Service irlandais de la n</w:t>
      </w:r>
      <w:r w:rsidR="001B2F58" w:rsidRPr="00DD03D6">
        <w:rPr>
          <w:noProof/>
          <w:lang w:val="fr-FR"/>
        </w:rPr>
        <w:t xml:space="preserve">aturalisation </w:t>
      </w:r>
      <w:r>
        <w:rPr>
          <w:noProof/>
          <w:lang w:val="fr-FR"/>
        </w:rPr>
        <w:t>et de l’i</w:t>
      </w:r>
      <w:r w:rsidR="001B2F58" w:rsidRPr="00DD03D6">
        <w:rPr>
          <w:noProof/>
          <w:lang w:val="fr-FR"/>
        </w:rPr>
        <w:t xml:space="preserve">mmigration, </w:t>
      </w:r>
      <w:r>
        <w:rPr>
          <w:noProof/>
          <w:lang w:val="fr-FR"/>
        </w:rPr>
        <w:t xml:space="preserve">fournit un logement et des </w:t>
      </w:r>
      <w:r w:rsidR="009205D6">
        <w:rPr>
          <w:noProof/>
          <w:lang w:val="fr-FR"/>
        </w:rPr>
        <w:t>services connexes aux demandeurs d’asile dans le cadre du système de prestation directe</w:t>
      </w:r>
      <w:r w:rsidR="001B2F58" w:rsidRPr="00DD03D6">
        <w:rPr>
          <w:noProof/>
          <w:lang w:val="fr-FR"/>
        </w:rPr>
        <w:t xml:space="preserve">. </w:t>
      </w:r>
      <w:r w:rsidR="009205D6">
        <w:rPr>
          <w:noProof/>
          <w:lang w:val="fr-FR"/>
        </w:rPr>
        <w:t>De la sorte, les demandeurs d’asile se voient assurer gratuitement le gîte et le couvert et les services essentiels j</w:t>
      </w:r>
      <w:r w:rsidR="00797580">
        <w:rPr>
          <w:noProof/>
          <w:lang w:val="fr-FR"/>
        </w:rPr>
        <w:t>us</w:t>
      </w:r>
      <w:r w:rsidR="009205D6">
        <w:rPr>
          <w:noProof/>
          <w:lang w:val="fr-FR"/>
        </w:rPr>
        <w:t>qu’à ce qu’il soit donné suite à leur demande de protection i</w:t>
      </w:r>
      <w:r w:rsidR="001B2F58" w:rsidRPr="00DD03D6">
        <w:rPr>
          <w:noProof/>
          <w:lang w:val="fr-FR"/>
        </w:rPr>
        <w:t>nternational</w:t>
      </w:r>
      <w:r w:rsidR="009205D6">
        <w:rPr>
          <w:noProof/>
          <w:lang w:val="fr-FR"/>
        </w:rPr>
        <w:t>e</w:t>
      </w:r>
      <w:r w:rsidR="001B2F58" w:rsidRPr="00DD03D6">
        <w:rPr>
          <w:noProof/>
          <w:lang w:val="fr-FR"/>
        </w:rPr>
        <w:t>.</w:t>
      </w:r>
    </w:p>
    <w:p w:rsidR="001B2F58" w:rsidRPr="00DD03D6" w:rsidRDefault="00C8290A" w:rsidP="00352749">
      <w:pPr>
        <w:pStyle w:val="SingleTxtG"/>
        <w:numPr>
          <w:ilvl w:val="0"/>
          <w:numId w:val="3"/>
        </w:numPr>
        <w:ind w:left="1134" w:firstLine="0"/>
        <w:rPr>
          <w:noProof/>
          <w:lang w:val="fr-FR"/>
        </w:rPr>
      </w:pPr>
      <w:r>
        <w:rPr>
          <w:noProof/>
          <w:lang w:val="fr-FR"/>
        </w:rPr>
        <w:t>L’hébergement</w:t>
      </w:r>
      <w:r w:rsidR="009205D6">
        <w:rPr>
          <w:noProof/>
          <w:lang w:val="fr-FR"/>
        </w:rPr>
        <w:t xml:space="preserve"> dans les centres d’accueil et d’hébergement </w:t>
      </w:r>
      <w:r>
        <w:rPr>
          <w:noProof/>
          <w:lang w:val="fr-FR"/>
        </w:rPr>
        <w:t>consiste à fournir une pièce, permettant éventuellement de loger une famille, et trois repas par jour, ainsi que les repas scolaires</w:t>
      </w:r>
      <w:r w:rsidR="001B2F58" w:rsidRPr="00DD03D6">
        <w:rPr>
          <w:noProof/>
          <w:lang w:val="fr-FR"/>
        </w:rPr>
        <w:t xml:space="preserve">. </w:t>
      </w:r>
      <w:r>
        <w:rPr>
          <w:noProof/>
          <w:lang w:val="fr-FR"/>
        </w:rPr>
        <w:t>L’État règle directement les frais de logement ainsi que le coût des repas, du chauffage, de l’électricité, du blanchissage et de l’entretien</w:t>
      </w:r>
      <w:r w:rsidR="001B2F58" w:rsidRPr="00DD03D6">
        <w:rPr>
          <w:noProof/>
          <w:lang w:val="fr-FR"/>
        </w:rPr>
        <w:t xml:space="preserve">. </w:t>
      </w:r>
      <w:r>
        <w:rPr>
          <w:noProof/>
          <w:lang w:val="fr-FR"/>
        </w:rPr>
        <w:t>Les ré</w:t>
      </w:r>
      <w:r w:rsidR="001B2F58" w:rsidRPr="00DD03D6">
        <w:rPr>
          <w:noProof/>
          <w:lang w:val="fr-FR"/>
        </w:rPr>
        <w:t xml:space="preserve">sidents </w:t>
      </w:r>
      <w:r>
        <w:rPr>
          <w:noProof/>
          <w:lang w:val="fr-FR"/>
        </w:rPr>
        <w:t>touchent une allocation hebdomadaire de prestation directe</w:t>
      </w:r>
      <w:r w:rsidR="001B2F58" w:rsidRPr="00DD03D6">
        <w:rPr>
          <w:noProof/>
          <w:lang w:val="fr-FR"/>
        </w:rPr>
        <w:t xml:space="preserve">. </w:t>
      </w:r>
      <w:r>
        <w:rPr>
          <w:noProof/>
          <w:lang w:val="fr-FR"/>
        </w:rPr>
        <w:t>E</w:t>
      </w:r>
      <w:r w:rsidR="001B2F58" w:rsidRPr="00DD03D6">
        <w:rPr>
          <w:noProof/>
          <w:lang w:val="fr-FR"/>
        </w:rPr>
        <w:t xml:space="preserve">n </w:t>
      </w:r>
      <w:r>
        <w:rPr>
          <w:noProof/>
          <w:lang w:val="fr-FR"/>
        </w:rPr>
        <w:t>outre, les demandeurs d’asile peuvent recevoir des allocations pour besoins exceptionnels ainsi que des allocations pour frais d’habillement et de chaussures</w:t>
      </w:r>
      <w:r w:rsidR="001B2F58" w:rsidRPr="00DD03D6">
        <w:rPr>
          <w:noProof/>
          <w:lang w:val="fr-FR"/>
        </w:rPr>
        <w:t>.</w:t>
      </w:r>
    </w:p>
    <w:p w:rsidR="001B2F58" w:rsidRPr="00DD03D6" w:rsidRDefault="00C8290A" w:rsidP="008F0730">
      <w:pPr>
        <w:pStyle w:val="SingleTxtG"/>
        <w:numPr>
          <w:ilvl w:val="0"/>
          <w:numId w:val="3"/>
        </w:numPr>
        <w:ind w:left="1134" w:firstLine="0"/>
        <w:rPr>
          <w:noProof/>
          <w:lang w:val="fr-FR"/>
        </w:rPr>
      </w:pPr>
      <w:r>
        <w:rPr>
          <w:noProof/>
          <w:color w:val="000000"/>
          <w:lang w:val="fr-FR"/>
        </w:rPr>
        <w:t>L</w:t>
      </w:r>
      <w:r w:rsidRPr="009275C6">
        <w:rPr>
          <w:noProof/>
          <w:color w:val="000000"/>
          <w:lang w:val="fr-FR"/>
        </w:rPr>
        <w:t xml:space="preserve">’Agence pour l’accueil et l’intégration </w:t>
      </w:r>
      <w:r>
        <w:rPr>
          <w:noProof/>
          <w:color w:val="000000"/>
          <w:lang w:val="fr-FR"/>
        </w:rPr>
        <w:t>prend au sérieux son rôle de protection des enfants</w:t>
      </w:r>
      <w:r w:rsidR="001B2F58" w:rsidRPr="00DD03D6">
        <w:rPr>
          <w:noProof/>
          <w:lang w:val="fr-FR"/>
        </w:rPr>
        <w:t xml:space="preserve">. </w:t>
      </w:r>
      <w:r>
        <w:rPr>
          <w:noProof/>
          <w:lang w:val="fr-FR"/>
        </w:rPr>
        <w:t>Ce rôle est essentiel en dépit du fait que les enfants relevant du système de prestation directe ne sont pas pris en charge par l’État</w:t>
      </w:r>
      <w:r w:rsidR="001B2F58" w:rsidRPr="00DD03D6">
        <w:rPr>
          <w:noProof/>
          <w:lang w:val="fr-FR"/>
        </w:rPr>
        <w:t xml:space="preserve">. </w:t>
      </w:r>
      <w:r>
        <w:rPr>
          <w:noProof/>
          <w:lang w:val="fr-FR"/>
        </w:rPr>
        <w:t xml:space="preserve">Tous les enfants vivent dans un cadre familial et leurs </w:t>
      </w:r>
      <w:r w:rsidR="001B2F58" w:rsidRPr="00DD03D6">
        <w:rPr>
          <w:noProof/>
          <w:lang w:val="fr-FR"/>
        </w:rPr>
        <w:t>parents/</w:t>
      </w:r>
      <w:r>
        <w:rPr>
          <w:noProof/>
          <w:lang w:val="fr-FR"/>
        </w:rPr>
        <w:t>tuteurs sont responsables au premier chef de leur protection et de leur bien-être</w:t>
      </w:r>
      <w:r w:rsidR="001B2F58" w:rsidRPr="00DD03D6">
        <w:rPr>
          <w:noProof/>
          <w:lang w:val="fr-FR"/>
        </w:rPr>
        <w:t xml:space="preserve">. </w:t>
      </w:r>
      <w:r>
        <w:rPr>
          <w:noProof/>
          <w:lang w:val="fr-FR"/>
        </w:rPr>
        <w:t xml:space="preserve">À cet égard, il convient de noter que l’Agence </w:t>
      </w:r>
      <w:r w:rsidR="007918F5">
        <w:rPr>
          <w:noProof/>
          <w:lang w:val="fr-FR"/>
        </w:rPr>
        <w:t>n’accueille pas les mineurs non accompagnés, qui sont pris en charge par la Direction des services de santé</w:t>
      </w:r>
      <w:r w:rsidR="001B2F58" w:rsidRPr="00DD03D6">
        <w:rPr>
          <w:noProof/>
          <w:lang w:val="fr-FR"/>
        </w:rPr>
        <w:t xml:space="preserve">. </w:t>
      </w:r>
      <w:r w:rsidR="007918F5">
        <w:rPr>
          <w:noProof/>
          <w:lang w:val="fr-FR"/>
        </w:rPr>
        <w:t xml:space="preserve">Dans le système de prestation directe, les enfants sont protégés de diverses façons, pour l’essentiel par sa politique de protection des enfants, </w:t>
      </w:r>
      <w:r w:rsidR="00FA2F65">
        <w:rPr>
          <w:noProof/>
          <w:lang w:val="fr-FR"/>
        </w:rPr>
        <w:t xml:space="preserve">son règlement, l’obligation de </w:t>
      </w:r>
      <w:r w:rsidR="00C25F23">
        <w:rPr>
          <w:noProof/>
          <w:lang w:val="fr-FR"/>
        </w:rPr>
        <w:t xml:space="preserve">faire vérifier les antécédents de </w:t>
      </w:r>
      <w:r w:rsidR="00FA2F65">
        <w:rPr>
          <w:noProof/>
          <w:lang w:val="fr-FR"/>
        </w:rPr>
        <w:t xml:space="preserve">tous les membres du personnel </w:t>
      </w:r>
      <w:r w:rsidR="00327240">
        <w:rPr>
          <w:noProof/>
          <w:lang w:val="fr-FR"/>
        </w:rPr>
        <w:t xml:space="preserve">des centres </w:t>
      </w:r>
      <w:r w:rsidR="00FA2F65">
        <w:rPr>
          <w:noProof/>
          <w:lang w:val="fr-FR"/>
        </w:rPr>
        <w:t xml:space="preserve">par la police avant </w:t>
      </w:r>
      <w:r w:rsidR="00C25F23">
        <w:rPr>
          <w:noProof/>
          <w:lang w:val="fr-FR"/>
        </w:rPr>
        <w:t xml:space="preserve">de les engager </w:t>
      </w:r>
      <w:r w:rsidR="00FA2F65">
        <w:rPr>
          <w:noProof/>
          <w:lang w:val="fr-FR"/>
        </w:rPr>
        <w:t xml:space="preserve">et </w:t>
      </w:r>
      <w:r w:rsidR="00327240">
        <w:rPr>
          <w:noProof/>
          <w:lang w:val="fr-FR"/>
        </w:rPr>
        <w:t>le rôle de coordination assumé par un service spécialisé de l’Agence</w:t>
      </w:r>
      <w:r w:rsidR="001B2F58" w:rsidRPr="00DD03D6">
        <w:rPr>
          <w:noProof/>
          <w:lang w:val="fr-FR"/>
        </w:rPr>
        <w:t>.</w:t>
      </w:r>
    </w:p>
    <w:p w:rsidR="001B2F58" w:rsidRPr="00DD03D6" w:rsidRDefault="00327240" w:rsidP="005D7533">
      <w:pPr>
        <w:pStyle w:val="SingleTxtG"/>
        <w:numPr>
          <w:ilvl w:val="0"/>
          <w:numId w:val="3"/>
        </w:numPr>
        <w:ind w:left="1134" w:firstLine="0"/>
        <w:rPr>
          <w:noProof/>
          <w:lang w:val="fr-FR"/>
        </w:rPr>
      </w:pPr>
      <w:r>
        <w:rPr>
          <w:noProof/>
          <w:lang w:val="fr-FR"/>
        </w:rPr>
        <w:t xml:space="preserve">La politique de protection des enfants de l’Agence s’appuie sur les directives nationales </w:t>
      </w:r>
      <w:r>
        <w:rPr>
          <w:iCs/>
          <w:noProof/>
          <w:lang w:val="fr-FR"/>
        </w:rPr>
        <w:t xml:space="preserve">intitulées </w:t>
      </w:r>
      <w:r w:rsidRPr="003F1ADB">
        <w:rPr>
          <w:lang w:val="fr-CH"/>
        </w:rPr>
        <w:t>«</w:t>
      </w:r>
      <w:r w:rsidR="003F1ADB">
        <w:rPr>
          <w:i/>
          <w:lang w:val="fr-CH"/>
        </w:rPr>
        <w:t> </w:t>
      </w:r>
      <w:r w:rsidRPr="007B3894">
        <w:rPr>
          <w:i/>
          <w:lang w:val="fr-CH"/>
        </w:rPr>
        <w:t>Les enfants d’abord</w:t>
      </w:r>
      <w:r>
        <w:rPr>
          <w:i/>
          <w:lang w:val="fr-CH"/>
        </w:rPr>
        <w:t xml:space="preserve"> </w:t>
      </w:r>
      <w:r w:rsidRPr="007B3894">
        <w:rPr>
          <w:i/>
          <w:lang w:val="fr-CH"/>
        </w:rPr>
        <w:t>: directives nationales pour la protecti</w:t>
      </w:r>
      <w:r>
        <w:rPr>
          <w:i/>
          <w:lang w:val="fr-CH"/>
        </w:rPr>
        <w:t>on et le bien-être des enfants</w:t>
      </w:r>
      <w:r w:rsidR="003F1ADB">
        <w:rPr>
          <w:i/>
          <w:lang w:val="fr-CH"/>
        </w:rPr>
        <w:t> </w:t>
      </w:r>
      <w:r w:rsidRPr="003F1ADB">
        <w:rPr>
          <w:lang w:val="fr-CH"/>
        </w:rPr>
        <w:t>»</w:t>
      </w:r>
      <w:r>
        <w:rPr>
          <w:noProof/>
          <w:lang w:val="fr-FR"/>
        </w:rPr>
        <w:t xml:space="preserve"> </w:t>
      </w:r>
      <w:r w:rsidR="001B2F58" w:rsidRPr="00DD03D6">
        <w:rPr>
          <w:noProof/>
          <w:lang w:val="fr-FR"/>
        </w:rPr>
        <w:t>(</w:t>
      </w:r>
      <w:r>
        <w:rPr>
          <w:noProof/>
          <w:lang w:val="fr-FR"/>
        </w:rPr>
        <w:t>Ministère de l’enfance et de la jeunesse</w:t>
      </w:r>
      <w:r w:rsidR="001B2F58" w:rsidRPr="00DD03D6">
        <w:rPr>
          <w:noProof/>
          <w:lang w:val="fr-FR"/>
        </w:rPr>
        <w:t xml:space="preserve">, 2011). </w:t>
      </w:r>
      <w:r>
        <w:rPr>
          <w:noProof/>
          <w:lang w:val="fr-FR"/>
        </w:rPr>
        <w:t xml:space="preserve">En vertu de cette politique, les enfants doivent être </w:t>
      </w:r>
      <w:r w:rsidR="001B2F58" w:rsidRPr="00DD03D6">
        <w:rPr>
          <w:noProof/>
          <w:lang w:val="fr-FR"/>
        </w:rPr>
        <w:t>supe</w:t>
      </w:r>
      <w:r>
        <w:rPr>
          <w:noProof/>
          <w:lang w:val="fr-FR"/>
        </w:rPr>
        <w:t xml:space="preserve">rvisés par leurs </w:t>
      </w:r>
      <w:r w:rsidR="001B2F58" w:rsidRPr="00DD03D6">
        <w:rPr>
          <w:noProof/>
          <w:lang w:val="fr-FR"/>
        </w:rPr>
        <w:t>parents/</w:t>
      </w:r>
      <w:r>
        <w:rPr>
          <w:noProof/>
          <w:lang w:val="fr-FR"/>
        </w:rPr>
        <w:t>tu</w:t>
      </w:r>
      <w:r w:rsidR="00A01CDD">
        <w:rPr>
          <w:noProof/>
          <w:lang w:val="fr-FR"/>
        </w:rPr>
        <w:t>t</w:t>
      </w:r>
      <w:r>
        <w:rPr>
          <w:noProof/>
          <w:lang w:val="fr-FR"/>
        </w:rPr>
        <w:t xml:space="preserve">eurs à tous moments et ils </w:t>
      </w:r>
      <w:r>
        <w:rPr>
          <w:noProof/>
          <w:lang w:val="fr-FR"/>
        </w:rPr>
        <w:lastRenderedPageBreak/>
        <w:t>ne doivent être seuls la nuit</w:t>
      </w:r>
      <w:r w:rsidR="001B2F58" w:rsidRPr="00DD03D6">
        <w:rPr>
          <w:noProof/>
          <w:lang w:val="fr-FR"/>
        </w:rPr>
        <w:t xml:space="preserve">. </w:t>
      </w:r>
      <w:r>
        <w:rPr>
          <w:noProof/>
          <w:lang w:val="fr-FR"/>
        </w:rPr>
        <w:t xml:space="preserve">Elle prévoit également pour chaque centre un agent de liaison pour la protection des enfants, qui est chargé d’appliquer une procédure </w:t>
      </w:r>
      <w:r w:rsidR="00A011D9">
        <w:rPr>
          <w:noProof/>
          <w:lang w:val="fr-FR"/>
        </w:rPr>
        <w:t>de signalement au cas où il soupçonnerait qu’un cas d’atteinte au bien-être d’un enfant s’est produit</w:t>
      </w:r>
      <w:r w:rsidR="001B2F58" w:rsidRPr="00DD03D6">
        <w:rPr>
          <w:noProof/>
          <w:lang w:val="fr-FR"/>
        </w:rPr>
        <w:t xml:space="preserve">. </w:t>
      </w:r>
      <w:r w:rsidR="00A011D9">
        <w:rPr>
          <w:noProof/>
          <w:lang w:val="fr-FR"/>
        </w:rPr>
        <w:t>Il incombe aux responsables des centres d’hébergement de veiller à ce que tous les membres du personnel connaissent et respectent la politique de protection des enfants de l’Agence</w:t>
      </w:r>
      <w:r w:rsidR="005D7533" w:rsidRPr="00DD03D6">
        <w:rPr>
          <w:noProof/>
          <w:lang w:val="fr-FR"/>
        </w:rPr>
        <w:t xml:space="preserve">. </w:t>
      </w:r>
      <w:r w:rsidR="00A011D9">
        <w:rPr>
          <w:noProof/>
          <w:lang w:val="fr-FR"/>
        </w:rPr>
        <w:t>La Direction des services de santé a dispensé aux agents et autres membres du personnel de chaque centre une formation en matière de protection des enfants.</w:t>
      </w:r>
    </w:p>
    <w:p w:rsidR="001B2F58" w:rsidRDefault="00A011D9" w:rsidP="00352749">
      <w:pPr>
        <w:pStyle w:val="SingleTxtG"/>
        <w:numPr>
          <w:ilvl w:val="0"/>
          <w:numId w:val="3"/>
        </w:numPr>
        <w:ind w:left="1134" w:firstLine="0"/>
        <w:rPr>
          <w:noProof/>
          <w:lang w:val="fr-FR"/>
        </w:rPr>
      </w:pPr>
      <w:r>
        <w:rPr>
          <w:noProof/>
          <w:lang w:val="fr-FR"/>
        </w:rPr>
        <w:t xml:space="preserve">Le règlement de l’Agence contient des </w:t>
      </w:r>
      <w:r w:rsidR="001B2F58" w:rsidRPr="00DD03D6">
        <w:rPr>
          <w:noProof/>
          <w:lang w:val="fr-FR"/>
        </w:rPr>
        <w:t>information</w:t>
      </w:r>
      <w:r>
        <w:rPr>
          <w:noProof/>
          <w:lang w:val="fr-FR"/>
        </w:rPr>
        <w:t>s</w:t>
      </w:r>
      <w:r w:rsidR="001B2F58" w:rsidRPr="00DD03D6">
        <w:rPr>
          <w:noProof/>
          <w:lang w:val="fr-FR"/>
        </w:rPr>
        <w:t xml:space="preserve"> </w:t>
      </w:r>
      <w:r>
        <w:rPr>
          <w:noProof/>
          <w:lang w:val="fr-FR"/>
        </w:rPr>
        <w:t xml:space="preserve">destinées aux </w:t>
      </w:r>
      <w:r w:rsidR="001B2F58" w:rsidRPr="00DD03D6">
        <w:rPr>
          <w:noProof/>
          <w:lang w:val="fr-FR"/>
        </w:rPr>
        <w:t>r</w:t>
      </w:r>
      <w:r>
        <w:rPr>
          <w:noProof/>
          <w:lang w:val="fr-FR"/>
        </w:rPr>
        <w:t>é</w:t>
      </w:r>
      <w:r w:rsidR="001B2F58" w:rsidRPr="00DD03D6">
        <w:rPr>
          <w:noProof/>
          <w:lang w:val="fr-FR"/>
        </w:rPr>
        <w:t xml:space="preserve">sidents </w:t>
      </w:r>
      <w:r>
        <w:rPr>
          <w:noProof/>
          <w:lang w:val="fr-FR"/>
        </w:rPr>
        <w:t xml:space="preserve">et au personnel </w:t>
      </w:r>
      <w:r w:rsidR="007D7585">
        <w:rPr>
          <w:noProof/>
          <w:lang w:val="fr-FR"/>
        </w:rPr>
        <w:t xml:space="preserve">au sujet de la </w:t>
      </w:r>
      <w:r w:rsidR="001B2F58" w:rsidRPr="00DD03D6">
        <w:rPr>
          <w:noProof/>
          <w:lang w:val="fr-FR"/>
        </w:rPr>
        <w:t xml:space="preserve">protection </w:t>
      </w:r>
      <w:r w:rsidR="007D7585">
        <w:rPr>
          <w:noProof/>
          <w:lang w:val="fr-FR"/>
        </w:rPr>
        <w:t>des enfants et des responsabilité</w:t>
      </w:r>
      <w:r w:rsidR="001B2F58" w:rsidRPr="00DD03D6">
        <w:rPr>
          <w:noProof/>
          <w:lang w:val="fr-FR"/>
        </w:rPr>
        <w:t xml:space="preserve">s </w:t>
      </w:r>
      <w:r w:rsidR="007D7585">
        <w:rPr>
          <w:noProof/>
          <w:lang w:val="fr-FR"/>
        </w:rPr>
        <w:t xml:space="preserve">de toutes les </w:t>
      </w:r>
      <w:r w:rsidR="001B2F58" w:rsidRPr="00DD03D6">
        <w:rPr>
          <w:noProof/>
          <w:lang w:val="fr-FR"/>
        </w:rPr>
        <w:t xml:space="preserve">parties. </w:t>
      </w:r>
      <w:r w:rsidR="007D7585">
        <w:rPr>
          <w:noProof/>
          <w:lang w:val="fr-FR"/>
        </w:rPr>
        <w:t xml:space="preserve">Le texte de ce règlement et celui de la politique de protection des enfants sont accessibles sur le site Web de l’Agence </w:t>
      </w:r>
      <w:r w:rsidR="001B2F58" w:rsidRPr="00DD03D6">
        <w:rPr>
          <w:noProof/>
          <w:lang w:val="fr-FR"/>
        </w:rPr>
        <w:t>(</w:t>
      </w:r>
      <w:r w:rsidR="001B2F58" w:rsidRPr="00DD03D6">
        <w:rPr>
          <w:noProof/>
          <w:color w:val="0000FF"/>
          <w:u w:val="single"/>
          <w:lang w:val="fr-FR"/>
        </w:rPr>
        <w:t>www.ria.gov.ie</w:t>
      </w:r>
      <w:r w:rsidR="001B2F58" w:rsidRPr="00DD03D6">
        <w:rPr>
          <w:noProof/>
          <w:lang w:val="fr-FR"/>
        </w:rPr>
        <w:t xml:space="preserve">). </w:t>
      </w:r>
      <w:r w:rsidR="007D7585">
        <w:rPr>
          <w:noProof/>
          <w:lang w:val="fr-FR"/>
        </w:rPr>
        <w:t>Le</w:t>
      </w:r>
      <w:r w:rsidR="00A01CDD">
        <w:rPr>
          <w:noProof/>
          <w:lang w:val="fr-FR"/>
        </w:rPr>
        <w:t>s antécédents des membres du</w:t>
      </w:r>
      <w:r w:rsidR="007D7585">
        <w:rPr>
          <w:noProof/>
          <w:lang w:val="fr-FR"/>
        </w:rPr>
        <w:t xml:space="preserve"> personnel des </w:t>
      </w:r>
      <w:r w:rsidR="001B2F58" w:rsidRPr="00DD03D6">
        <w:rPr>
          <w:noProof/>
          <w:lang w:val="fr-FR"/>
        </w:rPr>
        <w:t xml:space="preserve">centres </w:t>
      </w:r>
      <w:r w:rsidR="00094AE0">
        <w:rPr>
          <w:noProof/>
          <w:lang w:val="fr-FR"/>
        </w:rPr>
        <w:t xml:space="preserve">gérés sous contrat passé avec l’Agence </w:t>
      </w:r>
      <w:r w:rsidR="00A01CDD">
        <w:rPr>
          <w:noProof/>
          <w:lang w:val="fr-FR"/>
        </w:rPr>
        <w:t xml:space="preserve">sont vérifiés </w:t>
      </w:r>
      <w:r w:rsidR="00094AE0">
        <w:rPr>
          <w:noProof/>
          <w:lang w:val="fr-FR"/>
        </w:rPr>
        <w:t>par la Garda, conformément à la politique de l’Agence, qui</w:t>
      </w:r>
      <w:r w:rsidR="00E92D3C">
        <w:rPr>
          <w:noProof/>
          <w:lang w:val="fr-FR"/>
        </w:rPr>
        <w:t xml:space="preserve"> </w:t>
      </w:r>
      <w:r w:rsidR="00094AE0">
        <w:rPr>
          <w:noProof/>
          <w:lang w:val="fr-FR"/>
        </w:rPr>
        <w:t>vise principalement à réduire au minimum le risque pour les enfants et les adultes vulnérables résidant dans ces centres</w:t>
      </w:r>
      <w:r w:rsidR="001B2F58" w:rsidRPr="00DD03D6">
        <w:rPr>
          <w:noProof/>
          <w:lang w:val="fr-FR"/>
        </w:rPr>
        <w:t xml:space="preserve">. </w:t>
      </w:r>
      <w:r w:rsidR="00094AE0">
        <w:rPr>
          <w:noProof/>
          <w:lang w:val="fr-FR"/>
        </w:rPr>
        <w:t xml:space="preserve">Au sein de l’Agence, le Service des enfants et des familles est spécifiquement chargé de gérer, </w:t>
      </w:r>
      <w:r w:rsidR="00CE12AB">
        <w:rPr>
          <w:noProof/>
          <w:lang w:val="fr-FR"/>
        </w:rPr>
        <w:t xml:space="preserve">de coordonner, de suivre et de planifier </w:t>
      </w:r>
      <w:r w:rsidR="00B93734">
        <w:rPr>
          <w:noProof/>
          <w:lang w:val="fr-FR"/>
        </w:rPr>
        <w:t xml:space="preserve">tout ce qui concerne les services </w:t>
      </w:r>
      <w:r w:rsidR="00A01CDD">
        <w:rPr>
          <w:noProof/>
          <w:lang w:val="fr-FR"/>
        </w:rPr>
        <w:t xml:space="preserve">destinés </w:t>
      </w:r>
      <w:r w:rsidR="00B93734">
        <w:rPr>
          <w:noProof/>
          <w:lang w:val="fr-FR"/>
        </w:rPr>
        <w:t>aux enfants et aux familles pour tous les demandeurs d’asile résidant dans les centres relevant du système de prestation directe</w:t>
      </w:r>
      <w:r w:rsidR="001B2F58" w:rsidRPr="00DD03D6">
        <w:rPr>
          <w:noProof/>
          <w:lang w:val="fr-FR"/>
        </w:rPr>
        <w:t xml:space="preserve">. </w:t>
      </w:r>
      <w:r w:rsidR="00B93734">
        <w:rPr>
          <w:noProof/>
          <w:lang w:val="fr-FR"/>
        </w:rPr>
        <w:t>Ce service fait également office d’intermédiaire entre l’Agence et la Direction des services de santé, cette dernière exerçant dans ce domaine des fonctions qui lui sont attribuées par la loi.</w:t>
      </w:r>
    </w:p>
    <w:p w:rsidR="001B2F58" w:rsidRDefault="00B93734" w:rsidP="00111EE3">
      <w:pPr>
        <w:pStyle w:val="SingleTxtG"/>
        <w:numPr>
          <w:ilvl w:val="0"/>
          <w:numId w:val="3"/>
        </w:numPr>
        <w:ind w:left="1134" w:firstLine="0"/>
        <w:rPr>
          <w:noProof/>
          <w:lang w:val="fr-FR"/>
        </w:rPr>
      </w:pPr>
      <w:r>
        <w:rPr>
          <w:noProof/>
          <w:lang w:val="fr-FR"/>
        </w:rPr>
        <w:t>Les enfants résidant dans les centres d’hébergement de l’Agence fréquentent les écoles primaires et secondaires locales au même titre que les enfants des ressortissants irlandais.</w:t>
      </w:r>
      <w:r w:rsidR="001B2F58" w:rsidRPr="00DD03D6">
        <w:rPr>
          <w:noProof/>
          <w:lang w:val="fr-FR"/>
        </w:rPr>
        <w:t xml:space="preserve"> </w:t>
      </w:r>
      <w:r w:rsidR="00EC24DE">
        <w:rPr>
          <w:noProof/>
          <w:lang w:val="fr-FR"/>
        </w:rPr>
        <w:t>Les p</w:t>
      </w:r>
      <w:r w:rsidR="001B2F58" w:rsidRPr="00DD03D6">
        <w:rPr>
          <w:noProof/>
          <w:lang w:val="fr-FR"/>
        </w:rPr>
        <w:t xml:space="preserve">arents </w:t>
      </w:r>
      <w:r w:rsidR="00EC24DE">
        <w:rPr>
          <w:noProof/>
          <w:lang w:val="fr-FR"/>
        </w:rPr>
        <w:t>peuvent également solliciter des allocations pour permettre à leurs enfants de profiter d’activités scolaires, sportives ou autres</w:t>
      </w:r>
      <w:r w:rsidR="001B2F58" w:rsidRPr="00DD03D6">
        <w:rPr>
          <w:noProof/>
          <w:lang w:val="fr-FR"/>
        </w:rPr>
        <w:t xml:space="preserve">. </w:t>
      </w:r>
      <w:r w:rsidR="00EC24DE">
        <w:rPr>
          <w:noProof/>
          <w:lang w:val="fr-FR"/>
        </w:rPr>
        <w:t>Les demandeurs d’asile détenteurs d’une carte médicale peuvent également être exemptés du paiement des droits pour les examens nationaux</w:t>
      </w:r>
      <w:r w:rsidR="001B2F58" w:rsidRPr="00DD03D6">
        <w:rPr>
          <w:noProof/>
          <w:lang w:val="fr-FR"/>
        </w:rPr>
        <w:t xml:space="preserve">. </w:t>
      </w:r>
      <w:r w:rsidR="008106AF">
        <w:rPr>
          <w:noProof/>
          <w:lang w:val="fr-FR"/>
        </w:rPr>
        <w:t>Des clubs de travail scolaire</w:t>
      </w:r>
      <w:r w:rsidR="006950F1">
        <w:rPr>
          <w:noProof/>
          <w:lang w:val="fr-FR"/>
        </w:rPr>
        <w:t xml:space="preserve"> et des espaces calmes </w:t>
      </w:r>
      <w:r w:rsidR="008106AF">
        <w:rPr>
          <w:noProof/>
          <w:lang w:val="fr-FR"/>
        </w:rPr>
        <w:t>sont prévus dans</w:t>
      </w:r>
      <w:r w:rsidR="0056299A">
        <w:rPr>
          <w:noProof/>
          <w:lang w:val="fr-FR"/>
        </w:rPr>
        <w:t xml:space="preserve"> les </w:t>
      </w:r>
      <w:r w:rsidR="00E73B0A">
        <w:rPr>
          <w:noProof/>
          <w:lang w:val="fr-FR"/>
        </w:rPr>
        <w:t xml:space="preserve">centres familiaux </w:t>
      </w:r>
      <w:r w:rsidR="00ED2AD6">
        <w:rPr>
          <w:noProof/>
          <w:lang w:val="fr-FR"/>
        </w:rPr>
        <w:t>pour que les enfants puissent faire leurs devoirs plus facilement</w:t>
      </w:r>
      <w:r w:rsidR="001B2F58" w:rsidRPr="00DD03D6">
        <w:rPr>
          <w:noProof/>
          <w:lang w:val="fr-FR"/>
        </w:rPr>
        <w:t xml:space="preserve">. </w:t>
      </w:r>
      <w:r w:rsidR="00ED2AD6">
        <w:rPr>
          <w:noProof/>
          <w:lang w:val="fr-FR"/>
        </w:rPr>
        <w:t>Une éducation préscolaire peut être dispensée dans certains des centres de prestation directe relativement importants</w:t>
      </w:r>
      <w:r w:rsidR="001B2F58" w:rsidRPr="00DD03D6">
        <w:rPr>
          <w:noProof/>
          <w:lang w:val="fr-FR"/>
        </w:rPr>
        <w:t xml:space="preserve">. </w:t>
      </w:r>
      <w:r w:rsidR="00ED2AD6">
        <w:rPr>
          <w:noProof/>
          <w:lang w:val="fr-FR"/>
        </w:rPr>
        <w:t xml:space="preserve">Toutefois, </w:t>
      </w:r>
      <w:r w:rsidR="00CE75B1">
        <w:rPr>
          <w:noProof/>
          <w:lang w:val="fr-FR"/>
        </w:rPr>
        <w:t xml:space="preserve">dans tous les cas, les </w:t>
      </w:r>
      <w:r w:rsidR="001B2F58" w:rsidRPr="00DD03D6">
        <w:rPr>
          <w:noProof/>
          <w:lang w:val="fr-FR"/>
        </w:rPr>
        <w:t xml:space="preserve">parents </w:t>
      </w:r>
      <w:r w:rsidR="00CE75B1">
        <w:rPr>
          <w:noProof/>
          <w:lang w:val="fr-FR"/>
        </w:rPr>
        <w:t>peuvent choisir d’envoyer leurs enfants dans des écoles maternelles privées du voisinage</w:t>
      </w:r>
      <w:r w:rsidR="001B2F58" w:rsidRPr="00DD03D6">
        <w:rPr>
          <w:noProof/>
          <w:lang w:val="fr-FR"/>
        </w:rPr>
        <w:t xml:space="preserve">. </w:t>
      </w:r>
      <w:r w:rsidR="00CE75B1">
        <w:rPr>
          <w:noProof/>
          <w:lang w:val="fr-FR"/>
        </w:rPr>
        <w:t>Le Programme d</w:t>
      </w:r>
      <w:r w:rsidR="00F972E9">
        <w:rPr>
          <w:noProof/>
          <w:lang w:val="fr-FR"/>
        </w:rPr>
        <w:t xml:space="preserve">’accueil </w:t>
      </w:r>
      <w:r w:rsidR="00CE75B1">
        <w:rPr>
          <w:noProof/>
          <w:lang w:val="fr-FR"/>
        </w:rPr>
        <w:t>et d’éducation de la petite enfance</w:t>
      </w:r>
      <w:r w:rsidR="00CE75B1" w:rsidRPr="00DD03D6">
        <w:rPr>
          <w:noProof/>
          <w:lang w:val="fr-FR"/>
        </w:rPr>
        <w:t xml:space="preserve"> </w:t>
      </w:r>
      <w:r w:rsidR="00CE75B1">
        <w:rPr>
          <w:noProof/>
          <w:lang w:val="fr-FR"/>
        </w:rPr>
        <w:t xml:space="preserve">prévoit la gratuité de l’inscription dans des écoles maternelles de tous les enfants, y compris </w:t>
      </w:r>
      <w:r w:rsidR="00176152">
        <w:rPr>
          <w:noProof/>
          <w:lang w:val="fr-FR"/>
        </w:rPr>
        <w:t xml:space="preserve">ceux </w:t>
      </w:r>
      <w:r w:rsidR="00CE75B1">
        <w:rPr>
          <w:noProof/>
          <w:lang w:val="fr-FR"/>
        </w:rPr>
        <w:t>des demandeurs d’asile hébergés dans le cadre du système de prestation directe</w:t>
      </w:r>
      <w:r w:rsidR="001B2F58" w:rsidRPr="00DD03D6">
        <w:rPr>
          <w:noProof/>
          <w:lang w:val="fr-FR"/>
        </w:rPr>
        <w:t>.</w:t>
      </w:r>
    </w:p>
    <w:p w:rsidR="001B2F58" w:rsidRPr="00DD03D6" w:rsidRDefault="00176152" w:rsidP="001B2AC4">
      <w:pPr>
        <w:pStyle w:val="SingleTxtG"/>
        <w:numPr>
          <w:ilvl w:val="0"/>
          <w:numId w:val="3"/>
        </w:numPr>
        <w:ind w:left="1134" w:firstLine="0"/>
        <w:rPr>
          <w:noProof/>
          <w:lang w:val="fr-FR"/>
        </w:rPr>
      </w:pPr>
      <w:r>
        <w:rPr>
          <w:noProof/>
          <w:lang w:val="fr-FR"/>
        </w:rPr>
        <w:t xml:space="preserve">La direction des centres d’hébergement de l’Agence collabore avec les écoles du voisinage, les associations locales, les clubs sportifs et les organisations non gouvernementales en vue d’établir un lien entre les enfants et leur famille et les initiatives, activités sportives et autres activités locales afin de leur garantir l’accès </w:t>
      </w:r>
      <w:r w:rsidR="003470E7">
        <w:rPr>
          <w:noProof/>
          <w:lang w:val="fr-FR"/>
        </w:rPr>
        <w:t>à la meilleure offre de services disponible</w:t>
      </w:r>
      <w:r w:rsidR="001B2F58" w:rsidRPr="00DD03D6">
        <w:rPr>
          <w:noProof/>
          <w:lang w:val="fr-FR"/>
        </w:rPr>
        <w:t>.</w:t>
      </w:r>
    </w:p>
    <w:p w:rsidR="001B2F58" w:rsidRPr="00DD03D6" w:rsidRDefault="00924B7D" w:rsidP="00924B7D">
      <w:pPr>
        <w:pStyle w:val="HChG"/>
        <w:rPr>
          <w:noProof/>
          <w:lang w:val="fr-FR"/>
        </w:rPr>
      </w:pPr>
      <w:r w:rsidRPr="00DD03D6">
        <w:rPr>
          <w:noProof/>
          <w:lang w:val="fr-FR"/>
        </w:rPr>
        <w:tab/>
      </w:r>
      <w:r w:rsidR="005742D3" w:rsidRPr="00DD03D6">
        <w:rPr>
          <w:noProof/>
          <w:lang w:val="fr-FR"/>
        </w:rPr>
        <w:t>VII</w:t>
      </w:r>
      <w:r w:rsidR="001B2F58" w:rsidRPr="00DD03D6">
        <w:rPr>
          <w:noProof/>
          <w:lang w:val="fr-FR"/>
        </w:rPr>
        <w:t>.</w:t>
      </w:r>
      <w:r w:rsidR="001B2F58" w:rsidRPr="00DD03D6">
        <w:rPr>
          <w:noProof/>
          <w:lang w:val="fr-FR"/>
        </w:rPr>
        <w:tab/>
      </w:r>
      <w:r w:rsidR="003470E7">
        <w:rPr>
          <w:noProof/>
          <w:lang w:val="fr-FR"/>
        </w:rPr>
        <w:t>É</w:t>
      </w:r>
      <w:r w:rsidR="003470E7" w:rsidRPr="00DD03D6">
        <w:rPr>
          <w:noProof/>
          <w:lang w:val="fr-FR"/>
        </w:rPr>
        <w:t>ducation, l</w:t>
      </w:r>
      <w:r w:rsidR="003470E7">
        <w:rPr>
          <w:noProof/>
          <w:lang w:val="fr-FR"/>
        </w:rPr>
        <w:t xml:space="preserve">oisirs et activités </w:t>
      </w:r>
      <w:r w:rsidR="003470E7" w:rsidRPr="00DD03D6">
        <w:rPr>
          <w:noProof/>
          <w:lang w:val="fr-FR"/>
        </w:rPr>
        <w:t>cultur</w:t>
      </w:r>
      <w:r w:rsidR="003470E7">
        <w:rPr>
          <w:noProof/>
          <w:lang w:val="fr-FR"/>
        </w:rPr>
        <w:t>elles</w:t>
      </w:r>
      <w:r w:rsidR="001B2F58" w:rsidRPr="00DD03D6">
        <w:rPr>
          <w:noProof/>
          <w:lang w:val="fr-FR"/>
        </w:rPr>
        <w:t xml:space="preserve"> </w:t>
      </w:r>
    </w:p>
    <w:p w:rsidR="001B2F58" w:rsidRPr="00DD03D6" w:rsidRDefault="00924B7D" w:rsidP="00403000">
      <w:pPr>
        <w:pStyle w:val="H1G"/>
        <w:rPr>
          <w:noProof/>
          <w:lang w:val="fr-FR"/>
        </w:rPr>
      </w:pPr>
      <w:r w:rsidRPr="00DD03D6">
        <w:rPr>
          <w:noProof/>
          <w:lang w:val="fr-FR"/>
        </w:rPr>
        <w:tab/>
      </w:r>
      <w:r w:rsidR="001B2F58" w:rsidRPr="00DD03D6">
        <w:rPr>
          <w:noProof/>
          <w:lang w:val="fr-FR"/>
        </w:rPr>
        <w:t>A.</w:t>
      </w:r>
      <w:r w:rsidR="001B2F58" w:rsidRPr="00DD03D6">
        <w:rPr>
          <w:noProof/>
          <w:lang w:val="fr-FR"/>
        </w:rPr>
        <w:tab/>
      </w:r>
      <w:r w:rsidR="003470E7">
        <w:rPr>
          <w:noProof/>
          <w:lang w:val="fr-FR"/>
        </w:rPr>
        <w:t>Droit à l’é</w:t>
      </w:r>
      <w:r w:rsidR="001B2F58" w:rsidRPr="00DD03D6">
        <w:rPr>
          <w:noProof/>
          <w:lang w:val="fr-FR"/>
        </w:rPr>
        <w:t>ducation</w:t>
      </w:r>
    </w:p>
    <w:p w:rsidR="001B2F58" w:rsidRPr="00DD03D6" w:rsidRDefault="002D3625" w:rsidP="00E77652">
      <w:pPr>
        <w:pStyle w:val="SingleTxtG"/>
        <w:numPr>
          <w:ilvl w:val="0"/>
          <w:numId w:val="3"/>
        </w:numPr>
        <w:ind w:left="1134" w:firstLine="0"/>
        <w:rPr>
          <w:noProof/>
          <w:lang w:val="fr-FR"/>
        </w:rPr>
      </w:pPr>
      <w:r>
        <w:rPr>
          <w:noProof/>
          <w:lang w:val="fr-FR"/>
        </w:rPr>
        <w:t>Le deuxième rapport périodique de l’Irlande (</w:t>
      </w:r>
      <w:r w:rsidR="001B2F58" w:rsidRPr="00DD03D6">
        <w:rPr>
          <w:noProof/>
          <w:lang w:val="fr-FR"/>
        </w:rPr>
        <w:t xml:space="preserve">2005) </w:t>
      </w:r>
      <w:r>
        <w:rPr>
          <w:noProof/>
          <w:lang w:val="fr-FR"/>
        </w:rPr>
        <w:t>a décrit de façon détaillée le droit d’</w:t>
      </w:r>
      <w:r w:rsidR="007B1457" w:rsidRPr="00DD03D6">
        <w:rPr>
          <w:noProof/>
          <w:lang w:val="fr-FR"/>
        </w:rPr>
        <w:t>acc</w:t>
      </w:r>
      <w:r>
        <w:rPr>
          <w:noProof/>
          <w:lang w:val="fr-FR"/>
        </w:rPr>
        <w:t>ès à l’é</w:t>
      </w:r>
      <w:r w:rsidR="007B1457" w:rsidRPr="00DD03D6">
        <w:rPr>
          <w:noProof/>
          <w:lang w:val="fr-FR"/>
        </w:rPr>
        <w:t>ducation</w:t>
      </w:r>
      <w:r w:rsidR="00924B7D" w:rsidRPr="00DD03D6">
        <w:rPr>
          <w:rStyle w:val="Appelnotedebasdep"/>
          <w:noProof/>
          <w:lang w:val="fr-FR"/>
        </w:rPr>
        <w:footnoteReference w:id="42"/>
      </w:r>
      <w:r>
        <w:rPr>
          <w:noProof/>
          <w:lang w:val="fr-FR"/>
        </w:rPr>
        <w:t>.</w:t>
      </w:r>
      <w:r w:rsidR="001B2F58" w:rsidRPr="00DD03D6">
        <w:rPr>
          <w:noProof/>
          <w:lang w:val="fr-FR"/>
        </w:rPr>
        <w:t xml:space="preserve"> </w:t>
      </w:r>
      <w:r>
        <w:rPr>
          <w:noProof/>
          <w:lang w:val="fr-FR"/>
        </w:rPr>
        <w:t xml:space="preserve">Pendant l’année scolaire </w:t>
      </w:r>
      <w:r w:rsidR="001B2F58" w:rsidRPr="00DD03D6">
        <w:rPr>
          <w:noProof/>
          <w:lang w:val="fr-FR"/>
        </w:rPr>
        <w:t>2010/</w:t>
      </w:r>
      <w:r>
        <w:rPr>
          <w:noProof/>
          <w:lang w:val="fr-FR"/>
        </w:rPr>
        <w:t>20</w:t>
      </w:r>
      <w:r w:rsidR="001B2F58" w:rsidRPr="00DD03D6">
        <w:rPr>
          <w:noProof/>
          <w:lang w:val="fr-FR"/>
        </w:rPr>
        <w:t>11, 509</w:t>
      </w:r>
      <w:r w:rsidR="00C439D5">
        <w:rPr>
          <w:noProof/>
          <w:lang w:val="fr-FR"/>
        </w:rPr>
        <w:t> </w:t>
      </w:r>
      <w:r w:rsidR="001B2F58" w:rsidRPr="00DD03D6">
        <w:rPr>
          <w:noProof/>
          <w:lang w:val="fr-FR"/>
        </w:rPr>
        <w:t xml:space="preserve">652 </w:t>
      </w:r>
      <w:r>
        <w:rPr>
          <w:noProof/>
          <w:lang w:val="fr-FR"/>
        </w:rPr>
        <w:t>enfants ont fréquenté une école primaire</w:t>
      </w:r>
      <w:r w:rsidR="001B2F58" w:rsidRPr="00DD03D6">
        <w:rPr>
          <w:noProof/>
          <w:lang w:val="fr-FR"/>
        </w:rPr>
        <w:t>, 356</w:t>
      </w:r>
      <w:r w:rsidR="00C439D5">
        <w:rPr>
          <w:noProof/>
          <w:lang w:val="fr-FR"/>
        </w:rPr>
        <w:t> </w:t>
      </w:r>
      <w:r w:rsidR="001B2F58" w:rsidRPr="00DD03D6">
        <w:rPr>
          <w:noProof/>
          <w:lang w:val="fr-FR"/>
        </w:rPr>
        <w:t xml:space="preserve">107 </w:t>
      </w:r>
      <w:r>
        <w:rPr>
          <w:noProof/>
          <w:lang w:val="fr-FR"/>
        </w:rPr>
        <w:t>une école secondaire</w:t>
      </w:r>
      <w:r w:rsidR="001B2F58" w:rsidRPr="00DD03D6">
        <w:rPr>
          <w:noProof/>
          <w:lang w:val="fr-FR"/>
        </w:rPr>
        <w:t xml:space="preserve"> </w:t>
      </w:r>
      <w:r w:rsidR="00C439D5">
        <w:rPr>
          <w:noProof/>
          <w:lang w:val="fr-FR"/>
        </w:rPr>
        <w:t>et 161 </w:t>
      </w:r>
      <w:r w:rsidR="001B2F58" w:rsidRPr="00DD03D6">
        <w:rPr>
          <w:noProof/>
          <w:lang w:val="fr-FR"/>
        </w:rPr>
        <w:t xml:space="preserve">647 </w:t>
      </w:r>
      <w:r>
        <w:rPr>
          <w:noProof/>
          <w:lang w:val="fr-FR"/>
        </w:rPr>
        <w:t>un établissement d’</w:t>
      </w:r>
      <w:r w:rsidR="009A66BF">
        <w:rPr>
          <w:noProof/>
          <w:lang w:val="fr-FR"/>
        </w:rPr>
        <w:t>en</w:t>
      </w:r>
      <w:r>
        <w:rPr>
          <w:noProof/>
          <w:lang w:val="fr-FR"/>
        </w:rPr>
        <w:t>seignement supérieur en</w:t>
      </w:r>
      <w:r w:rsidR="001B2F58" w:rsidRPr="00DD03D6">
        <w:rPr>
          <w:noProof/>
          <w:lang w:val="fr-FR"/>
        </w:rPr>
        <w:t xml:space="preserve"> Irland</w:t>
      </w:r>
      <w:r>
        <w:rPr>
          <w:noProof/>
          <w:lang w:val="fr-FR"/>
        </w:rPr>
        <w:t>e</w:t>
      </w:r>
      <w:r w:rsidR="001B2F58" w:rsidRPr="00DD03D6">
        <w:rPr>
          <w:noProof/>
          <w:lang w:val="fr-FR"/>
        </w:rPr>
        <w:t xml:space="preserve">. </w:t>
      </w:r>
      <w:r>
        <w:rPr>
          <w:noProof/>
          <w:lang w:val="fr-FR"/>
        </w:rPr>
        <w:t xml:space="preserve">Les taux de rétention scolaire au niveau de la fin des </w:t>
      </w:r>
      <w:r>
        <w:rPr>
          <w:noProof/>
          <w:lang w:val="fr-FR"/>
        </w:rPr>
        <w:lastRenderedPageBreak/>
        <w:t>études secondaires (certificat de fin d’études secondaires) ont augmenté de près de huit points de pourcentage</w:t>
      </w:r>
      <w:r w:rsidR="00997A66">
        <w:rPr>
          <w:noProof/>
          <w:lang w:val="fr-FR"/>
        </w:rPr>
        <w:t xml:space="preserve">, passant de </w:t>
      </w:r>
      <w:r w:rsidR="001B2F58" w:rsidRPr="00DD03D6">
        <w:rPr>
          <w:noProof/>
          <w:lang w:val="fr-FR"/>
        </w:rPr>
        <w:t>82</w:t>
      </w:r>
      <w:r w:rsidR="00997A66">
        <w:rPr>
          <w:noProof/>
          <w:lang w:val="fr-FR"/>
        </w:rPr>
        <w:t>,</w:t>
      </w:r>
      <w:r w:rsidR="001B2F58" w:rsidRPr="00DD03D6">
        <w:rPr>
          <w:noProof/>
          <w:lang w:val="fr-FR"/>
        </w:rPr>
        <w:t>3</w:t>
      </w:r>
      <w:r w:rsidR="003F1ADB">
        <w:rPr>
          <w:noProof/>
          <w:lang w:val="fr-FR"/>
        </w:rPr>
        <w:t> %</w:t>
      </w:r>
      <w:r w:rsidR="001B2F58" w:rsidRPr="00DD03D6">
        <w:rPr>
          <w:noProof/>
          <w:lang w:val="fr-FR"/>
        </w:rPr>
        <w:t xml:space="preserve"> </w:t>
      </w:r>
      <w:r w:rsidR="00997A66">
        <w:rPr>
          <w:noProof/>
          <w:lang w:val="fr-FR"/>
        </w:rPr>
        <w:t xml:space="preserve">des enfants </w:t>
      </w:r>
      <w:r w:rsidR="009A66BF">
        <w:rPr>
          <w:noProof/>
          <w:lang w:val="fr-FR"/>
        </w:rPr>
        <w:t xml:space="preserve">de la cohorte d’entrée de </w:t>
      </w:r>
      <w:r w:rsidR="001B2F58" w:rsidRPr="00DD03D6">
        <w:rPr>
          <w:noProof/>
          <w:lang w:val="fr-FR"/>
        </w:rPr>
        <w:t xml:space="preserve">1997 </w:t>
      </w:r>
      <w:r w:rsidR="009A66BF">
        <w:rPr>
          <w:noProof/>
          <w:lang w:val="fr-FR"/>
        </w:rPr>
        <w:t>à</w:t>
      </w:r>
      <w:r w:rsidR="001B2F58" w:rsidRPr="00DD03D6">
        <w:rPr>
          <w:noProof/>
          <w:lang w:val="fr-FR"/>
        </w:rPr>
        <w:t xml:space="preserve"> 90</w:t>
      </w:r>
      <w:r w:rsidR="009A66BF">
        <w:rPr>
          <w:noProof/>
          <w:lang w:val="fr-FR"/>
        </w:rPr>
        <w:t>,</w:t>
      </w:r>
      <w:r w:rsidR="001B2F58" w:rsidRPr="00DD03D6">
        <w:rPr>
          <w:noProof/>
          <w:lang w:val="fr-FR"/>
        </w:rPr>
        <w:t>2</w:t>
      </w:r>
      <w:r w:rsidR="003F1ADB">
        <w:rPr>
          <w:noProof/>
          <w:lang w:val="fr-FR"/>
        </w:rPr>
        <w:t> %</w:t>
      </w:r>
      <w:r w:rsidR="001B2F58" w:rsidRPr="00DD03D6">
        <w:rPr>
          <w:noProof/>
          <w:lang w:val="fr-FR"/>
        </w:rPr>
        <w:t xml:space="preserve"> </w:t>
      </w:r>
      <w:r w:rsidR="009A66BF">
        <w:rPr>
          <w:noProof/>
          <w:lang w:val="fr-FR"/>
        </w:rPr>
        <w:t xml:space="preserve">des enfants de la cohorte d’entrée de </w:t>
      </w:r>
      <w:r w:rsidR="001B2F58" w:rsidRPr="00DD03D6">
        <w:rPr>
          <w:noProof/>
          <w:lang w:val="fr-FR"/>
        </w:rPr>
        <w:t>2006.</w:t>
      </w:r>
    </w:p>
    <w:p w:rsidR="001B2F58" w:rsidRPr="00DD03D6" w:rsidRDefault="00924B7D" w:rsidP="00403000">
      <w:pPr>
        <w:pStyle w:val="H1G"/>
        <w:rPr>
          <w:noProof/>
          <w:lang w:val="fr-FR"/>
        </w:rPr>
      </w:pPr>
      <w:r w:rsidRPr="00DD03D6">
        <w:rPr>
          <w:noProof/>
          <w:lang w:val="fr-FR"/>
        </w:rPr>
        <w:tab/>
      </w:r>
      <w:r w:rsidR="001B2F58" w:rsidRPr="00DD03D6">
        <w:rPr>
          <w:noProof/>
          <w:lang w:val="fr-FR"/>
        </w:rPr>
        <w:t>B.</w:t>
      </w:r>
      <w:r w:rsidR="001B2F58" w:rsidRPr="00DD03D6">
        <w:rPr>
          <w:noProof/>
          <w:lang w:val="fr-FR"/>
        </w:rPr>
        <w:tab/>
      </w:r>
      <w:r w:rsidR="009A66BF">
        <w:rPr>
          <w:noProof/>
          <w:lang w:val="fr-FR"/>
        </w:rPr>
        <w:t>Buts de l’é</w:t>
      </w:r>
      <w:r w:rsidR="001B2F58" w:rsidRPr="00DD03D6">
        <w:rPr>
          <w:noProof/>
          <w:lang w:val="fr-FR"/>
        </w:rPr>
        <w:t>ducation</w:t>
      </w:r>
    </w:p>
    <w:p w:rsidR="001B2F58" w:rsidRPr="00DD03D6" w:rsidRDefault="009A66BF" w:rsidP="00E77652">
      <w:pPr>
        <w:pStyle w:val="SingleTxtG"/>
        <w:numPr>
          <w:ilvl w:val="0"/>
          <w:numId w:val="3"/>
        </w:numPr>
        <w:ind w:left="1134" w:firstLine="0"/>
        <w:rPr>
          <w:noProof/>
          <w:lang w:val="fr-FR"/>
        </w:rPr>
      </w:pPr>
      <w:r>
        <w:rPr>
          <w:noProof/>
          <w:lang w:val="fr-FR"/>
        </w:rPr>
        <w:t>Le deuxième rapport de l’Irlande</w:t>
      </w:r>
      <w:r w:rsidR="001B2F58" w:rsidRPr="00DD03D6">
        <w:rPr>
          <w:noProof/>
          <w:lang w:val="fr-FR"/>
        </w:rPr>
        <w:t xml:space="preserve"> </w:t>
      </w:r>
      <w:r>
        <w:rPr>
          <w:noProof/>
          <w:lang w:val="fr-FR"/>
        </w:rPr>
        <w:t>énonce les buts de l’é</w:t>
      </w:r>
      <w:r w:rsidR="00796A7C" w:rsidRPr="00DD03D6">
        <w:rPr>
          <w:noProof/>
          <w:lang w:val="fr-FR"/>
        </w:rPr>
        <w:t>ducation</w:t>
      </w:r>
      <w:r w:rsidR="00924B7D" w:rsidRPr="00DD03D6">
        <w:rPr>
          <w:rStyle w:val="Appelnotedebasdep"/>
          <w:noProof/>
          <w:lang w:val="fr-FR"/>
        </w:rPr>
        <w:footnoteReference w:id="43"/>
      </w:r>
      <w:r>
        <w:rPr>
          <w:noProof/>
          <w:lang w:val="fr-FR"/>
        </w:rPr>
        <w:t>.</w:t>
      </w:r>
      <w:r w:rsidR="001B2F58" w:rsidRPr="00DD03D6">
        <w:rPr>
          <w:noProof/>
          <w:lang w:val="fr-FR"/>
        </w:rPr>
        <w:t xml:space="preserve"> </w:t>
      </w:r>
      <w:r>
        <w:rPr>
          <w:noProof/>
          <w:lang w:val="fr-FR"/>
        </w:rPr>
        <w:t>E</w:t>
      </w:r>
      <w:r w:rsidR="001B2F58" w:rsidRPr="00DD03D6">
        <w:rPr>
          <w:noProof/>
          <w:lang w:val="fr-FR"/>
        </w:rPr>
        <w:t xml:space="preserve">n </w:t>
      </w:r>
      <w:r>
        <w:rPr>
          <w:noProof/>
          <w:lang w:val="fr-FR"/>
        </w:rPr>
        <w:t xml:space="preserve">outre, il fournit des informations sur diverses prestations éducatives et divers services et </w:t>
      </w:r>
      <w:r w:rsidR="001B2F58" w:rsidRPr="00DD03D6">
        <w:rPr>
          <w:noProof/>
          <w:lang w:val="fr-FR"/>
        </w:rPr>
        <w:t>programmes</w:t>
      </w:r>
      <w:r>
        <w:rPr>
          <w:noProof/>
          <w:lang w:val="fr-FR"/>
        </w:rPr>
        <w:t xml:space="preserve"> d’éducation</w:t>
      </w:r>
      <w:r w:rsidR="001B2F58" w:rsidRPr="00DD03D6">
        <w:rPr>
          <w:noProof/>
          <w:lang w:val="fr-FR"/>
        </w:rPr>
        <w:t xml:space="preserve">. </w:t>
      </w:r>
      <w:r>
        <w:rPr>
          <w:noProof/>
          <w:lang w:val="fr-FR"/>
        </w:rPr>
        <w:t xml:space="preserve">Les </w:t>
      </w:r>
      <w:r w:rsidR="00796A7C" w:rsidRPr="00DD03D6">
        <w:rPr>
          <w:noProof/>
          <w:lang w:val="fr-FR"/>
        </w:rPr>
        <w:t>paragraph</w:t>
      </w:r>
      <w:r>
        <w:rPr>
          <w:noProof/>
          <w:lang w:val="fr-FR"/>
        </w:rPr>
        <w:t>e</w:t>
      </w:r>
      <w:r w:rsidR="00796A7C" w:rsidRPr="00DD03D6">
        <w:rPr>
          <w:noProof/>
          <w:lang w:val="fr-FR"/>
        </w:rPr>
        <w:t>s</w:t>
      </w:r>
      <w:r w:rsidR="00E73B0A">
        <w:rPr>
          <w:noProof/>
          <w:lang w:val="fr-FR"/>
        </w:rPr>
        <w:t xml:space="preserve"> </w:t>
      </w:r>
      <w:r>
        <w:rPr>
          <w:noProof/>
          <w:lang w:val="fr-FR"/>
        </w:rPr>
        <w:t xml:space="preserve">qui suivent </w:t>
      </w:r>
      <w:r w:rsidR="00ED0B68">
        <w:rPr>
          <w:noProof/>
          <w:lang w:val="fr-FR"/>
        </w:rPr>
        <w:t>décrivent les principaux faits nouveaux intervenus dans le domaine de l’é</w:t>
      </w:r>
      <w:r w:rsidR="001B2F58" w:rsidRPr="00DD03D6">
        <w:rPr>
          <w:noProof/>
          <w:lang w:val="fr-FR"/>
        </w:rPr>
        <w:t xml:space="preserve">ducation </w:t>
      </w:r>
      <w:r w:rsidR="00ED0B68">
        <w:rPr>
          <w:noProof/>
          <w:lang w:val="fr-FR"/>
        </w:rPr>
        <w:t xml:space="preserve">depuis </w:t>
      </w:r>
      <w:r w:rsidR="001B2F58" w:rsidRPr="00DD03D6">
        <w:rPr>
          <w:noProof/>
          <w:lang w:val="fr-FR"/>
        </w:rPr>
        <w:t xml:space="preserve">2006. </w:t>
      </w:r>
      <w:r w:rsidR="00ED0B68">
        <w:rPr>
          <w:noProof/>
          <w:lang w:val="fr-FR"/>
        </w:rPr>
        <w:t>Un certain nombre d’entre eux ont été évoqués dans d’autres parties du présent rapport</w:t>
      </w:r>
      <w:r w:rsidR="001B2F58" w:rsidRPr="00DD03D6">
        <w:rPr>
          <w:noProof/>
          <w:lang w:val="fr-FR"/>
        </w:rPr>
        <w:t>.</w:t>
      </w:r>
    </w:p>
    <w:p w:rsidR="001B2F58" w:rsidRPr="00DD03D6" w:rsidRDefault="00ED0B68" w:rsidP="00ED0B68">
      <w:pPr>
        <w:pStyle w:val="H23G"/>
        <w:ind w:firstLine="0"/>
        <w:rPr>
          <w:noProof/>
          <w:lang w:val="fr-FR"/>
        </w:rPr>
      </w:pPr>
      <w:r>
        <w:rPr>
          <w:noProof/>
          <w:lang w:val="fr-FR"/>
        </w:rPr>
        <w:t xml:space="preserve">L’apprentissage de la lecture, de l’écriture et du calcul </w:t>
      </w:r>
      <w:r w:rsidR="00440B91">
        <w:rPr>
          <w:noProof/>
          <w:lang w:val="fr-FR"/>
        </w:rPr>
        <w:t xml:space="preserve">comme enjeu vital </w:t>
      </w:r>
    </w:p>
    <w:p w:rsidR="001B2F58" w:rsidRPr="00DD03D6" w:rsidRDefault="00D02391" w:rsidP="008F0730">
      <w:pPr>
        <w:pStyle w:val="SingleTxtG"/>
        <w:numPr>
          <w:ilvl w:val="0"/>
          <w:numId w:val="3"/>
        </w:numPr>
        <w:ind w:left="1134" w:firstLine="0"/>
        <w:rPr>
          <w:noProof/>
          <w:lang w:val="fr-FR"/>
        </w:rPr>
      </w:pPr>
      <w:r>
        <w:rPr>
          <w:noProof/>
          <w:lang w:val="fr-FR"/>
        </w:rPr>
        <w:t xml:space="preserve">La </w:t>
      </w:r>
      <w:r>
        <w:rPr>
          <w:i/>
          <w:noProof/>
          <w:lang w:val="fr-FR"/>
        </w:rPr>
        <w:t xml:space="preserve">Stratégie nationale d’amélioration de l’apprentissage de la lecture, de l’écriture et du calcul parmi les enfants et les jeunes pour 2011-2020 </w:t>
      </w:r>
      <w:r>
        <w:rPr>
          <w:noProof/>
          <w:lang w:val="fr-FR"/>
        </w:rPr>
        <w:t>(</w:t>
      </w:r>
      <w:r w:rsidR="001B2F58" w:rsidRPr="00DD03D6">
        <w:rPr>
          <w:noProof/>
          <w:lang w:val="fr-FR"/>
        </w:rPr>
        <w:t xml:space="preserve">The </w:t>
      </w:r>
      <w:r w:rsidR="001B2F58" w:rsidRPr="00DD03D6">
        <w:rPr>
          <w:i/>
          <w:noProof/>
          <w:lang w:val="fr-FR"/>
        </w:rPr>
        <w:t xml:space="preserve">National Strategy to </w:t>
      </w:r>
      <w:r w:rsidR="0003615B" w:rsidRPr="00DD03D6">
        <w:rPr>
          <w:i/>
          <w:noProof/>
          <w:lang w:val="fr-FR"/>
        </w:rPr>
        <w:t>I</w:t>
      </w:r>
      <w:r w:rsidR="001B2F58" w:rsidRPr="00DD03D6">
        <w:rPr>
          <w:i/>
          <w:noProof/>
          <w:lang w:val="fr-FR"/>
        </w:rPr>
        <w:t>mprove Literacy and Numeracy among Children and Young People, 2011-2020</w:t>
      </w:r>
      <w:r>
        <w:rPr>
          <w:noProof/>
          <w:lang w:val="fr-FR"/>
        </w:rPr>
        <w:t xml:space="preserve">), </w:t>
      </w:r>
      <w:r w:rsidR="001B2F58" w:rsidRPr="00DD03D6">
        <w:rPr>
          <w:noProof/>
          <w:lang w:val="fr-FR"/>
        </w:rPr>
        <w:t>publi</w:t>
      </w:r>
      <w:r>
        <w:rPr>
          <w:noProof/>
          <w:lang w:val="fr-FR"/>
        </w:rPr>
        <w:t xml:space="preserve">ée par le Ministre de l’éducation et de la formation en juin </w:t>
      </w:r>
      <w:r w:rsidR="001B2F58" w:rsidRPr="00DD03D6">
        <w:rPr>
          <w:noProof/>
          <w:lang w:val="fr-FR"/>
        </w:rPr>
        <w:t xml:space="preserve">2011, </w:t>
      </w:r>
      <w:r>
        <w:rPr>
          <w:noProof/>
          <w:lang w:val="fr-FR"/>
        </w:rPr>
        <w:t xml:space="preserve">porte sur </w:t>
      </w:r>
      <w:r w:rsidR="0003615B" w:rsidRPr="00DD03D6">
        <w:rPr>
          <w:noProof/>
          <w:lang w:val="fr-FR"/>
        </w:rPr>
        <w:t>six</w:t>
      </w:r>
      <w:r w:rsidR="001B2F58" w:rsidRPr="00DD03D6">
        <w:rPr>
          <w:noProof/>
          <w:lang w:val="fr-FR"/>
        </w:rPr>
        <w:t xml:space="preserve"> </w:t>
      </w:r>
      <w:r>
        <w:rPr>
          <w:noProof/>
          <w:lang w:val="fr-FR"/>
        </w:rPr>
        <w:t xml:space="preserve">domaines d’intervention clefs devant permettre d’améliorer les résultats en matière d’apprentissage de la lecture, de l’écriture et du calcul </w:t>
      </w:r>
      <w:r w:rsidR="001B2F58" w:rsidRPr="00DD03D6">
        <w:rPr>
          <w:noProof/>
          <w:lang w:val="fr-FR"/>
        </w:rPr>
        <w:t>:</w:t>
      </w:r>
    </w:p>
    <w:p w:rsidR="001B2F58" w:rsidRPr="00DD03D6" w:rsidRDefault="00653DBE" w:rsidP="00C439D5">
      <w:pPr>
        <w:pStyle w:val="Bullet1G"/>
        <w:tabs>
          <w:tab w:val="clear" w:pos="1701"/>
          <w:tab w:val="left" w:pos="1843"/>
          <w:tab w:val="left" w:pos="6237"/>
        </w:tabs>
        <w:ind w:left="1843" w:hanging="142"/>
        <w:rPr>
          <w:noProof/>
          <w:lang w:val="fr-FR"/>
        </w:rPr>
      </w:pPr>
      <w:r>
        <w:rPr>
          <w:noProof/>
          <w:lang w:val="fr-FR"/>
        </w:rPr>
        <w:t xml:space="preserve">Permettre aux </w:t>
      </w:r>
      <w:r w:rsidR="001B2F58" w:rsidRPr="00DD03D6">
        <w:rPr>
          <w:noProof/>
          <w:lang w:val="fr-FR"/>
        </w:rPr>
        <w:t xml:space="preserve">parents </w:t>
      </w:r>
      <w:r>
        <w:rPr>
          <w:noProof/>
          <w:lang w:val="fr-FR"/>
        </w:rPr>
        <w:t xml:space="preserve">et aux </w:t>
      </w:r>
      <w:r w:rsidR="001B2F58" w:rsidRPr="00DD03D6">
        <w:rPr>
          <w:noProof/>
          <w:lang w:val="fr-FR"/>
        </w:rPr>
        <w:t>commun</w:t>
      </w:r>
      <w:r>
        <w:rPr>
          <w:noProof/>
          <w:lang w:val="fr-FR"/>
        </w:rPr>
        <w:t>autés de faciliter l’apprentissage de la lecture, de l’écriture et du calcul par les enfants</w:t>
      </w:r>
      <w:r w:rsidR="001B2F58" w:rsidRPr="00DD03D6">
        <w:rPr>
          <w:noProof/>
          <w:lang w:val="fr-FR"/>
        </w:rPr>
        <w:t>;</w:t>
      </w:r>
    </w:p>
    <w:p w:rsidR="001B2F58" w:rsidRPr="00DD03D6" w:rsidRDefault="00653DBE" w:rsidP="00C439D5">
      <w:pPr>
        <w:pStyle w:val="Bullet1G"/>
        <w:tabs>
          <w:tab w:val="clear" w:pos="1701"/>
          <w:tab w:val="left" w:pos="1843"/>
          <w:tab w:val="left" w:pos="6237"/>
        </w:tabs>
        <w:ind w:left="1843" w:hanging="142"/>
        <w:rPr>
          <w:noProof/>
          <w:lang w:val="fr-FR"/>
        </w:rPr>
      </w:pPr>
      <w:r>
        <w:rPr>
          <w:noProof/>
          <w:lang w:val="fr-FR"/>
        </w:rPr>
        <w:t xml:space="preserve">Améliorer la pratique professionnelle des enseignants et des spécialistes de l’éducation et de </w:t>
      </w:r>
      <w:r w:rsidR="0039626D">
        <w:rPr>
          <w:noProof/>
          <w:lang w:val="fr-FR"/>
        </w:rPr>
        <w:t>l’accueil de la petite enfance en apportant des changements à leur formation initiale et continue</w:t>
      </w:r>
      <w:r w:rsidR="001B2F58" w:rsidRPr="00DD03D6">
        <w:rPr>
          <w:noProof/>
          <w:lang w:val="fr-FR"/>
        </w:rPr>
        <w:t>;</w:t>
      </w:r>
    </w:p>
    <w:p w:rsidR="001B2F58" w:rsidRPr="00DD03D6" w:rsidRDefault="0039626D" w:rsidP="00C439D5">
      <w:pPr>
        <w:pStyle w:val="Bullet1G"/>
        <w:tabs>
          <w:tab w:val="clear" w:pos="1701"/>
          <w:tab w:val="left" w:pos="1843"/>
          <w:tab w:val="left" w:pos="6237"/>
        </w:tabs>
        <w:ind w:left="1843" w:hanging="142"/>
        <w:rPr>
          <w:noProof/>
          <w:lang w:val="fr-FR"/>
        </w:rPr>
      </w:pPr>
      <w:r>
        <w:rPr>
          <w:noProof/>
          <w:lang w:val="fr-FR"/>
        </w:rPr>
        <w:t>Renforcer la capacité</w:t>
      </w:r>
      <w:r w:rsidR="001B2F58" w:rsidRPr="00DD03D6">
        <w:rPr>
          <w:noProof/>
          <w:lang w:val="fr-FR"/>
        </w:rPr>
        <w:t xml:space="preserve"> </w:t>
      </w:r>
      <w:r>
        <w:rPr>
          <w:noProof/>
          <w:lang w:val="fr-FR"/>
        </w:rPr>
        <w:t xml:space="preserve">des chefs d’établissement </w:t>
      </w:r>
      <w:r w:rsidR="007B0926">
        <w:rPr>
          <w:noProof/>
          <w:lang w:val="fr-FR"/>
        </w:rPr>
        <w:t>de piloter les améliorations de l’enseignement et de l’évaluation de la lecture, de l’écriture et du calcul à l’école</w:t>
      </w:r>
      <w:r w:rsidR="001B2F58" w:rsidRPr="00DD03D6">
        <w:rPr>
          <w:noProof/>
          <w:lang w:val="fr-FR"/>
        </w:rPr>
        <w:t>;</w:t>
      </w:r>
    </w:p>
    <w:p w:rsidR="001B2F58" w:rsidRPr="00DD03D6" w:rsidRDefault="00A066CF" w:rsidP="00C439D5">
      <w:pPr>
        <w:pStyle w:val="Bullet1G"/>
        <w:tabs>
          <w:tab w:val="clear" w:pos="1701"/>
          <w:tab w:val="left" w:pos="1843"/>
          <w:tab w:val="left" w:pos="6237"/>
        </w:tabs>
        <w:ind w:left="1843" w:hanging="142"/>
        <w:rPr>
          <w:noProof/>
          <w:lang w:val="fr-FR"/>
        </w:rPr>
      </w:pPr>
      <w:r>
        <w:rPr>
          <w:noProof/>
          <w:lang w:val="fr-FR"/>
        </w:rPr>
        <w:t>Donner au programme d’apprentissage de la lecture, de l’écriture et du calcul un contenu approprié aux niveaux primaire et postprimaire en faisant en sorte que ce programme indique clairement ce que les élèves sont censés apprendre à chaque étape</w:t>
      </w:r>
      <w:r w:rsidR="001B2F58" w:rsidRPr="00DD03D6">
        <w:rPr>
          <w:noProof/>
          <w:lang w:val="fr-FR"/>
        </w:rPr>
        <w:t>;</w:t>
      </w:r>
    </w:p>
    <w:p w:rsidR="001B2F58" w:rsidRPr="00DD03D6" w:rsidRDefault="00A066CF" w:rsidP="00C439D5">
      <w:pPr>
        <w:pStyle w:val="Bullet1G"/>
        <w:tabs>
          <w:tab w:val="clear" w:pos="1701"/>
          <w:tab w:val="left" w:pos="1843"/>
          <w:tab w:val="left" w:pos="6237"/>
        </w:tabs>
        <w:ind w:left="1843" w:hanging="142"/>
        <w:rPr>
          <w:noProof/>
          <w:lang w:val="fr-FR"/>
        </w:rPr>
      </w:pPr>
      <w:r>
        <w:rPr>
          <w:noProof/>
          <w:lang w:val="fr-FR"/>
        </w:rPr>
        <w:t>Cibler les ressources supplémentaires disponibles sur les apprenants ayant des besoins supplémentaires, notamment ceux qui sont membres de communautés défavorisées, ceux qui apprennent l’anglais comme langue supplémentaire et ceux qui ont des besoins éducatifs spéciaux</w:t>
      </w:r>
      <w:r w:rsidR="001B2F58" w:rsidRPr="00DD03D6">
        <w:rPr>
          <w:noProof/>
          <w:lang w:val="fr-FR"/>
        </w:rPr>
        <w:t>;</w:t>
      </w:r>
    </w:p>
    <w:p w:rsidR="001B2F58" w:rsidRPr="00DD03D6" w:rsidRDefault="00A066CF" w:rsidP="00C439D5">
      <w:pPr>
        <w:pStyle w:val="Bullet1G"/>
        <w:tabs>
          <w:tab w:val="clear" w:pos="1701"/>
          <w:tab w:val="left" w:pos="1843"/>
          <w:tab w:val="left" w:pos="6237"/>
        </w:tabs>
        <w:ind w:left="1843" w:hanging="142"/>
        <w:rPr>
          <w:noProof/>
          <w:lang w:val="fr-FR"/>
        </w:rPr>
      </w:pPr>
      <w:r>
        <w:rPr>
          <w:noProof/>
          <w:lang w:val="fr-FR"/>
        </w:rPr>
        <w:t>Améliorer la manière dont les enseignants, les écoles et le système éducatif utilise</w:t>
      </w:r>
      <w:r w:rsidR="00B74D22">
        <w:rPr>
          <w:noProof/>
          <w:lang w:val="fr-FR"/>
        </w:rPr>
        <w:t>nt</w:t>
      </w:r>
      <w:r>
        <w:rPr>
          <w:noProof/>
          <w:lang w:val="fr-FR"/>
        </w:rPr>
        <w:t xml:space="preserve"> des méthodes d’évaluation efficaces pour planifier les prochaines étapes </w:t>
      </w:r>
      <w:r w:rsidR="00B74D22">
        <w:rPr>
          <w:noProof/>
          <w:lang w:val="fr-FR"/>
        </w:rPr>
        <w:t>pour chaque apprenant et suivre ses progrès</w:t>
      </w:r>
      <w:r w:rsidR="001B2F58" w:rsidRPr="00DD03D6">
        <w:rPr>
          <w:noProof/>
          <w:lang w:val="fr-FR"/>
        </w:rPr>
        <w:t>.</w:t>
      </w:r>
    </w:p>
    <w:p w:rsidR="001B2F58" w:rsidRPr="00DD03D6" w:rsidRDefault="00DB58CC" w:rsidP="008F0730">
      <w:pPr>
        <w:pStyle w:val="SingleTxtG"/>
        <w:numPr>
          <w:ilvl w:val="0"/>
          <w:numId w:val="3"/>
        </w:numPr>
        <w:ind w:left="1134" w:firstLine="0"/>
        <w:rPr>
          <w:noProof/>
          <w:lang w:val="fr-FR"/>
        </w:rPr>
      </w:pPr>
      <w:r>
        <w:rPr>
          <w:noProof/>
          <w:lang w:val="fr-FR"/>
        </w:rPr>
        <w:t xml:space="preserve">Les </w:t>
      </w:r>
      <w:r w:rsidR="00B74D22">
        <w:rPr>
          <w:noProof/>
          <w:lang w:val="fr-FR"/>
        </w:rPr>
        <w:t xml:space="preserve">mesures de la Stratégie nationale susvisée </w:t>
      </w:r>
      <w:r>
        <w:rPr>
          <w:noProof/>
          <w:lang w:val="fr-FR"/>
        </w:rPr>
        <w:t xml:space="preserve">sont toutes </w:t>
      </w:r>
      <w:r w:rsidR="00B74D22">
        <w:rPr>
          <w:noProof/>
          <w:lang w:val="fr-FR"/>
        </w:rPr>
        <w:t>assortie</w:t>
      </w:r>
      <w:r>
        <w:rPr>
          <w:noProof/>
          <w:lang w:val="fr-FR"/>
        </w:rPr>
        <w:t>s</w:t>
      </w:r>
      <w:r w:rsidR="00B74D22">
        <w:rPr>
          <w:noProof/>
          <w:lang w:val="fr-FR"/>
        </w:rPr>
        <w:t xml:space="preserve"> d’un calendrier </w:t>
      </w:r>
      <w:r>
        <w:rPr>
          <w:noProof/>
          <w:lang w:val="fr-FR"/>
        </w:rPr>
        <w:t>et l’entité qui a la responsabilité principale de l’exécution de chacune d’entre elles est clairement désignée</w:t>
      </w:r>
      <w:r w:rsidR="001B2F58" w:rsidRPr="00DD03D6">
        <w:rPr>
          <w:noProof/>
          <w:lang w:val="fr-FR"/>
        </w:rPr>
        <w:t>.</w:t>
      </w:r>
    </w:p>
    <w:p w:rsidR="001B2F58" w:rsidRPr="00DD03D6" w:rsidRDefault="00DB58CC" w:rsidP="00DB58CC">
      <w:pPr>
        <w:pStyle w:val="H23G"/>
        <w:ind w:firstLine="0"/>
        <w:rPr>
          <w:noProof/>
          <w:lang w:val="fr-FR"/>
        </w:rPr>
      </w:pPr>
      <w:r>
        <w:rPr>
          <w:noProof/>
          <w:lang w:val="fr-FR"/>
        </w:rPr>
        <w:t xml:space="preserve">Programme de construction d’écoles </w:t>
      </w:r>
    </w:p>
    <w:p w:rsidR="001B2F58" w:rsidRPr="00DD03D6" w:rsidRDefault="008049DA" w:rsidP="008F0730">
      <w:pPr>
        <w:pStyle w:val="SingleTxtG"/>
        <w:numPr>
          <w:ilvl w:val="0"/>
          <w:numId w:val="3"/>
        </w:numPr>
        <w:ind w:left="1134" w:firstLine="0"/>
        <w:rPr>
          <w:noProof/>
          <w:lang w:val="fr-FR"/>
        </w:rPr>
      </w:pPr>
      <w:r>
        <w:rPr>
          <w:noProof/>
          <w:lang w:val="fr-FR"/>
        </w:rPr>
        <w:t xml:space="preserve">Dans son </w:t>
      </w:r>
      <w:r w:rsidRPr="00DD03D6">
        <w:rPr>
          <w:noProof/>
          <w:lang w:val="fr-FR"/>
        </w:rPr>
        <w:t xml:space="preserve">Programme </w:t>
      </w:r>
      <w:r>
        <w:rPr>
          <w:noProof/>
          <w:lang w:val="fr-FR"/>
        </w:rPr>
        <w:t xml:space="preserve">pour </w:t>
      </w:r>
      <w:r w:rsidRPr="00DD03D6">
        <w:rPr>
          <w:noProof/>
          <w:lang w:val="fr-FR"/>
        </w:rPr>
        <w:t>2011-2016</w:t>
      </w:r>
      <w:r>
        <w:rPr>
          <w:noProof/>
          <w:lang w:val="fr-FR"/>
        </w:rPr>
        <w:t>, le Gouvernement s’engage à prioriser l’</w:t>
      </w:r>
      <w:r w:rsidR="001B2F58" w:rsidRPr="00DD03D6">
        <w:rPr>
          <w:noProof/>
          <w:lang w:val="fr-FR"/>
        </w:rPr>
        <w:t>invest</w:t>
      </w:r>
      <w:r>
        <w:rPr>
          <w:noProof/>
          <w:lang w:val="fr-FR"/>
        </w:rPr>
        <w:t>isse</w:t>
      </w:r>
      <w:r w:rsidR="001B2F58" w:rsidRPr="00DD03D6">
        <w:rPr>
          <w:noProof/>
          <w:lang w:val="fr-FR"/>
        </w:rPr>
        <w:t xml:space="preserve">ment </w:t>
      </w:r>
      <w:r>
        <w:rPr>
          <w:noProof/>
          <w:lang w:val="fr-FR"/>
        </w:rPr>
        <w:t>dans les projets de construction d’écoles</w:t>
      </w:r>
      <w:r w:rsidR="001B2F58" w:rsidRPr="00DD03D6">
        <w:rPr>
          <w:noProof/>
          <w:lang w:val="fr-FR"/>
        </w:rPr>
        <w:t xml:space="preserve">. </w:t>
      </w:r>
      <w:r>
        <w:rPr>
          <w:noProof/>
          <w:lang w:val="fr-FR"/>
        </w:rPr>
        <w:t>E</w:t>
      </w:r>
      <w:r w:rsidR="001B2F58" w:rsidRPr="00DD03D6">
        <w:rPr>
          <w:noProof/>
          <w:lang w:val="fr-FR"/>
        </w:rPr>
        <w:t xml:space="preserve">n </w:t>
      </w:r>
      <w:r>
        <w:rPr>
          <w:noProof/>
          <w:lang w:val="fr-FR"/>
        </w:rPr>
        <w:t xml:space="preserve">mars </w:t>
      </w:r>
      <w:r w:rsidR="001B2F58" w:rsidRPr="00DD03D6">
        <w:rPr>
          <w:noProof/>
          <w:lang w:val="fr-FR"/>
        </w:rPr>
        <w:t xml:space="preserve">2012, </w:t>
      </w:r>
      <w:r>
        <w:rPr>
          <w:noProof/>
          <w:lang w:val="fr-FR"/>
        </w:rPr>
        <w:t xml:space="preserve">le Ministre de l’éducation et de la formation a présenté un programme de dépenses d’équipement de </w:t>
      </w:r>
      <w:r w:rsidR="00E73B0A">
        <w:rPr>
          <w:noProof/>
          <w:lang w:val="fr-FR"/>
        </w:rPr>
        <w:lastRenderedPageBreak/>
        <w:t>2 </w:t>
      </w:r>
      <w:r>
        <w:rPr>
          <w:noProof/>
          <w:lang w:val="fr-FR"/>
        </w:rPr>
        <w:t>milliards d’euros sur cinq ans</w:t>
      </w:r>
      <w:r w:rsidR="001B2F58" w:rsidRPr="00DD03D6">
        <w:rPr>
          <w:noProof/>
          <w:lang w:val="fr-FR"/>
        </w:rPr>
        <w:t xml:space="preserve">, </w:t>
      </w:r>
      <w:r>
        <w:rPr>
          <w:noProof/>
          <w:lang w:val="fr-FR"/>
        </w:rPr>
        <w:t xml:space="preserve">composé de quelque </w:t>
      </w:r>
      <w:r w:rsidR="001B2F58" w:rsidRPr="00DD03D6">
        <w:rPr>
          <w:noProof/>
          <w:lang w:val="fr-FR"/>
        </w:rPr>
        <w:t xml:space="preserve">275 </w:t>
      </w:r>
      <w:r>
        <w:rPr>
          <w:noProof/>
          <w:lang w:val="fr-FR"/>
        </w:rPr>
        <w:t xml:space="preserve">projets majeurs de construction d’écoles à </w:t>
      </w:r>
      <w:r w:rsidR="00F96F20">
        <w:rPr>
          <w:noProof/>
          <w:lang w:val="fr-FR"/>
        </w:rPr>
        <w:t>exécuter</w:t>
      </w:r>
      <w:r>
        <w:rPr>
          <w:noProof/>
          <w:lang w:val="fr-FR"/>
        </w:rPr>
        <w:t xml:space="preserve"> pendant la durée de ce </w:t>
      </w:r>
      <w:r w:rsidR="001B2F58" w:rsidRPr="00DD03D6">
        <w:rPr>
          <w:noProof/>
          <w:lang w:val="fr-FR"/>
        </w:rPr>
        <w:t xml:space="preserve">programme. </w:t>
      </w:r>
      <w:r>
        <w:rPr>
          <w:noProof/>
          <w:lang w:val="fr-FR"/>
        </w:rPr>
        <w:t xml:space="preserve">Il est prévu de fournir plus de </w:t>
      </w:r>
      <w:r w:rsidR="001B2F58" w:rsidRPr="00DD03D6">
        <w:rPr>
          <w:noProof/>
          <w:lang w:val="fr-FR"/>
        </w:rPr>
        <w:t>100</w:t>
      </w:r>
      <w:r w:rsidR="00E73B0A">
        <w:rPr>
          <w:noProof/>
          <w:lang w:val="fr-FR"/>
        </w:rPr>
        <w:t> </w:t>
      </w:r>
      <w:r w:rsidR="001B2F58" w:rsidRPr="00DD03D6">
        <w:rPr>
          <w:noProof/>
          <w:lang w:val="fr-FR"/>
        </w:rPr>
        <w:t xml:space="preserve">000 </w:t>
      </w:r>
      <w:r>
        <w:rPr>
          <w:noProof/>
          <w:lang w:val="fr-FR"/>
        </w:rPr>
        <w:t xml:space="preserve">places </w:t>
      </w:r>
      <w:r w:rsidR="00F96F20">
        <w:rPr>
          <w:noProof/>
          <w:lang w:val="fr-FR"/>
        </w:rPr>
        <w:t>d’</w:t>
      </w:r>
      <w:r>
        <w:rPr>
          <w:noProof/>
          <w:lang w:val="fr-FR"/>
        </w:rPr>
        <w:t>écoles</w:t>
      </w:r>
      <w:r w:rsidR="00F96F20">
        <w:rPr>
          <w:noProof/>
          <w:lang w:val="fr-FR"/>
        </w:rPr>
        <w:t xml:space="preserve"> permanentes</w:t>
      </w:r>
      <w:r w:rsidR="001B2F58" w:rsidRPr="00DD03D6">
        <w:rPr>
          <w:noProof/>
          <w:lang w:val="fr-FR"/>
        </w:rPr>
        <w:t xml:space="preserve">, </w:t>
      </w:r>
      <w:r w:rsidR="00F96F20">
        <w:rPr>
          <w:noProof/>
          <w:lang w:val="fr-FR"/>
        </w:rPr>
        <w:t xml:space="preserve">dont </w:t>
      </w:r>
      <w:r w:rsidR="001B2F58" w:rsidRPr="00DD03D6">
        <w:rPr>
          <w:noProof/>
          <w:lang w:val="fr-FR"/>
        </w:rPr>
        <w:t>80</w:t>
      </w:r>
      <w:r w:rsidR="00E73B0A">
        <w:rPr>
          <w:noProof/>
          <w:lang w:val="fr-FR"/>
        </w:rPr>
        <w:t> </w:t>
      </w:r>
      <w:r w:rsidR="001B2F58" w:rsidRPr="00DD03D6">
        <w:rPr>
          <w:noProof/>
          <w:lang w:val="fr-FR"/>
        </w:rPr>
        <w:t xml:space="preserve">000 </w:t>
      </w:r>
      <w:r w:rsidR="00F96F20">
        <w:rPr>
          <w:noProof/>
          <w:lang w:val="fr-FR"/>
        </w:rPr>
        <w:t>pour les nouvelles écoles</w:t>
      </w:r>
      <w:r w:rsidR="001B2F58" w:rsidRPr="00DD03D6">
        <w:rPr>
          <w:noProof/>
          <w:lang w:val="fr-FR"/>
        </w:rPr>
        <w:t xml:space="preserve">. </w:t>
      </w:r>
      <w:r w:rsidR="00F96F20">
        <w:rPr>
          <w:noProof/>
          <w:lang w:val="fr-FR"/>
        </w:rPr>
        <w:t>Le reste correspond au remplacement de locaux temporaires ou ne donnant pas satisfaction</w:t>
      </w:r>
      <w:r w:rsidR="001B2F58" w:rsidRPr="00DD03D6">
        <w:rPr>
          <w:noProof/>
          <w:lang w:val="fr-FR"/>
        </w:rPr>
        <w:t xml:space="preserve">. </w:t>
      </w:r>
      <w:r w:rsidR="00F96F20">
        <w:rPr>
          <w:noProof/>
          <w:lang w:val="fr-FR"/>
        </w:rPr>
        <w:t xml:space="preserve">Cet important investissement signifie que plus de </w:t>
      </w:r>
      <w:r w:rsidR="001B2F58" w:rsidRPr="00DD03D6">
        <w:rPr>
          <w:noProof/>
          <w:lang w:val="fr-FR"/>
        </w:rPr>
        <w:t>11</w:t>
      </w:r>
      <w:r w:rsidR="003F1ADB">
        <w:rPr>
          <w:noProof/>
          <w:lang w:val="fr-FR"/>
        </w:rPr>
        <w:t> %</w:t>
      </w:r>
      <w:r w:rsidR="001B2F58" w:rsidRPr="00DD03D6">
        <w:rPr>
          <w:noProof/>
          <w:lang w:val="fr-FR"/>
        </w:rPr>
        <w:t xml:space="preserve"> </w:t>
      </w:r>
      <w:r w:rsidR="00F96F20">
        <w:rPr>
          <w:noProof/>
          <w:lang w:val="fr-FR"/>
        </w:rPr>
        <w:t xml:space="preserve">de l’effectif scolaire </w:t>
      </w:r>
      <w:r w:rsidR="001B2F58" w:rsidRPr="00DD03D6">
        <w:rPr>
          <w:noProof/>
          <w:lang w:val="fr-FR"/>
        </w:rPr>
        <w:t xml:space="preserve">total </w:t>
      </w:r>
      <w:r w:rsidR="00F96F20">
        <w:rPr>
          <w:noProof/>
          <w:lang w:val="fr-FR"/>
        </w:rPr>
        <w:t xml:space="preserve">bénéficiera de places dans les nouvelles écoles permanentes qui seront construites entre </w:t>
      </w:r>
      <w:r w:rsidR="009A5E46" w:rsidRPr="00DD03D6">
        <w:rPr>
          <w:noProof/>
          <w:lang w:val="fr-FR"/>
        </w:rPr>
        <w:t>2012</w:t>
      </w:r>
      <w:r w:rsidR="00F96F20">
        <w:rPr>
          <w:noProof/>
          <w:lang w:val="fr-FR"/>
        </w:rPr>
        <w:t xml:space="preserve"> et </w:t>
      </w:r>
      <w:r w:rsidR="001B2F58" w:rsidRPr="00DD03D6">
        <w:rPr>
          <w:noProof/>
          <w:lang w:val="fr-FR"/>
        </w:rPr>
        <w:t>2016.</w:t>
      </w:r>
    </w:p>
    <w:p w:rsidR="001B2F58" w:rsidRPr="00DD03D6" w:rsidRDefault="001B2F58" w:rsidP="00660FC3">
      <w:pPr>
        <w:pStyle w:val="H23G"/>
        <w:ind w:firstLine="0"/>
        <w:rPr>
          <w:noProof/>
          <w:lang w:val="fr-FR"/>
        </w:rPr>
      </w:pPr>
      <w:r w:rsidRPr="00DD03D6">
        <w:rPr>
          <w:noProof/>
          <w:lang w:val="fr-FR"/>
        </w:rPr>
        <w:t>Sc</w:t>
      </w:r>
      <w:r w:rsidR="00660FC3">
        <w:rPr>
          <w:noProof/>
          <w:lang w:val="fr-FR"/>
        </w:rPr>
        <w:t xml:space="preserve">olarisation </w:t>
      </w:r>
    </w:p>
    <w:p w:rsidR="001B2F58" w:rsidRPr="00DD03D6" w:rsidRDefault="00660FC3" w:rsidP="008F0730">
      <w:pPr>
        <w:pStyle w:val="SingleTxtG"/>
        <w:numPr>
          <w:ilvl w:val="0"/>
          <w:numId w:val="3"/>
        </w:numPr>
        <w:ind w:left="1134" w:firstLine="0"/>
        <w:rPr>
          <w:noProof/>
          <w:lang w:val="fr-FR"/>
        </w:rPr>
      </w:pPr>
      <w:r>
        <w:rPr>
          <w:noProof/>
          <w:lang w:val="fr-FR"/>
        </w:rPr>
        <w:t xml:space="preserve">Un </w:t>
      </w:r>
      <w:r w:rsidR="007931E5" w:rsidRPr="007931E5">
        <w:rPr>
          <w:i/>
          <w:lang w:val="fr-CH"/>
        </w:rPr>
        <w:t>Document de synthèse sur un cadre réglementaire pour l’inscription dans les établissements scolaires</w:t>
      </w:r>
      <w:r w:rsidR="007931E5">
        <w:rPr>
          <w:lang w:val="fr-CH"/>
        </w:rPr>
        <w:t xml:space="preserve"> </w:t>
      </w:r>
      <w:r>
        <w:rPr>
          <w:noProof/>
          <w:lang w:val="fr-FR"/>
        </w:rPr>
        <w:t>a été publié par le Ministère de l’éducation et de la formation e</w:t>
      </w:r>
      <w:r w:rsidR="001B2F58" w:rsidRPr="00DD03D6">
        <w:rPr>
          <w:noProof/>
          <w:lang w:val="fr-FR"/>
        </w:rPr>
        <w:t xml:space="preserve">n </w:t>
      </w:r>
      <w:r>
        <w:rPr>
          <w:noProof/>
          <w:lang w:val="fr-FR"/>
        </w:rPr>
        <w:t xml:space="preserve">juin </w:t>
      </w:r>
      <w:r w:rsidR="001B2F58" w:rsidRPr="00DD03D6">
        <w:rPr>
          <w:noProof/>
          <w:lang w:val="fr-FR"/>
        </w:rPr>
        <w:t xml:space="preserve">2011. </w:t>
      </w:r>
      <w:r>
        <w:rPr>
          <w:noProof/>
          <w:lang w:val="fr-FR"/>
        </w:rPr>
        <w:t>I</w:t>
      </w:r>
      <w:r w:rsidR="007931E5">
        <w:rPr>
          <w:noProof/>
          <w:lang w:val="fr-FR"/>
        </w:rPr>
        <w:t>l</w:t>
      </w:r>
      <w:r w:rsidR="007931E5">
        <w:rPr>
          <w:lang w:val="fr-CH"/>
        </w:rPr>
        <w:t xml:space="preserve"> énonce les diverses options possibles pour rendre la procédure d’inscription dans les écoles plus ouverte, équitable et cohérente</w:t>
      </w:r>
      <w:r w:rsidR="001B2F58" w:rsidRPr="00DD03D6">
        <w:rPr>
          <w:noProof/>
          <w:lang w:val="fr-FR"/>
        </w:rPr>
        <w:t xml:space="preserve">. </w:t>
      </w:r>
      <w:r w:rsidR="007931E5">
        <w:rPr>
          <w:noProof/>
          <w:lang w:val="fr-FR"/>
        </w:rPr>
        <w:t xml:space="preserve">Il </w:t>
      </w:r>
      <w:r w:rsidR="007931E5">
        <w:rPr>
          <w:lang w:val="fr-CH"/>
        </w:rPr>
        <w:t xml:space="preserve">évoque également de nouvelles sanctions possibles au cas où un établissement scolaire ou un conseil </w:t>
      </w:r>
      <w:r w:rsidR="009B3304">
        <w:rPr>
          <w:lang w:val="fr-CH"/>
        </w:rPr>
        <w:t>de ges</w:t>
      </w:r>
      <w:r w:rsidR="007931E5">
        <w:rPr>
          <w:lang w:val="fr-CH"/>
        </w:rPr>
        <w:t>tion ne respecterait pas l’une ou l’autre des dispositions de la nouvelle législation</w:t>
      </w:r>
      <w:r w:rsidR="001B2F58" w:rsidRPr="00DD03D6">
        <w:rPr>
          <w:noProof/>
          <w:lang w:val="fr-FR"/>
        </w:rPr>
        <w:t xml:space="preserve">. </w:t>
      </w:r>
      <w:r w:rsidR="007931E5">
        <w:rPr>
          <w:lang w:val="fr-CH"/>
        </w:rPr>
        <w:t>Les commentaires en retour devaient parvenir aux auteurs à la fin d’octobre 2011. Les responsables s’occupent actuellement de dépouiller les 89 réponses reçues. Ces commentaires en retour influenceront la nature et la portée du nouveau cadre réglementaire relatif à l’inscription dans les établissements scolaires</w:t>
      </w:r>
      <w:r w:rsidR="001B2F58" w:rsidRPr="00DD03D6">
        <w:rPr>
          <w:noProof/>
          <w:lang w:val="fr-FR"/>
        </w:rPr>
        <w:t>.</w:t>
      </w:r>
    </w:p>
    <w:p w:rsidR="001B2F58" w:rsidRPr="00DD03D6" w:rsidRDefault="009B74E4" w:rsidP="009B74E4">
      <w:pPr>
        <w:pStyle w:val="H23G"/>
        <w:ind w:firstLine="0"/>
        <w:rPr>
          <w:noProof/>
          <w:lang w:val="fr-FR"/>
        </w:rPr>
      </w:pPr>
      <w:r>
        <w:rPr>
          <w:noProof/>
          <w:lang w:val="fr-FR"/>
        </w:rPr>
        <w:t>Normes concernant les services</w:t>
      </w:r>
      <w:r w:rsidR="00547E30">
        <w:rPr>
          <w:noProof/>
          <w:lang w:val="fr-FR"/>
        </w:rPr>
        <w:t xml:space="preserve"> </w:t>
      </w:r>
      <w:r>
        <w:rPr>
          <w:noProof/>
          <w:lang w:val="fr-FR"/>
        </w:rPr>
        <w:t xml:space="preserve">d’éducation et d’accueil de la petite enfance </w:t>
      </w:r>
    </w:p>
    <w:p w:rsidR="001B2F58" w:rsidRPr="00DD03D6" w:rsidRDefault="009B74E4" w:rsidP="00111EE3">
      <w:pPr>
        <w:pStyle w:val="SingleTxtG"/>
        <w:numPr>
          <w:ilvl w:val="0"/>
          <w:numId w:val="3"/>
        </w:numPr>
        <w:ind w:left="1134" w:firstLine="0"/>
        <w:rPr>
          <w:noProof/>
          <w:lang w:val="fr-FR"/>
        </w:rPr>
      </w:pPr>
      <w:r>
        <w:rPr>
          <w:noProof/>
          <w:lang w:val="fr-FR"/>
        </w:rPr>
        <w:t xml:space="preserve">Au niveau préscolaire, le Règlement de 2006 sur la protection de l’enfance (services préscolaires) </w:t>
      </w:r>
      <w:r w:rsidR="005E45E4">
        <w:rPr>
          <w:noProof/>
          <w:lang w:val="fr-FR"/>
        </w:rPr>
        <w:t>(n</w:t>
      </w:r>
      <w:r w:rsidR="00C439D5" w:rsidRPr="00C439D5">
        <w:rPr>
          <w:noProof/>
          <w:vertAlign w:val="superscript"/>
          <w:lang w:val="fr-FR"/>
        </w:rPr>
        <w:t>o</w:t>
      </w:r>
      <w:r w:rsidR="00C439D5">
        <w:rPr>
          <w:noProof/>
          <w:lang w:val="fr-FR"/>
        </w:rPr>
        <w:t> </w:t>
      </w:r>
      <w:r w:rsidR="005E45E4">
        <w:rPr>
          <w:noProof/>
          <w:lang w:val="fr-FR"/>
        </w:rPr>
        <w:t xml:space="preserve">2) </w:t>
      </w:r>
      <w:r>
        <w:rPr>
          <w:noProof/>
          <w:lang w:val="fr-FR"/>
        </w:rPr>
        <w:t>est entré en vigueur en septembre</w:t>
      </w:r>
      <w:r w:rsidR="001B2F58" w:rsidRPr="00DD03D6">
        <w:rPr>
          <w:noProof/>
          <w:lang w:val="fr-FR"/>
        </w:rPr>
        <w:t xml:space="preserve"> 2007. </w:t>
      </w:r>
      <w:r w:rsidR="00333F22">
        <w:rPr>
          <w:noProof/>
          <w:lang w:val="fr-FR"/>
        </w:rPr>
        <w:t xml:space="preserve">La </w:t>
      </w:r>
      <w:r w:rsidR="0021018A">
        <w:rPr>
          <w:noProof/>
          <w:lang w:val="fr-FR"/>
        </w:rPr>
        <w:t>p</w:t>
      </w:r>
      <w:r w:rsidR="00333F22" w:rsidRPr="00DD03D6">
        <w:rPr>
          <w:noProof/>
          <w:lang w:val="fr-FR"/>
        </w:rPr>
        <w:t>art</w:t>
      </w:r>
      <w:r w:rsidR="00333F22">
        <w:rPr>
          <w:noProof/>
          <w:lang w:val="fr-FR"/>
        </w:rPr>
        <w:t>ie</w:t>
      </w:r>
      <w:r w:rsidR="00333F22" w:rsidRPr="00DD03D6">
        <w:rPr>
          <w:noProof/>
          <w:lang w:val="fr-FR"/>
        </w:rPr>
        <w:t xml:space="preserve"> II, </w:t>
      </w:r>
      <w:r w:rsidR="00333F22">
        <w:rPr>
          <w:noProof/>
          <w:lang w:val="fr-FR"/>
        </w:rPr>
        <w:t>s</w:t>
      </w:r>
      <w:r w:rsidR="00333F22" w:rsidRPr="00DD03D6">
        <w:rPr>
          <w:noProof/>
          <w:lang w:val="fr-FR"/>
        </w:rPr>
        <w:t xml:space="preserve">ection 5 </w:t>
      </w:r>
      <w:r w:rsidR="00333F22">
        <w:rPr>
          <w:noProof/>
          <w:lang w:val="fr-FR"/>
        </w:rPr>
        <w:t xml:space="preserve">du Règlement énonce les principales </w:t>
      </w:r>
      <w:r w:rsidR="001B2F58" w:rsidRPr="00DD03D6">
        <w:rPr>
          <w:noProof/>
          <w:lang w:val="fr-FR"/>
        </w:rPr>
        <w:t xml:space="preserve">obligations </w:t>
      </w:r>
      <w:r w:rsidR="00333F22">
        <w:rPr>
          <w:noProof/>
          <w:lang w:val="fr-FR"/>
        </w:rPr>
        <w:t xml:space="preserve">du spécialiste adulte travaillant dans une garderie, en vertu desquelles l’apprentissage, le développement et le bien-être de chaque enfant doivent être favorisés dans la vie quotidienne du </w:t>
      </w:r>
      <w:r w:rsidR="001B2F58" w:rsidRPr="00DD03D6">
        <w:rPr>
          <w:noProof/>
          <w:lang w:val="fr-FR"/>
        </w:rPr>
        <w:t xml:space="preserve">service </w:t>
      </w:r>
      <w:r w:rsidR="00333F22">
        <w:rPr>
          <w:noProof/>
          <w:lang w:val="fr-FR"/>
        </w:rPr>
        <w:t xml:space="preserve">en offrant à l’enfant les possibilités, les expériences, les activités, l’interaction et les matériels et équipements appropriés compte tenu de son âge et de son stade de développement ainsi que de son </w:t>
      </w:r>
      <w:r w:rsidR="0021018A">
        <w:rPr>
          <w:noProof/>
          <w:lang w:val="fr-FR"/>
        </w:rPr>
        <w:t xml:space="preserve">milieu </w:t>
      </w:r>
      <w:r w:rsidR="00333F22">
        <w:rPr>
          <w:noProof/>
          <w:lang w:val="fr-FR"/>
        </w:rPr>
        <w:t>culturel</w:t>
      </w:r>
      <w:r w:rsidR="001B2F58" w:rsidRPr="00DD03D6">
        <w:rPr>
          <w:noProof/>
          <w:lang w:val="fr-FR"/>
        </w:rPr>
        <w:t>.</w:t>
      </w:r>
    </w:p>
    <w:p w:rsidR="001B2F58" w:rsidRPr="00DD03D6" w:rsidRDefault="001B2F58" w:rsidP="00111EE3">
      <w:pPr>
        <w:pStyle w:val="SingleTxtG"/>
        <w:numPr>
          <w:ilvl w:val="0"/>
          <w:numId w:val="3"/>
        </w:numPr>
        <w:ind w:left="1134" w:firstLine="0"/>
        <w:rPr>
          <w:noProof/>
          <w:lang w:val="fr-FR"/>
        </w:rPr>
      </w:pPr>
      <w:r w:rsidRPr="00DD03D6">
        <w:rPr>
          <w:noProof/>
          <w:lang w:val="fr-FR"/>
        </w:rPr>
        <w:t xml:space="preserve">Síolta, </w:t>
      </w:r>
      <w:r w:rsidR="00333F22">
        <w:rPr>
          <w:noProof/>
          <w:lang w:val="fr-FR"/>
        </w:rPr>
        <w:t>le Cadre n</w:t>
      </w:r>
      <w:r w:rsidRPr="00DD03D6">
        <w:rPr>
          <w:noProof/>
          <w:lang w:val="fr-FR"/>
        </w:rPr>
        <w:t xml:space="preserve">ational </w:t>
      </w:r>
      <w:r w:rsidR="00333F22">
        <w:rPr>
          <w:noProof/>
          <w:lang w:val="fr-FR"/>
        </w:rPr>
        <w:t>de q</w:t>
      </w:r>
      <w:r w:rsidRPr="00DD03D6">
        <w:rPr>
          <w:noProof/>
          <w:lang w:val="fr-FR"/>
        </w:rPr>
        <w:t>ualit</w:t>
      </w:r>
      <w:r w:rsidR="00333F22">
        <w:rPr>
          <w:noProof/>
          <w:lang w:val="fr-FR"/>
        </w:rPr>
        <w:t>é</w:t>
      </w:r>
      <w:r w:rsidRPr="00DD03D6">
        <w:rPr>
          <w:noProof/>
          <w:lang w:val="fr-FR"/>
        </w:rPr>
        <w:t xml:space="preserve"> </w:t>
      </w:r>
      <w:r w:rsidR="00333F22">
        <w:rPr>
          <w:noProof/>
          <w:lang w:val="fr-FR"/>
        </w:rPr>
        <w:t xml:space="preserve">pour l’éducation du jeune enfant, a été élaboré par le </w:t>
      </w:r>
      <w:r w:rsidRPr="00DD03D6">
        <w:rPr>
          <w:noProof/>
          <w:lang w:val="fr-FR"/>
        </w:rPr>
        <w:t xml:space="preserve">Centre </w:t>
      </w:r>
      <w:r w:rsidR="00333F22">
        <w:rPr>
          <w:noProof/>
          <w:lang w:val="fr-FR"/>
        </w:rPr>
        <w:t xml:space="preserve">pour le développement et l’éducation du jeune enfant, qui relève du Ministère de l’éducation et de la formation, et présenté en </w:t>
      </w:r>
      <w:r w:rsidRPr="00DD03D6">
        <w:rPr>
          <w:noProof/>
          <w:lang w:val="fr-FR"/>
        </w:rPr>
        <w:t xml:space="preserve">2006. </w:t>
      </w:r>
      <w:r w:rsidR="00854C8F">
        <w:rPr>
          <w:noProof/>
          <w:lang w:val="fr-FR"/>
        </w:rPr>
        <w:t xml:space="preserve">Il englobe </w:t>
      </w:r>
      <w:r w:rsidRPr="00DD03D6">
        <w:rPr>
          <w:noProof/>
          <w:lang w:val="fr-FR"/>
        </w:rPr>
        <w:t xml:space="preserve">12 </w:t>
      </w:r>
      <w:r w:rsidR="00333F22">
        <w:rPr>
          <w:noProof/>
          <w:lang w:val="fr-FR"/>
        </w:rPr>
        <w:t>princip</w:t>
      </w:r>
      <w:r w:rsidR="009A5E46" w:rsidRPr="00DD03D6">
        <w:rPr>
          <w:noProof/>
          <w:lang w:val="fr-FR"/>
        </w:rPr>
        <w:t xml:space="preserve">es, 16 </w:t>
      </w:r>
      <w:r w:rsidR="00333F22">
        <w:rPr>
          <w:noProof/>
          <w:lang w:val="fr-FR"/>
        </w:rPr>
        <w:t xml:space="preserve">normes </w:t>
      </w:r>
      <w:r w:rsidR="009A5E46" w:rsidRPr="00DD03D6">
        <w:rPr>
          <w:noProof/>
          <w:lang w:val="fr-FR"/>
        </w:rPr>
        <w:t>75 </w:t>
      </w:r>
      <w:r w:rsidR="00854C8F">
        <w:rPr>
          <w:noProof/>
          <w:lang w:val="fr-FR"/>
        </w:rPr>
        <w:t xml:space="preserve">éléments constitutifs de la </w:t>
      </w:r>
      <w:r w:rsidRPr="00DD03D6">
        <w:rPr>
          <w:noProof/>
          <w:lang w:val="fr-FR"/>
        </w:rPr>
        <w:t>qualit</w:t>
      </w:r>
      <w:r w:rsidR="00854C8F">
        <w:rPr>
          <w:noProof/>
          <w:lang w:val="fr-FR"/>
        </w:rPr>
        <w:t>é</w:t>
      </w:r>
      <w:r w:rsidRPr="00DD03D6">
        <w:rPr>
          <w:noProof/>
          <w:lang w:val="fr-FR"/>
        </w:rPr>
        <w:t xml:space="preserve">, </w:t>
      </w:r>
      <w:r w:rsidR="00854C8F">
        <w:rPr>
          <w:noProof/>
          <w:lang w:val="fr-FR"/>
        </w:rPr>
        <w:t>ces derniers comportant chacun un certain nombre d’</w:t>
      </w:r>
      <w:r w:rsidR="00BE5B5E">
        <w:rPr>
          <w:noProof/>
          <w:lang w:val="fr-FR"/>
        </w:rPr>
        <w:t>« </w:t>
      </w:r>
      <w:r w:rsidR="00854C8F">
        <w:rPr>
          <w:noProof/>
          <w:lang w:val="fr-FR"/>
        </w:rPr>
        <w:t>incitations à la réflexion</w:t>
      </w:r>
      <w:r w:rsidR="00BE5B5E">
        <w:rPr>
          <w:noProof/>
          <w:lang w:val="fr-FR"/>
        </w:rPr>
        <w:t> »</w:t>
      </w:r>
      <w:r w:rsidRPr="00DD03D6">
        <w:rPr>
          <w:noProof/>
          <w:lang w:val="fr-FR"/>
        </w:rPr>
        <w:t xml:space="preserve">. </w:t>
      </w:r>
      <w:r w:rsidR="00854C8F">
        <w:rPr>
          <w:noProof/>
          <w:lang w:val="fr-FR"/>
        </w:rPr>
        <w:t xml:space="preserve">Ce Cadre est destiné à être utilisé par tous les prestataires de </w:t>
      </w:r>
      <w:r w:rsidRPr="00DD03D6">
        <w:rPr>
          <w:noProof/>
          <w:lang w:val="fr-FR"/>
        </w:rPr>
        <w:t>service</w:t>
      </w:r>
      <w:r w:rsidR="00854C8F">
        <w:rPr>
          <w:noProof/>
          <w:lang w:val="fr-FR"/>
        </w:rPr>
        <w:t>s</w:t>
      </w:r>
      <w:r w:rsidRPr="00DD03D6">
        <w:rPr>
          <w:noProof/>
          <w:lang w:val="fr-FR"/>
        </w:rPr>
        <w:t xml:space="preserve"> </w:t>
      </w:r>
      <w:r w:rsidR="00854C8F">
        <w:rPr>
          <w:noProof/>
          <w:lang w:val="fr-FR"/>
        </w:rPr>
        <w:t xml:space="preserve">travaillant avec des enfants entre la naissance et l’âge de </w:t>
      </w:r>
      <w:r w:rsidR="00E73B0A">
        <w:rPr>
          <w:noProof/>
          <w:lang w:val="fr-FR"/>
        </w:rPr>
        <w:t>6 </w:t>
      </w:r>
      <w:r w:rsidR="00854C8F">
        <w:rPr>
          <w:noProof/>
          <w:lang w:val="fr-FR"/>
        </w:rPr>
        <w:t>ans</w:t>
      </w:r>
      <w:r w:rsidRPr="00DD03D6">
        <w:rPr>
          <w:noProof/>
          <w:lang w:val="fr-FR"/>
        </w:rPr>
        <w:t xml:space="preserve">, </w:t>
      </w:r>
      <w:r w:rsidR="00854C8F">
        <w:rPr>
          <w:noProof/>
          <w:lang w:val="fr-FR"/>
        </w:rPr>
        <w:t>y compris les services préscolaires</w:t>
      </w:r>
      <w:r w:rsidR="00C27E46">
        <w:rPr>
          <w:noProof/>
          <w:lang w:val="fr-FR"/>
        </w:rPr>
        <w:t xml:space="preserve"> et </w:t>
      </w:r>
      <w:r w:rsidR="006323D3">
        <w:rPr>
          <w:noProof/>
          <w:lang w:val="fr-FR"/>
        </w:rPr>
        <w:t xml:space="preserve">les </w:t>
      </w:r>
      <w:r w:rsidR="006323D3">
        <w:rPr>
          <w:lang w:val="fr-FR"/>
        </w:rPr>
        <w:t>classes pour enfants en bas âge rattachées aux écoles primaires</w:t>
      </w:r>
      <w:r w:rsidRPr="00DD03D6">
        <w:rPr>
          <w:noProof/>
          <w:lang w:val="fr-FR"/>
        </w:rPr>
        <w:t>.</w:t>
      </w:r>
    </w:p>
    <w:p w:rsidR="001B2F58" w:rsidRPr="00DD03D6" w:rsidRDefault="006323D3" w:rsidP="008F0730">
      <w:pPr>
        <w:pStyle w:val="SingleTxtG"/>
        <w:numPr>
          <w:ilvl w:val="0"/>
          <w:numId w:val="3"/>
        </w:numPr>
        <w:ind w:left="1134" w:firstLine="0"/>
        <w:rPr>
          <w:noProof/>
          <w:lang w:val="fr-FR"/>
        </w:rPr>
      </w:pPr>
      <w:r>
        <w:rPr>
          <w:noProof/>
          <w:lang w:val="fr-FR"/>
        </w:rPr>
        <w:t>E</w:t>
      </w:r>
      <w:r w:rsidR="001B2F58" w:rsidRPr="00DD03D6">
        <w:rPr>
          <w:noProof/>
          <w:lang w:val="fr-FR"/>
        </w:rPr>
        <w:t xml:space="preserve">n </w:t>
      </w:r>
      <w:r>
        <w:rPr>
          <w:noProof/>
          <w:lang w:val="fr-FR"/>
        </w:rPr>
        <w:t>o</w:t>
      </w:r>
      <w:r w:rsidR="001B2F58" w:rsidRPr="00DD03D6">
        <w:rPr>
          <w:noProof/>
          <w:lang w:val="fr-FR"/>
        </w:rPr>
        <w:t>cto</w:t>
      </w:r>
      <w:r>
        <w:rPr>
          <w:noProof/>
          <w:lang w:val="fr-FR"/>
        </w:rPr>
        <w:t>bre</w:t>
      </w:r>
      <w:r w:rsidR="001B2F58" w:rsidRPr="00DD03D6">
        <w:rPr>
          <w:noProof/>
          <w:lang w:val="fr-FR"/>
        </w:rPr>
        <w:t xml:space="preserve"> 2009, </w:t>
      </w:r>
      <w:r w:rsidR="00EA7B81">
        <w:rPr>
          <w:noProof/>
          <w:lang w:val="fr-FR"/>
        </w:rPr>
        <w:t>le Conseil n</w:t>
      </w:r>
      <w:r w:rsidR="001B2F58" w:rsidRPr="00DD03D6">
        <w:rPr>
          <w:noProof/>
          <w:lang w:val="fr-FR"/>
        </w:rPr>
        <w:t xml:space="preserve">ational </w:t>
      </w:r>
      <w:r w:rsidR="00EA7B81">
        <w:rPr>
          <w:noProof/>
          <w:lang w:val="fr-FR"/>
        </w:rPr>
        <w:t xml:space="preserve">des programmes et de l’évaluation a publié </w:t>
      </w:r>
      <w:r w:rsidR="001B2F58" w:rsidRPr="00DD03D6">
        <w:rPr>
          <w:i/>
          <w:noProof/>
          <w:lang w:val="fr-FR"/>
        </w:rPr>
        <w:t>Aistear: The Early Childhood Curriculum Framework</w:t>
      </w:r>
      <w:r w:rsidR="00EA7B81">
        <w:rPr>
          <w:i/>
          <w:noProof/>
          <w:lang w:val="fr-FR"/>
        </w:rPr>
        <w:t xml:space="preserve"> </w:t>
      </w:r>
      <w:r w:rsidR="00EA7B81">
        <w:rPr>
          <w:noProof/>
          <w:lang w:val="fr-FR"/>
        </w:rPr>
        <w:t>(cadre des programme</w:t>
      </w:r>
      <w:r w:rsidR="0021018A">
        <w:rPr>
          <w:noProof/>
          <w:lang w:val="fr-FR"/>
        </w:rPr>
        <w:t>s relatifs à la petite enfance)</w:t>
      </w:r>
      <w:r w:rsidR="001B2F58" w:rsidRPr="00DD03D6">
        <w:rPr>
          <w:i/>
          <w:noProof/>
          <w:lang w:val="fr-FR"/>
        </w:rPr>
        <w:t xml:space="preserve">. </w:t>
      </w:r>
      <w:r w:rsidR="001B2F58" w:rsidRPr="00DD03D6">
        <w:rPr>
          <w:iCs/>
          <w:noProof/>
          <w:lang w:val="fr-FR"/>
        </w:rPr>
        <w:t xml:space="preserve">Aistear </w:t>
      </w:r>
      <w:r w:rsidR="00EA7B81">
        <w:rPr>
          <w:iCs/>
          <w:noProof/>
          <w:lang w:val="fr-FR"/>
        </w:rPr>
        <w:t>est destiné à tous les enfants de la naissance à l’âge de six ans et peut être utilisé dans diverses structures d’accueil du jeune enfant, notamment le foyer</w:t>
      </w:r>
      <w:r w:rsidR="00DE77A7">
        <w:rPr>
          <w:iCs/>
          <w:noProof/>
          <w:lang w:val="fr-FR"/>
        </w:rPr>
        <w:t xml:space="preserve"> même</w:t>
      </w:r>
      <w:r w:rsidR="00EA7B81">
        <w:rPr>
          <w:iCs/>
          <w:noProof/>
          <w:lang w:val="fr-FR"/>
        </w:rPr>
        <w:t xml:space="preserve"> de l’enfant, les diverses structures de garde d’enfants, </w:t>
      </w:r>
      <w:r w:rsidR="00730B98">
        <w:rPr>
          <w:iCs/>
          <w:noProof/>
          <w:lang w:val="fr-FR"/>
        </w:rPr>
        <w:t xml:space="preserve">les </w:t>
      </w:r>
      <w:r w:rsidR="00670B75">
        <w:rPr>
          <w:iCs/>
          <w:noProof/>
          <w:lang w:val="fr-FR"/>
        </w:rPr>
        <w:t>vacations</w:t>
      </w:r>
      <w:r w:rsidR="00730B98">
        <w:rPr>
          <w:noProof/>
          <w:lang w:val="fr-FR"/>
        </w:rPr>
        <w:t xml:space="preserve"> et les </w:t>
      </w:r>
      <w:r w:rsidR="00730B98">
        <w:rPr>
          <w:lang w:val="fr-FR"/>
        </w:rPr>
        <w:t>classes pour enfants en</w:t>
      </w:r>
      <w:r w:rsidR="00E73B0A">
        <w:rPr>
          <w:lang w:val="fr-FR"/>
        </w:rPr>
        <w:t xml:space="preserve"> </w:t>
      </w:r>
      <w:r w:rsidR="00730B98">
        <w:rPr>
          <w:lang w:val="fr-FR"/>
        </w:rPr>
        <w:t>bas âge rattachées aux écoles primaires</w:t>
      </w:r>
      <w:r w:rsidR="001B2F58" w:rsidRPr="00DD03D6">
        <w:rPr>
          <w:noProof/>
          <w:lang w:val="fr-FR"/>
        </w:rPr>
        <w:t xml:space="preserve">. </w:t>
      </w:r>
      <w:r w:rsidR="00670B75">
        <w:rPr>
          <w:noProof/>
          <w:lang w:val="fr-FR"/>
        </w:rPr>
        <w:t xml:space="preserve">Ce cadre a été établi à partir d’une intense activité de recherche, de </w:t>
      </w:r>
      <w:r w:rsidR="001B2F58" w:rsidRPr="00DD03D6">
        <w:rPr>
          <w:noProof/>
          <w:lang w:val="fr-FR"/>
        </w:rPr>
        <w:t xml:space="preserve">consultation, </w:t>
      </w:r>
      <w:r w:rsidR="00670B75">
        <w:rPr>
          <w:noProof/>
          <w:lang w:val="fr-FR"/>
        </w:rPr>
        <w:t>de planification et de développement menée par le Conseil n</w:t>
      </w:r>
      <w:r w:rsidR="00670B75" w:rsidRPr="00DD03D6">
        <w:rPr>
          <w:noProof/>
          <w:lang w:val="fr-FR"/>
        </w:rPr>
        <w:t xml:space="preserve">ational </w:t>
      </w:r>
      <w:r w:rsidR="00670B75">
        <w:rPr>
          <w:noProof/>
          <w:lang w:val="fr-FR"/>
        </w:rPr>
        <w:t>des programmes et de l’évaluation en collaboration avec le secteur de l’accueil du jeune enfant</w:t>
      </w:r>
      <w:r w:rsidR="001B2F58" w:rsidRPr="00DD03D6">
        <w:rPr>
          <w:noProof/>
          <w:lang w:val="fr-FR"/>
        </w:rPr>
        <w:t xml:space="preserve">. </w:t>
      </w:r>
      <w:r w:rsidR="00670B75">
        <w:rPr>
          <w:noProof/>
          <w:lang w:val="fr-FR"/>
        </w:rPr>
        <w:t xml:space="preserve">Il </w:t>
      </w:r>
      <w:r w:rsidR="00DE77A7">
        <w:rPr>
          <w:noProof/>
          <w:lang w:val="fr-FR"/>
        </w:rPr>
        <w:t>met en exergue le fait que les enfants apprennent un grand nombre de choses différentes en même temps et il utilise quatre thèmes liés entre eux pour décrire le contenu de l’apprentissage et du développement des enfants : bien-être</w:t>
      </w:r>
      <w:r w:rsidR="001B2F58" w:rsidRPr="00DD03D6">
        <w:rPr>
          <w:noProof/>
          <w:lang w:val="fr-FR"/>
        </w:rPr>
        <w:t>; identit</w:t>
      </w:r>
      <w:r w:rsidR="00DE77A7">
        <w:rPr>
          <w:noProof/>
          <w:lang w:val="fr-FR"/>
        </w:rPr>
        <w:t>é et sentiment d’appartenance</w:t>
      </w:r>
      <w:r w:rsidR="001B2F58" w:rsidRPr="00DD03D6">
        <w:rPr>
          <w:noProof/>
          <w:lang w:val="fr-FR"/>
        </w:rPr>
        <w:t>; communicati</w:t>
      </w:r>
      <w:r w:rsidR="00DE77A7">
        <w:rPr>
          <w:noProof/>
          <w:lang w:val="fr-FR"/>
        </w:rPr>
        <w:t>on; et exploration et réflexion</w:t>
      </w:r>
      <w:r w:rsidR="001B2F58" w:rsidRPr="00DD03D6">
        <w:rPr>
          <w:noProof/>
          <w:lang w:val="fr-FR"/>
        </w:rPr>
        <w:t xml:space="preserve">. Aistear </w:t>
      </w:r>
      <w:r w:rsidR="00DE77A7">
        <w:rPr>
          <w:noProof/>
          <w:lang w:val="fr-FR"/>
        </w:rPr>
        <w:t>entretien</w:t>
      </w:r>
      <w:r w:rsidR="005348AB">
        <w:rPr>
          <w:noProof/>
          <w:lang w:val="fr-FR"/>
        </w:rPr>
        <w:t>t</w:t>
      </w:r>
      <w:r w:rsidR="00DE77A7">
        <w:rPr>
          <w:noProof/>
          <w:lang w:val="fr-FR"/>
        </w:rPr>
        <w:t xml:space="preserve"> des liens à la fois </w:t>
      </w:r>
      <w:r w:rsidR="001B2F58" w:rsidRPr="00DD03D6">
        <w:rPr>
          <w:noProof/>
          <w:lang w:val="fr-FR"/>
        </w:rPr>
        <w:t>implicit</w:t>
      </w:r>
      <w:r w:rsidR="00DE77A7">
        <w:rPr>
          <w:noProof/>
          <w:lang w:val="fr-FR"/>
        </w:rPr>
        <w:t>es</w:t>
      </w:r>
      <w:r w:rsidR="001B2F58" w:rsidRPr="00DD03D6">
        <w:rPr>
          <w:noProof/>
          <w:lang w:val="fr-FR"/>
        </w:rPr>
        <w:t xml:space="preserve"> </w:t>
      </w:r>
      <w:r w:rsidR="00DE77A7">
        <w:rPr>
          <w:noProof/>
          <w:lang w:val="fr-FR"/>
        </w:rPr>
        <w:t>et</w:t>
      </w:r>
      <w:r w:rsidR="001B2F58" w:rsidRPr="00DD03D6">
        <w:rPr>
          <w:noProof/>
          <w:lang w:val="fr-FR"/>
        </w:rPr>
        <w:t xml:space="preserve"> explicit</w:t>
      </w:r>
      <w:r w:rsidR="00DE77A7">
        <w:rPr>
          <w:noProof/>
          <w:lang w:val="fr-FR"/>
        </w:rPr>
        <w:t>es avec le programme d’études primaires et peut jouer un rôle important dans l’examen permanent de ce programme auquel se livre le Conseil n</w:t>
      </w:r>
      <w:r w:rsidR="00DE77A7" w:rsidRPr="00DD03D6">
        <w:rPr>
          <w:noProof/>
          <w:lang w:val="fr-FR"/>
        </w:rPr>
        <w:t xml:space="preserve">ational </w:t>
      </w:r>
      <w:r w:rsidR="00DE77A7">
        <w:rPr>
          <w:noProof/>
          <w:lang w:val="fr-FR"/>
        </w:rPr>
        <w:t xml:space="preserve">des programmes et de l’évaluation et s’agissant d’appuyer la </w:t>
      </w:r>
      <w:r w:rsidR="001B2F58" w:rsidRPr="00DD03D6">
        <w:rPr>
          <w:noProof/>
          <w:lang w:val="fr-FR"/>
        </w:rPr>
        <w:t>continu</w:t>
      </w:r>
      <w:r w:rsidR="00DE77A7">
        <w:rPr>
          <w:noProof/>
          <w:lang w:val="fr-FR"/>
        </w:rPr>
        <w:t>ité</w:t>
      </w:r>
      <w:r w:rsidR="00763D72" w:rsidRPr="00DD03D6">
        <w:rPr>
          <w:noProof/>
          <w:lang w:val="fr-FR"/>
        </w:rPr>
        <w:t xml:space="preserve"> </w:t>
      </w:r>
      <w:r w:rsidR="00DE77A7">
        <w:rPr>
          <w:noProof/>
          <w:lang w:val="fr-FR"/>
        </w:rPr>
        <w:t xml:space="preserve">et la </w:t>
      </w:r>
      <w:r w:rsidR="00763D72" w:rsidRPr="00DD03D6">
        <w:rPr>
          <w:noProof/>
          <w:lang w:val="fr-FR"/>
        </w:rPr>
        <w:t xml:space="preserve">progression </w:t>
      </w:r>
      <w:r w:rsidR="00DE77A7">
        <w:rPr>
          <w:noProof/>
          <w:lang w:val="fr-FR"/>
        </w:rPr>
        <w:t>de l’apprentissage chez les enfants</w:t>
      </w:r>
      <w:r w:rsidR="001B2F58" w:rsidRPr="00DD03D6">
        <w:rPr>
          <w:noProof/>
          <w:lang w:val="fr-FR"/>
        </w:rPr>
        <w:t>.</w:t>
      </w:r>
    </w:p>
    <w:p w:rsidR="001B2F58" w:rsidRPr="00DD03D6" w:rsidRDefault="005348AB" w:rsidP="00111EE3">
      <w:pPr>
        <w:pStyle w:val="SingleTxtG"/>
        <w:numPr>
          <w:ilvl w:val="0"/>
          <w:numId w:val="3"/>
        </w:numPr>
        <w:ind w:left="1134" w:firstLine="0"/>
        <w:rPr>
          <w:noProof/>
          <w:lang w:val="fr-FR"/>
        </w:rPr>
      </w:pPr>
      <w:r>
        <w:rPr>
          <w:noProof/>
          <w:lang w:val="fr-FR"/>
        </w:rPr>
        <w:lastRenderedPageBreak/>
        <w:t>L’</w:t>
      </w:r>
      <w:r w:rsidR="001B2F58" w:rsidRPr="00DD03D6">
        <w:rPr>
          <w:noProof/>
          <w:lang w:val="fr-FR"/>
        </w:rPr>
        <w:t>Inspect</w:t>
      </w:r>
      <w:r>
        <w:rPr>
          <w:noProof/>
          <w:lang w:val="fr-FR"/>
        </w:rPr>
        <w:t xml:space="preserve">ion du Ministère de l’éducation et de la formation et les Services d’inspection </w:t>
      </w:r>
      <w:r w:rsidR="00C316CD">
        <w:rPr>
          <w:noProof/>
          <w:lang w:val="fr-FR"/>
        </w:rPr>
        <w:t>des structures d’accueil des jeunes enfants et d’éducation préscolaire de la Direction des services de santé ont mis au point une approche concertée de l’inspection conjointe des prestations destinées aux enfants dans le cadre de l’année d’éducation préscolaire gratuite prévue dans le programme d’accueil et d’éducation de la petite enfance</w:t>
      </w:r>
      <w:r w:rsidR="001B2F58" w:rsidRPr="00DD03D6">
        <w:rPr>
          <w:noProof/>
          <w:lang w:val="fr-FR"/>
        </w:rPr>
        <w:t xml:space="preserve">. </w:t>
      </w:r>
      <w:r w:rsidR="0067353E">
        <w:rPr>
          <w:noProof/>
          <w:lang w:val="fr-FR"/>
        </w:rPr>
        <w:t xml:space="preserve">Le Ministère de l’éducation et de la formation et la Direction des services de santé ont </w:t>
      </w:r>
      <w:r w:rsidR="005E45E4">
        <w:rPr>
          <w:noProof/>
          <w:lang w:val="fr-FR"/>
        </w:rPr>
        <w:t>expérimenté</w:t>
      </w:r>
      <w:r w:rsidR="0067353E">
        <w:rPr>
          <w:noProof/>
          <w:lang w:val="fr-FR"/>
        </w:rPr>
        <w:t xml:space="preserve"> une inspection conjointe de 15 structures d’accueil des jeunes enfants en </w:t>
      </w:r>
      <w:r w:rsidR="001B2F58" w:rsidRPr="00DD03D6">
        <w:rPr>
          <w:noProof/>
          <w:lang w:val="fr-FR"/>
        </w:rPr>
        <w:t>2011-</w:t>
      </w:r>
      <w:r w:rsidR="00C439D5">
        <w:rPr>
          <w:noProof/>
          <w:lang w:val="fr-FR"/>
        </w:rPr>
        <w:t>20</w:t>
      </w:r>
      <w:r w:rsidR="001B2F58" w:rsidRPr="00DD03D6">
        <w:rPr>
          <w:noProof/>
          <w:lang w:val="fr-FR"/>
        </w:rPr>
        <w:t xml:space="preserve">12. </w:t>
      </w:r>
      <w:r w:rsidR="0067353E">
        <w:rPr>
          <w:noProof/>
          <w:lang w:val="fr-FR"/>
        </w:rPr>
        <w:t>Elle avait pour but de mettre au point une approche efficace destinée à garantir la qualité de tous les aspects de la prestation dans le cadre de l’année d’éducation préscolaire gratuite</w:t>
      </w:r>
      <w:r w:rsidR="001B2F58" w:rsidRPr="00DD03D6">
        <w:rPr>
          <w:noProof/>
          <w:lang w:val="fr-FR"/>
        </w:rPr>
        <w:t>.</w:t>
      </w:r>
      <w:r w:rsidR="0067353E">
        <w:rPr>
          <w:noProof/>
          <w:lang w:val="fr-FR"/>
        </w:rPr>
        <w:t xml:space="preserve"> Le processus d’inspection conjointe</w:t>
      </w:r>
      <w:r w:rsidR="001B2F58" w:rsidRPr="00DD03D6">
        <w:rPr>
          <w:noProof/>
          <w:lang w:val="fr-FR"/>
        </w:rPr>
        <w:t xml:space="preserve"> </w:t>
      </w:r>
      <w:r w:rsidR="0067353E">
        <w:rPr>
          <w:noProof/>
          <w:lang w:val="fr-FR"/>
        </w:rPr>
        <w:t xml:space="preserve">vise également à partager et renforcer l’expertise accumulée par les deux organes d’inspection et à promouvoir une prestation </w:t>
      </w:r>
      <w:r w:rsidR="005E45E4">
        <w:rPr>
          <w:noProof/>
          <w:lang w:val="fr-FR"/>
        </w:rPr>
        <w:t xml:space="preserve">de haute qualité en matière d’accueil et d’éducation des jeunes enfants. Le Ministère de l’éducation et de la formation et le Ministère de l’enfance et de la jeunesse ont entrepris d’examiner les résultats des </w:t>
      </w:r>
      <w:r w:rsidR="001B2F58" w:rsidRPr="00DD03D6">
        <w:rPr>
          <w:noProof/>
          <w:lang w:val="fr-FR"/>
        </w:rPr>
        <w:t xml:space="preserve">inspections </w:t>
      </w:r>
      <w:r w:rsidR="005E45E4">
        <w:rPr>
          <w:noProof/>
          <w:lang w:val="fr-FR"/>
        </w:rPr>
        <w:t>conjointes pilotes, sur lesquels s’appuiera l’élaboration d’un modèle d’exécution approprié pour l’évaluation de la qualité de l’accueil et de l’éducation des jeunes enfants à l’avenir</w:t>
      </w:r>
      <w:r w:rsidR="001B2F58" w:rsidRPr="00DD03D6">
        <w:rPr>
          <w:noProof/>
          <w:lang w:val="fr-FR"/>
        </w:rPr>
        <w:t>.</w:t>
      </w:r>
    </w:p>
    <w:p w:rsidR="001B2F58" w:rsidRPr="00DD03D6" w:rsidRDefault="005E45E4" w:rsidP="008F0730">
      <w:pPr>
        <w:pStyle w:val="SingleTxtG"/>
        <w:numPr>
          <w:ilvl w:val="0"/>
          <w:numId w:val="3"/>
        </w:numPr>
        <w:ind w:left="1134" w:firstLine="0"/>
        <w:rPr>
          <w:noProof/>
          <w:lang w:val="fr-FR"/>
        </w:rPr>
      </w:pPr>
      <w:r>
        <w:rPr>
          <w:noProof/>
          <w:lang w:val="fr-FR"/>
        </w:rPr>
        <w:t>Le Règlement de 2006 sur la protection de l’enfance (services préscolaires) (n</w:t>
      </w:r>
      <w:r w:rsidR="00E73B0A" w:rsidRPr="00E73B0A">
        <w:rPr>
          <w:noProof/>
          <w:vertAlign w:val="superscript"/>
          <w:lang w:val="fr-FR"/>
        </w:rPr>
        <w:t>o</w:t>
      </w:r>
      <w:r w:rsidR="00E73B0A">
        <w:rPr>
          <w:noProof/>
          <w:lang w:val="fr-FR"/>
        </w:rPr>
        <w:t> </w:t>
      </w:r>
      <w:r>
        <w:rPr>
          <w:noProof/>
          <w:lang w:val="fr-FR"/>
        </w:rPr>
        <w:t xml:space="preserve">2) </w:t>
      </w:r>
      <w:r w:rsidR="001B2F58" w:rsidRPr="00DD03D6">
        <w:rPr>
          <w:iCs/>
          <w:noProof/>
          <w:lang w:val="fr-FR"/>
        </w:rPr>
        <w:t>(</w:t>
      </w:r>
      <w:r>
        <w:rPr>
          <w:iCs/>
          <w:noProof/>
          <w:lang w:val="fr-FR"/>
        </w:rPr>
        <w:t xml:space="preserve">voir le </w:t>
      </w:r>
      <w:r w:rsidR="0012600A" w:rsidRPr="00DD03D6">
        <w:rPr>
          <w:iCs/>
          <w:noProof/>
          <w:lang w:val="fr-FR"/>
        </w:rPr>
        <w:t>p</w:t>
      </w:r>
      <w:r w:rsidR="00796A7C" w:rsidRPr="00DD03D6">
        <w:rPr>
          <w:iCs/>
          <w:noProof/>
          <w:lang w:val="fr-FR"/>
        </w:rPr>
        <w:t>ar</w:t>
      </w:r>
      <w:r w:rsidR="00C439D5">
        <w:rPr>
          <w:iCs/>
          <w:noProof/>
          <w:lang w:val="fr-FR"/>
        </w:rPr>
        <w:t>agraphe</w:t>
      </w:r>
      <w:r w:rsidR="00796A7C" w:rsidRPr="00DD03D6">
        <w:rPr>
          <w:iCs/>
          <w:noProof/>
          <w:lang w:val="fr-FR"/>
        </w:rPr>
        <w:t> </w:t>
      </w:r>
      <w:r w:rsidR="0012600A" w:rsidRPr="00DD03D6">
        <w:rPr>
          <w:iCs/>
          <w:noProof/>
          <w:lang w:val="fr-FR"/>
        </w:rPr>
        <w:t>573</w:t>
      </w:r>
      <w:r w:rsidR="001B2F58" w:rsidRPr="00DD03D6">
        <w:rPr>
          <w:iCs/>
          <w:noProof/>
          <w:lang w:val="fr-FR"/>
        </w:rPr>
        <w:t xml:space="preserve">) </w:t>
      </w:r>
      <w:r w:rsidR="0078148B">
        <w:rPr>
          <w:iCs/>
          <w:noProof/>
          <w:lang w:val="fr-FR"/>
        </w:rPr>
        <w:t>fait obligation à tous les services d’éducation préscolaire de mettre en place une procédure de contrôle de tous les membres du personnel, étudiants et bénévoles qui ont accès à un enfant et d’effectuer ce contrôle avant de nommer ou d’affecter l’une quelconque de ces personnes ou de l’autoriser à avoir accès à un enfant dans leurs locaux</w:t>
      </w:r>
      <w:r w:rsidR="001B2F58" w:rsidRPr="00DD03D6">
        <w:rPr>
          <w:noProof/>
          <w:lang w:val="fr-FR"/>
        </w:rPr>
        <w:t>.</w:t>
      </w:r>
    </w:p>
    <w:p w:rsidR="001B2F58" w:rsidRPr="00DD03D6" w:rsidRDefault="0078148B" w:rsidP="0078148B">
      <w:pPr>
        <w:pStyle w:val="H23G"/>
        <w:ind w:firstLine="0"/>
        <w:rPr>
          <w:noProof/>
          <w:lang w:val="fr-FR"/>
        </w:rPr>
      </w:pPr>
      <w:r>
        <w:rPr>
          <w:noProof/>
          <w:lang w:val="fr-FR"/>
        </w:rPr>
        <w:t>Normes concernant les services d’éducation primaire et secondaire</w:t>
      </w:r>
      <w:r w:rsidR="001B2F58" w:rsidRPr="00DD03D6">
        <w:rPr>
          <w:noProof/>
          <w:lang w:val="fr-FR"/>
        </w:rPr>
        <w:t xml:space="preserve"> </w:t>
      </w:r>
    </w:p>
    <w:p w:rsidR="001B2F58" w:rsidRPr="00DD03D6" w:rsidRDefault="009B3304" w:rsidP="00DD7182">
      <w:pPr>
        <w:pStyle w:val="SingleTxtG"/>
        <w:numPr>
          <w:ilvl w:val="0"/>
          <w:numId w:val="3"/>
        </w:numPr>
        <w:ind w:left="1134" w:firstLine="0"/>
        <w:rPr>
          <w:noProof/>
          <w:lang w:val="fr-FR"/>
        </w:rPr>
      </w:pPr>
      <w:r>
        <w:rPr>
          <w:noProof/>
          <w:lang w:val="fr-FR"/>
        </w:rPr>
        <w:t>L’Inspection du Ministère de l’éducation et de la formation exécute des programmes annuels d’</w:t>
      </w:r>
      <w:r w:rsidR="001B2F58" w:rsidRPr="00DD03D6">
        <w:rPr>
          <w:noProof/>
          <w:lang w:val="fr-FR"/>
        </w:rPr>
        <w:t xml:space="preserve">inspection </w:t>
      </w:r>
      <w:r>
        <w:rPr>
          <w:noProof/>
          <w:lang w:val="fr-FR"/>
        </w:rPr>
        <w:t>et d’é</w:t>
      </w:r>
      <w:r w:rsidR="001B2F58" w:rsidRPr="00DD03D6">
        <w:rPr>
          <w:noProof/>
          <w:lang w:val="fr-FR"/>
        </w:rPr>
        <w:t xml:space="preserve">valuation </w:t>
      </w:r>
      <w:r>
        <w:rPr>
          <w:noProof/>
          <w:lang w:val="fr-FR"/>
        </w:rPr>
        <w:t>des écoles, inspections qui comprennent une évaluation globale des écoles primaires et postprimaires</w:t>
      </w:r>
      <w:r w:rsidR="001B2F58" w:rsidRPr="00DD03D6">
        <w:rPr>
          <w:noProof/>
          <w:lang w:val="fr-FR"/>
        </w:rPr>
        <w:t xml:space="preserve">; </w:t>
      </w:r>
      <w:r w:rsidR="00F63103">
        <w:rPr>
          <w:noProof/>
          <w:lang w:val="fr-FR"/>
        </w:rPr>
        <w:t xml:space="preserve">une </w:t>
      </w:r>
      <w:r>
        <w:rPr>
          <w:noProof/>
          <w:lang w:val="fr-FR"/>
        </w:rPr>
        <w:t>i</w:t>
      </w:r>
      <w:r w:rsidR="00F63103">
        <w:rPr>
          <w:noProof/>
          <w:lang w:val="fr-FR"/>
        </w:rPr>
        <w:t>n</w:t>
      </w:r>
      <w:r>
        <w:rPr>
          <w:noProof/>
          <w:lang w:val="fr-FR"/>
        </w:rPr>
        <w:t>spection par matière et une évaluation des</w:t>
      </w:r>
      <w:r w:rsidR="001B2F58" w:rsidRPr="00DD03D6">
        <w:rPr>
          <w:noProof/>
          <w:lang w:val="fr-FR"/>
        </w:rPr>
        <w:t xml:space="preserve"> programmes </w:t>
      </w:r>
      <w:r>
        <w:rPr>
          <w:noProof/>
          <w:lang w:val="fr-FR"/>
        </w:rPr>
        <w:t xml:space="preserve">au niveau </w:t>
      </w:r>
      <w:r w:rsidR="001B2F58" w:rsidRPr="00DD03D6">
        <w:rPr>
          <w:noProof/>
          <w:lang w:val="fr-FR"/>
        </w:rPr>
        <w:t>postprima</w:t>
      </w:r>
      <w:r>
        <w:rPr>
          <w:noProof/>
          <w:lang w:val="fr-FR"/>
        </w:rPr>
        <w:t>ire</w:t>
      </w:r>
      <w:r w:rsidR="001B2F58" w:rsidRPr="00DD03D6">
        <w:rPr>
          <w:noProof/>
          <w:lang w:val="fr-FR"/>
        </w:rPr>
        <w:t xml:space="preserve">; </w:t>
      </w:r>
      <w:r>
        <w:rPr>
          <w:noProof/>
          <w:lang w:val="fr-FR"/>
        </w:rPr>
        <w:t xml:space="preserve">une </w:t>
      </w:r>
      <w:r w:rsidR="001B2F58" w:rsidRPr="00DD03D6">
        <w:rPr>
          <w:noProof/>
          <w:lang w:val="fr-FR"/>
        </w:rPr>
        <w:t xml:space="preserve">inspection </w:t>
      </w:r>
      <w:r>
        <w:rPr>
          <w:noProof/>
          <w:lang w:val="fr-FR"/>
        </w:rPr>
        <w:t>du travail de chaque enseignant</w:t>
      </w:r>
      <w:r w:rsidR="001B2F58" w:rsidRPr="00DD03D6">
        <w:rPr>
          <w:noProof/>
          <w:lang w:val="fr-FR"/>
        </w:rPr>
        <w:t xml:space="preserve">, </w:t>
      </w:r>
      <w:r>
        <w:rPr>
          <w:noProof/>
          <w:lang w:val="fr-FR"/>
        </w:rPr>
        <w:t>y compris des stagiaires</w:t>
      </w:r>
      <w:r w:rsidR="001B2F58" w:rsidRPr="00DD03D6">
        <w:rPr>
          <w:noProof/>
          <w:lang w:val="fr-FR"/>
        </w:rPr>
        <w:t xml:space="preserve">; </w:t>
      </w:r>
      <w:r>
        <w:rPr>
          <w:noProof/>
          <w:lang w:val="fr-FR"/>
        </w:rPr>
        <w:t>et une évaluation ciblée de certains aspects du système</w:t>
      </w:r>
      <w:r w:rsidR="001B2F58" w:rsidRPr="00DD03D6">
        <w:rPr>
          <w:noProof/>
          <w:lang w:val="fr-FR"/>
        </w:rPr>
        <w:t>.</w:t>
      </w:r>
    </w:p>
    <w:p w:rsidR="001B2F58" w:rsidRPr="00DD03D6" w:rsidRDefault="009B3304" w:rsidP="00DD7182">
      <w:pPr>
        <w:pStyle w:val="SingleTxtG"/>
        <w:numPr>
          <w:ilvl w:val="0"/>
          <w:numId w:val="3"/>
        </w:numPr>
        <w:ind w:left="1134" w:firstLine="0"/>
        <w:rPr>
          <w:noProof/>
          <w:lang w:val="fr-FR"/>
        </w:rPr>
      </w:pPr>
      <w:r>
        <w:rPr>
          <w:noProof/>
          <w:lang w:val="fr-FR"/>
        </w:rPr>
        <w:t>C’est au conseil de gestion de l’établissement scolaire qu’incombe la responsa</w:t>
      </w:r>
      <w:r w:rsidR="001B2F58" w:rsidRPr="00DD03D6">
        <w:rPr>
          <w:noProof/>
          <w:lang w:val="fr-FR"/>
        </w:rPr>
        <w:t>bilit</w:t>
      </w:r>
      <w:r>
        <w:rPr>
          <w:noProof/>
          <w:lang w:val="fr-FR"/>
        </w:rPr>
        <w:t>é</w:t>
      </w:r>
      <w:r w:rsidR="001B2F58" w:rsidRPr="00DD03D6">
        <w:rPr>
          <w:noProof/>
          <w:lang w:val="fr-FR"/>
        </w:rPr>
        <w:t xml:space="preserve"> </w:t>
      </w:r>
      <w:r>
        <w:rPr>
          <w:noProof/>
          <w:lang w:val="fr-FR"/>
        </w:rPr>
        <w:t xml:space="preserve">de dispenser une éducation </w:t>
      </w:r>
      <w:r w:rsidR="001B2F58" w:rsidRPr="00DD03D6">
        <w:rPr>
          <w:noProof/>
          <w:lang w:val="fr-FR"/>
        </w:rPr>
        <w:t>appropri</w:t>
      </w:r>
      <w:r>
        <w:rPr>
          <w:noProof/>
          <w:lang w:val="fr-FR"/>
        </w:rPr>
        <w:t>ée à chaque élève</w:t>
      </w:r>
      <w:r w:rsidR="001B2F58" w:rsidRPr="00DD03D6">
        <w:rPr>
          <w:noProof/>
          <w:lang w:val="fr-FR"/>
        </w:rPr>
        <w:t xml:space="preserve">. </w:t>
      </w:r>
      <w:r>
        <w:rPr>
          <w:noProof/>
          <w:lang w:val="fr-FR"/>
        </w:rPr>
        <w:t xml:space="preserve">À partir de l’année scolaire </w:t>
      </w:r>
      <w:r w:rsidR="001B2F58" w:rsidRPr="00DD03D6">
        <w:rPr>
          <w:noProof/>
          <w:lang w:val="fr-FR"/>
        </w:rPr>
        <w:t>2012/</w:t>
      </w:r>
      <w:r>
        <w:rPr>
          <w:noProof/>
          <w:lang w:val="fr-FR"/>
        </w:rPr>
        <w:t>20</w:t>
      </w:r>
      <w:r w:rsidR="001B2F58" w:rsidRPr="00DD03D6">
        <w:rPr>
          <w:noProof/>
          <w:lang w:val="fr-FR"/>
        </w:rPr>
        <w:t xml:space="preserve">13, </w:t>
      </w:r>
      <w:r>
        <w:rPr>
          <w:noProof/>
          <w:lang w:val="fr-FR"/>
        </w:rPr>
        <w:t>toutes les écoles seront censées pratiquer l’autoévaluation</w:t>
      </w:r>
      <w:r w:rsidR="00E648D7">
        <w:rPr>
          <w:noProof/>
          <w:lang w:val="fr-FR"/>
        </w:rPr>
        <w:t xml:space="preserve"> et élaborer des plans d’amélioration</w:t>
      </w:r>
      <w:r w:rsidR="001B2F58" w:rsidRPr="00DD03D6">
        <w:rPr>
          <w:noProof/>
          <w:lang w:val="fr-FR"/>
        </w:rPr>
        <w:t xml:space="preserve">. </w:t>
      </w:r>
      <w:r w:rsidR="00E648D7">
        <w:rPr>
          <w:noProof/>
          <w:lang w:val="fr-FR"/>
        </w:rPr>
        <w:t>L’Inspection a établi et publié un projet de directives pour faciliter cette tâche aux écoles</w:t>
      </w:r>
      <w:r w:rsidR="001B2F58" w:rsidRPr="00DD03D6">
        <w:rPr>
          <w:noProof/>
          <w:lang w:val="fr-FR"/>
        </w:rPr>
        <w:t xml:space="preserve">. </w:t>
      </w:r>
      <w:r w:rsidR="00E648D7">
        <w:rPr>
          <w:noProof/>
          <w:lang w:val="fr-FR"/>
        </w:rPr>
        <w:t>Ces directives fournissent un cadre et des critères d’évaluation pour aider les écoles à s’autoévaluer</w:t>
      </w:r>
      <w:r w:rsidR="001B2F58" w:rsidRPr="00DD03D6">
        <w:rPr>
          <w:noProof/>
          <w:lang w:val="fr-FR"/>
        </w:rPr>
        <w:t xml:space="preserve">. </w:t>
      </w:r>
      <w:r w:rsidR="00E648D7">
        <w:rPr>
          <w:noProof/>
          <w:lang w:val="fr-FR"/>
        </w:rPr>
        <w:t xml:space="preserve">Elles contiennent également </w:t>
      </w:r>
      <w:r w:rsidR="00193648">
        <w:rPr>
          <w:noProof/>
          <w:lang w:val="fr-FR"/>
        </w:rPr>
        <w:t xml:space="preserve">des observations sur la qualité destinées à les aider à inscrire leur pratique dans un </w:t>
      </w:r>
      <w:r w:rsidR="00121D1D">
        <w:rPr>
          <w:noProof/>
          <w:lang w:val="fr-FR"/>
        </w:rPr>
        <w:t>continuum allant des principaux points forts aux principaux points faibles</w:t>
      </w:r>
      <w:r w:rsidR="001B2F58" w:rsidRPr="00DD03D6">
        <w:rPr>
          <w:noProof/>
          <w:lang w:val="fr-FR"/>
        </w:rPr>
        <w:t>.</w:t>
      </w:r>
    </w:p>
    <w:p w:rsidR="001B2F58" w:rsidRPr="00DD03D6" w:rsidRDefault="00121D1D" w:rsidP="00DD7182">
      <w:pPr>
        <w:pStyle w:val="SingleTxtG"/>
        <w:numPr>
          <w:ilvl w:val="0"/>
          <w:numId w:val="3"/>
        </w:numPr>
        <w:ind w:left="1134" w:firstLine="0"/>
        <w:rPr>
          <w:noProof/>
          <w:lang w:val="fr-FR"/>
        </w:rPr>
      </w:pPr>
      <w:r>
        <w:rPr>
          <w:noProof/>
          <w:lang w:val="fr-FR"/>
        </w:rPr>
        <w:t>Le Ministère de l’éducation et de la formation fournit des conseils aux écoles et aux autres structures éducatives en ce qui concerne l’application de la politique de protection de l’enfance sur la base des d</w:t>
      </w:r>
      <w:r>
        <w:rPr>
          <w:iCs/>
          <w:noProof/>
          <w:lang w:val="fr-FR"/>
        </w:rPr>
        <w:t xml:space="preserve">irectives nationales intitulées </w:t>
      </w:r>
      <w:r w:rsidRPr="00FD2518">
        <w:rPr>
          <w:lang w:val="fr-CH"/>
        </w:rPr>
        <w:t>«</w:t>
      </w:r>
      <w:r w:rsidR="00FD2518">
        <w:rPr>
          <w:i/>
          <w:lang w:val="fr-CH"/>
        </w:rPr>
        <w:t> </w:t>
      </w:r>
      <w:r w:rsidRPr="007B3894">
        <w:rPr>
          <w:i/>
          <w:lang w:val="fr-CH"/>
        </w:rPr>
        <w:t>Les enfants d’abord</w:t>
      </w:r>
      <w:r>
        <w:rPr>
          <w:i/>
          <w:lang w:val="fr-CH"/>
        </w:rPr>
        <w:t xml:space="preserve"> </w:t>
      </w:r>
      <w:r w:rsidRPr="007B3894">
        <w:rPr>
          <w:i/>
          <w:lang w:val="fr-CH"/>
        </w:rPr>
        <w:t>: directives nationales pour la protecti</w:t>
      </w:r>
      <w:r>
        <w:rPr>
          <w:i/>
          <w:lang w:val="fr-CH"/>
        </w:rPr>
        <w:t>on et le bien-être des enfants</w:t>
      </w:r>
      <w:r w:rsidR="00FD2518">
        <w:rPr>
          <w:i/>
          <w:lang w:val="fr-CH"/>
        </w:rPr>
        <w:t> </w:t>
      </w:r>
      <w:r w:rsidRPr="00FD2518">
        <w:rPr>
          <w:lang w:val="fr-CH"/>
        </w:rPr>
        <w:t>»</w:t>
      </w:r>
      <w:r w:rsidR="001B2F58" w:rsidRPr="00DD03D6">
        <w:rPr>
          <w:noProof/>
          <w:lang w:val="fr-FR"/>
        </w:rPr>
        <w:t>, r</w:t>
      </w:r>
      <w:r>
        <w:rPr>
          <w:noProof/>
          <w:lang w:val="fr-FR"/>
        </w:rPr>
        <w:t>é</w:t>
      </w:r>
      <w:r w:rsidR="001B2F58" w:rsidRPr="00DD03D6">
        <w:rPr>
          <w:noProof/>
          <w:lang w:val="fr-FR"/>
        </w:rPr>
        <w:t>vis</w:t>
      </w:r>
      <w:r>
        <w:rPr>
          <w:noProof/>
          <w:lang w:val="fr-FR"/>
        </w:rPr>
        <w:t>ées par le Ministère de l’enfance et de la jeunesse en octobre</w:t>
      </w:r>
      <w:r w:rsidR="001B2F58" w:rsidRPr="00DD03D6">
        <w:rPr>
          <w:noProof/>
          <w:lang w:val="fr-FR"/>
        </w:rPr>
        <w:t xml:space="preserve"> 2011 </w:t>
      </w:r>
      <w:r>
        <w:rPr>
          <w:noProof/>
          <w:lang w:val="fr-FR"/>
        </w:rPr>
        <w:t>et diffusées auprès des écoles</w:t>
      </w:r>
      <w:r w:rsidR="001B2F58" w:rsidRPr="00DD03D6">
        <w:rPr>
          <w:noProof/>
          <w:lang w:val="fr-FR"/>
        </w:rPr>
        <w:t>.</w:t>
      </w:r>
    </w:p>
    <w:p w:rsidR="001B2F58" w:rsidRPr="00DD03D6" w:rsidRDefault="00121D1D" w:rsidP="00304021">
      <w:pPr>
        <w:pStyle w:val="SingleTxtG"/>
        <w:numPr>
          <w:ilvl w:val="0"/>
          <w:numId w:val="3"/>
        </w:numPr>
        <w:ind w:left="1134" w:firstLine="0"/>
        <w:rPr>
          <w:noProof/>
          <w:lang w:val="fr-FR"/>
        </w:rPr>
      </w:pPr>
      <w:r>
        <w:rPr>
          <w:noProof/>
          <w:lang w:val="fr-FR"/>
        </w:rPr>
        <w:t>Toutes les personnes appelées à occuper un poste d’enseignant ou un autre poste dans une école doivent faire l’objet d’un</w:t>
      </w:r>
      <w:r w:rsidR="00407481">
        <w:rPr>
          <w:noProof/>
          <w:lang w:val="fr-FR"/>
        </w:rPr>
        <w:t xml:space="preserve">e vérification d’antécédents </w:t>
      </w:r>
      <w:r>
        <w:rPr>
          <w:noProof/>
          <w:lang w:val="fr-FR"/>
        </w:rPr>
        <w:t xml:space="preserve">avant de prendre leurs fonctions, à moins que </w:t>
      </w:r>
      <w:r w:rsidR="00407481">
        <w:rPr>
          <w:noProof/>
          <w:lang w:val="fr-FR"/>
        </w:rPr>
        <w:t>cette vérification</w:t>
      </w:r>
      <w:r>
        <w:rPr>
          <w:noProof/>
          <w:lang w:val="fr-FR"/>
        </w:rPr>
        <w:t xml:space="preserve"> n’ait déjà été effectué</w:t>
      </w:r>
      <w:r w:rsidR="00407481">
        <w:rPr>
          <w:noProof/>
          <w:lang w:val="fr-FR"/>
        </w:rPr>
        <w:t>e</w:t>
      </w:r>
      <w:r>
        <w:rPr>
          <w:noProof/>
          <w:lang w:val="fr-FR"/>
        </w:rPr>
        <w:t xml:space="preserve"> pendant l’année civile en cours ou précédente</w:t>
      </w:r>
      <w:r w:rsidR="001B2F58" w:rsidRPr="00DD03D6">
        <w:rPr>
          <w:noProof/>
          <w:lang w:val="fr-FR"/>
        </w:rPr>
        <w:t xml:space="preserve">. </w:t>
      </w:r>
      <w:r>
        <w:rPr>
          <w:noProof/>
          <w:lang w:val="fr-FR"/>
        </w:rPr>
        <w:t>Ce</w:t>
      </w:r>
      <w:r w:rsidR="00231FA5">
        <w:rPr>
          <w:noProof/>
          <w:lang w:val="fr-FR"/>
        </w:rPr>
        <w:t>tte vérification</w:t>
      </w:r>
      <w:r>
        <w:rPr>
          <w:noProof/>
          <w:lang w:val="fr-FR"/>
        </w:rPr>
        <w:t xml:space="preserve"> est obligatoire pour tous les types de nomination quelle qu’en soit la durée – plein temps, temps partiel ou p</w:t>
      </w:r>
      <w:r w:rsidR="008C1F1C">
        <w:rPr>
          <w:noProof/>
          <w:lang w:val="fr-FR"/>
        </w:rPr>
        <w:t>os</w:t>
      </w:r>
      <w:r>
        <w:rPr>
          <w:noProof/>
          <w:lang w:val="fr-FR"/>
        </w:rPr>
        <w:t>te de remplaçant</w:t>
      </w:r>
      <w:r w:rsidR="001B2F58" w:rsidRPr="00DD03D6">
        <w:rPr>
          <w:noProof/>
          <w:lang w:val="fr-FR"/>
        </w:rPr>
        <w:t xml:space="preserve">. </w:t>
      </w:r>
      <w:r w:rsidR="008C1F1C">
        <w:rPr>
          <w:noProof/>
          <w:lang w:val="fr-FR"/>
        </w:rPr>
        <w:t xml:space="preserve">Les membres du personnel reprenant leurs fonctions auprès du même employeur après une absence d’au moins deux ans doivent également </w:t>
      </w:r>
      <w:r w:rsidR="00231FA5">
        <w:rPr>
          <w:noProof/>
          <w:lang w:val="fr-FR"/>
        </w:rPr>
        <w:t>faire l’objet d’une vérification de ce type</w:t>
      </w:r>
      <w:r w:rsidR="001B2F58" w:rsidRPr="00DD03D6">
        <w:rPr>
          <w:noProof/>
          <w:lang w:val="fr-FR"/>
        </w:rPr>
        <w:t xml:space="preserve">. </w:t>
      </w:r>
    </w:p>
    <w:p w:rsidR="001B2F58" w:rsidRPr="00DD03D6" w:rsidRDefault="009B5193" w:rsidP="008C1F1C">
      <w:pPr>
        <w:pStyle w:val="H23G"/>
        <w:ind w:firstLine="0"/>
        <w:rPr>
          <w:noProof/>
          <w:lang w:val="fr-FR"/>
        </w:rPr>
      </w:pPr>
      <w:r>
        <w:rPr>
          <w:noProof/>
          <w:lang w:val="fr-FR"/>
        </w:rPr>
        <w:lastRenderedPageBreak/>
        <w:t>Éducation</w:t>
      </w:r>
      <w:r w:rsidR="008C1F1C">
        <w:rPr>
          <w:noProof/>
          <w:lang w:val="fr-FR"/>
        </w:rPr>
        <w:t xml:space="preserve"> religieuse </w:t>
      </w:r>
    </w:p>
    <w:p w:rsidR="001B2F58" w:rsidRDefault="00F449B8" w:rsidP="00304021">
      <w:pPr>
        <w:pStyle w:val="SingleTxtG"/>
        <w:numPr>
          <w:ilvl w:val="0"/>
          <w:numId w:val="3"/>
        </w:numPr>
        <w:ind w:left="1134" w:firstLine="0"/>
        <w:rPr>
          <w:noProof/>
          <w:lang w:val="fr-FR"/>
        </w:rPr>
      </w:pPr>
      <w:r>
        <w:rPr>
          <w:noProof/>
          <w:lang w:val="fr-FR"/>
        </w:rPr>
        <w:t>Un nouveau modèle plu</w:t>
      </w:r>
      <w:r w:rsidR="008A72D9">
        <w:rPr>
          <w:noProof/>
          <w:lang w:val="fr-FR"/>
        </w:rPr>
        <w:t>r</w:t>
      </w:r>
      <w:r>
        <w:rPr>
          <w:noProof/>
          <w:lang w:val="fr-FR"/>
        </w:rPr>
        <w:t xml:space="preserve">iconfessionnel de parrainage public au niveau primaire a été adopté en </w:t>
      </w:r>
      <w:r w:rsidR="001B2F58" w:rsidRPr="00DD03D6">
        <w:rPr>
          <w:noProof/>
          <w:lang w:val="fr-FR"/>
        </w:rPr>
        <w:t xml:space="preserve">2008 </w:t>
      </w:r>
      <w:r>
        <w:rPr>
          <w:noProof/>
          <w:lang w:val="fr-FR"/>
        </w:rPr>
        <w:t xml:space="preserve">pour </w:t>
      </w:r>
      <w:r>
        <w:rPr>
          <w:lang w:val="fr-CH"/>
        </w:rPr>
        <w:t>gérer la diversité croissante de la société qui demandait à disposer de plus de choix s’agissant de l’enseignement dispensé dans les établissements primaires</w:t>
      </w:r>
      <w:r w:rsidR="001B2F58" w:rsidRPr="00DD03D6">
        <w:rPr>
          <w:noProof/>
          <w:lang w:val="fr-FR"/>
        </w:rPr>
        <w:t xml:space="preserve">. </w:t>
      </w:r>
      <w:r>
        <w:rPr>
          <w:noProof/>
          <w:lang w:val="fr-FR"/>
        </w:rPr>
        <w:t xml:space="preserve">Les </w:t>
      </w:r>
      <w:r>
        <w:rPr>
          <w:i/>
          <w:noProof/>
          <w:lang w:val="fr-FR"/>
        </w:rPr>
        <w:t>C</w:t>
      </w:r>
      <w:r w:rsidRPr="00F449B8">
        <w:rPr>
          <w:i/>
          <w:noProof/>
          <w:lang w:val="fr-FR"/>
        </w:rPr>
        <w:t>ommunity National Schools</w:t>
      </w:r>
      <w:r w:rsidRPr="00F449B8">
        <w:rPr>
          <w:noProof/>
          <w:lang w:val="fr-FR"/>
        </w:rPr>
        <w:t xml:space="preserve"> (</w:t>
      </w:r>
      <w:r>
        <w:rPr>
          <w:noProof/>
          <w:lang w:val="fr-FR"/>
        </w:rPr>
        <w:t>é</w:t>
      </w:r>
      <w:r w:rsidRPr="00F449B8">
        <w:rPr>
          <w:noProof/>
          <w:lang w:val="fr-FR"/>
        </w:rPr>
        <w:t xml:space="preserve">coles nationales ouvertes à tous) </w:t>
      </w:r>
      <w:r w:rsidR="009B5193">
        <w:rPr>
          <w:lang w:val="fr-CH"/>
        </w:rPr>
        <w:t>visent à assurer la diversité au sein d’un même établissement en mêlant pendant la journée scolaire des élèves issus de familles représentant toutes les croyances, comme de familles non croyantes</w:t>
      </w:r>
      <w:r w:rsidR="001B2F58" w:rsidRPr="00DD03D6">
        <w:rPr>
          <w:noProof/>
          <w:lang w:val="fr-FR"/>
        </w:rPr>
        <w:t xml:space="preserve">. </w:t>
      </w:r>
      <w:r w:rsidR="009B5193">
        <w:rPr>
          <w:lang w:val="fr-CH"/>
        </w:rPr>
        <w:t>Il est prévu que ces établissements fonctionnent sous le parrainage des comités d’enseignement professionnel locaux</w:t>
      </w:r>
      <w:r w:rsidR="001B2F58" w:rsidRPr="00DD03D6">
        <w:rPr>
          <w:noProof/>
          <w:lang w:val="fr-FR"/>
        </w:rPr>
        <w:t xml:space="preserve">, </w:t>
      </w:r>
      <w:r w:rsidR="009B5193">
        <w:rPr>
          <w:noProof/>
          <w:lang w:val="fr-FR"/>
        </w:rPr>
        <w:t xml:space="preserve">dont </w:t>
      </w:r>
      <w:r w:rsidR="00304021" w:rsidRPr="00DD03D6">
        <w:rPr>
          <w:noProof/>
          <w:lang w:val="fr-FR"/>
        </w:rPr>
        <w:t>six</w:t>
      </w:r>
      <w:r w:rsidR="001B2F58" w:rsidRPr="00DD03D6">
        <w:rPr>
          <w:noProof/>
          <w:lang w:val="fr-FR"/>
        </w:rPr>
        <w:t xml:space="preserve"> </w:t>
      </w:r>
      <w:r w:rsidR="009B5193">
        <w:rPr>
          <w:noProof/>
          <w:lang w:val="fr-FR"/>
        </w:rPr>
        <w:t>sont d’ores et déjà en place</w:t>
      </w:r>
      <w:r w:rsidR="001B2F58" w:rsidRPr="00DD03D6">
        <w:rPr>
          <w:noProof/>
          <w:lang w:val="fr-FR"/>
        </w:rPr>
        <w:t xml:space="preserve">. </w:t>
      </w:r>
      <w:r w:rsidR="009B5193">
        <w:rPr>
          <w:lang w:val="fr-CH"/>
        </w:rPr>
        <w:t>Un programme d’éducation religieuse prenant en compte plusieurs croyances, «</w:t>
      </w:r>
      <w:r w:rsidR="00FD2518">
        <w:rPr>
          <w:lang w:val="fr-CH"/>
        </w:rPr>
        <w:t> </w:t>
      </w:r>
      <w:r w:rsidR="009B5193" w:rsidRPr="009B5193">
        <w:rPr>
          <w:i/>
          <w:iCs/>
          <w:noProof/>
          <w:lang w:val="fr-FR"/>
        </w:rPr>
        <w:t>Goodness M</w:t>
      </w:r>
      <w:r w:rsidR="009B5193">
        <w:rPr>
          <w:i/>
          <w:iCs/>
          <w:noProof/>
          <w:lang w:val="fr-CH"/>
        </w:rPr>
        <w:t>e! Goodness You</w:t>
      </w:r>
      <w:r w:rsidR="009B5193">
        <w:rPr>
          <w:i/>
          <w:iCs/>
          <w:lang w:val="fr-CH"/>
        </w:rPr>
        <w:t>!</w:t>
      </w:r>
      <w:r w:rsidR="00FD2518">
        <w:rPr>
          <w:i/>
          <w:iCs/>
          <w:lang w:val="fr-CH"/>
        </w:rPr>
        <w:t> </w:t>
      </w:r>
      <w:r w:rsidR="009B5193">
        <w:rPr>
          <w:lang w:val="fr-CH"/>
        </w:rPr>
        <w:t>», est en cours d’élaboration dans ces établissements, sur le modèle de la recherche-action</w:t>
      </w:r>
      <w:r w:rsidR="001B2F58" w:rsidRPr="00DD03D6">
        <w:rPr>
          <w:noProof/>
          <w:lang w:val="fr-FR"/>
        </w:rPr>
        <w:t>.</w:t>
      </w:r>
    </w:p>
    <w:p w:rsidR="001B2F58" w:rsidRPr="00DD03D6" w:rsidRDefault="009B5193" w:rsidP="00304021">
      <w:pPr>
        <w:pStyle w:val="SingleTxtG"/>
        <w:numPr>
          <w:ilvl w:val="0"/>
          <w:numId w:val="3"/>
        </w:numPr>
        <w:ind w:left="1134" w:firstLine="0"/>
        <w:rPr>
          <w:noProof/>
          <w:lang w:val="fr-FR"/>
        </w:rPr>
      </w:pPr>
      <w:r>
        <w:rPr>
          <w:noProof/>
          <w:lang w:val="fr-FR"/>
        </w:rPr>
        <w:t xml:space="preserve">La </w:t>
      </w:r>
      <w:r w:rsidR="001B2F58" w:rsidRPr="00DD03D6">
        <w:rPr>
          <w:noProof/>
          <w:lang w:val="fr-FR"/>
        </w:rPr>
        <w:t xml:space="preserve">Commission </w:t>
      </w:r>
      <w:r>
        <w:rPr>
          <w:noProof/>
          <w:lang w:val="fr-FR"/>
        </w:rPr>
        <w:t xml:space="preserve">de la carte scolaire </w:t>
      </w:r>
      <w:r w:rsidR="00CB71E3">
        <w:rPr>
          <w:noProof/>
          <w:lang w:val="fr-FR"/>
        </w:rPr>
        <w:t xml:space="preserve">a </w:t>
      </w:r>
      <w:r w:rsidR="00CB71E3">
        <w:rPr>
          <w:lang w:val="fr-CH"/>
        </w:rPr>
        <w:t>procédé à un réexamen des critères et procédures applicables à la création de nouveaux établissements primaires</w:t>
      </w:r>
      <w:r w:rsidR="001B2F58" w:rsidRPr="00DD03D6">
        <w:rPr>
          <w:noProof/>
          <w:lang w:val="fr-FR"/>
        </w:rPr>
        <w:t xml:space="preserve">. </w:t>
      </w:r>
      <w:r w:rsidR="00CB71E3">
        <w:rPr>
          <w:noProof/>
          <w:lang w:val="fr-FR"/>
        </w:rPr>
        <w:t xml:space="preserve">Dans son rapport, publié en février </w:t>
      </w:r>
      <w:r w:rsidR="001B2F58" w:rsidRPr="00DD03D6">
        <w:rPr>
          <w:noProof/>
          <w:lang w:val="fr-FR"/>
        </w:rPr>
        <w:t xml:space="preserve">2011, </w:t>
      </w:r>
      <w:r w:rsidR="00CB71E3">
        <w:rPr>
          <w:noProof/>
          <w:lang w:val="fr-FR"/>
        </w:rPr>
        <w:t xml:space="preserve">elle </w:t>
      </w:r>
      <w:r w:rsidR="00CB71E3">
        <w:rPr>
          <w:lang w:val="fr-CH"/>
        </w:rPr>
        <w:t>recommande un certain nombre de critères et de conditions auxquels devraient satisfaire les groupes qui se portent candidats pour parrainer les nouveaux établissements, et préconise la mise en place d’arrangements en vertu desquels des établissements scolaires parrainés par différents groupes pourraient partager leurs installations</w:t>
      </w:r>
      <w:r w:rsidR="001B2F58" w:rsidRPr="00DD03D6">
        <w:rPr>
          <w:noProof/>
          <w:lang w:val="fr-FR"/>
        </w:rPr>
        <w:t xml:space="preserve">. </w:t>
      </w:r>
      <w:r w:rsidR="00CB71E3">
        <w:rPr>
          <w:noProof/>
          <w:lang w:val="fr-FR"/>
        </w:rPr>
        <w:t>E</w:t>
      </w:r>
      <w:r w:rsidR="001B2F58" w:rsidRPr="00DD03D6">
        <w:rPr>
          <w:noProof/>
          <w:lang w:val="fr-FR"/>
        </w:rPr>
        <w:t xml:space="preserve">n </w:t>
      </w:r>
      <w:r w:rsidR="00CB71E3">
        <w:rPr>
          <w:noProof/>
          <w:lang w:val="fr-FR"/>
        </w:rPr>
        <w:t xml:space="preserve">juin </w:t>
      </w:r>
      <w:r w:rsidR="001B2F58" w:rsidRPr="00DD03D6">
        <w:rPr>
          <w:noProof/>
          <w:lang w:val="fr-FR"/>
        </w:rPr>
        <w:t xml:space="preserve">2011, </w:t>
      </w:r>
      <w:r w:rsidR="00CB71E3">
        <w:rPr>
          <w:lang w:val="fr-CH"/>
        </w:rPr>
        <w:t xml:space="preserve">le Ministre de l’éducation et de la formation a annoncé que 20 nouveaux établissements primaires et 20 nouveaux établissements </w:t>
      </w:r>
      <w:r w:rsidR="00CB71E3" w:rsidRPr="00CB71E3">
        <w:rPr>
          <w:noProof/>
          <w:lang w:val="fr-FR"/>
        </w:rPr>
        <w:t>postprimaires</w:t>
      </w:r>
      <w:r w:rsidR="00CB71E3">
        <w:rPr>
          <w:lang w:val="fr-CH"/>
        </w:rPr>
        <w:t xml:space="preserve"> seraient créés au cours des six années à venir afin de répondre aux besoins d’une population d’enfants d’âge scolaire en augmentation. Il a également annoncé les nouveaux arrangements applicables aux candidatures déposées par les groupes souhaitant parrainer les nouveaux établissements, ainsi que de nouveaux critères pour déterminer </w:t>
      </w:r>
      <w:r w:rsidR="0017264C">
        <w:rPr>
          <w:lang w:val="fr-CH"/>
        </w:rPr>
        <w:t>la forme</w:t>
      </w:r>
      <w:r w:rsidR="00CB71E3">
        <w:rPr>
          <w:lang w:val="fr-CH"/>
        </w:rPr>
        <w:t xml:space="preserve"> de parrainage </w:t>
      </w:r>
      <w:r w:rsidR="0017264C">
        <w:rPr>
          <w:lang w:val="fr-CH"/>
        </w:rPr>
        <w:t xml:space="preserve">qui met particulièrement </w:t>
      </w:r>
      <w:r w:rsidR="00CB71E3">
        <w:rPr>
          <w:lang w:val="fr-CH"/>
        </w:rPr>
        <w:t>l’accent sur la demande de pluralité et de diversité en matière de parrainage exprimée par les parents</w:t>
      </w:r>
      <w:r w:rsidR="001B2F58" w:rsidRPr="00DD03D6">
        <w:rPr>
          <w:noProof/>
          <w:lang w:val="fr-FR"/>
        </w:rPr>
        <w:t>.</w:t>
      </w:r>
    </w:p>
    <w:p w:rsidR="001B2F58" w:rsidRPr="00DD03D6" w:rsidRDefault="0017264C" w:rsidP="00DD7182">
      <w:pPr>
        <w:pStyle w:val="SingleTxtG"/>
        <w:numPr>
          <w:ilvl w:val="0"/>
          <w:numId w:val="3"/>
        </w:numPr>
        <w:ind w:left="1134" w:firstLine="0"/>
        <w:rPr>
          <w:noProof/>
          <w:lang w:val="fr-FR"/>
        </w:rPr>
      </w:pPr>
      <w:r>
        <w:rPr>
          <w:noProof/>
          <w:lang w:val="fr-FR"/>
        </w:rPr>
        <w:t>E</w:t>
      </w:r>
      <w:r w:rsidR="001B2F58" w:rsidRPr="00DD03D6">
        <w:rPr>
          <w:noProof/>
          <w:lang w:val="fr-FR"/>
        </w:rPr>
        <w:t xml:space="preserve">n </w:t>
      </w:r>
      <w:r>
        <w:rPr>
          <w:noProof/>
          <w:lang w:val="fr-FR"/>
        </w:rPr>
        <w:t xml:space="preserve">juin </w:t>
      </w:r>
      <w:r w:rsidR="001B2F58" w:rsidRPr="00DD03D6">
        <w:rPr>
          <w:noProof/>
          <w:lang w:val="fr-FR"/>
        </w:rPr>
        <w:t xml:space="preserve">2011, </w:t>
      </w:r>
      <w:r>
        <w:rPr>
          <w:lang w:val="fr-CH"/>
        </w:rPr>
        <w:t xml:space="preserve">le Ministre de l’éducation et de la formation a annoncé les nouveaux </w:t>
      </w:r>
      <w:r w:rsidR="001B2F58" w:rsidRPr="00DD03D6">
        <w:rPr>
          <w:noProof/>
          <w:lang w:val="fr-FR"/>
        </w:rPr>
        <w:t xml:space="preserve">arrangements </w:t>
      </w:r>
      <w:r>
        <w:rPr>
          <w:noProof/>
          <w:lang w:val="fr-FR"/>
        </w:rPr>
        <w:t xml:space="preserve">applicables aux candidatures </w:t>
      </w:r>
      <w:r>
        <w:rPr>
          <w:lang w:val="fr-CH"/>
        </w:rPr>
        <w:t>déposées par les groupes souhaitant parrainer de nouveaux établissements</w:t>
      </w:r>
      <w:r w:rsidR="001B2F58" w:rsidRPr="00DD03D6">
        <w:rPr>
          <w:noProof/>
          <w:lang w:val="fr-FR"/>
        </w:rPr>
        <w:t xml:space="preserve">. </w:t>
      </w:r>
      <w:r>
        <w:rPr>
          <w:noProof/>
          <w:lang w:val="fr-FR"/>
        </w:rPr>
        <w:t xml:space="preserve">Le nouveau cadre contient les éléments clefs ci-après </w:t>
      </w:r>
      <w:r w:rsidR="001B2F58" w:rsidRPr="00DD03D6">
        <w:rPr>
          <w:noProof/>
          <w:lang w:val="fr-FR"/>
        </w:rPr>
        <w:t>:</w:t>
      </w:r>
    </w:p>
    <w:p w:rsidR="001B2F58" w:rsidRPr="00DD03D6" w:rsidRDefault="00FF2CE5" w:rsidP="00C439D5">
      <w:pPr>
        <w:pStyle w:val="Bullet1G"/>
        <w:tabs>
          <w:tab w:val="clear" w:pos="1701"/>
          <w:tab w:val="left" w:pos="1843"/>
          <w:tab w:val="left" w:pos="6237"/>
        </w:tabs>
        <w:ind w:left="1843" w:hanging="142"/>
        <w:rPr>
          <w:noProof/>
          <w:lang w:val="fr-FR"/>
        </w:rPr>
      </w:pPr>
      <w:r>
        <w:rPr>
          <w:noProof/>
          <w:lang w:val="fr-FR"/>
        </w:rPr>
        <w:t xml:space="preserve">Si les caractéristiques démographiques requièrent la création d’une école, la procédure de </w:t>
      </w:r>
      <w:r w:rsidR="001B2F58" w:rsidRPr="00DD03D6">
        <w:rPr>
          <w:noProof/>
          <w:lang w:val="fr-FR"/>
        </w:rPr>
        <w:t>s</w:t>
      </w:r>
      <w:r>
        <w:rPr>
          <w:noProof/>
          <w:lang w:val="fr-FR"/>
        </w:rPr>
        <w:t>é</w:t>
      </w:r>
      <w:r w:rsidR="001B2F58" w:rsidRPr="00DD03D6">
        <w:rPr>
          <w:noProof/>
          <w:lang w:val="fr-FR"/>
        </w:rPr>
        <w:t xml:space="preserve">lection </w:t>
      </w:r>
      <w:r>
        <w:rPr>
          <w:noProof/>
          <w:lang w:val="fr-FR"/>
        </w:rPr>
        <w:t xml:space="preserve">du </w:t>
      </w:r>
      <w:r w:rsidR="001B2F58" w:rsidRPr="00DD03D6">
        <w:rPr>
          <w:noProof/>
          <w:lang w:val="fr-FR"/>
        </w:rPr>
        <w:t xml:space="preserve">type </w:t>
      </w:r>
      <w:r>
        <w:rPr>
          <w:noProof/>
          <w:lang w:val="fr-FR"/>
        </w:rPr>
        <w:t>d’école doit permettre d’étudier la candidature des différents groupes/organismes se proposant de parrainer la nouvelle école</w:t>
      </w:r>
      <w:r w:rsidR="009A5E46" w:rsidRPr="00DD03D6">
        <w:rPr>
          <w:noProof/>
          <w:lang w:val="fr-FR"/>
        </w:rPr>
        <w:t>;</w:t>
      </w:r>
    </w:p>
    <w:p w:rsidR="001B2F58" w:rsidRPr="00DD03D6" w:rsidRDefault="00FF2CE5" w:rsidP="00C439D5">
      <w:pPr>
        <w:pStyle w:val="Bullet1G"/>
        <w:tabs>
          <w:tab w:val="clear" w:pos="1701"/>
          <w:tab w:val="left" w:pos="1843"/>
          <w:tab w:val="left" w:pos="6237"/>
        </w:tabs>
        <w:ind w:left="1843" w:hanging="142"/>
        <w:rPr>
          <w:noProof/>
          <w:lang w:val="fr-FR"/>
        </w:rPr>
      </w:pPr>
      <w:r>
        <w:rPr>
          <w:noProof/>
          <w:lang w:val="fr-FR"/>
        </w:rPr>
        <w:t>Les groupes/organismes seraient invités à faire acte de candidature</w:t>
      </w:r>
      <w:r w:rsidR="001B2F58" w:rsidRPr="00DD03D6">
        <w:rPr>
          <w:noProof/>
          <w:lang w:val="fr-FR"/>
        </w:rPr>
        <w:t xml:space="preserve">. </w:t>
      </w:r>
      <w:r>
        <w:rPr>
          <w:noProof/>
          <w:lang w:val="fr-FR"/>
        </w:rPr>
        <w:t>Ces candidatures seraient examinées par le Groupe de création des nouve</w:t>
      </w:r>
      <w:r w:rsidR="00231FA5">
        <w:rPr>
          <w:noProof/>
          <w:lang w:val="fr-FR"/>
        </w:rPr>
        <w:t>aux</w:t>
      </w:r>
      <w:r>
        <w:rPr>
          <w:noProof/>
          <w:lang w:val="fr-FR"/>
        </w:rPr>
        <w:t xml:space="preserve"> établissements, qui soumettrait au Ministre un rapport assorti de recomma</w:t>
      </w:r>
      <w:r w:rsidR="001B2F58" w:rsidRPr="00DD03D6">
        <w:rPr>
          <w:noProof/>
          <w:lang w:val="fr-FR"/>
        </w:rPr>
        <w:t xml:space="preserve">ndations </w:t>
      </w:r>
      <w:r>
        <w:rPr>
          <w:noProof/>
          <w:lang w:val="fr-FR"/>
        </w:rPr>
        <w:t>pour examen</w:t>
      </w:r>
      <w:r w:rsidR="001B2F58" w:rsidRPr="00DD03D6">
        <w:rPr>
          <w:noProof/>
          <w:lang w:val="fr-FR"/>
        </w:rPr>
        <w:t>.</w:t>
      </w:r>
    </w:p>
    <w:p w:rsidR="001B2F58" w:rsidRPr="00DD03D6" w:rsidRDefault="00FF2CE5" w:rsidP="00DD7182">
      <w:pPr>
        <w:pStyle w:val="SingleTxtG"/>
        <w:numPr>
          <w:ilvl w:val="0"/>
          <w:numId w:val="3"/>
        </w:numPr>
        <w:ind w:left="1134" w:firstLine="0"/>
        <w:rPr>
          <w:noProof/>
          <w:lang w:val="fr-FR"/>
        </w:rPr>
      </w:pPr>
      <w:r>
        <w:rPr>
          <w:noProof/>
          <w:lang w:val="fr-FR"/>
        </w:rPr>
        <w:t>E</w:t>
      </w:r>
      <w:r w:rsidR="001B2F58" w:rsidRPr="00DD03D6">
        <w:rPr>
          <w:noProof/>
          <w:lang w:val="fr-FR"/>
        </w:rPr>
        <w:t xml:space="preserve">n </w:t>
      </w:r>
      <w:r>
        <w:rPr>
          <w:noProof/>
          <w:lang w:val="fr-FR"/>
        </w:rPr>
        <w:t xml:space="preserve">mars </w:t>
      </w:r>
      <w:r w:rsidR="001B2F58" w:rsidRPr="00DD03D6">
        <w:rPr>
          <w:noProof/>
          <w:lang w:val="fr-FR"/>
        </w:rPr>
        <w:t xml:space="preserve">2012, </w:t>
      </w:r>
      <w:r>
        <w:rPr>
          <w:noProof/>
          <w:lang w:val="fr-FR"/>
        </w:rPr>
        <w:t xml:space="preserve">le </w:t>
      </w:r>
      <w:r>
        <w:rPr>
          <w:lang w:val="fr-CH"/>
        </w:rPr>
        <w:t xml:space="preserve">Ministre de l’éducation et de la formation a annoncé les groupes qui avaient été choisis pour parrainer les nouvelles écoles primaires à créer en </w:t>
      </w:r>
      <w:r w:rsidR="001B2F58" w:rsidRPr="00DD03D6">
        <w:rPr>
          <w:noProof/>
          <w:lang w:val="fr-FR"/>
        </w:rPr>
        <w:t xml:space="preserve">2012 </w:t>
      </w:r>
      <w:r>
        <w:rPr>
          <w:noProof/>
          <w:lang w:val="fr-FR"/>
        </w:rPr>
        <w:t>et</w:t>
      </w:r>
      <w:r w:rsidR="001B2F58" w:rsidRPr="00DD03D6">
        <w:rPr>
          <w:noProof/>
          <w:lang w:val="fr-FR"/>
        </w:rPr>
        <w:t xml:space="preserve"> 2013. </w:t>
      </w:r>
      <w:r w:rsidR="00DB4DCF">
        <w:rPr>
          <w:noProof/>
          <w:lang w:val="fr-FR"/>
        </w:rPr>
        <w:t xml:space="preserve">Ce sont </w:t>
      </w:r>
      <w:r w:rsidR="001B2F58" w:rsidRPr="00DD03D6">
        <w:rPr>
          <w:noProof/>
          <w:lang w:val="fr-FR"/>
        </w:rPr>
        <w:t>Educate Together, An Foras Pátrúnachta (</w:t>
      </w:r>
      <w:r w:rsidR="00DB4DCF">
        <w:rPr>
          <w:noProof/>
          <w:lang w:val="fr-FR"/>
        </w:rPr>
        <w:t>l’organisme de parrainage de nombreuses écoles irlandophones</w:t>
      </w:r>
      <w:r w:rsidR="001B2F58" w:rsidRPr="00DD03D6">
        <w:rPr>
          <w:noProof/>
          <w:lang w:val="fr-FR"/>
        </w:rPr>
        <w:t xml:space="preserve">) </w:t>
      </w:r>
      <w:r w:rsidR="00DB4DCF">
        <w:rPr>
          <w:noProof/>
          <w:lang w:val="fr-FR"/>
        </w:rPr>
        <w:t xml:space="preserve">et le </w:t>
      </w:r>
      <w:r w:rsidR="00231FA5">
        <w:rPr>
          <w:noProof/>
          <w:lang w:val="fr-FR"/>
        </w:rPr>
        <w:t>c</w:t>
      </w:r>
      <w:r w:rsidR="00DB4DCF">
        <w:rPr>
          <w:noProof/>
          <w:lang w:val="fr-FR"/>
        </w:rPr>
        <w:t>omité pour l’</w:t>
      </w:r>
      <w:r w:rsidR="008A72D9">
        <w:rPr>
          <w:noProof/>
          <w:lang w:val="fr-FR"/>
        </w:rPr>
        <w:t>enseig</w:t>
      </w:r>
      <w:r w:rsidR="00DB4DCF">
        <w:rPr>
          <w:noProof/>
          <w:lang w:val="fr-FR"/>
        </w:rPr>
        <w:t>nement professionnel</w:t>
      </w:r>
      <w:r w:rsidR="001B2F58" w:rsidRPr="00DD03D6">
        <w:rPr>
          <w:noProof/>
          <w:lang w:val="fr-FR"/>
        </w:rPr>
        <w:t xml:space="preserve">. </w:t>
      </w:r>
      <w:r w:rsidR="008A72D9">
        <w:rPr>
          <w:noProof/>
          <w:lang w:val="fr-FR"/>
        </w:rPr>
        <w:t xml:space="preserve">Il a été décidé en juillet </w:t>
      </w:r>
      <w:r w:rsidR="001B2F58" w:rsidRPr="00DD03D6">
        <w:rPr>
          <w:noProof/>
          <w:lang w:val="fr-FR"/>
        </w:rPr>
        <w:t xml:space="preserve">2012 </w:t>
      </w:r>
      <w:r w:rsidR="008A72D9">
        <w:rPr>
          <w:noProof/>
          <w:lang w:val="fr-FR"/>
        </w:rPr>
        <w:t xml:space="preserve">d’ouvrir </w:t>
      </w:r>
      <w:r w:rsidR="001B2F58" w:rsidRPr="00DD03D6">
        <w:rPr>
          <w:noProof/>
          <w:lang w:val="fr-FR"/>
        </w:rPr>
        <w:t xml:space="preserve">14 </w:t>
      </w:r>
      <w:r w:rsidR="008A72D9">
        <w:rPr>
          <w:noProof/>
          <w:lang w:val="fr-FR"/>
        </w:rPr>
        <w:t xml:space="preserve">écoles </w:t>
      </w:r>
      <w:r w:rsidR="001B2F58" w:rsidRPr="00DD03D6">
        <w:rPr>
          <w:noProof/>
          <w:lang w:val="fr-FR"/>
        </w:rPr>
        <w:t>p</w:t>
      </w:r>
      <w:r w:rsidR="008A72D9">
        <w:rPr>
          <w:noProof/>
          <w:lang w:val="fr-FR"/>
        </w:rPr>
        <w:t xml:space="preserve">ostprimaires en </w:t>
      </w:r>
      <w:r w:rsidR="001B2F58" w:rsidRPr="00DD03D6">
        <w:rPr>
          <w:noProof/>
          <w:lang w:val="fr-FR"/>
        </w:rPr>
        <w:t xml:space="preserve">2013 </w:t>
      </w:r>
      <w:r w:rsidR="008A72D9">
        <w:rPr>
          <w:noProof/>
          <w:lang w:val="fr-FR"/>
        </w:rPr>
        <w:t>et</w:t>
      </w:r>
      <w:r w:rsidR="001B2F58" w:rsidRPr="00DD03D6">
        <w:rPr>
          <w:noProof/>
          <w:lang w:val="fr-FR"/>
        </w:rPr>
        <w:t xml:space="preserve"> 2014. </w:t>
      </w:r>
      <w:r w:rsidR="008A72D9">
        <w:rPr>
          <w:noProof/>
          <w:lang w:val="fr-FR"/>
        </w:rPr>
        <w:t>Les organismes ayant obtenu un parrainage ont été des organismes d’obédience catholique, relevant de l’Église d’</w:t>
      </w:r>
      <w:r w:rsidR="00231FA5">
        <w:rPr>
          <w:noProof/>
          <w:lang w:val="fr-FR"/>
        </w:rPr>
        <w:t>Irlande ou</w:t>
      </w:r>
      <w:r w:rsidR="008A72D9">
        <w:rPr>
          <w:noProof/>
          <w:lang w:val="fr-FR"/>
        </w:rPr>
        <w:t xml:space="preserve"> pluriconfessionnels et </w:t>
      </w:r>
      <w:r w:rsidR="00231FA5">
        <w:rPr>
          <w:noProof/>
          <w:lang w:val="fr-FR"/>
        </w:rPr>
        <w:t xml:space="preserve">des </w:t>
      </w:r>
      <w:r w:rsidR="001B2F58" w:rsidRPr="00DD03D6">
        <w:rPr>
          <w:noProof/>
          <w:lang w:val="fr-FR"/>
        </w:rPr>
        <w:t>Gaelcholáistí (</w:t>
      </w:r>
      <w:r w:rsidR="008A72D9">
        <w:rPr>
          <w:noProof/>
          <w:lang w:val="fr-FR"/>
        </w:rPr>
        <w:t>écoles secondaires irlandophones</w:t>
      </w:r>
      <w:r w:rsidR="001B2F58" w:rsidRPr="00DD03D6">
        <w:rPr>
          <w:noProof/>
          <w:lang w:val="fr-FR"/>
        </w:rPr>
        <w:t>).</w:t>
      </w:r>
    </w:p>
    <w:p w:rsidR="001B2F58" w:rsidRPr="00DD03D6" w:rsidRDefault="001B2F58" w:rsidP="008A72D9">
      <w:pPr>
        <w:pStyle w:val="H23G"/>
        <w:ind w:firstLine="0"/>
        <w:rPr>
          <w:noProof/>
          <w:lang w:val="fr-FR"/>
        </w:rPr>
      </w:pPr>
      <w:r w:rsidRPr="00DD03D6">
        <w:rPr>
          <w:noProof/>
          <w:lang w:val="fr-FR"/>
        </w:rPr>
        <w:t>Invest</w:t>
      </w:r>
      <w:r w:rsidR="008A72D9">
        <w:rPr>
          <w:noProof/>
          <w:lang w:val="fr-FR"/>
        </w:rPr>
        <w:t>isse</w:t>
      </w:r>
      <w:r w:rsidR="00231FA5">
        <w:rPr>
          <w:noProof/>
          <w:lang w:val="fr-FR"/>
        </w:rPr>
        <w:t>men</w:t>
      </w:r>
      <w:r w:rsidR="008A72D9">
        <w:rPr>
          <w:noProof/>
          <w:lang w:val="fr-FR"/>
        </w:rPr>
        <w:t xml:space="preserve">t dans les TIC </w:t>
      </w:r>
    </w:p>
    <w:p w:rsidR="001B2F58" w:rsidRPr="00DD03D6" w:rsidRDefault="008A72D9" w:rsidP="00EF11F2">
      <w:pPr>
        <w:pStyle w:val="SingleTxtG"/>
        <w:numPr>
          <w:ilvl w:val="0"/>
          <w:numId w:val="3"/>
        </w:numPr>
        <w:ind w:left="1134" w:firstLine="0"/>
        <w:rPr>
          <w:noProof/>
          <w:lang w:val="fr-FR"/>
        </w:rPr>
      </w:pPr>
      <w:r>
        <w:rPr>
          <w:noProof/>
          <w:lang w:val="fr-FR"/>
        </w:rPr>
        <w:t xml:space="preserve">Entre </w:t>
      </w:r>
      <w:r w:rsidR="001B2F58" w:rsidRPr="00DD03D6">
        <w:rPr>
          <w:noProof/>
          <w:lang w:val="fr-FR"/>
        </w:rPr>
        <w:t xml:space="preserve">2006 </w:t>
      </w:r>
      <w:r>
        <w:rPr>
          <w:noProof/>
          <w:lang w:val="fr-FR"/>
        </w:rPr>
        <w:t>et</w:t>
      </w:r>
      <w:r w:rsidR="001B2F58" w:rsidRPr="00DD03D6">
        <w:rPr>
          <w:noProof/>
          <w:lang w:val="fr-FR"/>
        </w:rPr>
        <w:t xml:space="preserve"> 2010, </w:t>
      </w:r>
      <w:r>
        <w:rPr>
          <w:noProof/>
          <w:lang w:val="fr-FR"/>
        </w:rPr>
        <w:t xml:space="preserve">quelque </w:t>
      </w:r>
      <w:r w:rsidR="001B2F58" w:rsidRPr="00DD03D6">
        <w:rPr>
          <w:noProof/>
          <w:lang w:val="fr-FR"/>
        </w:rPr>
        <w:t>95 million</w:t>
      </w:r>
      <w:r>
        <w:rPr>
          <w:noProof/>
          <w:lang w:val="fr-FR"/>
        </w:rPr>
        <w:t xml:space="preserve">s d’euros de subventions </w:t>
      </w:r>
      <w:r w:rsidR="00894F05">
        <w:rPr>
          <w:noProof/>
          <w:lang w:val="fr-FR"/>
        </w:rPr>
        <w:t>au titre des TIC « décentralisées » ont été distribuées aux écoles dans le cadre du programme relatif aux TIC en milieu scolair</w:t>
      </w:r>
      <w:r w:rsidR="001B2F58" w:rsidRPr="00DD03D6">
        <w:rPr>
          <w:noProof/>
          <w:lang w:val="fr-FR"/>
        </w:rPr>
        <w:t xml:space="preserve">e, </w:t>
      </w:r>
      <w:r w:rsidR="00894F05">
        <w:rPr>
          <w:noProof/>
          <w:lang w:val="fr-FR"/>
        </w:rPr>
        <w:t xml:space="preserve">dont </w:t>
      </w:r>
      <w:r w:rsidR="001B2F58" w:rsidRPr="00DD03D6">
        <w:rPr>
          <w:noProof/>
          <w:lang w:val="fr-FR"/>
        </w:rPr>
        <w:t>92 million</w:t>
      </w:r>
      <w:r w:rsidR="00894F05">
        <w:rPr>
          <w:noProof/>
          <w:lang w:val="fr-FR"/>
        </w:rPr>
        <w:t>s ont été fournis entre n</w:t>
      </w:r>
      <w:r w:rsidR="001B2F58" w:rsidRPr="00DD03D6">
        <w:rPr>
          <w:noProof/>
          <w:lang w:val="fr-FR"/>
        </w:rPr>
        <w:t>ovemb</w:t>
      </w:r>
      <w:r w:rsidR="00894F05">
        <w:rPr>
          <w:noProof/>
          <w:lang w:val="fr-FR"/>
        </w:rPr>
        <w:t>re</w:t>
      </w:r>
      <w:r w:rsidR="001B2F58" w:rsidRPr="00DD03D6">
        <w:rPr>
          <w:noProof/>
          <w:lang w:val="fr-FR"/>
        </w:rPr>
        <w:t xml:space="preserve"> 2009 </w:t>
      </w:r>
      <w:r w:rsidR="00894F05">
        <w:rPr>
          <w:noProof/>
          <w:lang w:val="fr-FR"/>
        </w:rPr>
        <w:t>et décembre</w:t>
      </w:r>
      <w:r w:rsidR="001B2F58" w:rsidRPr="00DD03D6">
        <w:rPr>
          <w:noProof/>
          <w:lang w:val="fr-FR"/>
        </w:rPr>
        <w:t xml:space="preserve"> 2010 </w:t>
      </w:r>
      <w:r w:rsidR="00894F05">
        <w:rPr>
          <w:noProof/>
          <w:lang w:val="fr-FR"/>
        </w:rPr>
        <w:t xml:space="preserve">au titre du </w:t>
      </w:r>
      <w:r w:rsidR="00151028">
        <w:rPr>
          <w:noProof/>
          <w:lang w:val="fr-FR"/>
        </w:rPr>
        <w:t xml:space="preserve">plus récent </w:t>
      </w:r>
      <w:r w:rsidR="00894F05">
        <w:rPr>
          <w:noProof/>
          <w:lang w:val="fr-FR"/>
        </w:rPr>
        <w:t>programme de subventions pour les infrastructures de TIC</w:t>
      </w:r>
      <w:r w:rsidR="001B2F58" w:rsidRPr="00DD03D6">
        <w:rPr>
          <w:noProof/>
          <w:lang w:val="fr-FR"/>
        </w:rPr>
        <w:t xml:space="preserve">. </w:t>
      </w:r>
      <w:r w:rsidR="00894F05">
        <w:rPr>
          <w:noProof/>
          <w:lang w:val="fr-FR"/>
        </w:rPr>
        <w:t>Outre le programme relatif aux TIC en milieu scolair</w:t>
      </w:r>
      <w:r w:rsidR="00894F05" w:rsidRPr="00DD03D6">
        <w:rPr>
          <w:noProof/>
          <w:lang w:val="fr-FR"/>
        </w:rPr>
        <w:t>e</w:t>
      </w:r>
      <w:r w:rsidR="00894F05">
        <w:rPr>
          <w:noProof/>
          <w:lang w:val="fr-FR"/>
        </w:rPr>
        <w:t xml:space="preserve">, des investissements ciblés dans des </w:t>
      </w:r>
      <w:r w:rsidR="001B2F58" w:rsidRPr="00DD03D6">
        <w:rPr>
          <w:noProof/>
          <w:lang w:val="fr-FR"/>
        </w:rPr>
        <w:lastRenderedPageBreak/>
        <w:t>infrastructure</w:t>
      </w:r>
      <w:r w:rsidR="00894F05">
        <w:rPr>
          <w:noProof/>
          <w:lang w:val="fr-FR"/>
        </w:rPr>
        <w:t>s de ce type ont été consentis par le Ministère de l’éducation et de la formation dans le contexte du programme de construction d’écoles</w:t>
      </w:r>
      <w:r w:rsidR="001B2F58" w:rsidRPr="00DD03D6">
        <w:rPr>
          <w:noProof/>
          <w:lang w:val="fr-FR"/>
        </w:rPr>
        <w:t xml:space="preserve"> (</w:t>
      </w:r>
      <w:r w:rsidR="00894F05">
        <w:rPr>
          <w:noProof/>
          <w:lang w:val="fr-FR"/>
        </w:rPr>
        <w:t xml:space="preserve">voir le </w:t>
      </w:r>
      <w:r w:rsidR="00502C29" w:rsidRPr="00DD03D6">
        <w:rPr>
          <w:noProof/>
          <w:lang w:val="fr-FR"/>
        </w:rPr>
        <w:t>p</w:t>
      </w:r>
      <w:r w:rsidR="00796A7C" w:rsidRPr="00DD03D6">
        <w:rPr>
          <w:noProof/>
          <w:lang w:val="fr-FR"/>
        </w:rPr>
        <w:t>ar</w:t>
      </w:r>
      <w:r w:rsidR="00C439D5">
        <w:rPr>
          <w:noProof/>
          <w:lang w:val="fr-FR"/>
        </w:rPr>
        <w:t>agraphe</w:t>
      </w:r>
      <w:r w:rsidR="00796A7C" w:rsidRPr="00DD03D6">
        <w:rPr>
          <w:noProof/>
          <w:lang w:val="fr-FR"/>
        </w:rPr>
        <w:t> </w:t>
      </w:r>
      <w:r w:rsidR="00502C29" w:rsidRPr="00DD03D6">
        <w:rPr>
          <w:noProof/>
          <w:lang w:val="fr-FR"/>
        </w:rPr>
        <w:t>571</w:t>
      </w:r>
      <w:r w:rsidR="001B2F58" w:rsidRPr="00DD03D6">
        <w:rPr>
          <w:noProof/>
          <w:lang w:val="fr-FR"/>
        </w:rPr>
        <w:t xml:space="preserve">) </w:t>
      </w:r>
      <w:r w:rsidR="00894F05">
        <w:rPr>
          <w:noProof/>
          <w:lang w:val="fr-FR"/>
        </w:rPr>
        <w:t>et la mise en place de nouvelles matières technologiques dans l’enseignement secondaire</w:t>
      </w:r>
      <w:r w:rsidR="001B2F58" w:rsidRPr="00DD03D6">
        <w:rPr>
          <w:noProof/>
          <w:lang w:val="fr-FR"/>
        </w:rPr>
        <w:t xml:space="preserve">. </w:t>
      </w:r>
      <w:r w:rsidR="00894F05">
        <w:rPr>
          <w:noProof/>
          <w:lang w:val="fr-FR"/>
        </w:rPr>
        <w:t xml:space="preserve">Entre </w:t>
      </w:r>
      <w:r w:rsidR="001B2F58" w:rsidRPr="00DD03D6">
        <w:rPr>
          <w:noProof/>
          <w:lang w:val="fr-FR"/>
        </w:rPr>
        <w:t xml:space="preserve">2006 </w:t>
      </w:r>
      <w:r w:rsidR="00894F05">
        <w:rPr>
          <w:noProof/>
          <w:lang w:val="fr-FR"/>
        </w:rPr>
        <w:t xml:space="preserve">et 2011, </w:t>
      </w:r>
      <w:r w:rsidR="001B2F58" w:rsidRPr="00DD03D6">
        <w:rPr>
          <w:noProof/>
          <w:lang w:val="fr-FR"/>
        </w:rPr>
        <w:t>26 million</w:t>
      </w:r>
      <w:r w:rsidR="00894F05">
        <w:rPr>
          <w:noProof/>
          <w:lang w:val="fr-FR"/>
        </w:rPr>
        <w:t xml:space="preserve">s d’euros ont été fournis au titre du matériel et </w:t>
      </w:r>
      <w:r w:rsidR="001B2F58" w:rsidRPr="00DD03D6">
        <w:rPr>
          <w:noProof/>
          <w:lang w:val="fr-FR"/>
        </w:rPr>
        <w:t>16 million</w:t>
      </w:r>
      <w:r w:rsidR="00894F05">
        <w:rPr>
          <w:noProof/>
          <w:lang w:val="fr-FR"/>
        </w:rPr>
        <w:t>s d’euros supplémentaires au titre du matériel de TIC</w:t>
      </w:r>
      <w:r w:rsidR="001B2F58" w:rsidRPr="00DD03D6">
        <w:rPr>
          <w:noProof/>
          <w:lang w:val="fr-FR"/>
        </w:rPr>
        <w:t xml:space="preserve">, </w:t>
      </w:r>
      <w:r w:rsidR="00894F05">
        <w:rPr>
          <w:noProof/>
          <w:lang w:val="fr-FR"/>
        </w:rPr>
        <w:t>aux fins de la révision de deux matières du second cycle du secondaire, à savoir la conception et les c</w:t>
      </w:r>
      <w:r w:rsidR="001B2F58" w:rsidRPr="00DD03D6">
        <w:rPr>
          <w:noProof/>
          <w:lang w:val="fr-FR"/>
        </w:rPr>
        <w:t xml:space="preserve">ommunications </w:t>
      </w:r>
      <w:r w:rsidR="00894F05">
        <w:rPr>
          <w:noProof/>
          <w:lang w:val="fr-FR"/>
        </w:rPr>
        <w:t>et la technologie</w:t>
      </w:r>
      <w:r w:rsidR="001B2F58" w:rsidRPr="00DD03D6">
        <w:rPr>
          <w:noProof/>
          <w:lang w:val="fr-FR"/>
        </w:rPr>
        <w:t>.</w:t>
      </w:r>
    </w:p>
    <w:p w:rsidR="001B2F58" w:rsidRPr="00DD03D6" w:rsidRDefault="00F37CBC" w:rsidP="00DD7182">
      <w:pPr>
        <w:pStyle w:val="SingleTxtG"/>
        <w:numPr>
          <w:ilvl w:val="0"/>
          <w:numId w:val="3"/>
        </w:numPr>
        <w:ind w:left="1134" w:firstLine="0"/>
        <w:rPr>
          <w:noProof/>
          <w:lang w:val="fr-FR"/>
        </w:rPr>
      </w:pPr>
      <w:r>
        <w:rPr>
          <w:noProof/>
          <w:lang w:val="fr-FR"/>
        </w:rPr>
        <w:t xml:space="preserve">Le Ministère de l’éducation et de la formation finance également le </w:t>
      </w:r>
      <w:r w:rsidR="0062599C" w:rsidRPr="0062599C">
        <w:rPr>
          <w:noProof/>
          <w:lang w:val="fr-FR"/>
        </w:rPr>
        <w:t xml:space="preserve">programme de transmission à </w:t>
      </w:r>
      <w:r w:rsidR="00151028">
        <w:rPr>
          <w:noProof/>
          <w:lang w:val="fr-FR"/>
        </w:rPr>
        <w:t xml:space="preserve">large </w:t>
      </w:r>
      <w:r w:rsidR="0062599C" w:rsidRPr="0062599C">
        <w:rPr>
          <w:noProof/>
          <w:lang w:val="fr-FR"/>
        </w:rPr>
        <w:t xml:space="preserve">bande </w:t>
      </w:r>
      <w:r w:rsidR="0062599C">
        <w:rPr>
          <w:noProof/>
          <w:lang w:val="fr-FR"/>
        </w:rPr>
        <w:t xml:space="preserve">en milieu scolaire depuis </w:t>
      </w:r>
      <w:r w:rsidR="001B2F58" w:rsidRPr="00DD03D6">
        <w:rPr>
          <w:noProof/>
          <w:lang w:val="fr-FR"/>
        </w:rPr>
        <w:t xml:space="preserve">2005. </w:t>
      </w:r>
      <w:r w:rsidR="0062599C">
        <w:rPr>
          <w:noProof/>
          <w:lang w:val="fr-FR"/>
        </w:rPr>
        <w:t xml:space="preserve">Dans le cadre de ce </w:t>
      </w:r>
      <w:r w:rsidR="001B2F58" w:rsidRPr="00DD03D6">
        <w:rPr>
          <w:noProof/>
          <w:lang w:val="fr-FR"/>
        </w:rPr>
        <w:t xml:space="preserve">programme, </w:t>
      </w:r>
      <w:r w:rsidR="0062599C">
        <w:rPr>
          <w:noProof/>
          <w:lang w:val="fr-FR"/>
        </w:rPr>
        <w:t>les écoles sont connectées à l’Internet par l’intermédiaire du réseau national à large bande, qui contrôle l’accès des écoles au haut débit et leur fournit des services</w:t>
      </w:r>
      <w:r w:rsidR="0079776A">
        <w:rPr>
          <w:noProof/>
          <w:lang w:val="fr-FR"/>
        </w:rPr>
        <w:t xml:space="preserve"> centralisés, tels que la sécurité, un service antipourriel/antivirus et le filtrage basé sur le contenu</w:t>
      </w:r>
      <w:r w:rsidR="001B2F58" w:rsidRPr="00DD03D6">
        <w:rPr>
          <w:noProof/>
          <w:lang w:val="fr-FR"/>
        </w:rPr>
        <w:t xml:space="preserve">. </w:t>
      </w:r>
      <w:r w:rsidR="0079776A">
        <w:rPr>
          <w:noProof/>
          <w:lang w:val="fr-FR"/>
        </w:rPr>
        <w:t xml:space="preserve">Les écoles ont accès à des sources d’information en ligne, notamment une grande </w:t>
      </w:r>
      <w:r w:rsidR="001B2F58" w:rsidRPr="00DD03D6">
        <w:rPr>
          <w:noProof/>
          <w:lang w:val="fr-FR"/>
        </w:rPr>
        <w:t>encyclop</w:t>
      </w:r>
      <w:r w:rsidR="0079776A">
        <w:rPr>
          <w:noProof/>
          <w:lang w:val="fr-FR"/>
        </w:rPr>
        <w:t>édie commerciale</w:t>
      </w:r>
      <w:r w:rsidR="001B2F58" w:rsidRPr="00DD03D6">
        <w:rPr>
          <w:noProof/>
          <w:lang w:val="fr-FR"/>
        </w:rPr>
        <w:t xml:space="preserve">, </w:t>
      </w:r>
      <w:r w:rsidR="0079776A">
        <w:rPr>
          <w:noProof/>
          <w:lang w:val="fr-FR"/>
        </w:rPr>
        <w:t>par l’intermédiaire du réseau scolaire à large bande</w:t>
      </w:r>
      <w:r w:rsidR="001B2F58" w:rsidRPr="00DD03D6">
        <w:rPr>
          <w:noProof/>
          <w:lang w:val="fr-FR"/>
        </w:rPr>
        <w:t xml:space="preserve">. </w:t>
      </w:r>
      <w:r w:rsidR="0079776A">
        <w:rPr>
          <w:noProof/>
          <w:lang w:val="fr-FR"/>
        </w:rPr>
        <w:t xml:space="preserve">Une large bande à grande vitesse de transmission </w:t>
      </w:r>
      <w:r w:rsidR="001B2F58" w:rsidRPr="00DD03D6">
        <w:rPr>
          <w:noProof/>
          <w:lang w:val="fr-FR"/>
        </w:rPr>
        <w:t>(100</w:t>
      </w:r>
      <w:r w:rsidR="0079776A">
        <w:rPr>
          <w:noProof/>
          <w:lang w:val="fr-FR"/>
        </w:rPr>
        <w:t xml:space="preserve"> </w:t>
      </w:r>
      <w:r w:rsidR="001B2F58" w:rsidRPr="00DD03D6">
        <w:rPr>
          <w:noProof/>
          <w:lang w:val="fr-FR"/>
        </w:rPr>
        <w:t>M</w:t>
      </w:r>
      <w:r w:rsidR="0079776A">
        <w:rPr>
          <w:noProof/>
          <w:lang w:val="fr-FR"/>
        </w:rPr>
        <w:t xml:space="preserve">o/s) va être fournie à toutes les écoles secondaires en trois phases : </w:t>
      </w:r>
      <w:r w:rsidR="001B2F58" w:rsidRPr="00DD03D6">
        <w:rPr>
          <w:noProof/>
          <w:lang w:val="fr-FR"/>
        </w:rPr>
        <w:t xml:space="preserve">200 </w:t>
      </w:r>
      <w:r w:rsidR="003B774A">
        <w:rPr>
          <w:noProof/>
          <w:lang w:val="fr-FR"/>
        </w:rPr>
        <w:t>écoles seront connectées d’ici à s</w:t>
      </w:r>
      <w:r w:rsidR="001B2F58" w:rsidRPr="00DD03D6">
        <w:rPr>
          <w:noProof/>
          <w:lang w:val="fr-FR"/>
        </w:rPr>
        <w:t>eptemb</w:t>
      </w:r>
      <w:r w:rsidR="003B774A">
        <w:rPr>
          <w:noProof/>
          <w:lang w:val="fr-FR"/>
        </w:rPr>
        <w:t>re</w:t>
      </w:r>
      <w:r w:rsidR="001B2F58" w:rsidRPr="00DD03D6">
        <w:rPr>
          <w:noProof/>
          <w:lang w:val="fr-FR"/>
        </w:rPr>
        <w:t xml:space="preserve"> 2012, 200 </w:t>
      </w:r>
      <w:r w:rsidR="003B774A">
        <w:rPr>
          <w:noProof/>
          <w:lang w:val="fr-FR"/>
        </w:rPr>
        <w:t xml:space="preserve">autres le seront d’ici à </w:t>
      </w:r>
      <w:r w:rsidR="001B2F58" w:rsidRPr="00DD03D6">
        <w:rPr>
          <w:noProof/>
          <w:lang w:val="fr-FR"/>
        </w:rPr>
        <w:t xml:space="preserve">2013 </w:t>
      </w:r>
      <w:r w:rsidR="003B774A">
        <w:rPr>
          <w:noProof/>
          <w:lang w:val="fr-FR"/>
        </w:rPr>
        <w:t xml:space="preserve">et les </w:t>
      </w:r>
      <w:r w:rsidR="001B2F58" w:rsidRPr="00DD03D6">
        <w:rPr>
          <w:noProof/>
          <w:lang w:val="fr-FR"/>
        </w:rPr>
        <w:t xml:space="preserve">250 </w:t>
      </w:r>
      <w:r w:rsidR="003B774A">
        <w:rPr>
          <w:noProof/>
          <w:lang w:val="fr-FR"/>
        </w:rPr>
        <w:t xml:space="preserve">dernières le seront en </w:t>
      </w:r>
      <w:r w:rsidR="001B2F58" w:rsidRPr="00DD03D6">
        <w:rPr>
          <w:noProof/>
          <w:lang w:val="fr-FR"/>
        </w:rPr>
        <w:t>2014.</w:t>
      </w:r>
    </w:p>
    <w:p w:rsidR="001B2F58" w:rsidRPr="00DD03D6" w:rsidRDefault="003B774A" w:rsidP="003B774A">
      <w:pPr>
        <w:pStyle w:val="H23G"/>
        <w:ind w:firstLine="0"/>
        <w:rPr>
          <w:noProof/>
          <w:lang w:val="fr-FR"/>
        </w:rPr>
      </w:pPr>
      <w:r>
        <w:rPr>
          <w:noProof/>
          <w:lang w:val="fr-FR"/>
        </w:rPr>
        <w:t xml:space="preserve">Lutte contre le handicap éducatif </w:t>
      </w:r>
    </w:p>
    <w:p w:rsidR="001B2F58" w:rsidRPr="00DD03D6" w:rsidRDefault="00840296" w:rsidP="00DD7182">
      <w:pPr>
        <w:pStyle w:val="SingleTxtG"/>
        <w:numPr>
          <w:ilvl w:val="0"/>
          <w:numId w:val="3"/>
        </w:numPr>
        <w:ind w:left="1134" w:firstLine="0"/>
        <w:rPr>
          <w:noProof/>
          <w:lang w:val="fr-FR"/>
        </w:rPr>
      </w:pPr>
      <w:r>
        <w:rPr>
          <w:noProof/>
          <w:lang w:val="fr-FR"/>
        </w:rPr>
        <w:t xml:space="preserve">Le programme intitulé </w:t>
      </w:r>
      <w:r>
        <w:rPr>
          <w:i/>
          <w:noProof/>
          <w:lang w:val="fr-FR"/>
        </w:rPr>
        <w:t xml:space="preserve">Égalité des chances en milieu scolaire </w:t>
      </w:r>
      <w:r>
        <w:rPr>
          <w:noProof/>
          <w:lang w:val="fr-FR"/>
        </w:rPr>
        <w:t>(</w:t>
      </w:r>
      <w:r>
        <w:rPr>
          <w:i/>
          <w:noProof/>
          <w:lang w:val="fr-FR"/>
        </w:rPr>
        <w:t>D</w:t>
      </w:r>
      <w:r w:rsidR="001B2F58" w:rsidRPr="00DD03D6">
        <w:rPr>
          <w:i/>
          <w:noProof/>
          <w:lang w:val="fr-FR"/>
        </w:rPr>
        <w:t>elivering Equality of Opportunity in Schools</w:t>
      </w:r>
      <w:r w:rsidR="00B53A22">
        <w:rPr>
          <w:noProof/>
          <w:lang w:val="fr-FR"/>
        </w:rPr>
        <w:t xml:space="preserve">) a été publié en </w:t>
      </w:r>
      <w:r w:rsidR="001B2F58" w:rsidRPr="00DD03D6">
        <w:rPr>
          <w:noProof/>
          <w:lang w:val="fr-FR"/>
        </w:rPr>
        <w:t>2005</w:t>
      </w:r>
      <w:r w:rsidR="00B53A22">
        <w:rPr>
          <w:noProof/>
          <w:lang w:val="fr-FR"/>
        </w:rPr>
        <w:t xml:space="preserve"> et les aides qu’il prévoit ont été mises en place à partir de </w:t>
      </w:r>
      <w:r w:rsidR="001B2F58" w:rsidRPr="00DD03D6">
        <w:rPr>
          <w:noProof/>
          <w:lang w:val="fr-FR"/>
        </w:rPr>
        <w:t xml:space="preserve">2006. </w:t>
      </w:r>
      <w:r w:rsidR="00B53A22">
        <w:rPr>
          <w:noProof/>
          <w:lang w:val="fr-FR"/>
        </w:rPr>
        <w:t>Ce programme est destiné à répondre aux besoins éducatifs des enfants et des jeunes appartenant à des communautés défavorisées</w:t>
      </w:r>
      <w:r w:rsidR="001B2F58" w:rsidRPr="00DD03D6">
        <w:rPr>
          <w:noProof/>
          <w:lang w:val="fr-FR"/>
        </w:rPr>
        <w:t xml:space="preserve">. </w:t>
      </w:r>
      <w:r w:rsidR="00364855">
        <w:rPr>
          <w:noProof/>
          <w:lang w:val="fr-FR"/>
        </w:rPr>
        <w:t>Il se compose essentiellement d’un système normalisé d’</w:t>
      </w:r>
      <w:r w:rsidR="000F5DEF">
        <w:rPr>
          <w:noProof/>
          <w:lang w:val="fr-FR"/>
        </w:rPr>
        <w:t>i</w:t>
      </w:r>
      <w:r w:rsidR="00364855">
        <w:rPr>
          <w:noProof/>
          <w:lang w:val="fr-FR"/>
        </w:rPr>
        <w:t xml:space="preserve">dentification des niveaux de handicap et d’un </w:t>
      </w:r>
      <w:r w:rsidR="003009F7">
        <w:rPr>
          <w:noProof/>
          <w:lang w:val="fr-FR"/>
        </w:rPr>
        <w:t xml:space="preserve">programme intégré de soutien scolaire </w:t>
      </w:r>
      <w:r w:rsidR="00972E04">
        <w:rPr>
          <w:noProof/>
          <w:lang w:val="fr-FR"/>
        </w:rPr>
        <w:t>qui mobilise et exploite les interventions existantes en faveur des écoles et groupements scolaires et des communautés présentant des niveaux élevés de handicap éducatif</w:t>
      </w:r>
      <w:r w:rsidR="001B2F58" w:rsidRPr="00DD03D6">
        <w:rPr>
          <w:noProof/>
          <w:lang w:val="fr-FR"/>
        </w:rPr>
        <w:t xml:space="preserve">. </w:t>
      </w:r>
      <w:r w:rsidR="00972E04">
        <w:rPr>
          <w:noProof/>
          <w:lang w:val="fr-FR"/>
        </w:rPr>
        <w:t>À l’heure actuelle</w:t>
      </w:r>
      <w:r w:rsidR="001B2F58" w:rsidRPr="00DD03D6">
        <w:rPr>
          <w:noProof/>
          <w:lang w:val="fr-FR"/>
        </w:rPr>
        <w:t xml:space="preserve">, 341 </w:t>
      </w:r>
      <w:r w:rsidR="00972E04">
        <w:rPr>
          <w:noProof/>
          <w:lang w:val="fr-FR"/>
        </w:rPr>
        <w:t xml:space="preserve">écoles primaires </w:t>
      </w:r>
      <w:r w:rsidR="001B2F58" w:rsidRPr="00DD03D6">
        <w:rPr>
          <w:noProof/>
          <w:lang w:val="fr-FR"/>
        </w:rPr>
        <w:t>urba</w:t>
      </w:r>
      <w:r w:rsidR="00972E04">
        <w:rPr>
          <w:noProof/>
          <w:lang w:val="fr-FR"/>
        </w:rPr>
        <w:t xml:space="preserve">ines et </w:t>
      </w:r>
      <w:r w:rsidR="001B2F58" w:rsidRPr="00DD03D6">
        <w:rPr>
          <w:noProof/>
          <w:lang w:val="fr-FR"/>
        </w:rPr>
        <w:t xml:space="preserve">324 </w:t>
      </w:r>
      <w:r w:rsidR="00972E04">
        <w:rPr>
          <w:noProof/>
          <w:lang w:val="fr-FR"/>
        </w:rPr>
        <w:t xml:space="preserve">écoles primaires </w:t>
      </w:r>
      <w:r w:rsidR="001B2F58" w:rsidRPr="00DD03D6">
        <w:rPr>
          <w:noProof/>
          <w:lang w:val="fr-FR"/>
        </w:rPr>
        <w:t>rural</w:t>
      </w:r>
      <w:r w:rsidR="00972E04">
        <w:rPr>
          <w:noProof/>
          <w:lang w:val="fr-FR"/>
        </w:rPr>
        <w:t>es</w:t>
      </w:r>
      <w:r w:rsidR="001B2F58" w:rsidRPr="00DD03D6">
        <w:rPr>
          <w:noProof/>
          <w:lang w:val="fr-FR"/>
        </w:rPr>
        <w:t xml:space="preserve"> </w:t>
      </w:r>
      <w:r w:rsidR="00972E04">
        <w:rPr>
          <w:noProof/>
          <w:lang w:val="fr-FR"/>
        </w:rPr>
        <w:t>et</w:t>
      </w:r>
      <w:r w:rsidR="001B2F58" w:rsidRPr="00DD03D6">
        <w:rPr>
          <w:noProof/>
          <w:lang w:val="fr-FR"/>
        </w:rPr>
        <w:t xml:space="preserve"> 195 </w:t>
      </w:r>
      <w:r w:rsidR="00972E04">
        <w:rPr>
          <w:noProof/>
          <w:lang w:val="fr-FR"/>
        </w:rPr>
        <w:t>écoles secondaires participent au</w:t>
      </w:r>
      <w:r w:rsidR="001B2F58" w:rsidRPr="00DD03D6">
        <w:rPr>
          <w:noProof/>
          <w:lang w:val="fr-FR"/>
        </w:rPr>
        <w:t xml:space="preserve"> </w:t>
      </w:r>
      <w:r w:rsidR="00972E04">
        <w:rPr>
          <w:noProof/>
          <w:lang w:val="fr-FR"/>
        </w:rPr>
        <w:t>programme de soutien scolaire</w:t>
      </w:r>
      <w:r w:rsidR="001B2F58" w:rsidRPr="00DD03D6">
        <w:rPr>
          <w:noProof/>
          <w:lang w:val="fr-FR"/>
        </w:rPr>
        <w:t xml:space="preserve">, </w:t>
      </w:r>
      <w:r w:rsidR="00972E04">
        <w:rPr>
          <w:noProof/>
          <w:lang w:val="fr-FR"/>
        </w:rPr>
        <w:t xml:space="preserve">pour un effectif total de </w:t>
      </w:r>
      <w:r w:rsidR="001B2F58" w:rsidRPr="00DD03D6">
        <w:rPr>
          <w:noProof/>
          <w:lang w:val="fr-FR"/>
        </w:rPr>
        <w:t>100</w:t>
      </w:r>
      <w:r w:rsidR="00250C42">
        <w:rPr>
          <w:noProof/>
          <w:lang w:val="fr-FR"/>
        </w:rPr>
        <w:t> </w:t>
      </w:r>
      <w:r w:rsidR="001B2F58" w:rsidRPr="00DD03D6">
        <w:rPr>
          <w:noProof/>
          <w:lang w:val="fr-FR"/>
        </w:rPr>
        <w:t>595 a</w:t>
      </w:r>
      <w:r w:rsidR="00972E04">
        <w:rPr>
          <w:noProof/>
          <w:lang w:val="fr-FR"/>
        </w:rPr>
        <w:t xml:space="preserve">u niveau du </w:t>
      </w:r>
      <w:r w:rsidR="001B2F58" w:rsidRPr="00DD03D6">
        <w:rPr>
          <w:noProof/>
          <w:lang w:val="fr-FR"/>
        </w:rPr>
        <w:t>prima</w:t>
      </w:r>
      <w:r w:rsidR="00250C42">
        <w:rPr>
          <w:noProof/>
          <w:lang w:val="fr-FR"/>
        </w:rPr>
        <w:t>ire et 64 </w:t>
      </w:r>
      <w:r w:rsidR="001B2F58" w:rsidRPr="00DD03D6">
        <w:rPr>
          <w:noProof/>
          <w:lang w:val="fr-FR"/>
        </w:rPr>
        <w:t>755 a</w:t>
      </w:r>
      <w:r w:rsidR="00972E04">
        <w:rPr>
          <w:noProof/>
          <w:lang w:val="fr-FR"/>
        </w:rPr>
        <w:t>u niveau du secondaire</w:t>
      </w:r>
      <w:r w:rsidR="001B2F58" w:rsidRPr="00DD03D6">
        <w:rPr>
          <w:noProof/>
          <w:lang w:val="fr-FR"/>
        </w:rPr>
        <w:t>.</w:t>
      </w:r>
    </w:p>
    <w:p w:rsidR="001B2F58" w:rsidRPr="00DD03D6" w:rsidRDefault="00996FD1" w:rsidP="00EF11F2">
      <w:pPr>
        <w:pStyle w:val="SingleTxtG"/>
        <w:numPr>
          <w:ilvl w:val="0"/>
          <w:numId w:val="3"/>
        </w:numPr>
        <w:ind w:left="1134" w:firstLine="0"/>
        <w:rPr>
          <w:noProof/>
          <w:lang w:val="fr-FR"/>
        </w:rPr>
      </w:pPr>
      <w:r>
        <w:rPr>
          <w:noProof/>
          <w:lang w:val="fr-FR"/>
        </w:rPr>
        <w:t xml:space="preserve">Le programme </w:t>
      </w:r>
      <w:r>
        <w:rPr>
          <w:i/>
          <w:noProof/>
          <w:lang w:val="fr-FR"/>
        </w:rPr>
        <w:t xml:space="preserve">Égalité des chances en milieu scolaire </w:t>
      </w:r>
      <w:r w:rsidR="008524BA">
        <w:rPr>
          <w:noProof/>
          <w:lang w:val="fr-FR"/>
        </w:rPr>
        <w:t>propose divers avantages supplémentaires à ces écoles, parmi lesquels d</w:t>
      </w:r>
      <w:r w:rsidR="008524BA" w:rsidRPr="00FA02D4">
        <w:rPr>
          <w:lang w:val="fr-CH"/>
        </w:rPr>
        <w:t xml:space="preserve">avantage d’enseignants, d’où un ratio enseignants/élèves réduit dans les établissements primaires </w:t>
      </w:r>
      <w:r w:rsidR="001E76AD" w:rsidRPr="00FA02D4">
        <w:rPr>
          <w:lang w:val="fr-CH"/>
        </w:rPr>
        <w:t xml:space="preserve">pratiquant la politique d’égalité des chances </w:t>
      </w:r>
      <w:r w:rsidR="001E76AD">
        <w:rPr>
          <w:lang w:val="fr-CH"/>
        </w:rPr>
        <w:t>dans l</w:t>
      </w:r>
      <w:r w:rsidR="008524BA" w:rsidRPr="00FA02D4">
        <w:rPr>
          <w:lang w:val="fr-CH"/>
        </w:rPr>
        <w:t>es zones les plus défavorisées</w:t>
      </w:r>
      <w:r w:rsidR="001B2F58" w:rsidRPr="00DD03D6">
        <w:rPr>
          <w:noProof/>
          <w:lang w:val="fr-FR"/>
        </w:rPr>
        <w:t xml:space="preserve">, </w:t>
      </w:r>
      <w:r w:rsidR="005551B6">
        <w:rPr>
          <w:noProof/>
          <w:lang w:val="fr-FR"/>
        </w:rPr>
        <w:t>l’</w:t>
      </w:r>
      <w:r w:rsidR="001E76AD">
        <w:rPr>
          <w:lang w:val="fr-CH"/>
        </w:rPr>
        <w:t>a</w:t>
      </w:r>
      <w:r w:rsidR="001E76AD" w:rsidRPr="00FA02D4">
        <w:rPr>
          <w:lang w:val="fr-CH"/>
        </w:rPr>
        <w:t>llocation d’un montant complémentaire par élève</w:t>
      </w:r>
      <w:r w:rsidR="001B2F58" w:rsidRPr="00DD03D6">
        <w:rPr>
          <w:noProof/>
          <w:lang w:val="fr-FR"/>
        </w:rPr>
        <w:t xml:space="preserve">, </w:t>
      </w:r>
      <w:r w:rsidR="005551B6">
        <w:rPr>
          <w:noProof/>
          <w:lang w:val="fr-FR"/>
        </w:rPr>
        <w:t xml:space="preserve">des coordonnateurs </w:t>
      </w:r>
      <w:r w:rsidR="0039720E">
        <w:rPr>
          <w:noProof/>
          <w:lang w:val="fr-FR"/>
        </w:rPr>
        <w:t xml:space="preserve">entre </w:t>
      </w:r>
      <w:r w:rsidR="005551B6">
        <w:rPr>
          <w:noProof/>
          <w:lang w:val="fr-FR"/>
        </w:rPr>
        <w:t>l’école</w:t>
      </w:r>
      <w:r w:rsidR="0039720E">
        <w:rPr>
          <w:noProof/>
          <w:lang w:val="fr-FR"/>
        </w:rPr>
        <w:t xml:space="preserve"> et la famille</w:t>
      </w:r>
      <w:r w:rsidR="001B2F58" w:rsidRPr="00DD03D6">
        <w:rPr>
          <w:noProof/>
          <w:lang w:val="fr-FR"/>
        </w:rPr>
        <w:t xml:space="preserve">, </w:t>
      </w:r>
      <w:r w:rsidR="005551B6">
        <w:rPr>
          <w:noProof/>
          <w:lang w:val="fr-FR"/>
        </w:rPr>
        <w:t>des prog</w:t>
      </w:r>
      <w:r w:rsidR="0039720E">
        <w:rPr>
          <w:noProof/>
          <w:lang w:val="fr-FR"/>
        </w:rPr>
        <w:t>r</w:t>
      </w:r>
      <w:r w:rsidR="005551B6">
        <w:rPr>
          <w:noProof/>
          <w:lang w:val="fr-FR"/>
        </w:rPr>
        <w:t>ammes de rattrapage en lecture et en mathématiques</w:t>
      </w:r>
      <w:r w:rsidR="001B2F58" w:rsidRPr="00DD03D6">
        <w:rPr>
          <w:noProof/>
          <w:lang w:val="fr-FR"/>
        </w:rPr>
        <w:t xml:space="preserve">, </w:t>
      </w:r>
      <w:r w:rsidR="0039720E">
        <w:rPr>
          <w:noProof/>
          <w:lang w:val="fr-FR"/>
        </w:rPr>
        <w:t>le p</w:t>
      </w:r>
      <w:r w:rsidR="001B2F58" w:rsidRPr="00DD03D6">
        <w:rPr>
          <w:noProof/>
          <w:lang w:val="fr-FR"/>
        </w:rPr>
        <w:t>rogramme</w:t>
      </w:r>
      <w:r w:rsidR="0039720E">
        <w:rPr>
          <w:noProof/>
          <w:lang w:val="fr-FR"/>
        </w:rPr>
        <w:t xml:space="preserve"> pour l’achèvement de la scolarité</w:t>
      </w:r>
      <w:r w:rsidR="001B2F58" w:rsidRPr="00DD03D6">
        <w:rPr>
          <w:noProof/>
          <w:lang w:val="fr-FR"/>
        </w:rPr>
        <w:t xml:space="preserve">, </w:t>
      </w:r>
      <w:r w:rsidR="0039720E">
        <w:rPr>
          <w:noProof/>
          <w:lang w:val="fr-FR"/>
        </w:rPr>
        <w:t>le p</w:t>
      </w:r>
      <w:r w:rsidR="001B2F58" w:rsidRPr="00DD03D6">
        <w:rPr>
          <w:noProof/>
          <w:lang w:val="fr-FR"/>
        </w:rPr>
        <w:t xml:space="preserve">rogramme </w:t>
      </w:r>
      <w:r w:rsidR="0039720E">
        <w:rPr>
          <w:noProof/>
          <w:lang w:val="fr-FR"/>
        </w:rPr>
        <w:t>de repas scolaires et les mesures destinées à faciliter le passage des enfants de l’école primaire à l’école secondaire</w:t>
      </w:r>
      <w:r w:rsidR="001B2F58" w:rsidRPr="00DD03D6">
        <w:rPr>
          <w:noProof/>
          <w:lang w:val="fr-FR"/>
        </w:rPr>
        <w:t xml:space="preserve">. </w:t>
      </w:r>
      <w:r w:rsidR="0039720E">
        <w:rPr>
          <w:noProof/>
          <w:lang w:val="fr-FR"/>
        </w:rPr>
        <w:t xml:space="preserve">À partir de l’année scolaire </w:t>
      </w:r>
      <w:r w:rsidR="001B2F58" w:rsidRPr="00DD03D6">
        <w:rPr>
          <w:noProof/>
          <w:lang w:val="fr-FR"/>
        </w:rPr>
        <w:t>2012/</w:t>
      </w:r>
      <w:r w:rsidR="0039720E">
        <w:rPr>
          <w:noProof/>
          <w:lang w:val="fr-FR"/>
        </w:rPr>
        <w:t>20</w:t>
      </w:r>
      <w:r w:rsidR="001B2F58" w:rsidRPr="00DD03D6">
        <w:rPr>
          <w:noProof/>
          <w:lang w:val="fr-FR"/>
        </w:rPr>
        <w:t xml:space="preserve">13, </w:t>
      </w:r>
      <w:r w:rsidR="0039720E">
        <w:rPr>
          <w:noProof/>
          <w:lang w:val="fr-FR"/>
        </w:rPr>
        <w:t xml:space="preserve">toutes les écoles </w:t>
      </w:r>
      <w:r w:rsidR="001B2F58" w:rsidRPr="00DD03D6">
        <w:rPr>
          <w:noProof/>
          <w:lang w:val="fr-FR"/>
        </w:rPr>
        <w:t>postprima</w:t>
      </w:r>
      <w:r w:rsidR="0039720E">
        <w:rPr>
          <w:noProof/>
          <w:lang w:val="fr-FR"/>
        </w:rPr>
        <w:t xml:space="preserve">ires </w:t>
      </w:r>
      <w:r w:rsidR="00440302" w:rsidRPr="00FA02D4">
        <w:rPr>
          <w:lang w:val="fr-CH"/>
        </w:rPr>
        <w:t>pratiquant la politique d’égalité des chances</w:t>
      </w:r>
      <w:r w:rsidR="00440302" w:rsidRPr="00DD03D6">
        <w:rPr>
          <w:noProof/>
          <w:lang w:val="fr-FR"/>
        </w:rPr>
        <w:t xml:space="preserve"> </w:t>
      </w:r>
      <w:r w:rsidR="00440302">
        <w:rPr>
          <w:noProof/>
          <w:lang w:val="fr-FR"/>
        </w:rPr>
        <w:t xml:space="preserve">recevront un appui supplémentaire sous la forme d’un taux d’encadrement amélioré de </w:t>
      </w:r>
      <w:r w:rsidR="001B2F58" w:rsidRPr="00DD03D6">
        <w:rPr>
          <w:noProof/>
          <w:lang w:val="fr-FR"/>
        </w:rPr>
        <w:t>18</w:t>
      </w:r>
      <w:r w:rsidR="00440302">
        <w:rPr>
          <w:noProof/>
          <w:lang w:val="fr-FR"/>
        </w:rPr>
        <w:t>,</w:t>
      </w:r>
      <w:r w:rsidR="001B2F58" w:rsidRPr="00DD03D6">
        <w:rPr>
          <w:noProof/>
          <w:lang w:val="fr-FR"/>
        </w:rPr>
        <w:t xml:space="preserve">25:1. </w:t>
      </w:r>
      <w:r w:rsidR="00440302">
        <w:rPr>
          <w:noProof/>
          <w:lang w:val="fr-FR"/>
        </w:rPr>
        <w:t xml:space="preserve">Près de </w:t>
      </w:r>
      <w:r w:rsidR="00250C42">
        <w:rPr>
          <w:noProof/>
          <w:lang w:val="fr-FR"/>
        </w:rPr>
        <w:t>720 </w:t>
      </w:r>
      <w:r w:rsidR="001B2F58" w:rsidRPr="00DD03D6">
        <w:rPr>
          <w:noProof/>
          <w:lang w:val="fr-FR"/>
        </w:rPr>
        <w:t>million</w:t>
      </w:r>
      <w:r w:rsidR="00440302">
        <w:rPr>
          <w:noProof/>
          <w:lang w:val="fr-FR"/>
        </w:rPr>
        <w:t xml:space="preserve">s d’euros ont été alloués en </w:t>
      </w:r>
      <w:r w:rsidR="001B2F58" w:rsidRPr="00DD03D6">
        <w:rPr>
          <w:noProof/>
          <w:lang w:val="fr-FR"/>
        </w:rPr>
        <w:t xml:space="preserve">2012 </w:t>
      </w:r>
      <w:r w:rsidR="00440302">
        <w:rPr>
          <w:noProof/>
          <w:lang w:val="fr-FR"/>
        </w:rPr>
        <w:t>au titre de diverses mesures destinées à remédier au handicap éducatif depuis l’école maternelle jusqu’à l’enseignement supérieur</w:t>
      </w:r>
      <w:r w:rsidR="001B2F58" w:rsidRPr="00DD03D6">
        <w:rPr>
          <w:noProof/>
          <w:lang w:val="fr-FR"/>
        </w:rPr>
        <w:t xml:space="preserve">. </w:t>
      </w:r>
      <w:r w:rsidR="00440302">
        <w:rPr>
          <w:noProof/>
          <w:lang w:val="fr-FR"/>
        </w:rPr>
        <w:t>Ce chiffre inclut 28 millions d’euros pour le p</w:t>
      </w:r>
      <w:r w:rsidR="00440302" w:rsidRPr="00DD03D6">
        <w:rPr>
          <w:noProof/>
          <w:lang w:val="fr-FR"/>
        </w:rPr>
        <w:t>rogramme</w:t>
      </w:r>
      <w:r w:rsidR="00440302">
        <w:rPr>
          <w:noProof/>
          <w:lang w:val="fr-FR"/>
        </w:rPr>
        <w:t xml:space="preserve"> pour l’achèvement de la scolarité, dont la responsabilié incombe au Ministère de l’enfance et de la jeunesse</w:t>
      </w:r>
      <w:r w:rsidR="001B2F58" w:rsidRPr="00DD03D6">
        <w:rPr>
          <w:noProof/>
          <w:lang w:val="fr-FR"/>
        </w:rPr>
        <w:t>.</w:t>
      </w:r>
    </w:p>
    <w:p w:rsidR="001B2F58" w:rsidRPr="00DD03D6" w:rsidRDefault="00F418AD" w:rsidP="00DD7182">
      <w:pPr>
        <w:pStyle w:val="SingleTxtG"/>
        <w:numPr>
          <w:ilvl w:val="0"/>
          <w:numId w:val="3"/>
        </w:numPr>
        <w:ind w:left="1134" w:firstLine="0"/>
        <w:rPr>
          <w:noProof/>
          <w:lang w:val="fr-FR"/>
        </w:rPr>
      </w:pPr>
      <w:r>
        <w:rPr>
          <w:noProof/>
          <w:lang w:val="fr-FR"/>
        </w:rPr>
        <w:t>Le programme</w:t>
      </w:r>
      <w:r w:rsidR="007450FE">
        <w:rPr>
          <w:noProof/>
          <w:lang w:val="fr-FR"/>
        </w:rPr>
        <w:t xml:space="preserve"> susvisé</w:t>
      </w:r>
      <w:r>
        <w:rPr>
          <w:i/>
          <w:noProof/>
          <w:lang w:val="fr-FR"/>
        </w:rPr>
        <w:t xml:space="preserve"> </w:t>
      </w:r>
      <w:r>
        <w:rPr>
          <w:noProof/>
          <w:lang w:val="fr-FR"/>
        </w:rPr>
        <w:t>fait l’objet d’une évaluation depuis la mise en place en 2006 des mesures de soutien qu’il comporte</w:t>
      </w:r>
      <w:r w:rsidR="001B2F58" w:rsidRPr="00DD03D6">
        <w:rPr>
          <w:noProof/>
          <w:lang w:val="fr-FR"/>
        </w:rPr>
        <w:t xml:space="preserve">. </w:t>
      </w:r>
      <w:r>
        <w:rPr>
          <w:noProof/>
          <w:lang w:val="fr-FR"/>
        </w:rPr>
        <w:t>E</w:t>
      </w:r>
      <w:r w:rsidR="001B2F58" w:rsidRPr="00DD03D6">
        <w:rPr>
          <w:noProof/>
          <w:lang w:val="fr-FR"/>
        </w:rPr>
        <w:t xml:space="preserve">n </w:t>
      </w:r>
      <w:r>
        <w:rPr>
          <w:noProof/>
          <w:lang w:val="fr-FR"/>
        </w:rPr>
        <w:t>outre</w:t>
      </w:r>
      <w:r w:rsidR="001B2F58" w:rsidRPr="00DD03D6">
        <w:rPr>
          <w:noProof/>
          <w:lang w:val="fr-FR"/>
        </w:rPr>
        <w:t xml:space="preserve">, </w:t>
      </w:r>
      <w:r>
        <w:rPr>
          <w:noProof/>
          <w:lang w:val="fr-FR"/>
        </w:rPr>
        <w:t>l’</w:t>
      </w:r>
      <w:r w:rsidR="001B2F58" w:rsidRPr="00DD03D6">
        <w:rPr>
          <w:noProof/>
          <w:lang w:val="fr-FR"/>
        </w:rPr>
        <w:t>Inspect</w:t>
      </w:r>
      <w:r>
        <w:rPr>
          <w:noProof/>
          <w:lang w:val="fr-FR"/>
        </w:rPr>
        <w:t xml:space="preserve">ion du Ministère de l’éducation et de la formation a procédé à des évaluations de la planfiication dans un échantillon de </w:t>
      </w:r>
      <w:r w:rsidR="001B2F58" w:rsidRPr="00DD03D6">
        <w:rPr>
          <w:noProof/>
          <w:lang w:val="fr-FR"/>
        </w:rPr>
        <w:t>36</w:t>
      </w:r>
      <w:r w:rsidR="00250C42">
        <w:rPr>
          <w:noProof/>
          <w:lang w:val="fr-FR"/>
        </w:rPr>
        <w:t> </w:t>
      </w:r>
      <w:r>
        <w:rPr>
          <w:noProof/>
          <w:lang w:val="fr-FR"/>
        </w:rPr>
        <w:t xml:space="preserve">écoles </w:t>
      </w:r>
      <w:r w:rsidR="007450FE">
        <w:rPr>
          <w:lang w:val="fr-CH"/>
        </w:rPr>
        <w:t>appliqua</w:t>
      </w:r>
      <w:r w:rsidRPr="00FA02D4">
        <w:rPr>
          <w:lang w:val="fr-CH"/>
        </w:rPr>
        <w:t>nt la politique d’égalité des chances</w:t>
      </w:r>
      <w:r w:rsidRPr="00DD03D6">
        <w:rPr>
          <w:noProof/>
          <w:lang w:val="fr-FR"/>
        </w:rPr>
        <w:t xml:space="preserve"> </w:t>
      </w:r>
      <w:r w:rsidR="001B2F58" w:rsidRPr="00DD03D6">
        <w:rPr>
          <w:noProof/>
          <w:lang w:val="fr-FR"/>
        </w:rPr>
        <w:t xml:space="preserve">(18 </w:t>
      </w:r>
      <w:r>
        <w:rPr>
          <w:noProof/>
          <w:lang w:val="fr-FR"/>
        </w:rPr>
        <w:t xml:space="preserve">écoles primaires et </w:t>
      </w:r>
      <w:r w:rsidR="001B2F58" w:rsidRPr="00DD03D6">
        <w:rPr>
          <w:noProof/>
          <w:lang w:val="fr-FR"/>
        </w:rPr>
        <w:t xml:space="preserve">18 </w:t>
      </w:r>
      <w:r>
        <w:rPr>
          <w:noProof/>
          <w:lang w:val="fr-FR"/>
        </w:rPr>
        <w:t xml:space="preserve">écoles </w:t>
      </w:r>
      <w:r w:rsidR="001B2F58" w:rsidRPr="00DD03D6">
        <w:rPr>
          <w:noProof/>
          <w:lang w:val="fr-FR"/>
        </w:rPr>
        <w:t>postprima</w:t>
      </w:r>
      <w:r>
        <w:rPr>
          <w:noProof/>
          <w:lang w:val="fr-FR"/>
        </w:rPr>
        <w:t>ires</w:t>
      </w:r>
      <w:r w:rsidR="001B2F58" w:rsidRPr="00DD03D6">
        <w:rPr>
          <w:noProof/>
          <w:lang w:val="fr-FR"/>
        </w:rPr>
        <w:t xml:space="preserve">). </w:t>
      </w:r>
      <w:r w:rsidR="00694AD7">
        <w:rPr>
          <w:noProof/>
          <w:lang w:val="fr-FR"/>
        </w:rPr>
        <w:t>Les rapports constatent notamment</w:t>
      </w:r>
      <w:r w:rsidR="0056508A">
        <w:rPr>
          <w:noProof/>
          <w:lang w:val="fr-FR"/>
        </w:rPr>
        <w:t xml:space="preserve"> </w:t>
      </w:r>
      <w:r w:rsidR="00694AD7">
        <w:rPr>
          <w:noProof/>
          <w:lang w:val="fr-FR"/>
        </w:rPr>
        <w:t>que ce p</w:t>
      </w:r>
      <w:r w:rsidR="001B2F58" w:rsidRPr="00DD03D6">
        <w:rPr>
          <w:noProof/>
          <w:lang w:val="fr-FR"/>
        </w:rPr>
        <w:t xml:space="preserve">rogramme </w:t>
      </w:r>
      <w:r w:rsidR="00694AD7">
        <w:rPr>
          <w:noProof/>
          <w:lang w:val="fr-FR"/>
        </w:rPr>
        <w:t xml:space="preserve">apporte une contribution </w:t>
      </w:r>
      <w:r w:rsidR="001B2F58" w:rsidRPr="00DD03D6">
        <w:rPr>
          <w:noProof/>
          <w:lang w:val="fr-FR"/>
        </w:rPr>
        <w:t xml:space="preserve">positive </w:t>
      </w:r>
      <w:r w:rsidR="00694AD7">
        <w:rPr>
          <w:noProof/>
          <w:lang w:val="fr-FR"/>
        </w:rPr>
        <w:t>à la lutte contre le handicap éducatif</w:t>
      </w:r>
      <w:r w:rsidR="007450FE">
        <w:rPr>
          <w:noProof/>
          <w:lang w:val="fr-FR"/>
        </w:rPr>
        <w:t>,</w:t>
      </w:r>
      <w:r w:rsidR="00694AD7">
        <w:rPr>
          <w:noProof/>
          <w:lang w:val="fr-FR"/>
        </w:rPr>
        <w:t xml:space="preserve"> et les résultats scolaires des élèves </w:t>
      </w:r>
      <w:r w:rsidR="004731FF">
        <w:rPr>
          <w:noProof/>
          <w:lang w:val="fr-FR"/>
        </w:rPr>
        <w:t xml:space="preserve">qui </w:t>
      </w:r>
      <w:r w:rsidR="00694AD7">
        <w:rPr>
          <w:noProof/>
          <w:lang w:val="fr-FR"/>
        </w:rPr>
        <w:t>fréquent</w:t>
      </w:r>
      <w:r w:rsidR="004731FF">
        <w:rPr>
          <w:noProof/>
          <w:lang w:val="fr-FR"/>
        </w:rPr>
        <w:t>e</w:t>
      </w:r>
      <w:r w:rsidR="00694AD7">
        <w:rPr>
          <w:noProof/>
          <w:lang w:val="fr-FR"/>
        </w:rPr>
        <w:t xml:space="preserve">nt des écoles primaires </w:t>
      </w:r>
      <w:r w:rsidR="0056508A">
        <w:rPr>
          <w:lang w:val="fr-CH"/>
        </w:rPr>
        <w:t>appliqua</w:t>
      </w:r>
      <w:r w:rsidR="00694AD7" w:rsidRPr="00FA02D4">
        <w:rPr>
          <w:lang w:val="fr-CH"/>
        </w:rPr>
        <w:t>nt la politique d’égalité des chances</w:t>
      </w:r>
      <w:r w:rsidR="00694AD7" w:rsidRPr="00DD03D6">
        <w:rPr>
          <w:noProof/>
          <w:lang w:val="fr-FR"/>
        </w:rPr>
        <w:t xml:space="preserve"> </w:t>
      </w:r>
      <w:r w:rsidR="00694AD7">
        <w:rPr>
          <w:noProof/>
          <w:lang w:val="fr-FR"/>
        </w:rPr>
        <w:t>en milieu urbain s’améliorent</w:t>
      </w:r>
      <w:r w:rsidR="001B2F58" w:rsidRPr="00DD03D6">
        <w:rPr>
          <w:noProof/>
          <w:lang w:val="fr-FR"/>
        </w:rPr>
        <w:t xml:space="preserve">; </w:t>
      </w:r>
      <w:r w:rsidR="0056508A">
        <w:rPr>
          <w:noProof/>
          <w:lang w:val="fr-FR"/>
        </w:rPr>
        <w:t>d</w:t>
      </w:r>
      <w:r w:rsidR="0056508A" w:rsidRPr="00FA02D4">
        <w:rPr>
          <w:lang w:val="fr-CH"/>
        </w:rPr>
        <w:t xml:space="preserve">es progrès </w:t>
      </w:r>
      <w:r w:rsidR="0056508A">
        <w:rPr>
          <w:lang w:val="fr-CH"/>
        </w:rPr>
        <w:t xml:space="preserve">sont </w:t>
      </w:r>
      <w:r w:rsidR="0056508A" w:rsidRPr="00FA02D4">
        <w:rPr>
          <w:lang w:val="fr-CH"/>
        </w:rPr>
        <w:t xml:space="preserve">enregistrés en matière de degré d’instruction élémentaire (lire, écrire et compter) des élèves inscrits dans </w:t>
      </w:r>
      <w:r w:rsidR="007450FE">
        <w:rPr>
          <w:lang w:val="fr-CH"/>
        </w:rPr>
        <w:t>c</w:t>
      </w:r>
      <w:r w:rsidR="0056508A" w:rsidRPr="00FA02D4">
        <w:rPr>
          <w:lang w:val="fr-CH"/>
        </w:rPr>
        <w:t>es é</w:t>
      </w:r>
      <w:r w:rsidR="007450FE">
        <w:rPr>
          <w:lang w:val="fr-CH"/>
        </w:rPr>
        <w:t xml:space="preserve">coles </w:t>
      </w:r>
      <w:r w:rsidR="0056508A" w:rsidRPr="00FA02D4">
        <w:rPr>
          <w:lang w:val="fr-CH"/>
        </w:rPr>
        <w:t xml:space="preserve">primaires, les </w:t>
      </w:r>
      <w:r w:rsidR="0056508A" w:rsidRPr="00FA02D4">
        <w:rPr>
          <w:lang w:val="fr-CH"/>
        </w:rPr>
        <w:lastRenderedPageBreak/>
        <w:t xml:space="preserve">progrès étant statistiquement </w:t>
      </w:r>
      <w:r w:rsidR="0056508A">
        <w:rPr>
          <w:lang w:val="fr-CH"/>
        </w:rPr>
        <w:t>significatif</w:t>
      </w:r>
      <w:r w:rsidR="0056508A" w:rsidRPr="00FA02D4">
        <w:rPr>
          <w:lang w:val="fr-CH"/>
        </w:rPr>
        <w:t>s en mathématiques et en lecture pour les élèves des classes de 2</w:t>
      </w:r>
      <w:r w:rsidR="0056508A" w:rsidRPr="00FA02D4">
        <w:rPr>
          <w:vertAlign w:val="superscript"/>
          <w:lang w:val="fr-CH"/>
        </w:rPr>
        <w:t>e</w:t>
      </w:r>
      <w:r w:rsidR="0056508A" w:rsidRPr="00FA02D4">
        <w:rPr>
          <w:lang w:val="fr-CH"/>
        </w:rPr>
        <w:t>, 3</w:t>
      </w:r>
      <w:r w:rsidR="0056508A" w:rsidRPr="00FA02D4">
        <w:rPr>
          <w:vertAlign w:val="superscript"/>
          <w:lang w:val="fr-CH"/>
        </w:rPr>
        <w:t>e</w:t>
      </w:r>
      <w:r w:rsidR="0056508A" w:rsidRPr="00FA02D4">
        <w:rPr>
          <w:lang w:val="fr-CH"/>
        </w:rPr>
        <w:t xml:space="preserve"> et 6</w:t>
      </w:r>
      <w:r w:rsidR="0056508A" w:rsidRPr="00FA02D4">
        <w:rPr>
          <w:vertAlign w:val="superscript"/>
          <w:lang w:val="fr-CH"/>
        </w:rPr>
        <w:t>e</w:t>
      </w:r>
      <w:r w:rsidR="0056508A" w:rsidRPr="00FA02D4">
        <w:rPr>
          <w:lang w:val="fr-CH"/>
        </w:rPr>
        <w:t xml:space="preserve"> niveaux entre 2007 et 2010</w:t>
      </w:r>
      <w:r w:rsidR="001B2F58" w:rsidRPr="00DD03D6">
        <w:rPr>
          <w:noProof/>
          <w:lang w:val="fr-FR"/>
        </w:rPr>
        <w:t xml:space="preserve">; </w:t>
      </w:r>
      <w:r w:rsidR="007450FE">
        <w:rPr>
          <w:noProof/>
          <w:lang w:val="fr-FR"/>
        </w:rPr>
        <w:t xml:space="preserve">la </w:t>
      </w:r>
      <w:r w:rsidR="007450FE">
        <w:rPr>
          <w:lang w:val="fr-CH"/>
        </w:rPr>
        <w:t>quasi-</w:t>
      </w:r>
      <w:r w:rsidR="007450FE" w:rsidRPr="00FA02D4">
        <w:rPr>
          <w:lang w:val="fr-CH"/>
        </w:rPr>
        <w:t>totalité des é</w:t>
      </w:r>
      <w:r w:rsidR="007450FE">
        <w:rPr>
          <w:lang w:val="fr-CH"/>
        </w:rPr>
        <w:t xml:space="preserve">coles </w:t>
      </w:r>
      <w:r w:rsidR="007450FE" w:rsidRPr="00FA02D4">
        <w:rPr>
          <w:lang w:val="fr-CH"/>
        </w:rPr>
        <w:t xml:space="preserve">primaires ont fait état d’améliorations significatives et mesurables du degré d’assiduité des élèves, </w:t>
      </w:r>
      <w:r w:rsidR="007450FE">
        <w:rPr>
          <w:lang w:val="fr-CH"/>
        </w:rPr>
        <w:t>tandis</w:t>
      </w:r>
      <w:r w:rsidR="007450FE" w:rsidRPr="00FA02D4">
        <w:rPr>
          <w:lang w:val="fr-CH"/>
        </w:rPr>
        <w:t xml:space="preserve"> que la majorité des é</w:t>
      </w:r>
      <w:r w:rsidR="007450FE">
        <w:rPr>
          <w:lang w:val="fr-CH"/>
        </w:rPr>
        <w:t xml:space="preserve">coles </w:t>
      </w:r>
      <w:r w:rsidR="007450FE" w:rsidRPr="007450FE">
        <w:rPr>
          <w:noProof/>
          <w:lang w:val="fr-FR"/>
        </w:rPr>
        <w:t xml:space="preserve">postprimaires </w:t>
      </w:r>
      <w:r w:rsidR="007450FE">
        <w:rPr>
          <w:noProof/>
          <w:lang w:val="fr-FR"/>
        </w:rPr>
        <w:t xml:space="preserve">ont </w:t>
      </w:r>
      <w:r w:rsidR="007450FE" w:rsidRPr="00FA02D4">
        <w:rPr>
          <w:lang w:val="fr-CH"/>
        </w:rPr>
        <w:t>mis des mesures efficaces en place pour améliorer cette assiduité</w:t>
      </w:r>
      <w:r w:rsidR="001B2F58" w:rsidRPr="00DD03D6">
        <w:rPr>
          <w:noProof/>
          <w:lang w:val="fr-FR"/>
        </w:rPr>
        <w:t xml:space="preserve">; </w:t>
      </w:r>
      <w:r w:rsidR="007450FE">
        <w:rPr>
          <w:noProof/>
          <w:lang w:val="fr-FR"/>
        </w:rPr>
        <w:t xml:space="preserve">et </w:t>
      </w:r>
      <w:r w:rsidR="007450FE" w:rsidRPr="00FA02D4">
        <w:rPr>
          <w:lang w:val="fr-CH"/>
        </w:rPr>
        <w:t>la plupart des é</w:t>
      </w:r>
      <w:r w:rsidR="007450FE">
        <w:rPr>
          <w:lang w:val="fr-CH"/>
        </w:rPr>
        <w:t xml:space="preserve">coles </w:t>
      </w:r>
      <w:r w:rsidR="004731FF">
        <w:rPr>
          <w:lang w:val="fr-CH"/>
        </w:rPr>
        <w:t>ont adopté</w:t>
      </w:r>
      <w:r w:rsidR="007450FE" w:rsidRPr="00FA02D4">
        <w:rPr>
          <w:lang w:val="fr-CH"/>
        </w:rPr>
        <w:t xml:space="preserve"> un éventail de mesures propres à encourager la participation des parents aux activités scolaires et à l’apprentissage de leurs enfants</w:t>
      </w:r>
      <w:r w:rsidR="001B2F58" w:rsidRPr="00DD03D6">
        <w:rPr>
          <w:noProof/>
          <w:lang w:val="fr-FR"/>
        </w:rPr>
        <w:t>.</w:t>
      </w:r>
    </w:p>
    <w:p w:rsidR="001B2F58" w:rsidRPr="00DD03D6" w:rsidRDefault="007450FE" w:rsidP="00EF11F2">
      <w:pPr>
        <w:pStyle w:val="SingleTxtG"/>
        <w:numPr>
          <w:ilvl w:val="0"/>
          <w:numId w:val="3"/>
        </w:numPr>
        <w:ind w:left="1134" w:firstLine="0"/>
        <w:rPr>
          <w:noProof/>
          <w:lang w:val="fr-FR"/>
        </w:rPr>
      </w:pPr>
      <w:r>
        <w:rPr>
          <w:noProof/>
          <w:lang w:val="fr-FR"/>
        </w:rPr>
        <w:t>Les responsables du programme susvisé examineront en détail ces évaluations avant de prendre une décision quant à son avenir</w:t>
      </w:r>
      <w:r w:rsidR="001B2F58" w:rsidRPr="00DD03D6">
        <w:rPr>
          <w:noProof/>
          <w:lang w:val="fr-FR"/>
        </w:rPr>
        <w:t xml:space="preserve">. </w:t>
      </w:r>
      <w:r w:rsidR="008E10DC">
        <w:rPr>
          <w:noProof/>
          <w:lang w:val="fr-FR"/>
        </w:rPr>
        <w:t xml:space="preserve">S’il reste hautement prioritaire d’affecter des ressources aux écoles des zones où le handicap éducatif se fait sentir le plus nettement, </w:t>
      </w:r>
      <w:r w:rsidR="001849EC">
        <w:rPr>
          <w:noProof/>
          <w:lang w:val="fr-FR"/>
        </w:rPr>
        <w:t xml:space="preserve">la possibilité de le faire reste limitée par </w:t>
      </w:r>
      <w:r w:rsidR="008E10DC">
        <w:rPr>
          <w:noProof/>
          <w:lang w:val="fr-FR"/>
        </w:rPr>
        <w:t xml:space="preserve">le </w:t>
      </w:r>
      <w:r w:rsidR="001849EC">
        <w:rPr>
          <w:noProof/>
          <w:lang w:val="fr-FR"/>
        </w:rPr>
        <w:t>climat économique actuel et les difficultés liées à la nécessité de réduire sensiblement les dépenses publiques</w:t>
      </w:r>
      <w:r w:rsidR="001B2F58" w:rsidRPr="00DD03D6">
        <w:rPr>
          <w:noProof/>
          <w:lang w:val="fr-FR"/>
        </w:rPr>
        <w:t xml:space="preserve">. </w:t>
      </w:r>
      <w:r w:rsidR="001849EC">
        <w:rPr>
          <w:noProof/>
          <w:lang w:val="fr-FR"/>
        </w:rPr>
        <w:t>Il n’est actuellement pas possible d’inclure d’autres écoles dans le programme en question</w:t>
      </w:r>
      <w:r w:rsidR="001B2F58" w:rsidRPr="00DD03D6">
        <w:rPr>
          <w:noProof/>
          <w:lang w:val="fr-FR"/>
        </w:rPr>
        <w:t>.</w:t>
      </w:r>
    </w:p>
    <w:p w:rsidR="001B2F58" w:rsidRPr="00DD03D6" w:rsidRDefault="001849EC" w:rsidP="001849EC">
      <w:pPr>
        <w:pStyle w:val="H23G"/>
        <w:ind w:firstLine="0"/>
        <w:rPr>
          <w:noProof/>
          <w:lang w:val="fr-FR"/>
        </w:rPr>
      </w:pPr>
      <w:r>
        <w:rPr>
          <w:noProof/>
          <w:lang w:val="fr-FR"/>
        </w:rPr>
        <w:t xml:space="preserve">Enfants ayant des besoins éducatifs spéciaux </w:t>
      </w:r>
    </w:p>
    <w:p w:rsidR="001B2F58" w:rsidRPr="00DD03D6" w:rsidRDefault="00AB5D3B" w:rsidP="00EF11F2">
      <w:pPr>
        <w:pStyle w:val="SingleTxtG"/>
        <w:numPr>
          <w:ilvl w:val="0"/>
          <w:numId w:val="3"/>
        </w:numPr>
        <w:ind w:left="1134" w:firstLine="0"/>
        <w:rPr>
          <w:noProof/>
          <w:lang w:val="fr-FR"/>
        </w:rPr>
      </w:pPr>
      <w:r>
        <w:rPr>
          <w:noProof/>
          <w:lang w:val="fr-FR"/>
        </w:rPr>
        <w:t>Certains articles de la loi de 2004 sur l’é</w:t>
      </w:r>
      <w:r w:rsidRPr="00DD03D6">
        <w:rPr>
          <w:noProof/>
          <w:lang w:val="fr-FR"/>
        </w:rPr>
        <w:t xml:space="preserve">ducation </w:t>
      </w:r>
      <w:r>
        <w:rPr>
          <w:noProof/>
          <w:lang w:val="fr-FR"/>
        </w:rPr>
        <w:t xml:space="preserve">des personnes ayant des besoins éducatifs spéciaux </w:t>
      </w:r>
      <w:r w:rsidRPr="00DD03D6">
        <w:rPr>
          <w:noProof/>
          <w:lang w:val="fr-FR"/>
        </w:rPr>
        <w:t>(EPSEN)</w:t>
      </w:r>
      <w:r>
        <w:rPr>
          <w:noProof/>
          <w:lang w:val="fr-FR"/>
        </w:rPr>
        <w:t xml:space="preserve"> sont entrés en vigueur; il s’agit principalement de ceux qui créent le Conseil n</w:t>
      </w:r>
      <w:r w:rsidR="001B2F58" w:rsidRPr="00DD03D6">
        <w:rPr>
          <w:noProof/>
          <w:lang w:val="fr-FR"/>
        </w:rPr>
        <w:t xml:space="preserve">ational </w:t>
      </w:r>
      <w:r>
        <w:rPr>
          <w:noProof/>
          <w:lang w:val="fr-FR"/>
        </w:rPr>
        <w:t>pour l’enseignement spécialisé</w:t>
      </w:r>
      <w:r w:rsidR="001B2F58" w:rsidRPr="00DD03D6">
        <w:rPr>
          <w:noProof/>
          <w:lang w:val="fr-FR"/>
        </w:rPr>
        <w:t xml:space="preserve"> </w:t>
      </w:r>
      <w:r>
        <w:rPr>
          <w:noProof/>
          <w:lang w:val="fr-FR"/>
        </w:rPr>
        <w:t xml:space="preserve">et ceux qui promeuvent une approche </w:t>
      </w:r>
      <w:r w:rsidR="001B2F58" w:rsidRPr="00DD03D6">
        <w:rPr>
          <w:noProof/>
          <w:lang w:val="fr-FR"/>
        </w:rPr>
        <w:t xml:space="preserve">inclusive </w:t>
      </w:r>
      <w:r>
        <w:rPr>
          <w:noProof/>
          <w:lang w:val="fr-FR"/>
        </w:rPr>
        <w:t>de l’éducation pour les enfants ayant des besoins éducatifs spéciaux</w:t>
      </w:r>
      <w:r w:rsidR="001B2F58" w:rsidRPr="00DD03D6">
        <w:rPr>
          <w:noProof/>
          <w:lang w:val="fr-FR"/>
        </w:rPr>
        <w:t xml:space="preserve">. </w:t>
      </w:r>
      <w:r>
        <w:rPr>
          <w:noProof/>
          <w:lang w:val="fr-FR"/>
        </w:rPr>
        <w:t>Les articles de cette loi dont l’entrée en vigueur a été différée sont ceux qui concernent essentiellement la procédure d’évaluation des besoins, la</w:t>
      </w:r>
      <w:r w:rsidR="001B2F58" w:rsidRPr="00DD03D6">
        <w:rPr>
          <w:noProof/>
          <w:lang w:val="fr-FR"/>
        </w:rPr>
        <w:t xml:space="preserve"> pr</w:t>
      </w:r>
      <w:r>
        <w:rPr>
          <w:noProof/>
          <w:lang w:val="fr-FR"/>
        </w:rPr>
        <w:t>é</w:t>
      </w:r>
      <w:r w:rsidR="001B2F58" w:rsidRPr="00DD03D6">
        <w:rPr>
          <w:noProof/>
          <w:lang w:val="fr-FR"/>
        </w:rPr>
        <w:t xml:space="preserve">paration </w:t>
      </w:r>
      <w:r>
        <w:rPr>
          <w:noProof/>
          <w:lang w:val="fr-FR"/>
        </w:rPr>
        <w:t>et l’examen des plans d’éducation individuels et les dispositions relatives aux recours pouvant être formés dans ces domaines</w:t>
      </w:r>
      <w:r w:rsidR="001B2F58" w:rsidRPr="00DD03D6">
        <w:rPr>
          <w:noProof/>
          <w:lang w:val="fr-FR"/>
        </w:rPr>
        <w:t>.</w:t>
      </w:r>
    </w:p>
    <w:p w:rsidR="001B2F58" w:rsidRPr="00DD03D6" w:rsidRDefault="00AB5D3B" w:rsidP="00DD7182">
      <w:pPr>
        <w:pStyle w:val="SingleTxtG"/>
        <w:numPr>
          <w:ilvl w:val="0"/>
          <w:numId w:val="3"/>
        </w:numPr>
        <w:ind w:left="1134" w:firstLine="0"/>
        <w:rPr>
          <w:noProof/>
          <w:lang w:val="fr-FR"/>
        </w:rPr>
      </w:pPr>
      <w:r>
        <w:rPr>
          <w:noProof/>
          <w:lang w:val="fr-FR"/>
        </w:rPr>
        <w:t xml:space="preserve">Le Gouvernement précédent a différé l’application de la loi susvisée compte tenu d’une situation économique difficile et de l’importance des coûts de cette application </w:t>
      </w:r>
      <w:r w:rsidR="001B2F58" w:rsidRPr="00DD03D6">
        <w:rPr>
          <w:noProof/>
          <w:lang w:val="fr-FR"/>
        </w:rPr>
        <w:t>(estim</w:t>
      </w:r>
      <w:r>
        <w:rPr>
          <w:noProof/>
          <w:lang w:val="fr-FR"/>
        </w:rPr>
        <w:t xml:space="preserve">és à au moins </w:t>
      </w:r>
      <w:r w:rsidR="001B2F58" w:rsidRPr="00DD03D6">
        <w:rPr>
          <w:noProof/>
          <w:lang w:val="fr-FR"/>
        </w:rPr>
        <w:t>235 million</w:t>
      </w:r>
      <w:r>
        <w:rPr>
          <w:noProof/>
          <w:lang w:val="fr-FR"/>
        </w:rPr>
        <w:t>s d’euros par an</w:t>
      </w:r>
      <w:r w:rsidR="001B2F58" w:rsidRPr="00DD03D6">
        <w:rPr>
          <w:noProof/>
          <w:lang w:val="fr-FR"/>
        </w:rPr>
        <w:t xml:space="preserve">). </w:t>
      </w:r>
      <w:r>
        <w:rPr>
          <w:noProof/>
          <w:lang w:val="fr-FR"/>
        </w:rPr>
        <w:t xml:space="preserve">Dans son </w:t>
      </w:r>
      <w:r w:rsidR="001B2F58" w:rsidRPr="00DD03D6">
        <w:rPr>
          <w:noProof/>
          <w:lang w:val="fr-FR"/>
        </w:rPr>
        <w:t xml:space="preserve">Programme </w:t>
      </w:r>
      <w:r>
        <w:rPr>
          <w:noProof/>
          <w:lang w:val="fr-FR"/>
        </w:rPr>
        <w:t xml:space="preserve">pour </w:t>
      </w:r>
      <w:r w:rsidR="001B2F58" w:rsidRPr="00DD03D6">
        <w:rPr>
          <w:noProof/>
          <w:lang w:val="fr-FR"/>
        </w:rPr>
        <w:t>2011-2016</w:t>
      </w:r>
      <w:r>
        <w:rPr>
          <w:noProof/>
          <w:lang w:val="fr-FR"/>
        </w:rPr>
        <w:t>, le Gouvernement actuel s’est engagé à publier un plan d’application de cette loi pour prioriser l’accès des enfants ayant des besoins spéciaux à un plan d’éducation individuel</w:t>
      </w:r>
      <w:r w:rsidR="001B2F58" w:rsidRPr="00DD03D6">
        <w:rPr>
          <w:noProof/>
          <w:lang w:val="fr-FR"/>
        </w:rPr>
        <w:t xml:space="preserve">. </w:t>
      </w:r>
      <w:r w:rsidR="004731FF">
        <w:rPr>
          <w:noProof/>
          <w:lang w:val="fr-FR"/>
        </w:rPr>
        <w:t xml:space="preserve">Il s’agira prioritairement de </w:t>
      </w:r>
      <w:r>
        <w:rPr>
          <w:noProof/>
          <w:lang w:val="fr-FR"/>
        </w:rPr>
        <w:t>s’</w:t>
      </w:r>
      <w:r w:rsidR="004731FF">
        <w:rPr>
          <w:noProof/>
          <w:lang w:val="fr-FR"/>
        </w:rPr>
        <w:t>orienter</w:t>
      </w:r>
      <w:r>
        <w:rPr>
          <w:noProof/>
          <w:lang w:val="fr-FR"/>
        </w:rPr>
        <w:t xml:space="preserve">a </w:t>
      </w:r>
      <w:r w:rsidR="004731FF">
        <w:rPr>
          <w:noProof/>
          <w:lang w:val="fr-FR"/>
        </w:rPr>
        <w:t xml:space="preserve">vers </w:t>
      </w:r>
      <w:r>
        <w:rPr>
          <w:noProof/>
          <w:lang w:val="fr-FR"/>
        </w:rPr>
        <w:t xml:space="preserve">un </w:t>
      </w:r>
      <w:r w:rsidR="00F02532">
        <w:rPr>
          <w:noProof/>
          <w:lang w:val="fr-FR"/>
        </w:rPr>
        <w:t xml:space="preserve">système dans lequel les nécessaires mesures de soutien suivent un enfant lors de son passage du primaire au secondaire, et </w:t>
      </w:r>
      <w:r w:rsidR="004731FF">
        <w:rPr>
          <w:noProof/>
          <w:lang w:val="fr-FR"/>
        </w:rPr>
        <w:t xml:space="preserve">de </w:t>
      </w:r>
      <w:r w:rsidR="00F02532">
        <w:rPr>
          <w:noProof/>
          <w:lang w:val="fr-FR"/>
        </w:rPr>
        <w:t>renforcer l’</w:t>
      </w:r>
      <w:r w:rsidR="001B2F58" w:rsidRPr="00DD03D6">
        <w:rPr>
          <w:noProof/>
          <w:lang w:val="fr-FR"/>
        </w:rPr>
        <w:t>int</w:t>
      </w:r>
      <w:r w:rsidR="00F02532">
        <w:rPr>
          <w:noProof/>
          <w:lang w:val="fr-FR"/>
        </w:rPr>
        <w:t>é</w:t>
      </w:r>
      <w:r w:rsidR="001B2F58" w:rsidRPr="00DD03D6">
        <w:rPr>
          <w:noProof/>
          <w:lang w:val="fr-FR"/>
        </w:rPr>
        <w:t xml:space="preserve">gration </w:t>
      </w:r>
      <w:r w:rsidR="00F02532">
        <w:rPr>
          <w:noProof/>
          <w:lang w:val="fr-FR"/>
        </w:rPr>
        <w:t>des services liés à l’existence de besoins spéciaux</w:t>
      </w:r>
      <w:r w:rsidR="001B2F58" w:rsidRPr="00DD03D6">
        <w:rPr>
          <w:noProof/>
          <w:lang w:val="fr-FR"/>
        </w:rPr>
        <w:t>.</w:t>
      </w:r>
    </w:p>
    <w:p w:rsidR="001B2F58" w:rsidRPr="00DD03D6" w:rsidRDefault="00F02532" w:rsidP="00111EE3">
      <w:pPr>
        <w:pStyle w:val="SingleTxtG"/>
        <w:numPr>
          <w:ilvl w:val="0"/>
          <w:numId w:val="3"/>
        </w:numPr>
        <w:ind w:left="1134" w:firstLine="0"/>
        <w:rPr>
          <w:noProof/>
          <w:lang w:val="fr-FR"/>
        </w:rPr>
      </w:pPr>
      <w:r>
        <w:rPr>
          <w:noProof/>
          <w:lang w:val="fr-FR"/>
        </w:rPr>
        <w:t>À cette fin et pour réaliser d’autres buts éducatifs, à compter de s</w:t>
      </w:r>
      <w:r w:rsidR="001B2F58" w:rsidRPr="00DD03D6">
        <w:rPr>
          <w:noProof/>
          <w:lang w:val="fr-FR"/>
        </w:rPr>
        <w:t>eptemb</w:t>
      </w:r>
      <w:r>
        <w:rPr>
          <w:noProof/>
          <w:lang w:val="fr-FR"/>
        </w:rPr>
        <w:t>re</w:t>
      </w:r>
      <w:r w:rsidR="001B2F58" w:rsidRPr="00DD03D6">
        <w:rPr>
          <w:noProof/>
          <w:lang w:val="fr-FR"/>
        </w:rPr>
        <w:t xml:space="preserve"> 2012</w:t>
      </w:r>
      <w:r>
        <w:rPr>
          <w:noProof/>
          <w:lang w:val="fr-FR"/>
        </w:rPr>
        <w:t>, le bulletin de fin d’année scolaire de tous les enfants passant de l’école primaire à l’école postprimaire sera envoyé à leur nouvelle école</w:t>
      </w:r>
      <w:r w:rsidR="001B2F58" w:rsidRPr="00DD03D6">
        <w:rPr>
          <w:noProof/>
          <w:lang w:val="fr-FR"/>
        </w:rPr>
        <w:t xml:space="preserve">. </w:t>
      </w:r>
      <w:r>
        <w:rPr>
          <w:noProof/>
          <w:lang w:val="fr-FR"/>
        </w:rPr>
        <w:t>Cela permettra d’assurer continuité et</w:t>
      </w:r>
      <w:r w:rsidR="001B2F58" w:rsidRPr="00DD03D6">
        <w:rPr>
          <w:noProof/>
          <w:lang w:val="fr-FR"/>
        </w:rPr>
        <w:t xml:space="preserve"> progression </w:t>
      </w:r>
      <w:r>
        <w:rPr>
          <w:noProof/>
          <w:lang w:val="fr-FR"/>
        </w:rPr>
        <w:t xml:space="preserve">pour les élèves, de signaler aux écoles secondaires les cas où un enfant a besoin d’un soutien supplémentaire pour améliorer son niveau en lecture, écriture et calcul, et de faciliter le </w:t>
      </w:r>
      <w:r w:rsidR="001B2F58" w:rsidRPr="00DD03D6">
        <w:rPr>
          <w:noProof/>
          <w:lang w:val="fr-FR"/>
        </w:rPr>
        <w:t>transfer</w:t>
      </w:r>
      <w:r>
        <w:rPr>
          <w:noProof/>
          <w:lang w:val="fr-FR"/>
        </w:rPr>
        <w:t>t de données entre l’école maternelle et l’école primaire, et entre cette dernière et l’école</w:t>
      </w:r>
      <w:r w:rsidR="001B2F58" w:rsidRPr="00DD03D6">
        <w:rPr>
          <w:noProof/>
          <w:lang w:val="fr-FR"/>
        </w:rPr>
        <w:t xml:space="preserve"> post</w:t>
      </w:r>
      <w:r>
        <w:rPr>
          <w:noProof/>
          <w:lang w:val="fr-FR"/>
        </w:rPr>
        <w:t>primaire</w:t>
      </w:r>
      <w:r w:rsidR="001B2F58" w:rsidRPr="00DD03D6">
        <w:rPr>
          <w:noProof/>
          <w:lang w:val="fr-FR"/>
        </w:rPr>
        <w:t>.</w:t>
      </w:r>
    </w:p>
    <w:p w:rsidR="001B2F58" w:rsidRPr="00DD03D6" w:rsidRDefault="007F5D9F" w:rsidP="00FC22D7">
      <w:pPr>
        <w:pStyle w:val="SingleTxtG"/>
        <w:numPr>
          <w:ilvl w:val="0"/>
          <w:numId w:val="3"/>
        </w:numPr>
        <w:ind w:left="1134" w:firstLine="0"/>
        <w:rPr>
          <w:noProof/>
          <w:lang w:val="fr-FR"/>
        </w:rPr>
      </w:pPr>
      <w:r>
        <w:rPr>
          <w:noProof/>
          <w:lang w:val="fr-FR"/>
        </w:rPr>
        <w:t>Un certain</w:t>
      </w:r>
      <w:r w:rsidR="00811BF8">
        <w:rPr>
          <w:noProof/>
          <w:lang w:val="fr-FR"/>
        </w:rPr>
        <w:t xml:space="preserve"> nombre de ressources sont fournies aux écoles au titre du soutien à l’éducation des enfants ayant des besoins spéciaux</w:t>
      </w:r>
      <w:r w:rsidR="001B2F58" w:rsidRPr="00DD03D6">
        <w:rPr>
          <w:noProof/>
          <w:lang w:val="fr-FR"/>
        </w:rPr>
        <w:t xml:space="preserve">. </w:t>
      </w:r>
      <w:r>
        <w:rPr>
          <w:noProof/>
          <w:lang w:val="fr-FR"/>
        </w:rPr>
        <w:t>Il s’agit notamment des professeurs spécialisés et des auxili</w:t>
      </w:r>
      <w:r w:rsidR="00A83529">
        <w:rPr>
          <w:noProof/>
          <w:lang w:val="fr-FR"/>
        </w:rPr>
        <w:t>aires d’enseignement spécialisé</w:t>
      </w:r>
      <w:r w:rsidR="001B2F58" w:rsidRPr="00DD03D6">
        <w:rPr>
          <w:noProof/>
          <w:lang w:val="fr-FR"/>
        </w:rPr>
        <w:t xml:space="preserve">. </w:t>
      </w:r>
      <w:r>
        <w:rPr>
          <w:noProof/>
          <w:lang w:val="fr-FR"/>
        </w:rPr>
        <w:t>E</w:t>
      </w:r>
      <w:r w:rsidR="001B2F58" w:rsidRPr="00DD03D6">
        <w:rPr>
          <w:noProof/>
          <w:lang w:val="fr-FR"/>
        </w:rPr>
        <w:t>n 2006, 8</w:t>
      </w:r>
      <w:r w:rsidR="00250C42">
        <w:rPr>
          <w:noProof/>
          <w:lang w:val="fr-FR"/>
        </w:rPr>
        <w:t> </w:t>
      </w:r>
      <w:r w:rsidR="001B2F58" w:rsidRPr="00DD03D6">
        <w:rPr>
          <w:noProof/>
          <w:lang w:val="fr-FR"/>
        </w:rPr>
        <w:t xml:space="preserve">390 </w:t>
      </w:r>
      <w:r>
        <w:rPr>
          <w:noProof/>
          <w:lang w:val="fr-FR"/>
        </w:rPr>
        <w:t>auxiliaires d’enseignement spécialisé fournissaient un soutien à des enfants dans les écoles ordinaires</w:t>
      </w:r>
      <w:r w:rsidR="001B2F58" w:rsidRPr="00DD03D6">
        <w:rPr>
          <w:noProof/>
          <w:lang w:val="fr-FR"/>
        </w:rPr>
        <w:t xml:space="preserve">. </w:t>
      </w:r>
      <w:r>
        <w:rPr>
          <w:noProof/>
          <w:lang w:val="fr-FR"/>
        </w:rPr>
        <w:t xml:space="preserve">En 2012, ils étaient </w:t>
      </w:r>
      <w:r w:rsidR="001B2F58" w:rsidRPr="00DD03D6">
        <w:rPr>
          <w:noProof/>
          <w:lang w:val="fr-FR"/>
        </w:rPr>
        <w:t>10</w:t>
      </w:r>
      <w:r>
        <w:rPr>
          <w:noProof/>
          <w:lang w:val="fr-FR"/>
        </w:rPr>
        <w:t xml:space="preserve"> </w:t>
      </w:r>
      <w:r w:rsidR="001B2F58" w:rsidRPr="00DD03D6">
        <w:rPr>
          <w:noProof/>
          <w:lang w:val="fr-FR"/>
        </w:rPr>
        <w:t xml:space="preserve">324, </w:t>
      </w:r>
      <w:r>
        <w:rPr>
          <w:noProof/>
          <w:lang w:val="fr-FR"/>
        </w:rPr>
        <w:t xml:space="preserve">dont </w:t>
      </w:r>
      <w:r w:rsidR="001B2F58" w:rsidRPr="00DD03D6">
        <w:rPr>
          <w:noProof/>
          <w:lang w:val="fr-FR"/>
        </w:rPr>
        <w:t>2</w:t>
      </w:r>
      <w:r w:rsidR="00250C42">
        <w:rPr>
          <w:noProof/>
          <w:lang w:val="fr-FR"/>
        </w:rPr>
        <w:t> </w:t>
      </w:r>
      <w:r w:rsidR="001B2F58" w:rsidRPr="00DD03D6">
        <w:rPr>
          <w:noProof/>
          <w:lang w:val="fr-FR"/>
        </w:rPr>
        <w:t xml:space="preserve">000 </w:t>
      </w:r>
      <w:r>
        <w:rPr>
          <w:noProof/>
          <w:lang w:val="fr-FR"/>
        </w:rPr>
        <w:t xml:space="preserve">environ aidaient </w:t>
      </w:r>
      <w:r w:rsidR="001B2F58" w:rsidRPr="00DD03D6">
        <w:rPr>
          <w:noProof/>
          <w:lang w:val="fr-FR"/>
        </w:rPr>
        <w:t>6</w:t>
      </w:r>
      <w:r w:rsidR="00250C42">
        <w:rPr>
          <w:noProof/>
          <w:lang w:val="fr-FR"/>
        </w:rPr>
        <w:t> </w:t>
      </w:r>
      <w:r w:rsidR="001B2F58" w:rsidRPr="00DD03D6">
        <w:rPr>
          <w:noProof/>
          <w:lang w:val="fr-FR"/>
        </w:rPr>
        <w:t xml:space="preserve">905 </w:t>
      </w:r>
      <w:r>
        <w:rPr>
          <w:noProof/>
          <w:lang w:val="fr-FR"/>
        </w:rPr>
        <w:t>élèves d’écoles spéciales</w:t>
      </w:r>
      <w:r w:rsidR="001B2F58" w:rsidRPr="00DD03D6">
        <w:rPr>
          <w:noProof/>
          <w:lang w:val="fr-FR"/>
        </w:rPr>
        <w:t>.</w:t>
      </w:r>
      <w:r w:rsidR="00EF11F2" w:rsidRPr="00DD03D6">
        <w:rPr>
          <w:noProof/>
          <w:lang w:val="fr-FR"/>
        </w:rPr>
        <w:t xml:space="preserve"> </w:t>
      </w:r>
    </w:p>
    <w:p w:rsidR="001B2F58" w:rsidRPr="00DD03D6" w:rsidRDefault="007F5D9F" w:rsidP="007F5D9F">
      <w:pPr>
        <w:pStyle w:val="H23G"/>
        <w:ind w:firstLine="0"/>
        <w:rPr>
          <w:noProof/>
          <w:lang w:val="fr-FR"/>
        </w:rPr>
      </w:pPr>
      <w:r>
        <w:rPr>
          <w:noProof/>
          <w:lang w:val="fr-FR"/>
        </w:rPr>
        <w:t xml:space="preserve">Assiduité scolaire et assistance éducative </w:t>
      </w:r>
    </w:p>
    <w:p w:rsidR="001B2F58" w:rsidRDefault="007F5D9F" w:rsidP="00FC22D7">
      <w:pPr>
        <w:pStyle w:val="SingleTxtG"/>
        <w:numPr>
          <w:ilvl w:val="0"/>
          <w:numId w:val="3"/>
        </w:numPr>
        <w:ind w:left="1134" w:firstLine="0"/>
        <w:rPr>
          <w:noProof/>
          <w:lang w:val="fr-FR"/>
        </w:rPr>
      </w:pPr>
      <w:r>
        <w:rPr>
          <w:noProof/>
          <w:lang w:val="fr-FR"/>
        </w:rPr>
        <w:t>Le Conseil n</w:t>
      </w:r>
      <w:r w:rsidR="001B2F58" w:rsidRPr="00DD03D6">
        <w:rPr>
          <w:noProof/>
          <w:lang w:val="fr-FR"/>
        </w:rPr>
        <w:t xml:space="preserve">ational </w:t>
      </w:r>
      <w:r>
        <w:rPr>
          <w:noProof/>
          <w:lang w:val="fr-FR"/>
        </w:rPr>
        <w:t xml:space="preserve">pour l’assistance éducative </w:t>
      </w:r>
      <w:r w:rsidR="00730420">
        <w:rPr>
          <w:noProof/>
          <w:lang w:val="fr-FR"/>
        </w:rPr>
        <w:t>a été créé en vertu de la loi de 2000 sur l’assistance éducative</w:t>
      </w:r>
      <w:r w:rsidR="001B2F58" w:rsidRPr="00DD03D6">
        <w:rPr>
          <w:noProof/>
          <w:lang w:val="fr-FR"/>
        </w:rPr>
        <w:t xml:space="preserve">, </w:t>
      </w:r>
      <w:r w:rsidR="00730420">
        <w:rPr>
          <w:noProof/>
          <w:lang w:val="fr-FR"/>
        </w:rPr>
        <w:t xml:space="preserve">avec pour mission </w:t>
      </w:r>
      <w:r w:rsidR="004F626B">
        <w:rPr>
          <w:noProof/>
          <w:lang w:val="fr-FR"/>
        </w:rPr>
        <w:t xml:space="preserve">de faire en sorte que </w:t>
      </w:r>
      <w:r w:rsidR="00BE5B5E">
        <w:rPr>
          <w:noProof/>
          <w:lang w:val="fr-FR"/>
        </w:rPr>
        <w:t>« </w:t>
      </w:r>
      <w:r w:rsidR="004F626B">
        <w:rPr>
          <w:noProof/>
          <w:lang w:val="fr-FR"/>
        </w:rPr>
        <w:t>chaque enfant fréquente une école agréée ou, à défaut, bénéficie d’une éducation minimale</w:t>
      </w:r>
      <w:r w:rsidR="00BE5B5E">
        <w:rPr>
          <w:noProof/>
          <w:lang w:val="fr-FR"/>
        </w:rPr>
        <w:t> »</w:t>
      </w:r>
      <w:r w:rsidR="001B2F58" w:rsidRPr="00DD03D6">
        <w:rPr>
          <w:noProof/>
          <w:lang w:val="fr-FR"/>
        </w:rPr>
        <w:t xml:space="preserve">. </w:t>
      </w:r>
      <w:r w:rsidR="00414C2A">
        <w:rPr>
          <w:noProof/>
          <w:lang w:val="fr-FR"/>
        </w:rPr>
        <w:t>L’accent est mis sur l’aide à apporter aux enfants, aux familles et aux écoles de façon à resserrer leurs liens réciproques, plutôt que sur l’imposition de sanctions pour défaut d’assidui</w:t>
      </w:r>
      <w:r w:rsidR="00A83529">
        <w:rPr>
          <w:noProof/>
          <w:lang w:val="fr-FR"/>
        </w:rPr>
        <w:t>t</w:t>
      </w:r>
      <w:r w:rsidR="00414C2A">
        <w:rPr>
          <w:noProof/>
          <w:lang w:val="fr-FR"/>
        </w:rPr>
        <w:t>é scolaire</w:t>
      </w:r>
      <w:r w:rsidR="001B2F58" w:rsidRPr="00DD03D6">
        <w:rPr>
          <w:noProof/>
          <w:lang w:val="fr-FR"/>
        </w:rPr>
        <w:t xml:space="preserve">. </w:t>
      </w:r>
      <w:r w:rsidR="00414C2A">
        <w:rPr>
          <w:noProof/>
          <w:lang w:val="fr-FR"/>
        </w:rPr>
        <w:lastRenderedPageBreak/>
        <w:t xml:space="preserve">Le Conseil national s’emploie au niveau </w:t>
      </w:r>
      <w:r w:rsidR="001B2F58" w:rsidRPr="00DD03D6">
        <w:rPr>
          <w:noProof/>
          <w:lang w:val="fr-FR"/>
        </w:rPr>
        <w:t xml:space="preserve">local </w:t>
      </w:r>
      <w:r w:rsidR="00414C2A">
        <w:rPr>
          <w:noProof/>
          <w:lang w:val="fr-FR"/>
        </w:rPr>
        <w:t xml:space="preserve">à travers tout le pays à fournir appui et conseils aux </w:t>
      </w:r>
      <w:r w:rsidR="001B2F58" w:rsidRPr="00DD03D6">
        <w:rPr>
          <w:noProof/>
          <w:lang w:val="fr-FR"/>
        </w:rPr>
        <w:t xml:space="preserve">parents </w:t>
      </w:r>
      <w:r w:rsidR="00414C2A">
        <w:rPr>
          <w:noProof/>
          <w:lang w:val="fr-FR"/>
        </w:rPr>
        <w:t>et aux écoles</w:t>
      </w:r>
      <w:r w:rsidR="001B2F58" w:rsidRPr="00DD03D6">
        <w:rPr>
          <w:noProof/>
          <w:lang w:val="fr-FR"/>
        </w:rPr>
        <w:t xml:space="preserve">, </w:t>
      </w:r>
      <w:r w:rsidR="00414C2A">
        <w:rPr>
          <w:noProof/>
          <w:lang w:val="fr-FR"/>
        </w:rPr>
        <w:t>et à suivre les cas d’absentéisme</w:t>
      </w:r>
      <w:r w:rsidR="001B2F58" w:rsidRPr="00DD03D6">
        <w:rPr>
          <w:noProof/>
          <w:lang w:val="fr-FR"/>
        </w:rPr>
        <w:t xml:space="preserve">. </w:t>
      </w:r>
      <w:r w:rsidR="00414C2A">
        <w:rPr>
          <w:noProof/>
          <w:lang w:val="fr-FR"/>
        </w:rPr>
        <w:t xml:space="preserve">Il est également chargé de donner des avis au Gouvernement sur la </w:t>
      </w:r>
      <w:r w:rsidR="001B2F58" w:rsidRPr="00DD03D6">
        <w:rPr>
          <w:noProof/>
          <w:lang w:val="fr-FR"/>
        </w:rPr>
        <w:t xml:space="preserve">formulation </w:t>
      </w:r>
      <w:r w:rsidR="00414C2A">
        <w:rPr>
          <w:noProof/>
          <w:lang w:val="fr-FR"/>
        </w:rPr>
        <w:t>et l’application de politiques concernant l’assiduité scolaire et l’assistance éducative</w:t>
      </w:r>
      <w:r w:rsidR="001B2F58" w:rsidRPr="00DD03D6">
        <w:rPr>
          <w:noProof/>
          <w:lang w:val="fr-FR"/>
        </w:rPr>
        <w:t>.</w:t>
      </w:r>
    </w:p>
    <w:p w:rsidR="001B2F58" w:rsidRPr="00DD03D6" w:rsidRDefault="00414C2A" w:rsidP="000448E3">
      <w:pPr>
        <w:pStyle w:val="SingleTxtG"/>
        <w:numPr>
          <w:ilvl w:val="0"/>
          <w:numId w:val="3"/>
        </w:numPr>
        <w:ind w:left="1134" w:firstLine="0"/>
        <w:rPr>
          <w:noProof/>
          <w:lang w:val="fr-FR"/>
        </w:rPr>
      </w:pPr>
      <w:r>
        <w:rPr>
          <w:noProof/>
          <w:lang w:val="fr-FR"/>
        </w:rPr>
        <w:t>E</w:t>
      </w:r>
      <w:r w:rsidR="001B2F58" w:rsidRPr="00DD03D6">
        <w:rPr>
          <w:noProof/>
          <w:lang w:val="fr-FR"/>
        </w:rPr>
        <w:t xml:space="preserve">n </w:t>
      </w:r>
      <w:r>
        <w:rPr>
          <w:noProof/>
          <w:lang w:val="fr-FR"/>
        </w:rPr>
        <w:t>mai</w:t>
      </w:r>
      <w:r w:rsidR="001B2F58" w:rsidRPr="00DD03D6">
        <w:rPr>
          <w:noProof/>
          <w:lang w:val="fr-FR"/>
        </w:rPr>
        <w:t xml:space="preserve"> 2009, </w:t>
      </w:r>
      <w:r>
        <w:rPr>
          <w:noProof/>
          <w:lang w:val="fr-FR"/>
        </w:rPr>
        <w:t xml:space="preserve">le Ministère de l’éducation et de la formation </w:t>
      </w:r>
      <w:r w:rsidR="00C150D1">
        <w:rPr>
          <w:noProof/>
          <w:lang w:val="fr-FR"/>
        </w:rPr>
        <w:t>a élargi le mandat du Conseil n</w:t>
      </w:r>
      <w:r w:rsidR="00C150D1" w:rsidRPr="00DD03D6">
        <w:rPr>
          <w:noProof/>
          <w:lang w:val="fr-FR"/>
        </w:rPr>
        <w:t xml:space="preserve">ational </w:t>
      </w:r>
      <w:r w:rsidR="00C150D1">
        <w:rPr>
          <w:noProof/>
          <w:lang w:val="fr-FR"/>
        </w:rPr>
        <w:t>pour l’assistance éducative</w:t>
      </w:r>
      <w:r w:rsidR="001B2F58" w:rsidRPr="00DD03D6">
        <w:rPr>
          <w:noProof/>
          <w:lang w:val="fr-FR"/>
        </w:rPr>
        <w:t xml:space="preserve">. </w:t>
      </w:r>
      <w:r w:rsidR="00C150D1">
        <w:rPr>
          <w:noProof/>
          <w:lang w:val="fr-FR"/>
        </w:rPr>
        <w:t>Ce nouveau mandat regroupe le Service d’assistance éducative, le programme pour l’achèvement de la scolarité, l</w:t>
      </w:r>
      <w:r w:rsidR="00E228E8">
        <w:rPr>
          <w:noProof/>
          <w:lang w:val="fr-FR"/>
        </w:rPr>
        <w:t xml:space="preserve">e mécanisme de </w:t>
      </w:r>
      <w:r w:rsidR="00C150D1">
        <w:rPr>
          <w:noProof/>
          <w:lang w:val="fr-FR"/>
        </w:rPr>
        <w:t xml:space="preserve">liaison entre l’école et la famille et le </w:t>
      </w:r>
      <w:r w:rsidR="00C150D1" w:rsidRPr="00FA02D4">
        <w:rPr>
          <w:lang w:val="fr-CH"/>
        </w:rPr>
        <w:t>Service d’enseignants visiteurs pour les gens du voyage</w:t>
      </w:r>
      <w:r w:rsidR="00C150D1">
        <w:rPr>
          <w:lang w:val="fr-CH"/>
        </w:rPr>
        <w:t>, ce qui</w:t>
      </w:r>
      <w:r w:rsidR="00C150D1" w:rsidRPr="00DD03D6">
        <w:rPr>
          <w:noProof/>
          <w:lang w:val="fr-FR"/>
        </w:rPr>
        <w:t xml:space="preserve"> </w:t>
      </w:r>
      <w:r w:rsidR="00E228E8">
        <w:rPr>
          <w:noProof/>
          <w:lang w:val="fr-FR"/>
        </w:rPr>
        <w:t xml:space="preserve">lui donne une orientation stratégique unique et mieux ciblée aux niveaux </w:t>
      </w:r>
      <w:r w:rsidR="001B2F58" w:rsidRPr="00DD03D6">
        <w:rPr>
          <w:noProof/>
          <w:lang w:val="fr-FR"/>
        </w:rPr>
        <w:t>local, r</w:t>
      </w:r>
      <w:r w:rsidR="00E228E8">
        <w:rPr>
          <w:noProof/>
          <w:lang w:val="fr-FR"/>
        </w:rPr>
        <w:t>é</w:t>
      </w:r>
      <w:r w:rsidR="001B2F58" w:rsidRPr="00DD03D6">
        <w:rPr>
          <w:noProof/>
          <w:lang w:val="fr-FR"/>
        </w:rPr>
        <w:t xml:space="preserve">gional </w:t>
      </w:r>
      <w:r w:rsidR="00E228E8">
        <w:rPr>
          <w:noProof/>
          <w:lang w:val="fr-FR"/>
        </w:rPr>
        <w:t>et</w:t>
      </w:r>
      <w:r w:rsidR="001B2F58" w:rsidRPr="00DD03D6">
        <w:rPr>
          <w:noProof/>
          <w:lang w:val="fr-FR"/>
        </w:rPr>
        <w:t xml:space="preserve"> national, </w:t>
      </w:r>
      <w:r w:rsidR="00E228E8">
        <w:rPr>
          <w:noProof/>
          <w:lang w:val="fr-FR"/>
        </w:rPr>
        <w:t xml:space="preserve">et permet de prendre en considération de façon égale la </w:t>
      </w:r>
      <w:r w:rsidR="001B2F58" w:rsidRPr="00DD03D6">
        <w:rPr>
          <w:noProof/>
          <w:lang w:val="fr-FR"/>
        </w:rPr>
        <w:t xml:space="preserve">nature </w:t>
      </w:r>
      <w:r w:rsidR="00E228E8">
        <w:rPr>
          <w:noProof/>
          <w:lang w:val="fr-FR"/>
        </w:rPr>
        <w:t xml:space="preserve">et les atouts de chacun de ces </w:t>
      </w:r>
      <w:r w:rsidR="001B2F58" w:rsidRPr="00DD03D6">
        <w:rPr>
          <w:noProof/>
          <w:lang w:val="fr-FR"/>
        </w:rPr>
        <w:t>services.</w:t>
      </w:r>
    </w:p>
    <w:p w:rsidR="001B2F58" w:rsidRPr="00DD03D6" w:rsidRDefault="00E228E8" w:rsidP="00796A7C">
      <w:pPr>
        <w:pStyle w:val="SingleTxtG"/>
        <w:numPr>
          <w:ilvl w:val="0"/>
          <w:numId w:val="3"/>
        </w:numPr>
        <w:ind w:left="1134" w:firstLine="0"/>
        <w:rPr>
          <w:noProof/>
          <w:lang w:val="fr-FR"/>
        </w:rPr>
      </w:pPr>
      <w:r>
        <w:rPr>
          <w:noProof/>
          <w:lang w:val="fr-FR"/>
        </w:rPr>
        <w:t xml:space="preserve">Le Service d’assistance éducative </w:t>
      </w:r>
      <w:r w:rsidR="00C77CB0">
        <w:rPr>
          <w:noProof/>
          <w:lang w:val="fr-FR"/>
        </w:rPr>
        <w:t>est un service officiel chargé d’appuyer l’assiduité de tous les enfants et jeunes d’âge scolaire par l’intermédiaire de ses agents d’assistance éducative</w:t>
      </w:r>
      <w:r w:rsidR="001B2F58" w:rsidRPr="00DD03D6">
        <w:rPr>
          <w:noProof/>
          <w:lang w:val="fr-FR"/>
        </w:rPr>
        <w:t xml:space="preserve">. </w:t>
      </w:r>
      <w:r w:rsidR="00C77CB0">
        <w:rPr>
          <w:noProof/>
          <w:lang w:val="fr-FR"/>
        </w:rPr>
        <w:t xml:space="preserve">Ces agents collaborent directement avec les écoles, les autres services de soutien scolaire et les </w:t>
      </w:r>
      <w:r w:rsidR="001B2F58" w:rsidRPr="00DD03D6">
        <w:rPr>
          <w:noProof/>
          <w:lang w:val="fr-FR"/>
        </w:rPr>
        <w:t>profession</w:t>
      </w:r>
      <w:r w:rsidR="00C77CB0">
        <w:rPr>
          <w:noProof/>
          <w:lang w:val="fr-FR"/>
        </w:rPr>
        <w:t>nels d’autres secteurs qui travaillent avec les enfants et les familles pour réaliser les objectifs de ce Service</w:t>
      </w:r>
      <w:r w:rsidR="001B2F58" w:rsidRPr="00DD03D6">
        <w:rPr>
          <w:noProof/>
          <w:lang w:val="fr-FR"/>
        </w:rPr>
        <w:t xml:space="preserve">. </w:t>
      </w:r>
      <w:r w:rsidR="00C77CB0">
        <w:rPr>
          <w:noProof/>
          <w:lang w:val="fr-FR"/>
        </w:rPr>
        <w:t>Le programme pour l’achèvement de la scolarité</w:t>
      </w:r>
      <w:r w:rsidR="00C77CB0" w:rsidRPr="00DD03D6">
        <w:rPr>
          <w:noProof/>
          <w:lang w:val="fr-FR"/>
        </w:rPr>
        <w:t xml:space="preserve"> </w:t>
      </w:r>
      <w:r w:rsidR="00C77CB0">
        <w:rPr>
          <w:noProof/>
          <w:lang w:val="fr-FR"/>
        </w:rPr>
        <w:t xml:space="preserve">est un </w:t>
      </w:r>
      <w:r w:rsidR="001B2F58" w:rsidRPr="00DD03D6">
        <w:rPr>
          <w:noProof/>
          <w:lang w:val="fr-FR"/>
        </w:rPr>
        <w:t xml:space="preserve">programme </w:t>
      </w:r>
      <w:r w:rsidR="00C77CB0">
        <w:rPr>
          <w:noProof/>
          <w:lang w:val="fr-FR"/>
        </w:rPr>
        <w:t xml:space="preserve">qui s’adresse aux enfants des écoles désignées comme desservant des zones défavorisées dans le cadre du </w:t>
      </w:r>
      <w:r w:rsidR="00C77CB0" w:rsidRPr="00FA02D4">
        <w:rPr>
          <w:lang w:val="fr-CH"/>
        </w:rPr>
        <w:t>plan d’action pour une éducation ouverte à tous («</w:t>
      </w:r>
      <w:r w:rsidR="00FD2518">
        <w:rPr>
          <w:lang w:val="fr-CH"/>
        </w:rPr>
        <w:t> </w:t>
      </w:r>
      <w:r w:rsidR="00C77CB0" w:rsidRPr="00FA02D4">
        <w:rPr>
          <w:lang w:val="fr-CH"/>
        </w:rPr>
        <w:t>Faire de l’égalité des chances dans les écoles une réalité</w:t>
      </w:r>
      <w:r w:rsidR="00FD2518">
        <w:rPr>
          <w:lang w:val="fr-CH"/>
        </w:rPr>
        <w:t> </w:t>
      </w:r>
      <w:r w:rsidR="00C77CB0" w:rsidRPr="00FA02D4">
        <w:rPr>
          <w:lang w:val="fr-CH"/>
        </w:rPr>
        <w:t>»)</w:t>
      </w:r>
      <w:r w:rsidR="00BB1E61">
        <w:rPr>
          <w:noProof/>
          <w:lang w:val="fr-FR"/>
        </w:rPr>
        <w:t xml:space="preserve">. Il vise à maintenir les jeunes dans le système d’éducation formelle jusqu’à l’achèvement du deuxième cycle du secondaire ou un niveau équivalent, </w:t>
      </w:r>
      <w:r w:rsidR="00497A9A">
        <w:rPr>
          <w:noProof/>
          <w:lang w:val="fr-FR"/>
        </w:rPr>
        <w:t xml:space="preserve">et </w:t>
      </w:r>
      <w:r w:rsidR="00BB1E61">
        <w:rPr>
          <w:noProof/>
          <w:lang w:val="fr-FR"/>
        </w:rPr>
        <w:t xml:space="preserve">à améliorer la </w:t>
      </w:r>
      <w:r w:rsidR="001B2F58" w:rsidRPr="00DD03D6">
        <w:rPr>
          <w:noProof/>
          <w:lang w:val="fr-FR"/>
        </w:rPr>
        <w:t>qualit</w:t>
      </w:r>
      <w:r w:rsidR="00BB1E61">
        <w:rPr>
          <w:noProof/>
          <w:lang w:val="fr-FR"/>
        </w:rPr>
        <w:t xml:space="preserve">é de la </w:t>
      </w:r>
      <w:r w:rsidR="001B2F58" w:rsidRPr="00DD03D6">
        <w:rPr>
          <w:noProof/>
          <w:lang w:val="fr-FR"/>
        </w:rPr>
        <w:t xml:space="preserve">participation </w:t>
      </w:r>
      <w:r w:rsidR="00BB1E61">
        <w:rPr>
          <w:noProof/>
          <w:lang w:val="fr-FR"/>
        </w:rPr>
        <w:t>et des résultats scolaire</w:t>
      </w:r>
      <w:r w:rsidR="00A83529">
        <w:rPr>
          <w:noProof/>
          <w:lang w:val="fr-FR"/>
        </w:rPr>
        <w:t>s</w:t>
      </w:r>
      <w:r w:rsidR="00BB1E61">
        <w:rPr>
          <w:noProof/>
          <w:lang w:val="fr-FR"/>
        </w:rPr>
        <w:t xml:space="preserve"> de sa cohorte cible</w:t>
      </w:r>
      <w:r w:rsidR="001B2F58" w:rsidRPr="00DD03D6">
        <w:rPr>
          <w:noProof/>
          <w:lang w:val="fr-FR"/>
        </w:rPr>
        <w:t xml:space="preserve">. </w:t>
      </w:r>
      <w:r w:rsidR="00BB1E61">
        <w:rPr>
          <w:noProof/>
          <w:lang w:val="fr-FR"/>
        </w:rPr>
        <w:t>Chaque projet est géré par un comité de gestion l</w:t>
      </w:r>
      <w:r w:rsidR="001B2F58" w:rsidRPr="00DD03D6">
        <w:rPr>
          <w:noProof/>
          <w:lang w:val="fr-FR"/>
        </w:rPr>
        <w:t xml:space="preserve">ocal </w:t>
      </w:r>
      <w:r w:rsidR="00BB1E61">
        <w:rPr>
          <w:noProof/>
          <w:lang w:val="fr-FR"/>
        </w:rPr>
        <w:t xml:space="preserve">et fournit un </w:t>
      </w:r>
      <w:r w:rsidR="001B2F58" w:rsidRPr="00DD03D6">
        <w:rPr>
          <w:noProof/>
          <w:lang w:val="fr-FR"/>
        </w:rPr>
        <w:t xml:space="preserve">programme </w:t>
      </w:r>
      <w:r w:rsidR="00BB1E61">
        <w:rPr>
          <w:noProof/>
          <w:lang w:val="fr-FR"/>
        </w:rPr>
        <w:t>adapté d’activités scolaires, périscolaire</w:t>
      </w:r>
      <w:r w:rsidR="00497A9A">
        <w:rPr>
          <w:noProof/>
          <w:lang w:val="fr-FR"/>
        </w:rPr>
        <w:t>s</w:t>
      </w:r>
      <w:r w:rsidR="00BB1E61">
        <w:rPr>
          <w:noProof/>
          <w:lang w:val="fr-FR"/>
        </w:rPr>
        <w:t xml:space="preserve"> et de vacances aux enfants et jeunes en situation de risque d’abandon scolaire précoce</w:t>
      </w:r>
      <w:r w:rsidR="001B2F58" w:rsidRPr="00DD03D6">
        <w:rPr>
          <w:noProof/>
          <w:lang w:val="fr-FR"/>
        </w:rPr>
        <w:t xml:space="preserve">. </w:t>
      </w:r>
      <w:r w:rsidR="00BB1E61">
        <w:rPr>
          <w:noProof/>
          <w:lang w:val="fr-FR"/>
        </w:rPr>
        <w:t>Le mécanisme de liaison entre l’école et la famille</w:t>
      </w:r>
      <w:r w:rsidR="00BB1E61" w:rsidRPr="00DD03D6">
        <w:rPr>
          <w:noProof/>
          <w:lang w:val="fr-FR"/>
        </w:rPr>
        <w:t xml:space="preserve"> </w:t>
      </w:r>
      <w:r w:rsidR="00BB1E61">
        <w:rPr>
          <w:noProof/>
          <w:lang w:val="fr-FR"/>
        </w:rPr>
        <w:t xml:space="preserve">est une stratégie préventive qui cible </w:t>
      </w:r>
      <w:r w:rsidR="00497A9A">
        <w:rPr>
          <w:noProof/>
          <w:lang w:val="fr-FR"/>
        </w:rPr>
        <w:t>elle</w:t>
      </w:r>
      <w:r w:rsidR="00BB1E61">
        <w:rPr>
          <w:noProof/>
          <w:lang w:val="fr-FR"/>
        </w:rPr>
        <w:t xml:space="preserve"> aussi les enfants en situation de risque d’abandon scolaire précoce</w:t>
      </w:r>
      <w:r w:rsidR="00BB1E61" w:rsidRPr="00DD03D6">
        <w:rPr>
          <w:noProof/>
          <w:lang w:val="fr-FR"/>
        </w:rPr>
        <w:t xml:space="preserve"> </w:t>
      </w:r>
      <w:r w:rsidR="00BB1E61">
        <w:rPr>
          <w:noProof/>
          <w:lang w:val="fr-FR"/>
        </w:rPr>
        <w:t xml:space="preserve">dans les écoles </w:t>
      </w:r>
      <w:r w:rsidR="001B2F58" w:rsidRPr="00DD03D6">
        <w:rPr>
          <w:noProof/>
          <w:lang w:val="fr-FR"/>
        </w:rPr>
        <w:t>d</w:t>
      </w:r>
      <w:r w:rsidR="00BB1E61">
        <w:rPr>
          <w:noProof/>
          <w:lang w:val="fr-FR"/>
        </w:rPr>
        <w:t>é</w:t>
      </w:r>
      <w:r w:rsidR="001B2F58" w:rsidRPr="00DD03D6">
        <w:rPr>
          <w:noProof/>
          <w:lang w:val="fr-FR"/>
        </w:rPr>
        <w:t>sign</w:t>
      </w:r>
      <w:r w:rsidR="00BB1E61">
        <w:rPr>
          <w:noProof/>
          <w:lang w:val="fr-FR"/>
        </w:rPr>
        <w:t xml:space="preserve">ées comme desservant les zones défavorisées dans le cadre du </w:t>
      </w:r>
      <w:r w:rsidR="00BB1E61" w:rsidRPr="00FA02D4">
        <w:rPr>
          <w:lang w:val="fr-CH"/>
        </w:rPr>
        <w:t>plan d’action pour une éducation ouverte à tous</w:t>
      </w:r>
      <w:r w:rsidR="001B2F58" w:rsidRPr="00DD03D6">
        <w:rPr>
          <w:noProof/>
          <w:lang w:val="fr-FR"/>
        </w:rPr>
        <w:t xml:space="preserve">. </w:t>
      </w:r>
      <w:r w:rsidR="00BB1E61">
        <w:rPr>
          <w:noProof/>
          <w:lang w:val="fr-FR"/>
        </w:rPr>
        <w:t xml:space="preserve">Ce mécanisme, qui est directement axé sur les adultes tenant une grande place dans la vie des enfants, </w:t>
      </w:r>
      <w:r w:rsidR="00497A9A">
        <w:rPr>
          <w:noProof/>
          <w:lang w:val="fr-FR"/>
        </w:rPr>
        <w:t xml:space="preserve">cherche à obtenir des avantages indirects pour les enfants eux-mêmes </w:t>
      </w:r>
      <w:r w:rsidR="001B2F58" w:rsidRPr="00DD03D6">
        <w:rPr>
          <w:noProof/>
          <w:lang w:val="fr-FR"/>
        </w:rPr>
        <w:t xml:space="preserve">: </w:t>
      </w:r>
      <w:r w:rsidR="00497A9A">
        <w:rPr>
          <w:noProof/>
          <w:lang w:val="fr-FR"/>
        </w:rPr>
        <w:t>ses coordonnateurs</w:t>
      </w:r>
      <w:r w:rsidR="001B2F58" w:rsidRPr="00DD03D6">
        <w:rPr>
          <w:noProof/>
          <w:lang w:val="fr-FR"/>
        </w:rPr>
        <w:t xml:space="preserve">, </w:t>
      </w:r>
      <w:r w:rsidR="00497A9A">
        <w:rPr>
          <w:noProof/>
          <w:lang w:val="fr-FR"/>
        </w:rPr>
        <w:t>qui sont des enseignants</w:t>
      </w:r>
      <w:r w:rsidR="001B2F58" w:rsidRPr="00DD03D6">
        <w:rPr>
          <w:noProof/>
          <w:lang w:val="fr-FR"/>
        </w:rPr>
        <w:t>, organise</w:t>
      </w:r>
      <w:r w:rsidR="00497A9A">
        <w:rPr>
          <w:noProof/>
          <w:lang w:val="fr-FR"/>
        </w:rPr>
        <w:t xml:space="preserve">nt des activités à l’échelon </w:t>
      </w:r>
      <w:r w:rsidR="001B2F58" w:rsidRPr="00DD03D6">
        <w:rPr>
          <w:noProof/>
          <w:lang w:val="fr-FR"/>
        </w:rPr>
        <w:t>local</w:t>
      </w:r>
      <w:r w:rsidR="00497A9A">
        <w:rPr>
          <w:noProof/>
          <w:lang w:val="fr-FR"/>
        </w:rPr>
        <w:t xml:space="preserve"> pour renforcer les </w:t>
      </w:r>
      <w:r w:rsidR="001B2F58" w:rsidRPr="00DD03D6">
        <w:rPr>
          <w:noProof/>
          <w:lang w:val="fr-FR"/>
        </w:rPr>
        <w:t>contact</w:t>
      </w:r>
      <w:r w:rsidR="00497A9A">
        <w:rPr>
          <w:noProof/>
          <w:lang w:val="fr-FR"/>
        </w:rPr>
        <w:t>s</w:t>
      </w:r>
      <w:r w:rsidR="001B2F58" w:rsidRPr="00DD03D6">
        <w:rPr>
          <w:noProof/>
          <w:lang w:val="fr-FR"/>
        </w:rPr>
        <w:t xml:space="preserve"> </w:t>
      </w:r>
      <w:r w:rsidR="00497A9A">
        <w:rPr>
          <w:noProof/>
          <w:lang w:val="fr-FR"/>
        </w:rPr>
        <w:t xml:space="preserve">entre </w:t>
      </w:r>
      <w:r w:rsidR="001B2F58" w:rsidRPr="00DD03D6">
        <w:rPr>
          <w:noProof/>
          <w:lang w:val="fr-FR"/>
        </w:rPr>
        <w:t xml:space="preserve">parents, </w:t>
      </w:r>
      <w:r w:rsidR="00497A9A">
        <w:rPr>
          <w:noProof/>
          <w:lang w:val="fr-FR"/>
        </w:rPr>
        <w:t>enseignants et groupes associatifs et publics locaux afin de remédier aux problèmes locaux qui affectent l’apprentissage</w:t>
      </w:r>
      <w:r w:rsidR="001B2F58" w:rsidRPr="00DD03D6">
        <w:rPr>
          <w:noProof/>
          <w:lang w:val="fr-FR"/>
        </w:rPr>
        <w:t xml:space="preserve">. </w:t>
      </w:r>
      <w:r w:rsidR="00497A9A">
        <w:rPr>
          <w:noProof/>
          <w:lang w:val="fr-FR"/>
        </w:rPr>
        <w:t>Le programme pour l’achèvement de la scolarité et le</w:t>
      </w:r>
      <w:r w:rsidR="00497A9A" w:rsidRPr="00DD03D6">
        <w:rPr>
          <w:noProof/>
          <w:lang w:val="fr-FR"/>
        </w:rPr>
        <w:t xml:space="preserve"> </w:t>
      </w:r>
      <w:r w:rsidR="00497A9A">
        <w:rPr>
          <w:noProof/>
          <w:lang w:val="fr-FR"/>
        </w:rPr>
        <w:t>mécanisme de liaison entre l’école et la famille</w:t>
      </w:r>
      <w:r w:rsidR="00497A9A" w:rsidRPr="00DD03D6">
        <w:rPr>
          <w:noProof/>
          <w:lang w:val="fr-FR"/>
        </w:rPr>
        <w:t xml:space="preserve"> </w:t>
      </w:r>
      <w:r w:rsidR="00497A9A">
        <w:rPr>
          <w:noProof/>
          <w:lang w:val="fr-FR"/>
        </w:rPr>
        <w:t>sont des composantes du programme de soutien scolaire du programme DEIS</w:t>
      </w:r>
      <w:r w:rsidR="00DD7182" w:rsidRPr="00DD03D6">
        <w:rPr>
          <w:rStyle w:val="Appelnotedebasdep"/>
          <w:noProof/>
          <w:lang w:val="fr-FR"/>
        </w:rPr>
        <w:footnoteReference w:id="44"/>
      </w:r>
      <w:r w:rsidR="001B2F58" w:rsidRPr="00DD03D6">
        <w:rPr>
          <w:noProof/>
          <w:lang w:val="fr-FR"/>
        </w:rPr>
        <w:t>.</w:t>
      </w:r>
    </w:p>
    <w:p w:rsidR="001B2F58" w:rsidRPr="00DD03D6" w:rsidRDefault="009F6BB2" w:rsidP="00331115">
      <w:pPr>
        <w:pStyle w:val="SingleTxtG"/>
        <w:numPr>
          <w:ilvl w:val="0"/>
          <w:numId w:val="3"/>
        </w:numPr>
        <w:ind w:left="1134" w:firstLine="0"/>
        <w:rPr>
          <w:noProof/>
          <w:lang w:val="fr-FR"/>
        </w:rPr>
      </w:pPr>
      <w:r>
        <w:rPr>
          <w:noProof/>
          <w:lang w:val="fr-FR"/>
        </w:rPr>
        <w:t>L’intégration des services susmentionnés permet au Conseil n</w:t>
      </w:r>
      <w:r w:rsidRPr="00DD03D6">
        <w:rPr>
          <w:noProof/>
          <w:lang w:val="fr-FR"/>
        </w:rPr>
        <w:t xml:space="preserve">ational </w:t>
      </w:r>
      <w:r>
        <w:rPr>
          <w:noProof/>
          <w:lang w:val="fr-FR"/>
        </w:rPr>
        <w:t>pour l’assistance éducative de fournir d’excellents services grâce à la mise en œuvre de l’approche « Un enfant, une équipe, un plan »</w:t>
      </w:r>
      <w:r w:rsidR="001B2F58" w:rsidRPr="00DD03D6">
        <w:rPr>
          <w:noProof/>
          <w:lang w:val="fr-FR"/>
        </w:rPr>
        <w:t xml:space="preserve">. </w:t>
      </w:r>
      <w:r>
        <w:rPr>
          <w:noProof/>
          <w:lang w:val="fr-FR"/>
        </w:rPr>
        <w:t>Il peut ainsi apporter un soutien homogène aux enfants et aux familles qui, de ce fait, peuvent profiter au mieux du système éducatif</w:t>
      </w:r>
      <w:r w:rsidR="001B2F58" w:rsidRPr="00DD03D6">
        <w:rPr>
          <w:noProof/>
          <w:lang w:val="fr-FR"/>
        </w:rPr>
        <w:t>.</w:t>
      </w:r>
    </w:p>
    <w:p w:rsidR="001B2F58" w:rsidRPr="00DD03D6" w:rsidRDefault="00A421F6" w:rsidP="000448E3">
      <w:pPr>
        <w:pStyle w:val="SingleTxtG"/>
        <w:numPr>
          <w:ilvl w:val="0"/>
          <w:numId w:val="3"/>
        </w:numPr>
        <w:ind w:left="1134" w:firstLine="0"/>
        <w:rPr>
          <w:noProof/>
          <w:lang w:val="fr-FR"/>
        </w:rPr>
      </w:pPr>
      <w:r>
        <w:rPr>
          <w:noProof/>
          <w:lang w:val="fr-FR"/>
        </w:rPr>
        <w:t>E</w:t>
      </w:r>
      <w:r w:rsidR="001B2F58" w:rsidRPr="00DD03D6">
        <w:rPr>
          <w:noProof/>
          <w:lang w:val="fr-FR"/>
        </w:rPr>
        <w:t xml:space="preserve">n </w:t>
      </w:r>
      <w:r>
        <w:rPr>
          <w:noProof/>
          <w:lang w:val="fr-FR"/>
        </w:rPr>
        <w:t xml:space="preserve">juin </w:t>
      </w:r>
      <w:r w:rsidR="001B2F58" w:rsidRPr="00DD03D6">
        <w:rPr>
          <w:noProof/>
          <w:lang w:val="fr-FR"/>
        </w:rPr>
        <w:t xml:space="preserve">2011, </w:t>
      </w:r>
      <w:r>
        <w:rPr>
          <w:noProof/>
          <w:lang w:val="fr-FR"/>
        </w:rPr>
        <w:t>les attributions du Conseil national ont été transférées au Ministère de l’enfance et de la jeunesse</w:t>
      </w:r>
      <w:r w:rsidR="001B2F58" w:rsidRPr="00DD03D6">
        <w:rPr>
          <w:noProof/>
          <w:lang w:val="fr-FR"/>
        </w:rPr>
        <w:t xml:space="preserve">. </w:t>
      </w:r>
      <w:r>
        <w:rPr>
          <w:noProof/>
          <w:lang w:val="fr-FR"/>
        </w:rPr>
        <w:t xml:space="preserve">Ce </w:t>
      </w:r>
      <w:r w:rsidR="001B2F58" w:rsidRPr="00DD03D6">
        <w:rPr>
          <w:noProof/>
          <w:lang w:val="fr-FR"/>
        </w:rPr>
        <w:t>transfer</w:t>
      </w:r>
      <w:r>
        <w:rPr>
          <w:noProof/>
          <w:lang w:val="fr-FR"/>
        </w:rPr>
        <w:t>t d’attributions du Conseil et d’un certain nombre d’autres services axés sur les enfants a i</w:t>
      </w:r>
      <w:r w:rsidR="002B7127">
        <w:rPr>
          <w:noProof/>
          <w:lang w:val="fr-FR"/>
        </w:rPr>
        <w:t xml:space="preserve">nstauré une </w:t>
      </w:r>
      <w:r>
        <w:rPr>
          <w:noProof/>
          <w:lang w:val="fr-FR"/>
        </w:rPr>
        <w:t xml:space="preserve">collaboration </w:t>
      </w:r>
      <w:r w:rsidR="002B7127">
        <w:rPr>
          <w:noProof/>
          <w:lang w:val="fr-FR"/>
        </w:rPr>
        <w:t xml:space="preserve">plus étroite </w:t>
      </w:r>
      <w:r>
        <w:rPr>
          <w:noProof/>
          <w:lang w:val="fr-FR"/>
        </w:rPr>
        <w:t xml:space="preserve">et </w:t>
      </w:r>
      <w:r w:rsidR="002B7127">
        <w:rPr>
          <w:noProof/>
          <w:lang w:val="fr-FR"/>
        </w:rPr>
        <w:t>favorisé l</w:t>
      </w:r>
      <w:r>
        <w:rPr>
          <w:noProof/>
          <w:lang w:val="fr-FR"/>
        </w:rPr>
        <w:t>’</w:t>
      </w:r>
      <w:r w:rsidR="002B7127">
        <w:rPr>
          <w:noProof/>
          <w:lang w:val="fr-FR"/>
        </w:rPr>
        <w:t>innovation</w:t>
      </w:r>
      <w:r>
        <w:rPr>
          <w:noProof/>
          <w:lang w:val="fr-FR"/>
        </w:rPr>
        <w:t xml:space="preserve"> </w:t>
      </w:r>
      <w:r w:rsidR="002B7127">
        <w:rPr>
          <w:noProof/>
          <w:lang w:val="fr-FR"/>
        </w:rPr>
        <w:t>en ce qui concerne les services axés sur les enfants par le biais de la priorisation de l’élaboration de politiques et de la prestation de services entre les différents ministères, afin d’améliorer la vie des enfants et des jeunes</w:t>
      </w:r>
      <w:r w:rsidR="001B2F58" w:rsidRPr="00DD03D6">
        <w:rPr>
          <w:noProof/>
          <w:lang w:val="fr-FR"/>
        </w:rPr>
        <w:t xml:space="preserve">. </w:t>
      </w:r>
      <w:r w:rsidR="002B7127">
        <w:rPr>
          <w:noProof/>
          <w:lang w:val="fr-FR"/>
        </w:rPr>
        <w:t xml:space="preserve">Le Conseil national sera intégré à la nouvelle Agence pour l’enfant et la famille lorsque celle-ci sera créée en </w:t>
      </w:r>
      <w:r w:rsidR="001B2F58" w:rsidRPr="00DD03D6">
        <w:rPr>
          <w:noProof/>
          <w:lang w:val="fr-FR"/>
        </w:rPr>
        <w:t>2013.</w:t>
      </w:r>
    </w:p>
    <w:p w:rsidR="001B2F58" w:rsidRPr="00DD03D6" w:rsidRDefault="002B7127" w:rsidP="000448E3">
      <w:pPr>
        <w:pStyle w:val="SingleTxtG"/>
        <w:numPr>
          <w:ilvl w:val="0"/>
          <w:numId w:val="3"/>
        </w:numPr>
        <w:ind w:left="1134" w:firstLine="0"/>
        <w:rPr>
          <w:noProof/>
          <w:lang w:val="fr-FR"/>
        </w:rPr>
      </w:pPr>
      <w:r>
        <w:rPr>
          <w:noProof/>
          <w:lang w:val="fr-FR"/>
        </w:rPr>
        <w:lastRenderedPageBreak/>
        <w:t xml:space="preserve">Depuis </w:t>
      </w:r>
      <w:r w:rsidR="001B2F58" w:rsidRPr="00DD03D6">
        <w:rPr>
          <w:noProof/>
          <w:lang w:val="fr-FR"/>
        </w:rPr>
        <w:t xml:space="preserve">1999, </w:t>
      </w:r>
      <w:r w:rsidR="00793A0E">
        <w:rPr>
          <w:noProof/>
          <w:lang w:val="fr-FR"/>
        </w:rPr>
        <w:t>le Service n</w:t>
      </w:r>
      <w:r w:rsidR="001B2F58" w:rsidRPr="00DD03D6">
        <w:rPr>
          <w:noProof/>
          <w:lang w:val="fr-FR"/>
        </w:rPr>
        <w:t xml:space="preserve">ational </w:t>
      </w:r>
      <w:r w:rsidR="00183C7E">
        <w:rPr>
          <w:noProof/>
          <w:lang w:val="fr-FR"/>
        </w:rPr>
        <w:t>de psychopédagogie</w:t>
      </w:r>
      <w:r w:rsidR="00DD7182" w:rsidRPr="00DD03D6">
        <w:rPr>
          <w:rStyle w:val="Appelnotedebasdep"/>
          <w:noProof/>
          <w:lang w:val="fr-FR"/>
        </w:rPr>
        <w:footnoteReference w:id="45"/>
      </w:r>
      <w:r w:rsidR="001B2F58" w:rsidRPr="00DD03D6">
        <w:rPr>
          <w:noProof/>
          <w:lang w:val="fr-FR"/>
        </w:rPr>
        <w:t xml:space="preserve"> </w:t>
      </w:r>
      <w:r w:rsidR="00793A0E">
        <w:rPr>
          <w:noProof/>
          <w:lang w:val="fr-FR"/>
        </w:rPr>
        <w:t>fournit des services psychologiques dans les écoles primaires et postprimaires publiques</w:t>
      </w:r>
      <w:r w:rsidR="001B2F58" w:rsidRPr="00DD03D6">
        <w:rPr>
          <w:noProof/>
          <w:lang w:val="fr-FR"/>
        </w:rPr>
        <w:t xml:space="preserve"> </w:t>
      </w:r>
      <w:r w:rsidR="00793A0E">
        <w:rPr>
          <w:noProof/>
          <w:lang w:val="fr-FR"/>
        </w:rPr>
        <w:t>et privées et dans d’autres centres d’éducation</w:t>
      </w:r>
      <w:r w:rsidR="001B2F58" w:rsidRPr="00DD03D6">
        <w:rPr>
          <w:noProof/>
          <w:lang w:val="fr-FR"/>
        </w:rPr>
        <w:t xml:space="preserve">. </w:t>
      </w:r>
      <w:r w:rsidR="00793A0E">
        <w:rPr>
          <w:noProof/>
          <w:lang w:val="fr-FR"/>
        </w:rPr>
        <w:t xml:space="preserve">Relevant du Ministère de l’éducation et de la formation, ce Service vise à appuyer le développement </w:t>
      </w:r>
      <w:r w:rsidR="001B2F58" w:rsidRPr="00DD03D6">
        <w:rPr>
          <w:noProof/>
          <w:lang w:val="fr-FR"/>
        </w:rPr>
        <w:t>person</w:t>
      </w:r>
      <w:r w:rsidR="00793A0E">
        <w:rPr>
          <w:noProof/>
          <w:lang w:val="fr-FR"/>
        </w:rPr>
        <w:t>ne</w:t>
      </w:r>
      <w:r w:rsidR="001B2F58" w:rsidRPr="00DD03D6">
        <w:rPr>
          <w:noProof/>
          <w:lang w:val="fr-FR"/>
        </w:rPr>
        <w:t xml:space="preserve">l, social </w:t>
      </w:r>
      <w:r w:rsidR="00793A0E">
        <w:rPr>
          <w:noProof/>
          <w:lang w:val="fr-FR"/>
        </w:rPr>
        <w:t>et é</w:t>
      </w:r>
      <w:r w:rsidR="001B2F58" w:rsidRPr="00DD03D6">
        <w:rPr>
          <w:noProof/>
          <w:lang w:val="fr-FR"/>
        </w:rPr>
        <w:t>ducati</w:t>
      </w:r>
      <w:r w:rsidR="00793A0E">
        <w:rPr>
          <w:noProof/>
          <w:lang w:val="fr-FR"/>
        </w:rPr>
        <w:t xml:space="preserve">f de tous les enfants en appliquant la théorie et la pratique </w:t>
      </w:r>
      <w:r w:rsidR="001B2F58" w:rsidRPr="00DD03D6">
        <w:rPr>
          <w:noProof/>
          <w:lang w:val="fr-FR"/>
        </w:rPr>
        <w:t>psycho</w:t>
      </w:r>
      <w:r w:rsidR="00793A0E">
        <w:rPr>
          <w:noProof/>
          <w:lang w:val="fr-FR"/>
        </w:rPr>
        <w:t>logique à l’éducation</w:t>
      </w:r>
      <w:r w:rsidR="001B2F58" w:rsidRPr="00DD03D6">
        <w:rPr>
          <w:noProof/>
          <w:lang w:val="fr-FR"/>
        </w:rPr>
        <w:t xml:space="preserve">. </w:t>
      </w:r>
      <w:r w:rsidR="00793A0E">
        <w:rPr>
          <w:noProof/>
          <w:lang w:val="fr-FR"/>
        </w:rPr>
        <w:t>Il porte en particulier son attention sur les enfants ayant des besoins éducatifs spéciaux</w:t>
      </w:r>
      <w:r w:rsidR="001B2F58" w:rsidRPr="00DD03D6">
        <w:rPr>
          <w:noProof/>
          <w:lang w:val="fr-FR"/>
        </w:rPr>
        <w:t>. Adopt</w:t>
      </w:r>
      <w:r w:rsidR="00793A0E">
        <w:rPr>
          <w:noProof/>
          <w:lang w:val="fr-FR"/>
        </w:rPr>
        <w:t>ant un modèle de service fondé sur la consultation</w:t>
      </w:r>
      <w:r w:rsidR="001B2F58" w:rsidRPr="00DD03D6">
        <w:rPr>
          <w:noProof/>
          <w:lang w:val="fr-FR"/>
        </w:rPr>
        <w:t xml:space="preserve">, </w:t>
      </w:r>
      <w:r w:rsidR="00793A0E">
        <w:rPr>
          <w:noProof/>
          <w:lang w:val="fr-FR"/>
        </w:rPr>
        <w:t xml:space="preserve">il s’emploie à donner aux enseignants les moyens d’intervenir </w:t>
      </w:r>
      <w:r w:rsidR="001B2F58" w:rsidRPr="00DD03D6">
        <w:rPr>
          <w:noProof/>
          <w:lang w:val="fr-FR"/>
        </w:rPr>
        <w:t>eff</w:t>
      </w:r>
      <w:r w:rsidR="00793A0E">
        <w:rPr>
          <w:noProof/>
          <w:lang w:val="fr-FR"/>
        </w:rPr>
        <w:t xml:space="preserve">icacement auprès des élèves dont les besoins spéciaux sont liés à un handicap modéré à sévère </w:t>
      </w:r>
      <w:r w:rsidR="006F784B">
        <w:rPr>
          <w:noProof/>
          <w:lang w:val="fr-FR"/>
        </w:rPr>
        <w:t>et sont de courte durée ou au contraire durables</w:t>
      </w:r>
      <w:r w:rsidR="001B2F58" w:rsidRPr="00DD03D6">
        <w:rPr>
          <w:noProof/>
          <w:lang w:val="fr-FR"/>
        </w:rPr>
        <w:t xml:space="preserve">. </w:t>
      </w:r>
      <w:r w:rsidR="00337F42">
        <w:rPr>
          <w:noProof/>
          <w:lang w:val="fr-FR"/>
        </w:rPr>
        <w:t>S</w:t>
      </w:r>
      <w:r w:rsidR="006F784B">
        <w:rPr>
          <w:noProof/>
          <w:lang w:val="fr-FR"/>
        </w:rPr>
        <w:t>es p</w:t>
      </w:r>
      <w:r w:rsidR="001B2F58" w:rsidRPr="00DD03D6">
        <w:rPr>
          <w:noProof/>
          <w:lang w:val="fr-FR"/>
        </w:rPr>
        <w:t>sycholog</w:t>
      </w:r>
      <w:r w:rsidR="006F784B">
        <w:rPr>
          <w:noProof/>
          <w:lang w:val="fr-FR"/>
        </w:rPr>
        <w:t xml:space="preserve">ues mettent en œuvre une approche consultative de recherche de solutions aux problèmes à régler afin de </w:t>
      </w:r>
      <w:r w:rsidR="001B2F58" w:rsidRPr="00DD03D6">
        <w:rPr>
          <w:noProof/>
          <w:lang w:val="fr-FR"/>
        </w:rPr>
        <w:t>maximise</w:t>
      </w:r>
      <w:r w:rsidR="006F784B">
        <w:rPr>
          <w:noProof/>
          <w:lang w:val="fr-FR"/>
        </w:rPr>
        <w:t>r les résultats positifs pour ces élèves et d’</w:t>
      </w:r>
      <w:r w:rsidR="001B2F58" w:rsidRPr="00DD03D6">
        <w:rPr>
          <w:noProof/>
          <w:lang w:val="fr-FR"/>
        </w:rPr>
        <w:t>encourage</w:t>
      </w:r>
      <w:r w:rsidR="006F784B">
        <w:rPr>
          <w:noProof/>
          <w:lang w:val="fr-FR"/>
        </w:rPr>
        <w:t>r les écoles à utiliser une procédure d’</w:t>
      </w:r>
      <w:r w:rsidR="0013782F">
        <w:rPr>
          <w:noProof/>
          <w:lang w:val="fr-FR"/>
        </w:rPr>
        <w:t>évalu</w:t>
      </w:r>
      <w:r w:rsidR="006F784B">
        <w:rPr>
          <w:noProof/>
          <w:lang w:val="fr-FR"/>
        </w:rPr>
        <w:t>ation et d’intervention</w:t>
      </w:r>
      <w:r w:rsidR="0013782F">
        <w:rPr>
          <w:noProof/>
          <w:lang w:val="fr-FR"/>
        </w:rPr>
        <w:t xml:space="preserve"> basée sur un</w:t>
      </w:r>
      <w:r w:rsidR="00547E30">
        <w:rPr>
          <w:noProof/>
          <w:lang w:val="fr-FR"/>
        </w:rPr>
        <w:t xml:space="preserve"> </w:t>
      </w:r>
      <w:r w:rsidR="001B2F58" w:rsidRPr="00DD03D6">
        <w:rPr>
          <w:noProof/>
          <w:lang w:val="fr-FR"/>
        </w:rPr>
        <w:t xml:space="preserve">continuum, </w:t>
      </w:r>
      <w:r w:rsidR="0013782F">
        <w:rPr>
          <w:noProof/>
          <w:lang w:val="fr-FR"/>
        </w:rPr>
        <w:t xml:space="preserve">consistant pour chacune d’elles à assumer la </w:t>
      </w:r>
      <w:r w:rsidR="001B2F58" w:rsidRPr="00DD03D6">
        <w:rPr>
          <w:noProof/>
          <w:lang w:val="fr-FR"/>
        </w:rPr>
        <w:t>respons</w:t>
      </w:r>
      <w:r w:rsidR="0013782F">
        <w:rPr>
          <w:noProof/>
          <w:lang w:val="fr-FR"/>
        </w:rPr>
        <w:t>a</w:t>
      </w:r>
      <w:r w:rsidR="001B2F58" w:rsidRPr="00DD03D6">
        <w:rPr>
          <w:noProof/>
          <w:lang w:val="fr-FR"/>
        </w:rPr>
        <w:t>bilit</w:t>
      </w:r>
      <w:r w:rsidR="0013782F">
        <w:rPr>
          <w:noProof/>
          <w:lang w:val="fr-FR"/>
        </w:rPr>
        <w:t>é</w:t>
      </w:r>
      <w:r w:rsidR="001B2F58" w:rsidRPr="00DD03D6">
        <w:rPr>
          <w:noProof/>
          <w:lang w:val="fr-FR"/>
        </w:rPr>
        <w:t xml:space="preserve"> </w:t>
      </w:r>
      <w:r w:rsidR="0013782F">
        <w:rPr>
          <w:noProof/>
          <w:lang w:val="fr-FR"/>
        </w:rPr>
        <w:t xml:space="preserve">de l’évaluation </w:t>
      </w:r>
      <w:r w:rsidR="001B2F58" w:rsidRPr="00DD03D6">
        <w:rPr>
          <w:noProof/>
          <w:lang w:val="fr-FR"/>
        </w:rPr>
        <w:t>initial</w:t>
      </w:r>
      <w:r w:rsidR="0013782F">
        <w:rPr>
          <w:noProof/>
          <w:lang w:val="fr-FR"/>
        </w:rPr>
        <w:t>e</w:t>
      </w:r>
      <w:r w:rsidR="001B2F58" w:rsidRPr="00DD03D6">
        <w:rPr>
          <w:noProof/>
          <w:lang w:val="fr-FR"/>
        </w:rPr>
        <w:t>,</w:t>
      </w:r>
      <w:r w:rsidR="0095696F">
        <w:rPr>
          <w:noProof/>
          <w:lang w:val="fr-FR"/>
        </w:rPr>
        <w:t xml:space="preserve"> </w:t>
      </w:r>
      <w:r w:rsidR="0013782F">
        <w:rPr>
          <w:noProof/>
          <w:lang w:val="fr-FR"/>
        </w:rPr>
        <w:t xml:space="preserve">de la planification de l’éducation et </w:t>
      </w:r>
      <w:r w:rsidR="0095696F">
        <w:rPr>
          <w:noProof/>
          <w:lang w:val="fr-FR"/>
        </w:rPr>
        <w:t>des interventions destinées à remédier aux difficultés d’apprentissage et aux troubles affectifs ou comportementaux des élèves.</w:t>
      </w:r>
      <w:r w:rsidR="001B2F58" w:rsidRPr="00DD03D6">
        <w:rPr>
          <w:noProof/>
          <w:lang w:val="fr-FR"/>
        </w:rPr>
        <w:t xml:space="preserve"> </w:t>
      </w:r>
      <w:r w:rsidR="0095696F">
        <w:rPr>
          <w:noProof/>
          <w:lang w:val="fr-FR"/>
        </w:rPr>
        <w:t xml:space="preserve">Selon l’issue de ce processus de </w:t>
      </w:r>
      <w:r w:rsidR="001B2F58" w:rsidRPr="00DD03D6">
        <w:rPr>
          <w:noProof/>
          <w:lang w:val="fr-FR"/>
        </w:rPr>
        <w:t xml:space="preserve">consultation, </w:t>
      </w:r>
      <w:r w:rsidR="0095696F">
        <w:rPr>
          <w:noProof/>
          <w:lang w:val="fr-FR"/>
        </w:rPr>
        <w:t>un psychologue du Service national peut être amené à s’occuper d’un enfant d’une façon intensive</w:t>
      </w:r>
      <w:r w:rsidR="001B2F58" w:rsidRPr="00DD03D6">
        <w:rPr>
          <w:noProof/>
          <w:lang w:val="fr-FR"/>
        </w:rPr>
        <w:t xml:space="preserve">. </w:t>
      </w:r>
      <w:r w:rsidR="0095696F">
        <w:rPr>
          <w:noProof/>
          <w:lang w:val="fr-FR"/>
        </w:rPr>
        <w:t xml:space="preserve">Ce système permet aux psychologues de porter de bonne heure leur attention sur les cas </w:t>
      </w:r>
      <w:r w:rsidR="001B2F58" w:rsidRPr="00DD03D6">
        <w:rPr>
          <w:noProof/>
          <w:lang w:val="fr-FR"/>
        </w:rPr>
        <w:t>urgent</w:t>
      </w:r>
      <w:r w:rsidR="0095696F">
        <w:rPr>
          <w:noProof/>
          <w:lang w:val="fr-FR"/>
        </w:rPr>
        <w:t>s</w:t>
      </w:r>
      <w:r w:rsidR="001B2F58" w:rsidRPr="00DD03D6">
        <w:rPr>
          <w:noProof/>
          <w:lang w:val="fr-FR"/>
        </w:rPr>
        <w:t xml:space="preserve"> </w:t>
      </w:r>
      <w:r w:rsidR="0095696F">
        <w:rPr>
          <w:noProof/>
          <w:lang w:val="fr-FR"/>
        </w:rPr>
        <w:t>et aide indirectement un nombre d’enfants beaucoup plus important que ceux que les psychologues pourraient examiner individuellement</w:t>
      </w:r>
      <w:r w:rsidR="001B2F58" w:rsidRPr="00DD03D6">
        <w:rPr>
          <w:noProof/>
          <w:lang w:val="fr-FR"/>
        </w:rPr>
        <w:t xml:space="preserve">. </w:t>
      </w:r>
      <w:r w:rsidR="0095696F">
        <w:rPr>
          <w:noProof/>
          <w:lang w:val="fr-FR"/>
        </w:rPr>
        <w:t>Si les psychologues de ce Service consacrent la plus grande partie de leur temps à l’</w:t>
      </w:r>
      <w:r w:rsidR="001B2F58" w:rsidRPr="00DD03D6">
        <w:rPr>
          <w:noProof/>
          <w:lang w:val="fr-FR"/>
        </w:rPr>
        <w:t xml:space="preserve">identification </w:t>
      </w:r>
      <w:r w:rsidR="0095696F">
        <w:rPr>
          <w:noProof/>
          <w:lang w:val="fr-FR"/>
        </w:rPr>
        <w:t>et à la satisfaction des besoins d’apprentissage</w:t>
      </w:r>
      <w:r w:rsidR="001B2F58" w:rsidRPr="00DD03D6">
        <w:rPr>
          <w:noProof/>
          <w:lang w:val="fr-FR"/>
        </w:rPr>
        <w:t xml:space="preserve">, </w:t>
      </w:r>
      <w:r w:rsidR="0095696F">
        <w:rPr>
          <w:noProof/>
          <w:lang w:val="fr-FR"/>
        </w:rPr>
        <w:t>les troubles comportementaux et affectifs manifestés par les élèves</w:t>
      </w:r>
      <w:r w:rsidR="00337F42">
        <w:rPr>
          <w:noProof/>
          <w:lang w:val="fr-FR"/>
        </w:rPr>
        <w:t xml:space="preserve"> occupent une place de plus en plus importante dans leur travail</w:t>
      </w:r>
      <w:r w:rsidR="001B2F58" w:rsidRPr="00DD03D6">
        <w:rPr>
          <w:noProof/>
          <w:lang w:val="fr-FR"/>
        </w:rPr>
        <w:t xml:space="preserve">. </w:t>
      </w:r>
      <w:r w:rsidR="00337F42">
        <w:rPr>
          <w:noProof/>
          <w:lang w:val="fr-FR"/>
        </w:rPr>
        <w:t>E</w:t>
      </w:r>
      <w:r w:rsidR="001B2F58" w:rsidRPr="00DD03D6">
        <w:rPr>
          <w:noProof/>
          <w:lang w:val="fr-FR"/>
        </w:rPr>
        <w:t xml:space="preserve">n 2011, </w:t>
      </w:r>
      <w:r w:rsidR="00337F42">
        <w:rPr>
          <w:noProof/>
          <w:lang w:val="fr-FR"/>
        </w:rPr>
        <w:t xml:space="preserve">le nombre des psychologues du Service national a été plafonné à </w:t>
      </w:r>
      <w:r w:rsidR="001B2F58" w:rsidRPr="00DD03D6">
        <w:rPr>
          <w:noProof/>
          <w:lang w:val="fr-FR"/>
        </w:rPr>
        <w:t>178.</w:t>
      </w:r>
    </w:p>
    <w:p w:rsidR="001B2F58" w:rsidRPr="00DD03D6" w:rsidRDefault="000448E3" w:rsidP="000448E3">
      <w:pPr>
        <w:pStyle w:val="H23G"/>
        <w:rPr>
          <w:noProof/>
          <w:lang w:val="fr-FR"/>
        </w:rPr>
      </w:pPr>
      <w:r w:rsidRPr="00DD03D6">
        <w:rPr>
          <w:noProof/>
          <w:lang w:val="fr-FR"/>
        </w:rPr>
        <w:tab/>
      </w:r>
      <w:r w:rsidRPr="00DD03D6">
        <w:rPr>
          <w:noProof/>
          <w:lang w:val="fr-FR"/>
        </w:rPr>
        <w:tab/>
      </w:r>
      <w:r w:rsidR="00337F42">
        <w:rPr>
          <w:noProof/>
          <w:lang w:val="fr-FR"/>
        </w:rPr>
        <w:t>É</w:t>
      </w:r>
      <w:r w:rsidR="001B2F58" w:rsidRPr="00DD03D6">
        <w:rPr>
          <w:noProof/>
          <w:lang w:val="fr-FR"/>
        </w:rPr>
        <w:t xml:space="preserve">ducation </w:t>
      </w:r>
      <w:r w:rsidR="00337F42">
        <w:rPr>
          <w:noProof/>
          <w:lang w:val="fr-FR"/>
        </w:rPr>
        <w:t xml:space="preserve">pour les </w:t>
      </w:r>
      <w:r w:rsidR="001B2F58" w:rsidRPr="00DD03D6">
        <w:rPr>
          <w:noProof/>
          <w:lang w:val="fr-FR"/>
        </w:rPr>
        <w:t>migrants</w:t>
      </w:r>
    </w:p>
    <w:p w:rsidR="001B2F58" w:rsidRPr="00DD03D6" w:rsidRDefault="00A5356F" w:rsidP="00331115">
      <w:pPr>
        <w:pStyle w:val="SingleTxtG"/>
        <w:numPr>
          <w:ilvl w:val="0"/>
          <w:numId w:val="3"/>
        </w:numPr>
        <w:ind w:left="1134" w:firstLine="0"/>
        <w:rPr>
          <w:noProof/>
          <w:lang w:val="fr-FR"/>
        </w:rPr>
      </w:pPr>
      <w:r>
        <w:rPr>
          <w:noProof/>
          <w:lang w:val="fr-FR"/>
        </w:rPr>
        <w:t>La Stratégie interculturelle en matière d’éducation</w:t>
      </w:r>
      <w:r w:rsidRPr="00DD03D6">
        <w:rPr>
          <w:noProof/>
          <w:lang w:val="fr-FR"/>
        </w:rPr>
        <w:t xml:space="preserve"> </w:t>
      </w:r>
      <w:r>
        <w:rPr>
          <w:noProof/>
          <w:lang w:val="fr-FR"/>
        </w:rPr>
        <w:t xml:space="preserve">pour </w:t>
      </w:r>
      <w:r w:rsidR="001B2F58" w:rsidRPr="00DD03D6">
        <w:rPr>
          <w:noProof/>
          <w:lang w:val="fr-FR"/>
        </w:rPr>
        <w:t xml:space="preserve">2010-2015 </w:t>
      </w:r>
      <w:r>
        <w:rPr>
          <w:noProof/>
          <w:lang w:val="fr-FR"/>
        </w:rPr>
        <w:t>constitue le cadre direct</w:t>
      </w:r>
      <w:r w:rsidR="002747A4">
        <w:rPr>
          <w:noProof/>
          <w:lang w:val="fr-FR"/>
        </w:rPr>
        <w:t>eur</w:t>
      </w:r>
      <w:r>
        <w:rPr>
          <w:noProof/>
          <w:lang w:val="fr-FR"/>
        </w:rPr>
        <w:t xml:space="preserve"> de l’éducation des groupes de </w:t>
      </w:r>
      <w:r w:rsidR="001B2F58" w:rsidRPr="00DD03D6">
        <w:rPr>
          <w:noProof/>
          <w:lang w:val="fr-FR"/>
        </w:rPr>
        <w:t>migrant</w:t>
      </w:r>
      <w:r>
        <w:rPr>
          <w:noProof/>
          <w:lang w:val="fr-FR"/>
        </w:rPr>
        <w:t>s</w:t>
      </w:r>
      <w:r w:rsidR="001B2F58" w:rsidRPr="00DD03D6">
        <w:rPr>
          <w:noProof/>
          <w:lang w:val="fr-FR"/>
        </w:rPr>
        <w:t xml:space="preserve"> (</w:t>
      </w:r>
      <w:r>
        <w:rPr>
          <w:noProof/>
          <w:lang w:val="fr-FR"/>
        </w:rPr>
        <w:t xml:space="preserve">voir le </w:t>
      </w:r>
      <w:r w:rsidR="00331115" w:rsidRPr="00DD03D6">
        <w:rPr>
          <w:noProof/>
          <w:lang w:val="fr-FR"/>
        </w:rPr>
        <w:t>p</w:t>
      </w:r>
      <w:r w:rsidR="00796A7C" w:rsidRPr="00DD03D6">
        <w:rPr>
          <w:noProof/>
          <w:lang w:val="fr-FR"/>
        </w:rPr>
        <w:t>ar</w:t>
      </w:r>
      <w:r w:rsidR="00C439D5">
        <w:rPr>
          <w:noProof/>
          <w:lang w:val="fr-FR"/>
        </w:rPr>
        <w:t>agraphe</w:t>
      </w:r>
      <w:r w:rsidR="00796A7C" w:rsidRPr="00DD03D6">
        <w:rPr>
          <w:noProof/>
          <w:lang w:val="fr-FR"/>
        </w:rPr>
        <w:t> </w:t>
      </w:r>
      <w:r w:rsidR="00331115" w:rsidRPr="00DD03D6">
        <w:rPr>
          <w:noProof/>
          <w:lang w:val="fr-FR"/>
        </w:rPr>
        <w:t>134</w:t>
      </w:r>
      <w:r w:rsidR="001B2F58" w:rsidRPr="00DD03D6">
        <w:rPr>
          <w:noProof/>
          <w:lang w:val="fr-FR"/>
        </w:rPr>
        <w:t xml:space="preserve">). </w:t>
      </w:r>
      <w:r>
        <w:rPr>
          <w:noProof/>
          <w:lang w:val="fr-FR"/>
        </w:rPr>
        <w:t>E</w:t>
      </w:r>
      <w:r w:rsidR="001B2F58" w:rsidRPr="00DD03D6">
        <w:rPr>
          <w:noProof/>
          <w:lang w:val="fr-FR"/>
        </w:rPr>
        <w:t>n 2011/</w:t>
      </w:r>
      <w:r>
        <w:rPr>
          <w:noProof/>
          <w:lang w:val="fr-FR"/>
        </w:rPr>
        <w:t>20</w:t>
      </w:r>
      <w:r w:rsidR="001B2F58" w:rsidRPr="00DD03D6">
        <w:rPr>
          <w:noProof/>
          <w:lang w:val="fr-FR"/>
        </w:rPr>
        <w:t xml:space="preserve">12, </w:t>
      </w:r>
      <w:r>
        <w:rPr>
          <w:noProof/>
          <w:lang w:val="fr-FR"/>
        </w:rPr>
        <w:t xml:space="preserve">un peu moins de </w:t>
      </w:r>
      <w:r w:rsidR="001B2F58" w:rsidRPr="00DD03D6">
        <w:rPr>
          <w:noProof/>
          <w:lang w:val="fr-FR"/>
        </w:rPr>
        <w:t>12</w:t>
      </w:r>
      <w:r w:rsidR="003F1ADB">
        <w:rPr>
          <w:noProof/>
          <w:lang w:val="fr-FR"/>
        </w:rPr>
        <w:t> %</w:t>
      </w:r>
      <w:r w:rsidR="001B2F58" w:rsidRPr="00DD03D6">
        <w:rPr>
          <w:noProof/>
          <w:lang w:val="fr-FR"/>
        </w:rPr>
        <w:t xml:space="preserve"> </w:t>
      </w:r>
      <w:r>
        <w:rPr>
          <w:noProof/>
          <w:lang w:val="fr-FR"/>
        </w:rPr>
        <w:t xml:space="preserve">des élèves des écoles primaires n’étaient pas ressortissants irlandais. Au niveau du secondaire, </w:t>
      </w:r>
      <w:r w:rsidR="0047770E">
        <w:rPr>
          <w:noProof/>
          <w:lang w:val="fr-FR"/>
        </w:rPr>
        <w:t xml:space="preserve">un peu moins de </w:t>
      </w:r>
      <w:r w:rsidR="001B2F58" w:rsidRPr="00DD03D6">
        <w:rPr>
          <w:noProof/>
          <w:lang w:val="fr-FR"/>
        </w:rPr>
        <w:t>11</w:t>
      </w:r>
      <w:r w:rsidR="003F1ADB">
        <w:rPr>
          <w:noProof/>
          <w:lang w:val="fr-FR"/>
        </w:rPr>
        <w:t> %</w:t>
      </w:r>
      <w:r w:rsidR="001B2F58" w:rsidRPr="00DD03D6">
        <w:rPr>
          <w:noProof/>
          <w:lang w:val="fr-FR"/>
        </w:rPr>
        <w:t xml:space="preserve"> </w:t>
      </w:r>
      <w:r w:rsidR="0047770E">
        <w:rPr>
          <w:noProof/>
          <w:lang w:val="fr-FR"/>
        </w:rPr>
        <w:t>étaient des ressortissants d’autres pays que l’Irlande (170 nationalité</w:t>
      </w:r>
      <w:r w:rsidR="00796A7C" w:rsidRPr="00DD03D6">
        <w:rPr>
          <w:noProof/>
          <w:lang w:val="fr-FR"/>
        </w:rPr>
        <w:t>s</w:t>
      </w:r>
      <w:r w:rsidR="000448E3" w:rsidRPr="00DD03D6">
        <w:rPr>
          <w:rStyle w:val="Appelnotedebasdep"/>
          <w:noProof/>
          <w:lang w:val="fr-FR"/>
        </w:rPr>
        <w:footnoteReference w:id="46"/>
      </w:r>
      <w:r w:rsidR="0047770E">
        <w:rPr>
          <w:noProof/>
          <w:lang w:val="fr-FR"/>
        </w:rPr>
        <w:t>).</w:t>
      </w:r>
    </w:p>
    <w:p w:rsidR="001B2F58" w:rsidRPr="00DD03D6" w:rsidRDefault="001B2F58" w:rsidP="000448E3">
      <w:pPr>
        <w:pStyle w:val="SingleTxtG"/>
        <w:numPr>
          <w:ilvl w:val="0"/>
          <w:numId w:val="3"/>
        </w:numPr>
        <w:ind w:left="1134" w:firstLine="0"/>
        <w:rPr>
          <w:noProof/>
          <w:lang w:val="fr-FR"/>
        </w:rPr>
      </w:pPr>
      <w:r w:rsidRPr="00DD03D6">
        <w:rPr>
          <w:noProof/>
          <w:lang w:val="fr-FR"/>
        </w:rPr>
        <w:t>A</w:t>
      </w:r>
      <w:r w:rsidR="0047770E">
        <w:rPr>
          <w:noProof/>
          <w:lang w:val="fr-FR"/>
        </w:rPr>
        <w:t>ux niveaux du primaire et du secondaire, un soutien linguistique supplémentaire est proposé aux élèves dont l’anglais n’est pas la langue maternelle</w:t>
      </w:r>
      <w:r w:rsidRPr="00DD03D6">
        <w:rPr>
          <w:noProof/>
          <w:lang w:val="fr-FR"/>
        </w:rPr>
        <w:t xml:space="preserve">. </w:t>
      </w:r>
      <w:r w:rsidR="0047770E">
        <w:rPr>
          <w:noProof/>
          <w:lang w:val="fr-FR"/>
        </w:rPr>
        <w:t>Ce soutien linguistique est destiné à permettre à certains élèves de profiter de l’éducation ordinaire sur un pied d’égalité avec leur pairs</w:t>
      </w:r>
      <w:r w:rsidRPr="00DD03D6">
        <w:rPr>
          <w:noProof/>
          <w:lang w:val="fr-FR"/>
        </w:rPr>
        <w:t xml:space="preserve">. </w:t>
      </w:r>
      <w:r w:rsidR="0047770E">
        <w:rPr>
          <w:noProof/>
          <w:lang w:val="fr-FR"/>
        </w:rPr>
        <w:t xml:space="preserve">Les mesures de soutien linguistique </w:t>
      </w:r>
      <w:r w:rsidR="00EF615B">
        <w:rPr>
          <w:noProof/>
          <w:lang w:val="fr-FR"/>
        </w:rPr>
        <w:t xml:space="preserve">ciblent ceux des élèves immigrés qui risquent d’abandonner prématurément leurs études, et </w:t>
      </w:r>
      <w:r w:rsidRPr="00DD03D6">
        <w:rPr>
          <w:noProof/>
          <w:lang w:val="fr-FR"/>
        </w:rPr>
        <w:t>1</w:t>
      </w:r>
      <w:r w:rsidR="00547FBF">
        <w:rPr>
          <w:noProof/>
          <w:lang w:val="fr-FR"/>
        </w:rPr>
        <w:t> </w:t>
      </w:r>
      <w:r w:rsidRPr="00DD03D6">
        <w:rPr>
          <w:noProof/>
          <w:lang w:val="fr-FR"/>
        </w:rPr>
        <w:t xml:space="preserve">134 </w:t>
      </w:r>
      <w:r w:rsidR="00EF615B">
        <w:rPr>
          <w:noProof/>
          <w:lang w:val="fr-FR"/>
        </w:rPr>
        <w:t xml:space="preserve">enseignants en équivalent temps plein ont assuré ce service </w:t>
      </w:r>
      <w:r w:rsidR="00963086">
        <w:rPr>
          <w:noProof/>
          <w:lang w:val="fr-FR"/>
        </w:rPr>
        <w:t xml:space="preserve">pendant l’année scolaire </w:t>
      </w:r>
      <w:r w:rsidRPr="00DD03D6">
        <w:rPr>
          <w:noProof/>
          <w:lang w:val="fr-FR"/>
        </w:rPr>
        <w:t>2011/</w:t>
      </w:r>
      <w:r w:rsidR="00963086">
        <w:rPr>
          <w:noProof/>
          <w:lang w:val="fr-FR"/>
        </w:rPr>
        <w:t>20</w:t>
      </w:r>
      <w:r w:rsidRPr="00DD03D6">
        <w:rPr>
          <w:noProof/>
          <w:lang w:val="fr-FR"/>
        </w:rPr>
        <w:t>12.</w:t>
      </w:r>
    </w:p>
    <w:p w:rsidR="001B2F58" w:rsidRPr="00DD03D6" w:rsidRDefault="003512BE" w:rsidP="000448E3">
      <w:pPr>
        <w:pStyle w:val="SingleTxtG"/>
        <w:numPr>
          <w:ilvl w:val="0"/>
          <w:numId w:val="3"/>
        </w:numPr>
        <w:ind w:left="1134" w:firstLine="0"/>
        <w:rPr>
          <w:noProof/>
          <w:lang w:val="fr-FR"/>
        </w:rPr>
      </w:pPr>
      <w:r>
        <w:rPr>
          <w:noProof/>
          <w:lang w:val="fr-FR"/>
        </w:rPr>
        <w:t xml:space="preserve">Le </w:t>
      </w:r>
      <w:r w:rsidR="001B2F58" w:rsidRPr="00DD03D6">
        <w:rPr>
          <w:noProof/>
          <w:lang w:val="fr-FR"/>
        </w:rPr>
        <w:t>syst</w:t>
      </w:r>
      <w:r>
        <w:rPr>
          <w:noProof/>
          <w:lang w:val="fr-FR"/>
        </w:rPr>
        <w:t xml:space="preserve">ème </w:t>
      </w:r>
      <w:r w:rsidR="004632F5">
        <w:rPr>
          <w:noProof/>
          <w:lang w:val="fr-FR"/>
        </w:rPr>
        <w:t xml:space="preserve">d’attribution </w:t>
      </w:r>
      <w:r>
        <w:rPr>
          <w:noProof/>
          <w:lang w:val="fr-FR"/>
        </w:rPr>
        <w:t xml:space="preserve">de </w:t>
      </w:r>
      <w:r w:rsidR="004632F5">
        <w:rPr>
          <w:noProof/>
          <w:lang w:val="fr-FR"/>
        </w:rPr>
        <w:t xml:space="preserve">ressources au titre du </w:t>
      </w:r>
      <w:r>
        <w:rPr>
          <w:noProof/>
          <w:lang w:val="fr-FR"/>
        </w:rPr>
        <w:t xml:space="preserve">soutien </w:t>
      </w:r>
      <w:r w:rsidR="001B2F58" w:rsidRPr="00DD03D6">
        <w:rPr>
          <w:noProof/>
          <w:lang w:val="fr-FR"/>
        </w:rPr>
        <w:t>l</w:t>
      </w:r>
      <w:r>
        <w:rPr>
          <w:noProof/>
          <w:lang w:val="fr-FR"/>
        </w:rPr>
        <w:t xml:space="preserve">inguistique a été réformé en </w:t>
      </w:r>
      <w:r w:rsidR="001B2F58" w:rsidRPr="00DD03D6">
        <w:rPr>
          <w:noProof/>
          <w:lang w:val="fr-FR"/>
        </w:rPr>
        <w:t xml:space="preserve">2012. </w:t>
      </w:r>
      <w:r w:rsidR="00D959A3">
        <w:rPr>
          <w:noProof/>
          <w:lang w:val="fr-FR"/>
        </w:rPr>
        <w:t>La</w:t>
      </w:r>
      <w:r w:rsidR="004632F5">
        <w:rPr>
          <w:noProof/>
          <w:lang w:val="fr-FR"/>
        </w:rPr>
        <w:t xml:space="preserve"> modification de ce système en prévision de la prochaine année scolaire </w:t>
      </w:r>
      <w:r w:rsidR="00D959A3">
        <w:rPr>
          <w:noProof/>
          <w:lang w:val="fr-FR"/>
        </w:rPr>
        <w:t xml:space="preserve">consiste </w:t>
      </w:r>
      <w:r w:rsidR="004632F5">
        <w:rPr>
          <w:noProof/>
          <w:lang w:val="fr-FR"/>
        </w:rPr>
        <w:t xml:space="preserve">à regrouper les ressources disponibles au titre des besoins spécifiques </w:t>
      </w:r>
      <w:r w:rsidR="00D959A3">
        <w:rPr>
          <w:noProof/>
          <w:lang w:val="fr-FR"/>
        </w:rPr>
        <w:t xml:space="preserve">importants </w:t>
      </w:r>
      <w:r w:rsidR="007201D2">
        <w:rPr>
          <w:noProof/>
          <w:lang w:val="fr-FR"/>
        </w:rPr>
        <w:t>en matière d’éducation et de</w:t>
      </w:r>
      <w:r w:rsidR="004632F5">
        <w:rPr>
          <w:noProof/>
          <w:lang w:val="fr-FR"/>
        </w:rPr>
        <w:t xml:space="preserve"> soutien linguistique </w:t>
      </w:r>
      <w:r w:rsidR="00D959A3">
        <w:rPr>
          <w:noProof/>
          <w:lang w:val="fr-FR"/>
        </w:rPr>
        <w:t>en une procédure unique d’attribution simplifiée</w:t>
      </w:r>
      <w:r w:rsidR="001B2F58" w:rsidRPr="00DD03D6">
        <w:rPr>
          <w:noProof/>
          <w:lang w:val="fr-FR"/>
        </w:rPr>
        <w:t xml:space="preserve">. </w:t>
      </w:r>
      <w:r w:rsidR="00D959A3">
        <w:rPr>
          <w:noProof/>
          <w:lang w:val="fr-FR"/>
        </w:rPr>
        <w:t xml:space="preserve">Les écoles pourront librement répartir les ressources entre le soutien linguistique et le </w:t>
      </w:r>
      <w:r w:rsidR="0052129C">
        <w:rPr>
          <w:noProof/>
          <w:lang w:val="fr-FR"/>
        </w:rPr>
        <w:t>soutien scolaire</w:t>
      </w:r>
      <w:r w:rsidR="001B2F58" w:rsidRPr="00DD03D6">
        <w:rPr>
          <w:noProof/>
          <w:lang w:val="fr-FR"/>
        </w:rPr>
        <w:t xml:space="preserve">, </w:t>
      </w:r>
      <w:r w:rsidR="00D959A3">
        <w:rPr>
          <w:noProof/>
          <w:lang w:val="fr-FR"/>
        </w:rPr>
        <w:t>en fo</w:t>
      </w:r>
      <w:r w:rsidR="00DB3928">
        <w:rPr>
          <w:noProof/>
          <w:lang w:val="fr-FR"/>
        </w:rPr>
        <w:t xml:space="preserve">nction </w:t>
      </w:r>
      <w:r w:rsidR="00D959A3">
        <w:rPr>
          <w:noProof/>
          <w:lang w:val="fr-FR"/>
        </w:rPr>
        <w:t>de leurs besoins spécifiques</w:t>
      </w:r>
      <w:r w:rsidR="001B2F58" w:rsidRPr="00DD03D6">
        <w:rPr>
          <w:noProof/>
          <w:lang w:val="fr-FR"/>
        </w:rPr>
        <w:t xml:space="preserve">. </w:t>
      </w:r>
      <w:r w:rsidR="00D959A3">
        <w:rPr>
          <w:noProof/>
          <w:lang w:val="fr-FR"/>
        </w:rPr>
        <w:t xml:space="preserve">La nouvelle formule prévoit également d’accorder des postes permanents d’enseignement supplémentaires </w:t>
      </w:r>
      <w:r w:rsidR="00856A6F">
        <w:rPr>
          <w:noProof/>
          <w:lang w:val="fr-FR"/>
        </w:rPr>
        <w:t>aux écoles qui accueillent une proportion importante d’élèves ayant besoin d’un soutien linguistique</w:t>
      </w:r>
      <w:r w:rsidR="001B2F58" w:rsidRPr="00DD03D6">
        <w:rPr>
          <w:noProof/>
          <w:lang w:val="fr-FR"/>
        </w:rPr>
        <w:t xml:space="preserve">. </w:t>
      </w:r>
      <w:r w:rsidR="00DB3928">
        <w:rPr>
          <w:noProof/>
          <w:lang w:val="fr-FR"/>
        </w:rPr>
        <w:t xml:space="preserve">Un soutien linguistique temporaire supplémentaire sera également fourni, le cas échéant, </w:t>
      </w:r>
      <w:r w:rsidR="002D526F">
        <w:rPr>
          <w:noProof/>
          <w:lang w:val="fr-FR"/>
        </w:rPr>
        <w:t>à ces</w:t>
      </w:r>
      <w:r w:rsidR="00DB3928">
        <w:rPr>
          <w:noProof/>
          <w:lang w:val="fr-FR"/>
        </w:rPr>
        <w:t xml:space="preserve"> écoles au cours de l’année scolaire </w:t>
      </w:r>
      <w:r w:rsidR="001B2F58" w:rsidRPr="00DD03D6">
        <w:rPr>
          <w:noProof/>
          <w:lang w:val="fr-FR"/>
        </w:rPr>
        <w:t>2012/</w:t>
      </w:r>
      <w:r w:rsidR="00DB3928">
        <w:rPr>
          <w:noProof/>
          <w:lang w:val="fr-FR"/>
        </w:rPr>
        <w:t>20</w:t>
      </w:r>
      <w:r w:rsidR="001B2F58" w:rsidRPr="00DD03D6">
        <w:rPr>
          <w:noProof/>
          <w:lang w:val="fr-FR"/>
        </w:rPr>
        <w:t xml:space="preserve">13. </w:t>
      </w:r>
      <w:r w:rsidR="00DB3928">
        <w:rPr>
          <w:noProof/>
          <w:lang w:val="fr-FR"/>
        </w:rPr>
        <w:t xml:space="preserve">Les ressources correspondantes seront </w:t>
      </w:r>
      <w:r w:rsidR="00DB3928">
        <w:rPr>
          <w:noProof/>
          <w:lang w:val="fr-FR"/>
        </w:rPr>
        <w:lastRenderedPageBreak/>
        <w:t xml:space="preserve">attribuées sur la base des </w:t>
      </w:r>
      <w:r w:rsidR="002276BA">
        <w:rPr>
          <w:noProof/>
          <w:lang w:val="fr-FR"/>
        </w:rPr>
        <w:t>appel</w:t>
      </w:r>
      <w:r w:rsidR="00DB3928">
        <w:rPr>
          <w:noProof/>
          <w:lang w:val="fr-FR"/>
        </w:rPr>
        <w:t xml:space="preserve">s présentés par des écoles de ce type aux </w:t>
      </w:r>
      <w:r w:rsidR="002D526F">
        <w:rPr>
          <w:noProof/>
          <w:lang w:val="fr-FR"/>
        </w:rPr>
        <w:t>comités d</w:t>
      </w:r>
      <w:r w:rsidR="002276BA">
        <w:rPr>
          <w:noProof/>
          <w:lang w:val="fr-FR"/>
        </w:rPr>
        <w:t xml:space="preserve">’appel </w:t>
      </w:r>
      <w:r w:rsidR="002D526F">
        <w:rPr>
          <w:noProof/>
          <w:lang w:val="fr-FR"/>
        </w:rPr>
        <w:t>en matière de recrutement</w:t>
      </w:r>
      <w:r w:rsidR="001B2F58" w:rsidRPr="00DD03D6">
        <w:rPr>
          <w:noProof/>
          <w:lang w:val="fr-FR"/>
        </w:rPr>
        <w:t>.</w:t>
      </w:r>
    </w:p>
    <w:p w:rsidR="001B2F58" w:rsidRPr="00DD03D6" w:rsidRDefault="002D526F" w:rsidP="000448E3">
      <w:pPr>
        <w:pStyle w:val="SingleTxtG"/>
        <w:numPr>
          <w:ilvl w:val="0"/>
          <w:numId w:val="3"/>
        </w:numPr>
        <w:ind w:left="1134" w:firstLine="0"/>
        <w:rPr>
          <w:noProof/>
          <w:lang w:val="fr-FR"/>
        </w:rPr>
      </w:pPr>
      <w:r>
        <w:rPr>
          <w:noProof/>
          <w:lang w:val="fr-FR"/>
        </w:rPr>
        <w:t>Le t</w:t>
      </w:r>
      <w:r w:rsidR="001B2F58" w:rsidRPr="00DD03D6">
        <w:rPr>
          <w:noProof/>
          <w:lang w:val="fr-FR"/>
        </w:rPr>
        <w:t>able</w:t>
      </w:r>
      <w:r>
        <w:rPr>
          <w:noProof/>
          <w:lang w:val="fr-FR"/>
        </w:rPr>
        <w:t>au</w:t>
      </w:r>
      <w:r w:rsidR="001B2F58" w:rsidRPr="00DD03D6">
        <w:rPr>
          <w:noProof/>
          <w:lang w:val="fr-FR"/>
        </w:rPr>
        <w:t xml:space="preserve"> 10 </w:t>
      </w:r>
      <w:r>
        <w:rPr>
          <w:noProof/>
          <w:lang w:val="fr-FR"/>
        </w:rPr>
        <w:t>indique le nombre d’enseignants de soutien linguistique en équivalent temps plein</w:t>
      </w:r>
      <w:r w:rsidR="00D276A7">
        <w:rPr>
          <w:noProof/>
          <w:lang w:val="fr-FR"/>
        </w:rPr>
        <w:t xml:space="preserve"> aux niveaux primaire et postpri</w:t>
      </w:r>
      <w:r>
        <w:rPr>
          <w:noProof/>
          <w:lang w:val="fr-FR"/>
        </w:rPr>
        <w:t xml:space="preserve">maire entre </w:t>
      </w:r>
      <w:r w:rsidR="001B2F58" w:rsidRPr="00DD03D6">
        <w:rPr>
          <w:noProof/>
          <w:lang w:val="fr-FR"/>
        </w:rPr>
        <w:t>2006</w:t>
      </w:r>
      <w:r>
        <w:rPr>
          <w:noProof/>
          <w:lang w:val="fr-FR"/>
        </w:rPr>
        <w:t xml:space="preserve"> et </w:t>
      </w:r>
      <w:r w:rsidR="001B2F58" w:rsidRPr="00DD03D6">
        <w:rPr>
          <w:noProof/>
          <w:lang w:val="fr-FR"/>
        </w:rPr>
        <w:t>2011.</w:t>
      </w:r>
    </w:p>
    <w:p w:rsidR="001B2F58" w:rsidRPr="00DD03D6" w:rsidRDefault="009A5E46" w:rsidP="009A5E46">
      <w:pPr>
        <w:pStyle w:val="H23G"/>
        <w:rPr>
          <w:noProof/>
          <w:lang w:val="fr-FR"/>
        </w:rPr>
      </w:pPr>
      <w:r w:rsidRPr="00DD03D6">
        <w:rPr>
          <w:noProof/>
          <w:lang w:val="fr-FR"/>
        </w:rPr>
        <w:tab/>
      </w:r>
      <w:r w:rsidRPr="00DD03D6">
        <w:rPr>
          <w:noProof/>
          <w:lang w:val="fr-FR"/>
        </w:rPr>
        <w:tab/>
      </w:r>
      <w:r w:rsidR="00206054" w:rsidRPr="00DD03D6">
        <w:rPr>
          <w:b w:val="0"/>
          <w:bCs/>
          <w:noProof/>
          <w:lang w:val="fr-FR"/>
        </w:rPr>
        <w:t>Table</w:t>
      </w:r>
      <w:r w:rsidR="00D276A7">
        <w:rPr>
          <w:b w:val="0"/>
          <w:bCs/>
          <w:noProof/>
          <w:lang w:val="fr-FR"/>
        </w:rPr>
        <w:t>au</w:t>
      </w:r>
      <w:r w:rsidR="00206054" w:rsidRPr="00DD03D6">
        <w:rPr>
          <w:b w:val="0"/>
          <w:bCs/>
          <w:noProof/>
          <w:lang w:val="fr-FR"/>
        </w:rPr>
        <w:t xml:space="preserve"> 10</w:t>
      </w:r>
      <w:r w:rsidR="00206054" w:rsidRPr="00DD03D6">
        <w:rPr>
          <w:noProof/>
          <w:lang w:val="fr-FR"/>
        </w:rPr>
        <w:br/>
      </w:r>
      <w:r w:rsidR="001B2F58" w:rsidRPr="00DD03D6">
        <w:rPr>
          <w:noProof/>
          <w:lang w:val="fr-FR"/>
        </w:rPr>
        <w:t>N</w:t>
      </w:r>
      <w:r w:rsidR="00D276A7">
        <w:rPr>
          <w:noProof/>
          <w:lang w:val="fr-FR"/>
        </w:rPr>
        <w:t>o</w:t>
      </w:r>
      <w:r w:rsidR="001B2F58" w:rsidRPr="00DD03D6">
        <w:rPr>
          <w:noProof/>
          <w:lang w:val="fr-FR"/>
        </w:rPr>
        <w:t>mb</w:t>
      </w:r>
      <w:r w:rsidR="00D276A7">
        <w:rPr>
          <w:noProof/>
          <w:lang w:val="fr-FR"/>
        </w:rPr>
        <w:t>re</w:t>
      </w:r>
      <w:r w:rsidR="001B2F58" w:rsidRPr="00DD03D6">
        <w:rPr>
          <w:noProof/>
          <w:lang w:val="fr-FR"/>
        </w:rPr>
        <w:t xml:space="preserve"> </w:t>
      </w:r>
      <w:r w:rsidR="00D276A7">
        <w:rPr>
          <w:noProof/>
          <w:lang w:val="fr-FR"/>
        </w:rPr>
        <w:t>d’enseignants de soutien linguistique en équivalent temps plein aux niveaux primaire et postprimaire,</w:t>
      </w:r>
      <w:r w:rsidR="001B2F58" w:rsidRPr="00DD03D6">
        <w:rPr>
          <w:noProof/>
          <w:lang w:val="fr-FR"/>
        </w:rPr>
        <w:t xml:space="preserve"> 2006-2011</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69"/>
        <w:gridCol w:w="1701"/>
        <w:gridCol w:w="1701"/>
      </w:tblGrid>
      <w:tr w:rsidR="000448E3" w:rsidRPr="00DD03D6" w:rsidTr="009A5E46">
        <w:trPr>
          <w:trHeight w:val="240"/>
          <w:tblHeader/>
        </w:trPr>
        <w:tc>
          <w:tcPr>
            <w:tcW w:w="3969" w:type="dxa"/>
            <w:vMerge w:val="restart"/>
            <w:tcBorders>
              <w:top w:val="single" w:sz="4" w:space="0" w:color="auto"/>
              <w:bottom w:val="single" w:sz="12" w:space="0" w:color="auto"/>
            </w:tcBorders>
            <w:shd w:val="clear" w:color="auto" w:fill="auto"/>
            <w:vAlign w:val="bottom"/>
          </w:tcPr>
          <w:p w:rsidR="000448E3" w:rsidRPr="00DD03D6" w:rsidRDefault="000448E3" w:rsidP="009A5E46">
            <w:pPr>
              <w:suppressAutoHyphens w:val="0"/>
              <w:spacing w:before="80" w:after="80" w:line="200" w:lineRule="exact"/>
              <w:rPr>
                <w:bCs/>
                <w:i/>
                <w:noProof/>
                <w:sz w:val="16"/>
                <w:szCs w:val="16"/>
                <w:lang w:val="fr-FR"/>
              </w:rPr>
            </w:pPr>
          </w:p>
        </w:tc>
        <w:tc>
          <w:tcPr>
            <w:tcW w:w="1701" w:type="dxa"/>
            <w:gridSpan w:val="2"/>
            <w:tcBorders>
              <w:top w:val="single" w:sz="4" w:space="0" w:color="auto"/>
              <w:bottom w:val="single" w:sz="4" w:space="0" w:color="auto"/>
            </w:tcBorders>
            <w:shd w:val="clear" w:color="auto" w:fill="auto"/>
            <w:vAlign w:val="bottom"/>
          </w:tcPr>
          <w:p w:rsidR="000448E3" w:rsidRPr="00DD03D6" w:rsidRDefault="00D62D88" w:rsidP="007201D2">
            <w:pPr>
              <w:suppressAutoHyphens w:val="0"/>
              <w:spacing w:before="80" w:after="80" w:line="200" w:lineRule="exact"/>
              <w:jc w:val="center"/>
              <w:rPr>
                <w:bCs/>
                <w:i/>
                <w:noProof/>
                <w:sz w:val="16"/>
                <w:szCs w:val="16"/>
                <w:lang w:val="fr-FR"/>
              </w:rPr>
            </w:pPr>
            <w:r>
              <w:rPr>
                <w:bCs/>
                <w:i/>
                <w:noProof/>
                <w:sz w:val="16"/>
                <w:szCs w:val="16"/>
                <w:lang w:val="fr-FR"/>
              </w:rPr>
              <w:t>Postes d’enseignants A</w:t>
            </w:r>
            <w:r w:rsidR="007201D2">
              <w:rPr>
                <w:bCs/>
                <w:i/>
                <w:noProof/>
                <w:sz w:val="16"/>
                <w:szCs w:val="16"/>
                <w:lang w:val="fr-FR"/>
              </w:rPr>
              <w:t>LS</w:t>
            </w:r>
            <w:r>
              <w:rPr>
                <w:bCs/>
                <w:i/>
                <w:noProof/>
                <w:sz w:val="16"/>
                <w:szCs w:val="16"/>
                <w:lang w:val="fr-FR"/>
              </w:rPr>
              <w:t xml:space="preserve"> ETP</w:t>
            </w:r>
            <w:r w:rsidR="000448E3" w:rsidRPr="00DD03D6">
              <w:rPr>
                <w:bCs/>
                <w:iCs/>
                <w:noProof/>
                <w:sz w:val="16"/>
                <w:szCs w:val="16"/>
                <w:lang w:val="fr-FR"/>
              </w:rPr>
              <w:t>*</w:t>
            </w:r>
            <w:r w:rsidR="000448E3" w:rsidRPr="00DD03D6">
              <w:rPr>
                <w:bCs/>
                <w:i/>
                <w:noProof/>
                <w:sz w:val="16"/>
                <w:szCs w:val="16"/>
                <w:lang w:val="fr-FR"/>
              </w:rPr>
              <w:t xml:space="preserve"> </w:t>
            </w:r>
          </w:p>
        </w:tc>
      </w:tr>
      <w:tr w:rsidR="000448E3" w:rsidRPr="00DD03D6" w:rsidTr="009A5E46">
        <w:trPr>
          <w:trHeight w:val="240"/>
          <w:tblHeader/>
        </w:trPr>
        <w:tc>
          <w:tcPr>
            <w:tcW w:w="3969" w:type="dxa"/>
            <w:vMerge/>
            <w:tcBorders>
              <w:top w:val="single" w:sz="12" w:space="0" w:color="auto"/>
              <w:bottom w:val="single" w:sz="12" w:space="0" w:color="auto"/>
            </w:tcBorders>
            <w:shd w:val="clear" w:color="auto" w:fill="auto"/>
            <w:vAlign w:val="bottom"/>
          </w:tcPr>
          <w:p w:rsidR="000448E3" w:rsidRPr="00DD03D6" w:rsidRDefault="000448E3" w:rsidP="009A5E46">
            <w:pPr>
              <w:suppressAutoHyphens w:val="0"/>
              <w:spacing w:before="80" w:after="80" w:line="200" w:lineRule="exact"/>
              <w:rPr>
                <w:bCs/>
                <w:i/>
                <w:noProof/>
                <w:sz w:val="16"/>
                <w:szCs w:val="16"/>
                <w:lang w:val="fr-FR"/>
              </w:rPr>
            </w:pPr>
          </w:p>
        </w:tc>
        <w:tc>
          <w:tcPr>
            <w:tcW w:w="1701" w:type="dxa"/>
            <w:tcBorders>
              <w:top w:val="single" w:sz="4" w:space="0" w:color="auto"/>
              <w:bottom w:val="single" w:sz="12" w:space="0" w:color="auto"/>
            </w:tcBorders>
            <w:shd w:val="clear" w:color="auto" w:fill="auto"/>
            <w:vAlign w:val="bottom"/>
          </w:tcPr>
          <w:p w:rsidR="000448E3" w:rsidRPr="00DD03D6" w:rsidRDefault="000448E3" w:rsidP="00D62D88">
            <w:pPr>
              <w:suppressAutoHyphens w:val="0"/>
              <w:spacing w:before="80" w:after="80" w:line="200" w:lineRule="exact"/>
              <w:jc w:val="right"/>
              <w:rPr>
                <w:bCs/>
                <w:i/>
                <w:noProof/>
                <w:sz w:val="16"/>
                <w:szCs w:val="16"/>
                <w:lang w:val="fr-FR"/>
              </w:rPr>
            </w:pPr>
            <w:r w:rsidRPr="00DD03D6">
              <w:rPr>
                <w:bCs/>
                <w:i/>
                <w:noProof/>
                <w:sz w:val="16"/>
                <w:szCs w:val="16"/>
                <w:lang w:val="fr-FR"/>
              </w:rPr>
              <w:t>Prima</w:t>
            </w:r>
            <w:r w:rsidR="00D62D88">
              <w:rPr>
                <w:bCs/>
                <w:i/>
                <w:noProof/>
                <w:sz w:val="16"/>
                <w:szCs w:val="16"/>
                <w:lang w:val="fr-FR"/>
              </w:rPr>
              <w:t>ire</w:t>
            </w:r>
            <w:r w:rsidRPr="00DD03D6">
              <w:rPr>
                <w:bCs/>
                <w:iCs/>
                <w:noProof/>
                <w:sz w:val="16"/>
                <w:szCs w:val="16"/>
                <w:lang w:val="fr-FR"/>
              </w:rPr>
              <w:t>**</w:t>
            </w:r>
          </w:p>
        </w:tc>
        <w:tc>
          <w:tcPr>
            <w:tcW w:w="1701" w:type="dxa"/>
            <w:tcBorders>
              <w:top w:val="single" w:sz="4" w:space="0" w:color="auto"/>
              <w:bottom w:val="single" w:sz="12" w:space="0" w:color="auto"/>
            </w:tcBorders>
            <w:shd w:val="clear" w:color="auto" w:fill="auto"/>
            <w:vAlign w:val="bottom"/>
          </w:tcPr>
          <w:p w:rsidR="000448E3" w:rsidRPr="00DD03D6" w:rsidRDefault="000448E3" w:rsidP="00D62D88">
            <w:pPr>
              <w:suppressAutoHyphens w:val="0"/>
              <w:spacing w:before="80" w:after="80" w:line="200" w:lineRule="exact"/>
              <w:jc w:val="right"/>
              <w:rPr>
                <w:bCs/>
                <w:i/>
                <w:noProof/>
                <w:sz w:val="16"/>
                <w:szCs w:val="16"/>
                <w:lang w:val="fr-FR"/>
              </w:rPr>
            </w:pPr>
            <w:r w:rsidRPr="00DD03D6">
              <w:rPr>
                <w:bCs/>
                <w:i/>
                <w:noProof/>
                <w:sz w:val="16"/>
                <w:szCs w:val="16"/>
                <w:lang w:val="fr-FR"/>
              </w:rPr>
              <w:t>Postprima</w:t>
            </w:r>
            <w:r w:rsidR="00D62D88">
              <w:rPr>
                <w:bCs/>
                <w:i/>
                <w:noProof/>
                <w:sz w:val="16"/>
                <w:szCs w:val="16"/>
                <w:lang w:val="fr-FR"/>
              </w:rPr>
              <w:t>ire</w:t>
            </w:r>
          </w:p>
        </w:tc>
      </w:tr>
      <w:tr w:rsidR="000448E3" w:rsidRPr="00DD03D6" w:rsidTr="009A5E46">
        <w:trPr>
          <w:trHeight w:val="240"/>
        </w:trPr>
        <w:tc>
          <w:tcPr>
            <w:tcW w:w="3969" w:type="dxa"/>
            <w:tcBorders>
              <w:top w:val="single" w:sz="12" w:space="0" w:color="auto"/>
            </w:tcBorders>
            <w:shd w:val="clear" w:color="auto" w:fill="auto"/>
          </w:tcPr>
          <w:p w:rsidR="000448E3" w:rsidRPr="00DD03D6" w:rsidRDefault="000448E3" w:rsidP="009A5E46">
            <w:pPr>
              <w:suppressAutoHyphens w:val="0"/>
              <w:spacing w:before="40" w:after="40" w:line="220" w:lineRule="exact"/>
              <w:rPr>
                <w:noProof/>
                <w:sz w:val="18"/>
                <w:szCs w:val="22"/>
                <w:lang w:val="fr-FR"/>
              </w:rPr>
            </w:pPr>
            <w:r w:rsidRPr="00DD03D6">
              <w:rPr>
                <w:noProof/>
                <w:sz w:val="18"/>
                <w:szCs w:val="22"/>
                <w:lang w:val="fr-FR"/>
              </w:rPr>
              <w:t>2006</w:t>
            </w:r>
          </w:p>
        </w:tc>
        <w:tc>
          <w:tcPr>
            <w:tcW w:w="1701" w:type="dxa"/>
            <w:tcBorders>
              <w:top w:val="single" w:sz="12" w:space="0" w:color="auto"/>
            </w:tcBorders>
            <w:shd w:val="clear" w:color="auto" w:fill="auto"/>
            <w:vAlign w:val="bottom"/>
          </w:tcPr>
          <w:p w:rsidR="000448E3" w:rsidRPr="00DD03D6" w:rsidRDefault="000448E3" w:rsidP="00547FBF">
            <w:pPr>
              <w:suppressAutoHyphens w:val="0"/>
              <w:spacing w:before="40" w:after="40" w:line="220" w:lineRule="exact"/>
              <w:jc w:val="right"/>
              <w:rPr>
                <w:noProof/>
                <w:sz w:val="18"/>
                <w:szCs w:val="22"/>
                <w:lang w:val="fr-FR"/>
              </w:rPr>
            </w:pPr>
            <w:r w:rsidRPr="00DD03D6">
              <w:rPr>
                <w:noProof/>
                <w:sz w:val="18"/>
                <w:szCs w:val="22"/>
                <w:lang w:val="fr-FR"/>
              </w:rPr>
              <w:t>1</w:t>
            </w:r>
            <w:r w:rsidR="00547FBF">
              <w:rPr>
                <w:noProof/>
                <w:sz w:val="18"/>
                <w:szCs w:val="22"/>
                <w:lang w:val="fr-FR"/>
              </w:rPr>
              <w:t> </w:t>
            </w:r>
            <w:r w:rsidRPr="00DD03D6">
              <w:rPr>
                <w:noProof/>
                <w:sz w:val="18"/>
                <w:szCs w:val="22"/>
                <w:lang w:val="fr-FR"/>
              </w:rPr>
              <w:t>069</w:t>
            </w:r>
          </w:p>
        </w:tc>
        <w:tc>
          <w:tcPr>
            <w:tcW w:w="1701" w:type="dxa"/>
            <w:tcBorders>
              <w:top w:val="single" w:sz="12" w:space="0" w:color="auto"/>
            </w:tcBorders>
            <w:shd w:val="clear" w:color="auto" w:fill="auto"/>
            <w:vAlign w:val="bottom"/>
          </w:tcPr>
          <w:p w:rsidR="000448E3" w:rsidRPr="00DD03D6" w:rsidRDefault="000448E3" w:rsidP="009A5E46">
            <w:pPr>
              <w:suppressAutoHyphens w:val="0"/>
              <w:spacing w:before="40" w:after="40" w:line="220" w:lineRule="exact"/>
              <w:jc w:val="right"/>
              <w:rPr>
                <w:noProof/>
                <w:sz w:val="18"/>
                <w:szCs w:val="22"/>
                <w:lang w:val="fr-FR"/>
              </w:rPr>
            </w:pPr>
            <w:r w:rsidRPr="00DD03D6">
              <w:rPr>
                <w:noProof/>
                <w:sz w:val="18"/>
                <w:szCs w:val="22"/>
                <w:lang w:val="fr-FR"/>
              </w:rPr>
              <w:t>388</w:t>
            </w:r>
          </w:p>
        </w:tc>
      </w:tr>
      <w:tr w:rsidR="000448E3" w:rsidRPr="00DD03D6" w:rsidTr="009A5E46">
        <w:trPr>
          <w:trHeight w:val="240"/>
        </w:trPr>
        <w:tc>
          <w:tcPr>
            <w:tcW w:w="3969" w:type="dxa"/>
            <w:shd w:val="clear" w:color="auto" w:fill="auto"/>
          </w:tcPr>
          <w:p w:rsidR="000448E3" w:rsidRPr="00DD03D6" w:rsidRDefault="000448E3" w:rsidP="009A5E46">
            <w:pPr>
              <w:suppressAutoHyphens w:val="0"/>
              <w:spacing w:before="40" w:after="40" w:line="220" w:lineRule="exact"/>
              <w:rPr>
                <w:noProof/>
                <w:sz w:val="18"/>
                <w:szCs w:val="22"/>
                <w:lang w:val="fr-FR"/>
              </w:rPr>
            </w:pPr>
            <w:r w:rsidRPr="00DD03D6">
              <w:rPr>
                <w:noProof/>
                <w:sz w:val="18"/>
                <w:szCs w:val="22"/>
                <w:lang w:val="fr-FR"/>
              </w:rPr>
              <w:t>2007</w:t>
            </w:r>
          </w:p>
        </w:tc>
        <w:tc>
          <w:tcPr>
            <w:tcW w:w="1701" w:type="dxa"/>
            <w:shd w:val="clear" w:color="auto" w:fill="auto"/>
            <w:vAlign w:val="bottom"/>
          </w:tcPr>
          <w:p w:rsidR="000448E3" w:rsidRPr="00DD03D6" w:rsidRDefault="00547FBF" w:rsidP="009A5E46">
            <w:pPr>
              <w:suppressAutoHyphens w:val="0"/>
              <w:spacing w:before="40" w:after="40" w:line="220" w:lineRule="exact"/>
              <w:jc w:val="right"/>
              <w:rPr>
                <w:noProof/>
                <w:sz w:val="18"/>
                <w:szCs w:val="22"/>
                <w:lang w:val="fr-FR"/>
              </w:rPr>
            </w:pPr>
            <w:r>
              <w:rPr>
                <w:noProof/>
                <w:sz w:val="18"/>
                <w:szCs w:val="22"/>
                <w:lang w:val="fr-FR"/>
              </w:rPr>
              <w:t>1 </w:t>
            </w:r>
            <w:r w:rsidR="000448E3" w:rsidRPr="00DD03D6">
              <w:rPr>
                <w:noProof/>
                <w:sz w:val="18"/>
                <w:szCs w:val="22"/>
                <w:lang w:val="fr-FR"/>
              </w:rPr>
              <w:t>520</w:t>
            </w:r>
          </w:p>
        </w:tc>
        <w:tc>
          <w:tcPr>
            <w:tcW w:w="1701" w:type="dxa"/>
            <w:shd w:val="clear" w:color="auto" w:fill="auto"/>
            <w:vAlign w:val="bottom"/>
          </w:tcPr>
          <w:p w:rsidR="000448E3" w:rsidRPr="00DD03D6" w:rsidRDefault="000448E3" w:rsidP="009A5E46">
            <w:pPr>
              <w:suppressAutoHyphens w:val="0"/>
              <w:spacing w:before="40" w:after="40" w:line="220" w:lineRule="exact"/>
              <w:jc w:val="right"/>
              <w:rPr>
                <w:noProof/>
                <w:sz w:val="18"/>
                <w:szCs w:val="22"/>
                <w:lang w:val="fr-FR"/>
              </w:rPr>
            </w:pPr>
            <w:r w:rsidRPr="00DD03D6">
              <w:rPr>
                <w:noProof/>
                <w:sz w:val="18"/>
                <w:szCs w:val="22"/>
                <w:lang w:val="fr-FR"/>
              </w:rPr>
              <w:t>479</w:t>
            </w:r>
          </w:p>
        </w:tc>
      </w:tr>
      <w:tr w:rsidR="000448E3" w:rsidRPr="00DD03D6" w:rsidTr="009A5E46">
        <w:trPr>
          <w:trHeight w:val="240"/>
        </w:trPr>
        <w:tc>
          <w:tcPr>
            <w:tcW w:w="3969" w:type="dxa"/>
            <w:shd w:val="clear" w:color="auto" w:fill="auto"/>
          </w:tcPr>
          <w:p w:rsidR="000448E3" w:rsidRPr="00DD03D6" w:rsidRDefault="000448E3" w:rsidP="009A5E46">
            <w:pPr>
              <w:suppressAutoHyphens w:val="0"/>
              <w:spacing w:before="40" w:after="40" w:line="220" w:lineRule="exact"/>
              <w:rPr>
                <w:noProof/>
                <w:sz w:val="18"/>
                <w:szCs w:val="22"/>
                <w:lang w:val="fr-FR"/>
              </w:rPr>
            </w:pPr>
            <w:r w:rsidRPr="00DD03D6">
              <w:rPr>
                <w:noProof/>
                <w:sz w:val="18"/>
                <w:szCs w:val="22"/>
                <w:lang w:val="fr-FR"/>
              </w:rPr>
              <w:t>2008</w:t>
            </w:r>
          </w:p>
        </w:tc>
        <w:tc>
          <w:tcPr>
            <w:tcW w:w="1701" w:type="dxa"/>
            <w:shd w:val="clear" w:color="auto" w:fill="auto"/>
            <w:vAlign w:val="bottom"/>
          </w:tcPr>
          <w:p w:rsidR="000448E3" w:rsidRPr="00DD03D6" w:rsidRDefault="00547FBF" w:rsidP="009A5E46">
            <w:pPr>
              <w:suppressAutoHyphens w:val="0"/>
              <w:spacing w:before="40" w:after="40" w:line="220" w:lineRule="exact"/>
              <w:jc w:val="right"/>
              <w:rPr>
                <w:noProof/>
                <w:sz w:val="18"/>
                <w:szCs w:val="22"/>
                <w:lang w:val="fr-FR"/>
              </w:rPr>
            </w:pPr>
            <w:r>
              <w:rPr>
                <w:noProof/>
                <w:sz w:val="18"/>
                <w:szCs w:val="22"/>
                <w:lang w:val="fr-FR"/>
              </w:rPr>
              <w:t>1 </w:t>
            </w:r>
            <w:r w:rsidR="000448E3" w:rsidRPr="00DD03D6">
              <w:rPr>
                <w:noProof/>
                <w:sz w:val="18"/>
                <w:szCs w:val="22"/>
                <w:lang w:val="fr-FR"/>
              </w:rPr>
              <w:t>636</w:t>
            </w:r>
          </w:p>
        </w:tc>
        <w:tc>
          <w:tcPr>
            <w:tcW w:w="1701" w:type="dxa"/>
            <w:shd w:val="clear" w:color="auto" w:fill="auto"/>
            <w:vAlign w:val="bottom"/>
          </w:tcPr>
          <w:p w:rsidR="000448E3" w:rsidRPr="00DD03D6" w:rsidRDefault="000448E3" w:rsidP="009A5E46">
            <w:pPr>
              <w:suppressAutoHyphens w:val="0"/>
              <w:spacing w:before="40" w:after="40" w:line="220" w:lineRule="exact"/>
              <w:jc w:val="right"/>
              <w:rPr>
                <w:noProof/>
                <w:sz w:val="18"/>
                <w:szCs w:val="22"/>
                <w:lang w:val="fr-FR"/>
              </w:rPr>
            </w:pPr>
            <w:r w:rsidRPr="00DD03D6">
              <w:rPr>
                <w:noProof/>
                <w:sz w:val="18"/>
                <w:szCs w:val="22"/>
                <w:lang w:val="fr-FR"/>
              </w:rPr>
              <w:t>560</w:t>
            </w:r>
          </w:p>
        </w:tc>
      </w:tr>
      <w:tr w:rsidR="000448E3" w:rsidRPr="00DD03D6" w:rsidTr="009A5E46">
        <w:trPr>
          <w:trHeight w:val="240"/>
        </w:trPr>
        <w:tc>
          <w:tcPr>
            <w:tcW w:w="3969" w:type="dxa"/>
            <w:shd w:val="clear" w:color="auto" w:fill="auto"/>
          </w:tcPr>
          <w:p w:rsidR="000448E3" w:rsidRPr="00DD03D6" w:rsidRDefault="000448E3" w:rsidP="009A5E46">
            <w:pPr>
              <w:suppressAutoHyphens w:val="0"/>
              <w:spacing w:before="40" w:after="40" w:line="220" w:lineRule="exact"/>
              <w:rPr>
                <w:noProof/>
                <w:sz w:val="18"/>
                <w:szCs w:val="22"/>
                <w:lang w:val="fr-FR"/>
              </w:rPr>
            </w:pPr>
            <w:r w:rsidRPr="00DD03D6">
              <w:rPr>
                <w:noProof/>
                <w:sz w:val="18"/>
                <w:szCs w:val="22"/>
                <w:lang w:val="fr-FR"/>
              </w:rPr>
              <w:t>2009</w:t>
            </w:r>
          </w:p>
        </w:tc>
        <w:tc>
          <w:tcPr>
            <w:tcW w:w="1701" w:type="dxa"/>
            <w:shd w:val="clear" w:color="auto" w:fill="auto"/>
            <w:vAlign w:val="bottom"/>
          </w:tcPr>
          <w:p w:rsidR="000448E3" w:rsidRPr="00DD03D6" w:rsidRDefault="00547FBF" w:rsidP="009A5E46">
            <w:pPr>
              <w:suppressAutoHyphens w:val="0"/>
              <w:spacing w:before="40" w:after="40" w:line="220" w:lineRule="exact"/>
              <w:jc w:val="right"/>
              <w:rPr>
                <w:noProof/>
                <w:sz w:val="18"/>
                <w:szCs w:val="22"/>
                <w:lang w:val="fr-FR"/>
              </w:rPr>
            </w:pPr>
            <w:r>
              <w:rPr>
                <w:noProof/>
                <w:sz w:val="18"/>
                <w:szCs w:val="22"/>
                <w:lang w:val="fr-FR"/>
              </w:rPr>
              <w:t>1 </w:t>
            </w:r>
            <w:r w:rsidR="000448E3" w:rsidRPr="00DD03D6">
              <w:rPr>
                <w:noProof/>
                <w:sz w:val="18"/>
                <w:szCs w:val="22"/>
                <w:lang w:val="fr-FR"/>
              </w:rPr>
              <w:t>125</w:t>
            </w:r>
          </w:p>
        </w:tc>
        <w:tc>
          <w:tcPr>
            <w:tcW w:w="1701" w:type="dxa"/>
            <w:shd w:val="clear" w:color="auto" w:fill="auto"/>
            <w:vAlign w:val="bottom"/>
          </w:tcPr>
          <w:p w:rsidR="000448E3" w:rsidRPr="00DD03D6" w:rsidRDefault="000448E3" w:rsidP="009A5E46">
            <w:pPr>
              <w:suppressAutoHyphens w:val="0"/>
              <w:spacing w:before="40" w:after="40" w:line="220" w:lineRule="exact"/>
              <w:jc w:val="right"/>
              <w:rPr>
                <w:noProof/>
                <w:sz w:val="18"/>
                <w:szCs w:val="22"/>
                <w:lang w:val="fr-FR"/>
              </w:rPr>
            </w:pPr>
            <w:r w:rsidRPr="00DD03D6">
              <w:rPr>
                <w:noProof/>
                <w:sz w:val="18"/>
                <w:szCs w:val="22"/>
                <w:lang w:val="fr-FR"/>
              </w:rPr>
              <w:t>368</w:t>
            </w:r>
          </w:p>
        </w:tc>
      </w:tr>
      <w:tr w:rsidR="000448E3" w:rsidRPr="00DD03D6" w:rsidTr="009A5E46">
        <w:trPr>
          <w:trHeight w:val="240"/>
        </w:trPr>
        <w:tc>
          <w:tcPr>
            <w:tcW w:w="3969" w:type="dxa"/>
            <w:shd w:val="clear" w:color="auto" w:fill="auto"/>
          </w:tcPr>
          <w:p w:rsidR="000448E3" w:rsidRPr="00DD03D6" w:rsidRDefault="000448E3" w:rsidP="009A5E46">
            <w:pPr>
              <w:suppressAutoHyphens w:val="0"/>
              <w:spacing w:before="40" w:after="40" w:line="220" w:lineRule="exact"/>
              <w:rPr>
                <w:noProof/>
                <w:sz w:val="18"/>
                <w:szCs w:val="22"/>
                <w:lang w:val="fr-FR"/>
              </w:rPr>
            </w:pPr>
            <w:r w:rsidRPr="00DD03D6">
              <w:rPr>
                <w:noProof/>
                <w:sz w:val="18"/>
                <w:szCs w:val="22"/>
                <w:lang w:val="fr-FR"/>
              </w:rPr>
              <w:t>2010</w:t>
            </w:r>
          </w:p>
        </w:tc>
        <w:tc>
          <w:tcPr>
            <w:tcW w:w="1701" w:type="dxa"/>
            <w:shd w:val="clear" w:color="auto" w:fill="auto"/>
            <w:vAlign w:val="bottom"/>
          </w:tcPr>
          <w:p w:rsidR="000448E3" w:rsidRPr="00DD03D6" w:rsidRDefault="00547FBF" w:rsidP="009A5E46">
            <w:pPr>
              <w:suppressAutoHyphens w:val="0"/>
              <w:spacing w:before="40" w:after="40" w:line="220" w:lineRule="exact"/>
              <w:jc w:val="right"/>
              <w:rPr>
                <w:noProof/>
                <w:sz w:val="18"/>
                <w:szCs w:val="22"/>
                <w:lang w:val="fr-FR"/>
              </w:rPr>
            </w:pPr>
            <w:r>
              <w:rPr>
                <w:noProof/>
                <w:sz w:val="18"/>
                <w:szCs w:val="22"/>
                <w:lang w:val="fr-FR"/>
              </w:rPr>
              <w:t>1 </w:t>
            </w:r>
            <w:r w:rsidR="000448E3" w:rsidRPr="00DD03D6">
              <w:rPr>
                <w:noProof/>
                <w:sz w:val="18"/>
                <w:szCs w:val="22"/>
                <w:lang w:val="fr-FR"/>
              </w:rPr>
              <w:t>071</w:t>
            </w:r>
          </w:p>
        </w:tc>
        <w:tc>
          <w:tcPr>
            <w:tcW w:w="1701" w:type="dxa"/>
            <w:shd w:val="clear" w:color="auto" w:fill="auto"/>
            <w:vAlign w:val="bottom"/>
          </w:tcPr>
          <w:p w:rsidR="000448E3" w:rsidRPr="00DD03D6" w:rsidRDefault="000448E3" w:rsidP="009A5E46">
            <w:pPr>
              <w:suppressAutoHyphens w:val="0"/>
              <w:spacing w:before="40" w:after="40" w:line="220" w:lineRule="exact"/>
              <w:jc w:val="right"/>
              <w:rPr>
                <w:noProof/>
                <w:sz w:val="18"/>
                <w:szCs w:val="22"/>
                <w:lang w:val="fr-FR"/>
              </w:rPr>
            </w:pPr>
            <w:r w:rsidRPr="00DD03D6">
              <w:rPr>
                <w:noProof/>
                <w:sz w:val="18"/>
                <w:szCs w:val="22"/>
                <w:lang w:val="fr-FR"/>
              </w:rPr>
              <w:t>282</w:t>
            </w:r>
          </w:p>
        </w:tc>
      </w:tr>
      <w:tr w:rsidR="000448E3" w:rsidRPr="00DD03D6" w:rsidTr="009A5E46">
        <w:trPr>
          <w:trHeight w:val="240"/>
        </w:trPr>
        <w:tc>
          <w:tcPr>
            <w:tcW w:w="3969" w:type="dxa"/>
            <w:shd w:val="clear" w:color="auto" w:fill="auto"/>
          </w:tcPr>
          <w:p w:rsidR="000448E3" w:rsidRPr="00DD03D6" w:rsidRDefault="000448E3" w:rsidP="009A5E46">
            <w:pPr>
              <w:suppressAutoHyphens w:val="0"/>
              <w:spacing w:before="40" w:after="40" w:line="220" w:lineRule="exact"/>
              <w:rPr>
                <w:noProof/>
                <w:sz w:val="18"/>
                <w:szCs w:val="22"/>
                <w:lang w:val="fr-FR"/>
              </w:rPr>
            </w:pPr>
            <w:r w:rsidRPr="00DD03D6">
              <w:rPr>
                <w:noProof/>
                <w:sz w:val="18"/>
                <w:szCs w:val="22"/>
                <w:lang w:val="fr-FR"/>
              </w:rPr>
              <w:t>2011</w:t>
            </w:r>
          </w:p>
        </w:tc>
        <w:tc>
          <w:tcPr>
            <w:tcW w:w="1701" w:type="dxa"/>
            <w:shd w:val="clear" w:color="auto" w:fill="auto"/>
            <w:vAlign w:val="bottom"/>
          </w:tcPr>
          <w:p w:rsidR="000448E3" w:rsidRPr="00DD03D6" w:rsidRDefault="000448E3" w:rsidP="009A5E46">
            <w:pPr>
              <w:suppressAutoHyphens w:val="0"/>
              <w:spacing w:before="40" w:after="40" w:line="220" w:lineRule="exact"/>
              <w:jc w:val="right"/>
              <w:rPr>
                <w:noProof/>
                <w:sz w:val="18"/>
                <w:szCs w:val="22"/>
                <w:lang w:val="fr-FR"/>
              </w:rPr>
            </w:pPr>
            <w:r w:rsidRPr="00DD03D6">
              <w:rPr>
                <w:noProof/>
                <w:sz w:val="18"/>
                <w:szCs w:val="22"/>
                <w:lang w:val="fr-FR"/>
              </w:rPr>
              <w:t>924</w:t>
            </w:r>
          </w:p>
        </w:tc>
        <w:tc>
          <w:tcPr>
            <w:tcW w:w="1701" w:type="dxa"/>
            <w:shd w:val="clear" w:color="auto" w:fill="auto"/>
            <w:vAlign w:val="bottom"/>
          </w:tcPr>
          <w:p w:rsidR="000448E3" w:rsidRPr="00DD03D6" w:rsidRDefault="000448E3" w:rsidP="009A5E46">
            <w:pPr>
              <w:suppressAutoHyphens w:val="0"/>
              <w:spacing w:before="40" w:after="40" w:line="220" w:lineRule="exact"/>
              <w:jc w:val="right"/>
              <w:rPr>
                <w:noProof/>
                <w:sz w:val="18"/>
                <w:szCs w:val="22"/>
                <w:lang w:val="fr-FR"/>
              </w:rPr>
            </w:pPr>
            <w:r w:rsidRPr="00DD03D6">
              <w:rPr>
                <w:noProof/>
                <w:sz w:val="18"/>
                <w:szCs w:val="22"/>
                <w:lang w:val="fr-FR"/>
              </w:rPr>
              <w:t>210</w:t>
            </w:r>
          </w:p>
        </w:tc>
      </w:tr>
    </w:tbl>
    <w:p w:rsidR="001B2F58" w:rsidRPr="00DD03D6" w:rsidRDefault="009A5E46" w:rsidP="009A5E46">
      <w:pPr>
        <w:pStyle w:val="SingleTxtG"/>
        <w:spacing w:before="120" w:after="0"/>
        <w:ind w:firstLine="170"/>
        <w:jc w:val="left"/>
        <w:rPr>
          <w:iCs/>
          <w:noProof/>
          <w:sz w:val="18"/>
          <w:szCs w:val="18"/>
          <w:lang w:val="fr-FR"/>
        </w:rPr>
      </w:pPr>
      <w:r w:rsidRPr="00DD03D6">
        <w:rPr>
          <w:iCs/>
          <w:noProof/>
          <w:sz w:val="18"/>
          <w:szCs w:val="18"/>
          <w:lang w:val="fr-FR"/>
        </w:rPr>
        <w:t xml:space="preserve">* </w:t>
      </w:r>
      <w:r w:rsidR="00547E30">
        <w:rPr>
          <w:iCs/>
          <w:noProof/>
          <w:sz w:val="18"/>
          <w:szCs w:val="18"/>
          <w:lang w:val="fr-FR"/>
        </w:rPr>
        <w:tab/>
      </w:r>
      <w:r w:rsidR="00D62D88">
        <w:rPr>
          <w:iCs/>
          <w:noProof/>
          <w:sz w:val="18"/>
          <w:szCs w:val="18"/>
          <w:lang w:val="fr-FR"/>
        </w:rPr>
        <w:t>ETP</w:t>
      </w:r>
      <w:r w:rsidR="001B2F58" w:rsidRPr="00DD03D6">
        <w:rPr>
          <w:iCs/>
          <w:noProof/>
          <w:sz w:val="18"/>
          <w:szCs w:val="18"/>
          <w:lang w:val="fr-FR"/>
        </w:rPr>
        <w:t xml:space="preserve"> = </w:t>
      </w:r>
      <w:r w:rsidR="00D62D88">
        <w:rPr>
          <w:iCs/>
          <w:noProof/>
          <w:sz w:val="18"/>
          <w:szCs w:val="18"/>
          <w:lang w:val="fr-FR"/>
        </w:rPr>
        <w:t>é</w:t>
      </w:r>
      <w:r w:rsidR="001B2F58" w:rsidRPr="00DD03D6">
        <w:rPr>
          <w:iCs/>
          <w:noProof/>
          <w:sz w:val="18"/>
          <w:szCs w:val="18"/>
          <w:lang w:val="fr-FR"/>
        </w:rPr>
        <w:t>quivalent</w:t>
      </w:r>
      <w:r w:rsidR="00D62D88">
        <w:rPr>
          <w:iCs/>
          <w:noProof/>
          <w:sz w:val="18"/>
          <w:szCs w:val="18"/>
          <w:lang w:val="fr-FR"/>
        </w:rPr>
        <w:t xml:space="preserve"> temps plein</w:t>
      </w:r>
      <w:r w:rsidR="001B2F58" w:rsidRPr="00DD03D6">
        <w:rPr>
          <w:iCs/>
          <w:noProof/>
          <w:sz w:val="18"/>
          <w:szCs w:val="18"/>
          <w:lang w:val="fr-FR"/>
        </w:rPr>
        <w:t xml:space="preserve">; </w:t>
      </w:r>
      <w:r w:rsidR="00D62D88">
        <w:rPr>
          <w:iCs/>
          <w:noProof/>
          <w:sz w:val="18"/>
          <w:szCs w:val="18"/>
          <w:lang w:val="fr-FR"/>
        </w:rPr>
        <w:t>AL</w:t>
      </w:r>
      <w:r w:rsidR="007201D2">
        <w:rPr>
          <w:iCs/>
          <w:noProof/>
          <w:sz w:val="18"/>
          <w:szCs w:val="18"/>
          <w:lang w:val="fr-FR"/>
        </w:rPr>
        <w:t>S</w:t>
      </w:r>
      <w:r w:rsidR="001B2F58" w:rsidRPr="00DD03D6">
        <w:rPr>
          <w:iCs/>
          <w:noProof/>
          <w:sz w:val="18"/>
          <w:szCs w:val="18"/>
          <w:lang w:val="fr-FR"/>
        </w:rPr>
        <w:t xml:space="preserve"> = </w:t>
      </w:r>
      <w:r w:rsidR="00D62D88">
        <w:rPr>
          <w:iCs/>
          <w:noProof/>
          <w:sz w:val="18"/>
          <w:szCs w:val="18"/>
          <w:lang w:val="fr-FR"/>
        </w:rPr>
        <w:t>anglais en tant que langue supplémentaire</w:t>
      </w:r>
      <w:r w:rsidR="001B2F58" w:rsidRPr="00DD03D6">
        <w:rPr>
          <w:iCs/>
          <w:noProof/>
          <w:sz w:val="18"/>
          <w:szCs w:val="18"/>
          <w:lang w:val="fr-FR"/>
        </w:rPr>
        <w:t>.</w:t>
      </w:r>
    </w:p>
    <w:p w:rsidR="001B2F58" w:rsidRPr="00DD03D6" w:rsidRDefault="009A5E46" w:rsidP="009A5E46">
      <w:pPr>
        <w:pStyle w:val="SingleTxtG"/>
        <w:ind w:firstLine="170"/>
        <w:jc w:val="left"/>
        <w:rPr>
          <w:iCs/>
          <w:noProof/>
          <w:sz w:val="18"/>
          <w:szCs w:val="18"/>
          <w:lang w:val="fr-FR"/>
        </w:rPr>
      </w:pPr>
      <w:r w:rsidRPr="00DD03D6">
        <w:rPr>
          <w:iCs/>
          <w:noProof/>
          <w:sz w:val="18"/>
          <w:szCs w:val="18"/>
          <w:lang w:val="fr-FR"/>
        </w:rPr>
        <w:t>**</w:t>
      </w:r>
      <w:r w:rsidR="00547E30">
        <w:rPr>
          <w:iCs/>
          <w:noProof/>
          <w:sz w:val="18"/>
          <w:szCs w:val="18"/>
          <w:lang w:val="fr-FR"/>
        </w:rPr>
        <w:tab/>
      </w:r>
      <w:r w:rsidR="00D62D88">
        <w:rPr>
          <w:iCs/>
          <w:noProof/>
          <w:sz w:val="18"/>
          <w:szCs w:val="18"/>
          <w:lang w:val="fr-FR"/>
        </w:rPr>
        <w:t xml:space="preserve">Les chiffres du primaire </w:t>
      </w:r>
      <w:r w:rsidR="002B2632">
        <w:rPr>
          <w:iCs/>
          <w:noProof/>
          <w:sz w:val="18"/>
          <w:szCs w:val="18"/>
          <w:lang w:val="fr-FR"/>
        </w:rPr>
        <w:t>conc</w:t>
      </w:r>
      <w:r w:rsidR="00D62D88">
        <w:rPr>
          <w:iCs/>
          <w:noProof/>
          <w:sz w:val="18"/>
          <w:szCs w:val="18"/>
          <w:lang w:val="fr-FR"/>
        </w:rPr>
        <w:t>ernent les postes d’enseignement à plein temps uniquement, à l’</w:t>
      </w:r>
      <w:r w:rsidR="002276BA">
        <w:rPr>
          <w:iCs/>
          <w:noProof/>
          <w:sz w:val="18"/>
          <w:szCs w:val="18"/>
          <w:lang w:val="fr-FR"/>
        </w:rPr>
        <w:t>exclusio</w:t>
      </w:r>
      <w:r w:rsidR="00D62D88">
        <w:rPr>
          <w:iCs/>
          <w:noProof/>
          <w:sz w:val="18"/>
          <w:szCs w:val="18"/>
          <w:lang w:val="fr-FR"/>
        </w:rPr>
        <w:t xml:space="preserve">n </w:t>
      </w:r>
      <w:r w:rsidR="002B2632">
        <w:rPr>
          <w:iCs/>
          <w:noProof/>
          <w:sz w:val="18"/>
          <w:szCs w:val="18"/>
          <w:lang w:val="fr-FR"/>
        </w:rPr>
        <w:t>du travail à temps partiel</w:t>
      </w:r>
      <w:r w:rsidR="001B2F58" w:rsidRPr="00DD03D6">
        <w:rPr>
          <w:iCs/>
          <w:noProof/>
          <w:sz w:val="18"/>
          <w:szCs w:val="18"/>
          <w:lang w:val="fr-FR"/>
        </w:rPr>
        <w:t>.</w:t>
      </w:r>
    </w:p>
    <w:p w:rsidR="001B2F58" w:rsidRPr="00DD03D6" w:rsidRDefault="002B2632" w:rsidP="009A5E46">
      <w:pPr>
        <w:pStyle w:val="SingleTxtG"/>
        <w:numPr>
          <w:ilvl w:val="0"/>
          <w:numId w:val="3"/>
        </w:numPr>
        <w:ind w:left="1134" w:firstLine="0"/>
        <w:rPr>
          <w:noProof/>
          <w:lang w:val="fr-FR"/>
        </w:rPr>
      </w:pPr>
      <w:r>
        <w:rPr>
          <w:noProof/>
          <w:lang w:val="fr-FR"/>
        </w:rPr>
        <w:t>Les décisions b</w:t>
      </w:r>
      <w:r w:rsidR="001B2F58" w:rsidRPr="00DD03D6">
        <w:rPr>
          <w:noProof/>
          <w:lang w:val="fr-FR"/>
        </w:rPr>
        <w:t>udg</w:t>
      </w:r>
      <w:r>
        <w:rPr>
          <w:noProof/>
          <w:lang w:val="fr-FR"/>
        </w:rPr>
        <w:t xml:space="preserve">étaires prises depuis </w:t>
      </w:r>
      <w:r w:rsidR="001B2F58" w:rsidRPr="00DD03D6">
        <w:rPr>
          <w:noProof/>
          <w:lang w:val="fr-FR"/>
        </w:rPr>
        <w:t xml:space="preserve">2009 </w:t>
      </w:r>
      <w:r w:rsidR="002276BA">
        <w:rPr>
          <w:noProof/>
          <w:lang w:val="fr-FR"/>
        </w:rPr>
        <w:t>ont sensiblement réduit le nombre de postes de soutien linguistique accordés aux écoles</w:t>
      </w:r>
      <w:r w:rsidR="001B2F58" w:rsidRPr="00DD03D6">
        <w:rPr>
          <w:noProof/>
          <w:lang w:val="fr-FR"/>
        </w:rPr>
        <w:t xml:space="preserve">. </w:t>
      </w:r>
      <w:r w:rsidR="002276BA">
        <w:rPr>
          <w:noProof/>
          <w:lang w:val="fr-FR"/>
        </w:rPr>
        <w:t xml:space="preserve">À la suite de ces décision, de nouveaux </w:t>
      </w:r>
      <w:r w:rsidR="001B2F58" w:rsidRPr="00DD03D6">
        <w:rPr>
          <w:noProof/>
          <w:lang w:val="fr-FR"/>
        </w:rPr>
        <w:t>arrangements (</w:t>
      </w:r>
      <w:r w:rsidR="002276BA">
        <w:rPr>
          <w:noProof/>
          <w:lang w:val="fr-FR"/>
        </w:rPr>
        <w:t>a</w:t>
      </w:r>
      <w:r w:rsidR="00F301D2">
        <w:rPr>
          <w:noProof/>
          <w:lang w:val="fr-FR"/>
        </w:rPr>
        <w:t xml:space="preserve">ffectation des ressources </w:t>
      </w:r>
      <w:r w:rsidR="002276BA">
        <w:rPr>
          <w:noProof/>
          <w:lang w:val="fr-FR"/>
        </w:rPr>
        <w:t>reposant sur des règles et procédure d’appel</w:t>
      </w:r>
      <w:r w:rsidR="001B2F58" w:rsidRPr="00DD03D6">
        <w:rPr>
          <w:noProof/>
          <w:lang w:val="fr-FR"/>
        </w:rPr>
        <w:t xml:space="preserve">) </w:t>
      </w:r>
      <w:r w:rsidR="002276BA">
        <w:rPr>
          <w:noProof/>
          <w:lang w:val="fr-FR"/>
        </w:rPr>
        <w:t xml:space="preserve">ont été mis en </w:t>
      </w:r>
      <w:r w:rsidR="001B2F58" w:rsidRPr="00DD03D6">
        <w:rPr>
          <w:noProof/>
          <w:lang w:val="fr-FR"/>
        </w:rPr>
        <w:t xml:space="preserve">place </w:t>
      </w:r>
      <w:r w:rsidR="002276BA">
        <w:rPr>
          <w:noProof/>
          <w:lang w:val="fr-FR"/>
        </w:rPr>
        <w:t>ces dernières années pour l’attribution d’un soutien linguistique aux écoles</w:t>
      </w:r>
      <w:r w:rsidR="001B2F58" w:rsidRPr="00DD03D6">
        <w:rPr>
          <w:noProof/>
          <w:lang w:val="fr-FR"/>
        </w:rPr>
        <w:t xml:space="preserve">. </w:t>
      </w:r>
      <w:r w:rsidR="002276BA">
        <w:rPr>
          <w:noProof/>
          <w:lang w:val="fr-FR"/>
        </w:rPr>
        <w:t xml:space="preserve">Dans le cadre de l’année scolaire </w:t>
      </w:r>
      <w:r w:rsidR="001B2F58" w:rsidRPr="00DD03D6">
        <w:rPr>
          <w:noProof/>
          <w:lang w:val="fr-FR"/>
        </w:rPr>
        <w:t>2012/</w:t>
      </w:r>
      <w:r w:rsidR="002276BA">
        <w:rPr>
          <w:noProof/>
          <w:lang w:val="fr-FR"/>
        </w:rPr>
        <w:t>20</w:t>
      </w:r>
      <w:r w:rsidR="001B2F58" w:rsidRPr="00DD03D6">
        <w:rPr>
          <w:noProof/>
          <w:lang w:val="fr-FR"/>
        </w:rPr>
        <w:t xml:space="preserve">13 </w:t>
      </w:r>
      <w:r w:rsidR="002276BA">
        <w:rPr>
          <w:noProof/>
          <w:lang w:val="fr-FR"/>
        </w:rPr>
        <w:t xml:space="preserve">en cours, les ressources combinées disponibles pour le modèle général </w:t>
      </w:r>
      <w:r w:rsidR="00F301D2">
        <w:rPr>
          <w:noProof/>
          <w:lang w:val="fr-FR"/>
        </w:rPr>
        <w:t xml:space="preserve">d’affectation des ressources au niveau du primaire et le </w:t>
      </w:r>
      <w:r w:rsidR="0052129C">
        <w:rPr>
          <w:noProof/>
          <w:lang w:val="fr-FR"/>
        </w:rPr>
        <w:t>soutien scolaire</w:t>
      </w:r>
      <w:r w:rsidR="00F301D2">
        <w:rPr>
          <w:noProof/>
          <w:lang w:val="fr-FR"/>
        </w:rPr>
        <w:t xml:space="preserve"> au niveau du postprimaire et le soutien linguistique ont été utilisées pour créer une procédure unique simplifiée d’affectation des ressources </w:t>
      </w:r>
      <w:r w:rsidR="0041559B">
        <w:rPr>
          <w:noProof/>
          <w:lang w:val="fr-FR"/>
        </w:rPr>
        <w:t xml:space="preserve">afin de </w:t>
      </w:r>
      <w:r w:rsidR="00F301D2">
        <w:rPr>
          <w:noProof/>
          <w:lang w:val="fr-FR"/>
        </w:rPr>
        <w:t xml:space="preserve">couvrir à la fois le modèle général et le soutien linguistique au niveau du primaire et le </w:t>
      </w:r>
      <w:r w:rsidR="0052129C">
        <w:rPr>
          <w:noProof/>
          <w:lang w:val="fr-FR"/>
        </w:rPr>
        <w:t>soutien scolaire</w:t>
      </w:r>
      <w:r w:rsidR="00F301D2">
        <w:rPr>
          <w:noProof/>
          <w:lang w:val="fr-FR"/>
        </w:rPr>
        <w:t xml:space="preserve"> et le soutien linguistique au niv</w:t>
      </w:r>
      <w:r w:rsidR="00C4706D">
        <w:rPr>
          <w:noProof/>
          <w:lang w:val="fr-FR"/>
        </w:rPr>
        <w:t>e</w:t>
      </w:r>
      <w:r w:rsidR="00F301D2">
        <w:rPr>
          <w:noProof/>
          <w:lang w:val="fr-FR"/>
        </w:rPr>
        <w:t>au du postprimaire</w:t>
      </w:r>
      <w:r w:rsidR="001B2F58" w:rsidRPr="00DD03D6">
        <w:rPr>
          <w:noProof/>
          <w:lang w:val="fr-FR"/>
        </w:rPr>
        <w:t xml:space="preserve">. </w:t>
      </w:r>
      <w:r w:rsidR="00F301D2">
        <w:rPr>
          <w:noProof/>
          <w:lang w:val="fr-FR"/>
        </w:rPr>
        <w:t xml:space="preserve">Les écoles ont toute latitude pour répartir les ressources entre le soutien linguistique et le </w:t>
      </w:r>
      <w:r w:rsidR="0052129C">
        <w:rPr>
          <w:noProof/>
          <w:lang w:val="fr-FR"/>
        </w:rPr>
        <w:t>soutien scolaire</w:t>
      </w:r>
      <w:r w:rsidR="00F301D2">
        <w:rPr>
          <w:noProof/>
          <w:lang w:val="fr-FR"/>
        </w:rPr>
        <w:t xml:space="preserve"> en fonction de leurs besoins spécifiques</w:t>
      </w:r>
      <w:r w:rsidR="001B2F58" w:rsidRPr="00DD03D6">
        <w:rPr>
          <w:noProof/>
          <w:lang w:val="fr-FR"/>
        </w:rPr>
        <w:t xml:space="preserve">. </w:t>
      </w:r>
      <w:r w:rsidR="00F301D2">
        <w:rPr>
          <w:noProof/>
          <w:lang w:val="fr-FR"/>
        </w:rPr>
        <w:t>Des postes permanents ont également été accordés aux écoles qui accueillent une proportion importante d’élèves ayant besoin d’un soutien linguistique</w:t>
      </w:r>
      <w:r w:rsidR="001B2F58" w:rsidRPr="00DD03D6">
        <w:rPr>
          <w:noProof/>
          <w:lang w:val="fr-FR"/>
        </w:rPr>
        <w:t xml:space="preserve">. </w:t>
      </w:r>
      <w:r w:rsidR="00F301D2">
        <w:rPr>
          <w:noProof/>
          <w:lang w:val="fr-FR"/>
        </w:rPr>
        <w:t>Un soutien temporaire supplémentaire est également fourni, le cas échéant, à ces écoles</w:t>
      </w:r>
      <w:r w:rsidR="001B2F58" w:rsidRPr="00DD03D6">
        <w:rPr>
          <w:noProof/>
          <w:lang w:val="fr-FR"/>
        </w:rPr>
        <w:t xml:space="preserve">. </w:t>
      </w:r>
      <w:r w:rsidR="00F301D2">
        <w:rPr>
          <w:noProof/>
          <w:lang w:val="fr-FR"/>
        </w:rPr>
        <w:t>Les ressources correspondantes sont attribuées sur la base des appels présentés par des écoles de ce type aux comités d’appel en matière de recrutement</w:t>
      </w:r>
      <w:r w:rsidR="001B2F58" w:rsidRPr="00DD03D6">
        <w:rPr>
          <w:noProof/>
          <w:lang w:val="fr-FR"/>
        </w:rPr>
        <w:t xml:space="preserve">. </w:t>
      </w:r>
      <w:r w:rsidR="00F301D2">
        <w:rPr>
          <w:noProof/>
          <w:lang w:val="fr-FR"/>
        </w:rPr>
        <w:t xml:space="preserve">Outre </w:t>
      </w:r>
      <w:r w:rsidR="004F6D52">
        <w:rPr>
          <w:noProof/>
          <w:lang w:val="fr-FR"/>
        </w:rPr>
        <w:t xml:space="preserve">l’allocation </w:t>
      </w:r>
      <w:r w:rsidR="001B2F58" w:rsidRPr="00DD03D6">
        <w:rPr>
          <w:noProof/>
          <w:lang w:val="fr-FR"/>
        </w:rPr>
        <w:t>standard (</w:t>
      </w:r>
      <w:r w:rsidR="004F6D52">
        <w:rPr>
          <w:noProof/>
          <w:lang w:val="fr-FR"/>
        </w:rPr>
        <w:t>modèle général</w:t>
      </w:r>
      <w:r w:rsidR="001B2F58" w:rsidRPr="00DD03D6">
        <w:rPr>
          <w:noProof/>
          <w:lang w:val="fr-FR"/>
        </w:rPr>
        <w:t>/A</w:t>
      </w:r>
      <w:r w:rsidR="0041559B">
        <w:rPr>
          <w:noProof/>
          <w:lang w:val="fr-FR"/>
        </w:rPr>
        <w:t>LS</w:t>
      </w:r>
      <w:r w:rsidR="001B2F58" w:rsidRPr="00DD03D6">
        <w:rPr>
          <w:noProof/>
          <w:lang w:val="fr-FR"/>
        </w:rPr>
        <w:t xml:space="preserve"> a</w:t>
      </w:r>
      <w:r w:rsidR="004F6D52">
        <w:rPr>
          <w:noProof/>
          <w:lang w:val="fr-FR"/>
        </w:rPr>
        <w:t xml:space="preserve">u niveau du primaire et allocation au titre du </w:t>
      </w:r>
      <w:r w:rsidR="0052129C">
        <w:rPr>
          <w:noProof/>
          <w:lang w:val="fr-FR"/>
        </w:rPr>
        <w:t>soutien scolaire</w:t>
      </w:r>
      <w:r w:rsidR="004F6D52">
        <w:rPr>
          <w:noProof/>
          <w:lang w:val="fr-FR"/>
        </w:rPr>
        <w:t xml:space="preserve"> et du soutien linguistique au niveau du pos</w:t>
      </w:r>
      <w:r w:rsidR="001B2F58" w:rsidRPr="00DD03D6">
        <w:rPr>
          <w:noProof/>
          <w:lang w:val="fr-FR"/>
        </w:rPr>
        <w:t>t</w:t>
      </w:r>
      <w:r w:rsidR="004F6D52">
        <w:rPr>
          <w:noProof/>
          <w:lang w:val="fr-FR"/>
        </w:rPr>
        <w:t>primaire</w:t>
      </w:r>
      <w:r w:rsidR="001B2F58" w:rsidRPr="00DD03D6">
        <w:rPr>
          <w:noProof/>
          <w:lang w:val="fr-FR"/>
        </w:rPr>
        <w:t>), 979 post</w:t>
      </w:r>
      <w:r w:rsidR="004F6D52">
        <w:rPr>
          <w:noProof/>
          <w:lang w:val="fr-FR"/>
        </w:rPr>
        <w:t>e</w:t>
      </w:r>
      <w:r w:rsidR="001B2F58" w:rsidRPr="00DD03D6">
        <w:rPr>
          <w:noProof/>
          <w:lang w:val="fr-FR"/>
        </w:rPr>
        <w:t>s</w:t>
      </w:r>
      <w:r w:rsidR="004F6D52">
        <w:rPr>
          <w:noProof/>
          <w:lang w:val="fr-FR"/>
        </w:rPr>
        <w:t xml:space="preserve"> supplémentaires ont été attribués pendant l’année scolaire</w:t>
      </w:r>
      <w:r w:rsidR="001B2F58" w:rsidRPr="00DD03D6">
        <w:rPr>
          <w:noProof/>
          <w:lang w:val="fr-FR"/>
        </w:rPr>
        <w:t xml:space="preserve"> 2012/</w:t>
      </w:r>
      <w:r w:rsidR="004F6D52">
        <w:rPr>
          <w:noProof/>
          <w:lang w:val="fr-FR"/>
        </w:rPr>
        <w:t>20</w:t>
      </w:r>
      <w:r w:rsidR="001B2F58" w:rsidRPr="00DD03D6">
        <w:rPr>
          <w:noProof/>
          <w:lang w:val="fr-FR"/>
        </w:rPr>
        <w:t xml:space="preserve">13 </w:t>
      </w:r>
      <w:r w:rsidR="004F6D52">
        <w:rPr>
          <w:noProof/>
          <w:lang w:val="fr-FR"/>
        </w:rPr>
        <w:t>en cours aux écoles qui accueillent une proportion importante d’élèves ayant besoin d’un soutien linguistique</w:t>
      </w:r>
      <w:r w:rsidR="001B2F58" w:rsidRPr="00DD03D6">
        <w:rPr>
          <w:noProof/>
          <w:lang w:val="fr-FR"/>
        </w:rPr>
        <w:t xml:space="preserve"> (878 post</w:t>
      </w:r>
      <w:r w:rsidR="004F6D52">
        <w:rPr>
          <w:noProof/>
          <w:lang w:val="fr-FR"/>
        </w:rPr>
        <w:t>e</w:t>
      </w:r>
      <w:r w:rsidR="001B2F58" w:rsidRPr="00DD03D6">
        <w:rPr>
          <w:noProof/>
          <w:lang w:val="fr-FR"/>
        </w:rPr>
        <w:t>s a</w:t>
      </w:r>
      <w:r w:rsidR="004F6D52">
        <w:rPr>
          <w:noProof/>
          <w:lang w:val="fr-FR"/>
        </w:rPr>
        <w:t>u niveau du primaire</w:t>
      </w:r>
      <w:r w:rsidR="001B2F58" w:rsidRPr="00DD03D6">
        <w:rPr>
          <w:noProof/>
          <w:lang w:val="fr-FR"/>
        </w:rPr>
        <w:t xml:space="preserve"> </w:t>
      </w:r>
      <w:r w:rsidR="004F6D52">
        <w:rPr>
          <w:noProof/>
          <w:lang w:val="fr-FR"/>
        </w:rPr>
        <w:t>et</w:t>
      </w:r>
      <w:r w:rsidR="001B2F58" w:rsidRPr="00DD03D6">
        <w:rPr>
          <w:noProof/>
          <w:lang w:val="fr-FR"/>
        </w:rPr>
        <w:t xml:space="preserve"> 101 post</w:t>
      </w:r>
      <w:r w:rsidR="004F6D52">
        <w:rPr>
          <w:noProof/>
          <w:lang w:val="fr-FR"/>
        </w:rPr>
        <w:t>e</w:t>
      </w:r>
      <w:r w:rsidR="001B2F58" w:rsidRPr="00DD03D6">
        <w:rPr>
          <w:noProof/>
          <w:lang w:val="fr-FR"/>
        </w:rPr>
        <w:t>s a</w:t>
      </w:r>
      <w:r w:rsidR="004F6D52">
        <w:rPr>
          <w:noProof/>
          <w:lang w:val="fr-FR"/>
        </w:rPr>
        <w:t>u niveau du</w:t>
      </w:r>
      <w:r w:rsidR="001B2F58" w:rsidRPr="00DD03D6">
        <w:rPr>
          <w:noProof/>
          <w:lang w:val="fr-FR"/>
        </w:rPr>
        <w:t xml:space="preserve"> post</w:t>
      </w:r>
      <w:r w:rsidR="004F6D52">
        <w:rPr>
          <w:noProof/>
          <w:lang w:val="fr-FR"/>
        </w:rPr>
        <w:t>primaire</w:t>
      </w:r>
      <w:r w:rsidR="001B2F58" w:rsidRPr="00DD03D6">
        <w:rPr>
          <w:noProof/>
          <w:lang w:val="fr-FR"/>
        </w:rPr>
        <w:t>).</w:t>
      </w:r>
    </w:p>
    <w:p w:rsidR="001B2F58" w:rsidRPr="00DD03D6" w:rsidRDefault="00C4706D" w:rsidP="00C4706D">
      <w:pPr>
        <w:pStyle w:val="H23G"/>
        <w:ind w:firstLine="0"/>
        <w:rPr>
          <w:noProof/>
          <w:lang w:val="fr-FR"/>
        </w:rPr>
      </w:pPr>
      <w:r>
        <w:rPr>
          <w:noProof/>
          <w:lang w:val="fr-FR"/>
        </w:rPr>
        <w:t xml:space="preserve">Éducation des gens du voyage </w:t>
      </w:r>
    </w:p>
    <w:p w:rsidR="001B2F58" w:rsidRPr="00DD03D6" w:rsidRDefault="00C4706D" w:rsidP="00E15D6C">
      <w:pPr>
        <w:pStyle w:val="SingleTxtG"/>
        <w:numPr>
          <w:ilvl w:val="0"/>
          <w:numId w:val="3"/>
        </w:numPr>
        <w:ind w:left="1134" w:firstLine="0"/>
        <w:rPr>
          <w:noProof/>
          <w:lang w:val="fr-FR"/>
        </w:rPr>
      </w:pPr>
      <w:r>
        <w:rPr>
          <w:noProof/>
          <w:lang w:val="fr-FR"/>
        </w:rPr>
        <w:t xml:space="preserve">Le rapport intitulé </w:t>
      </w:r>
      <w:r w:rsidRPr="00CC78E1">
        <w:rPr>
          <w:i/>
          <w:lang w:val="fr-CH"/>
        </w:rPr>
        <w:t>Rapport et recommandations en vue de l’élaboration d’une stratégie pour l’éducation des gens du voyage</w:t>
      </w:r>
      <w:r w:rsidRPr="00DD03D6">
        <w:rPr>
          <w:iCs/>
          <w:noProof/>
          <w:lang w:val="fr-FR" w:eastAsia="en-GB"/>
        </w:rPr>
        <w:t xml:space="preserve"> </w:t>
      </w:r>
      <w:r>
        <w:rPr>
          <w:iCs/>
          <w:noProof/>
          <w:lang w:val="fr-FR" w:eastAsia="en-GB"/>
        </w:rPr>
        <w:t>fournit le cadre direct</w:t>
      </w:r>
      <w:r w:rsidR="00993E8F">
        <w:rPr>
          <w:iCs/>
          <w:noProof/>
          <w:lang w:val="fr-FR" w:eastAsia="en-GB"/>
        </w:rPr>
        <w:t>eur</w:t>
      </w:r>
      <w:r>
        <w:rPr>
          <w:iCs/>
          <w:noProof/>
          <w:lang w:val="fr-FR" w:eastAsia="en-GB"/>
        </w:rPr>
        <w:t xml:space="preserve"> de l’éducation des gens du voyage </w:t>
      </w:r>
      <w:r w:rsidR="001B2F58" w:rsidRPr="00DD03D6">
        <w:rPr>
          <w:noProof/>
          <w:lang w:val="fr-FR"/>
        </w:rPr>
        <w:t>(</w:t>
      </w:r>
      <w:r>
        <w:rPr>
          <w:noProof/>
          <w:lang w:val="fr-FR"/>
        </w:rPr>
        <w:t xml:space="preserve">voir le </w:t>
      </w:r>
      <w:r w:rsidR="00E15D6C" w:rsidRPr="00DD03D6">
        <w:rPr>
          <w:noProof/>
          <w:lang w:val="fr-FR"/>
        </w:rPr>
        <w:t>p</w:t>
      </w:r>
      <w:r w:rsidR="00796A7C" w:rsidRPr="00DD03D6">
        <w:rPr>
          <w:noProof/>
          <w:lang w:val="fr-FR"/>
        </w:rPr>
        <w:t>ar</w:t>
      </w:r>
      <w:r w:rsidR="00C439D5">
        <w:rPr>
          <w:noProof/>
          <w:lang w:val="fr-FR"/>
        </w:rPr>
        <w:t>agraphe</w:t>
      </w:r>
      <w:r w:rsidR="00796A7C" w:rsidRPr="00DD03D6">
        <w:rPr>
          <w:noProof/>
          <w:lang w:val="fr-FR"/>
        </w:rPr>
        <w:t> </w:t>
      </w:r>
      <w:r w:rsidR="00E15D6C" w:rsidRPr="00DD03D6">
        <w:rPr>
          <w:noProof/>
          <w:lang w:val="fr-FR"/>
        </w:rPr>
        <w:t>272</w:t>
      </w:r>
      <w:r w:rsidR="001B2F58" w:rsidRPr="00DD03D6">
        <w:rPr>
          <w:noProof/>
          <w:lang w:val="fr-FR"/>
        </w:rPr>
        <w:t>).</w:t>
      </w:r>
    </w:p>
    <w:p w:rsidR="001B2F58" w:rsidRPr="00DD03D6" w:rsidRDefault="00C4706D" w:rsidP="00111EE3">
      <w:pPr>
        <w:pStyle w:val="SingleTxtG"/>
        <w:numPr>
          <w:ilvl w:val="0"/>
          <w:numId w:val="3"/>
        </w:numPr>
        <w:ind w:left="1134" w:firstLine="0"/>
        <w:rPr>
          <w:noProof/>
          <w:lang w:val="fr-FR"/>
        </w:rPr>
      </w:pPr>
      <w:r>
        <w:rPr>
          <w:noProof/>
          <w:lang w:val="fr-FR"/>
        </w:rPr>
        <w:t>Le rapport susvisé recomma</w:t>
      </w:r>
      <w:r w:rsidR="001B2F58" w:rsidRPr="00DD03D6">
        <w:rPr>
          <w:noProof/>
          <w:lang w:val="fr-FR"/>
        </w:rPr>
        <w:t>nd</w:t>
      </w:r>
      <w:r>
        <w:rPr>
          <w:noProof/>
          <w:lang w:val="fr-FR"/>
        </w:rPr>
        <w:t xml:space="preserve">e l’élimination progressive des écoles </w:t>
      </w:r>
      <w:r w:rsidR="00D63A1C">
        <w:rPr>
          <w:noProof/>
          <w:lang w:val="fr-FR"/>
        </w:rPr>
        <w:t>maternelles réservées aux gen</w:t>
      </w:r>
      <w:r w:rsidR="001B2F58" w:rsidRPr="00DD03D6">
        <w:rPr>
          <w:noProof/>
          <w:lang w:val="fr-FR"/>
        </w:rPr>
        <w:t xml:space="preserve">s </w:t>
      </w:r>
      <w:r w:rsidR="00D63A1C">
        <w:rPr>
          <w:noProof/>
          <w:lang w:val="fr-FR"/>
        </w:rPr>
        <w:t xml:space="preserve">du voyage, ce qui a été accompli à la fin de l’année scolaire </w:t>
      </w:r>
      <w:r w:rsidR="001B2F58" w:rsidRPr="00DD03D6">
        <w:rPr>
          <w:noProof/>
          <w:lang w:val="fr-FR"/>
        </w:rPr>
        <w:t>2011/</w:t>
      </w:r>
      <w:r w:rsidR="00D63A1C">
        <w:rPr>
          <w:noProof/>
          <w:lang w:val="fr-FR"/>
        </w:rPr>
        <w:t>20</w:t>
      </w:r>
      <w:r w:rsidR="001B2F58" w:rsidRPr="00DD03D6">
        <w:rPr>
          <w:noProof/>
          <w:lang w:val="fr-FR"/>
        </w:rPr>
        <w:t xml:space="preserve">12, </w:t>
      </w:r>
      <w:r w:rsidR="00D63A1C">
        <w:rPr>
          <w:noProof/>
          <w:lang w:val="fr-FR"/>
        </w:rPr>
        <w:lastRenderedPageBreak/>
        <w:t>lorsque le Ministère de l’éducation de la formation a cessé de financer les derniers établissements de ce type</w:t>
      </w:r>
      <w:r w:rsidR="001B2F58" w:rsidRPr="00DD03D6">
        <w:rPr>
          <w:noProof/>
          <w:lang w:val="fr-FR"/>
        </w:rPr>
        <w:t xml:space="preserve">. </w:t>
      </w:r>
      <w:r w:rsidR="00D63A1C">
        <w:rPr>
          <w:noProof/>
          <w:lang w:val="fr-FR"/>
        </w:rPr>
        <w:t>Les enfants de cette communauté peuvent profiter de l’année d’éducation préscolaire gratuite pour tous</w:t>
      </w:r>
      <w:r w:rsidR="001B2F58" w:rsidRPr="00DD03D6">
        <w:rPr>
          <w:noProof/>
          <w:lang w:val="fr-FR"/>
        </w:rPr>
        <w:t xml:space="preserve">. </w:t>
      </w:r>
      <w:r w:rsidR="00D63A1C">
        <w:rPr>
          <w:noProof/>
          <w:lang w:val="fr-FR"/>
        </w:rPr>
        <w:t>On ne dispose pas actuellement de chiffres sur le nombre d’enfants de cette communauté qui profitent de ce programme</w:t>
      </w:r>
      <w:r w:rsidR="001B2F58" w:rsidRPr="00DD03D6">
        <w:rPr>
          <w:noProof/>
          <w:lang w:val="fr-FR"/>
        </w:rPr>
        <w:t>.</w:t>
      </w:r>
    </w:p>
    <w:p w:rsidR="001B2F58" w:rsidRDefault="00D63A1C" w:rsidP="00111EE3">
      <w:pPr>
        <w:pStyle w:val="SingleTxtG"/>
        <w:numPr>
          <w:ilvl w:val="0"/>
          <w:numId w:val="3"/>
        </w:numPr>
        <w:ind w:left="1134" w:firstLine="0"/>
        <w:rPr>
          <w:noProof/>
          <w:lang w:val="fr-FR"/>
        </w:rPr>
      </w:pPr>
      <w:r>
        <w:rPr>
          <w:noProof/>
          <w:lang w:val="fr-FR"/>
        </w:rPr>
        <w:t>E</w:t>
      </w:r>
      <w:r w:rsidR="001B2F58" w:rsidRPr="00DD03D6">
        <w:rPr>
          <w:noProof/>
          <w:lang w:val="fr-FR"/>
        </w:rPr>
        <w:t xml:space="preserve">n 2010, </w:t>
      </w:r>
      <w:r>
        <w:rPr>
          <w:noProof/>
          <w:lang w:val="fr-FR"/>
        </w:rPr>
        <w:t>le Ministère a annoncé le financement d’un Programme d’éducation préscolaire à l’intention des enfants des groupes minoritaires, afin d’aider les services d’éducation préscolaire à dispenser une formation agréee en matière d’égalité et de diversité</w:t>
      </w:r>
      <w:r w:rsidR="001B2F58" w:rsidRPr="00DD03D6">
        <w:rPr>
          <w:noProof/>
          <w:lang w:val="fr-FR"/>
        </w:rPr>
        <w:t xml:space="preserve">. </w:t>
      </w:r>
      <w:r>
        <w:rPr>
          <w:noProof/>
          <w:lang w:val="fr-FR"/>
        </w:rPr>
        <w:t>Ce financement vise à garantir l’</w:t>
      </w:r>
      <w:r w:rsidR="001B2F58" w:rsidRPr="00DD03D6">
        <w:rPr>
          <w:noProof/>
          <w:lang w:val="fr-FR"/>
        </w:rPr>
        <w:t xml:space="preserve">inclusion </w:t>
      </w:r>
      <w:r>
        <w:rPr>
          <w:noProof/>
          <w:lang w:val="fr-FR"/>
        </w:rPr>
        <w:t>et l’</w:t>
      </w:r>
      <w:r w:rsidR="001B2F58" w:rsidRPr="00DD03D6">
        <w:rPr>
          <w:noProof/>
          <w:lang w:val="fr-FR"/>
        </w:rPr>
        <w:t>int</w:t>
      </w:r>
      <w:r>
        <w:rPr>
          <w:noProof/>
          <w:lang w:val="fr-FR"/>
        </w:rPr>
        <w:t>é</w:t>
      </w:r>
      <w:r w:rsidR="001B2F58" w:rsidRPr="00DD03D6">
        <w:rPr>
          <w:noProof/>
          <w:lang w:val="fr-FR"/>
        </w:rPr>
        <w:t xml:space="preserve">gration </w:t>
      </w:r>
      <w:r>
        <w:rPr>
          <w:noProof/>
          <w:lang w:val="fr-FR"/>
        </w:rPr>
        <w:t xml:space="preserve">pour les enfants </w:t>
      </w:r>
      <w:r w:rsidR="00312718">
        <w:rPr>
          <w:noProof/>
          <w:lang w:val="fr-FR"/>
        </w:rPr>
        <w:t>de toutes les communautés, majoritaires ou minoritaires</w:t>
      </w:r>
      <w:r w:rsidR="001B2F58" w:rsidRPr="00DD03D6">
        <w:rPr>
          <w:noProof/>
          <w:lang w:val="fr-FR"/>
        </w:rPr>
        <w:t>.</w:t>
      </w:r>
    </w:p>
    <w:p w:rsidR="001B2F58" w:rsidRPr="00DD03D6" w:rsidRDefault="00312718" w:rsidP="000448E3">
      <w:pPr>
        <w:pStyle w:val="SingleTxtG"/>
        <w:numPr>
          <w:ilvl w:val="0"/>
          <w:numId w:val="3"/>
        </w:numPr>
        <w:ind w:left="1134" w:firstLine="0"/>
        <w:rPr>
          <w:noProof/>
          <w:lang w:val="fr-FR"/>
        </w:rPr>
      </w:pPr>
      <w:r>
        <w:rPr>
          <w:noProof/>
          <w:lang w:val="fr-FR"/>
        </w:rPr>
        <w:t>E</w:t>
      </w:r>
      <w:r w:rsidR="001B2F58" w:rsidRPr="00DD03D6">
        <w:rPr>
          <w:noProof/>
          <w:lang w:val="fr-FR"/>
        </w:rPr>
        <w:t xml:space="preserve">n </w:t>
      </w:r>
      <w:r>
        <w:rPr>
          <w:noProof/>
          <w:lang w:val="fr-FR"/>
        </w:rPr>
        <w:t>septembre</w:t>
      </w:r>
      <w:r w:rsidR="001B2F58" w:rsidRPr="00DD03D6">
        <w:rPr>
          <w:noProof/>
          <w:lang w:val="fr-FR"/>
        </w:rPr>
        <w:t xml:space="preserve"> 2011, </w:t>
      </w:r>
      <w:r>
        <w:rPr>
          <w:noProof/>
          <w:lang w:val="fr-FR"/>
        </w:rPr>
        <w:t xml:space="preserve">plus de </w:t>
      </w:r>
      <w:r w:rsidR="001B2F58" w:rsidRPr="00DD03D6">
        <w:rPr>
          <w:noProof/>
          <w:lang w:val="fr-FR"/>
        </w:rPr>
        <w:t>10</w:t>
      </w:r>
      <w:r w:rsidR="00DE5960">
        <w:rPr>
          <w:noProof/>
          <w:lang w:val="fr-FR"/>
        </w:rPr>
        <w:t> </w:t>
      </w:r>
      <w:r w:rsidR="001B2F58" w:rsidRPr="00DD03D6">
        <w:rPr>
          <w:noProof/>
          <w:lang w:val="fr-FR"/>
        </w:rPr>
        <w:t xml:space="preserve">500 </w:t>
      </w:r>
      <w:r>
        <w:rPr>
          <w:noProof/>
          <w:lang w:val="fr-FR"/>
        </w:rPr>
        <w:t xml:space="preserve">jeunes de la communauté des gens du voyage étaient scolarisés </w:t>
      </w:r>
      <w:r w:rsidR="001B2F58" w:rsidRPr="00DD03D6">
        <w:rPr>
          <w:noProof/>
          <w:lang w:val="fr-FR"/>
        </w:rPr>
        <w:t>– 8</w:t>
      </w:r>
      <w:r w:rsidR="00DE5960">
        <w:rPr>
          <w:noProof/>
          <w:lang w:val="fr-FR"/>
        </w:rPr>
        <w:t> </w:t>
      </w:r>
      <w:r w:rsidR="001B2F58" w:rsidRPr="00DD03D6">
        <w:rPr>
          <w:noProof/>
          <w:lang w:val="fr-FR"/>
        </w:rPr>
        <w:t xml:space="preserve">086 </w:t>
      </w:r>
      <w:r>
        <w:rPr>
          <w:noProof/>
          <w:lang w:val="fr-FR"/>
        </w:rPr>
        <w:t xml:space="preserve">au niveau du primaire </w:t>
      </w:r>
      <w:r w:rsidR="001B2F58" w:rsidRPr="00DD03D6">
        <w:rPr>
          <w:noProof/>
          <w:lang w:val="fr-FR"/>
        </w:rPr>
        <w:t>(</w:t>
      </w:r>
      <w:r>
        <w:rPr>
          <w:noProof/>
          <w:lang w:val="fr-FR"/>
        </w:rPr>
        <w:t>d’après les formulaires de recensement scolaire remplis dans les écoles primaires</w:t>
      </w:r>
      <w:r w:rsidR="001B2F58" w:rsidRPr="00DD03D6">
        <w:rPr>
          <w:noProof/>
          <w:lang w:val="fr-FR"/>
        </w:rPr>
        <w:t xml:space="preserve">) </w:t>
      </w:r>
      <w:r>
        <w:rPr>
          <w:noProof/>
          <w:lang w:val="fr-FR"/>
        </w:rPr>
        <w:t>et</w:t>
      </w:r>
      <w:r w:rsidR="001B2F58" w:rsidRPr="00DD03D6">
        <w:rPr>
          <w:noProof/>
          <w:lang w:val="fr-FR"/>
        </w:rPr>
        <w:t xml:space="preserve"> 2</w:t>
      </w:r>
      <w:r w:rsidR="00DE5960">
        <w:rPr>
          <w:noProof/>
          <w:lang w:val="fr-FR"/>
        </w:rPr>
        <w:t> </w:t>
      </w:r>
      <w:r w:rsidR="001B2F58" w:rsidRPr="00DD03D6">
        <w:rPr>
          <w:noProof/>
          <w:lang w:val="fr-FR"/>
        </w:rPr>
        <w:t xml:space="preserve">699 </w:t>
      </w:r>
      <w:r>
        <w:rPr>
          <w:noProof/>
          <w:lang w:val="fr-FR"/>
        </w:rPr>
        <w:t>au niveau du secondaire (d’après la base de données sur les élèves du p</w:t>
      </w:r>
      <w:r w:rsidR="001B2F58" w:rsidRPr="00DD03D6">
        <w:rPr>
          <w:noProof/>
          <w:lang w:val="fr-FR"/>
        </w:rPr>
        <w:t>ostprima</w:t>
      </w:r>
      <w:r>
        <w:rPr>
          <w:noProof/>
          <w:lang w:val="fr-FR"/>
        </w:rPr>
        <w:t>ire</w:t>
      </w:r>
      <w:r w:rsidR="001B2F58" w:rsidRPr="00DD03D6">
        <w:rPr>
          <w:noProof/>
          <w:lang w:val="fr-FR"/>
        </w:rPr>
        <w:t>). A</w:t>
      </w:r>
      <w:r>
        <w:rPr>
          <w:noProof/>
          <w:lang w:val="fr-FR"/>
        </w:rPr>
        <w:t>u niveau du secondaire</w:t>
      </w:r>
      <w:r w:rsidR="001B2F58" w:rsidRPr="00DD03D6">
        <w:rPr>
          <w:noProof/>
          <w:lang w:val="fr-FR"/>
        </w:rPr>
        <w:t xml:space="preserve">, </w:t>
      </w:r>
      <w:r>
        <w:rPr>
          <w:noProof/>
          <w:lang w:val="fr-FR"/>
        </w:rPr>
        <w:t xml:space="preserve">le chiffre représente plus du </w:t>
      </w:r>
      <w:r w:rsidR="001B2F58" w:rsidRPr="00DD03D6">
        <w:rPr>
          <w:noProof/>
          <w:lang w:val="fr-FR"/>
        </w:rPr>
        <w:t xml:space="preserve">double </w:t>
      </w:r>
      <w:r>
        <w:rPr>
          <w:noProof/>
          <w:lang w:val="fr-FR"/>
        </w:rPr>
        <w:t xml:space="preserve">des effectifs de </w:t>
      </w:r>
      <w:r w:rsidR="001B2F58" w:rsidRPr="00DD03D6">
        <w:rPr>
          <w:noProof/>
          <w:lang w:val="fr-FR"/>
        </w:rPr>
        <w:t xml:space="preserve">2000 </w:t>
      </w:r>
      <w:r>
        <w:rPr>
          <w:noProof/>
          <w:lang w:val="fr-FR"/>
        </w:rPr>
        <w:t>(</w:t>
      </w:r>
      <w:r w:rsidR="001B2F58" w:rsidRPr="00DD03D6">
        <w:rPr>
          <w:noProof/>
          <w:lang w:val="fr-FR"/>
        </w:rPr>
        <w:t>1</w:t>
      </w:r>
      <w:r w:rsidR="00DE5960">
        <w:rPr>
          <w:noProof/>
          <w:lang w:val="fr-FR"/>
        </w:rPr>
        <w:t> </w:t>
      </w:r>
      <w:r w:rsidR="001B2F58" w:rsidRPr="00DD03D6">
        <w:rPr>
          <w:noProof/>
          <w:lang w:val="fr-FR"/>
        </w:rPr>
        <w:t xml:space="preserve">165 </w:t>
      </w:r>
      <w:r>
        <w:rPr>
          <w:noProof/>
          <w:lang w:val="fr-FR"/>
        </w:rPr>
        <w:t>enfants de cette communauté)</w:t>
      </w:r>
      <w:r w:rsidR="001B2F58" w:rsidRPr="00DD03D6">
        <w:rPr>
          <w:noProof/>
          <w:lang w:val="fr-FR"/>
        </w:rPr>
        <w:t xml:space="preserve">. </w:t>
      </w:r>
      <w:r w:rsidR="00911380">
        <w:rPr>
          <w:noProof/>
          <w:lang w:val="fr-FR"/>
        </w:rPr>
        <w:t xml:space="preserve">Le nombre d’élèves de cette communauté se présentant à l’examen de fin d’études du premier cycle du secondaire a augmenté de plus de </w:t>
      </w:r>
      <w:r w:rsidR="001B2F58" w:rsidRPr="00DD03D6">
        <w:rPr>
          <w:noProof/>
          <w:lang w:val="fr-FR"/>
        </w:rPr>
        <w:t>50</w:t>
      </w:r>
      <w:r w:rsidR="003F1ADB">
        <w:rPr>
          <w:noProof/>
          <w:lang w:val="fr-FR"/>
        </w:rPr>
        <w:t> %</w:t>
      </w:r>
      <w:r w:rsidR="001B2F58" w:rsidRPr="00DD03D6">
        <w:rPr>
          <w:noProof/>
          <w:lang w:val="fr-FR"/>
        </w:rPr>
        <w:t xml:space="preserve">, </w:t>
      </w:r>
      <w:r w:rsidR="00911380">
        <w:rPr>
          <w:noProof/>
          <w:lang w:val="fr-FR"/>
        </w:rPr>
        <w:t xml:space="preserve">passant de </w:t>
      </w:r>
      <w:r w:rsidR="001B2F58" w:rsidRPr="00DD03D6">
        <w:rPr>
          <w:noProof/>
          <w:lang w:val="fr-FR"/>
        </w:rPr>
        <w:t xml:space="preserve">292 </w:t>
      </w:r>
      <w:r w:rsidR="00911380">
        <w:rPr>
          <w:noProof/>
          <w:lang w:val="fr-FR"/>
        </w:rPr>
        <w:t>à</w:t>
      </w:r>
      <w:r w:rsidR="001B2F58" w:rsidRPr="00DD03D6">
        <w:rPr>
          <w:noProof/>
          <w:lang w:val="fr-FR"/>
        </w:rPr>
        <w:t xml:space="preserve"> 2005 </w:t>
      </w:r>
      <w:r w:rsidR="00911380">
        <w:rPr>
          <w:noProof/>
          <w:lang w:val="fr-FR"/>
        </w:rPr>
        <w:t>à</w:t>
      </w:r>
      <w:r w:rsidR="001B2F58" w:rsidRPr="00DD03D6">
        <w:rPr>
          <w:noProof/>
          <w:lang w:val="fr-FR"/>
        </w:rPr>
        <w:t xml:space="preserve"> 442 </w:t>
      </w:r>
      <w:r w:rsidR="00911380">
        <w:rPr>
          <w:noProof/>
          <w:lang w:val="fr-FR"/>
        </w:rPr>
        <w:t>e</w:t>
      </w:r>
      <w:r w:rsidR="001B2F58" w:rsidRPr="00DD03D6">
        <w:rPr>
          <w:noProof/>
          <w:lang w:val="fr-FR"/>
        </w:rPr>
        <w:t xml:space="preserve">n 2009. </w:t>
      </w:r>
      <w:r w:rsidR="00911380">
        <w:rPr>
          <w:noProof/>
          <w:lang w:val="fr-FR"/>
        </w:rPr>
        <w:t>De même, le nombre de ceux qui se présentent à l’examen de fin d’études secondaires et à l’examen de fin d’études secondaires appliquées a plus que doublé</w:t>
      </w:r>
      <w:r w:rsidR="001B2F58" w:rsidRPr="00DD03D6">
        <w:rPr>
          <w:noProof/>
          <w:lang w:val="fr-FR"/>
        </w:rPr>
        <w:t xml:space="preserve">, </w:t>
      </w:r>
      <w:r w:rsidR="00911380">
        <w:rPr>
          <w:noProof/>
          <w:lang w:val="fr-FR"/>
        </w:rPr>
        <w:t xml:space="preserve">passant de </w:t>
      </w:r>
      <w:r w:rsidR="001B2F58" w:rsidRPr="00DD03D6">
        <w:rPr>
          <w:noProof/>
          <w:lang w:val="fr-FR"/>
        </w:rPr>
        <w:t xml:space="preserve">43 </w:t>
      </w:r>
      <w:r w:rsidR="00911380">
        <w:rPr>
          <w:noProof/>
          <w:lang w:val="fr-FR"/>
        </w:rPr>
        <w:t>e</w:t>
      </w:r>
      <w:r w:rsidR="001B2F58" w:rsidRPr="00DD03D6">
        <w:rPr>
          <w:noProof/>
          <w:lang w:val="fr-FR"/>
        </w:rPr>
        <w:t xml:space="preserve">n 2005 </w:t>
      </w:r>
      <w:r w:rsidR="00911380">
        <w:rPr>
          <w:noProof/>
          <w:lang w:val="fr-FR"/>
        </w:rPr>
        <w:t>à</w:t>
      </w:r>
      <w:r w:rsidR="001B2F58" w:rsidRPr="00DD03D6">
        <w:rPr>
          <w:noProof/>
          <w:lang w:val="fr-FR"/>
        </w:rPr>
        <w:t xml:space="preserve"> 103 </w:t>
      </w:r>
      <w:r w:rsidR="00911380">
        <w:rPr>
          <w:noProof/>
          <w:lang w:val="fr-FR"/>
        </w:rPr>
        <w:t>e</w:t>
      </w:r>
      <w:r w:rsidR="001B2F58" w:rsidRPr="00DD03D6">
        <w:rPr>
          <w:noProof/>
          <w:lang w:val="fr-FR"/>
        </w:rPr>
        <w:t>n 2009.</w:t>
      </w:r>
    </w:p>
    <w:p w:rsidR="001B2F58" w:rsidRPr="00DD03D6" w:rsidRDefault="00911380" w:rsidP="000448E3">
      <w:pPr>
        <w:pStyle w:val="SingleTxtG"/>
        <w:numPr>
          <w:ilvl w:val="0"/>
          <w:numId w:val="3"/>
        </w:numPr>
        <w:ind w:left="1134" w:firstLine="0"/>
        <w:rPr>
          <w:noProof/>
          <w:lang w:val="fr-FR"/>
        </w:rPr>
      </w:pPr>
      <w:r>
        <w:rPr>
          <w:noProof/>
          <w:lang w:val="fr-FR"/>
        </w:rPr>
        <w:t xml:space="preserve">Si les données font état d’une hémorragie des effectifs avant l’achèvement du programme </w:t>
      </w:r>
      <w:r w:rsidR="00F3768F">
        <w:rPr>
          <w:noProof/>
          <w:lang w:val="fr-FR"/>
        </w:rPr>
        <w:t>du certificat de fin d’études, de nombreux enfants de la communauté des gens du voyage poursuivent des études dans d’autres cadres</w:t>
      </w:r>
      <w:r w:rsidR="001B2F58" w:rsidRPr="00DD03D6">
        <w:rPr>
          <w:noProof/>
          <w:lang w:val="fr-FR"/>
        </w:rPr>
        <w:t xml:space="preserve">. Youthreach </w:t>
      </w:r>
      <w:r w:rsidR="00F3768F">
        <w:rPr>
          <w:noProof/>
          <w:lang w:val="fr-FR"/>
        </w:rPr>
        <w:t>est un programme intégré d’é</w:t>
      </w:r>
      <w:r w:rsidR="001B2F58" w:rsidRPr="00DD03D6">
        <w:rPr>
          <w:noProof/>
          <w:lang w:val="fr-FR"/>
        </w:rPr>
        <w:t xml:space="preserve">ducation, </w:t>
      </w:r>
      <w:r w:rsidR="00F3768F">
        <w:rPr>
          <w:noProof/>
          <w:lang w:val="fr-FR"/>
        </w:rPr>
        <w:t xml:space="preserve">de formation et d’expérience professionnelle pour les jeunes du groupe d’âges des </w:t>
      </w:r>
      <w:r w:rsidR="001B2F58" w:rsidRPr="00DD03D6">
        <w:rPr>
          <w:noProof/>
          <w:lang w:val="fr-FR"/>
        </w:rPr>
        <w:t>15-20 a</w:t>
      </w:r>
      <w:r w:rsidR="00F3768F">
        <w:rPr>
          <w:noProof/>
          <w:lang w:val="fr-FR"/>
        </w:rPr>
        <w:t>ns qui ont quitté prématurément l’école sans diplôme ni formation professionnelle</w:t>
      </w:r>
      <w:r w:rsidR="001B2F58" w:rsidRPr="00DD03D6">
        <w:rPr>
          <w:noProof/>
          <w:lang w:val="fr-FR"/>
        </w:rPr>
        <w:t xml:space="preserve">. </w:t>
      </w:r>
      <w:r w:rsidR="00F3768F">
        <w:rPr>
          <w:noProof/>
          <w:lang w:val="fr-FR"/>
        </w:rPr>
        <w:t xml:space="preserve">L’enquête annuelle menée en </w:t>
      </w:r>
      <w:r w:rsidR="001B2F58" w:rsidRPr="00DD03D6">
        <w:rPr>
          <w:noProof/>
          <w:lang w:val="fr-FR"/>
        </w:rPr>
        <w:t xml:space="preserve">2011 </w:t>
      </w:r>
      <w:r w:rsidR="00F3768F">
        <w:rPr>
          <w:noProof/>
          <w:lang w:val="fr-FR"/>
        </w:rPr>
        <w:t xml:space="preserve">auprès des </w:t>
      </w:r>
      <w:r w:rsidR="00250A50">
        <w:rPr>
          <w:noProof/>
          <w:lang w:val="fr-FR"/>
        </w:rPr>
        <w:t>apprenant</w:t>
      </w:r>
      <w:r w:rsidR="00993E8F">
        <w:rPr>
          <w:noProof/>
          <w:lang w:val="fr-FR"/>
        </w:rPr>
        <w:t>s</w:t>
      </w:r>
      <w:r w:rsidR="00F3768F">
        <w:rPr>
          <w:noProof/>
          <w:lang w:val="fr-FR"/>
        </w:rPr>
        <w:t xml:space="preserve"> </w:t>
      </w:r>
      <w:r w:rsidR="00250A50" w:rsidRPr="00FA02D4">
        <w:rPr>
          <w:lang w:val="fr-CH"/>
        </w:rPr>
        <w:t xml:space="preserve">qui participent aux activités des comités </w:t>
      </w:r>
      <w:r w:rsidR="00250A50">
        <w:rPr>
          <w:lang w:val="fr-CH"/>
        </w:rPr>
        <w:t>pour l’</w:t>
      </w:r>
      <w:r w:rsidR="00250A50" w:rsidRPr="00FA02D4">
        <w:rPr>
          <w:lang w:val="fr-CH"/>
        </w:rPr>
        <w:t xml:space="preserve">’enseignement professionnel </w:t>
      </w:r>
      <w:r w:rsidR="005C6759">
        <w:rPr>
          <w:lang w:val="fr-CH"/>
        </w:rPr>
        <w:t>(</w:t>
      </w:r>
      <w:r w:rsidR="005C6759" w:rsidRPr="00DD03D6">
        <w:rPr>
          <w:noProof/>
          <w:lang w:val="fr-FR"/>
        </w:rPr>
        <w:t>Youthreach</w:t>
      </w:r>
      <w:r w:rsidR="005C6759">
        <w:rPr>
          <w:lang w:val="fr-CH"/>
        </w:rPr>
        <w:t xml:space="preserve">) </w:t>
      </w:r>
      <w:r w:rsidR="00250A50">
        <w:rPr>
          <w:lang w:val="fr-CH"/>
        </w:rPr>
        <w:t xml:space="preserve">a montré que </w:t>
      </w:r>
      <w:r w:rsidR="001B2F58" w:rsidRPr="00DD03D6">
        <w:rPr>
          <w:noProof/>
          <w:lang w:val="fr-FR"/>
        </w:rPr>
        <w:t>17</w:t>
      </w:r>
      <w:r w:rsidR="003F1ADB">
        <w:rPr>
          <w:noProof/>
          <w:lang w:val="fr-FR"/>
        </w:rPr>
        <w:t> %</w:t>
      </w:r>
      <w:r w:rsidR="001B2F58" w:rsidRPr="00DD03D6">
        <w:rPr>
          <w:noProof/>
          <w:lang w:val="fr-FR"/>
        </w:rPr>
        <w:t xml:space="preserve"> </w:t>
      </w:r>
      <w:r w:rsidR="00250A50">
        <w:rPr>
          <w:noProof/>
          <w:lang w:val="fr-FR"/>
        </w:rPr>
        <w:t>de ces apprenants s’identifiaient comme gens du voyage</w:t>
      </w:r>
      <w:r w:rsidR="001B2F58" w:rsidRPr="00DD03D6">
        <w:rPr>
          <w:noProof/>
          <w:lang w:val="fr-FR"/>
        </w:rPr>
        <w:t xml:space="preserve">. </w:t>
      </w:r>
      <w:r w:rsidR="005C6759">
        <w:rPr>
          <w:noProof/>
          <w:lang w:val="fr-FR"/>
        </w:rPr>
        <w:t>Tous les programmes d’enseignement postobligatoire sont ouverts aux gens du voyage; ce sont soit des</w:t>
      </w:r>
      <w:r w:rsidR="001B2F58" w:rsidRPr="00DD03D6">
        <w:rPr>
          <w:noProof/>
          <w:lang w:val="fr-FR"/>
        </w:rPr>
        <w:t xml:space="preserve"> programmes </w:t>
      </w:r>
      <w:r w:rsidR="00993E8F">
        <w:rPr>
          <w:noProof/>
          <w:lang w:val="fr-FR"/>
        </w:rPr>
        <w:t>à plein</w:t>
      </w:r>
      <w:r w:rsidR="005C6759">
        <w:rPr>
          <w:noProof/>
          <w:lang w:val="fr-FR"/>
        </w:rPr>
        <w:t xml:space="preserve"> temps </w:t>
      </w:r>
      <w:r w:rsidR="001B2F58" w:rsidRPr="00DD03D6">
        <w:rPr>
          <w:noProof/>
          <w:lang w:val="fr-FR"/>
        </w:rPr>
        <w:t>(</w:t>
      </w:r>
      <w:r w:rsidR="005C6759">
        <w:rPr>
          <w:lang w:val="fr-FR"/>
        </w:rPr>
        <w:t>programme de validation des acquis</w:t>
      </w:r>
      <w:r w:rsidR="001B2F58" w:rsidRPr="00DD03D6">
        <w:rPr>
          <w:noProof/>
          <w:lang w:val="fr-FR"/>
        </w:rPr>
        <w:t xml:space="preserve">, </w:t>
      </w:r>
      <w:r w:rsidR="005C6759">
        <w:rPr>
          <w:noProof/>
          <w:lang w:val="fr-FR"/>
        </w:rPr>
        <w:t>p</w:t>
      </w:r>
      <w:r w:rsidR="005C6759" w:rsidRPr="005C6759">
        <w:rPr>
          <w:noProof/>
          <w:lang w:val="fr-CH"/>
        </w:rPr>
        <w:t>rogramme d’accès à la formation professionnelle</w:t>
      </w:r>
      <w:r w:rsidR="001B2F58" w:rsidRPr="005C6759">
        <w:rPr>
          <w:noProof/>
          <w:lang w:val="fr-CH"/>
        </w:rPr>
        <w:t xml:space="preserve"> </w:t>
      </w:r>
      <w:r w:rsidR="005C6759">
        <w:rPr>
          <w:noProof/>
          <w:lang w:val="fr-CH"/>
        </w:rPr>
        <w:t>et</w:t>
      </w:r>
      <w:r w:rsidR="001B2F58" w:rsidRPr="00DD03D6">
        <w:rPr>
          <w:noProof/>
          <w:lang w:val="fr-FR"/>
        </w:rPr>
        <w:t xml:space="preserve"> Youthreach)</w:t>
      </w:r>
      <w:r w:rsidR="005C6759">
        <w:rPr>
          <w:noProof/>
          <w:lang w:val="fr-FR"/>
        </w:rPr>
        <w:t>, soit des</w:t>
      </w:r>
      <w:r w:rsidR="001B2F58" w:rsidRPr="00DD03D6">
        <w:rPr>
          <w:noProof/>
          <w:lang w:val="fr-FR"/>
        </w:rPr>
        <w:t xml:space="preserve"> programmes </w:t>
      </w:r>
      <w:r w:rsidR="005C6759">
        <w:rPr>
          <w:noProof/>
          <w:lang w:val="fr-FR"/>
        </w:rPr>
        <w:t xml:space="preserve">à temps partiel </w:t>
      </w:r>
      <w:r w:rsidR="001B2F58" w:rsidRPr="00DD03D6">
        <w:rPr>
          <w:noProof/>
          <w:lang w:val="fr-FR"/>
        </w:rPr>
        <w:t>(</w:t>
      </w:r>
      <w:r w:rsidR="005C6759">
        <w:rPr>
          <w:lang w:val="fr-FR"/>
        </w:rPr>
        <w:t>initiative pour le retour à l’éducation</w:t>
      </w:r>
      <w:r w:rsidR="001B2F58" w:rsidRPr="00DD03D6">
        <w:rPr>
          <w:noProof/>
          <w:lang w:val="fr-FR"/>
        </w:rPr>
        <w:t xml:space="preserve"> </w:t>
      </w:r>
      <w:r w:rsidR="005C6759">
        <w:rPr>
          <w:noProof/>
          <w:lang w:val="fr-FR"/>
        </w:rPr>
        <w:t>et</w:t>
      </w:r>
      <w:r w:rsidR="001B2F58" w:rsidRPr="00DD03D6">
        <w:rPr>
          <w:noProof/>
          <w:lang w:val="fr-FR"/>
        </w:rPr>
        <w:t xml:space="preserve"> </w:t>
      </w:r>
      <w:r w:rsidR="005C6759">
        <w:rPr>
          <w:noProof/>
          <w:lang w:val="fr-FR"/>
        </w:rPr>
        <w:t>alphabétisation des adultes et éducation accessible à tous</w:t>
      </w:r>
      <w:r w:rsidR="001B2F58" w:rsidRPr="00DD03D6">
        <w:rPr>
          <w:noProof/>
          <w:lang w:val="fr-FR"/>
        </w:rPr>
        <w:t>).</w:t>
      </w:r>
    </w:p>
    <w:p w:rsidR="001B2F58" w:rsidRPr="00DD03D6" w:rsidRDefault="00BA05AF" w:rsidP="000448E3">
      <w:pPr>
        <w:pStyle w:val="SingleTxtG"/>
        <w:numPr>
          <w:ilvl w:val="0"/>
          <w:numId w:val="3"/>
        </w:numPr>
        <w:ind w:left="1134" w:firstLine="0"/>
        <w:rPr>
          <w:noProof/>
          <w:lang w:val="fr-FR"/>
        </w:rPr>
      </w:pPr>
      <w:r>
        <w:rPr>
          <w:noProof/>
          <w:lang w:val="fr-FR"/>
        </w:rPr>
        <w:t>Dans le cadre du b</w:t>
      </w:r>
      <w:r w:rsidR="001B2F58" w:rsidRPr="00DD03D6">
        <w:rPr>
          <w:noProof/>
          <w:lang w:val="fr-FR"/>
        </w:rPr>
        <w:t xml:space="preserve">udget 2011, </w:t>
      </w:r>
      <w:r>
        <w:rPr>
          <w:noProof/>
          <w:lang w:val="fr-FR"/>
        </w:rPr>
        <w:t xml:space="preserve">il a été décidé de supprimer les postes </w:t>
      </w:r>
      <w:r w:rsidRPr="00DF2DD5">
        <w:rPr>
          <w:lang w:val="fr-FR"/>
        </w:rPr>
        <w:t>d</w:t>
      </w:r>
      <w:r>
        <w:rPr>
          <w:lang w:val="fr-FR"/>
        </w:rPr>
        <w:t>’</w:t>
      </w:r>
      <w:r w:rsidRPr="00DF2DD5">
        <w:rPr>
          <w:lang w:val="fr-FR"/>
        </w:rPr>
        <w:t>e</w:t>
      </w:r>
      <w:r>
        <w:rPr>
          <w:lang w:val="fr-FR"/>
        </w:rPr>
        <w:t>nseignants-ressources pour les g</w:t>
      </w:r>
      <w:r w:rsidRPr="00DF2DD5">
        <w:rPr>
          <w:lang w:val="fr-FR"/>
        </w:rPr>
        <w:t>ens du voyage</w:t>
      </w:r>
      <w:r>
        <w:rPr>
          <w:lang w:val="fr-FR"/>
        </w:rPr>
        <w:t xml:space="preserve"> à compter de s</w:t>
      </w:r>
      <w:r w:rsidR="001B2F58" w:rsidRPr="00DD03D6">
        <w:rPr>
          <w:noProof/>
          <w:lang w:val="fr-FR"/>
        </w:rPr>
        <w:t>eptemb</w:t>
      </w:r>
      <w:r>
        <w:rPr>
          <w:noProof/>
          <w:lang w:val="fr-FR"/>
        </w:rPr>
        <w:t>re</w:t>
      </w:r>
      <w:r w:rsidR="001B2F58" w:rsidRPr="00DD03D6">
        <w:rPr>
          <w:noProof/>
          <w:lang w:val="fr-FR"/>
        </w:rPr>
        <w:t xml:space="preserve"> 2011. </w:t>
      </w:r>
      <w:r>
        <w:rPr>
          <w:noProof/>
          <w:lang w:val="fr-FR"/>
        </w:rPr>
        <w:t>Cette décision donne effet à la recomma</w:t>
      </w:r>
      <w:r w:rsidR="001B2F58" w:rsidRPr="00DD03D6">
        <w:rPr>
          <w:noProof/>
          <w:lang w:val="fr-FR"/>
        </w:rPr>
        <w:t xml:space="preserve">ndation </w:t>
      </w:r>
      <w:r>
        <w:rPr>
          <w:noProof/>
          <w:lang w:val="fr-FR"/>
        </w:rPr>
        <w:t xml:space="preserve">figurant dans le </w:t>
      </w:r>
      <w:r w:rsidRPr="00CC78E1">
        <w:rPr>
          <w:i/>
          <w:lang w:val="fr-CH"/>
        </w:rPr>
        <w:t>Rapport et recommandations en vue de l’élaboration d’une stratégie pour l’éducation des gens du voyage</w:t>
      </w:r>
      <w:r>
        <w:rPr>
          <w:iCs/>
          <w:noProof/>
          <w:lang w:val="fr-FR" w:eastAsia="en-GB"/>
        </w:rPr>
        <w:t xml:space="preserve">, selon laquelle il convient d’adopter un système de </w:t>
      </w:r>
      <w:r w:rsidR="0052129C">
        <w:rPr>
          <w:iCs/>
          <w:noProof/>
          <w:lang w:val="fr-FR" w:eastAsia="en-GB"/>
        </w:rPr>
        <w:t>soutien scolaire</w:t>
      </w:r>
      <w:r>
        <w:rPr>
          <w:iCs/>
          <w:noProof/>
          <w:lang w:val="fr-FR" w:eastAsia="en-GB"/>
        </w:rPr>
        <w:t xml:space="preserve"> </w:t>
      </w:r>
      <w:r w:rsidR="005E46BB">
        <w:rPr>
          <w:iCs/>
          <w:noProof/>
          <w:lang w:val="fr-FR" w:eastAsia="en-GB"/>
        </w:rPr>
        <w:t xml:space="preserve">mis en œuvre de manière </w:t>
      </w:r>
      <w:r w:rsidR="001B2F58" w:rsidRPr="00DD03D6">
        <w:rPr>
          <w:noProof/>
          <w:lang w:val="fr-FR"/>
        </w:rPr>
        <w:t>int</w:t>
      </w:r>
      <w:r>
        <w:rPr>
          <w:noProof/>
          <w:lang w:val="fr-FR"/>
        </w:rPr>
        <w:t>égré</w:t>
      </w:r>
      <w:r w:rsidR="005E46BB">
        <w:rPr>
          <w:noProof/>
          <w:lang w:val="fr-FR"/>
        </w:rPr>
        <w:t>e</w:t>
      </w:r>
      <w:r w:rsidR="001B2F58" w:rsidRPr="00DD03D6">
        <w:rPr>
          <w:noProof/>
          <w:lang w:val="fr-FR"/>
        </w:rPr>
        <w:t xml:space="preserve">, </w:t>
      </w:r>
      <w:r w:rsidR="005E46BB">
        <w:rPr>
          <w:noProof/>
          <w:lang w:val="fr-FR"/>
        </w:rPr>
        <w:t xml:space="preserve">conjointe et dans la salle de </w:t>
      </w:r>
      <w:r w:rsidR="001B2F58" w:rsidRPr="00DD03D6">
        <w:rPr>
          <w:noProof/>
          <w:lang w:val="fr-FR"/>
        </w:rPr>
        <w:t>class</w:t>
      </w:r>
      <w:r w:rsidR="005E46BB">
        <w:rPr>
          <w:noProof/>
          <w:lang w:val="fr-FR"/>
        </w:rPr>
        <w:t>e à l’intention de tous les enfants, y compris</w:t>
      </w:r>
      <w:r w:rsidR="001B2F58" w:rsidRPr="00DD03D6">
        <w:rPr>
          <w:noProof/>
          <w:lang w:val="fr-FR"/>
        </w:rPr>
        <w:t xml:space="preserve"> </w:t>
      </w:r>
      <w:r w:rsidR="005E46BB">
        <w:rPr>
          <w:noProof/>
          <w:lang w:val="fr-FR"/>
        </w:rPr>
        <w:t>ceux qui son</w:t>
      </w:r>
      <w:r w:rsidR="00155B13">
        <w:rPr>
          <w:noProof/>
          <w:lang w:val="fr-FR"/>
        </w:rPr>
        <w:t>t</w:t>
      </w:r>
      <w:r w:rsidR="005E46BB">
        <w:rPr>
          <w:noProof/>
          <w:lang w:val="fr-FR"/>
        </w:rPr>
        <w:t xml:space="preserve"> </w:t>
      </w:r>
      <w:r w:rsidR="0052129C">
        <w:rPr>
          <w:noProof/>
          <w:lang w:val="fr-FR"/>
        </w:rPr>
        <w:t xml:space="preserve">membres </w:t>
      </w:r>
      <w:r w:rsidR="005E46BB">
        <w:rPr>
          <w:noProof/>
          <w:lang w:val="fr-FR"/>
        </w:rPr>
        <w:t xml:space="preserve">de la communauté des gens du voyage, qui </w:t>
      </w:r>
      <w:r w:rsidR="0052129C">
        <w:rPr>
          <w:noProof/>
          <w:lang w:val="fr-FR"/>
        </w:rPr>
        <w:t xml:space="preserve">ont </w:t>
      </w:r>
      <w:r w:rsidR="005E46BB">
        <w:rPr>
          <w:noProof/>
          <w:lang w:val="fr-FR"/>
        </w:rPr>
        <w:t>des besoins éducatifs constatés</w:t>
      </w:r>
      <w:r w:rsidR="001B2F58" w:rsidRPr="00DD03D6">
        <w:rPr>
          <w:noProof/>
          <w:lang w:val="fr-FR"/>
        </w:rPr>
        <w:t xml:space="preserve">. </w:t>
      </w:r>
      <w:r w:rsidR="0052129C" w:rsidRPr="00DF2DD5">
        <w:rPr>
          <w:lang w:val="fr-FR"/>
        </w:rPr>
        <w:t xml:space="preserve">Les élèves appartenant à </w:t>
      </w:r>
      <w:r w:rsidR="0052129C">
        <w:rPr>
          <w:lang w:val="fr-FR"/>
        </w:rPr>
        <w:t>cette</w:t>
      </w:r>
      <w:r w:rsidR="0052129C" w:rsidRPr="00DF2DD5">
        <w:rPr>
          <w:lang w:val="fr-FR"/>
        </w:rPr>
        <w:t xml:space="preserve"> communauté qui avaient droit à des cours supplémentaires bénéficieront </w:t>
      </w:r>
      <w:r w:rsidR="0052129C">
        <w:rPr>
          <w:lang w:val="fr-FR"/>
        </w:rPr>
        <w:t xml:space="preserve">désormais </w:t>
      </w:r>
      <w:r w:rsidR="0052129C" w:rsidRPr="00DF2DD5">
        <w:rPr>
          <w:lang w:val="fr-FR"/>
        </w:rPr>
        <w:t xml:space="preserve">de ces cours dans le cadre du soutien scolaire existant </w:t>
      </w:r>
      <w:r w:rsidR="0052129C">
        <w:rPr>
          <w:lang w:val="fr-FR"/>
        </w:rPr>
        <w:t>dans les écoles</w:t>
      </w:r>
      <w:r w:rsidR="001B2F58" w:rsidRPr="00DD03D6">
        <w:rPr>
          <w:noProof/>
          <w:lang w:val="fr-FR"/>
        </w:rPr>
        <w:t xml:space="preserve">. </w:t>
      </w:r>
      <w:r w:rsidR="0052129C">
        <w:rPr>
          <w:noProof/>
          <w:lang w:val="fr-FR"/>
        </w:rPr>
        <w:t>Tous l</w:t>
      </w:r>
      <w:r w:rsidR="0052129C" w:rsidRPr="00DF2DD5">
        <w:rPr>
          <w:lang w:val="fr-FR"/>
        </w:rPr>
        <w:t>es établissements scolaires</w:t>
      </w:r>
      <w:r w:rsidR="0052129C">
        <w:rPr>
          <w:lang w:val="fr-FR"/>
        </w:rPr>
        <w:t xml:space="preserve"> ont</w:t>
      </w:r>
      <w:r w:rsidR="0052129C" w:rsidRPr="00DF2DD5">
        <w:rPr>
          <w:lang w:val="fr-FR"/>
        </w:rPr>
        <w:t xml:space="preserve"> pour instruction de sélectionner les élèves qui bénéficieront d</w:t>
      </w:r>
      <w:r w:rsidR="0052129C">
        <w:rPr>
          <w:lang w:val="fr-FR"/>
        </w:rPr>
        <w:t>’</w:t>
      </w:r>
      <w:r w:rsidR="0052129C" w:rsidRPr="00DF2DD5">
        <w:rPr>
          <w:lang w:val="fr-FR"/>
        </w:rPr>
        <w:t xml:space="preserve">un soutien en fonction des besoins éducatifs </w:t>
      </w:r>
      <w:r w:rsidR="0052129C">
        <w:rPr>
          <w:lang w:val="fr-FR"/>
        </w:rPr>
        <w:t>de ces derniers</w:t>
      </w:r>
      <w:r w:rsidR="001B2F58" w:rsidRPr="00DD03D6">
        <w:rPr>
          <w:noProof/>
          <w:lang w:val="fr-FR"/>
        </w:rPr>
        <w:t xml:space="preserve">. </w:t>
      </w:r>
      <w:r w:rsidR="00155B13">
        <w:rPr>
          <w:noProof/>
          <w:lang w:val="fr-FR"/>
        </w:rPr>
        <w:t xml:space="preserve">Des mesures sont mises en place pour </w:t>
      </w:r>
      <w:r w:rsidR="008D4F9C">
        <w:rPr>
          <w:noProof/>
          <w:lang w:val="fr-FR"/>
        </w:rPr>
        <w:t xml:space="preserve">aider les écoles </w:t>
      </w:r>
      <w:r w:rsidR="00155B13">
        <w:rPr>
          <w:noProof/>
          <w:lang w:val="fr-FR"/>
        </w:rPr>
        <w:t>qui accueillent une proportion importante d’élèves appartenant à la communauté des gens du voyage</w:t>
      </w:r>
      <w:r w:rsidR="001B2F58" w:rsidRPr="00DD03D6">
        <w:rPr>
          <w:noProof/>
          <w:lang w:val="fr-FR"/>
        </w:rPr>
        <w:t>.</w:t>
      </w:r>
    </w:p>
    <w:p w:rsidR="001B2F58" w:rsidRPr="00DD03D6" w:rsidRDefault="00155B13" w:rsidP="00155B13">
      <w:pPr>
        <w:pStyle w:val="H23G"/>
        <w:ind w:firstLine="0"/>
        <w:rPr>
          <w:noProof/>
          <w:lang w:val="fr-FR"/>
        </w:rPr>
      </w:pPr>
      <w:r>
        <w:rPr>
          <w:noProof/>
          <w:lang w:val="fr-FR"/>
        </w:rPr>
        <w:t xml:space="preserve">Mineurs non accompagnés et enfants des demandeurs d’asile </w:t>
      </w:r>
    </w:p>
    <w:p w:rsidR="001B2F58" w:rsidRPr="00DD03D6" w:rsidRDefault="00F47A53" w:rsidP="008D26B0">
      <w:pPr>
        <w:pStyle w:val="SingleTxtG"/>
        <w:numPr>
          <w:ilvl w:val="0"/>
          <w:numId w:val="3"/>
        </w:numPr>
        <w:ind w:left="1134" w:firstLine="0"/>
        <w:rPr>
          <w:noProof/>
          <w:lang w:val="fr-FR"/>
        </w:rPr>
      </w:pPr>
      <w:r>
        <w:rPr>
          <w:noProof/>
          <w:lang w:val="fr-FR"/>
        </w:rPr>
        <w:t>Les mineurs non accompagnés et les enfants des demandeurs d’asile ont accès à l’éducation préscolaire, primaire et secondaire de la même manière que les ressortissants irlandais j</w:t>
      </w:r>
      <w:r w:rsidR="00C26A49">
        <w:rPr>
          <w:noProof/>
          <w:lang w:val="fr-FR"/>
        </w:rPr>
        <w:t>us</w:t>
      </w:r>
      <w:r>
        <w:rPr>
          <w:noProof/>
          <w:lang w:val="fr-FR"/>
        </w:rPr>
        <w:t xml:space="preserve">qu’à ce qu’ils atteignent l’âge de 18 ans. S’ils ont commencé le second cycle de l’éducation postprimaire et atteignent l’âge de 18 ans avant la fin de ce programme de deux ans, ils sont autorisés à </w:t>
      </w:r>
      <w:r w:rsidR="00150260">
        <w:rPr>
          <w:noProof/>
          <w:lang w:val="fr-FR"/>
        </w:rPr>
        <w:t>l’</w:t>
      </w:r>
      <w:r>
        <w:rPr>
          <w:noProof/>
          <w:lang w:val="fr-FR"/>
        </w:rPr>
        <w:t xml:space="preserve">achever et à passer l’examen pour l’obtention du certificat de fin </w:t>
      </w:r>
      <w:r>
        <w:rPr>
          <w:noProof/>
          <w:lang w:val="fr-FR"/>
        </w:rPr>
        <w:lastRenderedPageBreak/>
        <w:t>d’étude</w:t>
      </w:r>
      <w:r w:rsidR="00150260">
        <w:rPr>
          <w:noProof/>
          <w:lang w:val="fr-FR"/>
        </w:rPr>
        <w:t>s</w:t>
      </w:r>
      <w:r w:rsidR="001B2F58" w:rsidRPr="00DD03D6">
        <w:rPr>
          <w:noProof/>
          <w:lang w:val="fr-FR"/>
        </w:rPr>
        <w:t xml:space="preserve">. </w:t>
      </w:r>
      <w:r w:rsidR="00150260">
        <w:rPr>
          <w:noProof/>
          <w:lang w:val="fr-FR"/>
        </w:rPr>
        <w:t>Toutefois, ni les mineurs non accompagnés ni les enfants des demandeurs d’asile n’ont droit aux aides de l’État pour accéder aux programmes d’études postobligatoires, supérieures ou pour adultes</w:t>
      </w:r>
      <w:r w:rsidR="001B2F58" w:rsidRPr="00DD03D6">
        <w:rPr>
          <w:noProof/>
          <w:lang w:val="fr-FR"/>
        </w:rPr>
        <w:t>.</w:t>
      </w:r>
    </w:p>
    <w:p w:rsidR="001B2F58" w:rsidRPr="00DD03D6" w:rsidRDefault="00150260" w:rsidP="008D26B0">
      <w:pPr>
        <w:pStyle w:val="SingleTxtG"/>
        <w:numPr>
          <w:ilvl w:val="0"/>
          <w:numId w:val="3"/>
        </w:numPr>
        <w:ind w:left="1134" w:firstLine="0"/>
        <w:rPr>
          <w:noProof/>
          <w:lang w:val="fr-FR"/>
        </w:rPr>
      </w:pPr>
      <w:r>
        <w:rPr>
          <w:noProof/>
          <w:lang w:val="fr-FR"/>
        </w:rPr>
        <w:t>Dans l’enseignement supérieur</w:t>
      </w:r>
      <w:r w:rsidR="001B2F58" w:rsidRPr="00DD03D6">
        <w:rPr>
          <w:noProof/>
          <w:lang w:val="fr-FR"/>
        </w:rPr>
        <w:t xml:space="preserve">, </w:t>
      </w:r>
      <w:r>
        <w:rPr>
          <w:noProof/>
          <w:lang w:val="fr-FR"/>
        </w:rPr>
        <w:t xml:space="preserve">la nationalité ou </w:t>
      </w:r>
      <w:r w:rsidR="00626752">
        <w:rPr>
          <w:noProof/>
          <w:lang w:val="fr-FR"/>
        </w:rPr>
        <w:t>le statut migratoire de l’étudiant</w:t>
      </w:r>
      <w:r w:rsidR="00A67506">
        <w:rPr>
          <w:noProof/>
          <w:lang w:val="fr-FR"/>
        </w:rPr>
        <w:t xml:space="preserve"> dans le pays </w:t>
      </w:r>
      <w:r w:rsidR="001B2F58" w:rsidRPr="00DD03D6">
        <w:rPr>
          <w:noProof/>
          <w:lang w:val="fr-FR"/>
        </w:rPr>
        <w:t>d</w:t>
      </w:r>
      <w:r w:rsidR="00A67506">
        <w:rPr>
          <w:noProof/>
          <w:lang w:val="fr-FR"/>
        </w:rPr>
        <w:t>étermine s’il remplit l’obligation de nationalité prévue dans le dispositif de gratuité des droits de scolarité</w:t>
      </w:r>
      <w:r w:rsidR="001B2F58" w:rsidRPr="00DD03D6">
        <w:rPr>
          <w:noProof/>
          <w:lang w:val="fr-FR"/>
        </w:rPr>
        <w:t xml:space="preserve">. </w:t>
      </w:r>
      <w:r w:rsidR="00A67506">
        <w:rPr>
          <w:noProof/>
          <w:lang w:val="fr-FR"/>
        </w:rPr>
        <w:t xml:space="preserve">Les étudiants du premier cycle universitaire </w:t>
      </w:r>
      <w:r w:rsidR="00FC6ED3">
        <w:rPr>
          <w:noProof/>
          <w:lang w:val="fr-FR"/>
        </w:rPr>
        <w:t xml:space="preserve">qui </w:t>
      </w:r>
      <w:r w:rsidR="00A67506">
        <w:rPr>
          <w:noProof/>
          <w:lang w:val="fr-FR"/>
        </w:rPr>
        <w:t>rempliss</w:t>
      </w:r>
      <w:r w:rsidR="00FC6ED3">
        <w:rPr>
          <w:noProof/>
          <w:lang w:val="fr-FR"/>
        </w:rPr>
        <w:t>e</w:t>
      </w:r>
      <w:r w:rsidR="00A67506">
        <w:rPr>
          <w:noProof/>
          <w:lang w:val="fr-FR"/>
        </w:rPr>
        <w:t>nt les conditions requises et, no</w:t>
      </w:r>
      <w:r w:rsidR="00FC6ED3">
        <w:rPr>
          <w:noProof/>
          <w:lang w:val="fr-FR"/>
        </w:rPr>
        <w:t>t</w:t>
      </w:r>
      <w:r w:rsidR="00A67506">
        <w:rPr>
          <w:noProof/>
          <w:lang w:val="fr-FR"/>
        </w:rPr>
        <w:t>amment, satisf</w:t>
      </w:r>
      <w:r w:rsidR="00FC6ED3">
        <w:rPr>
          <w:noProof/>
          <w:lang w:val="fr-FR"/>
        </w:rPr>
        <w:t>ont aux critères de nationalité</w:t>
      </w:r>
      <w:r w:rsidR="00A67506">
        <w:rPr>
          <w:noProof/>
          <w:lang w:val="fr-FR"/>
        </w:rPr>
        <w:t xml:space="preserve"> n’ont pas à acquitter les droits de scolarité</w:t>
      </w:r>
      <w:r w:rsidR="001B2F58" w:rsidRPr="00DD03D6">
        <w:rPr>
          <w:noProof/>
          <w:lang w:val="fr-FR"/>
        </w:rPr>
        <w:t xml:space="preserve">, </w:t>
      </w:r>
      <w:r w:rsidR="00A67506">
        <w:rPr>
          <w:noProof/>
          <w:lang w:val="fr-FR"/>
        </w:rPr>
        <w:t>mais doivent régler la contribution de l’étudiant</w:t>
      </w:r>
      <w:r w:rsidR="001B2F58" w:rsidRPr="00DD03D6">
        <w:rPr>
          <w:noProof/>
          <w:lang w:val="fr-FR"/>
        </w:rPr>
        <w:t xml:space="preserve">. </w:t>
      </w:r>
      <w:r w:rsidR="00A67506">
        <w:rPr>
          <w:noProof/>
          <w:lang w:val="fr-FR"/>
        </w:rPr>
        <w:t>Les étudiants qui ne remplissent pas les conditions prévues par ce dispositif</w:t>
      </w:r>
      <w:r w:rsidR="00857399">
        <w:rPr>
          <w:noProof/>
          <w:lang w:val="fr-FR"/>
        </w:rPr>
        <w:t xml:space="preserve"> doivent payer les droits de scolarité et peuvent avoir droit à une réduction d’impôt</w:t>
      </w:r>
      <w:r w:rsidR="001B2F58" w:rsidRPr="00DD03D6">
        <w:rPr>
          <w:noProof/>
          <w:lang w:val="fr-FR"/>
        </w:rPr>
        <w:t xml:space="preserve">. </w:t>
      </w:r>
      <w:r w:rsidR="00857399">
        <w:rPr>
          <w:noProof/>
          <w:lang w:val="fr-FR"/>
        </w:rPr>
        <w:t>Aux termes du programme de bourses de l’enseignement supérieur, une bourse est octroyée aux étudiants qui remplissent les conditions requises, notamment celles qui concernent la nationalité</w:t>
      </w:r>
      <w:r w:rsidR="001B2F58" w:rsidRPr="00DD03D6">
        <w:rPr>
          <w:noProof/>
          <w:lang w:val="fr-FR"/>
        </w:rPr>
        <w:t xml:space="preserve">, </w:t>
      </w:r>
      <w:r w:rsidR="00857399">
        <w:rPr>
          <w:noProof/>
          <w:lang w:val="fr-FR"/>
        </w:rPr>
        <w:t>le lieu de résidence</w:t>
      </w:r>
      <w:r w:rsidR="001B2F58" w:rsidRPr="00DD03D6">
        <w:rPr>
          <w:noProof/>
          <w:lang w:val="fr-FR"/>
        </w:rPr>
        <w:t xml:space="preserve">, </w:t>
      </w:r>
      <w:r w:rsidR="00857399">
        <w:rPr>
          <w:noProof/>
          <w:lang w:val="fr-FR"/>
        </w:rPr>
        <w:t>le niveau scolaire antérieur et le niveau de ressources</w:t>
      </w:r>
      <w:r w:rsidR="001B2F58" w:rsidRPr="00DD03D6">
        <w:rPr>
          <w:noProof/>
          <w:lang w:val="fr-FR"/>
        </w:rPr>
        <w:t xml:space="preserve">. </w:t>
      </w:r>
      <w:r w:rsidR="00857399">
        <w:rPr>
          <w:noProof/>
          <w:lang w:val="fr-FR"/>
        </w:rPr>
        <w:t xml:space="preserve">Les conditions de nationalité au titre du programme de bourses sont énoncées dans l’article </w:t>
      </w:r>
      <w:r w:rsidR="001B2F58" w:rsidRPr="00DD03D6">
        <w:rPr>
          <w:noProof/>
          <w:lang w:val="fr-FR"/>
        </w:rPr>
        <w:t xml:space="preserve">14 </w:t>
      </w:r>
      <w:r w:rsidR="00857399">
        <w:rPr>
          <w:noProof/>
          <w:lang w:val="fr-FR"/>
        </w:rPr>
        <w:t xml:space="preserve">de la loi de 2011 </w:t>
      </w:r>
      <w:r w:rsidR="00FC6ED3">
        <w:rPr>
          <w:noProof/>
          <w:lang w:val="fr-FR"/>
        </w:rPr>
        <w:t xml:space="preserve">sur l’aide aux études supérieures et dans la disposition </w:t>
      </w:r>
      <w:r w:rsidR="001B2F58" w:rsidRPr="00DD03D6">
        <w:rPr>
          <w:noProof/>
          <w:lang w:val="fr-FR"/>
        </w:rPr>
        <w:t xml:space="preserve">5 </w:t>
      </w:r>
      <w:r w:rsidR="00FC6ED3">
        <w:rPr>
          <w:noProof/>
          <w:lang w:val="fr-FR"/>
        </w:rPr>
        <w:t>du règlement de 2012 relatif à l’aide aux études supérieures</w:t>
      </w:r>
      <w:r w:rsidR="001B2F58" w:rsidRPr="00DD03D6">
        <w:rPr>
          <w:noProof/>
          <w:lang w:val="fr-FR"/>
        </w:rPr>
        <w:t xml:space="preserve">. </w:t>
      </w:r>
      <w:r w:rsidR="00FC6ED3">
        <w:rPr>
          <w:noProof/>
          <w:lang w:val="fr-FR"/>
        </w:rPr>
        <w:t>Dans tous les cas, pour avoir droit à une bourse d’études, c’est le candidat à une bourse lui-même, et non pas son ou ses parents, qui doit remplir les conditions de nationalité ou de statut migratoire fixées</w:t>
      </w:r>
      <w:r w:rsidR="001B2F58" w:rsidRPr="00DD03D6">
        <w:rPr>
          <w:noProof/>
          <w:lang w:val="fr-FR"/>
        </w:rPr>
        <w:t>.</w:t>
      </w:r>
    </w:p>
    <w:p w:rsidR="003D0F58" w:rsidRPr="00DD03D6" w:rsidRDefault="00FC6ED3" w:rsidP="000448E3">
      <w:pPr>
        <w:pStyle w:val="SingleTxtG"/>
        <w:numPr>
          <w:ilvl w:val="0"/>
          <w:numId w:val="3"/>
        </w:numPr>
        <w:ind w:left="1134" w:firstLine="0"/>
        <w:rPr>
          <w:noProof/>
          <w:lang w:val="fr-FR"/>
        </w:rPr>
      </w:pPr>
      <w:r>
        <w:rPr>
          <w:noProof/>
          <w:lang w:val="fr-FR"/>
        </w:rPr>
        <w:t xml:space="preserve">Le Comité pour l’enseignement professionnel de la Ville de </w:t>
      </w:r>
      <w:r w:rsidR="001B2F58" w:rsidRPr="00DD03D6">
        <w:rPr>
          <w:noProof/>
          <w:lang w:val="fr-FR"/>
        </w:rPr>
        <w:t xml:space="preserve">Dublin </w:t>
      </w:r>
      <w:r w:rsidR="00B8555B">
        <w:rPr>
          <w:noProof/>
          <w:lang w:val="fr-FR"/>
        </w:rPr>
        <w:t>met un programme d’accès à l’éducation à la disposition des mineurs non accompagnés nouvellement arrivés</w:t>
      </w:r>
      <w:r w:rsidR="001B2F58" w:rsidRPr="00DD03D6">
        <w:rPr>
          <w:noProof/>
          <w:lang w:val="fr-FR"/>
        </w:rPr>
        <w:t>.</w:t>
      </w:r>
      <w:r w:rsidR="00B8555B">
        <w:rPr>
          <w:noProof/>
          <w:lang w:val="fr-FR"/>
        </w:rPr>
        <w:t xml:space="preserve"> Ce </w:t>
      </w:r>
      <w:r w:rsidR="001B2F58" w:rsidRPr="00DD03D6">
        <w:rPr>
          <w:noProof/>
          <w:lang w:val="fr-FR"/>
        </w:rPr>
        <w:t>programme</w:t>
      </w:r>
      <w:r w:rsidR="00B8555B">
        <w:rPr>
          <w:noProof/>
          <w:lang w:val="fr-FR"/>
        </w:rPr>
        <w:t xml:space="preserve">, qui n’existe qu’en </w:t>
      </w:r>
      <w:r w:rsidR="001B2F58" w:rsidRPr="00DD03D6">
        <w:rPr>
          <w:noProof/>
          <w:lang w:val="fr-FR"/>
        </w:rPr>
        <w:t>Irland</w:t>
      </w:r>
      <w:r w:rsidR="00B8555B">
        <w:rPr>
          <w:noProof/>
          <w:lang w:val="fr-FR"/>
        </w:rPr>
        <w:t>e</w:t>
      </w:r>
      <w:r w:rsidR="001B2F58" w:rsidRPr="00DD03D6">
        <w:rPr>
          <w:noProof/>
          <w:lang w:val="fr-FR"/>
        </w:rPr>
        <w:t xml:space="preserve">, </w:t>
      </w:r>
      <w:r w:rsidR="00D818A1">
        <w:rPr>
          <w:noProof/>
          <w:lang w:val="fr-FR"/>
        </w:rPr>
        <w:t xml:space="preserve">est </w:t>
      </w:r>
      <w:r w:rsidR="00B8555B">
        <w:rPr>
          <w:noProof/>
          <w:lang w:val="fr-FR"/>
        </w:rPr>
        <w:t xml:space="preserve">un programme de </w:t>
      </w:r>
      <w:r w:rsidR="001B2F58" w:rsidRPr="00DD03D6">
        <w:rPr>
          <w:noProof/>
          <w:lang w:val="fr-FR"/>
        </w:rPr>
        <w:t xml:space="preserve">transition </w:t>
      </w:r>
      <w:r w:rsidR="00D818A1">
        <w:rPr>
          <w:noProof/>
          <w:lang w:val="fr-FR"/>
        </w:rPr>
        <w:t xml:space="preserve">intensif destiné </w:t>
      </w:r>
      <w:r w:rsidR="00B8555B">
        <w:rPr>
          <w:noProof/>
          <w:lang w:val="fr-FR"/>
        </w:rPr>
        <w:t>aux mineurs non accompagnés</w:t>
      </w:r>
      <w:r w:rsidR="00D818A1">
        <w:rPr>
          <w:noProof/>
          <w:lang w:val="fr-FR"/>
        </w:rPr>
        <w:t>, qu’ils suivent</w:t>
      </w:r>
      <w:r w:rsidR="00B8555B">
        <w:rPr>
          <w:noProof/>
          <w:lang w:val="fr-FR"/>
        </w:rPr>
        <w:t xml:space="preserve"> entre le moment de leur arrivée à </w:t>
      </w:r>
      <w:r w:rsidR="001B2F58" w:rsidRPr="00DD03D6">
        <w:rPr>
          <w:noProof/>
          <w:lang w:val="fr-FR"/>
        </w:rPr>
        <w:t xml:space="preserve">Dublin </w:t>
      </w:r>
      <w:r w:rsidR="00B8555B">
        <w:rPr>
          <w:noProof/>
          <w:lang w:val="fr-FR"/>
        </w:rPr>
        <w:t xml:space="preserve">jusqu’à leur </w:t>
      </w:r>
      <w:r w:rsidR="001B2F58" w:rsidRPr="00DD03D6">
        <w:rPr>
          <w:noProof/>
          <w:lang w:val="fr-FR"/>
        </w:rPr>
        <w:t xml:space="preserve">placement </w:t>
      </w:r>
      <w:r w:rsidR="00B8555B">
        <w:rPr>
          <w:noProof/>
          <w:lang w:val="fr-FR"/>
        </w:rPr>
        <w:t xml:space="preserve">dans une famille d’accueil et leur admission dans une école secondaire, généralement en dehors de </w:t>
      </w:r>
      <w:r w:rsidR="001B2F58" w:rsidRPr="00DD03D6">
        <w:rPr>
          <w:noProof/>
          <w:lang w:val="fr-FR"/>
        </w:rPr>
        <w:t xml:space="preserve">Dublin. </w:t>
      </w:r>
      <w:r w:rsidR="00B8555B">
        <w:rPr>
          <w:noProof/>
          <w:lang w:val="fr-FR"/>
        </w:rPr>
        <w:t xml:space="preserve">En </w:t>
      </w:r>
      <w:r w:rsidR="001B2F58" w:rsidRPr="00DD03D6">
        <w:rPr>
          <w:noProof/>
          <w:lang w:val="fr-FR"/>
        </w:rPr>
        <w:t xml:space="preserve">2010, </w:t>
      </w:r>
      <w:r w:rsidR="00B8555B">
        <w:rPr>
          <w:noProof/>
          <w:lang w:val="fr-FR"/>
        </w:rPr>
        <w:t>ce programme d’accès à l’éducation s’étalait sur environ 12 à 16 semaines</w:t>
      </w:r>
      <w:r w:rsidR="00497146">
        <w:rPr>
          <w:noProof/>
          <w:lang w:val="fr-FR"/>
        </w:rPr>
        <w:t xml:space="preserve"> pour chaque élève</w:t>
      </w:r>
      <w:r w:rsidR="001B2F58" w:rsidRPr="00DD03D6">
        <w:rPr>
          <w:noProof/>
          <w:lang w:val="fr-FR"/>
        </w:rPr>
        <w:t>. I</w:t>
      </w:r>
      <w:r w:rsidR="00497146">
        <w:rPr>
          <w:noProof/>
          <w:lang w:val="fr-FR"/>
        </w:rPr>
        <w:t>l fonctionne pendant 42 semaines chaque année</w:t>
      </w:r>
      <w:r w:rsidR="001B2F58" w:rsidRPr="00DD03D6">
        <w:rPr>
          <w:noProof/>
          <w:lang w:val="fr-FR"/>
        </w:rPr>
        <w:t xml:space="preserve">. </w:t>
      </w:r>
      <w:r w:rsidR="00D818A1">
        <w:rPr>
          <w:noProof/>
          <w:lang w:val="fr-FR"/>
        </w:rPr>
        <w:t>Il dispense des cours d’anglais et de m</w:t>
      </w:r>
      <w:r w:rsidR="001B2F58" w:rsidRPr="00DD03D6">
        <w:rPr>
          <w:noProof/>
          <w:lang w:val="fr-FR"/>
        </w:rPr>
        <w:t>ath</w:t>
      </w:r>
      <w:r w:rsidR="00D818A1">
        <w:rPr>
          <w:noProof/>
          <w:lang w:val="fr-FR"/>
        </w:rPr>
        <w:t>é</w:t>
      </w:r>
      <w:r w:rsidR="001B2F58" w:rsidRPr="00DD03D6">
        <w:rPr>
          <w:noProof/>
          <w:lang w:val="fr-FR"/>
        </w:rPr>
        <w:t>mati</w:t>
      </w:r>
      <w:r w:rsidR="00D818A1">
        <w:rPr>
          <w:noProof/>
          <w:lang w:val="fr-FR"/>
        </w:rPr>
        <w:t>que</w:t>
      </w:r>
      <w:r w:rsidR="001B2F58" w:rsidRPr="00DD03D6">
        <w:rPr>
          <w:noProof/>
          <w:lang w:val="fr-FR"/>
        </w:rPr>
        <w:t xml:space="preserve">s </w:t>
      </w:r>
      <w:r w:rsidR="00D818A1">
        <w:rPr>
          <w:noProof/>
          <w:lang w:val="fr-FR"/>
        </w:rPr>
        <w:t>et une éducation à la vie pratique</w:t>
      </w:r>
      <w:r w:rsidR="001B2F58" w:rsidRPr="00DD03D6">
        <w:rPr>
          <w:noProof/>
          <w:lang w:val="fr-FR"/>
        </w:rPr>
        <w:t xml:space="preserve">, </w:t>
      </w:r>
      <w:r w:rsidR="00D818A1">
        <w:rPr>
          <w:noProof/>
          <w:lang w:val="fr-FR"/>
        </w:rPr>
        <w:t>et entretient des liens étroits avec le programme d’études postprimaires</w:t>
      </w:r>
      <w:r w:rsidR="001B2F58" w:rsidRPr="00DD03D6">
        <w:rPr>
          <w:noProof/>
          <w:lang w:val="fr-FR"/>
        </w:rPr>
        <w:t xml:space="preserve">. </w:t>
      </w:r>
      <w:r w:rsidR="00D818A1">
        <w:rPr>
          <w:noProof/>
          <w:lang w:val="fr-FR"/>
        </w:rPr>
        <w:t>Il s’adresse à divers apprenants, notamment à ceux qui n’ont eu pratiquement aucune expérience de l’éducation formelle dans leur pays d’origine</w:t>
      </w:r>
      <w:r w:rsidR="001B2F58" w:rsidRPr="00DD03D6">
        <w:rPr>
          <w:noProof/>
          <w:lang w:val="fr-FR"/>
        </w:rPr>
        <w:t>.</w:t>
      </w:r>
    </w:p>
    <w:p w:rsidR="001B2F58" w:rsidRPr="00DD03D6" w:rsidRDefault="00072E5F" w:rsidP="000448E3">
      <w:pPr>
        <w:pStyle w:val="SingleTxtG"/>
        <w:numPr>
          <w:ilvl w:val="0"/>
          <w:numId w:val="3"/>
        </w:numPr>
        <w:ind w:left="1134" w:firstLine="0"/>
        <w:rPr>
          <w:noProof/>
          <w:lang w:val="fr-FR"/>
        </w:rPr>
      </w:pPr>
      <w:r>
        <w:rPr>
          <w:noProof/>
          <w:lang w:val="fr-FR"/>
        </w:rPr>
        <w:t>Le programme d’accès à l’éducation est principalement destiné aux mineurs non accompagnés</w:t>
      </w:r>
      <w:r w:rsidR="001B2F58" w:rsidRPr="00DD03D6">
        <w:rPr>
          <w:noProof/>
          <w:lang w:val="fr-FR"/>
        </w:rPr>
        <w:t xml:space="preserve">, </w:t>
      </w:r>
      <w:r>
        <w:rPr>
          <w:noProof/>
          <w:lang w:val="fr-FR"/>
        </w:rPr>
        <w:t>mais d’autres jeunes ayant un statut de réfugié ont également été orientés vers ce programme</w:t>
      </w:r>
      <w:r w:rsidR="001B2F58" w:rsidRPr="00DD03D6">
        <w:rPr>
          <w:noProof/>
          <w:lang w:val="fr-FR"/>
        </w:rPr>
        <w:t xml:space="preserve">. </w:t>
      </w:r>
      <w:r>
        <w:rPr>
          <w:noProof/>
          <w:lang w:val="fr-FR"/>
        </w:rPr>
        <w:t xml:space="preserve">Ayant obtenu un financement supplémentaire du Fonds européen pour les réfugiés en </w:t>
      </w:r>
      <w:r w:rsidR="001B2F58" w:rsidRPr="00DD03D6">
        <w:rPr>
          <w:noProof/>
          <w:lang w:val="fr-FR"/>
        </w:rPr>
        <w:t xml:space="preserve">2010, </w:t>
      </w:r>
      <w:r>
        <w:rPr>
          <w:noProof/>
          <w:lang w:val="fr-FR"/>
        </w:rPr>
        <w:t xml:space="preserve">le Comité pour l’enseignement professionnel de la Ville de </w:t>
      </w:r>
      <w:r w:rsidRPr="00DD03D6">
        <w:rPr>
          <w:noProof/>
          <w:lang w:val="fr-FR"/>
        </w:rPr>
        <w:t xml:space="preserve">Dublin </w:t>
      </w:r>
      <w:r>
        <w:rPr>
          <w:noProof/>
          <w:lang w:val="fr-FR"/>
        </w:rPr>
        <w:t>a entrepris d’élaborer à l’intention de cette cohorte spécifique d’apprenants divers matériels et auxiliaires didactiques qui profiteront également à un groupe plus large d’apprenants</w:t>
      </w:r>
      <w:r w:rsidR="001B2F58" w:rsidRPr="00DD03D6">
        <w:rPr>
          <w:noProof/>
          <w:lang w:val="fr-FR"/>
        </w:rPr>
        <w:t>.</w:t>
      </w:r>
    </w:p>
    <w:p w:rsidR="001B2F58" w:rsidRPr="00DD03D6" w:rsidRDefault="00072E5F" w:rsidP="000448E3">
      <w:pPr>
        <w:pStyle w:val="SingleTxtG"/>
        <w:numPr>
          <w:ilvl w:val="0"/>
          <w:numId w:val="3"/>
        </w:numPr>
        <w:ind w:left="1134" w:firstLine="0"/>
        <w:rPr>
          <w:noProof/>
          <w:lang w:val="fr-FR"/>
        </w:rPr>
      </w:pPr>
      <w:r>
        <w:rPr>
          <w:noProof/>
          <w:lang w:val="fr-FR"/>
        </w:rPr>
        <w:t xml:space="preserve">Un </w:t>
      </w:r>
      <w:r w:rsidR="001B2F58" w:rsidRPr="00DD03D6">
        <w:rPr>
          <w:noProof/>
          <w:lang w:val="fr-FR"/>
        </w:rPr>
        <w:t xml:space="preserve">DVD </w:t>
      </w:r>
      <w:r>
        <w:rPr>
          <w:noProof/>
          <w:lang w:val="fr-FR"/>
        </w:rPr>
        <w:t xml:space="preserve">réalisé pour et par des enfants séparés demandeurs d’asile et intitulé </w:t>
      </w:r>
      <w:r>
        <w:rPr>
          <w:i/>
          <w:noProof/>
          <w:lang w:val="fr-FR"/>
        </w:rPr>
        <w:t xml:space="preserve">Un tremplin pour entrer à l’école secondaire en Irlande </w:t>
      </w:r>
      <w:r>
        <w:rPr>
          <w:noProof/>
          <w:lang w:val="fr-FR"/>
        </w:rPr>
        <w:t>(</w:t>
      </w:r>
      <w:r w:rsidR="001B2F58" w:rsidRPr="00DD03D6">
        <w:rPr>
          <w:i/>
          <w:iCs/>
          <w:noProof/>
          <w:lang w:val="fr-FR"/>
        </w:rPr>
        <w:t>Stepping Stones: Starting Second-level School in Ireland</w:t>
      </w:r>
      <w:r w:rsidR="00F45928">
        <w:rPr>
          <w:iCs/>
          <w:noProof/>
          <w:lang w:val="fr-FR"/>
        </w:rPr>
        <w:t>)</w:t>
      </w:r>
      <w:r w:rsidR="001B2F58" w:rsidRPr="00DD03D6">
        <w:rPr>
          <w:noProof/>
          <w:lang w:val="fr-FR"/>
        </w:rPr>
        <w:t xml:space="preserve"> </w:t>
      </w:r>
      <w:r w:rsidR="00F45928">
        <w:rPr>
          <w:noProof/>
          <w:lang w:val="fr-FR"/>
        </w:rPr>
        <w:t xml:space="preserve">est disponible sur support physique ou est téléchargeable depuis le site Web </w:t>
      </w:r>
      <w:hyperlink r:id="rId35" w:history="1">
        <w:r w:rsidR="001B2F58" w:rsidRPr="00DD03D6">
          <w:rPr>
            <w:rStyle w:val="Lienhypertexte"/>
            <w:noProof/>
            <w:color w:val="0000FF"/>
            <w:u w:val="single"/>
            <w:lang w:val="fr-FR"/>
          </w:rPr>
          <w:t>www.separatedchildrenservice.ie</w:t>
        </w:r>
      </w:hyperlink>
      <w:r w:rsidR="001B2F58" w:rsidRPr="00DD03D6">
        <w:rPr>
          <w:noProof/>
          <w:lang w:val="fr-FR"/>
        </w:rPr>
        <w:t xml:space="preserve">. </w:t>
      </w:r>
      <w:r w:rsidR="00F45928">
        <w:rPr>
          <w:noProof/>
          <w:lang w:val="fr-FR"/>
        </w:rPr>
        <w:t xml:space="preserve">Un manuel de l’enseignant accompagne le </w:t>
      </w:r>
      <w:r w:rsidR="001B2F58" w:rsidRPr="00DD03D6">
        <w:rPr>
          <w:noProof/>
          <w:lang w:val="fr-FR"/>
        </w:rPr>
        <w:t>DVD.</w:t>
      </w:r>
    </w:p>
    <w:p w:rsidR="001B2F58" w:rsidRPr="00DD03D6" w:rsidRDefault="001B2F58" w:rsidP="00A660EE">
      <w:pPr>
        <w:pStyle w:val="SingleTxtG"/>
        <w:numPr>
          <w:ilvl w:val="0"/>
          <w:numId w:val="3"/>
        </w:numPr>
        <w:ind w:left="1134" w:firstLine="0"/>
        <w:rPr>
          <w:noProof/>
          <w:lang w:val="fr-FR"/>
        </w:rPr>
      </w:pPr>
      <w:r w:rsidRPr="00DD03D6">
        <w:rPr>
          <w:noProof/>
          <w:lang w:val="fr-FR"/>
        </w:rPr>
        <w:t xml:space="preserve">Study Buddy </w:t>
      </w:r>
      <w:r w:rsidR="00B61737">
        <w:rPr>
          <w:noProof/>
          <w:lang w:val="fr-FR"/>
        </w:rPr>
        <w:t xml:space="preserve">(copain d’étude) </w:t>
      </w:r>
      <w:r w:rsidR="00F45928">
        <w:rPr>
          <w:noProof/>
          <w:lang w:val="fr-FR"/>
        </w:rPr>
        <w:t>est un club de travail scolaire fonctionnant en dehors des heures d’école</w:t>
      </w:r>
      <w:r w:rsidR="0059463E">
        <w:rPr>
          <w:noProof/>
          <w:lang w:val="fr-FR"/>
        </w:rPr>
        <w:t xml:space="preserve"> qui s’adresse à tout mineur non accompagné ou </w:t>
      </w:r>
      <w:r w:rsidR="0059463E" w:rsidRPr="00DF2DD5">
        <w:rPr>
          <w:lang w:val="fr-FR"/>
        </w:rPr>
        <w:t>mineur ayant dépassé l</w:t>
      </w:r>
      <w:r w:rsidR="0059463E">
        <w:rPr>
          <w:lang w:val="fr-FR"/>
        </w:rPr>
        <w:t>’</w:t>
      </w:r>
      <w:r w:rsidR="0059463E" w:rsidRPr="00DF2DD5">
        <w:rPr>
          <w:lang w:val="fr-FR"/>
        </w:rPr>
        <w:t xml:space="preserve">âge limite </w:t>
      </w:r>
      <w:r w:rsidR="0059463E">
        <w:rPr>
          <w:lang w:val="fr-FR"/>
        </w:rPr>
        <w:t xml:space="preserve">dans les écoles secondaires ou </w:t>
      </w:r>
      <w:r w:rsidR="00B33C05">
        <w:rPr>
          <w:lang w:val="fr-FR"/>
        </w:rPr>
        <w:t xml:space="preserve">les établissements d’enseignement supérieur </w:t>
      </w:r>
      <w:r w:rsidR="00B33C05">
        <w:rPr>
          <w:noProof/>
          <w:lang w:val="fr-FR"/>
        </w:rPr>
        <w:t xml:space="preserve">de la région de </w:t>
      </w:r>
      <w:r w:rsidRPr="00DD03D6">
        <w:rPr>
          <w:noProof/>
          <w:lang w:val="fr-FR"/>
        </w:rPr>
        <w:t xml:space="preserve">Dublin. </w:t>
      </w:r>
      <w:r w:rsidR="00B61737">
        <w:rPr>
          <w:noProof/>
          <w:lang w:val="fr-FR"/>
        </w:rPr>
        <w:t xml:space="preserve">Un bénévole est attaché à chaque </w:t>
      </w:r>
      <w:r w:rsidR="00B33C05">
        <w:rPr>
          <w:noProof/>
          <w:lang w:val="fr-FR"/>
        </w:rPr>
        <w:t>jeune</w:t>
      </w:r>
      <w:r w:rsidR="00B61737">
        <w:rPr>
          <w:noProof/>
          <w:lang w:val="fr-FR"/>
        </w:rPr>
        <w:t xml:space="preserve"> pour l’</w:t>
      </w:r>
      <w:r w:rsidR="00E77276">
        <w:rPr>
          <w:noProof/>
          <w:lang w:val="fr-FR"/>
        </w:rPr>
        <w:t xml:space="preserve">aider </w:t>
      </w:r>
      <w:r w:rsidR="00B61737">
        <w:rPr>
          <w:noProof/>
          <w:lang w:val="fr-FR"/>
        </w:rPr>
        <w:t xml:space="preserve">à </w:t>
      </w:r>
      <w:r w:rsidR="00E77276">
        <w:rPr>
          <w:noProof/>
          <w:lang w:val="fr-FR"/>
        </w:rPr>
        <w:t xml:space="preserve">faire </w:t>
      </w:r>
      <w:r w:rsidR="00B61737">
        <w:rPr>
          <w:noProof/>
          <w:lang w:val="fr-FR"/>
        </w:rPr>
        <w:t>ses</w:t>
      </w:r>
      <w:r w:rsidR="00E77276">
        <w:rPr>
          <w:noProof/>
          <w:lang w:val="fr-FR"/>
        </w:rPr>
        <w:t xml:space="preserve"> devoirs et </w:t>
      </w:r>
      <w:r w:rsidR="00B61737">
        <w:rPr>
          <w:noProof/>
          <w:lang w:val="fr-FR"/>
        </w:rPr>
        <w:t xml:space="preserve">à </w:t>
      </w:r>
      <w:r w:rsidR="00E77276">
        <w:rPr>
          <w:noProof/>
          <w:lang w:val="fr-FR"/>
        </w:rPr>
        <w:t xml:space="preserve">perfectionner </w:t>
      </w:r>
      <w:r w:rsidR="00F70C45">
        <w:rPr>
          <w:noProof/>
          <w:lang w:val="fr-FR"/>
        </w:rPr>
        <w:t xml:space="preserve">ses </w:t>
      </w:r>
      <w:r w:rsidR="00E77276">
        <w:rPr>
          <w:noProof/>
          <w:lang w:val="fr-FR"/>
        </w:rPr>
        <w:t>méthodes de travail</w:t>
      </w:r>
      <w:r w:rsidR="005D7533" w:rsidRPr="00DD03D6">
        <w:rPr>
          <w:noProof/>
          <w:lang w:val="fr-FR"/>
        </w:rPr>
        <w:t xml:space="preserve">. </w:t>
      </w:r>
      <w:r w:rsidR="00E77276">
        <w:rPr>
          <w:noProof/>
          <w:lang w:val="fr-FR"/>
        </w:rPr>
        <w:t xml:space="preserve">Beaucoup de bénévoles participent à ce programme depuis sa mise en place en </w:t>
      </w:r>
      <w:r w:rsidRPr="00DD03D6">
        <w:rPr>
          <w:noProof/>
          <w:lang w:val="fr-FR"/>
        </w:rPr>
        <w:t>2007.</w:t>
      </w:r>
    </w:p>
    <w:p w:rsidR="001B2F58" w:rsidRPr="00DD03D6" w:rsidRDefault="000448E3" w:rsidP="000448E3">
      <w:pPr>
        <w:pStyle w:val="H1G"/>
        <w:rPr>
          <w:noProof/>
          <w:lang w:val="fr-FR"/>
        </w:rPr>
      </w:pPr>
      <w:bookmarkStart w:id="61" w:name="_Toc356430893"/>
      <w:r w:rsidRPr="00DD03D6">
        <w:rPr>
          <w:noProof/>
          <w:lang w:val="fr-FR"/>
        </w:rPr>
        <w:lastRenderedPageBreak/>
        <w:tab/>
      </w:r>
      <w:r w:rsidR="001B2F58" w:rsidRPr="00DD03D6">
        <w:rPr>
          <w:noProof/>
          <w:lang w:val="fr-FR"/>
        </w:rPr>
        <w:t>C.</w:t>
      </w:r>
      <w:r w:rsidR="001B2F58" w:rsidRPr="00DD03D6">
        <w:rPr>
          <w:noProof/>
          <w:lang w:val="fr-FR"/>
        </w:rPr>
        <w:tab/>
      </w:r>
      <w:r w:rsidR="00F70C45">
        <w:rPr>
          <w:lang w:val="fr-FR"/>
        </w:rPr>
        <w:t>Droits culturels des enfants appartenant à des groupes autochtones et</w:t>
      </w:r>
      <w:r w:rsidR="00F70C45">
        <w:rPr>
          <w:lang w:val="fr-FR"/>
        </w:rPr>
        <w:br/>
        <w:t>minoritaires</w:t>
      </w:r>
      <w:bookmarkEnd w:id="61"/>
    </w:p>
    <w:p w:rsidR="001B2F58" w:rsidRPr="00DD03D6" w:rsidRDefault="00797D74" w:rsidP="00A21D2A">
      <w:pPr>
        <w:pStyle w:val="SingleTxtG"/>
        <w:numPr>
          <w:ilvl w:val="0"/>
          <w:numId w:val="3"/>
        </w:numPr>
        <w:ind w:left="1134" w:firstLine="0"/>
        <w:rPr>
          <w:noProof/>
          <w:lang w:val="fr-FR"/>
        </w:rPr>
      </w:pPr>
      <w:r>
        <w:rPr>
          <w:noProof/>
          <w:lang w:val="fr-FR"/>
        </w:rPr>
        <w:t>La Stratégie</w:t>
      </w:r>
      <w:r w:rsidR="00547E30">
        <w:rPr>
          <w:noProof/>
          <w:lang w:val="fr-FR"/>
        </w:rPr>
        <w:t xml:space="preserve"> </w:t>
      </w:r>
      <w:r>
        <w:rPr>
          <w:noProof/>
          <w:lang w:val="fr-FR"/>
        </w:rPr>
        <w:t xml:space="preserve">interculturelle en matière d’éducation pour </w:t>
      </w:r>
      <w:r w:rsidR="001B2F58" w:rsidRPr="00DD03D6">
        <w:rPr>
          <w:noProof/>
          <w:lang w:val="fr-FR"/>
        </w:rPr>
        <w:t xml:space="preserve">2010-2015 </w:t>
      </w:r>
      <w:r>
        <w:rPr>
          <w:noProof/>
          <w:lang w:val="fr-FR"/>
        </w:rPr>
        <w:t xml:space="preserve">reconnaît </w:t>
      </w:r>
      <w:r w:rsidR="001B2F58" w:rsidRPr="00DD03D6">
        <w:rPr>
          <w:noProof/>
          <w:lang w:val="fr-FR"/>
        </w:rPr>
        <w:t>exp</w:t>
      </w:r>
      <w:r>
        <w:rPr>
          <w:noProof/>
          <w:lang w:val="fr-FR"/>
        </w:rPr>
        <w:t xml:space="preserve">ressément le rôle clef que jouent la langue maternelle et la culture des enfants migrants </w:t>
      </w:r>
      <w:r w:rsidR="001B2F58" w:rsidRPr="00DD03D6">
        <w:rPr>
          <w:noProof/>
          <w:lang w:val="fr-FR"/>
        </w:rPr>
        <w:t>(</w:t>
      </w:r>
      <w:r>
        <w:rPr>
          <w:noProof/>
          <w:lang w:val="fr-FR"/>
        </w:rPr>
        <w:t xml:space="preserve">voir le </w:t>
      </w:r>
      <w:r w:rsidR="00A660EE" w:rsidRPr="00DD03D6">
        <w:rPr>
          <w:noProof/>
          <w:lang w:val="fr-FR"/>
        </w:rPr>
        <w:t>p</w:t>
      </w:r>
      <w:r w:rsidR="00796A7C" w:rsidRPr="00DD03D6">
        <w:rPr>
          <w:noProof/>
          <w:lang w:val="fr-FR"/>
        </w:rPr>
        <w:t>ar</w:t>
      </w:r>
      <w:r w:rsidR="00C439D5">
        <w:rPr>
          <w:noProof/>
          <w:lang w:val="fr-FR"/>
        </w:rPr>
        <w:t>agraphe</w:t>
      </w:r>
      <w:r w:rsidR="00796A7C" w:rsidRPr="00DD03D6">
        <w:rPr>
          <w:noProof/>
          <w:lang w:val="fr-FR"/>
        </w:rPr>
        <w:t> </w:t>
      </w:r>
      <w:r w:rsidR="00A21D2A" w:rsidRPr="00DD03D6">
        <w:rPr>
          <w:noProof/>
          <w:lang w:val="fr-FR"/>
        </w:rPr>
        <w:t>271</w:t>
      </w:r>
      <w:r w:rsidR="001B2F58" w:rsidRPr="00DD03D6">
        <w:rPr>
          <w:noProof/>
          <w:lang w:val="fr-FR"/>
        </w:rPr>
        <w:t xml:space="preserve">). </w:t>
      </w:r>
      <w:r w:rsidR="002E7113">
        <w:rPr>
          <w:noProof/>
          <w:lang w:val="fr-FR"/>
        </w:rPr>
        <w:t xml:space="preserve">L’une des mesures </w:t>
      </w:r>
      <w:r w:rsidR="001B2F58" w:rsidRPr="00DD03D6">
        <w:rPr>
          <w:noProof/>
          <w:lang w:val="fr-FR"/>
        </w:rPr>
        <w:t>concr</w:t>
      </w:r>
      <w:r w:rsidR="002E7113">
        <w:rPr>
          <w:noProof/>
          <w:lang w:val="fr-FR"/>
        </w:rPr>
        <w:t>ètes adoptée</w:t>
      </w:r>
      <w:r w:rsidR="00BB5A27">
        <w:rPr>
          <w:noProof/>
          <w:lang w:val="fr-FR"/>
        </w:rPr>
        <w:t>s</w:t>
      </w:r>
      <w:r w:rsidR="002E7113">
        <w:rPr>
          <w:noProof/>
          <w:lang w:val="fr-FR"/>
        </w:rPr>
        <w:t xml:space="preserve"> a trait à ce qu’il est convenu d’appeler</w:t>
      </w:r>
      <w:r w:rsidR="00547E30">
        <w:rPr>
          <w:noProof/>
          <w:lang w:val="fr-FR"/>
        </w:rPr>
        <w:t xml:space="preserve"> </w:t>
      </w:r>
      <w:r w:rsidR="00BB5A27">
        <w:rPr>
          <w:noProof/>
          <w:lang w:val="fr-FR"/>
        </w:rPr>
        <w:t xml:space="preserve">les </w:t>
      </w:r>
      <w:r w:rsidR="00547E30">
        <w:rPr>
          <w:noProof/>
          <w:lang w:val="fr-FR"/>
        </w:rPr>
        <w:t>« </w:t>
      </w:r>
      <w:r w:rsidR="00BB5A27">
        <w:rPr>
          <w:noProof/>
          <w:lang w:val="fr-FR"/>
        </w:rPr>
        <w:t>langues ne figurant pas au programme</w:t>
      </w:r>
      <w:r w:rsidR="00547E30">
        <w:rPr>
          <w:noProof/>
          <w:lang w:val="fr-FR"/>
        </w:rPr>
        <w:t> »</w:t>
      </w:r>
      <w:r w:rsidR="001B2F58" w:rsidRPr="00DD03D6">
        <w:rPr>
          <w:noProof/>
          <w:lang w:val="fr-FR"/>
        </w:rPr>
        <w:t xml:space="preserve">. </w:t>
      </w:r>
      <w:r w:rsidR="00BB5A27">
        <w:rPr>
          <w:noProof/>
          <w:lang w:val="fr-FR"/>
        </w:rPr>
        <w:t xml:space="preserve">Il </w:t>
      </w:r>
      <w:r w:rsidR="00BB5A27">
        <w:rPr>
          <w:lang w:val="fr-FR"/>
        </w:rPr>
        <w:t>s’agit des langues de l’UE qui ne figurent pas au programme scolaire normal, mais dans laquelle un élève peut présenter une épreuve linguistique si elle répond à certains critères.</w:t>
      </w:r>
      <w:r w:rsidR="001B2F58" w:rsidRPr="00DD03D6">
        <w:rPr>
          <w:noProof/>
          <w:lang w:val="fr-FR"/>
        </w:rPr>
        <w:t xml:space="preserve"> </w:t>
      </w:r>
      <w:r w:rsidR="00BB5A27">
        <w:rPr>
          <w:noProof/>
          <w:lang w:val="fr-FR"/>
        </w:rPr>
        <w:t>Ces langues viennent s’ajouter aux langues modernes, ainsi qu’à l’anglais et à l’irlandais, que tous les élèves peuvent présenter</w:t>
      </w:r>
      <w:r w:rsidR="001B2F58" w:rsidRPr="00DD03D6">
        <w:rPr>
          <w:noProof/>
          <w:lang w:val="fr-FR"/>
        </w:rPr>
        <w:t xml:space="preserve">. </w:t>
      </w:r>
      <w:r w:rsidR="00BB5A27">
        <w:rPr>
          <w:noProof/>
          <w:lang w:val="fr-FR"/>
        </w:rPr>
        <w:t xml:space="preserve">Le nombre </w:t>
      </w:r>
      <w:r w:rsidR="001B2F58" w:rsidRPr="00DD03D6">
        <w:rPr>
          <w:noProof/>
          <w:lang w:val="fr-FR"/>
        </w:rPr>
        <w:t xml:space="preserve">total </w:t>
      </w:r>
      <w:r w:rsidR="00BB5A27">
        <w:rPr>
          <w:noProof/>
          <w:lang w:val="fr-FR"/>
        </w:rPr>
        <w:t xml:space="preserve">de langues concernées est à présent de 15, contre neuf en </w:t>
      </w:r>
      <w:r w:rsidR="001B2F58" w:rsidRPr="00DD03D6">
        <w:rPr>
          <w:noProof/>
          <w:lang w:val="fr-FR"/>
        </w:rPr>
        <w:t>2005.</w:t>
      </w:r>
      <w:r w:rsidR="00BB5A27">
        <w:rPr>
          <w:noProof/>
          <w:lang w:val="fr-FR"/>
        </w:rPr>
        <w:t xml:space="preserve"> Le nombre de candidats ayant présenté des épreuves dans les langues ne figurant pas au programme a sensiblement augmenté en </w:t>
      </w:r>
      <w:r w:rsidR="001B2F58" w:rsidRPr="00DD03D6">
        <w:rPr>
          <w:noProof/>
          <w:lang w:val="fr-FR"/>
        </w:rPr>
        <w:t>2011</w:t>
      </w:r>
      <w:r w:rsidR="00BB5A27">
        <w:rPr>
          <w:noProof/>
          <w:lang w:val="fr-FR"/>
        </w:rPr>
        <w:t xml:space="preserve"> : ils ont été </w:t>
      </w:r>
      <w:r w:rsidR="001B2F58" w:rsidRPr="00DD03D6">
        <w:rPr>
          <w:noProof/>
          <w:lang w:val="fr-FR"/>
        </w:rPr>
        <w:t>1</w:t>
      </w:r>
      <w:r w:rsidR="00BB5A27">
        <w:rPr>
          <w:noProof/>
          <w:lang w:val="fr-FR"/>
        </w:rPr>
        <w:t> </w:t>
      </w:r>
      <w:r w:rsidR="001B2F58" w:rsidRPr="00DD03D6">
        <w:rPr>
          <w:noProof/>
          <w:lang w:val="fr-FR"/>
        </w:rPr>
        <w:t>262</w:t>
      </w:r>
      <w:r w:rsidR="00BB5A27">
        <w:rPr>
          <w:noProof/>
          <w:lang w:val="fr-FR"/>
        </w:rPr>
        <w:t xml:space="preserve"> au total</w:t>
      </w:r>
      <w:r w:rsidR="001B2F58" w:rsidRPr="00DD03D6">
        <w:rPr>
          <w:noProof/>
          <w:lang w:val="fr-FR"/>
        </w:rPr>
        <w:t>, co</w:t>
      </w:r>
      <w:r w:rsidR="00BB5A27">
        <w:rPr>
          <w:noProof/>
          <w:lang w:val="fr-FR"/>
        </w:rPr>
        <w:t xml:space="preserve">ntre </w:t>
      </w:r>
      <w:r w:rsidR="001B2F58" w:rsidRPr="00DD03D6">
        <w:rPr>
          <w:noProof/>
          <w:lang w:val="fr-FR"/>
        </w:rPr>
        <w:t>1</w:t>
      </w:r>
      <w:r w:rsidR="00DE5960">
        <w:rPr>
          <w:noProof/>
          <w:lang w:val="fr-FR"/>
        </w:rPr>
        <w:t> </w:t>
      </w:r>
      <w:r w:rsidR="001B2F58" w:rsidRPr="00DD03D6">
        <w:rPr>
          <w:noProof/>
          <w:lang w:val="fr-FR"/>
        </w:rPr>
        <w:t xml:space="preserve">050 </w:t>
      </w:r>
      <w:r w:rsidR="00BB5A27">
        <w:rPr>
          <w:noProof/>
          <w:lang w:val="fr-FR"/>
        </w:rPr>
        <w:t>e</w:t>
      </w:r>
      <w:r w:rsidR="001B2F58" w:rsidRPr="00DD03D6">
        <w:rPr>
          <w:noProof/>
          <w:lang w:val="fr-FR"/>
        </w:rPr>
        <w:t xml:space="preserve">n 2010 </w:t>
      </w:r>
      <w:r w:rsidR="00BB5A27">
        <w:rPr>
          <w:noProof/>
          <w:lang w:val="fr-FR"/>
        </w:rPr>
        <w:t>et</w:t>
      </w:r>
      <w:r w:rsidR="001B2F58" w:rsidRPr="00DD03D6">
        <w:rPr>
          <w:noProof/>
          <w:lang w:val="fr-FR"/>
        </w:rPr>
        <w:t xml:space="preserve"> 817 </w:t>
      </w:r>
      <w:r w:rsidR="00BB5A27">
        <w:rPr>
          <w:noProof/>
          <w:lang w:val="fr-FR"/>
        </w:rPr>
        <w:t>e</w:t>
      </w:r>
      <w:r w:rsidR="001B2F58" w:rsidRPr="00DD03D6">
        <w:rPr>
          <w:noProof/>
          <w:lang w:val="fr-FR"/>
        </w:rPr>
        <w:t>n 2009.</w:t>
      </w:r>
    </w:p>
    <w:p w:rsidR="001B2F58" w:rsidRPr="00DD03D6" w:rsidRDefault="00AC50A6" w:rsidP="00517596">
      <w:pPr>
        <w:pStyle w:val="SingleTxtG"/>
        <w:numPr>
          <w:ilvl w:val="0"/>
          <w:numId w:val="3"/>
        </w:numPr>
        <w:ind w:left="1134" w:firstLine="0"/>
        <w:rPr>
          <w:noProof/>
          <w:lang w:val="fr-FR"/>
        </w:rPr>
      </w:pPr>
      <w:r>
        <w:rPr>
          <w:noProof/>
          <w:lang w:val="fr-FR"/>
        </w:rPr>
        <w:t>Tous les élèves du primaire et du postprimaire étudient obligatoirement l’irlandais, à moins d’en avoir été expressément dispensés par le</w:t>
      </w:r>
      <w:r w:rsidR="001B2F58" w:rsidRPr="00DD03D6">
        <w:rPr>
          <w:noProof/>
          <w:lang w:val="fr-FR"/>
        </w:rPr>
        <w:t xml:space="preserve"> </w:t>
      </w:r>
      <w:r>
        <w:rPr>
          <w:noProof/>
          <w:lang w:val="fr-FR"/>
        </w:rPr>
        <w:t>Ministère de l’é</w:t>
      </w:r>
      <w:r w:rsidR="001B2F58" w:rsidRPr="00DD03D6">
        <w:rPr>
          <w:noProof/>
          <w:lang w:val="fr-FR"/>
        </w:rPr>
        <w:t xml:space="preserve">ducation </w:t>
      </w:r>
      <w:r>
        <w:rPr>
          <w:noProof/>
          <w:lang w:val="fr-FR"/>
        </w:rPr>
        <w:t>et de la formation</w:t>
      </w:r>
      <w:r w:rsidR="001B2F58" w:rsidRPr="00DD03D6">
        <w:rPr>
          <w:noProof/>
          <w:lang w:val="fr-FR"/>
        </w:rPr>
        <w:t xml:space="preserve">. </w:t>
      </w:r>
      <w:r>
        <w:rPr>
          <w:noProof/>
          <w:lang w:val="fr-FR"/>
        </w:rPr>
        <w:t>La Loi de 1998 sur l’é</w:t>
      </w:r>
      <w:r w:rsidR="001B2F58" w:rsidRPr="00DD03D6">
        <w:rPr>
          <w:noProof/>
          <w:lang w:val="fr-FR"/>
        </w:rPr>
        <w:t xml:space="preserve">ducation </w:t>
      </w:r>
      <w:r>
        <w:rPr>
          <w:noProof/>
          <w:lang w:val="fr-FR"/>
        </w:rPr>
        <w:t xml:space="preserve">énonce les </w:t>
      </w:r>
      <w:r w:rsidR="001B2F58" w:rsidRPr="00DD03D6">
        <w:rPr>
          <w:noProof/>
          <w:lang w:val="fr-FR"/>
        </w:rPr>
        <w:t>respons</w:t>
      </w:r>
      <w:r>
        <w:rPr>
          <w:noProof/>
          <w:lang w:val="fr-FR"/>
        </w:rPr>
        <w:t>abilité</w:t>
      </w:r>
      <w:r w:rsidR="001B2F58" w:rsidRPr="00DD03D6">
        <w:rPr>
          <w:noProof/>
          <w:lang w:val="fr-FR"/>
        </w:rPr>
        <w:t xml:space="preserve">s </w:t>
      </w:r>
      <w:r>
        <w:rPr>
          <w:noProof/>
          <w:lang w:val="fr-FR"/>
        </w:rPr>
        <w:t>concernant l’irlandais à l’école</w:t>
      </w:r>
      <w:r w:rsidR="001B2F58" w:rsidRPr="00DD03D6">
        <w:rPr>
          <w:noProof/>
          <w:lang w:val="fr-FR"/>
        </w:rPr>
        <w:t xml:space="preserve">. </w:t>
      </w:r>
      <w:r>
        <w:rPr>
          <w:noProof/>
          <w:lang w:val="fr-FR"/>
        </w:rPr>
        <w:t xml:space="preserve">Conformément à la demande </w:t>
      </w:r>
      <w:r w:rsidR="001B2F58" w:rsidRPr="00DD03D6">
        <w:rPr>
          <w:noProof/>
          <w:lang w:val="fr-FR"/>
        </w:rPr>
        <w:t>local</w:t>
      </w:r>
      <w:r>
        <w:rPr>
          <w:noProof/>
          <w:lang w:val="fr-FR"/>
        </w:rPr>
        <w:t>e</w:t>
      </w:r>
      <w:r w:rsidR="001B2F58" w:rsidRPr="00DD03D6">
        <w:rPr>
          <w:noProof/>
          <w:lang w:val="fr-FR"/>
        </w:rPr>
        <w:t xml:space="preserve">, </w:t>
      </w:r>
      <w:r>
        <w:rPr>
          <w:noProof/>
          <w:lang w:val="fr-FR"/>
        </w:rPr>
        <w:t>des écoles peuvent être créées dans lesquelles l’irlandais est la langue de l’enseignement</w:t>
      </w:r>
      <w:r w:rsidR="001B2F58" w:rsidRPr="00DD03D6">
        <w:rPr>
          <w:noProof/>
          <w:lang w:val="fr-FR"/>
        </w:rPr>
        <w:t xml:space="preserve">. </w:t>
      </w:r>
      <w:r>
        <w:rPr>
          <w:noProof/>
          <w:lang w:val="fr-FR"/>
        </w:rPr>
        <w:t xml:space="preserve">Depuis quelques décennies, le nombre de ces écoles en dehors des zones </w:t>
      </w:r>
      <w:r w:rsidR="001B2F58" w:rsidRPr="00DD03D6">
        <w:rPr>
          <w:noProof/>
          <w:lang w:val="fr-FR"/>
        </w:rPr>
        <w:t xml:space="preserve">Gaeltacht </w:t>
      </w:r>
      <w:r>
        <w:rPr>
          <w:noProof/>
          <w:lang w:val="fr-FR"/>
        </w:rPr>
        <w:t xml:space="preserve">augmente </w:t>
      </w:r>
      <w:r w:rsidR="00517596" w:rsidRPr="00DD03D6">
        <w:rPr>
          <w:noProof/>
          <w:lang w:val="fr-FR"/>
        </w:rPr>
        <w:t>(</w:t>
      </w:r>
      <w:r>
        <w:rPr>
          <w:noProof/>
          <w:lang w:val="fr-FR"/>
        </w:rPr>
        <w:t xml:space="preserve">voir le </w:t>
      </w:r>
      <w:r w:rsidR="00517596" w:rsidRPr="00DD03D6">
        <w:rPr>
          <w:noProof/>
          <w:lang w:val="fr-FR"/>
        </w:rPr>
        <w:t>par</w:t>
      </w:r>
      <w:r w:rsidR="00C439D5">
        <w:rPr>
          <w:noProof/>
          <w:lang w:val="fr-FR"/>
        </w:rPr>
        <w:t>agraphe</w:t>
      </w:r>
      <w:r w:rsidR="00517596" w:rsidRPr="00DD03D6">
        <w:rPr>
          <w:noProof/>
          <w:lang w:val="fr-FR"/>
        </w:rPr>
        <w:t xml:space="preserve"> 622)</w:t>
      </w:r>
      <w:r w:rsidR="001B2F58" w:rsidRPr="00DD03D6">
        <w:rPr>
          <w:noProof/>
          <w:lang w:val="fr-FR"/>
        </w:rPr>
        <w:t>.</w:t>
      </w:r>
    </w:p>
    <w:p w:rsidR="001B2F58" w:rsidRPr="00DD03D6" w:rsidRDefault="00AC50A6" w:rsidP="00E4251B">
      <w:pPr>
        <w:pStyle w:val="SingleTxtG"/>
        <w:numPr>
          <w:ilvl w:val="0"/>
          <w:numId w:val="3"/>
        </w:numPr>
        <w:ind w:left="1134" w:firstLine="0"/>
        <w:rPr>
          <w:noProof/>
          <w:lang w:val="fr-FR"/>
        </w:rPr>
      </w:pPr>
      <w:r>
        <w:rPr>
          <w:noProof/>
          <w:lang w:val="fr-FR"/>
        </w:rPr>
        <w:t>E</w:t>
      </w:r>
      <w:r w:rsidR="001B2F58" w:rsidRPr="00DD03D6">
        <w:rPr>
          <w:noProof/>
          <w:lang w:val="fr-FR"/>
        </w:rPr>
        <w:t xml:space="preserve">n 2010, </w:t>
      </w:r>
      <w:r w:rsidR="00202196">
        <w:rPr>
          <w:noProof/>
          <w:lang w:val="fr-FR"/>
        </w:rPr>
        <w:t xml:space="preserve">la </w:t>
      </w:r>
      <w:r w:rsidR="00202196" w:rsidRPr="00202196">
        <w:rPr>
          <w:i/>
          <w:lang w:val="fr-CH"/>
        </w:rPr>
        <w:t>Stratégie pour la langue irlandaise (2010-2030)</w:t>
      </w:r>
      <w:r w:rsidR="00202196">
        <w:rPr>
          <w:lang w:val="fr-CH"/>
        </w:rPr>
        <w:t xml:space="preserve"> </w:t>
      </w:r>
      <w:r w:rsidR="00202196">
        <w:rPr>
          <w:noProof/>
          <w:lang w:val="fr-FR"/>
        </w:rPr>
        <w:t>a été publiée</w:t>
      </w:r>
      <w:r w:rsidR="001B2F58" w:rsidRPr="00DD03D6">
        <w:rPr>
          <w:noProof/>
          <w:lang w:val="fr-FR"/>
        </w:rPr>
        <w:t xml:space="preserve">. </w:t>
      </w:r>
      <w:r w:rsidR="00202196">
        <w:rPr>
          <w:noProof/>
          <w:lang w:val="fr-FR"/>
        </w:rPr>
        <w:t xml:space="preserve">Elle s’appuie sur </w:t>
      </w:r>
      <w:r w:rsidR="00745400">
        <w:rPr>
          <w:noProof/>
          <w:lang w:val="fr-FR"/>
        </w:rPr>
        <w:t xml:space="preserve">la Déclaration du </w:t>
      </w:r>
      <w:r w:rsidR="001B2F58" w:rsidRPr="00DD03D6">
        <w:rPr>
          <w:noProof/>
          <w:lang w:val="fr-FR"/>
        </w:rPr>
        <w:t>Go</w:t>
      </w:r>
      <w:r w:rsidR="00745400">
        <w:rPr>
          <w:noProof/>
          <w:lang w:val="fr-FR"/>
        </w:rPr>
        <w:t>u</w:t>
      </w:r>
      <w:r w:rsidR="001B2F58" w:rsidRPr="00DD03D6">
        <w:rPr>
          <w:noProof/>
          <w:lang w:val="fr-FR"/>
        </w:rPr>
        <w:t>vern</w:t>
      </w:r>
      <w:r w:rsidR="00745400">
        <w:rPr>
          <w:noProof/>
          <w:lang w:val="fr-FR"/>
        </w:rPr>
        <w:t>e</w:t>
      </w:r>
      <w:r w:rsidR="001B2F58" w:rsidRPr="00DD03D6">
        <w:rPr>
          <w:noProof/>
          <w:lang w:val="fr-FR"/>
        </w:rPr>
        <w:t xml:space="preserve">ment </w:t>
      </w:r>
      <w:r w:rsidR="00745400">
        <w:rPr>
          <w:noProof/>
          <w:lang w:val="fr-FR"/>
        </w:rPr>
        <w:t xml:space="preserve">sur la langue irlandaise </w:t>
      </w:r>
      <w:r w:rsidR="001B2F58" w:rsidRPr="00DD03D6">
        <w:rPr>
          <w:noProof/>
          <w:lang w:val="fr-FR"/>
        </w:rPr>
        <w:t xml:space="preserve">(2006), </w:t>
      </w:r>
      <w:r w:rsidR="00745400">
        <w:rPr>
          <w:noProof/>
          <w:lang w:val="fr-FR"/>
        </w:rPr>
        <w:t xml:space="preserve">dont l’un des </w:t>
      </w:r>
      <w:r w:rsidR="001B2F58" w:rsidRPr="00DD03D6">
        <w:rPr>
          <w:noProof/>
          <w:lang w:val="fr-FR"/>
        </w:rPr>
        <w:t>objecti</w:t>
      </w:r>
      <w:r w:rsidR="00745400">
        <w:rPr>
          <w:noProof/>
          <w:lang w:val="fr-FR"/>
        </w:rPr>
        <w:t>f</w:t>
      </w:r>
      <w:r w:rsidR="001B2F58" w:rsidRPr="00DD03D6">
        <w:rPr>
          <w:noProof/>
          <w:lang w:val="fr-FR"/>
        </w:rPr>
        <w:t xml:space="preserve">s </w:t>
      </w:r>
      <w:r w:rsidR="00745400">
        <w:rPr>
          <w:noProof/>
          <w:lang w:val="fr-FR"/>
        </w:rPr>
        <w:t>consistait à offrir une éducation en irlandais de grande qualité à tous les élèves dont les parents ou tuteurs le souhaitaient</w:t>
      </w:r>
      <w:r w:rsidR="001B2F58" w:rsidRPr="00DD03D6">
        <w:rPr>
          <w:noProof/>
          <w:lang w:val="fr-FR"/>
        </w:rPr>
        <w:t xml:space="preserve">. </w:t>
      </w:r>
      <w:r w:rsidR="00745400">
        <w:rPr>
          <w:noProof/>
          <w:lang w:val="fr-FR"/>
        </w:rPr>
        <w:t xml:space="preserve">La </w:t>
      </w:r>
      <w:r w:rsidR="001B2F58" w:rsidRPr="00DD03D6">
        <w:rPr>
          <w:noProof/>
          <w:lang w:val="fr-FR"/>
        </w:rPr>
        <w:t>strat</w:t>
      </w:r>
      <w:r w:rsidR="00745400">
        <w:rPr>
          <w:noProof/>
          <w:lang w:val="fr-FR"/>
        </w:rPr>
        <w:t>égie note que le système éducatif est l’un des moteurs essentiels du développement des aptitudes linguistiques</w:t>
      </w:r>
      <w:r w:rsidR="00AA3223">
        <w:rPr>
          <w:noProof/>
          <w:lang w:val="fr-FR"/>
        </w:rPr>
        <w:t xml:space="preserve"> sur lesquelles elle repose</w:t>
      </w:r>
      <w:r w:rsidR="001B2F58" w:rsidRPr="00DD03D6">
        <w:rPr>
          <w:noProof/>
          <w:lang w:val="fr-FR"/>
        </w:rPr>
        <w:t xml:space="preserve">. </w:t>
      </w:r>
      <w:r w:rsidR="00AA3223">
        <w:rPr>
          <w:noProof/>
          <w:lang w:val="fr-FR"/>
        </w:rPr>
        <w:t xml:space="preserve">Dans son Programme pour </w:t>
      </w:r>
      <w:r w:rsidR="001B2F58" w:rsidRPr="00DD03D6">
        <w:rPr>
          <w:iCs/>
          <w:noProof/>
          <w:lang w:val="fr-FR"/>
        </w:rPr>
        <w:t>2011-2016</w:t>
      </w:r>
      <w:r w:rsidR="00AA3223">
        <w:rPr>
          <w:iCs/>
          <w:noProof/>
          <w:lang w:val="fr-FR"/>
        </w:rPr>
        <w:t xml:space="preserve">, le Gouvernement </w:t>
      </w:r>
      <w:r w:rsidR="00AA3223">
        <w:rPr>
          <w:noProof/>
          <w:lang w:val="fr-FR"/>
        </w:rPr>
        <w:t>appuie cette stratégie et s’emploiera à atteindre les objectifs réalisables qu’elle propose</w:t>
      </w:r>
      <w:r w:rsidR="001B2F58" w:rsidRPr="00DD03D6">
        <w:rPr>
          <w:noProof/>
          <w:lang w:val="fr-FR"/>
        </w:rPr>
        <w:t xml:space="preserve">. </w:t>
      </w:r>
      <w:r w:rsidR="00AA3223">
        <w:rPr>
          <w:noProof/>
          <w:lang w:val="fr-FR"/>
        </w:rPr>
        <w:t>En particulie</w:t>
      </w:r>
      <w:r w:rsidR="001B2F58" w:rsidRPr="00DD03D6">
        <w:rPr>
          <w:noProof/>
          <w:lang w:val="fr-FR"/>
        </w:rPr>
        <w:t xml:space="preserve">r, </w:t>
      </w:r>
      <w:r w:rsidR="00AA3223">
        <w:rPr>
          <w:noProof/>
          <w:lang w:val="fr-FR"/>
        </w:rPr>
        <w:t xml:space="preserve">les domaines de la formation des enseignants, de la réforme des programmes d’études primaires et </w:t>
      </w:r>
      <w:r w:rsidR="001B2F58" w:rsidRPr="00DD03D6">
        <w:rPr>
          <w:noProof/>
          <w:lang w:val="fr-FR"/>
        </w:rPr>
        <w:t>postprima</w:t>
      </w:r>
      <w:r w:rsidR="00AA3223">
        <w:rPr>
          <w:noProof/>
          <w:lang w:val="fr-FR"/>
        </w:rPr>
        <w:t>ires, et la réalisation de matériels didactiques en irlandais ont été priorisés dans cette première phase de la mise en œuvre de la stratégie</w:t>
      </w:r>
      <w:r w:rsidR="001B2F58" w:rsidRPr="00DD03D6">
        <w:rPr>
          <w:noProof/>
          <w:lang w:val="fr-FR"/>
        </w:rPr>
        <w:t>.</w:t>
      </w:r>
    </w:p>
    <w:p w:rsidR="001B2F58" w:rsidRPr="00DD03D6" w:rsidRDefault="00AA3223" w:rsidP="00E4251B">
      <w:pPr>
        <w:pStyle w:val="SingleTxtG"/>
        <w:numPr>
          <w:ilvl w:val="0"/>
          <w:numId w:val="3"/>
        </w:numPr>
        <w:ind w:left="1134" w:firstLine="0"/>
        <w:rPr>
          <w:noProof/>
          <w:lang w:val="fr-FR"/>
        </w:rPr>
      </w:pPr>
      <w:r>
        <w:rPr>
          <w:noProof/>
          <w:lang w:val="fr-FR"/>
        </w:rPr>
        <w:t xml:space="preserve">Le nombre des écoles des zones </w:t>
      </w:r>
      <w:r w:rsidR="001B2F58" w:rsidRPr="00DD03D6">
        <w:rPr>
          <w:noProof/>
          <w:lang w:val="fr-FR"/>
        </w:rPr>
        <w:t xml:space="preserve">Gaeltacht </w:t>
      </w:r>
      <w:r>
        <w:rPr>
          <w:noProof/>
          <w:lang w:val="fr-FR"/>
        </w:rPr>
        <w:t xml:space="preserve">a été ramené de </w:t>
      </w:r>
      <w:r w:rsidR="001B2F58" w:rsidRPr="00DD03D6">
        <w:rPr>
          <w:noProof/>
          <w:lang w:val="fr-FR"/>
        </w:rPr>
        <w:t xml:space="preserve">153 </w:t>
      </w:r>
      <w:r>
        <w:rPr>
          <w:noProof/>
          <w:lang w:val="fr-FR"/>
        </w:rPr>
        <w:t xml:space="preserve">à un peu plus de </w:t>
      </w:r>
      <w:r w:rsidR="001B2F58" w:rsidRPr="00DD03D6">
        <w:rPr>
          <w:noProof/>
          <w:lang w:val="fr-FR"/>
        </w:rPr>
        <w:t xml:space="preserve">100, </w:t>
      </w:r>
      <w:r>
        <w:rPr>
          <w:noProof/>
          <w:lang w:val="fr-FR"/>
        </w:rPr>
        <w:t xml:space="preserve">mais le nombre d’écoles où l’enseignement est dispensé en irlandais est passé de </w:t>
      </w:r>
      <w:r w:rsidR="001B2F58" w:rsidRPr="00DD03D6">
        <w:rPr>
          <w:noProof/>
          <w:lang w:val="fr-FR"/>
        </w:rPr>
        <w:t xml:space="preserve">20 </w:t>
      </w:r>
      <w:r>
        <w:rPr>
          <w:noProof/>
          <w:lang w:val="fr-FR"/>
        </w:rPr>
        <w:t>e</w:t>
      </w:r>
      <w:r w:rsidR="001B2F58" w:rsidRPr="00DD03D6">
        <w:rPr>
          <w:noProof/>
          <w:lang w:val="fr-FR"/>
        </w:rPr>
        <w:t>n 1975/</w:t>
      </w:r>
      <w:r>
        <w:rPr>
          <w:noProof/>
          <w:lang w:val="fr-FR"/>
        </w:rPr>
        <w:t>19</w:t>
      </w:r>
      <w:r w:rsidR="001B2F58" w:rsidRPr="00DD03D6">
        <w:rPr>
          <w:noProof/>
          <w:lang w:val="fr-FR"/>
        </w:rPr>
        <w:t xml:space="preserve">76 </w:t>
      </w:r>
      <w:r>
        <w:rPr>
          <w:noProof/>
          <w:lang w:val="fr-FR"/>
        </w:rPr>
        <w:t>à</w:t>
      </w:r>
      <w:r w:rsidR="001B2F58" w:rsidRPr="00DD03D6">
        <w:rPr>
          <w:noProof/>
          <w:lang w:val="fr-FR"/>
        </w:rPr>
        <w:t xml:space="preserve"> 141 </w:t>
      </w:r>
      <w:r>
        <w:rPr>
          <w:noProof/>
          <w:lang w:val="fr-FR"/>
        </w:rPr>
        <w:t>e</w:t>
      </w:r>
      <w:r w:rsidR="001B2F58" w:rsidRPr="00DD03D6">
        <w:rPr>
          <w:noProof/>
          <w:lang w:val="fr-FR"/>
        </w:rPr>
        <w:t>n 2011/</w:t>
      </w:r>
      <w:r>
        <w:rPr>
          <w:noProof/>
          <w:lang w:val="fr-FR"/>
        </w:rPr>
        <w:t>20</w:t>
      </w:r>
      <w:r w:rsidR="001B2F58" w:rsidRPr="00DD03D6">
        <w:rPr>
          <w:noProof/>
          <w:lang w:val="fr-FR"/>
        </w:rPr>
        <w:t>12.</w:t>
      </w:r>
    </w:p>
    <w:p w:rsidR="001B2F58" w:rsidRPr="00DD03D6" w:rsidRDefault="000448E3" w:rsidP="000448E3">
      <w:pPr>
        <w:pStyle w:val="H1G"/>
        <w:rPr>
          <w:noProof/>
          <w:lang w:val="fr-FR"/>
        </w:rPr>
      </w:pPr>
      <w:bookmarkStart w:id="62" w:name="_Toc356430894"/>
      <w:r w:rsidRPr="00DD03D6">
        <w:rPr>
          <w:noProof/>
          <w:lang w:val="fr-FR"/>
        </w:rPr>
        <w:tab/>
      </w:r>
      <w:r w:rsidR="001B2F58" w:rsidRPr="00DD03D6">
        <w:rPr>
          <w:noProof/>
          <w:lang w:val="fr-FR"/>
        </w:rPr>
        <w:t>D.</w:t>
      </w:r>
      <w:r w:rsidR="001B2F58" w:rsidRPr="00DD03D6">
        <w:rPr>
          <w:noProof/>
          <w:lang w:val="fr-FR"/>
        </w:rPr>
        <w:tab/>
      </w:r>
      <w:bookmarkEnd w:id="62"/>
      <w:r w:rsidR="00AA3223">
        <w:rPr>
          <w:noProof/>
          <w:lang w:val="fr-FR"/>
        </w:rPr>
        <w:t>É</w:t>
      </w:r>
      <w:r w:rsidR="00AA3223" w:rsidRPr="00DD03D6">
        <w:rPr>
          <w:noProof/>
          <w:lang w:val="fr-FR"/>
        </w:rPr>
        <w:t xml:space="preserve">ducation </w:t>
      </w:r>
      <w:r w:rsidR="00AA3223">
        <w:rPr>
          <w:noProof/>
          <w:lang w:val="fr-FR"/>
        </w:rPr>
        <w:t xml:space="preserve">aux droits de l’homme et éducation </w:t>
      </w:r>
      <w:r w:rsidR="00AA3223" w:rsidRPr="00DD03D6">
        <w:rPr>
          <w:noProof/>
          <w:lang w:val="fr-FR"/>
        </w:rPr>
        <w:t>civi</w:t>
      </w:r>
      <w:r w:rsidR="00AA3223">
        <w:rPr>
          <w:noProof/>
          <w:lang w:val="fr-FR"/>
        </w:rPr>
        <w:t>que</w:t>
      </w:r>
    </w:p>
    <w:p w:rsidR="001B2F58" w:rsidRPr="00DD03D6" w:rsidRDefault="00C139AB" w:rsidP="00D03BA6">
      <w:pPr>
        <w:pStyle w:val="SingleTxtG"/>
        <w:numPr>
          <w:ilvl w:val="0"/>
          <w:numId w:val="3"/>
        </w:numPr>
        <w:ind w:left="1134" w:firstLine="0"/>
        <w:rPr>
          <w:noProof/>
          <w:lang w:val="fr-FR"/>
        </w:rPr>
      </w:pPr>
      <w:r>
        <w:rPr>
          <w:noProof/>
          <w:lang w:val="fr-FR"/>
        </w:rPr>
        <w:t>Dans l’enseignement primaire, le programme d’éducation s</w:t>
      </w:r>
      <w:r w:rsidR="001B2F58" w:rsidRPr="00DD03D6">
        <w:rPr>
          <w:noProof/>
          <w:lang w:val="fr-FR"/>
        </w:rPr>
        <w:t>ocial</w:t>
      </w:r>
      <w:r>
        <w:rPr>
          <w:noProof/>
          <w:lang w:val="fr-FR"/>
        </w:rPr>
        <w:t>e</w:t>
      </w:r>
      <w:r w:rsidR="001B2F58" w:rsidRPr="00DD03D6">
        <w:rPr>
          <w:noProof/>
          <w:lang w:val="fr-FR"/>
        </w:rPr>
        <w:t xml:space="preserve">, </w:t>
      </w:r>
      <w:r>
        <w:rPr>
          <w:noProof/>
          <w:lang w:val="fr-FR"/>
        </w:rPr>
        <w:t>p</w:t>
      </w:r>
      <w:r w:rsidR="001B2F58" w:rsidRPr="00DD03D6">
        <w:rPr>
          <w:noProof/>
          <w:lang w:val="fr-FR"/>
        </w:rPr>
        <w:t>erson</w:t>
      </w:r>
      <w:r>
        <w:rPr>
          <w:noProof/>
          <w:lang w:val="fr-FR"/>
        </w:rPr>
        <w:t xml:space="preserve">nelle et sanitaire repose sur trois volets </w:t>
      </w:r>
      <w:r w:rsidR="001B2F58" w:rsidRPr="00DD03D6">
        <w:rPr>
          <w:noProof/>
          <w:lang w:val="fr-FR"/>
        </w:rPr>
        <w:t xml:space="preserve">– </w:t>
      </w:r>
      <w:r>
        <w:rPr>
          <w:noProof/>
          <w:lang w:val="fr-FR"/>
        </w:rPr>
        <w:t>moi</w:t>
      </w:r>
      <w:r w:rsidR="005D7533" w:rsidRPr="00DD03D6">
        <w:rPr>
          <w:noProof/>
          <w:lang w:val="fr-FR"/>
        </w:rPr>
        <w:t xml:space="preserve">, </w:t>
      </w:r>
      <w:r>
        <w:rPr>
          <w:noProof/>
          <w:lang w:val="fr-FR"/>
        </w:rPr>
        <w:t xml:space="preserve">moi et autrui, et moi et le reste du monde </w:t>
      </w:r>
      <w:r w:rsidR="001B2F58" w:rsidRPr="00DD03D6">
        <w:rPr>
          <w:noProof/>
          <w:lang w:val="fr-FR"/>
        </w:rPr>
        <w:t xml:space="preserve">– </w:t>
      </w:r>
      <w:r>
        <w:rPr>
          <w:noProof/>
          <w:lang w:val="fr-FR"/>
        </w:rPr>
        <w:t>et traite de questions telles que la prise de décisions, le développement de la confiance en soi, le fait de grandir et de changer, la sécurité personnelle</w:t>
      </w:r>
      <w:r w:rsidR="001B2F58" w:rsidRPr="00DD03D6">
        <w:rPr>
          <w:noProof/>
          <w:lang w:val="fr-FR"/>
        </w:rPr>
        <w:t xml:space="preserve">, </w:t>
      </w:r>
      <w:r>
        <w:rPr>
          <w:noProof/>
          <w:lang w:val="fr-FR"/>
        </w:rPr>
        <w:t xml:space="preserve">les </w:t>
      </w:r>
      <w:r w:rsidR="001B2F58" w:rsidRPr="00DD03D6">
        <w:rPr>
          <w:noProof/>
          <w:lang w:val="fr-FR"/>
        </w:rPr>
        <w:t>relati</w:t>
      </w:r>
      <w:r>
        <w:rPr>
          <w:noProof/>
          <w:lang w:val="fr-FR"/>
        </w:rPr>
        <w:t>ons avec les amis, la famille et les autres, la gesti</w:t>
      </w:r>
      <w:r w:rsidR="00097135">
        <w:rPr>
          <w:noProof/>
          <w:lang w:val="fr-FR"/>
        </w:rPr>
        <w:t>o</w:t>
      </w:r>
      <w:r>
        <w:rPr>
          <w:noProof/>
          <w:lang w:val="fr-FR"/>
        </w:rPr>
        <w:t>n des conflits</w:t>
      </w:r>
      <w:r w:rsidR="001B2F58" w:rsidRPr="00DD03D6">
        <w:rPr>
          <w:noProof/>
          <w:lang w:val="fr-FR"/>
        </w:rPr>
        <w:t xml:space="preserve">, </w:t>
      </w:r>
      <w:r>
        <w:rPr>
          <w:noProof/>
          <w:lang w:val="fr-FR"/>
        </w:rPr>
        <w:t xml:space="preserve">le respect des </w:t>
      </w:r>
      <w:r w:rsidR="001B2F58" w:rsidRPr="00DD03D6">
        <w:rPr>
          <w:noProof/>
          <w:lang w:val="fr-FR"/>
        </w:rPr>
        <w:t>diff</w:t>
      </w:r>
      <w:r>
        <w:rPr>
          <w:noProof/>
          <w:lang w:val="fr-FR"/>
        </w:rPr>
        <w:t>é</w:t>
      </w:r>
      <w:r w:rsidR="001B2F58" w:rsidRPr="00DD03D6">
        <w:rPr>
          <w:noProof/>
          <w:lang w:val="fr-FR"/>
        </w:rPr>
        <w:t>ren</w:t>
      </w:r>
      <w:r w:rsidR="005D7533" w:rsidRPr="00DD03D6">
        <w:rPr>
          <w:noProof/>
          <w:lang w:val="fr-FR"/>
        </w:rPr>
        <w:t>ce</w:t>
      </w:r>
      <w:r>
        <w:rPr>
          <w:noProof/>
          <w:lang w:val="fr-FR"/>
        </w:rPr>
        <w:t>s</w:t>
      </w:r>
      <w:r w:rsidR="005D7533" w:rsidRPr="00DD03D6">
        <w:rPr>
          <w:noProof/>
          <w:lang w:val="fr-FR"/>
        </w:rPr>
        <w:t xml:space="preserve">, </w:t>
      </w:r>
      <w:r>
        <w:rPr>
          <w:noProof/>
          <w:lang w:val="fr-FR"/>
        </w:rPr>
        <w:t>et la vigilance face aux brimades</w:t>
      </w:r>
      <w:r w:rsidR="005D7533" w:rsidRPr="00DD03D6">
        <w:rPr>
          <w:noProof/>
          <w:lang w:val="fr-FR"/>
        </w:rPr>
        <w:t xml:space="preserve">. </w:t>
      </w:r>
      <w:r>
        <w:rPr>
          <w:noProof/>
          <w:lang w:val="fr-FR"/>
        </w:rPr>
        <w:t xml:space="preserve">Le volet « Moi et le reste du monde » est conçu pour promouvoir un sentiment de responsabilité sociale, </w:t>
      </w:r>
      <w:r w:rsidR="00097135">
        <w:rPr>
          <w:noProof/>
          <w:lang w:val="fr-FR"/>
        </w:rPr>
        <w:t xml:space="preserve">la citoyenneté active, </w:t>
      </w:r>
      <w:r w:rsidR="00097135">
        <w:rPr>
          <w:lang w:val="fr-FR"/>
        </w:rPr>
        <w:t>l’appréciation de la diversité et l’interdépendance qui existe entre communautés locales, nationales et mondiale</w:t>
      </w:r>
      <w:r w:rsidR="001B2F58" w:rsidRPr="00DD03D6">
        <w:rPr>
          <w:noProof/>
          <w:lang w:val="fr-FR"/>
        </w:rPr>
        <w:t>.</w:t>
      </w:r>
    </w:p>
    <w:p w:rsidR="001B2F58" w:rsidRDefault="00097135" w:rsidP="00D03BA6">
      <w:pPr>
        <w:pStyle w:val="SingleTxtG"/>
        <w:numPr>
          <w:ilvl w:val="0"/>
          <w:numId w:val="3"/>
        </w:numPr>
        <w:ind w:left="1134" w:firstLine="0"/>
        <w:rPr>
          <w:noProof/>
          <w:lang w:val="fr-FR"/>
        </w:rPr>
      </w:pPr>
      <w:r>
        <w:rPr>
          <w:noProof/>
          <w:lang w:val="fr-FR"/>
        </w:rPr>
        <w:t>L’éducation c</w:t>
      </w:r>
      <w:r w:rsidR="001B2F58" w:rsidRPr="00DD03D6">
        <w:rPr>
          <w:noProof/>
          <w:lang w:val="fr-FR"/>
        </w:rPr>
        <w:t>ivi</w:t>
      </w:r>
      <w:r>
        <w:rPr>
          <w:noProof/>
          <w:lang w:val="fr-FR"/>
        </w:rPr>
        <w:t>que</w:t>
      </w:r>
      <w:r w:rsidR="001B2F58" w:rsidRPr="00DD03D6">
        <w:rPr>
          <w:noProof/>
          <w:lang w:val="fr-FR"/>
        </w:rPr>
        <w:t xml:space="preserve">, </w:t>
      </w:r>
      <w:r>
        <w:rPr>
          <w:noProof/>
          <w:lang w:val="fr-FR"/>
        </w:rPr>
        <w:t>s</w:t>
      </w:r>
      <w:r w:rsidR="001B2F58" w:rsidRPr="00DD03D6">
        <w:rPr>
          <w:noProof/>
          <w:lang w:val="fr-FR"/>
        </w:rPr>
        <w:t>ocial</w:t>
      </w:r>
      <w:r>
        <w:rPr>
          <w:noProof/>
          <w:lang w:val="fr-FR"/>
        </w:rPr>
        <w:t>e</w:t>
      </w:r>
      <w:r w:rsidR="001B2F58" w:rsidRPr="00DD03D6">
        <w:rPr>
          <w:noProof/>
          <w:lang w:val="fr-FR"/>
        </w:rPr>
        <w:t xml:space="preserve"> </w:t>
      </w:r>
      <w:r>
        <w:rPr>
          <w:noProof/>
          <w:lang w:val="fr-FR"/>
        </w:rPr>
        <w:t>et</w:t>
      </w:r>
      <w:r w:rsidR="001B2F58" w:rsidRPr="00DD03D6">
        <w:rPr>
          <w:noProof/>
          <w:lang w:val="fr-FR"/>
        </w:rPr>
        <w:t xml:space="preserve"> </w:t>
      </w:r>
      <w:r>
        <w:rPr>
          <w:noProof/>
          <w:lang w:val="fr-FR"/>
        </w:rPr>
        <w:t>p</w:t>
      </w:r>
      <w:r w:rsidR="001B2F58" w:rsidRPr="00DD03D6">
        <w:rPr>
          <w:noProof/>
          <w:lang w:val="fr-FR"/>
        </w:rPr>
        <w:t>oliti</w:t>
      </w:r>
      <w:r>
        <w:rPr>
          <w:noProof/>
          <w:lang w:val="fr-FR"/>
        </w:rPr>
        <w:t xml:space="preserve">que </w:t>
      </w:r>
      <w:r w:rsidR="007060C1">
        <w:rPr>
          <w:noProof/>
          <w:lang w:val="fr-FR"/>
        </w:rPr>
        <w:t>est une matière à examen et inscrite au programme de base du premier cycle de l’enseignement secondaire</w:t>
      </w:r>
      <w:r w:rsidR="001B2F58" w:rsidRPr="00DD03D6">
        <w:rPr>
          <w:noProof/>
          <w:lang w:val="fr-FR"/>
        </w:rPr>
        <w:t xml:space="preserve">. </w:t>
      </w:r>
      <w:r w:rsidR="007060C1">
        <w:rPr>
          <w:noProof/>
          <w:lang w:val="fr-FR"/>
        </w:rPr>
        <w:t xml:space="preserve">Tout au long du programme, l’accent est mis sur le travail en classe actif et participatif qui encourage l’apprentissage par la pratique et privilégie la </w:t>
      </w:r>
      <w:r w:rsidR="001B2F58" w:rsidRPr="00DD03D6">
        <w:rPr>
          <w:noProof/>
          <w:lang w:val="fr-FR"/>
        </w:rPr>
        <w:t>re</w:t>
      </w:r>
      <w:r w:rsidR="007060C1">
        <w:rPr>
          <w:noProof/>
          <w:lang w:val="fr-FR"/>
        </w:rPr>
        <w:t>cherche</w:t>
      </w:r>
      <w:r w:rsidR="001B2F58" w:rsidRPr="00DD03D6">
        <w:rPr>
          <w:noProof/>
          <w:lang w:val="fr-FR"/>
        </w:rPr>
        <w:t xml:space="preserve">, </w:t>
      </w:r>
      <w:r w:rsidR="007060C1">
        <w:rPr>
          <w:noProof/>
          <w:lang w:val="fr-FR"/>
        </w:rPr>
        <w:t>le travail de groupe</w:t>
      </w:r>
      <w:r w:rsidR="001B2F58" w:rsidRPr="00DD03D6">
        <w:rPr>
          <w:noProof/>
          <w:lang w:val="fr-FR"/>
        </w:rPr>
        <w:t xml:space="preserve">, </w:t>
      </w:r>
      <w:r w:rsidR="007060C1">
        <w:rPr>
          <w:noProof/>
          <w:lang w:val="fr-FR"/>
        </w:rPr>
        <w:t>et les activités de « </w:t>
      </w:r>
      <w:r w:rsidR="001B2F58" w:rsidRPr="00DD03D6">
        <w:rPr>
          <w:noProof/>
          <w:lang w:val="fr-FR"/>
        </w:rPr>
        <w:t xml:space="preserve">simulation </w:t>
      </w:r>
      <w:r w:rsidR="007060C1">
        <w:rPr>
          <w:noProof/>
          <w:lang w:val="fr-FR"/>
        </w:rPr>
        <w:t>et</w:t>
      </w:r>
      <w:r w:rsidR="001B2F58" w:rsidRPr="00DD03D6">
        <w:rPr>
          <w:noProof/>
          <w:lang w:val="fr-FR"/>
        </w:rPr>
        <w:t xml:space="preserve"> action</w:t>
      </w:r>
      <w:r w:rsidR="007060C1">
        <w:rPr>
          <w:noProof/>
          <w:lang w:val="fr-FR"/>
        </w:rPr>
        <w:t> »</w:t>
      </w:r>
      <w:r w:rsidR="001B2F58" w:rsidRPr="00DD03D6">
        <w:rPr>
          <w:noProof/>
          <w:lang w:val="fr-FR"/>
        </w:rPr>
        <w:t xml:space="preserve">. </w:t>
      </w:r>
      <w:r w:rsidR="007060C1">
        <w:rPr>
          <w:noProof/>
          <w:lang w:val="fr-FR"/>
        </w:rPr>
        <w:t xml:space="preserve">L’un des principaux objectifs consiste à inculquer aux élèves le sens de sept concepts principaux </w:t>
      </w:r>
      <w:r w:rsidR="001B2F58" w:rsidRPr="00DD03D6">
        <w:rPr>
          <w:noProof/>
          <w:lang w:val="fr-FR"/>
        </w:rPr>
        <w:t>: d</w:t>
      </w:r>
      <w:r w:rsidR="007060C1">
        <w:rPr>
          <w:noProof/>
          <w:lang w:val="fr-FR"/>
        </w:rPr>
        <w:t>é</w:t>
      </w:r>
      <w:r w:rsidR="001B2F58" w:rsidRPr="00DD03D6">
        <w:rPr>
          <w:noProof/>
          <w:lang w:val="fr-FR"/>
        </w:rPr>
        <w:t>mocra</w:t>
      </w:r>
      <w:r w:rsidR="007060C1">
        <w:rPr>
          <w:noProof/>
          <w:lang w:val="fr-FR"/>
        </w:rPr>
        <w:t>tie</w:t>
      </w:r>
      <w:r w:rsidR="001B2F58" w:rsidRPr="00DD03D6">
        <w:rPr>
          <w:noProof/>
          <w:lang w:val="fr-FR"/>
        </w:rPr>
        <w:t xml:space="preserve">, </w:t>
      </w:r>
      <w:r w:rsidR="007060C1">
        <w:rPr>
          <w:noProof/>
          <w:lang w:val="fr-FR"/>
        </w:rPr>
        <w:t xml:space="preserve">droits et </w:t>
      </w:r>
      <w:r w:rsidR="001B2F58" w:rsidRPr="00DD03D6">
        <w:rPr>
          <w:noProof/>
          <w:lang w:val="fr-FR"/>
        </w:rPr>
        <w:t>respons</w:t>
      </w:r>
      <w:r w:rsidR="007060C1">
        <w:rPr>
          <w:noProof/>
          <w:lang w:val="fr-FR"/>
        </w:rPr>
        <w:t>a</w:t>
      </w:r>
      <w:r w:rsidR="001B2F58" w:rsidRPr="00DD03D6">
        <w:rPr>
          <w:noProof/>
          <w:lang w:val="fr-FR"/>
        </w:rPr>
        <w:t>bilit</w:t>
      </w:r>
      <w:r w:rsidR="007060C1">
        <w:rPr>
          <w:noProof/>
          <w:lang w:val="fr-FR"/>
        </w:rPr>
        <w:t>é</w:t>
      </w:r>
      <w:r w:rsidR="001B2F58" w:rsidRPr="00DD03D6">
        <w:rPr>
          <w:noProof/>
          <w:lang w:val="fr-FR"/>
        </w:rPr>
        <w:t xml:space="preserve">s, </w:t>
      </w:r>
      <w:r w:rsidR="00967538">
        <w:rPr>
          <w:noProof/>
          <w:lang w:val="fr-FR"/>
        </w:rPr>
        <w:t>dignité humaine,</w:t>
      </w:r>
      <w:r w:rsidR="00967538" w:rsidRPr="00DD03D6">
        <w:rPr>
          <w:noProof/>
          <w:lang w:val="fr-FR"/>
        </w:rPr>
        <w:t xml:space="preserve"> </w:t>
      </w:r>
      <w:r w:rsidR="00967538" w:rsidRPr="00DD03D6">
        <w:rPr>
          <w:noProof/>
          <w:lang w:val="fr-FR"/>
        </w:rPr>
        <w:lastRenderedPageBreak/>
        <w:t>interd</w:t>
      </w:r>
      <w:r w:rsidR="00967538">
        <w:rPr>
          <w:noProof/>
          <w:lang w:val="fr-FR"/>
        </w:rPr>
        <w:t>é</w:t>
      </w:r>
      <w:r w:rsidR="00967538" w:rsidRPr="00DD03D6">
        <w:rPr>
          <w:noProof/>
          <w:lang w:val="fr-FR"/>
        </w:rPr>
        <w:t>pend</w:t>
      </w:r>
      <w:r w:rsidR="00967538">
        <w:rPr>
          <w:noProof/>
          <w:lang w:val="fr-FR"/>
        </w:rPr>
        <w:t>a</w:t>
      </w:r>
      <w:r w:rsidR="00967538" w:rsidRPr="00DD03D6">
        <w:rPr>
          <w:noProof/>
          <w:lang w:val="fr-FR"/>
        </w:rPr>
        <w:t>nce</w:t>
      </w:r>
      <w:r w:rsidR="00967538">
        <w:rPr>
          <w:noProof/>
          <w:lang w:val="fr-FR"/>
        </w:rPr>
        <w:t>,</w:t>
      </w:r>
      <w:r w:rsidR="00967538" w:rsidRPr="00DD03D6">
        <w:rPr>
          <w:noProof/>
          <w:lang w:val="fr-FR"/>
        </w:rPr>
        <w:t xml:space="preserve"> d</w:t>
      </w:r>
      <w:r w:rsidR="00967538">
        <w:rPr>
          <w:noProof/>
          <w:lang w:val="fr-FR"/>
        </w:rPr>
        <w:t>é</w:t>
      </w:r>
      <w:r w:rsidR="00967538" w:rsidRPr="00DD03D6">
        <w:rPr>
          <w:noProof/>
          <w:lang w:val="fr-FR"/>
        </w:rPr>
        <w:t>velop</w:t>
      </w:r>
      <w:r w:rsidR="00967538">
        <w:rPr>
          <w:noProof/>
          <w:lang w:val="fr-FR"/>
        </w:rPr>
        <w:t>pe</w:t>
      </w:r>
      <w:r w:rsidR="00967538" w:rsidRPr="00DD03D6">
        <w:rPr>
          <w:noProof/>
          <w:lang w:val="fr-FR"/>
        </w:rPr>
        <w:t>ment</w:t>
      </w:r>
      <w:r w:rsidR="00967538">
        <w:rPr>
          <w:noProof/>
          <w:lang w:val="fr-FR"/>
        </w:rPr>
        <w:t>,</w:t>
      </w:r>
      <w:r w:rsidR="00967538" w:rsidRPr="00DD03D6">
        <w:rPr>
          <w:noProof/>
          <w:lang w:val="fr-FR"/>
        </w:rPr>
        <w:t xml:space="preserve"> </w:t>
      </w:r>
      <w:r w:rsidR="00521807">
        <w:rPr>
          <w:noProof/>
          <w:lang w:val="fr-FR"/>
        </w:rPr>
        <w:t>loi</w:t>
      </w:r>
      <w:r w:rsidR="00967538" w:rsidRPr="00DD03D6">
        <w:rPr>
          <w:noProof/>
          <w:lang w:val="fr-FR"/>
        </w:rPr>
        <w:t xml:space="preserve"> </w:t>
      </w:r>
      <w:r w:rsidR="00967538">
        <w:rPr>
          <w:noProof/>
          <w:lang w:val="fr-FR"/>
        </w:rPr>
        <w:t>et conduite des affaires</w:t>
      </w:r>
      <w:r w:rsidR="001B2F58" w:rsidRPr="00DD03D6">
        <w:rPr>
          <w:noProof/>
          <w:lang w:val="fr-FR"/>
        </w:rPr>
        <w:t xml:space="preserve">. </w:t>
      </w:r>
      <w:r w:rsidR="00E932AE">
        <w:rPr>
          <w:noProof/>
          <w:lang w:val="fr-FR"/>
        </w:rPr>
        <w:t>Le programme est structuré de façon à permet</w:t>
      </w:r>
      <w:r w:rsidR="00D63CBA">
        <w:rPr>
          <w:noProof/>
          <w:lang w:val="fr-FR"/>
        </w:rPr>
        <w:t>t</w:t>
      </w:r>
      <w:r w:rsidR="00E932AE">
        <w:rPr>
          <w:noProof/>
          <w:lang w:val="fr-FR"/>
        </w:rPr>
        <w:t>re aux enseignants d’aborder des questions telles que l’égalité des sexes, le</w:t>
      </w:r>
      <w:r w:rsidR="001B2F58" w:rsidRPr="00DD03D6">
        <w:rPr>
          <w:noProof/>
          <w:lang w:val="fr-FR"/>
        </w:rPr>
        <w:t xml:space="preserve"> racism</w:t>
      </w:r>
      <w:r w:rsidR="00E932AE">
        <w:rPr>
          <w:noProof/>
          <w:lang w:val="fr-FR"/>
        </w:rPr>
        <w:t>e</w:t>
      </w:r>
      <w:r w:rsidR="001B2F58" w:rsidRPr="00DD03D6">
        <w:rPr>
          <w:noProof/>
          <w:lang w:val="fr-FR"/>
        </w:rPr>
        <w:t xml:space="preserve">, </w:t>
      </w:r>
      <w:r w:rsidR="00E932AE">
        <w:rPr>
          <w:noProof/>
          <w:lang w:val="fr-FR"/>
        </w:rPr>
        <w:t>l’</w:t>
      </w:r>
      <w:r w:rsidR="001B2F58" w:rsidRPr="00DD03D6">
        <w:rPr>
          <w:noProof/>
          <w:lang w:val="fr-FR"/>
        </w:rPr>
        <w:t>interculturalism</w:t>
      </w:r>
      <w:r w:rsidR="00E932AE">
        <w:rPr>
          <w:noProof/>
          <w:lang w:val="fr-FR"/>
        </w:rPr>
        <w:t>e</w:t>
      </w:r>
      <w:r w:rsidR="001B2F58" w:rsidRPr="00DD03D6">
        <w:rPr>
          <w:noProof/>
          <w:lang w:val="fr-FR"/>
        </w:rPr>
        <w:t xml:space="preserve">, </w:t>
      </w:r>
      <w:r w:rsidR="00523DB9">
        <w:rPr>
          <w:noProof/>
          <w:lang w:val="fr-FR"/>
        </w:rPr>
        <w:t>la protection de l’environmental</w:t>
      </w:r>
      <w:r w:rsidR="001B2F58" w:rsidRPr="00DD03D6">
        <w:rPr>
          <w:noProof/>
          <w:lang w:val="fr-FR"/>
        </w:rPr>
        <w:t xml:space="preserve">, </w:t>
      </w:r>
      <w:r w:rsidR="00523DB9">
        <w:rPr>
          <w:noProof/>
          <w:lang w:val="fr-FR"/>
        </w:rPr>
        <w:t>l’éducation pour le développement</w:t>
      </w:r>
      <w:r w:rsidR="001B2F58" w:rsidRPr="00DD03D6">
        <w:rPr>
          <w:noProof/>
          <w:lang w:val="fr-FR"/>
        </w:rPr>
        <w:t xml:space="preserve">, </w:t>
      </w:r>
      <w:r w:rsidR="00523DB9">
        <w:rPr>
          <w:noProof/>
          <w:lang w:val="fr-FR"/>
        </w:rPr>
        <w:t>la pauvreté</w:t>
      </w:r>
      <w:r w:rsidR="001B2F58" w:rsidRPr="00DD03D6">
        <w:rPr>
          <w:noProof/>
          <w:lang w:val="fr-FR"/>
        </w:rPr>
        <w:t xml:space="preserve">, </w:t>
      </w:r>
      <w:r w:rsidR="00523DB9">
        <w:rPr>
          <w:noProof/>
          <w:lang w:val="fr-FR"/>
        </w:rPr>
        <w:t>le chômage et l’absence de domicile</w:t>
      </w:r>
      <w:r w:rsidR="001B2F58" w:rsidRPr="00DD03D6">
        <w:rPr>
          <w:noProof/>
          <w:lang w:val="fr-FR"/>
        </w:rPr>
        <w:t xml:space="preserve">. </w:t>
      </w:r>
      <w:r w:rsidR="00523DB9">
        <w:rPr>
          <w:noProof/>
          <w:lang w:val="fr-FR"/>
        </w:rPr>
        <w:t xml:space="preserve">Le </w:t>
      </w:r>
      <w:r w:rsidR="00523DB9">
        <w:rPr>
          <w:i/>
          <w:noProof/>
          <w:lang w:val="fr-FR"/>
        </w:rPr>
        <w:t xml:space="preserve">Cadre du premier cycle de l’enseignement secondaire </w:t>
      </w:r>
      <w:r w:rsidR="00523DB9">
        <w:rPr>
          <w:noProof/>
          <w:lang w:val="fr-FR"/>
        </w:rPr>
        <w:t>récemment publié</w:t>
      </w:r>
      <w:r w:rsidR="001B2F58" w:rsidRPr="00DD03D6">
        <w:rPr>
          <w:noProof/>
          <w:lang w:val="fr-FR"/>
        </w:rPr>
        <w:t xml:space="preserve"> (</w:t>
      </w:r>
      <w:r w:rsidR="00523DB9">
        <w:rPr>
          <w:noProof/>
          <w:lang w:val="fr-FR"/>
        </w:rPr>
        <w:t>octobre</w:t>
      </w:r>
      <w:r w:rsidR="001B2F58" w:rsidRPr="00DD03D6">
        <w:rPr>
          <w:noProof/>
          <w:lang w:val="fr-FR"/>
        </w:rPr>
        <w:t xml:space="preserve"> 2012) continue</w:t>
      </w:r>
      <w:r w:rsidR="00523DB9">
        <w:rPr>
          <w:noProof/>
          <w:lang w:val="fr-FR"/>
        </w:rPr>
        <w:t xml:space="preserve"> d’insister sur l’</w:t>
      </w:r>
      <w:r w:rsidR="001B2F58" w:rsidRPr="00DD03D6">
        <w:rPr>
          <w:noProof/>
          <w:lang w:val="fr-FR"/>
        </w:rPr>
        <w:t xml:space="preserve">importance </w:t>
      </w:r>
      <w:r w:rsidR="00523DB9">
        <w:rPr>
          <w:noProof/>
          <w:lang w:val="fr-FR"/>
        </w:rPr>
        <w:t>de l’éducation aux droits de l’homme et de l’éducation civique</w:t>
      </w:r>
      <w:r w:rsidR="001B2F58" w:rsidRPr="00DD03D6">
        <w:rPr>
          <w:noProof/>
          <w:lang w:val="fr-FR"/>
        </w:rPr>
        <w:t xml:space="preserve">. </w:t>
      </w:r>
      <w:r w:rsidR="00D63CBA">
        <w:rPr>
          <w:noProof/>
          <w:lang w:val="fr-FR"/>
        </w:rPr>
        <w:t xml:space="preserve">L’un </w:t>
      </w:r>
      <w:r w:rsidR="00FD5497">
        <w:rPr>
          <w:noProof/>
          <w:lang w:val="fr-FR"/>
        </w:rPr>
        <w:t>des principes d’</w:t>
      </w:r>
      <w:r w:rsidR="00D63CBA">
        <w:rPr>
          <w:noProof/>
          <w:lang w:val="fr-FR"/>
        </w:rPr>
        <w:t xml:space="preserve">éducation </w:t>
      </w:r>
      <w:r w:rsidR="00FD5497">
        <w:rPr>
          <w:noProof/>
          <w:lang w:val="fr-FR"/>
        </w:rPr>
        <w:t>énon</w:t>
      </w:r>
      <w:r w:rsidR="00F36C50">
        <w:rPr>
          <w:noProof/>
          <w:lang w:val="fr-FR"/>
        </w:rPr>
        <w:t>c</w:t>
      </w:r>
      <w:r w:rsidR="00FD5497">
        <w:rPr>
          <w:noProof/>
          <w:lang w:val="fr-FR"/>
        </w:rPr>
        <w:t xml:space="preserve">é </w:t>
      </w:r>
      <w:r w:rsidR="00521807">
        <w:rPr>
          <w:noProof/>
          <w:lang w:val="fr-FR"/>
        </w:rPr>
        <w:t>d</w:t>
      </w:r>
      <w:r w:rsidR="00FD5497">
        <w:rPr>
          <w:noProof/>
          <w:lang w:val="fr-FR"/>
        </w:rPr>
        <w:t xml:space="preserve">ans ce cadre </w:t>
      </w:r>
      <w:r w:rsidR="00D63CBA" w:rsidRPr="00D63CBA">
        <w:rPr>
          <w:noProof/>
          <w:color w:val="000000"/>
          <w:lang w:val="fr-FR"/>
        </w:rPr>
        <w:t xml:space="preserve">veut </w:t>
      </w:r>
      <w:r w:rsidR="00FD5497">
        <w:rPr>
          <w:noProof/>
          <w:color w:val="000000"/>
          <w:lang w:val="fr-FR"/>
        </w:rPr>
        <w:t xml:space="preserve">que </w:t>
      </w:r>
      <w:r w:rsidR="00D63CBA">
        <w:rPr>
          <w:noProof/>
          <w:color w:val="000000"/>
          <w:lang w:val="fr-FR"/>
        </w:rPr>
        <w:t>l’élève «</w:t>
      </w:r>
      <w:r w:rsidR="00FD2518">
        <w:rPr>
          <w:noProof/>
          <w:color w:val="000000"/>
          <w:lang w:val="fr-FR"/>
        </w:rPr>
        <w:t> </w:t>
      </w:r>
      <w:r w:rsidR="00D63CBA">
        <w:rPr>
          <w:noProof/>
          <w:color w:val="000000"/>
          <w:lang w:val="fr-FR"/>
        </w:rPr>
        <w:t>apprécie</w:t>
      </w:r>
      <w:r w:rsidR="00D63CBA" w:rsidRPr="00D63CBA">
        <w:rPr>
          <w:noProof/>
          <w:color w:val="000000"/>
          <w:lang w:val="fr-FR"/>
        </w:rPr>
        <w:t xml:space="preserve"> ce que signifie le fait d’être un citoyen actif, doté de droits et de responsabilités au niveau local ou à un niveau plus large</w:t>
      </w:r>
      <w:r w:rsidR="00FD2518">
        <w:rPr>
          <w:noProof/>
          <w:color w:val="000000"/>
          <w:lang w:val="fr-FR"/>
        </w:rPr>
        <w:t> </w:t>
      </w:r>
      <w:r w:rsidR="00D63CBA" w:rsidRPr="00D63CBA">
        <w:rPr>
          <w:noProof/>
          <w:color w:val="000000"/>
          <w:lang w:val="fr-FR"/>
        </w:rPr>
        <w:t>»</w:t>
      </w:r>
      <w:r w:rsidR="001B2F58" w:rsidRPr="00DD03D6">
        <w:rPr>
          <w:noProof/>
          <w:lang w:val="fr-FR"/>
        </w:rPr>
        <w:t>.</w:t>
      </w:r>
    </w:p>
    <w:p w:rsidR="001B2F58" w:rsidRPr="00DD03D6" w:rsidRDefault="00FD5497" w:rsidP="00D03BA6">
      <w:pPr>
        <w:pStyle w:val="SingleTxtG"/>
        <w:numPr>
          <w:ilvl w:val="0"/>
          <w:numId w:val="3"/>
        </w:numPr>
        <w:ind w:left="1134" w:firstLine="0"/>
        <w:rPr>
          <w:noProof/>
          <w:lang w:val="fr-FR"/>
        </w:rPr>
      </w:pPr>
      <w:r>
        <w:rPr>
          <w:noProof/>
          <w:lang w:val="fr-FR"/>
        </w:rPr>
        <w:t xml:space="preserve">L’éducation aux droits de l’homme dans les écoles primaires </w:t>
      </w:r>
      <w:r w:rsidR="001B2F58" w:rsidRPr="00DD03D6">
        <w:rPr>
          <w:noProof/>
          <w:lang w:val="fr-FR"/>
        </w:rPr>
        <w:t xml:space="preserve">– </w:t>
      </w:r>
      <w:r>
        <w:rPr>
          <w:noProof/>
          <w:lang w:val="fr-FR"/>
        </w:rPr>
        <w:t xml:space="preserve">le Programme </w:t>
      </w:r>
      <w:r w:rsidR="001B2F58" w:rsidRPr="00DD03D6">
        <w:rPr>
          <w:noProof/>
          <w:lang w:val="fr-FR"/>
        </w:rPr>
        <w:t>Lift Off</w:t>
      </w:r>
      <w:r>
        <w:rPr>
          <w:noProof/>
          <w:lang w:val="fr-FR"/>
        </w:rPr>
        <w:t xml:space="preserve"> </w:t>
      </w:r>
      <w:r w:rsidR="001B2F58" w:rsidRPr="00DD03D6">
        <w:rPr>
          <w:noProof/>
          <w:lang w:val="fr-FR"/>
        </w:rPr>
        <w:t xml:space="preserve">– </w:t>
      </w:r>
      <w:r>
        <w:rPr>
          <w:noProof/>
          <w:lang w:val="fr-FR"/>
        </w:rPr>
        <w:t>est un programme d’éducation aux droits de l’homme exécuté conjointement par Amnesty International-Irlande et Amnesty International-Irlande du Nord</w:t>
      </w:r>
      <w:r w:rsidR="001B2F58" w:rsidRPr="00DD03D6">
        <w:rPr>
          <w:noProof/>
          <w:lang w:val="fr-FR"/>
        </w:rPr>
        <w:t xml:space="preserve">, </w:t>
      </w:r>
      <w:r>
        <w:rPr>
          <w:noProof/>
          <w:lang w:val="fr-FR"/>
        </w:rPr>
        <w:t>en concertation avec le syndicat des enseignants d</w:t>
      </w:r>
      <w:r w:rsidR="00521807">
        <w:rPr>
          <w:noProof/>
          <w:lang w:val="fr-FR"/>
        </w:rPr>
        <w:t>e l</w:t>
      </w:r>
      <w:r>
        <w:rPr>
          <w:noProof/>
          <w:lang w:val="fr-FR"/>
        </w:rPr>
        <w:t>’</w:t>
      </w:r>
      <w:r w:rsidR="001B2F58" w:rsidRPr="00DD03D6">
        <w:rPr>
          <w:noProof/>
          <w:lang w:val="fr-FR"/>
        </w:rPr>
        <w:t xml:space="preserve">Ulster </w:t>
      </w:r>
      <w:r>
        <w:rPr>
          <w:noProof/>
          <w:lang w:val="fr-FR"/>
        </w:rPr>
        <w:t xml:space="preserve">et </w:t>
      </w:r>
      <w:r w:rsidR="0044503D">
        <w:rPr>
          <w:noProof/>
          <w:lang w:val="fr-FR"/>
        </w:rPr>
        <w:t>l’</w:t>
      </w:r>
      <w:r w:rsidR="0044503D">
        <w:rPr>
          <w:lang w:val="fr-FR"/>
        </w:rPr>
        <w:t>Organisation nationale irlandaise des enseignants</w:t>
      </w:r>
      <w:r w:rsidR="00023EB0">
        <w:rPr>
          <w:lang w:val="fr-FR"/>
        </w:rPr>
        <w:t xml:space="preserve"> et</w:t>
      </w:r>
      <w:r w:rsidR="001B2F58" w:rsidRPr="00DD03D6">
        <w:rPr>
          <w:noProof/>
          <w:lang w:val="fr-FR"/>
        </w:rPr>
        <w:t xml:space="preserve"> </w:t>
      </w:r>
      <w:r w:rsidR="00A855B1">
        <w:rPr>
          <w:noProof/>
          <w:lang w:val="fr-FR"/>
        </w:rPr>
        <w:t>avec le concours de la Commission des droits de l’homme et de la Commisssion des droits de l’homme d’Irlande du Nord</w:t>
      </w:r>
      <w:r w:rsidR="001B2F58" w:rsidRPr="00DD03D6">
        <w:rPr>
          <w:noProof/>
          <w:lang w:val="fr-FR"/>
        </w:rPr>
        <w:t>. Lift Off</w:t>
      </w:r>
      <w:r w:rsidR="00A855B1">
        <w:rPr>
          <w:noProof/>
          <w:lang w:val="fr-FR"/>
        </w:rPr>
        <w:t xml:space="preserve"> encourage l’éducation aux droits de l’homme dans les écoles primaires grâce à l’élaboration de matériels didactiques, à la </w:t>
      </w:r>
      <w:r w:rsidR="001B2F58" w:rsidRPr="00DD03D6">
        <w:rPr>
          <w:noProof/>
          <w:lang w:val="fr-FR"/>
        </w:rPr>
        <w:t xml:space="preserve">promotion </w:t>
      </w:r>
      <w:r w:rsidR="00A855B1">
        <w:rPr>
          <w:noProof/>
          <w:lang w:val="fr-FR"/>
        </w:rPr>
        <w:t xml:space="preserve">d’une approche </w:t>
      </w:r>
      <w:r w:rsidR="00A17706">
        <w:rPr>
          <w:noProof/>
          <w:lang w:val="fr-FR"/>
        </w:rPr>
        <w:t xml:space="preserve">visant à intéresser l’établissement scolaire dans son ensemble à </w:t>
      </w:r>
      <w:r w:rsidR="00A855B1">
        <w:rPr>
          <w:noProof/>
          <w:lang w:val="fr-FR"/>
        </w:rPr>
        <w:t>l’éducation aux droits de l’homme</w:t>
      </w:r>
      <w:r w:rsidR="00D03BA6" w:rsidRPr="00DD03D6">
        <w:rPr>
          <w:noProof/>
          <w:lang w:val="fr-FR"/>
        </w:rPr>
        <w:t>,</w:t>
      </w:r>
      <w:r w:rsidR="001B2F58" w:rsidRPr="00DD03D6">
        <w:rPr>
          <w:noProof/>
          <w:lang w:val="fr-FR"/>
        </w:rPr>
        <w:t xml:space="preserve"> </w:t>
      </w:r>
      <w:r w:rsidR="00A17706">
        <w:rPr>
          <w:noProof/>
          <w:lang w:val="fr-FR"/>
        </w:rPr>
        <w:t>et à l’instauration de liens entre les écoles participantes de la République d’Irlande et d’Irlande du Nord</w:t>
      </w:r>
      <w:r w:rsidR="001B2F58" w:rsidRPr="00DD03D6">
        <w:rPr>
          <w:noProof/>
          <w:lang w:val="fr-FR"/>
        </w:rPr>
        <w:t xml:space="preserve">. </w:t>
      </w:r>
      <w:r w:rsidR="00A17706">
        <w:rPr>
          <w:noProof/>
          <w:lang w:val="fr-FR"/>
        </w:rPr>
        <w:t xml:space="preserve">Tous les matériels didactiques et plans de cours de </w:t>
      </w:r>
      <w:r w:rsidR="001B2F58" w:rsidRPr="00DD03D6">
        <w:rPr>
          <w:noProof/>
          <w:lang w:val="fr-FR"/>
        </w:rPr>
        <w:t xml:space="preserve">Lift Off </w:t>
      </w:r>
      <w:r w:rsidR="00A17706">
        <w:rPr>
          <w:noProof/>
          <w:lang w:val="fr-FR"/>
        </w:rPr>
        <w:t>sont élaborés par les enseignants, sont recommandés par le Conseil national des programmes et de l’évaluation et le</w:t>
      </w:r>
      <w:r w:rsidR="001B2F58" w:rsidRPr="00DD03D6">
        <w:rPr>
          <w:noProof/>
          <w:lang w:val="fr-FR"/>
        </w:rPr>
        <w:t xml:space="preserve"> </w:t>
      </w:r>
      <w:r w:rsidR="008E7D37">
        <w:rPr>
          <w:lang w:val="fr-FR"/>
        </w:rPr>
        <w:t>Programme d’appui aux programmes d’études du primaire</w:t>
      </w:r>
      <w:r w:rsidR="001B2F58" w:rsidRPr="00DD03D6">
        <w:rPr>
          <w:noProof/>
          <w:lang w:val="fr-FR"/>
        </w:rPr>
        <w:t xml:space="preserve">, </w:t>
      </w:r>
      <w:r w:rsidR="008E7D37">
        <w:rPr>
          <w:noProof/>
          <w:lang w:val="fr-FR"/>
        </w:rPr>
        <w:t xml:space="preserve">répondent pleinement aux attentes du programme d’études </w:t>
      </w:r>
      <w:r w:rsidR="00783905">
        <w:rPr>
          <w:noProof/>
          <w:lang w:val="fr-FR"/>
        </w:rPr>
        <w:t>du primaire et peuvent être utilisés dans l’ensemble du programme scolaire</w:t>
      </w:r>
      <w:r w:rsidR="001B2F58" w:rsidRPr="00DD03D6">
        <w:rPr>
          <w:noProof/>
          <w:lang w:val="fr-FR"/>
        </w:rPr>
        <w:t xml:space="preserve">. </w:t>
      </w:r>
      <w:r w:rsidR="00783905">
        <w:rPr>
          <w:noProof/>
          <w:lang w:val="fr-FR"/>
        </w:rPr>
        <w:t xml:space="preserve">Les matériels </w:t>
      </w:r>
      <w:r w:rsidR="001B2F58" w:rsidRPr="00DD03D6">
        <w:rPr>
          <w:noProof/>
          <w:lang w:val="fr-FR"/>
        </w:rPr>
        <w:t xml:space="preserve">Lift Off </w:t>
      </w:r>
      <w:r w:rsidR="00783905">
        <w:rPr>
          <w:noProof/>
          <w:lang w:val="fr-FR"/>
        </w:rPr>
        <w:t>pour l’éducation aux droits de l’homme ont été diffusés auprès de chaque école primaire et un grand nombre d’enseignants ont été formés à leur utilisation</w:t>
      </w:r>
      <w:r w:rsidR="001B2F58" w:rsidRPr="00DD03D6">
        <w:rPr>
          <w:noProof/>
          <w:lang w:val="fr-FR"/>
        </w:rPr>
        <w:t xml:space="preserve">. </w:t>
      </w:r>
      <w:r w:rsidR="00783905">
        <w:rPr>
          <w:noProof/>
          <w:lang w:val="fr-FR"/>
        </w:rPr>
        <w:t>Au</w:t>
      </w:r>
      <w:r w:rsidR="001B2F58" w:rsidRPr="00DD03D6">
        <w:rPr>
          <w:noProof/>
          <w:lang w:val="fr-FR"/>
        </w:rPr>
        <w:t xml:space="preserve"> total, 70 </w:t>
      </w:r>
      <w:r w:rsidR="00783905">
        <w:rPr>
          <w:noProof/>
          <w:lang w:val="fr-FR"/>
        </w:rPr>
        <w:t>écoles de la République d’Irlande ont en</w:t>
      </w:r>
      <w:r w:rsidR="00023EB0">
        <w:rPr>
          <w:noProof/>
          <w:lang w:val="fr-FR"/>
        </w:rPr>
        <w:t>t</w:t>
      </w:r>
      <w:r w:rsidR="00783905">
        <w:rPr>
          <w:noProof/>
          <w:lang w:val="fr-FR"/>
        </w:rPr>
        <w:t>repris d’utiliser ces matériels à titre expérimental</w:t>
      </w:r>
      <w:r w:rsidR="001B2F58" w:rsidRPr="00DD03D6">
        <w:rPr>
          <w:noProof/>
          <w:lang w:val="fr-FR"/>
        </w:rPr>
        <w:t xml:space="preserve">. </w:t>
      </w:r>
      <w:r w:rsidR="00783905">
        <w:rPr>
          <w:noProof/>
          <w:lang w:val="fr-FR"/>
        </w:rPr>
        <w:t xml:space="preserve">À l’heure actuelle, </w:t>
      </w:r>
      <w:r w:rsidR="001B2F58" w:rsidRPr="00DD03D6">
        <w:rPr>
          <w:noProof/>
          <w:lang w:val="fr-FR"/>
        </w:rPr>
        <w:t xml:space="preserve">622 </w:t>
      </w:r>
      <w:r w:rsidR="00783905">
        <w:rPr>
          <w:noProof/>
          <w:lang w:val="fr-FR"/>
        </w:rPr>
        <w:t xml:space="preserve">écoles sont enregistrées </w:t>
      </w:r>
      <w:r w:rsidR="00023EB0">
        <w:rPr>
          <w:noProof/>
          <w:lang w:val="fr-FR"/>
        </w:rPr>
        <w:t>s</w:t>
      </w:r>
      <w:r w:rsidR="00783905">
        <w:rPr>
          <w:noProof/>
          <w:lang w:val="fr-FR"/>
        </w:rPr>
        <w:t xml:space="preserve">ur le site Web de </w:t>
      </w:r>
      <w:r w:rsidR="001B2F58" w:rsidRPr="00DD03D6">
        <w:rPr>
          <w:noProof/>
          <w:lang w:val="fr-FR"/>
        </w:rPr>
        <w:t>Lift Off (</w:t>
      </w:r>
      <w:hyperlink r:id="rId36" w:history="1">
        <w:r w:rsidR="001B2F58" w:rsidRPr="00DD03D6">
          <w:rPr>
            <w:rStyle w:val="Lienhypertexte"/>
            <w:noProof/>
            <w:lang w:val="fr-FR"/>
          </w:rPr>
          <w:t>www.liftoffschools.com</w:t>
        </w:r>
      </w:hyperlink>
      <w:r w:rsidR="001B2F58" w:rsidRPr="00DD03D6">
        <w:rPr>
          <w:noProof/>
          <w:lang w:val="fr-FR"/>
        </w:rPr>
        <w:t>).</w:t>
      </w:r>
    </w:p>
    <w:p w:rsidR="001B2F58" w:rsidRPr="00DD03D6" w:rsidRDefault="00E4251B" w:rsidP="00E4251B">
      <w:pPr>
        <w:pStyle w:val="H1G"/>
        <w:rPr>
          <w:noProof/>
          <w:lang w:val="fr-FR"/>
        </w:rPr>
      </w:pPr>
      <w:bookmarkStart w:id="63" w:name="_Toc356430895"/>
      <w:r w:rsidRPr="00DD03D6">
        <w:rPr>
          <w:noProof/>
          <w:lang w:val="fr-FR"/>
        </w:rPr>
        <w:tab/>
      </w:r>
      <w:r w:rsidR="001B2F58" w:rsidRPr="00DD03D6">
        <w:rPr>
          <w:noProof/>
          <w:lang w:val="fr-FR"/>
        </w:rPr>
        <w:t>E.</w:t>
      </w:r>
      <w:r w:rsidR="001B2F58" w:rsidRPr="00DD03D6">
        <w:rPr>
          <w:noProof/>
          <w:lang w:val="fr-FR"/>
        </w:rPr>
        <w:tab/>
      </w:r>
      <w:r w:rsidR="00CB67BD">
        <w:rPr>
          <w:lang w:val="fr-FR"/>
        </w:rPr>
        <w:t>Repos, jeu, loisirs et activités récréatives, culturelles</w:t>
      </w:r>
      <w:r w:rsidR="00547E30">
        <w:rPr>
          <w:lang w:val="fr-FR"/>
        </w:rPr>
        <w:t xml:space="preserve"> </w:t>
      </w:r>
      <w:r w:rsidR="00CB67BD">
        <w:rPr>
          <w:lang w:val="fr-FR"/>
        </w:rPr>
        <w:t>et artistiques</w:t>
      </w:r>
      <w:bookmarkEnd w:id="63"/>
    </w:p>
    <w:p w:rsidR="001B2F58" w:rsidRPr="00DD03D6" w:rsidRDefault="00E4251B" w:rsidP="00E4251B">
      <w:pPr>
        <w:pStyle w:val="H23G"/>
        <w:rPr>
          <w:noProof/>
          <w:lang w:val="fr-FR"/>
        </w:rPr>
      </w:pPr>
      <w:r w:rsidRPr="00DD03D6">
        <w:rPr>
          <w:noProof/>
          <w:lang w:val="fr-FR"/>
        </w:rPr>
        <w:tab/>
      </w:r>
      <w:r w:rsidRPr="00DD03D6">
        <w:rPr>
          <w:noProof/>
          <w:lang w:val="fr-FR"/>
        </w:rPr>
        <w:tab/>
      </w:r>
      <w:r w:rsidR="00CB67BD">
        <w:rPr>
          <w:noProof/>
          <w:lang w:val="fr-FR"/>
        </w:rPr>
        <w:t xml:space="preserve">Éducation artistique et activité physique </w:t>
      </w:r>
    </w:p>
    <w:p w:rsidR="001B2F58" w:rsidRPr="00DD03D6" w:rsidRDefault="00F14CC0" w:rsidP="0012415F">
      <w:pPr>
        <w:pStyle w:val="SingleTxtG"/>
        <w:numPr>
          <w:ilvl w:val="0"/>
          <w:numId w:val="3"/>
        </w:numPr>
        <w:ind w:left="1134" w:firstLine="0"/>
        <w:rPr>
          <w:noProof/>
          <w:lang w:val="fr-FR"/>
        </w:rPr>
      </w:pPr>
      <w:r>
        <w:rPr>
          <w:noProof/>
          <w:lang w:val="fr-FR"/>
        </w:rPr>
        <w:t xml:space="preserve">L’éducation artistique </w:t>
      </w:r>
      <w:r w:rsidR="001B2F58" w:rsidRPr="00DD03D6">
        <w:rPr>
          <w:noProof/>
          <w:lang w:val="fr-FR"/>
        </w:rPr>
        <w:t>(arts</w:t>
      </w:r>
      <w:r>
        <w:rPr>
          <w:noProof/>
          <w:lang w:val="fr-FR"/>
        </w:rPr>
        <w:t xml:space="preserve"> plastiques</w:t>
      </w:r>
      <w:r w:rsidR="001B2F58" w:rsidRPr="00DD03D6">
        <w:rPr>
          <w:noProof/>
          <w:lang w:val="fr-FR"/>
        </w:rPr>
        <w:t>, musi</w:t>
      </w:r>
      <w:r>
        <w:rPr>
          <w:noProof/>
          <w:lang w:val="fr-FR"/>
        </w:rPr>
        <w:t>que et théâtre</w:t>
      </w:r>
      <w:r w:rsidR="001B2F58" w:rsidRPr="00DD03D6">
        <w:rPr>
          <w:noProof/>
          <w:lang w:val="fr-FR"/>
        </w:rPr>
        <w:t xml:space="preserve">) </w:t>
      </w:r>
      <w:r w:rsidR="001C5407">
        <w:rPr>
          <w:noProof/>
          <w:lang w:val="fr-FR"/>
        </w:rPr>
        <w:t xml:space="preserve">est l’une des </w:t>
      </w:r>
      <w:r w:rsidR="00521807">
        <w:rPr>
          <w:noProof/>
          <w:lang w:val="fr-FR"/>
        </w:rPr>
        <w:t xml:space="preserve">sept </w:t>
      </w:r>
      <w:r w:rsidR="001C5407">
        <w:rPr>
          <w:noProof/>
          <w:lang w:val="fr-FR"/>
        </w:rPr>
        <w:t xml:space="preserve">matières </w:t>
      </w:r>
      <w:r w:rsidR="00521807">
        <w:rPr>
          <w:noProof/>
          <w:lang w:val="fr-FR"/>
        </w:rPr>
        <w:t xml:space="preserve">inscrites au </w:t>
      </w:r>
      <w:r w:rsidR="001C5407">
        <w:rPr>
          <w:noProof/>
          <w:lang w:val="fr-FR"/>
        </w:rPr>
        <w:t xml:space="preserve">programme </w:t>
      </w:r>
      <w:r w:rsidR="00521807">
        <w:rPr>
          <w:noProof/>
          <w:lang w:val="fr-FR"/>
        </w:rPr>
        <w:t>du</w:t>
      </w:r>
      <w:r w:rsidR="001C5407">
        <w:rPr>
          <w:noProof/>
          <w:lang w:val="fr-FR"/>
        </w:rPr>
        <w:t xml:space="preserve"> primaire</w:t>
      </w:r>
      <w:r w:rsidR="001B2F58" w:rsidRPr="00DD03D6">
        <w:rPr>
          <w:noProof/>
          <w:lang w:val="fr-FR"/>
        </w:rPr>
        <w:t xml:space="preserve">, </w:t>
      </w:r>
      <w:r w:rsidR="00521807">
        <w:rPr>
          <w:noProof/>
          <w:lang w:val="fr-FR"/>
        </w:rPr>
        <w:t xml:space="preserve">dont l’enseignement </w:t>
      </w:r>
      <w:r w:rsidR="001C5407">
        <w:rPr>
          <w:noProof/>
          <w:lang w:val="fr-FR"/>
        </w:rPr>
        <w:t xml:space="preserve">a </w:t>
      </w:r>
      <w:r w:rsidR="00325A78">
        <w:rPr>
          <w:noProof/>
          <w:lang w:val="fr-FR"/>
        </w:rPr>
        <w:t xml:space="preserve">été </w:t>
      </w:r>
      <w:r w:rsidR="00521807">
        <w:rPr>
          <w:noProof/>
          <w:lang w:val="fr-FR"/>
        </w:rPr>
        <w:t xml:space="preserve">progressivement </w:t>
      </w:r>
      <w:r w:rsidR="001C5407">
        <w:rPr>
          <w:noProof/>
          <w:lang w:val="fr-FR"/>
        </w:rPr>
        <w:t>mis en place en</w:t>
      </w:r>
      <w:r w:rsidR="00521807">
        <w:rPr>
          <w:noProof/>
          <w:lang w:val="fr-FR"/>
        </w:rPr>
        <w:t xml:space="preserve">tre </w:t>
      </w:r>
      <w:r w:rsidR="001B2F58" w:rsidRPr="00DD03D6">
        <w:rPr>
          <w:noProof/>
          <w:lang w:val="fr-FR"/>
        </w:rPr>
        <w:t xml:space="preserve">1999 </w:t>
      </w:r>
      <w:r w:rsidR="001C5407">
        <w:rPr>
          <w:noProof/>
          <w:lang w:val="fr-FR"/>
        </w:rPr>
        <w:t xml:space="preserve">et </w:t>
      </w:r>
      <w:r w:rsidR="001B2F58" w:rsidRPr="00DD03D6">
        <w:rPr>
          <w:noProof/>
          <w:lang w:val="fr-FR"/>
        </w:rPr>
        <w:t xml:space="preserve">2007. </w:t>
      </w:r>
      <w:r w:rsidR="001C5407">
        <w:rPr>
          <w:noProof/>
          <w:lang w:val="fr-FR"/>
        </w:rPr>
        <w:t xml:space="preserve">Le </w:t>
      </w:r>
      <w:r w:rsidR="001C5407">
        <w:rPr>
          <w:lang w:val="fr-FR"/>
        </w:rPr>
        <w:t>Service de perfectionnement professionnel des enseignants</w:t>
      </w:r>
      <w:r w:rsidR="001C5407" w:rsidRPr="00DD03D6">
        <w:rPr>
          <w:noProof/>
          <w:lang w:val="fr-FR"/>
        </w:rPr>
        <w:t xml:space="preserve"> </w:t>
      </w:r>
      <w:r w:rsidR="001C5407">
        <w:rPr>
          <w:noProof/>
          <w:lang w:val="fr-FR"/>
        </w:rPr>
        <w:t>appuie le perfectionnement des enseignants pour les aider à appliquer le programme d’études</w:t>
      </w:r>
      <w:r w:rsidR="001B2F58" w:rsidRPr="00DD03D6">
        <w:rPr>
          <w:noProof/>
          <w:lang w:val="fr-FR"/>
        </w:rPr>
        <w:t xml:space="preserve">. </w:t>
      </w:r>
      <w:r w:rsidR="001C5407">
        <w:rPr>
          <w:noProof/>
          <w:lang w:val="fr-FR"/>
        </w:rPr>
        <w:t xml:space="preserve">Le programme d’arts plastiques a été mis en place dans les écoles en </w:t>
      </w:r>
      <w:r w:rsidR="001B2F58" w:rsidRPr="00DD03D6">
        <w:rPr>
          <w:noProof/>
          <w:lang w:val="fr-FR"/>
        </w:rPr>
        <w:t>2001/</w:t>
      </w:r>
      <w:r w:rsidR="001C5407">
        <w:rPr>
          <w:noProof/>
          <w:lang w:val="fr-FR"/>
        </w:rPr>
        <w:t>20</w:t>
      </w:r>
      <w:r w:rsidR="001B2F58" w:rsidRPr="00DD03D6">
        <w:rPr>
          <w:noProof/>
          <w:lang w:val="fr-FR"/>
        </w:rPr>
        <w:t xml:space="preserve">02, </w:t>
      </w:r>
      <w:r w:rsidR="001C5407">
        <w:rPr>
          <w:noProof/>
          <w:lang w:val="fr-FR"/>
        </w:rPr>
        <w:t xml:space="preserve">celui de musique l’a été en </w:t>
      </w:r>
      <w:r w:rsidR="001B2F58" w:rsidRPr="00DD03D6">
        <w:rPr>
          <w:noProof/>
          <w:lang w:val="fr-FR"/>
        </w:rPr>
        <w:t>2005/</w:t>
      </w:r>
      <w:r w:rsidR="001C5407">
        <w:rPr>
          <w:noProof/>
          <w:lang w:val="fr-FR"/>
        </w:rPr>
        <w:t>20</w:t>
      </w:r>
      <w:r w:rsidR="001B2F58" w:rsidRPr="00DD03D6">
        <w:rPr>
          <w:noProof/>
          <w:lang w:val="fr-FR"/>
        </w:rPr>
        <w:t xml:space="preserve">06 </w:t>
      </w:r>
      <w:r w:rsidR="001C5407">
        <w:rPr>
          <w:noProof/>
          <w:lang w:val="fr-FR"/>
        </w:rPr>
        <w:t xml:space="preserve">et celui de théâtre en </w:t>
      </w:r>
      <w:r w:rsidR="001B2F58" w:rsidRPr="00DD03D6">
        <w:rPr>
          <w:noProof/>
          <w:lang w:val="fr-FR"/>
        </w:rPr>
        <w:t>2006/</w:t>
      </w:r>
      <w:r w:rsidR="001C5407">
        <w:rPr>
          <w:noProof/>
          <w:lang w:val="fr-FR"/>
        </w:rPr>
        <w:t>20</w:t>
      </w:r>
      <w:r w:rsidR="001B2F58" w:rsidRPr="00DD03D6">
        <w:rPr>
          <w:noProof/>
          <w:lang w:val="fr-FR"/>
        </w:rPr>
        <w:t xml:space="preserve">07. </w:t>
      </w:r>
      <w:r w:rsidR="00325A78">
        <w:rPr>
          <w:noProof/>
          <w:lang w:val="fr-FR"/>
        </w:rPr>
        <w:t>La danse est un élément du programme d’éducation physique</w:t>
      </w:r>
      <w:r w:rsidR="001B2F58" w:rsidRPr="00DD03D6">
        <w:rPr>
          <w:noProof/>
          <w:lang w:val="fr-FR"/>
        </w:rPr>
        <w:t>.</w:t>
      </w:r>
    </w:p>
    <w:p w:rsidR="001B2F58" w:rsidRPr="00DD03D6" w:rsidRDefault="00325A78" w:rsidP="0012415F">
      <w:pPr>
        <w:pStyle w:val="SingleTxtG"/>
        <w:numPr>
          <w:ilvl w:val="0"/>
          <w:numId w:val="3"/>
        </w:numPr>
        <w:ind w:left="1134" w:firstLine="0"/>
        <w:rPr>
          <w:noProof/>
          <w:lang w:val="fr-FR"/>
        </w:rPr>
      </w:pPr>
      <w:r>
        <w:rPr>
          <w:noProof/>
          <w:lang w:val="fr-FR"/>
        </w:rPr>
        <w:t xml:space="preserve">Dans l’enseignement secondaire, il existe des plans d’étude agréés pour le </w:t>
      </w:r>
      <w:r w:rsidRPr="00325A78">
        <w:rPr>
          <w:lang w:val="fr-FR"/>
        </w:rPr>
        <w:t xml:space="preserve">certificat de fin d’études du premier cycle </w:t>
      </w:r>
      <w:r>
        <w:rPr>
          <w:lang w:val="fr-FR"/>
        </w:rPr>
        <w:t xml:space="preserve">du </w:t>
      </w:r>
      <w:r w:rsidRPr="00325A78">
        <w:rPr>
          <w:lang w:val="fr-FR"/>
        </w:rPr>
        <w:t>secondaire</w:t>
      </w:r>
      <w:r>
        <w:rPr>
          <w:lang w:val="fr-FR"/>
        </w:rPr>
        <w:t xml:space="preserve"> en musique et en dessin, artisanat et design</w:t>
      </w:r>
      <w:r w:rsidR="001B2F58" w:rsidRPr="00DD03D6">
        <w:rPr>
          <w:noProof/>
          <w:lang w:val="fr-FR"/>
        </w:rPr>
        <w:t xml:space="preserve">. </w:t>
      </w:r>
      <w:r w:rsidR="00474009">
        <w:rPr>
          <w:noProof/>
          <w:lang w:val="fr-FR"/>
        </w:rPr>
        <w:t xml:space="preserve">Le nouveau cadre du premier cycle </w:t>
      </w:r>
      <w:r w:rsidR="001B2F58" w:rsidRPr="00DD03D6">
        <w:rPr>
          <w:noProof/>
          <w:lang w:val="fr-FR"/>
        </w:rPr>
        <w:t>(</w:t>
      </w:r>
      <w:r w:rsidR="00474009">
        <w:rPr>
          <w:noProof/>
          <w:lang w:val="fr-FR"/>
        </w:rPr>
        <w:t>o</w:t>
      </w:r>
      <w:r w:rsidR="001B2F58" w:rsidRPr="00DD03D6">
        <w:rPr>
          <w:noProof/>
          <w:lang w:val="fr-FR"/>
        </w:rPr>
        <w:t>ctob</w:t>
      </w:r>
      <w:r w:rsidR="00474009">
        <w:rPr>
          <w:noProof/>
          <w:lang w:val="fr-FR"/>
        </w:rPr>
        <w:t>re</w:t>
      </w:r>
      <w:r w:rsidR="001B2F58" w:rsidRPr="00DD03D6">
        <w:rPr>
          <w:noProof/>
          <w:lang w:val="fr-FR"/>
        </w:rPr>
        <w:t xml:space="preserve"> 2012) </w:t>
      </w:r>
      <w:r w:rsidR="00474009">
        <w:rPr>
          <w:noProof/>
          <w:lang w:val="fr-FR"/>
        </w:rPr>
        <w:t xml:space="preserve">permet l’élaboration de cours de courte durée, et le Conseil national des programmes et de l’évaluation a entrepris d’élaborer un cours de ce type sur </w:t>
      </w:r>
      <w:r w:rsidR="00593076">
        <w:rPr>
          <w:noProof/>
          <w:lang w:val="fr-FR"/>
        </w:rPr>
        <w:t>la prestation artistique</w:t>
      </w:r>
      <w:r w:rsidR="001B2F58" w:rsidRPr="00DD03D6">
        <w:rPr>
          <w:noProof/>
          <w:lang w:val="fr-FR"/>
        </w:rPr>
        <w:t xml:space="preserve">. </w:t>
      </w:r>
      <w:r w:rsidR="00593076">
        <w:rPr>
          <w:noProof/>
          <w:lang w:val="fr-FR"/>
        </w:rPr>
        <w:t xml:space="preserve">Les écoles pourront également élaborer leurs propres cours de courte durée, </w:t>
      </w:r>
      <w:r w:rsidR="00F36C50">
        <w:rPr>
          <w:noProof/>
          <w:lang w:val="fr-FR"/>
        </w:rPr>
        <w:t>dans le cadre du cahier des charges établi</w:t>
      </w:r>
      <w:r w:rsidR="001B2F58" w:rsidRPr="00DD03D6">
        <w:rPr>
          <w:noProof/>
          <w:lang w:val="fr-FR"/>
        </w:rPr>
        <w:t xml:space="preserve">. </w:t>
      </w:r>
      <w:r w:rsidR="00F36C50">
        <w:rPr>
          <w:noProof/>
          <w:lang w:val="fr-FR"/>
        </w:rPr>
        <w:t xml:space="preserve">L’un des principes d’éducation du nouveau </w:t>
      </w:r>
      <w:r w:rsidR="00107573">
        <w:rPr>
          <w:noProof/>
          <w:lang w:val="fr-FR"/>
        </w:rPr>
        <w:t xml:space="preserve">cadre </w:t>
      </w:r>
      <w:r w:rsidR="00F36C50">
        <w:rPr>
          <w:noProof/>
          <w:lang w:val="fr-FR"/>
        </w:rPr>
        <w:t>énonce la nécessité pour les élèves de</w:t>
      </w:r>
      <w:r w:rsidR="005D7533" w:rsidRPr="00DD03D6">
        <w:rPr>
          <w:noProof/>
          <w:lang w:val="fr-FR"/>
        </w:rPr>
        <w:t xml:space="preserve"> </w:t>
      </w:r>
      <w:r w:rsidR="00BE5B5E">
        <w:rPr>
          <w:noProof/>
          <w:lang w:val="fr-FR"/>
        </w:rPr>
        <w:t>« </w:t>
      </w:r>
      <w:r w:rsidR="001B2F58" w:rsidRPr="00DD03D6">
        <w:rPr>
          <w:noProof/>
          <w:lang w:val="fr-FR"/>
        </w:rPr>
        <w:t>cr</w:t>
      </w:r>
      <w:r w:rsidR="00F36C50">
        <w:rPr>
          <w:noProof/>
          <w:lang w:val="fr-FR"/>
        </w:rPr>
        <w:t xml:space="preserve">éer et de présenter des œuvres d’art et (d’)apprécier le processus et les </w:t>
      </w:r>
      <w:r w:rsidR="00DD336B">
        <w:rPr>
          <w:noProof/>
          <w:lang w:val="fr-FR"/>
        </w:rPr>
        <w:t>techniques mis en œuvre</w:t>
      </w:r>
      <w:r w:rsidR="00BE5B5E">
        <w:rPr>
          <w:noProof/>
          <w:lang w:val="fr-FR"/>
        </w:rPr>
        <w:t> »</w:t>
      </w:r>
      <w:r w:rsidR="001B2F58" w:rsidRPr="00DD03D6">
        <w:rPr>
          <w:noProof/>
          <w:lang w:val="fr-FR"/>
        </w:rPr>
        <w:t xml:space="preserve">. </w:t>
      </w:r>
      <w:r w:rsidR="00DD336B">
        <w:rPr>
          <w:noProof/>
          <w:lang w:val="fr-FR"/>
        </w:rPr>
        <w:t xml:space="preserve">Dans le second cycle, il existe des plans d’étude pour la musique, et des modules de dessin peuvent également être présentés en vue du certificat de fin d’études </w:t>
      </w:r>
      <w:r w:rsidR="00AC5EA0">
        <w:rPr>
          <w:noProof/>
          <w:lang w:val="fr-FR"/>
        </w:rPr>
        <w:t>appliquées</w:t>
      </w:r>
      <w:r w:rsidR="001B2F58" w:rsidRPr="00DD03D6">
        <w:rPr>
          <w:noProof/>
          <w:lang w:val="fr-FR"/>
        </w:rPr>
        <w:t xml:space="preserve">. </w:t>
      </w:r>
      <w:r w:rsidR="00AC5EA0">
        <w:rPr>
          <w:noProof/>
          <w:lang w:val="fr-FR"/>
        </w:rPr>
        <w:t>Pendant l’année de t</w:t>
      </w:r>
      <w:r w:rsidR="001B2F58" w:rsidRPr="00DD03D6">
        <w:rPr>
          <w:noProof/>
          <w:lang w:val="fr-FR"/>
        </w:rPr>
        <w:t xml:space="preserve">ransition, </w:t>
      </w:r>
      <w:r w:rsidR="00AC5EA0">
        <w:rPr>
          <w:noProof/>
          <w:lang w:val="fr-FR"/>
        </w:rPr>
        <w:t xml:space="preserve">les écoles proposent divers </w:t>
      </w:r>
      <w:r w:rsidR="001B2F58" w:rsidRPr="00DD03D6">
        <w:rPr>
          <w:noProof/>
          <w:lang w:val="fr-FR"/>
        </w:rPr>
        <w:t xml:space="preserve">modules </w:t>
      </w:r>
      <w:r w:rsidR="003E6D3F">
        <w:rPr>
          <w:noProof/>
          <w:lang w:val="fr-FR"/>
        </w:rPr>
        <w:t xml:space="preserve">pour intéresser les élèves aux </w:t>
      </w:r>
      <w:r w:rsidR="0012415F" w:rsidRPr="00DD03D6">
        <w:rPr>
          <w:noProof/>
          <w:lang w:val="fr-FR"/>
        </w:rPr>
        <w:t>a</w:t>
      </w:r>
      <w:r w:rsidR="001B2F58" w:rsidRPr="00DD03D6">
        <w:rPr>
          <w:noProof/>
          <w:lang w:val="fr-FR"/>
        </w:rPr>
        <w:t xml:space="preserve">rts </w:t>
      </w:r>
      <w:r w:rsidR="003E6D3F">
        <w:rPr>
          <w:noProof/>
          <w:lang w:val="fr-FR"/>
        </w:rPr>
        <w:t>e</w:t>
      </w:r>
      <w:r w:rsidR="001B2F58" w:rsidRPr="00DD03D6">
        <w:rPr>
          <w:noProof/>
          <w:lang w:val="fr-FR"/>
        </w:rPr>
        <w:t>n g</w:t>
      </w:r>
      <w:r w:rsidR="003E6D3F">
        <w:rPr>
          <w:noProof/>
          <w:lang w:val="fr-FR"/>
        </w:rPr>
        <w:t>éné</w:t>
      </w:r>
      <w:r w:rsidR="001B2F58" w:rsidRPr="00DD03D6">
        <w:rPr>
          <w:noProof/>
          <w:lang w:val="fr-FR"/>
        </w:rPr>
        <w:t xml:space="preserve">ral, </w:t>
      </w:r>
      <w:r w:rsidR="003E6D3F">
        <w:rPr>
          <w:noProof/>
          <w:lang w:val="fr-FR"/>
        </w:rPr>
        <w:t xml:space="preserve">ce qui dans bien des cas donne </w:t>
      </w:r>
      <w:r w:rsidR="001623C3">
        <w:rPr>
          <w:noProof/>
          <w:lang w:val="fr-FR"/>
        </w:rPr>
        <w:t xml:space="preserve">à ces derniers </w:t>
      </w:r>
      <w:r w:rsidR="00D62008">
        <w:rPr>
          <w:noProof/>
          <w:lang w:val="fr-FR"/>
        </w:rPr>
        <w:t>l</w:t>
      </w:r>
      <w:r w:rsidR="003E6D3F">
        <w:rPr>
          <w:noProof/>
          <w:lang w:val="fr-FR"/>
        </w:rPr>
        <w:t xml:space="preserve">a possibilité d’entrer en contact avec </w:t>
      </w:r>
      <w:r w:rsidR="00107573">
        <w:rPr>
          <w:noProof/>
          <w:lang w:val="fr-FR"/>
        </w:rPr>
        <w:lastRenderedPageBreak/>
        <w:t>des artistes en exercice</w:t>
      </w:r>
      <w:r w:rsidR="001B2F58" w:rsidRPr="00DD03D6">
        <w:rPr>
          <w:noProof/>
          <w:lang w:val="fr-FR"/>
        </w:rPr>
        <w:t xml:space="preserve">. </w:t>
      </w:r>
      <w:r w:rsidR="00107573">
        <w:rPr>
          <w:noProof/>
          <w:lang w:val="fr-FR"/>
        </w:rPr>
        <w:t>Il est courant, par exemple, de proposer un programme de musique dans le cadre de l’année de t</w:t>
      </w:r>
      <w:r w:rsidR="001B2F58" w:rsidRPr="00DD03D6">
        <w:rPr>
          <w:noProof/>
          <w:lang w:val="fr-FR"/>
        </w:rPr>
        <w:t xml:space="preserve">ransition. </w:t>
      </w:r>
      <w:r w:rsidR="00107573">
        <w:rPr>
          <w:noProof/>
          <w:lang w:val="fr-FR"/>
        </w:rPr>
        <w:t>Le programme de l’année de t</w:t>
      </w:r>
      <w:r w:rsidR="001B2F58" w:rsidRPr="00DD03D6">
        <w:rPr>
          <w:noProof/>
          <w:lang w:val="fr-FR"/>
        </w:rPr>
        <w:t xml:space="preserve">ransition </w:t>
      </w:r>
      <w:r w:rsidR="00107573">
        <w:rPr>
          <w:noProof/>
          <w:lang w:val="fr-FR"/>
        </w:rPr>
        <w:t xml:space="preserve">est suivi par </w:t>
      </w:r>
      <w:r w:rsidR="001B2F58" w:rsidRPr="00DD03D6">
        <w:rPr>
          <w:noProof/>
          <w:lang w:val="fr-FR"/>
        </w:rPr>
        <w:t>50</w:t>
      </w:r>
      <w:r w:rsidR="003F1ADB">
        <w:rPr>
          <w:noProof/>
          <w:lang w:val="fr-FR"/>
        </w:rPr>
        <w:t> %</w:t>
      </w:r>
      <w:r w:rsidR="001B2F58" w:rsidRPr="00DD03D6">
        <w:rPr>
          <w:noProof/>
          <w:lang w:val="fr-FR"/>
        </w:rPr>
        <w:t xml:space="preserve"> </w:t>
      </w:r>
      <w:r w:rsidR="00107573">
        <w:rPr>
          <w:noProof/>
          <w:lang w:val="fr-FR"/>
        </w:rPr>
        <w:t xml:space="preserve">de la cohorte scolaire dans quelque </w:t>
      </w:r>
      <w:r w:rsidR="001B2F58" w:rsidRPr="00DD03D6">
        <w:rPr>
          <w:noProof/>
          <w:lang w:val="fr-FR"/>
        </w:rPr>
        <w:t xml:space="preserve">550 </w:t>
      </w:r>
      <w:r w:rsidR="00107573">
        <w:rPr>
          <w:noProof/>
          <w:lang w:val="fr-FR"/>
        </w:rPr>
        <w:t>écoles</w:t>
      </w:r>
      <w:r w:rsidR="001B2F58" w:rsidRPr="00DD03D6">
        <w:rPr>
          <w:noProof/>
          <w:lang w:val="fr-FR"/>
        </w:rPr>
        <w:t>.</w:t>
      </w:r>
    </w:p>
    <w:p w:rsidR="001B2F58" w:rsidRPr="00DD03D6" w:rsidRDefault="001623C3" w:rsidP="002C58C8">
      <w:pPr>
        <w:pStyle w:val="SingleTxtG"/>
        <w:numPr>
          <w:ilvl w:val="0"/>
          <w:numId w:val="3"/>
        </w:numPr>
        <w:ind w:left="1134" w:firstLine="0"/>
        <w:rPr>
          <w:i/>
          <w:noProof/>
          <w:lang w:val="fr-FR"/>
        </w:rPr>
      </w:pPr>
      <w:r>
        <w:rPr>
          <w:noProof/>
          <w:lang w:val="fr-FR"/>
        </w:rPr>
        <w:t>L’éducation p</w:t>
      </w:r>
      <w:r w:rsidR="001B2F58" w:rsidRPr="00DD03D6">
        <w:rPr>
          <w:noProof/>
          <w:lang w:val="fr-FR"/>
        </w:rPr>
        <w:t>hysi</w:t>
      </w:r>
      <w:r>
        <w:rPr>
          <w:noProof/>
          <w:lang w:val="fr-FR"/>
        </w:rPr>
        <w:t>que est assurée dans le cadre du programme du primaire et dans celui du secondaire</w:t>
      </w:r>
      <w:r w:rsidR="001B2F58" w:rsidRPr="00DD03D6">
        <w:rPr>
          <w:noProof/>
          <w:lang w:val="fr-FR"/>
        </w:rPr>
        <w:t xml:space="preserve">. </w:t>
      </w:r>
      <w:r>
        <w:rPr>
          <w:noProof/>
          <w:lang w:val="fr-FR"/>
        </w:rPr>
        <w:t xml:space="preserve">D’autres mesures prises dans ce domaine sont présentées aux </w:t>
      </w:r>
      <w:r w:rsidR="0012415F" w:rsidRPr="00DD03D6">
        <w:rPr>
          <w:noProof/>
          <w:lang w:val="fr-FR"/>
        </w:rPr>
        <w:t>p</w:t>
      </w:r>
      <w:r w:rsidR="00796A7C" w:rsidRPr="00DD03D6">
        <w:rPr>
          <w:noProof/>
          <w:lang w:val="fr-FR"/>
        </w:rPr>
        <w:t>aragraph</w:t>
      </w:r>
      <w:r>
        <w:rPr>
          <w:noProof/>
          <w:lang w:val="fr-FR"/>
        </w:rPr>
        <w:t>e</w:t>
      </w:r>
      <w:r w:rsidR="00796A7C" w:rsidRPr="00DD03D6">
        <w:rPr>
          <w:noProof/>
          <w:lang w:val="fr-FR"/>
        </w:rPr>
        <w:t>s </w:t>
      </w:r>
      <w:r w:rsidR="00D17B5D" w:rsidRPr="00DD03D6">
        <w:rPr>
          <w:noProof/>
          <w:lang w:val="fr-FR"/>
        </w:rPr>
        <w:t>500</w:t>
      </w:r>
      <w:r>
        <w:rPr>
          <w:noProof/>
          <w:lang w:val="fr-FR"/>
        </w:rPr>
        <w:t xml:space="preserve"> à </w:t>
      </w:r>
      <w:r w:rsidR="00D17B5D" w:rsidRPr="00DD03D6">
        <w:rPr>
          <w:noProof/>
          <w:lang w:val="fr-FR"/>
        </w:rPr>
        <w:t>503</w:t>
      </w:r>
      <w:r w:rsidR="001B2F58" w:rsidRPr="00DD03D6">
        <w:rPr>
          <w:noProof/>
          <w:lang w:val="fr-FR"/>
        </w:rPr>
        <w:t>.</w:t>
      </w:r>
      <w:r w:rsidR="00D17B5D" w:rsidRPr="00DD03D6">
        <w:rPr>
          <w:noProof/>
          <w:lang w:val="fr-FR"/>
        </w:rPr>
        <w:t xml:space="preserve"> </w:t>
      </w:r>
    </w:p>
    <w:p w:rsidR="001B2F58" w:rsidRPr="00DD03D6" w:rsidRDefault="001623C3" w:rsidP="001623C3">
      <w:pPr>
        <w:pStyle w:val="H23G"/>
        <w:ind w:firstLine="0"/>
        <w:rPr>
          <w:noProof/>
          <w:lang w:val="fr-FR"/>
        </w:rPr>
      </w:pPr>
      <w:r>
        <w:rPr>
          <w:noProof/>
          <w:lang w:val="fr-FR"/>
        </w:rPr>
        <w:t>Activité physique et jeu</w:t>
      </w:r>
      <w:r w:rsidR="001B2F58" w:rsidRPr="00DD03D6">
        <w:rPr>
          <w:noProof/>
          <w:lang w:val="fr-FR"/>
        </w:rPr>
        <w:t xml:space="preserve"> </w:t>
      </w:r>
    </w:p>
    <w:p w:rsidR="001B2F58" w:rsidRPr="00DD03D6" w:rsidRDefault="001623C3" w:rsidP="00E4251B">
      <w:pPr>
        <w:pStyle w:val="SingleTxtG"/>
        <w:numPr>
          <w:ilvl w:val="0"/>
          <w:numId w:val="3"/>
        </w:numPr>
        <w:ind w:left="1134" w:firstLine="0"/>
        <w:rPr>
          <w:noProof/>
          <w:lang w:val="fr-FR"/>
        </w:rPr>
      </w:pPr>
      <w:r>
        <w:rPr>
          <w:iCs/>
          <w:noProof/>
          <w:lang w:val="fr-FR"/>
        </w:rPr>
        <w:t xml:space="preserve">Le document </w:t>
      </w:r>
      <w:r w:rsidR="00BE5B5E">
        <w:rPr>
          <w:i/>
          <w:iCs/>
          <w:noProof/>
          <w:lang w:val="fr-FR"/>
        </w:rPr>
        <w:t>À vos marques, prêts, jouez</w:t>
      </w:r>
      <w:r>
        <w:rPr>
          <w:i/>
          <w:iCs/>
          <w:noProof/>
          <w:lang w:val="fr-FR"/>
        </w:rPr>
        <w:t xml:space="preserve">! : politique nationale du jeu </w:t>
      </w:r>
      <w:r>
        <w:rPr>
          <w:iCs/>
          <w:noProof/>
          <w:lang w:val="fr-FR"/>
        </w:rPr>
        <w:t>(</w:t>
      </w:r>
      <w:r w:rsidRPr="00DD03D6">
        <w:rPr>
          <w:i/>
          <w:iCs/>
          <w:noProof/>
          <w:lang w:val="fr-FR"/>
        </w:rPr>
        <w:t>Ready, Steady, Play: A National Play Policy</w:t>
      </w:r>
      <w:r>
        <w:rPr>
          <w:noProof/>
          <w:lang w:val="fr-FR"/>
        </w:rPr>
        <w:t xml:space="preserve">) a été publié en mars </w:t>
      </w:r>
      <w:r w:rsidRPr="00DD03D6">
        <w:rPr>
          <w:noProof/>
          <w:lang w:val="fr-FR"/>
        </w:rPr>
        <w:t>2004</w:t>
      </w:r>
      <w:r>
        <w:rPr>
          <w:noProof/>
          <w:lang w:val="fr-FR"/>
        </w:rPr>
        <w:t>; c’était la première politique aussi détaillée sur ce thème jamais publiée en Irlande</w:t>
      </w:r>
      <w:r w:rsidRPr="00DD03D6">
        <w:rPr>
          <w:noProof/>
          <w:lang w:val="fr-FR"/>
        </w:rPr>
        <w:t xml:space="preserve">. </w:t>
      </w:r>
      <w:r>
        <w:rPr>
          <w:noProof/>
          <w:lang w:val="fr-FR"/>
        </w:rPr>
        <w:t xml:space="preserve">Depuis </w:t>
      </w:r>
      <w:r w:rsidRPr="00DD03D6">
        <w:rPr>
          <w:noProof/>
          <w:lang w:val="fr-FR"/>
        </w:rPr>
        <w:t>200</w:t>
      </w:r>
      <w:r>
        <w:rPr>
          <w:noProof/>
          <w:lang w:val="fr-FR"/>
        </w:rPr>
        <w:t>4</w:t>
      </w:r>
      <w:r w:rsidRPr="00DD03D6">
        <w:rPr>
          <w:noProof/>
          <w:lang w:val="fr-FR"/>
        </w:rPr>
        <w:t xml:space="preserve">, </w:t>
      </w:r>
      <w:r>
        <w:rPr>
          <w:noProof/>
          <w:lang w:val="fr-FR"/>
        </w:rPr>
        <w:t xml:space="preserve">le Gouvernement a alloué </w:t>
      </w:r>
      <w:r w:rsidRPr="00DD03D6">
        <w:rPr>
          <w:noProof/>
          <w:lang w:val="fr-FR"/>
        </w:rPr>
        <w:t>28</w:t>
      </w:r>
      <w:r>
        <w:rPr>
          <w:noProof/>
          <w:lang w:val="fr-FR"/>
        </w:rPr>
        <w:t>,</w:t>
      </w:r>
      <w:r w:rsidRPr="00DD03D6">
        <w:rPr>
          <w:noProof/>
          <w:lang w:val="fr-FR"/>
        </w:rPr>
        <w:t>3 million</w:t>
      </w:r>
      <w:r>
        <w:rPr>
          <w:noProof/>
          <w:lang w:val="fr-FR"/>
        </w:rPr>
        <w:t>s d’euros au titre de la fourniture de terrains de jeu ou de leur amélioration</w:t>
      </w:r>
      <w:r w:rsidRPr="00DD03D6">
        <w:rPr>
          <w:noProof/>
          <w:lang w:val="fr-FR"/>
        </w:rPr>
        <w:t xml:space="preserve"> </w:t>
      </w:r>
      <w:r>
        <w:rPr>
          <w:noProof/>
          <w:lang w:val="fr-FR"/>
        </w:rPr>
        <w:t xml:space="preserve">dans le cadre de l’application de cette politique et du programme </w:t>
      </w:r>
      <w:r w:rsidRPr="00DD03D6">
        <w:rPr>
          <w:noProof/>
          <w:lang w:val="fr-FR"/>
        </w:rPr>
        <w:t xml:space="preserve">RAPID </w:t>
      </w:r>
      <w:r>
        <w:rPr>
          <w:noProof/>
          <w:lang w:val="fr-FR"/>
        </w:rPr>
        <w:t>en faveur des zones défavorisées</w:t>
      </w:r>
      <w:r w:rsidR="001B2F58" w:rsidRPr="00DD03D6">
        <w:rPr>
          <w:noProof/>
          <w:lang w:val="fr-FR"/>
        </w:rPr>
        <w:t xml:space="preserve">. </w:t>
      </w:r>
      <w:r>
        <w:rPr>
          <w:noProof/>
          <w:lang w:val="fr-FR"/>
        </w:rPr>
        <w:t xml:space="preserve">Ce financement a permis </w:t>
      </w:r>
      <w:r w:rsidR="00E459E3">
        <w:rPr>
          <w:noProof/>
          <w:lang w:val="fr-FR"/>
        </w:rPr>
        <w:t xml:space="preserve">de multiplier par plus de deux le nombre de terrains de jeu dans le pays – il est passé de moins de 200 à plus de </w:t>
      </w:r>
      <w:r w:rsidR="001B2F58" w:rsidRPr="00DD03D6">
        <w:rPr>
          <w:noProof/>
          <w:lang w:val="fr-FR"/>
        </w:rPr>
        <w:t xml:space="preserve">561 – </w:t>
      </w:r>
      <w:r w:rsidR="00E459E3">
        <w:rPr>
          <w:noProof/>
          <w:lang w:val="fr-FR"/>
        </w:rPr>
        <w:t xml:space="preserve">et l’on prévoit d’en construire plus de </w:t>
      </w:r>
      <w:r w:rsidR="001B2F58" w:rsidRPr="00DD03D6">
        <w:rPr>
          <w:noProof/>
          <w:lang w:val="fr-FR"/>
        </w:rPr>
        <w:t xml:space="preserve">100 </w:t>
      </w:r>
      <w:r w:rsidR="00E459E3">
        <w:rPr>
          <w:noProof/>
          <w:lang w:val="fr-FR"/>
        </w:rPr>
        <w:t>autres</w:t>
      </w:r>
      <w:r w:rsidR="001B2F58" w:rsidRPr="00DD03D6">
        <w:rPr>
          <w:noProof/>
          <w:lang w:val="fr-FR"/>
        </w:rPr>
        <w:t>.</w:t>
      </w:r>
    </w:p>
    <w:p w:rsidR="001B2F58" w:rsidRPr="00DD03D6" w:rsidRDefault="00E459E3" w:rsidP="002C58C8">
      <w:pPr>
        <w:pStyle w:val="SingleTxtG"/>
        <w:numPr>
          <w:ilvl w:val="0"/>
          <w:numId w:val="3"/>
        </w:numPr>
        <w:ind w:left="1134" w:firstLine="0"/>
        <w:rPr>
          <w:noProof/>
          <w:lang w:val="fr-FR"/>
        </w:rPr>
      </w:pPr>
      <w:r>
        <w:rPr>
          <w:noProof/>
          <w:lang w:val="fr-FR"/>
        </w:rPr>
        <w:t>E</w:t>
      </w:r>
      <w:r w:rsidR="001B2F58" w:rsidRPr="00DD03D6">
        <w:rPr>
          <w:noProof/>
          <w:lang w:val="fr-FR"/>
        </w:rPr>
        <w:t xml:space="preserve">n </w:t>
      </w:r>
      <w:r>
        <w:rPr>
          <w:noProof/>
          <w:lang w:val="fr-FR"/>
        </w:rPr>
        <w:t>outre, le</w:t>
      </w:r>
      <w:r w:rsidR="001B2F58" w:rsidRPr="00DD03D6">
        <w:rPr>
          <w:noProof/>
          <w:lang w:val="fr-FR"/>
        </w:rPr>
        <w:t xml:space="preserve"> Go</w:t>
      </w:r>
      <w:r>
        <w:rPr>
          <w:noProof/>
          <w:lang w:val="fr-FR"/>
        </w:rPr>
        <w:t>u</w:t>
      </w:r>
      <w:r w:rsidR="001B2F58" w:rsidRPr="00DD03D6">
        <w:rPr>
          <w:noProof/>
          <w:lang w:val="fr-FR"/>
        </w:rPr>
        <w:t>vern</w:t>
      </w:r>
      <w:r>
        <w:rPr>
          <w:noProof/>
          <w:lang w:val="fr-FR"/>
        </w:rPr>
        <w:t>e</w:t>
      </w:r>
      <w:r w:rsidR="001B2F58" w:rsidRPr="00DD03D6">
        <w:rPr>
          <w:noProof/>
          <w:lang w:val="fr-FR"/>
        </w:rPr>
        <w:t xml:space="preserve">ment </w:t>
      </w:r>
      <w:r>
        <w:rPr>
          <w:noProof/>
          <w:lang w:val="fr-FR"/>
        </w:rPr>
        <w:t>parraine une Journée nationale du jeu (annuelle) en coopé</w:t>
      </w:r>
      <w:r w:rsidR="001B2F58" w:rsidRPr="00DD03D6">
        <w:rPr>
          <w:noProof/>
          <w:lang w:val="fr-FR"/>
        </w:rPr>
        <w:t xml:space="preserve">ration </w:t>
      </w:r>
      <w:r>
        <w:rPr>
          <w:noProof/>
          <w:lang w:val="fr-FR"/>
        </w:rPr>
        <w:t xml:space="preserve">avec un réseau </w:t>
      </w:r>
      <w:r w:rsidR="001B2F58" w:rsidRPr="00DD03D6">
        <w:rPr>
          <w:noProof/>
          <w:lang w:val="fr-FR"/>
        </w:rPr>
        <w:t>nation</w:t>
      </w:r>
      <w:r>
        <w:rPr>
          <w:noProof/>
          <w:lang w:val="fr-FR"/>
        </w:rPr>
        <w:t>al d’organismes publics et d’associations locaux</w:t>
      </w:r>
      <w:r w:rsidR="001B2F58" w:rsidRPr="00DD03D6">
        <w:rPr>
          <w:noProof/>
          <w:lang w:val="fr-FR"/>
        </w:rPr>
        <w:t xml:space="preserve">. </w:t>
      </w:r>
      <w:r>
        <w:rPr>
          <w:noProof/>
          <w:lang w:val="fr-FR"/>
        </w:rPr>
        <w:t xml:space="preserve">Quelque </w:t>
      </w:r>
      <w:r w:rsidR="001B2F58" w:rsidRPr="00DD03D6">
        <w:rPr>
          <w:noProof/>
          <w:lang w:val="fr-FR"/>
        </w:rPr>
        <w:t>85</w:t>
      </w:r>
      <w:r w:rsidR="003F1ADB">
        <w:rPr>
          <w:noProof/>
          <w:lang w:val="fr-FR"/>
        </w:rPr>
        <w:t> %</w:t>
      </w:r>
      <w:r w:rsidR="001B2F58" w:rsidRPr="00DD03D6">
        <w:rPr>
          <w:noProof/>
          <w:lang w:val="fr-FR"/>
        </w:rPr>
        <w:t xml:space="preserve"> </w:t>
      </w:r>
      <w:r>
        <w:rPr>
          <w:noProof/>
          <w:lang w:val="fr-FR"/>
        </w:rPr>
        <w:t xml:space="preserve">des autorités locales ont organisé des activités au titre de cette Journée en </w:t>
      </w:r>
      <w:r w:rsidR="001B2F58" w:rsidRPr="00DD03D6">
        <w:rPr>
          <w:noProof/>
          <w:lang w:val="fr-FR"/>
        </w:rPr>
        <w:t xml:space="preserve">2012, </w:t>
      </w:r>
      <w:r>
        <w:rPr>
          <w:noProof/>
          <w:lang w:val="fr-FR"/>
        </w:rPr>
        <w:t>ce qui a représenté le taux de</w:t>
      </w:r>
      <w:r w:rsidR="001B2F58" w:rsidRPr="00DD03D6">
        <w:rPr>
          <w:noProof/>
          <w:lang w:val="fr-FR"/>
        </w:rPr>
        <w:t xml:space="preserve"> participation</w:t>
      </w:r>
      <w:r>
        <w:rPr>
          <w:noProof/>
          <w:lang w:val="fr-FR"/>
        </w:rPr>
        <w:t xml:space="preserve"> le plus élevé réalisé jusqu’ici</w:t>
      </w:r>
      <w:r w:rsidR="001B2F58" w:rsidRPr="00DD03D6">
        <w:rPr>
          <w:noProof/>
          <w:lang w:val="fr-FR"/>
        </w:rPr>
        <w:t xml:space="preserve">. </w:t>
      </w:r>
      <w:r>
        <w:rPr>
          <w:noProof/>
          <w:lang w:val="fr-FR"/>
        </w:rPr>
        <w:t xml:space="preserve">Ces activités ont été précédées par la mise en place par le </w:t>
      </w:r>
      <w:r w:rsidR="001B2F58" w:rsidRPr="00DD03D6">
        <w:rPr>
          <w:noProof/>
          <w:lang w:val="fr-FR"/>
        </w:rPr>
        <w:t>Go</w:t>
      </w:r>
      <w:r>
        <w:rPr>
          <w:noProof/>
          <w:lang w:val="fr-FR"/>
        </w:rPr>
        <w:t>u</w:t>
      </w:r>
      <w:r w:rsidR="001B2F58" w:rsidRPr="00DD03D6">
        <w:rPr>
          <w:noProof/>
          <w:lang w:val="fr-FR"/>
        </w:rPr>
        <w:t>vern</w:t>
      </w:r>
      <w:r>
        <w:rPr>
          <w:noProof/>
          <w:lang w:val="fr-FR"/>
        </w:rPr>
        <w:t>e</w:t>
      </w:r>
      <w:r w:rsidR="001B2F58" w:rsidRPr="00DD03D6">
        <w:rPr>
          <w:noProof/>
          <w:lang w:val="fr-FR"/>
        </w:rPr>
        <w:t xml:space="preserve">ment </w:t>
      </w:r>
      <w:r>
        <w:rPr>
          <w:noProof/>
          <w:lang w:val="fr-FR"/>
        </w:rPr>
        <w:t xml:space="preserve">d’un réseau national de jeu et de loisirs en février </w:t>
      </w:r>
      <w:r w:rsidR="001B2F58" w:rsidRPr="00DD03D6">
        <w:rPr>
          <w:noProof/>
          <w:lang w:val="fr-FR"/>
        </w:rPr>
        <w:t xml:space="preserve">2012. </w:t>
      </w:r>
      <w:r>
        <w:rPr>
          <w:noProof/>
          <w:lang w:val="fr-FR"/>
        </w:rPr>
        <w:t xml:space="preserve">Le but de toutes ces interventions est </w:t>
      </w:r>
      <w:r w:rsidR="00E97D05">
        <w:rPr>
          <w:noProof/>
          <w:lang w:val="fr-FR"/>
        </w:rPr>
        <w:t>de faire mieux prendre conscience aux décideurs, parents, familles et éducateurs de l’importance du jeu et des loisirs</w:t>
      </w:r>
      <w:r w:rsidR="001B2F58" w:rsidRPr="00DD03D6">
        <w:rPr>
          <w:noProof/>
          <w:lang w:val="fr-FR"/>
        </w:rPr>
        <w:t xml:space="preserve">. </w:t>
      </w:r>
      <w:r w:rsidR="00E97D05">
        <w:rPr>
          <w:noProof/>
          <w:lang w:val="fr-FR"/>
        </w:rPr>
        <w:t>Le processus sera incorporé dans les politiques de protection de l’enfance plus générales, avec la participation des Comités de protection de l’enfance de la ville et du comté, de planificateurs et d’organisations non gouvernementales telles que Sugradh Ir</w:t>
      </w:r>
      <w:r w:rsidR="001B2F58" w:rsidRPr="00DD03D6">
        <w:rPr>
          <w:noProof/>
          <w:lang w:val="fr-FR"/>
        </w:rPr>
        <w:t>land</w:t>
      </w:r>
      <w:r w:rsidR="00E97D05">
        <w:rPr>
          <w:noProof/>
          <w:lang w:val="fr-FR"/>
        </w:rPr>
        <w:t>e</w:t>
      </w:r>
      <w:r w:rsidR="001B2F58" w:rsidRPr="00DD03D6">
        <w:rPr>
          <w:noProof/>
          <w:lang w:val="fr-FR"/>
        </w:rPr>
        <w:t xml:space="preserve">, </w:t>
      </w:r>
      <w:r w:rsidR="00E97D05">
        <w:rPr>
          <w:noProof/>
          <w:lang w:val="fr-FR"/>
        </w:rPr>
        <w:t>dans le but d’élaborer une approche intégrée de l’enfance dans laquelle l’</w:t>
      </w:r>
      <w:r w:rsidR="001B2F58" w:rsidRPr="00DD03D6">
        <w:rPr>
          <w:noProof/>
          <w:lang w:val="fr-FR"/>
        </w:rPr>
        <w:t xml:space="preserve">importance </w:t>
      </w:r>
      <w:r w:rsidR="00E97D05">
        <w:rPr>
          <w:noProof/>
          <w:lang w:val="fr-FR"/>
        </w:rPr>
        <w:t xml:space="preserve">du jeu et de villes </w:t>
      </w:r>
      <w:r w:rsidR="004D6AB9">
        <w:rPr>
          <w:noProof/>
          <w:lang w:val="fr-FR"/>
        </w:rPr>
        <w:t>adaptées aux besoins des enfants est largement comprise et reconnue</w:t>
      </w:r>
      <w:r w:rsidR="001B2F58" w:rsidRPr="00DD03D6">
        <w:rPr>
          <w:noProof/>
          <w:lang w:val="fr-FR"/>
        </w:rPr>
        <w:t xml:space="preserve">. </w:t>
      </w:r>
      <w:r w:rsidR="004D6AB9">
        <w:rPr>
          <w:noProof/>
          <w:lang w:val="fr-FR"/>
        </w:rPr>
        <w:t xml:space="preserve">La plupart des administrations locales se sont déjà dotées de politiques en matière de jeu, qui sont </w:t>
      </w:r>
      <w:r w:rsidR="001B2F58" w:rsidRPr="00DD03D6">
        <w:rPr>
          <w:noProof/>
          <w:lang w:val="fr-FR"/>
        </w:rPr>
        <w:t>publi</w:t>
      </w:r>
      <w:r w:rsidR="004D6AB9">
        <w:rPr>
          <w:noProof/>
          <w:lang w:val="fr-FR"/>
        </w:rPr>
        <w:t xml:space="preserve">ées et appliquées, les grands centres urbains comme </w:t>
      </w:r>
      <w:r w:rsidR="001B2F58" w:rsidRPr="00DD03D6">
        <w:rPr>
          <w:noProof/>
          <w:lang w:val="fr-FR"/>
        </w:rPr>
        <w:t xml:space="preserve">Dublin </w:t>
      </w:r>
      <w:r w:rsidR="004D6AB9">
        <w:rPr>
          <w:noProof/>
          <w:lang w:val="fr-FR"/>
        </w:rPr>
        <w:t xml:space="preserve">s’employant à mettre en œuvre une approche </w:t>
      </w:r>
      <w:r w:rsidR="0080656C">
        <w:rPr>
          <w:noProof/>
          <w:lang w:val="fr-FR"/>
        </w:rPr>
        <w:t>fondée sur un plan pleinement intégré relatif au jeu</w:t>
      </w:r>
      <w:r w:rsidR="001B2F58" w:rsidRPr="00DD03D6">
        <w:rPr>
          <w:noProof/>
          <w:lang w:val="fr-FR"/>
        </w:rPr>
        <w:t>.</w:t>
      </w:r>
    </w:p>
    <w:p w:rsidR="001B2F58" w:rsidRPr="00DD03D6" w:rsidRDefault="0080656C" w:rsidP="002C58C8">
      <w:pPr>
        <w:pStyle w:val="SingleTxtG"/>
        <w:numPr>
          <w:ilvl w:val="0"/>
          <w:numId w:val="3"/>
        </w:numPr>
        <w:ind w:left="1134" w:firstLine="0"/>
        <w:rPr>
          <w:noProof/>
          <w:lang w:val="fr-FR"/>
        </w:rPr>
      </w:pPr>
      <w:r>
        <w:rPr>
          <w:noProof/>
          <w:lang w:val="fr-FR"/>
        </w:rPr>
        <w:t>E</w:t>
      </w:r>
      <w:r w:rsidR="001B2F58" w:rsidRPr="00DD03D6">
        <w:rPr>
          <w:noProof/>
          <w:lang w:val="fr-FR"/>
        </w:rPr>
        <w:t xml:space="preserve">n </w:t>
      </w:r>
      <w:r>
        <w:rPr>
          <w:noProof/>
          <w:lang w:val="fr-FR"/>
        </w:rPr>
        <w:t xml:space="preserve">septembre </w:t>
      </w:r>
      <w:r w:rsidR="001B2F58" w:rsidRPr="00DD03D6">
        <w:rPr>
          <w:noProof/>
          <w:lang w:val="fr-FR"/>
        </w:rPr>
        <w:t xml:space="preserve">2007, </w:t>
      </w:r>
      <w:r w:rsidR="007833F8">
        <w:rPr>
          <w:noProof/>
          <w:lang w:val="fr-FR"/>
        </w:rPr>
        <w:t xml:space="preserve">la politique </w:t>
      </w:r>
      <w:r w:rsidR="007833F8">
        <w:rPr>
          <w:i/>
          <w:noProof/>
          <w:lang w:val="fr-FR"/>
        </w:rPr>
        <w:t xml:space="preserve">Espace ados : La politique nationale des loisirs des jeunes </w:t>
      </w:r>
      <w:r w:rsidR="007833F8">
        <w:rPr>
          <w:noProof/>
          <w:lang w:val="fr-FR"/>
        </w:rPr>
        <w:t>(</w:t>
      </w:r>
      <w:r w:rsidR="007833F8" w:rsidRPr="00DD03D6">
        <w:rPr>
          <w:i/>
          <w:iCs/>
          <w:noProof/>
          <w:lang w:val="fr-FR"/>
        </w:rPr>
        <w:t>Teenspace: The National Recreation Policy</w:t>
      </w:r>
      <w:r w:rsidR="007833F8" w:rsidRPr="00DD03D6">
        <w:rPr>
          <w:noProof/>
          <w:lang w:val="fr-FR"/>
        </w:rPr>
        <w:t xml:space="preserve"> </w:t>
      </w:r>
      <w:r w:rsidR="007833F8" w:rsidRPr="00DD03D6">
        <w:rPr>
          <w:i/>
          <w:iCs/>
          <w:noProof/>
          <w:lang w:val="fr-FR"/>
        </w:rPr>
        <w:t>for Young People</w:t>
      </w:r>
      <w:r w:rsidR="007833F8">
        <w:rPr>
          <w:noProof/>
          <w:lang w:val="fr-FR"/>
        </w:rPr>
        <w:t xml:space="preserve">) a été présentée par ce qui était alors le </w:t>
      </w:r>
      <w:r w:rsidR="00D8239B">
        <w:rPr>
          <w:noProof/>
          <w:lang w:val="fr-FR"/>
        </w:rPr>
        <w:t xml:space="preserve">Cabinet de la </w:t>
      </w:r>
      <w:r w:rsidR="00086785">
        <w:rPr>
          <w:noProof/>
          <w:lang w:val="fr-FR"/>
        </w:rPr>
        <w:t>M</w:t>
      </w:r>
      <w:r w:rsidR="00D8239B">
        <w:rPr>
          <w:noProof/>
          <w:lang w:val="fr-FR"/>
        </w:rPr>
        <w:t>inistre de l’enfance et de la jeunesse</w:t>
      </w:r>
      <w:r w:rsidR="007833F8">
        <w:rPr>
          <w:noProof/>
          <w:lang w:val="fr-FR"/>
        </w:rPr>
        <w:t xml:space="preserve"> (Bureau national des enfants,</w:t>
      </w:r>
      <w:r w:rsidR="007833F8" w:rsidRPr="00DD03D6">
        <w:rPr>
          <w:noProof/>
          <w:lang w:val="fr-FR"/>
        </w:rPr>
        <w:t xml:space="preserve"> 2007b). </w:t>
      </w:r>
      <w:r w:rsidR="007833F8">
        <w:rPr>
          <w:noProof/>
          <w:lang w:val="fr-FR"/>
        </w:rPr>
        <w:t xml:space="preserve">Elle porte sur les besoins d’activités récréatives des jeunes âgés de </w:t>
      </w:r>
      <w:r w:rsidR="007833F8" w:rsidRPr="00DD03D6">
        <w:rPr>
          <w:noProof/>
          <w:lang w:val="fr-FR"/>
        </w:rPr>
        <w:t xml:space="preserve">12 </w:t>
      </w:r>
      <w:r w:rsidR="007833F8">
        <w:rPr>
          <w:noProof/>
          <w:lang w:val="fr-FR"/>
        </w:rPr>
        <w:t>à</w:t>
      </w:r>
      <w:r w:rsidR="007833F8" w:rsidRPr="00DD03D6">
        <w:rPr>
          <w:noProof/>
          <w:lang w:val="fr-FR"/>
        </w:rPr>
        <w:t xml:space="preserve"> 1</w:t>
      </w:r>
      <w:r w:rsidR="007833F8">
        <w:rPr>
          <w:noProof/>
          <w:lang w:val="fr-FR"/>
        </w:rPr>
        <w:t>8</w:t>
      </w:r>
      <w:r w:rsidR="007833F8" w:rsidRPr="00DD03D6">
        <w:rPr>
          <w:noProof/>
          <w:lang w:val="fr-FR"/>
        </w:rPr>
        <w:t xml:space="preserve"> </w:t>
      </w:r>
      <w:r w:rsidR="007833F8">
        <w:rPr>
          <w:noProof/>
          <w:lang w:val="fr-FR"/>
        </w:rPr>
        <w:t xml:space="preserve">ans et prévoit un cadre </w:t>
      </w:r>
      <w:r w:rsidR="007833F8" w:rsidRPr="00DD03D6">
        <w:rPr>
          <w:noProof/>
          <w:lang w:val="fr-FR"/>
        </w:rPr>
        <w:t>strat</w:t>
      </w:r>
      <w:r w:rsidR="007833F8">
        <w:rPr>
          <w:noProof/>
          <w:lang w:val="fr-FR"/>
        </w:rPr>
        <w:t>é</w:t>
      </w:r>
      <w:r w:rsidR="007833F8" w:rsidRPr="00DD03D6">
        <w:rPr>
          <w:noProof/>
          <w:lang w:val="fr-FR"/>
        </w:rPr>
        <w:t>gi</w:t>
      </w:r>
      <w:r w:rsidR="007833F8">
        <w:rPr>
          <w:noProof/>
          <w:lang w:val="fr-FR"/>
        </w:rPr>
        <w:t>que</w:t>
      </w:r>
      <w:r w:rsidR="007833F8" w:rsidRPr="00DD03D6">
        <w:rPr>
          <w:noProof/>
          <w:lang w:val="fr-FR"/>
        </w:rPr>
        <w:t xml:space="preserve"> </w:t>
      </w:r>
      <w:r w:rsidR="007833F8">
        <w:rPr>
          <w:noProof/>
          <w:lang w:val="fr-FR"/>
        </w:rPr>
        <w:t xml:space="preserve">pour la </w:t>
      </w:r>
      <w:r w:rsidR="007833F8" w:rsidRPr="00DD03D6">
        <w:rPr>
          <w:noProof/>
          <w:lang w:val="fr-FR"/>
        </w:rPr>
        <w:t xml:space="preserve">promotion </w:t>
      </w:r>
      <w:r w:rsidR="007833F8">
        <w:rPr>
          <w:noProof/>
          <w:lang w:val="fr-FR"/>
        </w:rPr>
        <w:t xml:space="preserve">d’une offre ludique concrète s’adressant principalement à ce groupe d’âges. Elle comporte sept objectifs de base, dont chacun englobe une série d’activités </w:t>
      </w:r>
      <w:r w:rsidR="001B2F58" w:rsidRPr="00DD03D6">
        <w:rPr>
          <w:noProof/>
          <w:lang w:val="fr-FR"/>
        </w:rPr>
        <w:t xml:space="preserve">(76 </w:t>
      </w:r>
      <w:r w:rsidR="007833F8">
        <w:rPr>
          <w:noProof/>
          <w:lang w:val="fr-FR"/>
        </w:rPr>
        <w:t>au</w:t>
      </w:r>
      <w:r w:rsidR="001B2F58" w:rsidRPr="00DD03D6">
        <w:rPr>
          <w:noProof/>
          <w:lang w:val="fr-FR"/>
        </w:rPr>
        <w:t xml:space="preserve"> total), </w:t>
      </w:r>
      <w:r w:rsidR="007833F8">
        <w:rPr>
          <w:noProof/>
          <w:lang w:val="fr-FR"/>
        </w:rPr>
        <w:t>à réaliser en priorité par divers ministères et organismes publics qui ont un rôle essentiel à jouer dans l’exécution de ces activités dans le cadre général de la politique nationale des loisirs</w:t>
      </w:r>
      <w:r w:rsidR="001B2F58" w:rsidRPr="00DD03D6">
        <w:rPr>
          <w:noProof/>
          <w:lang w:val="fr-FR"/>
        </w:rPr>
        <w:t>.</w:t>
      </w:r>
    </w:p>
    <w:p w:rsidR="001B2F58" w:rsidRPr="00DD03D6" w:rsidRDefault="007833F8" w:rsidP="00E4251B">
      <w:pPr>
        <w:pStyle w:val="SingleTxtG"/>
        <w:numPr>
          <w:ilvl w:val="0"/>
          <w:numId w:val="3"/>
        </w:numPr>
        <w:ind w:left="1134" w:firstLine="0"/>
        <w:rPr>
          <w:noProof/>
          <w:lang w:val="fr-FR"/>
        </w:rPr>
      </w:pPr>
      <w:r>
        <w:rPr>
          <w:noProof/>
          <w:lang w:val="fr-FR"/>
        </w:rPr>
        <w:t>La politique nationale des loisirs</w:t>
      </w:r>
      <w:r w:rsidRPr="00DD03D6">
        <w:rPr>
          <w:noProof/>
          <w:lang w:val="fr-FR"/>
        </w:rPr>
        <w:t xml:space="preserve"> </w:t>
      </w:r>
      <w:r w:rsidR="001B2F58" w:rsidRPr="00DD03D6">
        <w:rPr>
          <w:noProof/>
          <w:lang w:val="fr-FR"/>
        </w:rPr>
        <w:t>adopt</w:t>
      </w:r>
      <w:r>
        <w:rPr>
          <w:noProof/>
          <w:lang w:val="fr-FR"/>
        </w:rPr>
        <w:t xml:space="preserve">e une </w:t>
      </w:r>
      <w:r w:rsidR="008F4322">
        <w:rPr>
          <w:noProof/>
          <w:lang w:val="fr-FR"/>
        </w:rPr>
        <w:t xml:space="preserve">approche factuelle, en traitant des questions mises en avant par un processus de consultation du public engagé par le </w:t>
      </w:r>
      <w:r w:rsidR="00D8239B">
        <w:rPr>
          <w:noProof/>
          <w:lang w:val="fr-FR"/>
        </w:rPr>
        <w:t xml:space="preserve">Cabinet de la </w:t>
      </w:r>
      <w:r w:rsidR="00086785">
        <w:rPr>
          <w:noProof/>
          <w:lang w:val="fr-FR"/>
        </w:rPr>
        <w:t>M</w:t>
      </w:r>
      <w:r w:rsidR="00D8239B">
        <w:rPr>
          <w:noProof/>
          <w:lang w:val="fr-FR"/>
        </w:rPr>
        <w:t>inistre de l’enfance et de la jeunesse</w:t>
      </w:r>
      <w:r w:rsidR="008F4322">
        <w:rPr>
          <w:noProof/>
          <w:lang w:val="fr-FR"/>
        </w:rPr>
        <w:t xml:space="preserve">, processus qui a donné à toutes les parties intéressées, notamment </w:t>
      </w:r>
      <w:r w:rsidR="00154D10">
        <w:rPr>
          <w:noProof/>
          <w:lang w:val="fr-FR"/>
        </w:rPr>
        <w:t>aux</w:t>
      </w:r>
      <w:r w:rsidR="008F4322">
        <w:rPr>
          <w:noProof/>
          <w:lang w:val="fr-FR"/>
        </w:rPr>
        <w:t xml:space="preserve"> jeunes, une occasion de se faire entendre dans l’élaboration de la politique en question</w:t>
      </w:r>
      <w:r w:rsidR="001B2F58" w:rsidRPr="00DD03D6">
        <w:rPr>
          <w:noProof/>
          <w:lang w:val="fr-FR"/>
        </w:rPr>
        <w:t xml:space="preserve">. </w:t>
      </w:r>
      <w:r w:rsidR="008F4322">
        <w:rPr>
          <w:noProof/>
          <w:lang w:val="fr-FR"/>
        </w:rPr>
        <w:t xml:space="preserve">L’élaboration de cette politique s’est également appuyée sur les conclusions d’une étude indépendante réalisée pour le compte du Bureau national des enfants </w:t>
      </w:r>
      <w:r w:rsidR="003A0D42">
        <w:rPr>
          <w:noProof/>
          <w:lang w:val="fr-FR"/>
        </w:rPr>
        <w:t xml:space="preserve">en </w:t>
      </w:r>
      <w:r w:rsidR="001B2F58" w:rsidRPr="00DD03D6">
        <w:rPr>
          <w:noProof/>
          <w:lang w:val="fr-FR"/>
        </w:rPr>
        <w:t xml:space="preserve">2005 </w:t>
      </w:r>
      <w:r w:rsidR="003A0D42">
        <w:rPr>
          <w:noProof/>
          <w:lang w:val="fr-FR"/>
        </w:rPr>
        <w:t>pour évaluer les activités récréatives des jeunes Irlandais</w:t>
      </w:r>
      <w:r w:rsidR="001B2F58" w:rsidRPr="00DD03D6">
        <w:rPr>
          <w:noProof/>
          <w:lang w:val="fr-FR"/>
        </w:rPr>
        <w:t xml:space="preserve">; </w:t>
      </w:r>
      <w:r w:rsidR="003A0D42">
        <w:rPr>
          <w:noProof/>
          <w:lang w:val="fr-FR"/>
        </w:rPr>
        <w:t>en particulie</w:t>
      </w:r>
      <w:r w:rsidR="001B2F58" w:rsidRPr="00DD03D6">
        <w:rPr>
          <w:noProof/>
          <w:lang w:val="fr-FR"/>
        </w:rPr>
        <w:t xml:space="preserve">r, </w:t>
      </w:r>
      <w:r w:rsidR="003A0D42">
        <w:rPr>
          <w:noProof/>
          <w:lang w:val="fr-FR"/>
        </w:rPr>
        <w:t xml:space="preserve">cette étude a examiné ce que les jeunes faisaient de leur temps libre, les obstacles rencontrés et les soutiens obtenus en matière d’accès aux activités récréatives, et leurs </w:t>
      </w:r>
      <w:r w:rsidR="001B2F58" w:rsidRPr="00DD03D6">
        <w:rPr>
          <w:noProof/>
          <w:lang w:val="fr-FR"/>
        </w:rPr>
        <w:t xml:space="preserve">aspirations </w:t>
      </w:r>
      <w:r w:rsidR="003A0D42">
        <w:rPr>
          <w:noProof/>
          <w:lang w:val="fr-FR"/>
        </w:rPr>
        <w:t xml:space="preserve">en ce qui concerne les loisirs </w:t>
      </w:r>
      <w:r w:rsidR="001B2F58" w:rsidRPr="00DD03D6">
        <w:rPr>
          <w:noProof/>
          <w:lang w:val="fr-FR"/>
        </w:rPr>
        <w:t xml:space="preserve">(De Róiste </w:t>
      </w:r>
      <w:r w:rsidR="003A0D42">
        <w:rPr>
          <w:noProof/>
          <w:lang w:val="fr-FR"/>
        </w:rPr>
        <w:t xml:space="preserve">et </w:t>
      </w:r>
      <w:r w:rsidR="001B2F58" w:rsidRPr="00DD03D6">
        <w:rPr>
          <w:noProof/>
          <w:lang w:val="fr-FR"/>
        </w:rPr>
        <w:t>Dinneen, 2005).</w:t>
      </w:r>
    </w:p>
    <w:p w:rsidR="001B2F58" w:rsidRPr="00DD03D6" w:rsidRDefault="00154D10" w:rsidP="00154D10">
      <w:pPr>
        <w:pStyle w:val="H23G"/>
        <w:ind w:firstLine="0"/>
        <w:rPr>
          <w:noProof/>
          <w:lang w:val="fr-FR"/>
        </w:rPr>
      </w:pPr>
      <w:r>
        <w:rPr>
          <w:noProof/>
          <w:lang w:val="fr-FR"/>
        </w:rPr>
        <w:lastRenderedPageBreak/>
        <w:t xml:space="preserve">Conseil irlandais du sport </w:t>
      </w:r>
    </w:p>
    <w:p w:rsidR="001B2F58" w:rsidRPr="00DD03D6" w:rsidRDefault="006A162E" w:rsidP="00111EE3">
      <w:pPr>
        <w:pStyle w:val="SingleTxtG"/>
        <w:numPr>
          <w:ilvl w:val="0"/>
          <w:numId w:val="3"/>
        </w:numPr>
        <w:ind w:left="1134" w:firstLine="0"/>
        <w:rPr>
          <w:noProof/>
          <w:lang w:val="fr-FR"/>
        </w:rPr>
      </w:pPr>
      <w:r>
        <w:rPr>
          <w:noProof/>
          <w:lang w:val="fr-FR"/>
        </w:rPr>
        <w:t>Le Conseil irlandais du s</w:t>
      </w:r>
      <w:r w:rsidR="001B2F58" w:rsidRPr="00DD03D6">
        <w:rPr>
          <w:noProof/>
          <w:lang w:val="fr-FR"/>
        </w:rPr>
        <w:t>por</w:t>
      </w:r>
      <w:r>
        <w:rPr>
          <w:noProof/>
          <w:lang w:val="fr-FR"/>
        </w:rPr>
        <w:t>t</w:t>
      </w:r>
      <w:r w:rsidR="001B2F58" w:rsidRPr="00DD03D6">
        <w:rPr>
          <w:noProof/>
          <w:lang w:val="fr-FR"/>
        </w:rPr>
        <w:t xml:space="preserve"> </w:t>
      </w:r>
      <w:r>
        <w:rPr>
          <w:noProof/>
          <w:lang w:val="fr-FR"/>
        </w:rPr>
        <w:t xml:space="preserve">est un organe nommé par le Gouvernement et chargé de la </w:t>
      </w:r>
      <w:r w:rsidR="001B2F58" w:rsidRPr="00DD03D6">
        <w:rPr>
          <w:noProof/>
          <w:lang w:val="fr-FR"/>
        </w:rPr>
        <w:t xml:space="preserve">promotion, </w:t>
      </w:r>
      <w:r>
        <w:rPr>
          <w:noProof/>
          <w:lang w:val="fr-FR"/>
        </w:rPr>
        <w:t xml:space="preserve">du </w:t>
      </w:r>
      <w:r w:rsidR="001B2F58" w:rsidRPr="00DD03D6">
        <w:rPr>
          <w:noProof/>
          <w:lang w:val="fr-FR"/>
        </w:rPr>
        <w:t>d</w:t>
      </w:r>
      <w:r>
        <w:rPr>
          <w:noProof/>
          <w:lang w:val="fr-FR"/>
        </w:rPr>
        <w:t>é</w:t>
      </w:r>
      <w:r w:rsidR="001B2F58" w:rsidRPr="00DD03D6">
        <w:rPr>
          <w:noProof/>
          <w:lang w:val="fr-FR"/>
        </w:rPr>
        <w:t>velop</w:t>
      </w:r>
      <w:r>
        <w:rPr>
          <w:noProof/>
          <w:lang w:val="fr-FR"/>
        </w:rPr>
        <w:t>pe</w:t>
      </w:r>
      <w:r w:rsidR="001B2F58" w:rsidRPr="00DD03D6">
        <w:rPr>
          <w:noProof/>
          <w:lang w:val="fr-FR"/>
        </w:rPr>
        <w:t xml:space="preserve">ment </w:t>
      </w:r>
      <w:r>
        <w:rPr>
          <w:noProof/>
          <w:lang w:val="fr-FR"/>
        </w:rPr>
        <w:t xml:space="preserve">et de la </w:t>
      </w:r>
      <w:r w:rsidR="001B2F58" w:rsidRPr="00DD03D6">
        <w:rPr>
          <w:noProof/>
          <w:lang w:val="fr-FR"/>
        </w:rPr>
        <w:t xml:space="preserve">coordination </w:t>
      </w:r>
      <w:r>
        <w:rPr>
          <w:noProof/>
          <w:lang w:val="fr-FR"/>
        </w:rPr>
        <w:t xml:space="preserve">du </w:t>
      </w:r>
      <w:r w:rsidR="001B2F58" w:rsidRPr="00DD03D6">
        <w:rPr>
          <w:noProof/>
          <w:lang w:val="fr-FR"/>
        </w:rPr>
        <w:t xml:space="preserve">sport </w:t>
      </w:r>
      <w:r>
        <w:rPr>
          <w:noProof/>
          <w:lang w:val="fr-FR"/>
        </w:rPr>
        <w:t xml:space="preserve">en </w:t>
      </w:r>
      <w:r w:rsidR="001B2F58" w:rsidRPr="00DD03D6">
        <w:rPr>
          <w:noProof/>
          <w:lang w:val="fr-FR"/>
        </w:rPr>
        <w:t>Irland</w:t>
      </w:r>
      <w:r>
        <w:rPr>
          <w:noProof/>
          <w:lang w:val="fr-FR"/>
        </w:rPr>
        <w:t>e</w:t>
      </w:r>
      <w:r w:rsidR="001B2F58" w:rsidRPr="00DD03D6">
        <w:rPr>
          <w:noProof/>
          <w:lang w:val="fr-FR"/>
        </w:rPr>
        <w:t xml:space="preserve">. </w:t>
      </w:r>
      <w:r w:rsidR="00C50172">
        <w:rPr>
          <w:noProof/>
          <w:lang w:val="fr-FR"/>
        </w:rPr>
        <w:t xml:space="preserve">Le Conseil a élaboré le Programme </w:t>
      </w:r>
      <w:r w:rsidR="001B2F58" w:rsidRPr="00DD03D6">
        <w:rPr>
          <w:noProof/>
          <w:lang w:val="fr-FR"/>
        </w:rPr>
        <w:t xml:space="preserve">Buntus, </w:t>
      </w:r>
      <w:r w:rsidR="00C50172">
        <w:rPr>
          <w:noProof/>
          <w:lang w:val="fr-FR"/>
        </w:rPr>
        <w:t>qui soutient le programme d’éducation physique exécuté dans les écoles primaires pour permettre aux enfants d’acquérir dans de bonnes conditions les aptitudes sportives de base</w:t>
      </w:r>
      <w:r w:rsidR="001B2F58" w:rsidRPr="00DD03D6">
        <w:rPr>
          <w:noProof/>
          <w:lang w:val="fr-FR"/>
        </w:rPr>
        <w:t xml:space="preserve">. </w:t>
      </w:r>
      <w:r w:rsidR="00C50172" w:rsidRPr="00C50172">
        <w:rPr>
          <w:noProof/>
          <w:lang w:val="fr-FR"/>
        </w:rPr>
        <w:t xml:space="preserve">Ce programme </w:t>
      </w:r>
      <w:r w:rsidR="00D87AC3">
        <w:rPr>
          <w:noProof/>
          <w:lang w:val="fr-FR"/>
        </w:rPr>
        <w:t>bénéficie</w:t>
      </w:r>
      <w:r w:rsidR="00C50172" w:rsidRPr="00C50172">
        <w:rPr>
          <w:noProof/>
          <w:lang w:val="fr-FR"/>
        </w:rPr>
        <w:t xml:space="preserve"> du soutien</w:t>
      </w:r>
      <w:r w:rsidR="005B7E63">
        <w:rPr>
          <w:noProof/>
          <w:lang w:val="fr-FR"/>
        </w:rPr>
        <w:t xml:space="preserve"> </w:t>
      </w:r>
      <w:r w:rsidR="00C50172" w:rsidRPr="00C50172">
        <w:rPr>
          <w:noProof/>
          <w:lang w:val="fr-FR"/>
        </w:rPr>
        <w:t xml:space="preserve">du Ministère de l’éducation </w:t>
      </w:r>
      <w:r w:rsidR="00C50172">
        <w:rPr>
          <w:noProof/>
          <w:lang w:val="fr-FR"/>
        </w:rPr>
        <w:t>et de la formation</w:t>
      </w:r>
      <w:r w:rsidR="00C50172" w:rsidRPr="00C50172">
        <w:rPr>
          <w:noProof/>
          <w:lang w:val="fr-FR"/>
        </w:rPr>
        <w:t xml:space="preserve"> et il est actuellement en vigueur </w:t>
      </w:r>
      <w:r w:rsidR="00C50172">
        <w:rPr>
          <w:noProof/>
          <w:lang w:val="fr-FR"/>
        </w:rPr>
        <w:t xml:space="preserve">dans les zones </w:t>
      </w:r>
      <w:r w:rsidR="00D87AC3">
        <w:rPr>
          <w:noProof/>
          <w:lang w:val="fr-FR"/>
        </w:rPr>
        <w:t xml:space="preserve">du ressort </w:t>
      </w:r>
      <w:r w:rsidR="00C50172" w:rsidRPr="00C50172">
        <w:rPr>
          <w:noProof/>
          <w:lang w:val="fr-FR"/>
        </w:rPr>
        <w:t>des associations sportives locales.</w:t>
      </w:r>
      <w:r w:rsidR="00C50172">
        <w:rPr>
          <w:noProof/>
          <w:lang w:val="fr-FR"/>
        </w:rPr>
        <w:t xml:space="preserve"> Le Conseil a également élaboré un Programme </w:t>
      </w:r>
      <w:r w:rsidR="001B2F58" w:rsidRPr="00DD03D6">
        <w:rPr>
          <w:noProof/>
          <w:lang w:val="fr-FR"/>
        </w:rPr>
        <w:t xml:space="preserve">Buntus Start </w:t>
      </w:r>
      <w:r w:rsidR="00C50172">
        <w:rPr>
          <w:noProof/>
          <w:lang w:val="fr-FR"/>
        </w:rPr>
        <w:t xml:space="preserve">à l’intention des </w:t>
      </w:r>
      <w:r w:rsidR="00076D4A">
        <w:rPr>
          <w:noProof/>
          <w:lang w:val="fr-FR"/>
        </w:rPr>
        <w:t xml:space="preserve">prestataires de services d’éducation préscolaire et de garde d’enfants, afin d’organiser l’activité physique et l’acquisition des aptitudes physiques </w:t>
      </w:r>
      <w:r w:rsidR="00D87AC3">
        <w:rPr>
          <w:noProof/>
          <w:lang w:val="fr-FR"/>
        </w:rPr>
        <w:t>pour les enfants â</w:t>
      </w:r>
      <w:r w:rsidR="00076D4A">
        <w:rPr>
          <w:noProof/>
          <w:lang w:val="fr-FR"/>
        </w:rPr>
        <w:t>gés de trois à cinq ans</w:t>
      </w:r>
      <w:r w:rsidR="001B2F58" w:rsidRPr="00DD03D6">
        <w:rPr>
          <w:noProof/>
          <w:lang w:val="fr-FR"/>
        </w:rPr>
        <w:t xml:space="preserve">. </w:t>
      </w:r>
      <w:r w:rsidR="00076D4A">
        <w:rPr>
          <w:noProof/>
          <w:lang w:val="fr-FR"/>
        </w:rPr>
        <w:t xml:space="preserve">Chaque </w:t>
      </w:r>
      <w:r w:rsidR="001B2F58" w:rsidRPr="00DD03D6">
        <w:rPr>
          <w:noProof/>
          <w:lang w:val="fr-FR"/>
        </w:rPr>
        <w:t>programme</w:t>
      </w:r>
      <w:r w:rsidR="00076D4A" w:rsidRPr="00076D4A">
        <w:rPr>
          <w:noProof/>
          <w:lang w:val="fr-FR"/>
        </w:rPr>
        <w:t xml:space="preserve"> propose à chaque école de</w:t>
      </w:r>
      <w:r w:rsidR="00076D4A">
        <w:rPr>
          <w:noProof/>
          <w:lang w:val="fr-FR"/>
        </w:rPr>
        <w:t xml:space="preserve">s </w:t>
      </w:r>
      <w:r w:rsidR="00076D4A" w:rsidRPr="00076D4A">
        <w:rPr>
          <w:noProof/>
          <w:lang w:val="fr-FR"/>
        </w:rPr>
        <w:t>équipement</w:t>
      </w:r>
      <w:r w:rsidR="00076D4A">
        <w:rPr>
          <w:noProof/>
          <w:lang w:val="fr-FR"/>
        </w:rPr>
        <w:t>s</w:t>
      </w:r>
      <w:r w:rsidR="00076D4A" w:rsidRPr="00076D4A">
        <w:rPr>
          <w:noProof/>
          <w:lang w:val="fr-FR"/>
        </w:rPr>
        <w:t xml:space="preserve">, des notices explicatives et une formation </w:t>
      </w:r>
      <w:r w:rsidR="000E77B7">
        <w:rPr>
          <w:noProof/>
          <w:lang w:val="fr-FR"/>
        </w:rPr>
        <w:t xml:space="preserve">des </w:t>
      </w:r>
      <w:r w:rsidR="00076D4A" w:rsidRPr="00076D4A">
        <w:rPr>
          <w:noProof/>
          <w:lang w:val="fr-FR"/>
        </w:rPr>
        <w:t>enseignants</w:t>
      </w:r>
      <w:r w:rsidR="00076D4A">
        <w:rPr>
          <w:noProof/>
          <w:lang w:val="fr-FR"/>
        </w:rPr>
        <w:t>/animateurs</w:t>
      </w:r>
      <w:r w:rsidR="001B2F58" w:rsidRPr="00DD03D6">
        <w:rPr>
          <w:noProof/>
          <w:lang w:val="fr-FR"/>
        </w:rPr>
        <w:t>.</w:t>
      </w:r>
    </w:p>
    <w:p w:rsidR="001B2F58" w:rsidRPr="00DD03D6" w:rsidRDefault="00D87AC3" w:rsidP="00E4251B">
      <w:pPr>
        <w:pStyle w:val="SingleTxtG"/>
        <w:numPr>
          <w:ilvl w:val="0"/>
          <w:numId w:val="3"/>
        </w:numPr>
        <w:ind w:left="1134" w:firstLine="0"/>
        <w:rPr>
          <w:noProof/>
          <w:lang w:val="fr-FR"/>
        </w:rPr>
      </w:pPr>
      <w:r>
        <w:rPr>
          <w:noProof/>
          <w:lang w:val="fr-FR"/>
        </w:rPr>
        <w:t xml:space="preserve">Entre </w:t>
      </w:r>
      <w:r w:rsidR="001B2F58" w:rsidRPr="00DD03D6">
        <w:rPr>
          <w:noProof/>
          <w:lang w:val="fr-FR"/>
        </w:rPr>
        <w:t xml:space="preserve">2006 </w:t>
      </w:r>
      <w:r>
        <w:rPr>
          <w:noProof/>
          <w:lang w:val="fr-FR"/>
        </w:rPr>
        <w:t>et</w:t>
      </w:r>
      <w:r w:rsidR="001B2F58" w:rsidRPr="00DD03D6">
        <w:rPr>
          <w:noProof/>
          <w:lang w:val="fr-FR"/>
        </w:rPr>
        <w:t xml:space="preserve"> 2011, 30</w:t>
      </w:r>
      <w:r>
        <w:rPr>
          <w:noProof/>
          <w:lang w:val="fr-FR"/>
        </w:rPr>
        <w:t>,</w:t>
      </w:r>
      <w:r w:rsidR="001B2F58" w:rsidRPr="00DD03D6">
        <w:rPr>
          <w:noProof/>
          <w:lang w:val="fr-FR"/>
        </w:rPr>
        <w:t>5 million</w:t>
      </w:r>
      <w:r>
        <w:rPr>
          <w:noProof/>
          <w:lang w:val="fr-FR"/>
        </w:rPr>
        <w:t xml:space="preserve">s d’euros ont été affectés aux associations sportives locales, à quoi sont venus s’ajouter </w:t>
      </w:r>
      <w:r w:rsidR="001B2F58" w:rsidRPr="00DD03D6">
        <w:rPr>
          <w:noProof/>
          <w:lang w:val="fr-FR"/>
        </w:rPr>
        <w:t>3</w:t>
      </w:r>
      <w:r>
        <w:rPr>
          <w:noProof/>
          <w:lang w:val="fr-FR"/>
        </w:rPr>
        <w:t>,</w:t>
      </w:r>
      <w:r w:rsidR="001B2F58" w:rsidRPr="00DD03D6">
        <w:rPr>
          <w:noProof/>
          <w:lang w:val="fr-FR"/>
        </w:rPr>
        <w:t>4</w:t>
      </w:r>
      <w:r w:rsidR="00982E3C" w:rsidRPr="00DD03D6">
        <w:rPr>
          <w:noProof/>
          <w:lang w:val="fr-FR"/>
        </w:rPr>
        <w:t> </w:t>
      </w:r>
      <w:r w:rsidR="001B2F58" w:rsidRPr="00DD03D6">
        <w:rPr>
          <w:noProof/>
          <w:lang w:val="fr-FR"/>
        </w:rPr>
        <w:t>million</w:t>
      </w:r>
      <w:r>
        <w:rPr>
          <w:noProof/>
          <w:lang w:val="fr-FR"/>
        </w:rPr>
        <w:t>s d’euros</w:t>
      </w:r>
      <w:r w:rsidR="00547E30">
        <w:rPr>
          <w:noProof/>
          <w:lang w:val="fr-FR"/>
        </w:rPr>
        <w:t xml:space="preserve"> </w:t>
      </w:r>
      <w:r w:rsidR="00F04858">
        <w:rPr>
          <w:noProof/>
          <w:lang w:val="fr-FR"/>
        </w:rPr>
        <w:t>prélevés sur des comptes inactifs</w:t>
      </w:r>
      <w:r w:rsidR="001B2F58" w:rsidRPr="00DD03D6">
        <w:rPr>
          <w:noProof/>
          <w:lang w:val="fr-FR"/>
        </w:rPr>
        <w:t xml:space="preserve">. </w:t>
      </w:r>
      <w:r w:rsidR="002C0B56">
        <w:rPr>
          <w:noProof/>
          <w:lang w:val="fr-FR"/>
        </w:rPr>
        <w:t>Le Conseil finance également le Programme d’intégration des handicapés par le sport, qui encourage les personnes handicapées, y compris les jeunes et les enfants, à faire du sport et leur en donne l’occasion</w:t>
      </w:r>
      <w:r w:rsidR="001B2F58" w:rsidRPr="00DD03D6">
        <w:rPr>
          <w:noProof/>
          <w:lang w:val="fr-FR"/>
        </w:rPr>
        <w:t xml:space="preserve">. </w:t>
      </w:r>
      <w:r w:rsidR="002C0B56">
        <w:rPr>
          <w:noProof/>
          <w:lang w:val="fr-FR"/>
        </w:rPr>
        <w:t>Ce</w:t>
      </w:r>
      <w:r w:rsidR="001B2F58" w:rsidRPr="00DD03D6">
        <w:rPr>
          <w:noProof/>
          <w:lang w:val="fr-FR"/>
        </w:rPr>
        <w:t xml:space="preserve"> programme </w:t>
      </w:r>
      <w:r w:rsidR="002C0B56">
        <w:rPr>
          <w:noProof/>
          <w:lang w:val="fr-FR"/>
        </w:rPr>
        <w:t>est exécuté par l’intermédiaire du réseau national</w:t>
      </w:r>
      <w:r w:rsidR="00547E30">
        <w:rPr>
          <w:noProof/>
          <w:lang w:val="fr-FR"/>
        </w:rPr>
        <w:t xml:space="preserve"> </w:t>
      </w:r>
      <w:r w:rsidR="00693C5D">
        <w:rPr>
          <w:noProof/>
          <w:lang w:val="fr-FR"/>
        </w:rPr>
        <w:t>des associations sportives locales</w:t>
      </w:r>
      <w:r w:rsidR="001B2F58" w:rsidRPr="00DD03D6">
        <w:rPr>
          <w:noProof/>
          <w:lang w:val="fr-FR"/>
        </w:rPr>
        <w:t xml:space="preserve">. </w:t>
      </w:r>
      <w:r w:rsidR="00693C5D">
        <w:rPr>
          <w:noProof/>
          <w:lang w:val="fr-FR"/>
        </w:rPr>
        <w:t xml:space="preserve">Le Conseil soutient les trois principaux sports de plein air que sont le football, le </w:t>
      </w:r>
      <w:r w:rsidR="001B2F58" w:rsidRPr="00DD03D6">
        <w:rPr>
          <w:noProof/>
          <w:lang w:val="fr-FR"/>
        </w:rPr>
        <w:t xml:space="preserve">football </w:t>
      </w:r>
      <w:r w:rsidR="00693C5D">
        <w:rPr>
          <w:noProof/>
          <w:lang w:val="fr-FR"/>
        </w:rPr>
        <w:t xml:space="preserve">gaélique et le </w:t>
      </w:r>
      <w:r w:rsidR="001B2F58" w:rsidRPr="00DD03D6">
        <w:rPr>
          <w:noProof/>
          <w:lang w:val="fr-FR"/>
        </w:rPr>
        <w:t xml:space="preserve">rugby, </w:t>
      </w:r>
      <w:r w:rsidR="00693C5D">
        <w:rPr>
          <w:noProof/>
          <w:lang w:val="fr-FR"/>
        </w:rPr>
        <w:t>afin d’encourager les mineurs à les pratiquer</w:t>
      </w:r>
      <w:r w:rsidR="001B2F58" w:rsidRPr="00DD03D6">
        <w:rPr>
          <w:noProof/>
          <w:lang w:val="fr-FR"/>
        </w:rPr>
        <w:t xml:space="preserve">. </w:t>
      </w:r>
      <w:r w:rsidR="00693C5D">
        <w:rPr>
          <w:noProof/>
          <w:lang w:val="fr-FR"/>
        </w:rPr>
        <w:t xml:space="preserve">Entre </w:t>
      </w:r>
      <w:r w:rsidR="001B2F58" w:rsidRPr="00DD03D6">
        <w:rPr>
          <w:noProof/>
          <w:lang w:val="fr-FR"/>
        </w:rPr>
        <w:t xml:space="preserve">2006 </w:t>
      </w:r>
      <w:r w:rsidR="00693C5D">
        <w:rPr>
          <w:noProof/>
          <w:lang w:val="fr-FR"/>
        </w:rPr>
        <w:t>et</w:t>
      </w:r>
      <w:r w:rsidR="001B2F58" w:rsidRPr="00DD03D6">
        <w:rPr>
          <w:noProof/>
          <w:lang w:val="fr-FR"/>
        </w:rPr>
        <w:t xml:space="preserve"> 2011, 61</w:t>
      </w:r>
      <w:r w:rsidR="00693C5D">
        <w:rPr>
          <w:noProof/>
          <w:lang w:val="fr-FR"/>
        </w:rPr>
        <w:t>,</w:t>
      </w:r>
      <w:r w:rsidR="001B2F58" w:rsidRPr="00DD03D6">
        <w:rPr>
          <w:noProof/>
          <w:lang w:val="fr-FR"/>
        </w:rPr>
        <w:t xml:space="preserve">9 </w:t>
      </w:r>
      <w:r w:rsidR="005B7E63">
        <w:rPr>
          <w:noProof/>
          <w:lang w:val="fr-FR"/>
        </w:rPr>
        <w:t>million</w:t>
      </w:r>
      <w:r w:rsidR="00693C5D">
        <w:rPr>
          <w:noProof/>
          <w:lang w:val="fr-FR"/>
        </w:rPr>
        <w:t xml:space="preserve">s d’euros ont été affectés à ces </w:t>
      </w:r>
      <w:r w:rsidR="001B2F58" w:rsidRPr="00DD03D6">
        <w:rPr>
          <w:noProof/>
          <w:lang w:val="fr-FR"/>
        </w:rPr>
        <w:t xml:space="preserve">sports </w:t>
      </w:r>
      <w:r w:rsidR="00693C5D">
        <w:rPr>
          <w:noProof/>
          <w:lang w:val="fr-FR"/>
        </w:rPr>
        <w:t>au titre d’un large éventail d’</w:t>
      </w:r>
      <w:r w:rsidR="001B2F58" w:rsidRPr="00DD03D6">
        <w:rPr>
          <w:noProof/>
          <w:lang w:val="fr-FR"/>
        </w:rPr>
        <w:t xml:space="preserve">initiatives </w:t>
      </w:r>
      <w:r w:rsidR="00693C5D">
        <w:rPr>
          <w:noProof/>
          <w:lang w:val="fr-FR"/>
        </w:rPr>
        <w:t>à travers tout le pays</w:t>
      </w:r>
      <w:r w:rsidR="001B2F58" w:rsidRPr="00DD03D6">
        <w:rPr>
          <w:noProof/>
          <w:lang w:val="fr-FR"/>
        </w:rPr>
        <w:t>.</w:t>
      </w:r>
    </w:p>
    <w:p w:rsidR="001B2F58" w:rsidRPr="00DD03D6" w:rsidRDefault="00693C5D" w:rsidP="002C58C8">
      <w:pPr>
        <w:pStyle w:val="SingleTxtG"/>
        <w:numPr>
          <w:ilvl w:val="0"/>
          <w:numId w:val="3"/>
        </w:numPr>
        <w:ind w:left="1134" w:firstLine="0"/>
        <w:rPr>
          <w:b/>
          <w:bCs/>
          <w:i/>
          <w:iCs/>
          <w:noProof/>
          <w:lang w:val="fr-FR"/>
        </w:rPr>
      </w:pPr>
      <w:r>
        <w:rPr>
          <w:noProof/>
          <w:lang w:val="fr-FR"/>
        </w:rPr>
        <w:t xml:space="preserve">Le Code </w:t>
      </w:r>
      <w:r w:rsidR="00635CEA">
        <w:rPr>
          <w:noProof/>
          <w:lang w:val="fr-FR"/>
        </w:rPr>
        <w:t>d’éthique</w:t>
      </w:r>
      <w:r>
        <w:rPr>
          <w:noProof/>
          <w:lang w:val="fr-FR"/>
        </w:rPr>
        <w:t xml:space="preserve"> et de bonnes pratiques pour le</w:t>
      </w:r>
      <w:r w:rsidR="00635CEA">
        <w:rPr>
          <w:noProof/>
          <w:lang w:val="fr-FR"/>
        </w:rPr>
        <w:t xml:space="preserve"> sport </w:t>
      </w:r>
      <w:r>
        <w:rPr>
          <w:noProof/>
          <w:lang w:val="fr-FR"/>
        </w:rPr>
        <w:t xml:space="preserve">des enfants a été présenté en </w:t>
      </w:r>
      <w:r w:rsidR="001B2F58" w:rsidRPr="00DD03D6">
        <w:rPr>
          <w:noProof/>
          <w:lang w:val="fr-FR"/>
        </w:rPr>
        <w:t xml:space="preserve">2000 </w:t>
      </w:r>
      <w:r>
        <w:rPr>
          <w:noProof/>
          <w:lang w:val="fr-FR"/>
        </w:rPr>
        <w:t xml:space="preserve">par le Conseil irlandais du sport, qui l’a révisé en </w:t>
      </w:r>
      <w:r w:rsidR="001B2F58" w:rsidRPr="00DD03D6">
        <w:rPr>
          <w:noProof/>
          <w:lang w:val="fr-FR"/>
        </w:rPr>
        <w:t xml:space="preserve">2006. </w:t>
      </w:r>
      <w:r>
        <w:rPr>
          <w:noProof/>
          <w:lang w:val="fr-FR"/>
        </w:rPr>
        <w:t xml:space="preserve">Depuis, </w:t>
      </w:r>
      <w:r w:rsidR="00635CEA">
        <w:rPr>
          <w:noProof/>
          <w:lang w:val="fr-FR"/>
        </w:rPr>
        <w:t>les instances dirigeantes de toutes les organisations sportives ont souscrit aux principes et politiques énoncés dans ce Code et ont adopté un code pour le sport dont elles s’occupent, qui a été diffusé auprès de tous les clubs sportifs.</w:t>
      </w:r>
      <w:r w:rsidR="001B2F58" w:rsidRPr="00DD03D6">
        <w:rPr>
          <w:noProof/>
          <w:lang w:val="fr-FR"/>
        </w:rPr>
        <w:t xml:space="preserve"> </w:t>
      </w:r>
      <w:r w:rsidR="00635CEA">
        <w:rPr>
          <w:noProof/>
          <w:lang w:val="fr-FR"/>
        </w:rPr>
        <w:t>Celles qui compten</w:t>
      </w:r>
      <w:r w:rsidR="009D0028">
        <w:rPr>
          <w:noProof/>
          <w:lang w:val="fr-FR"/>
        </w:rPr>
        <w:t>t des jeunes membres ont nommé un respons</w:t>
      </w:r>
      <w:r w:rsidR="00635CEA">
        <w:rPr>
          <w:noProof/>
          <w:lang w:val="fr-FR"/>
        </w:rPr>
        <w:t>able</w:t>
      </w:r>
      <w:r w:rsidR="009D0028">
        <w:rPr>
          <w:noProof/>
          <w:lang w:val="fr-FR"/>
        </w:rPr>
        <w:t xml:space="preserve"> national</w:t>
      </w:r>
      <w:r w:rsidR="00635CEA">
        <w:rPr>
          <w:noProof/>
          <w:lang w:val="fr-FR"/>
        </w:rPr>
        <w:t xml:space="preserve"> pour l’enfance</w:t>
      </w:r>
      <w:r w:rsidR="001B2F58" w:rsidRPr="00DD03D6">
        <w:rPr>
          <w:noProof/>
          <w:lang w:val="fr-FR"/>
        </w:rPr>
        <w:t xml:space="preserve">. </w:t>
      </w:r>
      <w:r w:rsidR="009D0028" w:rsidRPr="009D0028">
        <w:rPr>
          <w:noProof/>
          <w:lang w:val="fr-FR"/>
        </w:rPr>
        <w:t xml:space="preserve">Les principes énoncés </w:t>
      </w:r>
      <w:r w:rsidR="009D0028">
        <w:rPr>
          <w:noProof/>
          <w:lang w:val="fr-FR"/>
        </w:rPr>
        <w:t>dans</w:t>
      </w:r>
      <w:r w:rsidR="009D0028" w:rsidRPr="009D0028">
        <w:rPr>
          <w:noProof/>
          <w:lang w:val="fr-FR"/>
        </w:rPr>
        <w:t xml:space="preserve"> ce Code</w:t>
      </w:r>
      <w:r w:rsidR="00F90C55">
        <w:rPr>
          <w:noProof/>
          <w:lang w:val="fr-FR"/>
        </w:rPr>
        <w:t>, à savoir le</w:t>
      </w:r>
      <w:r w:rsidR="009D0028" w:rsidRPr="009D0028">
        <w:rPr>
          <w:noProof/>
          <w:lang w:val="fr-FR"/>
        </w:rPr>
        <w:t xml:space="preserve"> </w:t>
      </w:r>
      <w:r w:rsidR="00F90C55">
        <w:rPr>
          <w:noProof/>
          <w:lang w:val="fr-FR"/>
        </w:rPr>
        <w:t>fair-play</w:t>
      </w:r>
      <w:r w:rsidR="009D0028" w:rsidRPr="009D0028">
        <w:rPr>
          <w:noProof/>
          <w:lang w:val="fr-FR"/>
        </w:rPr>
        <w:t xml:space="preserve">, </w:t>
      </w:r>
      <w:r w:rsidR="00F90C55">
        <w:rPr>
          <w:noProof/>
          <w:lang w:val="fr-FR"/>
        </w:rPr>
        <w:t xml:space="preserve">le </w:t>
      </w:r>
      <w:r w:rsidR="009D0028" w:rsidRPr="009D0028">
        <w:rPr>
          <w:noProof/>
          <w:lang w:val="fr-FR"/>
        </w:rPr>
        <w:t xml:space="preserve">plaisir et </w:t>
      </w:r>
      <w:r w:rsidR="00F90C55">
        <w:rPr>
          <w:noProof/>
          <w:lang w:val="fr-FR"/>
        </w:rPr>
        <w:t xml:space="preserve">le </w:t>
      </w:r>
      <w:r w:rsidR="009D0028" w:rsidRPr="009D0028">
        <w:rPr>
          <w:noProof/>
          <w:lang w:val="fr-FR"/>
        </w:rPr>
        <w:t>souci constant de l’enfant, sont les pierres angulaires</w:t>
      </w:r>
      <w:r w:rsidR="005B7E63">
        <w:rPr>
          <w:noProof/>
          <w:lang w:val="fr-FR"/>
        </w:rPr>
        <w:t xml:space="preserve"> du futur travail du Conseil en </w:t>
      </w:r>
      <w:r w:rsidR="009D0028" w:rsidRPr="009D0028">
        <w:rPr>
          <w:noProof/>
          <w:lang w:val="fr-FR"/>
        </w:rPr>
        <w:t>matière de sport des enfants</w:t>
      </w:r>
      <w:r w:rsidR="001B2F58" w:rsidRPr="00DD03D6">
        <w:rPr>
          <w:noProof/>
          <w:lang w:val="fr-FR"/>
        </w:rPr>
        <w:t xml:space="preserve">. </w:t>
      </w:r>
      <w:r w:rsidR="009D0028" w:rsidRPr="009D0028">
        <w:rPr>
          <w:noProof/>
          <w:lang w:val="fr-FR"/>
        </w:rPr>
        <w:t xml:space="preserve">Les instances dirigeantes et les associations sportives locales, </w:t>
      </w:r>
      <w:r w:rsidR="009D0028">
        <w:rPr>
          <w:noProof/>
          <w:lang w:val="fr-FR"/>
        </w:rPr>
        <w:t>en concertation avec la Direction des services de</w:t>
      </w:r>
      <w:r w:rsidR="009D0028" w:rsidRPr="009D0028">
        <w:rPr>
          <w:noProof/>
          <w:lang w:val="fr-FR"/>
        </w:rPr>
        <w:t xml:space="preserve"> santé, sensibilisent tous ceux qui s’occupent du sport des enfants au Code d’éthique et </w:t>
      </w:r>
      <w:r w:rsidR="009D0028">
        <w:rPr>
          <w:noProof/>
          <w:lang w:val="fr-FR"/>
        </w:rPr>
        <w:t xml:space="preserve">proposent une formation </w:t>
      </w:r>
      <w:r w:rsidR="009D0028" w:rsidRPr="009D0028">
        <w:rPr>
          <w:noProof/>
          <w:lang w:val="fr-FR"/>
        </w:rPr>
        <w:t xml:space="preserve">en matière de bonnes pratiques, </w:t>
      </w:r>
      <w:r w:rsidR="006B358F">
        <w:rPr>
          <w:noProof/>
          <w:lang w:val="fr-FR"/>
        </w:rPr>
        <w:t>notamment</w:t>
      </w:r>
      <w:r w:rsidR="009D0028" w:rsidRPr="009D0028">
        <w:rPr>
          <w:noProof/>
          <w:lang w:val="fr-FR"/>
        </w:rPr>
        <w:t xml:space="preserve"> dans le domaine de la protection de l’enfance</w:t>
      </w:r>
      <w:r w:rsidR="001B2F58" w:rsidRPr="00DD03D6">
        <w:rPr>
          <w:noProof/>
          <w:lang w:val="fr-FR"/>
        </w:rPr>
        <w:t>.</w:t>
      </w:r>
    </w:p>
    <w:p w:rsidR="001B2F58" w:rsidRPr="00DD03D6" w:rsidRDefault="007C60CD" w:rsidP="007C60CD">
      <w:pPr>
        <w:pStyle w:val="H23G"/>
        <w:ind w:firstLine="0"/>
        <w:rPr>
          <w:noProof/>
          <w:lang w:val="fr-FR"/>
        </w:rPr>
      </w:pPr>
      <w:r>
        <w:rPr>
          <w:noProof/>
          <w:lang w:val="fr-FR"/>
        </w:rPr>
        <w:t xml:space="preserve">Programme de piscines des autorités locales </w:t>
      </w:r>
    </w:p>
    <w:p w:rsidR="001B2F58" w:rsidRPr="00DD03D6" w:rsidRDefault="007C60CD" w:rsidP="00E4251B">
      <w:pPr>
        <w:pStyle w:val="SingleTxtG"/>
        <w:numPr>
          <w:ilvl w:val="0"/>
          <w:numId w:val="3"/>
        </w:numPr>
        <w:ind w:left="1134" w:firstLine="0"/>
        <w:rPr>
          <w:noProof/>
          <w:lang w:val="fr-FR"/>
        </w:rPr>
      </w:pPr>
      <w:r>
        <w:rPr>
          <w:noProof/>
          <w:lang w:val="fr-FR"/>
        </w:rPr>
        <w:t>Dans le cadre du Programme de piscines des autorités locales, le Ministère des t</w:t>
      </w:r>
      <w:r w:rsidR="001B2F58" w:rsidRPr="00DD03D6">
        <w:rPr>
          <w:noProof/>
          <w:lang w:val="fr-FR"/>
        </w:rPr>
        <w:t>ransport</w:t>
      </w:r>
      <w:r>
        <w:rPr>
          <w:noProof/>
          <w:lang w:val="fr-FR"/>
        </w:rPr>
        <w:t>s</w:t>
      </w:r>
      <w:r w:rsidR="001B2F58" w:rsidRPr="00DD03D6">
        <w:rPr>
          <w:noProof/>
          <w:lang w:val="fr-FR"/>
        </w:rPr>
        <w:t xml:space="preserve">, </w:t>
      </w:r>
      <w:r>
        <w:rPr>
          <w:noProof/>
          <w:lang w:val="fr-FR"/>
        </w:rPr>
        <w:t>du t</w:t>
      </w:r>
      <w:r w:rsidR="001B2F58" w:rsidRPr="00DD03D6">
        <w:rPr>
          <w:noProof/>
          <w:lang w:val="fr-FR"/>
        </w:rPr>
        <w:t>ourism</w:t>
      </w:r>
      <w:r>
        <w:rPr>
          <w:noProof/>
          <w:lang w:val="fr-FR"/>
        </w:rPr>
        <w:t>e</w:t>
      </w:r>
      <w:r w:rsidR="001B2F58" w:rsidRPr="00DD03D6">
        <w:rPr>
          <w:noProof/>
          <w:lang w:val="fr-FR"/>
        </w:rPr>
        <w:t xml:space="preserve"> </w:t>
      </w:r>
      <w:r>
        <w:rPr>
          <w:noProof/>
          <w:lang w:val="fr-FR"/>
        </w:rPr>
        <w:t>et du s</w:t>
      </w:r>
      <w:r w:rsidR="001B2F58" w:rsidRPr="00DD03D6">
        <w:rPr>
          <w:noProof/>
          <w:lang w:val="fr-FR"/>
        </w:rPr>
        <w:t xml:space="preserve">port </w:t>
      </w:r>
      <w:r>
        <w:rPr>
          <w:noProof/>
          <w:lang w:val="fr-FR"/>
        </w:rPr>
        <w:t>octroie des subventions aux autorités locales au titre de la construction de nouvelles piscines ou de la remise en état des piscines existantes</w:t>
      </w:r>
      <w:r w:rsidR="001B2F58" w:rsidRPr="00DD03D6">
        <w:rPr>
          <w:noProof/>
          <w:lang w:val="fr-FR"/>
        </w:rPr>
        <w:t xml:space="preserve">. </w:t>
      </w:r>
      <w:r w:rsidR="00283EE2">
        <w:rPr>
          <w:noProof/>
          <w:lang w:val="fr-FR"/>
        </w:rPr>
        <w:t xml:space="preserve">La phase actuelle du programme porte sur </w:t>
      </w:r>
      <w:r w:rsidR="001B2F58" w:rsidRPr="00DD03D6">
        <w:rPr>
          <w:noProof/>
          <w:lang w:val="fr-FR"/>
        </w:rPr>
        <w:t>58 p</w:t>
      </w:r>
      <w:r w:rsidR="00283EE2">
        <w:rPr>
          <w:noProof/>
          <w:lang w:val="fr-FR"/>
        </w:rPr>
        <w:t xml:space="preserve">iscines, dont </w:t>
      </w:r>
      <w:r w:rsidR="001B2F58" w:rsidRPr="00DD03D6">
        <w:rPr>
          <w:noProof/>
          <w:lang w:val="fr-FR"/>
        </w:rPr>
        <w:t xml:space="preserve">46 </w:t>
      </w:r>
      <w:r w:rsidR="00283EE2">
        <w:rPr>
          <w:noProof/>
          <w:lang w:val="fr-FR"/>
        </w:rPr>
        <w:t xml:space="preserve">sont achevées et ouvertes au </w:t>
      </w:r>
      <w:r w:rsidR="001B2F58" w:rsidRPr="00DD03D6">
        <w:rPr>
          <w:noProof/>
          <w:lang w:val="fr-FR"/>
        </w:rPr>
        <w:t xml:space="preserve">public. </w:t>
      </w:r>
      <w:r w:rsidR="00283EE2">
        <w:rPr>
          <w:noProof/>
          <w:lang w:val="fr-FR"/>
        </w:rPr>
        <w:t xml:space="preserve">Les 12 dernières piscines </w:t>
      </w:r>
      <w:r w:rsidR="00BB45F5">
        <w:rPr>
          <w:noProof/>
          <w:lang w:val="fr-FR"/>
        </w:rPr>
        <w:t xml:space="preserve">se trouvent à différents niveaux d’achèvement. Entre 2006 et </w:t>
      </w:r>
      <w:r w:rsidR="001B2F58" w:rsidRPr="00DD03D6">
        <w:rPr>
          <w:noProof/>
          <w:lang w:val="fr-FR"/>
        </w:rPr>
        <w:t xml:space="preserve">2011, </w:t>
      </w:r>
      <w:r w:rsidR="00BB45F5">
        <w:rPr>
          <w:noProof/>
          <w:lang w:val="fr-FR"/>
        </w:rPr>
        <w:t xml:space="preserve">quelque </w:t>
      </w:r>
      <w:r w:rsidR="001B2F58" w:rsidRPr="00DD03D6">
        <w:rPr>
          <w:noProof/>
          <w:lang w:val="fr-FR"/>
        </w:rPr>
        <w:t>95 million</w:t>
      </w:r>
      <w:r w:rsidR="00BB45F5">
        <w:rPr>
          <w:noProof/>
          <w:lang w:val="fr-FR"/>
        </w:rPr>
        <w:t xml:space="preserve">s d’euros ont été dépensés dans le cadre de ce </w:t>
      </w:r>
      <w:r w:rsidR="001B2F58" w:rsidRPr="00DD03D6">
        <w:rPr>
          <w:noProof/>
          <w:lang w:val="fr-FR"/>
        </w:rPr>
        <w:t xml:space="preserve">programme, </w:t>
      </w:r>
      <w:r w:rsidR="00BB45F5">
        <w:rPr>
          <w:noProof/>
          <w:lang w:val="fr-FR"/>
        </w:rPr>
        <w:t xml:space="preserve">et </w:t>
      </w:r>
      <w:r w:rsidR="001B2F58" w:rsidRPr="00DD03D6">
        <w:rPr>
          <w:noProof/>
          <w:lang w:val="fr-FR"/>
        </w:rPr>
        <w:t>6</w:t>
      </w:r>
      <w:r w:rsidR="005B7E63">
        <w:rPr>
          <w:noProof/>
          <w:lang w:val="fr-FR"/>
        </w:rPr>
        <w:t>,9 </w:t>
      </w:r>
      <w:r w:rsidR="00BB45F5">
        <w:rPr>
          <w:noProof/>
          <w:lang w:val="fr-FR"/>
        </w:rPr>
        <w:t xml:space="preserve">millions d’euros y ont été affectés pour </w:t>
      </w:r>
      <w:r w:rsidR="001B2F58" w:rsidRPr="00DD03D6">
        <w:rPr>
          <w:noProof/>
          <w:lang w:val="fr-FR"/>
        </w:rPr>
        <w:t>2012.</w:t>
      </w:r>
    </w:p>
    <w:p w:rsidR="001B2F58" w:rsidRPr="00DD03D6" w:rsidRDefault="00BB45F5" w:rsidP="00BB45F5">
      <w:pPr>
        <w:pStyle w:val="H23G"/>
        <w:ind w:firstLine="0"/>
        <w:rPr>
          <w:iCs/>
          <w:noProof/>
          <w:lang w:val="fr-FR"/>
        </w:rPr>
      </w:pPr>
      <w:r>
        <w:rPr>
          <w:noProof/>
          <w:lang w:val="fr-FR"/>
        </w:rPr>
        <w:t xml:space="preserve">Activités culturelles et artistiques </w:t>
      </w:r>
    </w:p>
    <w:p w:rsidR="001B2F58" w:rsidRPr="00DD03D6" w:rsidRDefault="00BB7D6A" w:rsidP="002C58C8">
      <w:pPr>
        <w:pStyle w:val="SingleTxtG"/>
        <w:numPr>
          <w:ilvl w:val="0"/>
          <w:numId w:val="3"/>
        </w:numPr>
        <w:ind w:left="1134" w:firstLine="0"/>
        <w:rPr>
          <w:noProof/>
          <w:lang w:val="fr-FR"/>
        </w:rPr>
      </w:pPr>
      <w:r>
        <w:rPr>
          <w:noProof/>
          <w:lang w:val="fr-FR"/>
        </w:rPr>
        <w:t>Le Conseil des a</w:t>
      </w:r>
      <w:r w:rsidR="001B2F58" w:rsidRPr="00DD03D6">
        <w:rPr>
          <w:noProof/>
          <w:lang w:val="fr-FR"/>
        </w:rPr>
        <w:t xml:space="preserve">rts </w:t>
      </w:r>
      <w:r>
        <w:rPr>
          <w:noProof/>
          <w:lang w:val="fr-FR"/>
        </w:rPr>
        <w:t>protège le droit des enfants et des jeunes d’exercer la plénitude de leurs droits culturels</w:t>
      </w:r>
      <w:r w:rsidR="001B2F58" w:rsidRPr="00DD03D6">
        <w:rPr>
          <w:noProof/>
          <w:lang w:val="fr-FR"/>
        </w:rPr>
        <w:t xml:space="preserve">. </w:t>
      </w:r>
      <w:r>
        <w:rPr>
          <w:noProof/>
          <w:lang w:val="fr-FR"/>
        </w:rPr>
        <w:t>Son actuelle stratégie, intitulée Partenariat pour les arts pour</w:t>
      </w:r>
      <w:r w:rsidR="005B7E63">
        <w:rPr>
          <w:noProof/>
          <w:lang w:val="fr-FR"/>
        </w:rPr>
        <w:t xml:space="preserve"> </w:t>
      </w:r>
      <w:r w:rsidR="001B2F58" w:rsidRPr="00DD03D6">
        <w:rPr>
          <w:noProof/>
          <w:lang w:val="fr-FR"/>
        </w:rPr>
        <w:t>2006</w:t>
      </w:r>
      <w:r w:rsidR="005B7E63">
        <w:rPr>
          <w:noProof/>
          <w:lang w:val="fr-FR"/>
        </w:rPr>
        <w:noBreakHyphen/>
      </w:r>
      <w:r w:rsidR="001B2F58" w:rsidRPr="00DD03D6">
        <w:rPr>
          <w:noProof/>
          <w:lang w:val="fr-FR"/>
        </w:rPr>
        <w:t>2010</w:t>
      </w:r>
      <w:r w:rsidR="009C677D" w:rsidRPr="00DD03D6">
        <w:rPr>
          <w:noProof/>
          <w:lang w:val="fr-FR"/>
        </w:rPr>
        <w:t>,</w:t>
      </w:r>
      <w:r w:rsidR="001B2F58" w:rsidRPr="00DD03D6">
        <w:rPr>
          <w:noProof/>
          <w:lang w:val="fr-FR"/>
        </w:rPr>
        <w:t xml:space="preserve"> </w:t>
      </w:r>
      <w:r>
        <w:rPr>
          <w:noProof/>
          <w:lang w:val="fr-FR"/>
        </w:rPr>
        <w:t xml:space="preserve">et son </w:t>
      </w:r>
      <w:r w:rsidR="006B452C">
        <w:rPr>
          <w:noProof/>
          <w:lang w:val="fr-FR"/>
        </w:rPr>
        <w:t xml:space="preserve">Aperçu stratégique pour </w:t>
      </w:r>
      <w:r w:rsidR="001B2F58" w:rsidRPr="00DD03D6">
        <w:rPr>
          <w:noProof/>
          <w:lang w:val="fr-FR"/>
        </w:rPr>
        <w:t>2011-2013</w:t>
      </w:r>
      <w:r w:rsidR="006B452C">
        <w:rPr>
          <w:noProof/>
          <w:lang w:val="fr-FR"/>
        </w:rPr>
        <w:t xml:space="preserve"> font des enfants et des jeunes une partie prenante importante</w:t>
      </w:r>
      <w:r w:rsidR="009F00F6">
        <w:rPr>
          <w:noProof/>
          <w:lang w:val="fr-FR"/>
        </w:rPr>
        <w:t>,</w:t>
      </w:r>
      <w:r w:rsidR="006B452C">
        <w:rPr>
          <w:noProof/>
          <w:lang w:val="fr-FR"/>
        </w:rPr>
        <w:t xml:space="preserve"> et un large éventail de </w:t>
      </w:r>
      <w:r w:rsidR="001B2F58" w:rsidRPr="00DD03D6">
        <w:rPr>
          <w:noProof/>
          <w:lang w:val="fr-FR"/>
        </w:rPr>
        <w:t xml:space="preserve">programmes </w:t>
      </w:r>
      <w:r w:rsidR="006B452C">
        <w:rPr>
          <w:noProof/>
          <w:lang w:val="fr-FR"/>
        </w:rPr>
        <w:t>d’activités et d’aides ont été mis en place à leur intention tant en milieu scolaire qu’en dehors de l’école</w:t>
      </w:r>
      <w:r w:rsidR="001B2F58" w:rsidRPr="00DD03D6">
        <w:rPr>
          <w:noProof/>
          <w:lang w:val="fr-FR"/>
        </w:rPr>
        <w:t xml:space="preserve">. </w:t>
      </w:r>
      <w:r w:rsidR="006B452C">
        <w:rPr>
          <w:noProof/>
          <w:lang w:val="fr-FR"/>
        </w:rPr>
        <w:t>E</w:t>
      </w:r>
      <w:r w:rsidR="001B2F58" w:rsidRPr="00DD03D6">
        <w:rPr>
          <w:noProof/>
          <w:lang w:val="fr-FR"/>
        </w:rPr>
        <w:t xml:space="preserve">n 2006, </w:t>
      </w:r>
      <w:r w:rsidR="006B452C">
        <w:rPr>
          <w:noProof/>
          <w:lang w:val="fr-FR"/>
        </w:rPr>
        <w:t xml:space="preserve">le Conseil a créé une Équipe </w:t>
      </w:r>
      <w:r w:rsidR="00356C11">
        <w:rPr>
          <w:noProof/>
          <w:lang w:val="fr-FR"/>
        </w:rPr>
        <w:t xml:space="preserve">de la jeunesse, des enfants et de l’éducation chargée de superviser l’élaboration des politiques, de gérer les actions de sensibilisation et </w:t>
      </w:r>
      <w:r w:rsidR="00356C11">
        <w:rPr>
          <w:noProof/>
          <w:lang w:val="fr-FR"/>
        </w:rPr>
        <w:lastRenderedPageBreak/>
        <w:t xml:space="preserve">d’administrer les programmes de financement dans le domaine </w:t>
      </w:r>
      <w:r w:rsidR="00356C11">
        <w:rPr>
          <w:lang w:val="fr-FR"/>
        </w:rPr>
        <w:t>de la jeunesse, des enfants et de l’éducation</w:t>
      </w:r>
      <w:r w:rsidR="001B2F58" w:rsidRPr="00DD03D6">
        <w:rPr>
          <w:noProof/>
          <w:lang w:val="fr-FR"/>
        </w:rPr>
        <w:t xml:space="preserve">. </w:t>
      </w:r>
      <w:r w:rsidR="00356C11">
        <w:rPr>
          <w:noProof/>
          <w:lang w:val="fr-FR"/>
        </w:rPr>
        <w:t xml:space="preserve">L’année </w:t>
      </w:r>
      <w:r w:rsidR="001B2F58" w:rsidRPr="00DD03D6">
        <w:rPr>
          <w:noProof/>
          <w:lang w:val="fr-FR"/>
        </w:rPr>
        <w:t>2009</w:t>
      </w:r>
      <w:r w:rsidR="00356C11">
        <w:rPr>
          <w:noProof/>
          <w:lang w:val="fr-FR"/>
        </w:rPr>
        <w:t xml:space="preserve"> a</w:t>
      </w:r>
      <w:r w:rsidR="009F00F6">
        <w:rPr>
          <w:noProof/>
          <w:lang w:val="fr-FR"/>
        </w:rPr>
        <w:t xml:space="preserve"> marqué 30 années de participation du </w:t>
      </w:r>
      <w:r w:rsidR="00356C11">
        <w:rPr>
          <w:noProof/>
          <w:lang w:val="fr-FR"/>
        </w:rPr>
        <w:t xml:space="preserve">Conseil des arts </w:t>
      </w:r>
      <w:r w:rsidR="009F00F6">
        <w:rPr>
          <w:noProof/>
          <w:lang w:val="fr-FR"/>
        </w:rPr>
        <w:t xml:space="preserve">à l’élaboration et à l’appui de </w:t>
      </w:r>
      <w:r w:rsidR="001B2F58" w:rsidRPr="00DD03D6">
        <w:rPr>
          <w:noProof/>
          <w:lang w:val="fr-FR"/>
        </w:rPr>
        <w:t xml:space="preserve">programmes </w:t>
      </w:r>
      <w:r w:rsidR="009F00F6">
        <w:rPr>
          <w:noProof/>
          <w:lang w:val="fr-FR"/>
        </w:rPr>
        <w:t>en faveur des enfants et des jeunes</w:t>
      </w:r>
      <w:r w:rsidR="001B2F58" w:rsidRPr="00DD03D6">
        <w:rPr>
          <w:noProof/>
          <w:lang w:val="fr-FR"/>
        </w:rPr>
        <w:t>.</w:t>
      </w:r>
    </w:p>
    <w:p w:rsidR="001B2F58" w:rsidRDefault="009F00F6" w:rsidP="005D7533">
      <w:pPr>
        <w:pStyle w:val="SingleTxtG"/>
        <w:numPr>
          <w:ilvl w:val="0"/>
          <w:numId w:val="3"/>
        </w:numPr>
        <w:ind w:left="1134" w:firstLine="0"/>
        <w:rPr>
          <w:noProof/>
          <w:lang w:val="fr-FR"/>
        </w:rPr>
      </w:pPr>
      <w:r>
        <w:rPr>
          <w:noProof/>
          <w:lang w:val="fr-FR"/>
        </w:rPr>
        <w:t xml:space="preserve">Le Conseil </w:t>
      </w:r>
      <w:r w:rsidR="00B807BD">
        <w:rPr>
          <w:noProof/>
          <w:lang w:val="fr-FR"/>
        </w:rPr>
        <w:t xml:space="preserve">est pleinement conscient de l’absence d’ensembles de données suffisants au niveau national pour appuyer une </w:t>
      </w:r>
      <w:r w:rsidR="00BE5B5E">
        <w:rPr>
          <w:noProof/>
          <w:lang w:val="fr-FR"/>
        </w:rPr>
        <w:t>« </w:t>
      </w:r>
      <w:r w:rsidR="00B807BD">
        <w:rPr>
          <w:noProof/>
          <w:lang w:val="fr-FR"/>
        </w:rPr>
        <w:t>exploration de données</w:t>
      </w:r>
      <w:r w:rsidR="00BE5B5E">
        <w:rPr>
          <w:noProof/>
          <w:lang w:val="fr-FR"/>
        </w:rPr>
        <w:t> »</w:t>
      </w:r>
      <w:r w:rsidR="001B2F58" w:rsidRPr="00DD03D6">
        <w:rPr>
          <w:noProof/>
          <w:lang w:val="fr-FR"/>
        </w:rPr>
        <w:t xml:space="preserve"> </w:t>
      </w:r>
      <w:r w:rsidR="00B807BD">
        <w:rPr>
          <w:noProof/>
          <w:lang w:val="fr-FR"/>
        </w:rPr>
        <w:t>utile dans le domaine des arts en général</w:t>
      </w:r>
      <w:r w:rsidR="00B807BD" w:rsidRPr="00B807BD">
        <w:rPr>
          <w:noProof/>
          <w:lang w:val="fr-FR"/>
        </w:rPr>
        <w:t xml:space="preserve"> </w:t>
      </w:r>
      <w:r w:rsidR="00B807BD">
        <w:rPr>
          <w:noProof/>
          <w:lang w:val="fr-FR"/>
        </w:rPr>
        <w:t xml:space="preserve">en Irlande, ainsi que du fait que la collecte des données laisse à désirer en ce qui concerne la </w:t>
      </w:r>
      <w:r w:rsidR="001B2F58" w:rsidRPr="00DD03D6">
        <w:rPr>
          <w:noProof/>
          <w:lang w:val="fr-FR"/>
        </w:rPr>
        <w:t xml:space="preserve">participation </w:t>
      </w:r>
      <w:r w:rsidR="00B807BD">
        <w:rPr>
          <w:noProof/>
          <w:lang w:val="fr-FR"/>
        </w:rPr>
        <w:t>des enfants et des jeunes, même du point de vue quantitatif</w:t>
      </w:r>
      <w:r w:rsidR="001B2F58" w:rsidRPr="00DD03D6">
        <w:rPr>
          <w:noProof/>
          <w:lang w:val="fr-FR"/>
        </w:rPr>
        <w:t xml:space="preserve">. </w:t>
      </w:r>
      <w:r w:rsidR="00B4385A">
        <w:rPr>
          <w:noProof/>
          <w:lang w:val="fr-FR"/>
        </w:rPr>
        <w:t>Il est nécessaire de recueillir des données suffisamment précises et différenciées concernant, par exemple, la nature des expériences artistiques</w:t>
      </w:r>
      <w:r w:rsidR="001B2F58" w:rsidRPr="00DD03D6">
        <w:rPr>
          <w:noProof/>
          <w:lang w:val="fr-FR"/>
        </w:rPr>
        <w:t xml:space="preserve">; </w:t>
      </w:r>
      <w:r w:rsidR="00B4385A">
        <w:rPr>
          <w:noProof/>
          <w:lang w:val="fr-FR"/>
        </w:rPr>
        <w:t>le lieu où elles se produisent</w:t>
      </w:r>
      <w:r w:rsidR="001B2F58" w:rsidRPr="00DD03D6">
        <w:rPr>
          <w:noProof/>
          <w:lang w:val="fr-FR"/>
        </w:rPr>
        <w:t xml:space="preserve">; </w:t>
      </w:r>
      <w:r w:rsidR="00B4385A">
        <w:rPr>
          <w:noProof/>
          <w:lang w:val="fr-FR"/>
        </w:rPr>
        <w:t>l’assurance de la qualité, s’agissant en particulier de la formation professionnelle initiale et continue des artistes et des enseignants</w:t>
      </w:r>
      <w:r w:rsidR="001B2F58" w:rsidRPr="00DD03D6">
        <w:rPr>
          <w:noProof/>
          <w:lang w:val="fr-FR"/>
        </w:rPr>
        <w:t xml:space="preserve">; </w:t>
      </w:r>
      <w:r w:rsidR="00B4385A">
        <w:rPr>
          <w:noProof/>
          <w:lang w:val="fr-FR"/>
        </w:rPr>
        <w:t xml:space="preserve">et le contexte </w:t>
      </w:r>
      <w:r w:rsidR="001B2F58" w:rsidRPr="00DD03D6">
        <w:rPr>
          <w:noProof/>
          <w:lang w:val="fr-FR"/>
        </w:rPr>
        <w:t>d</w:t>
      </w:r>
      <w:r w:rsidR="00B4385A">
        <w:rPr>
          <w:noProof/>
          <w:lang w:val="fr-FR"/>
        </w:rPr>
        <w:t>émographique</w:t>
      </w:r>
      <w:r w:rsidR="001B2F58" w:rsidRPr="00DD03D6">
        <w:rPr>
          <w:noProof/>
          <w:lang w:val="fr-FR"/>
        </w:rPr>
        <w:t xml:space="preserve">. </w:t>
      </w:r>
      <w:r w:rsidR="00B4385A">
        <w:rPr>
          <w:noProof/>
          <w:lang w:val="fr-FR"/>
        </w:rPr>
        <w:t>Le Conseil des a</w:t>
      </w:r>
      <w:r w:rsidR="001B2F58" w:rsidRPr="00DD03D6">
        <w:rPr>
          <w:noProof/>
          <w:lang w:val="fr-FR"/>
        </w:rPr>
        <w:t xml:space="preserve">rts </w:t>
      </w:r>
      <w:r w:rsidR="00B4385A">
        <w:rPr>
          <w:noProof/>
          <w:lang w:val="fr-FR"/>
        </w:rPr>
        <w:t>se félicite de la Stratégie n</w:t>
      </w:r>
      <w:r w:rsidR="001B2F58" w:rsidRPr="00DD03D6">
        <w:rPr>
          <w:noProof/>
          <w:lang w:val="fr-FR"/>
        </w:rPr>
        <w:t>ational</w:t>
      </w:r>
      <w:r w:rsidR="00B4385A">
        <w:rPr>
          <w:noProof/>
          <w:lang w:val="fr-FR"/>
        </w:rPr>
        <w:t>e pour la recherche et les données sur la vie des enfants pour</w:t>
      </w:r>
      <w:r w:rsidR="001B2F58" w:rsidRPr="00DD03D6">
        <w:rPr>
          <w:noProof/>
          <w:lang w:val="fr-FR"/>
        </w:rPr>
        <w:t xml:space="preserve"> 2011-2016, </w:t>
      </w:r>
      <w:r w:rsidR="00B4385A">
        <w:rPr>
          <w:noProof/>
          <w:lang w:val="fr-FR"/>
        </w:rPr>
        <w:t xml:space="preserve">présentée en </w:t>
      </w:r>
      <w:r w:rsidR="001B2F58" w:rsidRPr="00DD03D6">
        <w:rPr>
          <w:noProof/>
          <w:lang w:val="fr-FR"/>
        </w:rPr>
        <w:t xml:space="preserve">2011 </w:t>
      </w:r>
      <w:r w:rsidR="00B4385A">
        <w:rPr>
          <w:noProof/>
          <w:lang w:val="fr-FR"/>
        </w:rPr>
        <w:t>par le Ministère de l’enfance et de la jeunesse</w:t>
      </w:r>
      <w:r w:rsidR="001B2F58" w:rsidRPr="00DD03D6">
        <w:rPr>
          <w:noProof/>
          <w:lang w:val="fr-FR"/>
        </w:rPr>
        <w:t xml:space="preserve">. </w:t>
      </w:r>
      <w:r w:rsidR="00B4385A">
        <w:rPr>
          <w:noProof/>
          <w:lang w:val="fr-FR"/>
        </w:rPr>
        <w:t>L’Équipe de la jeunesse, des enfants et de l’éducation se réjouit à la perspective de participer à ce processus,</w:t>
      </w:r>
      <w:r w:rsidR="00914931">
        <w:rPr>
          <w:noProof/>
          <w:lang w:val="fr-FR"/>
        </w:rPr>
        <w:t xml:space="preserve"> le but étant de faire mieux comprendre au pays le rôle des arts dans la vie des enfants</w:t>
      </w:r>
      <w:r w:rsidR="00B4385A">
        <w:rPr>
          <w:noProof/>
          <w:lang w:val="fr-FR"/>
        </w:rPr>
        <w:t xml:space="preserve"> </w:t>
      </w:r>
      <w:r w:rsidR="00914931">
        <w:rPr>
          <w:noProof/>
          <w:lang w:val="fr-FR"/>
        </w:rPr>
        <w:t xml:space="preserve">et de développer l’information disponible sur la mobilisation des enfants et sur l’éventail des </w:t>
      </w:r>
      <w:r w:rsidR="001B2F58" w:rsidRPr="00DD03D6">
        <w:rPr>
          <w:noProof/>
          <w:lang w:val="fr-FR"/>
        </w:rPr>
        <w:t xml:space="preserve">services </w:t>
      </w:r>
      <w:r w:rsidR="00914931">
        <w:rPr>
          <w:noProof/>
          <w:lang w:val="fr-FR"/>
        </w:rPr>
        <w:t>qui favorisent leur participation aux activités artistiques et culturelles, leur connaissance de ces activités et le bénéfice personnel qu’ils peuvent en tirer</w:t>
      </w:r>
      <w:r w:rsidR="001B2F58" w:rsidRPr="00DD03D6">
        <w:rPr>
          <w:noProof/>
          <w:lang w:val="fr-FR"/>
        </w:rPr>
        <w:t>.</w:t>
      </w:r>
    </w:p>
    <w:p w:rsidR="001B2F58" w:rsidRPr="00DD03D6" w:rsidRDefault="001B2F58" w:rsidP="002C58C8">
      <w:pPr>
        <w:pStyle w:val="SingleTxtG"/>
        <w:numPr>
          <w:ilvl w:val="0"/>
          <w:numId w:val="3"/>
        </w:numPr>
        <w:ind w:left="1134" w:firstLine="0"/>
        <w:rPr>
          <w:noProof/>
          <w:lang w:val="fr-FR"/>
        </w:rPr>
      </w:pPr>
      <w:r w:rsidRPr="00DD03D6">
        <w:rPr>
          <w:noProof/>
          <w:lang w:val="fr-FR"/>
        </w:rPr>
        <w:t xml:space="preserve">Art-Youth-Culture: FYI </w:t>
      </w:r>
      <w:r w:rsidR="00D10308">
        <w:rPr>
          <w:noProof/>
          <w:lang w:val="fr-FR"/>
        </w:rPr>
        <w:t xml:space="preserve">(Art-Jeunesse-Culture : Pour information) était une </w:t>
      </w:r>
      <w:r w:rsidRPr="00DD03D6">
        <w:rPr>
          <w:noProof/>
          <w:lang w:val="fr-FR"/>
        </w:rPr>
        <w:t xml:space="preserve">consultation, </w:t>
      </w:r>
      <w:r w:rsidR="00D10308">
        <w:rPr>
          <w:noProof/>
          <w:lang w:val="fr-FR"/>
        </w:rPr>
        <w:t xml:space="preserve">menée en </w:t>
      </w:r>
      <w:r w:rsidRPr="00DD03D6">
        <w:rPr>
          <w:noProof/>
          <w:lang w:val="fr-FR"/>
        </w:rPr>
        <w:t xml:space="preserve">2010, </w:t>
      </w:r>
      <w:r w:rsidR="00D10308">
        <w:rPr>
          <w:noProof/>
          <w:lang w:val="fr-FR"/>
        </w:rPr>
        <w:t xml:space="preserve">qui a rassemblé plus de </w:t>
      </w:r>
      <w:r w:rsidRPr="00DD03D6">
        <w:rPr>
          <w:noProof/>
          <w:lang w:val="fr-FR"/>
        </w:rPr>
        <w:t xml:space="preserve">60 </w:t>
      </w:r>
      <w:r w:rsidR="00D10308">
        <w:rPr>
          <w:noProof/>
          <w:lang w:val="fr-FR"/>
        </w:rPr>
        <w:t xml:space="preserve">jeunes âgés de </w:t>
      </w:r>
      <w:r w:rsidRPr="00DD03D6">
        <w:rPr>
          <w:noProof/>
          <w:lang w:val="fr-FR"/>
        </w:rPr>
        <w:t>15</w:t>
      </w:r>
      <w:r w:rsidR="00D10308">
        <w:rPr>
          <w:noProof/>
          <w:lang w:val="fr-FR"/>
        </w:rPr>
        <w:t xml:space="preserve"> à </w:t>
      </w:r>
      <w:r w:rsidRPr="00DD03D6">
        <w:rPr>
          <w:noProof/>
          <w:lang w:val="fr-FR"/>
        </w:rPr>
        <w:t xml:space="preserve">23 </w:t>
      </w:r>
      <w:r w:rsidR="00D10308">
        <w:rPr>
          <w:noProof/>
          <w:lang w:val="fr-FR"/>
        </w:rPr>
        <w:t xml:space="preserve">ans pour discuter de leur </w:t>
      </w:r>
      <w:r w:rsidRPr="00DD03D6">
        <w:rPr>
          <w:noProof/>
          <w:lang w:val="fr-FR"/>
        </w:rPr>
        <w:t xml:space="preserve">participation </w:t>
      </w:r>
      <w:r w:rsidR="00D10308">
        <w:rPr>
          <w:noProof/>
          <w:lang w:val="fr-FR"/>
        </w:rPr>
        <w:t>à la vie culturelle et artistique avec leurs pairs et les principaux décideurs pendant trois journées consacrées à des ateliers, débats et rencontres sur des sujets relatifs aux arts</w:t>
      </w:r>
      <w:r w:rsidRPr="00DD03D6">
        <w:rPr>
          <w:noProof/>
          <w:lang w:val="fr-FR"/>
        </w:rPr>
        <w:t xml:space="preserve">. </w:t>
      </w:r>
      <w:r w:rsidR="00D10308">
        <w:rPr>
          <w:noProof/>
          <w:lang w:val="fr-FR"/>
        </w:rPr>
        <w:t>Les p</w:t>
      </w:r>
      <w:r w:rsidRPr="00DD03D6">
        <w:rPr>
          <w:noProof/>
          <w:lang w:val="fr-FR"/>
        </w:rPr>
        <w:t xml:space="preserve">articipants </w:t>
      </w:r>
      <w:r w:rsidR="00D10308">
        <w:rPr>
          <w:noProof/>
          <w:lang w:val="fr-FR"/>
        </w:rPr>
        <w:t xml:space="preserve">ont partagé données d’expérience, préoccupations et idées avec des décideurs et </w:t>
      </w:r>
      <w:r w:rsidR="00373543">
        <w:rPr>
          <w:noProof/>
          <w:lang w:val="fr-FR"/>
        </w:rPr>
        <w:t xml:space="preserve">des représentants des </w:t>
      </w:r>
      <w:r w:rsidR="00373543">
        <w:rPr>
          <w:rFonts w:ascii="TimesNewRoman" w:hAnsi="TimesNewRoman" w:cs="TimesNewRoman"/>
          <w:szCs w:val="24"/>
          <w:lang w:val="fr-FR"/>
        </w:rPr>
        <w:t>institutions dispensatrices de culture dans le cadre d’une série de tables rondes et de présentations artistiques d’une journée</w:t>
      </w:r>
      <w:r w:rsidRPr="00DD03D6">
        <w:rPr>
          <w:noProof/>
          <w:lang w:val="fr-FR"/>
        </w:rPr>
        <w:t xml:space="preserve">, </w:t>
      </w:r>
      <w:r w:rsidR="00373543">
        <w:rPr>
          <w:noProof/>
          <w:lang w:val="fr-FR"/>
        </w:rPr>
        <w:t xml:space="preserve">dont les </w:t>
      </w:r>
      <w:r w:rsidRPr="00DD03D6">
        <w:rPr>
          <w:noProof/>
          <w:lang w:val="fr-FR"/>
        </w:rPr>
        <w:t>th</w:t>
      </w:r>
      <w:r w:rsidR="00373543">
        <w:rPr>
          <w:noProof/>
          <w:lang w:val="fr-FR"/>
        </w:rPr>
        <w:t>è</w:t>
      </w:r>
      <w:r w:rsidRPr="00DD03D6">
        <w:rPr>
          <w:noProof/>
          <w:lang w:val="fr-FR"/>
        </w:rPr>
        <w:t xml:space="preserve">mes </w:t>
      </w:r>
      <w:r w:rsidR="00373543">
        <w:rPr>
          <w:noProof/>
          <w:lang w:val="fr-FR"/>
        </w:rPr>
        <w:t xml:space="preserve">et la structure avaient été déterminés à l’avance par les jeunes participants. Au </w:t>
      </w:r>
      <w:r w:rsidRPr="00DD03D6">
        <w:rPr>
          <w:noProof/>
          <w:lang w:val="fr-FR"/>
        </w:rPr>
        <w:t>total, 35 repr</w:t>
      </w:r>
      <w:r w:rsidR="00373543">
        <w:rPr>
          <w:noProof/>
          <w:lang w:val="fr-FR"/>
        </w:rPr>
        <w:t>é</w:t>
      </w:r>
      <w:r w:rsidRPr="00DD03D6">
        <w:rPr>
          <w:noProof/>
          <w:lang w:val="fr-FR"/>
        </w:rPr>
        <w:t>senta</w:t>
      </w:r>
      <w:r w:rsidR="00373543">
        <w:rPr>
          <w:noProof/>
          <w:lang w:val="fr-FR"/>
        </w:rPr>
        <w:t>nts des principaux organismes publics et ministères dont les activité</w:t>
      </w:r>
      <w:r w:rsidRPr="00DD03D6">
        <w:rPr>
          <w:noProof/>
          <w:lang w:val="fr-FR"/>
        </w:rPr>
        <w:t xml:space="preserve">s </w:t>
      </w:r>
      <w:r w:rsidR="00373543">
        <w:rPr>
          <w:noProof/>
          <w:lang w:val="fr-FR"/>
        </w:rPr>
        <w:t>influent sur l’expérience que les jeunes peuvent avoir des arts et de la culture ont participé à cette consultation</w:t>
      </w:r>
      <w:r w:rsidRPr="00DD03D6">
        <w:rPr>
          <w:noProof/>
          <w:lang w:val="fr-FR"/>
        </w:rPr>
        <w:t xml:space="preserve">. </w:t>
      </w:r>
      <w:r w:rsidR="00373543">
        <w:rPr>
          <w:noProof/>
          <w:lang w:val="fr-FR"/>
        </w:rPr>
        <w:t>Un site Web a été créé pour l’occasion et géré par un collectif de jeunes artistes</w:t>
      </w:r>
      <w:r w:rsidRPr="00DD03D6">
        <w:rPr>
          <w:noProof/>
          <w:lang w:val="fr-FR"/>
        </w:rPr>
        <w:t xml:space="preserve">. </w:t>
      </w:r>
      <w:r w:rsidR="00373543">
        <w:rPr>
          <w:noProof/>
          <w:lang w:val="fr-FR"/>
        </w:rPr>
        <w:t xml:space="preserve">La consultation a été financée grâce à l’appui </w:t>
      </w:r>
      <w:r w:rsidR="00884BD8">
        <w:rPr>
          <w:noProof/>
          <w:lang w:val="fr-FR"/>
        </w:rPr>
        <w:t>fourni</w:t>
      </w:r>
      <w:r w:rsidR="00373543">
        <w:rPr>
          <w:noProof/>
          <w:lang w:val="fr-FR"/>
        </w:rPr>
        <w:t xml:space="preserve"> par la Commission européenne par </w:t>
      </w:r>
      <w:r w:rsidR="00884BD8">
        <w:rPr>
          <w:noProof/>
          <w:lang w:val="fr-FR"/>
        </w:rPr>
        <w:t>l’intermédiaire de</w:t>
      </w:r>
      <w:r w:rsidR="00373543">
        <w:rPr>
          <w:noProof/>
          <w:lang w:val="fr-FR"/>
        </w:rPr>
        <w:t xml:space="preserve"> </w:t>
      </w:r>
      <w:r w:rsidRPr="00DD03D6">
        <w:rPr>
          <w:noProof/>
          <w:lang w:val="fr-FR"/>
        </w:rPr>
        <w:t>Léargas.</w:t>
      </w:r>
    </w:p>
    <w:p w:rsidR="001B2F58" w:rsidRPr="00DD03D6" w:rsidRDefault="00884BD8" w:rsidP="002C58C8">
      <w:pPr>
        <w:pStyle w:val="SingleTxtG"/>
        <w:numPr>
          <w:ilvl w:val="0"/>
          <w:numId w:val="3"/>
        </w:numPr>
        <w:ind w:left="1134" w:firstLine="0"/>
        <w:rPr>
          <w:noProof/>
          <w:lang w:val="fr-FR"/>
        </w:rPr>
      </w:pPr>
      <w:r>
        <w:rPr>
          <w:noProof/>
          <w:lang w:val="fr-FR"/>
        </w:rPr>
        <w:t xml:space="preserve">En juillet </w:t>
      </w:r>
      <w:r w:rsidR="001B2F58" w:rsidRPr="00DD03D6">
        <w:rPr>
          <w:noProof/>
          <w:lang w:val="fr-FR"/>
        </w:rPr>
        <w:t xml:space="preserve">2008, </w:t>
      </w:r>
      <w:r>
        <w:rPr>
          <w:noProof/>
          <w:lang w:val="fr-FR"/>
        </w:rPr>
        <w:t>le Conseil des a</w:t>
      </w:r>
      <w:r w:rsidR="001B2F58" w:rsidRPr="00DD03D6">
        <w:rPr>
          <w:noProof/>
          <w:lang w:val="fr-FR"/>
        </w:rPr>
        <w:t xml:space="preserve">rts </w:t>
      </w:r>
      <w:r>
        <w:rPr>
          <w:noProof/>
          <w:lang w:val="fr-FR"/>
        </w:rPr>
        <w:t xml:space="preserve">a publié </w:t>
      </w:r>
      <w:r>
        <w:rPr>
          <w:i/>
          <w:noProof/>
          <w:lang w:val="fr-FR"/>
        </w:rPr>
        <w:t xml:space="preserve">Points d’alignement : Rapport du Comité spécial des arts et de l’éducation </w:t>
      </w:r>
      <w:r>
        <w:rPr>
          <w:noProof/>
          <w:lang w:val="fr-FR"/>
        </w:rPr>
        <w:t>(</w:t>
      </w:r>
      <w:r w:rsidR="001B2F58" w:rsidRPr="00DD03D6">
        <w:rPr>
          <w:i/>
          <w:noProof/>
          <w:lang w:val="fr-FR"/>
        </w:rPr>
        <w:t>Points of Alignment: The Report of the Special Committee on the Arts and Education</w:t>
      </w:r>
      <w:r>
        <w:rPr>
          <w:noProof/>
          <w:lang w:val="fr-FR"/>
        </w:rPr>
        <w:t>).</w:t>
      </w:r>
      <w:r w:rsidR="001B2F58" w:rsidRPr="00DD03D6">
        <w:rPr>
          <w:noProof/>
          <w:lang w:val="fr-FR"/>
        </w:rPr>
        <w:t xml:space="preserve"> </w:t>
      </w:r>
      <w:r w:rsidR="007E6F95">
        <w:rPr>
          <w:noProof/>
          <w:lang w:val="fr-FR"/>
        </w:rPr>
        <w:t>Le Comité spécial a été créé conjointement par le Minist</w:t>
      </w:r>
      <w:r w:rsidR="001B2F58" w:rsidRPr="00DD03D6">
        <w:rPr>
          <w:noProof/>
          <w:lang w:val="fr-FR"/>
        </w:rPr>
        <w:t>r</w:t>
      </w:r>
      <w:r w:rsidR="007E6F95">
        <w:rPr>
          <w:noProof/>
          <w:lang w:val="fr-FR"/>
        </w:rPr>
        <w:t>e des</w:t>
      </w:r>
      <w:r w:rsidR="001B2F58" w:rsidRPr="00DD03D6">
        <w:rPr>
          <w:noProof/>
          <w:lang w:val="fr-FR"/>
        </w:rPr>
        <w:t xml:space="preserve"> </w:t>
      </w:r>
      <w:r w:rsidR="007E6F95">
        <w:rPr>
          <w:noProof/>
          <w:lang w:val="fr-FR"/>
        </w:rPr>
        <w:t>a</w:t>
      </w:r>
      <w:r w:rsidR="001B2F58" w:rsidRPr="00DD03D6">
        <w:rPr>
          <w:noProof/>
          <w:lang w:val="fr-FR"/>
        </w:rPr>
        <w:t xml:space="preserve">rts, </w:t>
      </w:r>
      <w:r w:rsidR="007E6F95">
        <w:rPr>
          <w:noProof/>
          <w:lang w:val="fr-FR"/>
        </w:rPr>
        <w:t>du s</w:t>
      </w:r>
      <w:r w:rsidR="001B2F58" w:rsidRPr="00DD03D6">
        <w:rPr>
          <w:noProof/>
          <w:lang w:val="fr-FR"/>
        </w:rPr>
        <w:t xml:space="preserve">port </w:t>
      </w:r>
      <w:r w:rsidR="007E6F95">
        <w:rPr>
          <w:noProof/>
          <w:lang w:val="fr-FR"/>
        </w:rPr>
        <w:t>et du t</w:t>
      </w:r>
      <w:r w:rsidR="001B2F58" w:rsidRPr="00DD03D6">
        <w:rPr>
          <w:noProof/>
          <w:lang w:val="fr-FR"/>
        </w:rPr>
        <w:t>ourism</w:t>
      </w:r>
      <w:r w:rsidR="007E6F95">
        <w:rPr>
          <w:noProof/>
          <w:lang w:val="fr-FR"/>
        </w:rPr>
        <w:t>e</w:t>
      </w:r>
      <w:r w:rsidR="001B2F58" w:rsidRPr="00DD03D6">
        <w:rPr>
          <w:noProof/>
          <w:lang w:val="fr-FR"/>
        </w:rPr>
        <w:t xml:space="preserve"> </w:t>
      </w:r>
      <w:r w:rsidR="007E6F95">
        <w:rPr>
          <w:noProof/>
          <w:lang w:val="fr-FR"/>
        </w:rPr>
        <w:t>et le Ministre de l’éducation et de la s</w:t>
      </w:r>
      <w:r w:rsidR="001B2F58" w:rsidRPr="00DD03D6">
        <w:rPr>
          <w:noProof/>
          <w:lang w:val="fr-FR"/>
        </w:rPr>
        <w:t xml:space="preserve">cience. </w:t>
      </w:r>
      <w:r w:rsidR="007E6F95">
        <w:rPr>
          <w:noProof/>
          <w:lang w:val="fr-FR"/>
        </w:rPr>
        <w:t xml:space="preserve">Le rapport en question, axé sur </w:t>
      </w:r>
      <w:r w:rsidR="001F5DD2">
        <w:rPr>
          <w:noProof/>
          <w:lang w:val="fr-FR"/>
        </w:rPr>
        <w:t>l’art</w:t>
      </w:r>
      <w:r w:rsidR="007E6F95">
        <w:rPr>
          <w:noProof/>
          <w:lang w:val="fr-FR"/>
        </w:rPr>
        <w:t xml:space="preserve"> dans l’éducation en Irlande, for</w:t>
      </w:r>
      <w:r w:rsidR="001F5DD2">
        <w:rPr>
          <w:noProof/>
          <w:lang w:val="fr-FR"/>
        </w:rPr>
        <w:t xml:space="preserve">mule </w:t>
      </w:r>
      <w:r w:rsidR="007E6F95">
        <w:rPr>
          <w:noProof/>
          <w:lang w:val="fr-FR"/>
        </w:rPr>
        <w:t>cinq recomma</w:t>
      </w:r>
      <w:r w:rsidR="001B2F58" w:rsidRPr="00DD03D6">
        <w:rPr>
          <w:noProof/>
          <w:lang w:val="fr-FR"/>
        </w:rPr>
        <w:t xml:space="preserve">ndations </w:t>
      </w:r>
      <w:r w:rsidR="007E6F95">
        <w:rPr>
          <w:noProof/>
          <w:lang w:val="fr-FR"/>
        </w:rPr>
        <w:t xml:space="preserve">essentielles tendant à développer </w:t>
      </w:r>
      <w:r w:rsidR="001F5DD2">
        <w:rPr>
          <w:noProof/>
          <w:lang w:val="fr-FR"/>
        </w:rPr>
        <w:t>cette discipline</w:t>
      </w:r>
      <w:r w:rsidR="001B2F58" w:rsidRPr="00DD03D6">
        <w:rPr>
          <w:noProof/>
          <w:lang w:val="fr-FR"/>
        </w:rPr>
        <w:t xml:space="preserve">. </w:t>
      </w:r>
      <w:r w:rsidR="001F5DD2">
        <w:rPr>
          <w:noProof/>
          <w:lang w:val="fr-FR"/>
        </w:rPr>
        <w:t>Par art dans l’éducation, on entend le déplacement dans les écoles d’</w:t>
      </w:r>
      <w:r w:rsidR="001B2F58" w:rsidRPr="00DD03D6">
        <w:rPr>
          <w:noProof/>
          <w:lang w:val="fr-FR"/>
        </w:rPr>
        <w:t>artist</w:t>
      </w:r>
      <w:r w:rsidR="001F5DD2">
        <w:rPr>
          <w:noProof/>
          <w:lang w:val="fr-FR"/>
        </w:rPr>
        <w:t>e</w:t>
      </w:r>
      <w:r w:rsidR="001B2F58" w:rsidRPr="00DD03D6">
        <w:rPr>
          <w:noProof/>
          <w:lang w:val="fr-FR"/>
        </w:rPr>
        <w:t xml:space="preserve">s </w:t>
      </w:r>
      <w:r w:rsidR="001F5DD2">
        <w:rPr>
          <w:noProof/>
          <w:lang w:val="fr-FR"/>
        </w:rPr>
        <w:t>et d’</w:t>
      </w:r>
      <w:r w:rsidR="001B2F58" w:rsidRPr="00DD03D6">
        <w:rPr>
          <w:noProof/>
          <w:lang w:val="fr-FR"/>
        </w:rPr>
        <w:t xml:space="preserve">organisations </w:t>
      </w:r>
      <w:r w:rsidR="001F5DD2">
        <w:rPr>
          <w:noProof/>
          <w:lang w:val="fr-FR"/>
        </w:rPr>
        <w:t xml:space="preserve">représentant l’art sous toutes ses formes </w:t>
      </w:r>
      <w:r w:rsidR="001B2F58" w:rsidRPr="00DD03D6">
        <w:rPr>
          <w:noProof/>
          <w:lang w:val="fr-FR"/>
        </w:rPr>
        <w:t>(th</w:t>
      </w:r>
      <w:r w:rsidR="001F5DD2">
        <w:rPr>
          <w:noProof/>
          <w:lang w:val="fr-FR"/>
        </w:rPr>
        <w:t>éâ</w:t>
      </w:r>
      <w:r w:rsidR="001B2F58" w:rsidRPr="00DD03D6">
        <w:rPr>
          <w:noProof/>
          <w:lang w:val="fr-FR"/>
        </w:rPr>
        <w:t>tre, dan</w:t>
      </w:r>
      <w:r w:rsidR="001F5DD2">
        <w:rPr>
          <w:noProof/>
          <w:lang w:val="fr-FR"/>
        </w:rPr>
        <w:t>s</w:t>
      </w:r>
      <w:r w:rsidR="001B2F58" w:rsidRPr="00DD03D6">
        <w:rPr>
          <w:noProof/>
          <w:lang w:val="fr-FR"/>
        </w:rPr>
        <w:t>e, arts</w:t>
      </w:r>
      <w:r w:rsidR="001F5DD2">
        <w:rPr>
          <w:noProof/>
          <w:lang w:val="fr-FR"/>
        </w:rPr>
        <w:t xml:space="preserve"> plastiques</w:t>
      </w:r>
      <w:r w:rsidR="001B2F58" w:rsidRPr="00DD03D6">
        <w:rPr>
          <w:noProof/>
          <w:lang w:val="fr-FR"/>
        </w:rPr>
        <w:t>, lit</w:t>
      </w:r>
      <w:r w:rsidR="001F5DD2">
        <w:rPr>
          <w:noProof/>
          <w:lang w:val="fr-FR"/>
        </w:rPr>
        <w:t>té</w:t>
      </w:r>
      <w:r w:rsidR="001B2F58" w:rsidRPr="00DD03D6">
        <w:rPr>
          <w:noProof/>
          <w:lang w:val="fr-FR"/>
        </w:rPr>
        <w:t>rature, musi</w:t>
      </w:r>
      <w:r w:rsidR="001F5DD2">
        <w:rPr>
          <w:noProof/>
          <w:lang w:val="fr-FR"/>
        </w:rPr>
        <w:t>que</w:t>
      </w:r>
      <w:r w:rsidR="001B2F58" w:rsidRPr="00DD03D6">
        <w:rPr>
          <w:noProof/>
          <w:lang w:val="fr-FR"/>
        </w:rPr>
        <w:t xml:space="preserve">, </w:t>
      </w:r>
      <w:r w:rsidR="001F5DD2">
        <w:rPr>
          <w:noProof/>
          <w:lang w:val="fr-FR"/>
        </w:rPr>
        <w:t>cinéma</w:t>
      </w:r>
      <w:r w:rsidR="001B2F58" w:rsidRPr="00DD03D6">
        <w:rPr>
          <w:noProof/>
          <w:lang w:val="fr-FR"/>
        </w:rPr>
        <w:t>, etc</w:t>
      </w:r>
      <w:r w:rsidR="00D2088D" w:rsidRPr="00DD03D6">
        <w:rPr>
          <w:noProof/>
          <w:lang w:val="fr-FR"/>
        </w:rPr>
        <w:t>.</w:t>
      </w:r>
      <w:r w:rsidR="001B2F58" w:rsidRPr="00DD03D6">
        <w:rPr>
          <w:noProof/>
          <w:lang w:val="fr-FR"/>
        </w:rPr>
        <w:t xml:space="preserve">) </w:t>
      </w:r>
      <w:r w:rsidR="001F5DD2">
        <w:rPr>
          <w:noProof/>
          <w:lang w:val="fr-FR"/>
        </w:rPr>
        <w:t>pour présenter leurs œuvres et réaliser des projets de courte ou de longue durée en collaboration avec les élèves et les enseignants</w:t>
      </w:r>
      <w:r w:rsidR="001B2F58" w:rsidRPr="00DD03D6">
        <w:rPr>
          <w:noProof/>
          <w:lang w:val="fr-FR"/>
        </w:rPr>
        <w:t xml:space="preserve">. </w:t>
      </w:r>
      <w:r w:rsidR="001F5DD2">
        <w:rPr>
          <w:noProof/>
          <w:lang w:val="fr-FR"/>
        </w:rPr>
        <w:t xml:space="preserve">Cette notion englobe également les visites </w:t>
      </w:r>
      <w:r w:rsidR="00C563D1">
        <w:rPr>
          <w:noProof/>
          <w:lang w:val="fr-FR"/>
        </w:rPr>
        <w:t>organis</w:t>
      </w:r>
      <w:r w:rsidR="001F5DD2">
        <w:rPr>
          <w:noProof/>
          <w:lang w:val="fr-FR"/>
        </w:rPr>
        <w:t>ées par les écoles dans les</w:t>
      </w:r>
      <w:r w:rsidR="00B11481">
        <w:rPr>
          <w:noProof/>
          <w:lang w:val="fr-FR"/>
        </w:rPr>
        <w:t xml:space="preserve"> musées</w:t>
      </w:r>
      <w:r w:rsidR="001F5DD2">
        <w:rPr>
          <w:noProof/>
          <w:lang w:val="fr-FR"/>
        </w:rPr>
        <w:t xml:space="preserve">, </w:t>
      </w:r>
      <w:r w:rsidR="001B2F58" w:rsidRPr="00DD03D6">
        <w:rPr>
          <w:noProof/>
          <w:lang w:val="fr-FR"/>
        </w:rPr>
        <w:t>th</w:t>
      </w:r>
      <w:r w:rsidR="001F5DD2">
        <w:rPr>
          <w:noProof/>
          <w:lang w:val="fr-FR"/>
        </w:rPr>
        <w:t>éâ</w:t>
      </w:r>
      <w:r w:rsidR="001B2F58" w:rsidRPr="00DD03D6">
        <w:rPr>
          <w:noProof/>
          <w:lang w:val="fr-FR"/>
        </w:rPr>
        <w:t xml:space="preserve">tres </w:t>
      </w:r>
      <w:r w:rsidR="001F5DD2">
        <w:rPr>
          <w:noProof/>
          <w:lang w:val="fr-FR"/>
        </w:rPr>
        <w:t xml:space="preserve">et </w:t>
      </w:r>
      <w:r w:rsidR="001B2F58" w:rsidRPr="00DD03D6">
        <w:rPr>
          <w:noProof/>
          <w:lang w:val="fr-FR"/>
        </w:rPr>
        <w:t xml:space="preserve">centres </w:t>
      </w:r>
      <w:r w:rsidR="00B11481">
        <w:rPr>
          <w:noProof/>
          <w:lang w:val="fr-FR"/>
        </w:rPr>
        <w:t xml:space="preserve">culturels pour </w:t>
      </w:r>
      <w:r w:rsidR="00C563D1">
        <w:rPr>
          <w:noProof/>
          <w:lang w:val="fr-FR"/>
        </w:rPr>
        <w:t xml:space="preserve">permettre à leurs élèves de </w:t>
      </w:r>
      <w:r w:rsidR="00B11481">
        <w:rPr>
          <w:noProof/>
          <w:lang w:val="fr-FR"/>
        </w:rPr>
        <w:t xml:space="preserve">voir des expositions, </w:t>
      </w:r>
      <w:r w:rsidR="00C563D1">
        <w:rPr>
          <w:noProof/>
          <w:lang w:val="fr-FR"/>
        </w:rPr>
        <w:t>d’</w:t>
      </w:r>
      <w:r w:rsidR="00B11481">
        <w:rPr>
          <w:noProof/>
          <w:lang w:val="fr-FR"/>
        </w:rPr>
        <w:t xml:space="preserve">assister à des représentations et </w:t>
      </w:r>
      <w:r w:rsidR="00C563D1">
        <w:rPr>
          <w:noProof/>
          <w:lang w:val="fr-FR"/>
        </w:rPr>
        <w:t xml:space="preserve">de </w:t>
      </w:r>
      <w:r w:rsidR="00B11481">
        <w:rPr>
          <w:noProof/>
          <w:lang w:val="fr-FR"/>
        </w:rPr>
        <w:t xml:space="preserve">participer à des ateliers de tous types, </w:t>
      </w:r>
      <w:r w:rsidR="00C563D1">
        <w:rPr>
          <w:noProof/>
          <w:lang w:val="fr-FR"/>
        </w:rPr>
        <w:t>enrichissant ainsi</w:t>
      </w:r>
      <w:r w:rsidR="00B11481">
        <w:rPr>
          <w:noProof/>
          <w:lang w:val="fr-FR"/>
        </w:rPr>
        <w:t xml:space="preserve"> l’expérience scolaire de milliers de jeunes Irlandais</w:t>
      </w:r>
      <w:r w:rsidR="001B2F58" w:rsidRPr="00DD03D6">
        <w:rPr>
          <w:noProof/>
          <w:lang w:val="fr-FR"/>
        </w:rPr>
        <w:t>.</w:t>
      </w:r>
    </w:p>
    <w:p w:rsidR="001B2F58" w:rsidRPr="00DD03D6" w:rsidRDefault="00B11481" w:rsidP="00E4251B">
      <w:pPr>
        <w:pStyle w:val="SingleTxtG"/>
        <w:numPr>
          <w:ilvl w:val="0"/>
          <w:numId w:val="3"/>
        </w:numPr>
        <w:ind w:left="1134" w:firstLine="0"/>
        <w:rPr>
          <w:noProof/>
          <w:lang w:val="fr-FR"/>
        </w:rPr>
      </w:pPr>
      <w:r>
        <w:rPr>
          <w:noProof/>
          <w:lang w:val="fr-FR"/>
        </w:rPr>
        <w:t xml:space="preserve">Toujours en </w:t>
      </w:r>
      <w:r w:rsidR="001B2F58" w:rsidRPr="00DD03D6">
        <w:rPr>
          <w:noProof/>
          <w:lang w:val="fr-FR"/>
        </w:rPr>
        <w:t xml:space="preserve">2008, </w:t>
      </w:r>
      <w:r>
        <w:rPr>
          <w:noProof/>
          <w:lang w:val="fr-FR"/>
        </w:rPr>
        <w:t>le Conseil des a</w:t>
      </w:r>
      <w:r w:rsidR="001B2F58" w:rsidRPr="00DD03D6">
        <w:rPr>
          <w:noProof/>
          <w:lang w:val="fr-FR"/>
        </w:rPr>
        <w:t xml:space="preserve">rts </w:t>
      </w:r>
      <w:r>
        <w:rPr>
          <w:noProof/>
          <w:lang w:val="fr-FR"/>
        </w:rPr>
        <w:t xml:space="preserve">a publié </w:t>
      </w:r>
      <w:r w:rsidR="00CB7CCB">
        <w:rPr>
          <w:noProof/>
          <w:lang w:val="fr-FR"/>
        </w:rPr>
        <w:t xml:space="preserve">une nouvelle source d’information en ligne intitulée </w:t>
      </w:r>
      <w:r w:rsidR="00E95E8A">
        <w:rPr>
          <w:i/>
          <w:noProof/>
          <w:lang w:val="fr-FR"/>
        </w:rPr>
        <w:t xml:space="preserve">Les arts dans l’éducation et d’autres espaces d’apprentissage : </w:t>
      </w:r>
      <w:r w:rsidR="00CB7CCB">
        <w:rPr>
          <w:i/>
          <w:noProof/>
          <w:lang w:val="fr-FR"/>
        </w:rPr>
        <w:t xml:space="preserve">Recueil d’activités de recherche active </w:t>
      </w:r>
      <w:r w:rsidR="00CB7CCB">
        <w:rPr>
          <w:noProof/>
          <w:lang w:val="fr-FR"/>
        </w:rPr>
        <w:t>(</w:t>
      </w:r>
      <w:r w:rsidR="001B2F58" w:rsidRPr="00DD03D6">
        <w:rPr>
          <w:i/>
          <w:noProof/>
          <w:lang w:val="fr-FR"/>
        </w:rPr>
        <w:t>The Arts in Education and Other Learning Settings: A Research Digest</w:t>
      </w:r>
      <w:r w:rsidR="00CB7CCB">
        <w:rPr>
          <w:noProof/>
          <w:lang w:val="fr-FR"/>
        </w:rPr>
        <w:t>). Ce recueil met à disposition, sous une forme résumée, un très large éventail d’activités de recherche, notamment un certain nombre de</w:t>
      </w:r>
      <w:r w:rsidR="001B2F58" w:rsidRPr="00DD03D6">
        <w:rPr>
          <w:noProof/>
          <w:lang w:val="fr-FR"/>
        </w:rPr>
        <w:t xml:space="preserve"> </w:t>
      </w:r>
      <w:r w:rsidR="00CB7CCB">
        <w:rPr>
          <w:noProof/>
          <w:lang w:val="fr-FR"/>
        </w:rPr>
        <w:t xml:space="preserve">projets de recherche </w:t>
      </w:r>
      <w:r w:rsidR="00CB7CCB">
        <w:rPr>
          <w:noProof/>
          <w:lang w:val="fr-FR"/>
        </w:rPr>
        <w:lastRenderedPageBreak/>
        <w:t>active exécutés dans le domaine de l’art dans l’éducation en Irlande</w:t>
      </w:r>
      <w:r w:rsidR="001B2F58" w:rsidRPr="00DD03D6">
        <w:rPr>
          <w:noProof/>
          <w:lang w:val="fr-FR"/>
        </w:rPr>
        <w:t xml:space="preserve">. </w:t>
      </w:r>
      <w:r w:rsidR="00BE178F">
        <w:rPr>
          <w:noProof/>
          <w:lang w:val="fr-FR"/>
        </w:rPr>
        <w:t>S’il privilégie l’art à l’école, le recueil mentionne également d’autres espaces d’apprentissage, tels que l’art dans le travail avec la jeunesse, l’art dans les soins de santé et l’art dans la communauté</w:t>
      </w:r>
      <w:r w:rsidR="001B2F58" w:rsidRPr="00DD03D6">
        <w:rPr>
          <w:noProof/>
          <w:lang w:val="fr-FR"/>
        </w:rPr>
        <w:t xml:space="preserve">. </w:t>
      </w:r>
      <w:r w:rsidR="00E83779">
        <w:rPr>
          <w:noProof/>
          <w:lang w:val="fr-FR"/>
        </w:rPr>
        <w:t>On y trouve des données chiffrées, des rapports de l’</w:t>
      </w:r>
      <w:r w:rsidR="001B2F58" w:rsidRPr="00E83779">
        <w:rPr>
          <w:i/>
          <w:noProof/>
          <w:lang w:val="fr-FR"/>
        </w:rPr>
        <w:t>Oireachtas</w:t>
      </w:r>
      <w:r w:rsidR="001B2F58" w:rsidRPr="00DD03D6">
        <w:rPr>
          <w:noProof/>
          <w:lang w:val="fr-FR"/>
        </w:rPr>
        <w:t xml:space="preserve">, </w:t>
      </w:r>
      <w:r w:rsidR="00E83779">
        <w:rPr>
          <w:noProof/>
          <w:lang w:val="fr-FR"/>
        </w:rPr>
        <w:t>des évaluations de projet</w:t>
      </w:r>
      <w:r w:rsidR="001B2F58" w:rsidRPr="00DD03D6">
        <w:rPr>
          <w:noProof/>
          <w:lang w:val="fr-FR"/>
        </w:rPr>
        <w:t xml:space="preserve">, </w:t>
      </w:r>
      <w:r w:rsidR="00CB131D">
        <w:rPr>
          <w:noProof/>
          <w:lang w:val="fr-FR"/>
        </w:rPr>
        <w:t>des cadres direct</w:t>
      </w:r>
      <w:r w:rsidR="00015640">
        <w:rPr>
          <w:noProof/>
          <w:lang w:val="fr-FR"/>
        </w:rPr>
        <w:t>eurs</w:t>
      </w:r>
      <w:r w:rsidR="00CB131D">
        <w:rPr>
          <w:noProof/>
          <w:lang w:val="fr-FR"/>
        </w:rPr>
        <w:t xml:space="preserve"> et des directives, et une multitude de rapports concernant un grand nombre de projets à long terme d’autorités locales, d’institutions culturelles, d’organisations artistiques et d’institutions dispensatrices d’éducation</w:t>
      </w:r>
      <w:r w:rsidR="001B2F58" w:rsidRPr="00DD03D6">
        <w:rPr>
          <w:noProof/>
          <w:lang w:val="fr-FR"/>
        </w:rPr>
        <w:t xml:space="preserve">. </w:t>
      </w:r>
      <w:r w:rsidR="00CB131D">
        <w:rPr>
          <w:noProof/>
          <w:lang w:val="fr-FR"/>
        </w:rPr>
        <w:t>Le recueil regroupe ainsi des informations portant sur près de 30 années (</w:t>
      </w:r>
      <w:r w:rsidR="001B2F58" w:rsidRPr="00DD03D6">
        <w:rPr>
          <w:noProof/>
          <w:lang w:val="fr-FR"/>
        </w:rPr>
        <w:t>1979</w:t>
      </w:r>
      <w:r w:rsidR="00CB131D">
        <w:rPr>
          <w:noProof/>
          <w:lang w:val="fr-FR"/>
        </w:rPr>
        <w:t>-</w:t>
      </w:r>
      <w:r w:rsidR="001B2F58" w:rsidRPr="00DD03D6">
        <w:rPr>
          <w:noProof/>
          <w:lang w:val="fr-FR"/>
        </w:rPr>
        <w:t>2007</w:t>
      </w:r>
      <w:r w:rsidR="00CB131D">
        <w:rPr>
          <w:noProof/>
          <w:lang w:val="fr-FR"/>
        </w:rPr>
        <w:t>)</w:t>
      </w:r>
      <w:r w:rsidR="001B2F58" w:rsidRPr="00DD03D6">
        <w:rPr>
          <w:noProof/>
          <w:lang w:val="fr-FR"/>
        </w:rPr>
        <w:t>.</w:t>
      </w:r>
    </w:p>
    <w:p w:rsidR="001B2F58" w:rsidRPr="00DD03D6" w:rsidRDefault="00CB131D" w:rsidP="00E4251B">
      <w:pPr>
        <w:pStyle w:val="SingleTxtG"/>
        <w:numPr>
          <w:ilvl w:val="0"/>
          <w:numId w:val="3"/>
        </w:numPr>
        <w:ind w:left="1134" w:firstLine="0"/>
        <w:rPr>
          <w:noProof/>
          <w:lang w:val="fr-FR"/>
        </w:rPr>
      </w:pPr>
      <w:r>
        <w:rPr>
          <w:noProof/>
          <w:lang w:val="fr-FR"/>
        </w:rPr>
        <w:t>E</w:t>
      </w:r>
      <w:r w:rsidR="001B2F58" w:rsidRPr="00DD03D6">
        <w:rPr>
          <w:noProof/>
          <w:lang w:val="fr-FR"/>
        </w:rPr>
        <w:t xml:space="preserve">n 2006, </w:t>
      </w:r>
      <w:r>
        <w:rPr>
          <w:noProof/>
          <w:lang w:val="fr-FR"/>
        </w:rPr>
        <w:t>le Conseil des a</w:t>
      </w:r>
      <w:r w:rsidR="001B2F58" w:rsidRPr="00DD03D6">
        <w:rPr>
          <w:noProof/>
          <w:lang w:val="fr-FR"/>
        </w:rPr>
        <w:t xml:space="preserve">rts </w:t>
      </w:r>
      <w:r w:rsidR="00120442">
        <w:rPr>
          <w:noProof/>
          <w:lang w:val="fr-FR"/>
        </w:rPr>
        <w:t xml:space="preserve">a publié les </w:t>
      </w:r>
      <w:r w:rsidR="00120442">
        <w:rPr>
          <w:i/>
          <w:noProof/>
          <w:lang w:val="fr-FR"/>
        </w:rPr>
        <w:t>Directives artistes</w:t>
      </w:r>
      <w:r w:rsidR="00120442" w:rsidRPr="00DD03D6">
        <w:rPr>
          <w:i/>
          <w:noProof/>
          <w:lang w:val="fr-FR"/>
        </w:rPr>
        <w:t>~</w:t>
      </w:r>
      <w:r w:rsidR="00120442">
        <w:rPr>
          <w:i/>
          <w:noProof/>
          <w:lang w:val="fr-FR"/>
        </w:rPr>
        <w:t xml:space="preserve">écoles </w:t>
      </w:r>
      <w:r w:rsidR="00120442">
        <w:rPr>
          <w:noProof/>
          <w:lang w:val="fr-FR"/>
        </w:rPr>
        <w:t>(</w:t>
      </w:r>
      <w:r w:rsidR="001B2F58" w:rsidRPr="00DD03D6">
        <w:rPr>
          <w:i/>
          <w:noProof/>
          <w:lang w:val="fr-FR"/>
        </w:rPr>
        <w:t>Artists~Schools Guidelines</w:t>
      </w:r>
      <w:r w:rsidR="00120442">
        <w:rPr>
          <w:noProof/>
          <w:lang w:val="fr-FR"/>
        </w:rPr>
        <w:t xml:space="preserve">) pour fournir des conseils pratiques aux </w:t>
      </w:r>
      <w:r w:rsidR="001B2F58" w:rsidRPr="00DD03D6">
        <w:rPr>
          <w:noProof/>
          <w:lang w:val="fr-FR"/>
        </w:rPr>
        <w:t>artist</w:t>
      </w:r>
      <w:r w:rsidR="00120442">
        <w:rPr>
          <w:noProof/>
          <w:lang w:val="fr-FR"/>
        </w:rPr>
        <w:t>e</w:t>
      </w:r>
      <w:r w:rsidR="001B2F58" w:rsidRPr="00DD03D6">
        <w:rPr>
          <w:noProof/>
          <w:lang w:val="fr-FR"/>
        </w:rPr>
        <w:t xml:space="preserve">s </w:t>
      </w:r>
      <w:r w:rsidR="00120442">
        <w:rPr>
          <w:noProof/>
          <w:lang w:val="fr-FR"/>
        </w:rPr>
        <w:t xml:space="preserve">et enseignants sur </w:t>
      </w:r>
      <w:r w:rsidR="0030394E">
        <w:rPr>
          <w:noProof/>
          <w:lang w:val="fr-FR"/>
        </w:rPr>
        <w:t>l</w:t>
      </w:r>
      <w:r w:rsidR="00120442">
        <w:rPr>
          <w:noProof/>
          <w:lang w:val="fr-FR"/>
        </w:rPr>
        <w:t xml:space="preserve">a manière de concevoir, de gérer et d’évaluer en collaboration des </w:t>
      </w:r>
      <w:r w:rsidR="0030394E">
        <w:rPr>
          <w:noProof/>
          <w:lang w:val="fr-FR"/>
        </w:rPr>
        <w:t>projets artistiques dans les écoles</w:t>
      </w:r>
      <w:r w:rsidR="001B2F58" w:rsidRPr="00DD03D6">
        <w:rPr>
          <w:noProof/>
          <w:lang w:val="fr-FR"/>
        </w:rPr>
        <w:t xml:space="preserve">. </w:t>
      </w:r>
      <w:r w:rsidR="0030394E">
        <w:rPr>
          <w:noProof/>
          <w:lang w:val="fr-FR"/>
        </w:rPr>
        <w:t>Ces directives ont été largement diffusées dans le secteur artistique et l’ont été auprès de chaque école irlandaise</w:t>
      </w:r>
      <w:r w:rsidR="001B2F58" w:rsidRPr="00DD03D6">
        <w:rPr>
          <w:noProof/>
          <w:lang w:val="fr-FR"/>
        </w:rPr>
        <w:t xml:space="preserve">. </w:t>
      </w:r>
      <w:r w:rsidR="0030394E">
        <w:rPr>
          <w:noProof/>
          <w:lang w:val="fr-FR"/>
        </w:rPr>
        <w:t>Le Conseil des a</w:t>
      </w:r>
      <w:r w:rsidR="001B2F58" w:rsidRPr="00DD03D6">
        <w:rPr>
          <w:noProof/>
          <w:lang w:val="fr-FR"/>
        </w:rPr>
        <w:t xml:space="preserve">rts </w:t>
      </w:r>
      <w:r w:rsidR="0030394E">
        <w:rPr>
          <w:noProof/>
          <w:lang w:val="fr-FR"/>
        </w:rPr>
        <w:t>et le Ministère de l’éducation et de la s</w:t>
      </w:r>
      <w:r w:rsidR="001B2F58" w:rsidRPr="00DD03D6">
        <w:rPr>
          <w:noProof/>
          <w:lang w:val="fr-FR"/>
        </w:rPr>
        <w:t xml:space="preserve">cience </w:t>
      </w:r>
      <w:r w:rsidR="0030394E">
        <w:rPr>
          <w:noProof/>
          <w:lang w:val="fr-FR"/>
        </w:rPr>
        <w:t>ont contribué chacun pour moitié au financement de cette activité de recherche, qui a été gérée par un groupe de travail conjoint</w:t>
      </w:r>
      <w:r w:rsidR="001B2F58" w:rsidRPr="00DD03D6">
        <w:rPr>
          <w:noProof/>
          <w:lang w:val="fr-FR"/>
        </w:rPr>
        <w:t>.</w:t>
      </w:r>
    </w:p>
    <w:p w:rsidR="001B2F58" w:rsidRPr="00DD03D6" w:rsidRDefault="0030394E" w:rsidP="00E4251B">
      <w:pPr>
        <w:pStyle w:val="SingleTxtG"/>
        <w:numPr>
          <w:ilvl w:val="0"/>
          <w:numId w:val="3"/>
        </w:numPr>
        <w:ind w:left="1134" w:firstLine="0"/>
        <w:rPr>
          <w:noProof/>
          <w:u w:val="single"/>
          <w:lang w:val="fr-FR"/>
        </w:rPr>
      </w:pPr>
      <w:r>
        <w:rPr>
          <w:noProof/>
          <w:lang w:val="fr-FR"/>
        </w:rPr>
        <w:t xml:space="preserve">Toujours en </w:t>
      </w:r>
      <w:r w:rsidR="001B2F58" w:rsidRPr="00DD03D6">
        <w:rPr>
          <w:noProof/>
          <w:lang w:val="fr-FR"/>
        </w:rPr>
        <w:t xml:space="preserve">2006, </w:t>
      </w:r>
      <w:r>
        <w:rPr>
          <w:noProof/>
          <w:lang w:val="fr-FR"/>
        </w:rPr>
        <w:t xml:space="preserve">le </w:t>
      </w:r>
      <w:r>
        <w:rPr>
          <w:i/>
          <w:noProof/>
          <w:lang w:val="fr-FR"/>
        </w:rPr>
        <w:t xml:space="preserve">Répertoire de l’art dans l’éducation </w:t>
      </w:r>
      <w:r>
        <w:rPr>
          <w:noProof/>
          <w:lang w:val="fr-FR"/>
        </w:rPr>
        <w:t>(</w:t>
      </w:r>
      <w:r w:rsidR="001B2F58" w:rsidRPr="00DD03D6">
        <w:rPr>
          <w:i/>
          <w:noProof/>
          <w:lang w:val="fr-FR"/>
        </w:rPr>
        <w:t>Arts-in-Education Directory</w:t>
      </w:r>
      <w:r w:rsidR="003C140D">
        <w:rPr>
          <w:noProof/>
          <w:lang w:val="fr-FR"/>
        </w:rPr>
        <w:t xml:space="preserve">) du Conseil des arts a été mis à jour et présenté sous la forme d’une source d’information en ligne </w:t>
      </w:r>
      <w:r w:rsidR="001B2F58" w:rsidRPr="00DD03D6">
        <w:rPr>
          <w:noProof/>
          <w:lang w:val="fr-FR"/>
        </w:rPr>
        <w:t>interactive (</w:t>
      </w:r>
      <w:r w:rsidR="003C140D">
        <w:rPr>
          <w:noProof/>
          <w:lang w:val="fr-FR"/>
        </w:rPr>
        <w:t xml:space="preserve">voir </w:t>
      </w:r>
      <w:hyperlink r:id="rId37" w:history="1">
        <w:r w:rsidR="001B2F58" w:rsidRPr="00DD03D6">
          <w:rPr>
            <w:rStyle w:val="Lienhypertexte"/>
            <w:noProof/>
            <w:color w:val="0000FF"/>
            <w:u w:val="single"/>
            <w:lang w:val="fr-FR"/>
          </w:rPr>
          <w:t>www.artscouncil.ie</w:t>
        </w:r>
      </w:hyperlink>
      <w:r w:rsidR="001B2F58" w:rsidRPr="00DD03D6">
        <w:rPr>
          <w:noProof/>
          <w:lang w:val="fr-FR"/>
        </w:rPr>
        <w:t xml:space="preserve">). </w:t>
      </w:r>
      <w:r w:rsidR="003C140D">
        <w:rPr>
          <w:noProof/>
          <w:lang w:val="fr-FR"/>
        </w:rPr>
        <w:t xml:space="preserve">Ce répertoire fournit des informations sur plus de </w:t>
      </w:r>
      <w:r w:rsidR="001B2F58" w:rsidRPr="00DD03D6">
        <w:rPr>
          <w:noProof/>
          <w:lang w:val="fr-FR"/>
        </w:rPr>
        <w:t xml:space="preserve">130 organisations </w:t>
      </w:r>
      <w:r w:rsidR="003C140D">
        <w:rPr>
          <w:noProof/>
          <w:lang w:val="fr-FR"/>
        </w:rPr>
        <w:t xml:space="preserve">artistiques financées par le Conseil </w:t>
      </w:r>
      <w:r w:rsidR="001B2F58" w:rsidRPr="00DD03D6">
        <w:rPr>
          <w:noProof/>
          <w:lang w:val="fr-FR"/>
        </w:rPr>
        <w:t>(</w:t>
      </w:r>
      <w:r w:rsidR="003C140D">
        <w:rPr>
          <w:noProof/>
          <w:lang w:val="fr-FR"/>
        </w:rPr>
        <w:t>par ex</w:t>
      </w:r>
      <w:r w:rsidR="00DD1511">
        <w:rPr>
          <w:noProof/>
          <w:lang w:val="fr-FR"/>
        </w:rPr>
        <w:t>emple</w:t>
      </w:r>
      <w:r w:rsidR="001B2F58" w:rsidRPr="00DD03D6">
        <w:rPr>
          <w:noProof/>
          <w:lang w:val="fr-FR"/>
        </w:rPr>
        <w:t xml:space="preserve"> </w:t>
      </w:r>
      <w:r w:rsidR="003C140D">
        <w:rPr>
          <w:noProof/>
          <w:lang w:val="fr-FR"/>
        </w:rPr>
        <w:t>des sociétés de production</w:t>
      </w:r>
      <w:r w:rsidR="001B2F58" w:rsidRPr="00DD03D6">
        <w:rPr>
          <w:noProof/>
          <w:lang w:val="fr-FR"/>
        </w:rPr>
        <w:t xml:space="preserve">, </w:t>
      </w:r>
      <w:r w:rsidR="003C140D">
        <w:rPr>
          <w:noProof/>
          <w:lang w:val="fr-FR"/>
        </w:rPr>
        <w:t xml:space="preserve">des </w:t>
      </w:r>
      <w:r w:rsidR="001B2F58" w:rsidRPr="00DD03D6">
        <w:rPr>
          <w:noProof/>
          <w:lang w:val="fr-FR"/>
        </w:rPr>
        <w:t xml:space="preserve">festivals, </w:t>
      </w:r>
      <w:r w:rsidR="003C140D">
        <w:rPr>
          <w:noProof/>
          <w:lang w:val="fr-FR"/>
        </w:rPr>
        <w:t>des lieux de présentation</w:t>
      </w:r>
      <w:r w:rsidR="001B2F58" w:rsidRPr="00DD03D6">
        <w:rPr>
          <w:noProof/>
          <w:lang w:val="fr-FR"/>
        </w:rPr>
        <w:t xml:space="preserve">, </w:t>
      </w:r>
      <w:r w:rsidR="00A220A2">
        <w:rPr>
          <w:noProof/>
          <w:lang w:val="fr-FR"/>
        </w:rPr>
        <w:t xml:space="preserve">des organisations de </w:t>
      </w:r>
      <w:r w:rsidR="001B2F58" w:rsidRPr="00DD03D6">
        <w:rPr>
          <w:noProof/>
          <w:lang w:val="fr-FR"/>
        </w:rPr>
        <w:t>re</w:t>
      </w:r>
      <w:r w:rsidR="00A220A2">
        <w:rPr>
          <w:noProof/>
          <w:lang w:val="fr-FR"/>
        </w:rPr>
        <w:t>s</w:t>
      </w:r>
      <w:r w:rsidR="001B2F58" w:rsidRPr="00DD03D6">
        <w:rPr>
          <w:noProof/>
          <w:lang w:val="fr-FR"/>
        </w:rPr>
        <w:t>source</w:t>
      </w:r>
      <w:r w:rsidR="00A220A2">
        <w:rPr>
          <w:noProof/>
          <w:lang w:val="fr-FR"/>
        </w:rPr>
        <w:t>s</w:t>
      </w:r>
      <w:r w:rsidR="001B2F58" w:rsidRPr="00DD03D6">
        <w:rPr>
          <w:noProof/>
          <w:lang w:val="fr-FR"/>
        </w:rPr>
        <w:t xml:space="preserve">) </w:t>
      </w:r>
      <w:r w:rsidR="00A220A2">
        <w:rPr>
          <w:noProof/>
          <w:lang w:val="fr-FR"/>
        </w:rPr>
        <w:t>qui exécutent des programmes d’art dans l’éducation pour les écoles primaires et postprimaires aux niveaux local et national</w:t>
      </w:r>
      <w:r w:rsidR="001B2F58" w:rsidRPr="00DD03D6">
        <w:rPr>
          <w:noProof/>
          <w:lang w:val="fr-FR"/>
        </w:rPr>
        <w:t xml:space="preserve">. </w:t>
      </w:r>
    </w:p>
    <w:p w:rsidR="001B2F58" w:rsidRPr="00DD03D6" w:rsidRDefault="00A220A2" w:rsidP="005D7533">
      <w:pPr>
        <w:pStyle w:val="SingleTxtG"/>
        <w:numPr>
          <w:ilvl w:val="0"/>
          <w:numId w:val="3"/>
        </w:numPr>
        <w:ind w:left="1134" w:firstLine="0"/>
        <w:rPr>
          <w:noProof/>
          <w:lang w:val="fr-FR"/>
        </w:rPr>
      </w:pPr>
      <w:r>
        <w:rPr>
          <w:i/>
          <w:noProof/>
          <w:lang w:val="fr-FR"/>
        </w:rPr>
        <w:t>Le p</w:t>
      </w:r>
      <w:r w:rsidR="001B2F58" w:rsidRPr="00DD03D6">
        <w:rPr>
          <w:i/>
          <w:noProof/>
          <w:lang w:val="fr-FR"/>
        </w:rPr>
        <w:t xml:space="preserve">ublic </w:t>
      </w:r>
      <w:r>
        <w:rPr>
          <w:i/>
          <w:noProof/>
          <w:lang w:val="fr-FR"/>
        </w:rPr>
        <w:t xml:space="preserve">et les </w:t>
      </w:r>
      <w:r w:rsidR="0087619E">
        <w:rPr>
          <w:i/>
          <w:noProof/>
          <w:lang w:val="fr-FR"/>
        </w:rPr>
        <w:t>a</w:t>
      </w:r>
      <w:r w:rsidR="001B2F58" w:rsidRPr="00DD03D6">
        <w:rPr>
          <w:i/>
          <w:noProof/>
          <w:lang w:val="fr-FR"/>
        </w:rPr>
        <w:t>rts 2006</w:t>
      </w:r>
      <w:r w:rsidR="001B2F58" w:rsidRPr="00DD03D6">
        <w:rPr>
          <w:noProof/>
          <w:lang w:val="fr-FR"/>
        </w:rPr>
        <w:t xml:space="preserve">, </w:t>
      </w:r>
      <w:r>
        <w:rPr>
          <w:noProof/>
          <w:lang w:val="fr-FR"/>
        </w:rPr>
        <w:t>étude réalisée par le Conseil des a</w:t>
      </w:r>
      <w:r w:rsidR="001B2F58" w:rsidRPr="00DD03D6">
        <w:rPr>
          <w:noProof/>
          <w:lang w:val="fr-FR"/>
        </w:rPr>
        <w:t xml:space="preserve">rts </w:t>
      </w:r>
      <w:r>
        <w:rPr>
          <w:noProof/>
          <w:lang w:val="fr-FR"/>
        </w:rPr>
        <w:t xml:space="preserve">et publiée en </w:t>
      </w:r>
      <w:r w:rsidR="001B2F58" w:rsidRPr="00DD03D6">
        <w:rPr>
          <w:noProof/>
          <w:lang w:val="fr-FR"/>
        </w:rPr>
        <w:t xml:space="preserve">2006, </w:t>
      </w:r>
      <w:r>
        <w:rPr>
          <w:noProof/>
          <w:lang w:val="fr-FR"/>
        </w:rPr>
        <w:t xml:space="preserve">a déterminé qu’en ce qui concernait les dépenses en matière d’activités artistiques, le public considérait comme absolument prioritaires </w:t>
      </w:r>
      <w:r w:rsidR="00BE5B5E">
        <w:rPr>
          <w:noProof/>
          <w:lang w:val="fr-FR"/>
        </w:rPr>
        <w:t>« </w:t>
      </w:r>
      <w:r>
        <w:rPr>
          <w:noProof/>
          <w:lang w:val="fr-FR"/>
        </w:rPr>
        <w:t xml:space="preserve">les </w:t>
      </w:r>
      <w:r w:rsidR="001B2F58" w:rsidRPr="00DD03D6">
        <w:rPr>
          <w:noProof/>
          <w:lang w:val="fr-FR"/>
        </w:rPr>
        <w:t xml:space="preserve">programmes </w:t>
      </w:r>
      <w:r>
        <w:rPr>
          <w:noProof/>
          <w:lang w:val="fr-FR"/>
        </w:rPr>
        <w:t>et infrastructures artistiques destinés au travail pour et avec les enfants et les jeunes</w:t>
      </w:r>
      <w:r w:rsidR="00BE5B5E">
        <w:rPr>
          <w:noProof/>
          <w:lang w:val="fr-FR"/>
        </w:rPr>
        <w:t> »</w:t>
      </w:r>
      <w:r w:rsidR="001B2F58" w:rsidRPr="00DD03D6">
        <w:rPr>
          <w:noProof/>
          <w:lang w:val="fr-FR"/>
        </w:rPr>
        <w:t xml:space="preserve">. </w:t>
      </w:r>
      <w:r>
        <w:rPr>
          <w:noProof/>
          <w:lang w:val="fr-FR"/>
        </w:rPr>
        <w:t xml:space="preserve">La même étude </w:t>
      </w:r>
      <w:r w:rsidR="00727551">
        <w:rPr>
          <w:noProof/>
          <w:lang w:val="fr-FR"/>
        </w:rPr>
        <w:t xml:space="preserve">a constaté que </w:t>
      </w:r>
      <w:r w:rsidR="005D7533" w:rsidRPr="00DD03D6">
        <w:rPr>
          <w:noProof/>
          <w:lang w:val="fr-FR"/>
        </w:rPr>
        <w:t>82</w:t>
      </w:r>
      <w:r w:rsidR="003F1ADB">
        <w:rPr>
          <w:noProof/>
          <w:lang w:val="fr-FR"/>
        </w:rPr>
        <w:t> %</w:t>
      </w:r>
      <w:r w:rsidR="005D7533" w:rsidRPr="00DD03D6">
        <w:rPr>
          <w:noProof/>
          <w:lang w:val="fr-FR"/>
        </w:rPr>
        <w:t xml:space="preserve"> </w:t>
      </w:r>
      <w:r w:rsidR="00727551">
        <w:rPr>
          <w:noProof/>
          <w:lang w:val="fr-FR"/>
        </w:rPr>
        <w:t xml:space="preserve">des répondants estimaient que </w:t>
      </w:r>
      <w:r w:rsidR="00BE5B5E">
        <w:rPr>
          <w:noProof/>
          <w:lang w:val="fr-FR"/>
        </w:rPr>
        <w:t>« </w:t>
      </w:r>
      <w:r w:rsidR="00727551">
        <w:rPr>
          <w:noProof/>
          <w:lang w:val="fr-FR"/>
        </w:rPr>
        <w:t xml:space="preserve">l’éducation artistique est aussi </w:t>
      </w:r>
      <w:r w:rsidR="001B2F58" w:rsidRPr="00DD03D6">
        <w:rPr>
          <w:noProof/>
          <w:lang w:val="fr-FR"/>
        </w:rPr>
        <w:t>important</w:t>
      </w:r>
      <w:r w:rsidR="00727551">
        <w:rPr>
          <w:noProof/>
          <w:lang w:val="fr-FR"/>
        </w:rPr>
        <w:t>e</w:t>
      </w:r>
      <w:r w:rsidR="001B2F58" w:rsidRPr="00DD03D6">
        <w:rPr>
          <w:noProof/>
          <w:lang w:val="fr-FR"/>
        </w:rPr>
        <w:t xml:space="preserve"> </w:t>
      </w:r>
      <w:r w:rsidR="00727551">
        <w:rPr>
          <w:noProof/>
          <w:lang w:val="fr-FR"/>
        </w:rPr>
        <w:t>que l’éducation scientifique</w:t>
      </w:r>
      <w:r w:rsidR="00BE5B5E">
        <w:rPr>
          <w:noProof/>
          <w:lang w:val="fr-FR"/>
        </w:rPr>
        <w:t> »</w:t>
      </w:r>
      <w:r w:rsidR="005D7533" w:rsidRPr="00DD03D6">
        <w:rPr>
          <w:noProof/>
          <w:lang w:val="fr-FR"/>
        </w:rPr>
        <w:t xml:space="preserve"> </w:t>
      </w:r>
      <w:r w:rsidR="00727551">
        <w:rPr>
          <w:noProof/>
          <w:lang w:val="fr-FR"/>
        </w:rPr>
        <w:t xml:space="preserve">et que </w:t>
      </w:r>
      <w:r w:rsidR="00BE5B5E">
        <w:rPr>
          <w:noProof/>
          <w:lang w:val="fr-FR"/>
        </w:rPr>
        <w:t>« </w:t>
      </w:r>
      <w:r w:rsidR="00727551">
        <w:rPr>
          <w:noProof/>
          <w:lang w:val="fr-FR"/>
        </w:rPr>
        <w:t xml:space="preserve">l’absence d’une éducation artistiques à l’école est un sérieux </w:t>
      </w:r>
      <w:r w:rsidR="001B2F58" w:rsidRPr="00DD03D6">
        <w:rPr>
          <w:noProof/>
          <w:lang w:val="fr-FR"/>
        </w:rPr>
        <w:t xml:space="preserve">obstacle </w:t>
      </w:r>
      <w:r w:rsidR="000B6342">
        <w:rPr>
          <w:noProof/>
          <w:lang w:val="fr-FR"/>
        </w:rPr>
        <w:t xml:space="preserve">lorsque l’on entend susciter un intérêt pour les </w:t>
      </w:r>
      <w:r w:rsidR="001B2F58" w:rsidRPr="00DD03D6">
        <w:rPr>
          <w:noProof/>
          <w:lang w:val="fr-FR"/>
        </w:rPr>
        <w:t>arts</w:t>
      </w:r>
      <w:r w:rsidR="00BE5B5E">
        <w:rPr>
          <w:noProof/>
          <w:lang w:val="fr-FR"/>
        </w:rPr>
        <w:t> »</w:t>
      </w:r>
      <w:r w:rsidR="001B2F58" w:rsidRPr="00DD03D6">
        <w:rPr>
          <w:noProof/>
          <w:lang w:val="fr-FR"/>
        </w:rPr>
        <w:t xml:space="preserve">. </w:t>
      </w:r>
      <w:r w:rsidR="000B6342">
        <w:rPr>
          <w:noProof/>
          <w:lang w:val="fr-FR"/>
        </w:rPr>
        <w:t>Elle conclut que, si certains progrès ont été faits en ce qui concerne les activités proposées aux jeunes dans le domaine artistique, que ce soit dans le système d’éducation formelle ou dans le domaine public</w:t>
      </w:r>
      <w:r w:rsidR="005D7533" w:rsidRPr="00DD03D6">
        <w:rPr>
          <w:noProof/>
          <w:lang w:val="fr-FR"/>
        </w:rPr>
        <w:t xml:space="preserve">, </w:t>
      </w:r>
      <w:r w:rsidR="00BE5B5E">
        <w:rPr>
          <w:noProof/>
          <w:lang w:val="fr-FR"/>
        </w:rPr>
        <w:t>« </w:t>
      </w:r>
      <w:r w:rsidR="00C942D1">
        <w:rPr>
          <w:noProof/>
          <w:lang w:val="fr-FR"/>
        </w:rPr>
        <w:t xml:space="preserve">il apparaît toutefois, </w:t>
      </w:r>
      <w:r w:rsidR="000B6342">
        <w:rPr>
          <w:noProof/>
          <w:lang w:val="fr-FR"/>
        </w:rPr>
        <w:t>dans la persp</w:t>
      </w:r>
      <w:r w:rsidR="00C942D1">
        <w:rPr>
          <w:noProof/>
          <w:lang w:val="fr-FR"/>
        </w:rPr>
        <w:t xml:space="preserve">ective du poids </w:t>
      </w:r>
      <w:r w:rsidR="001B2F58" w:rsidRPr="00DD03D6">
        <w:rPr>
          <w:noProof/>
          <w:lang w:val="fr-FR"/>
        </w:rPr>
        <w:t>d</w:t>
      </w:r>
      <w:r w:rsidR="000B6342">
        <w:rPr>
          <w:noProof/>
          <w:lang w:val="fr-FR"/>
        </w:rPr>
        <w:t>émographique</w:t>
      </w:r>
      <w:r w:rsidR="00C942D1">
        <w:rPr>
          <w:noProof/>
          <w:lang w:val="fr-FR"/>
        </w:rPr>
        <w:t xml:space="preserve"> des jeunes</w:t>
      </w:r>
      <w:r w:rsidR="001B2F58" w:rsidRPr="00DD03D6">
        <w:rPr>
          <w:noProof/>
          <w:lang w:val="fr-FR"/>
        </w:rPr>
        <w:t xml:space="preserve">, </w:t>
      </w:r>
      <w:r w:rsidR="00C942D1">
        <w:rPr>
          <w:noProof/>
          <w:lang w:val="fr-FR"/>
        </w:rPr>
        <w:t>de l’importance pour leur développement des expériences faites dans l’enfance et de leur dépendance économique, qu’il faut aller plus loin dans cette voie et que c’est ce qu’attend le public irlandais</w:t>
      </w:r>
      <w:r w:rsidR="00BE5B5E">
        <w:rPr>
          <w:noProof/>
          <w:lang w:val="fr-FR"/>
        </w:rPr>
        <w:t> »</w:t>
      </w:r>
      <w:r w:rsidR="001B2F58" w:rsidRPr="00DD03D6">
        <w:rPr>
          <w:noProof/>
          <w:lang w:val="fr-FR"/>
        </w:rPr>
        <w:t xml:space="preserve">. </w:t>
      </w:r>
      <w:r w:rsidR="00C942D1">
        <w:rPr>
          <w:noProof/>
          <w:lang w:val="fr-FR"/>
        </w:rPr>
        <w:t xml:space="preserve">Le rapport de </w:t>
      </w:r>
      <w:r w:rsidR="001B2F58" w:rsidRPr="00DD03D6">
        <w:rPr>
          <w:noProof/>
          <w:lang w:val="fr-FR"/>
        </w:rPr>
        <w:t xml:space="preserve">2007 </w:t>
      </w:r>
      <w:r w:rsidR="00C942D1">
        <w:rPr>
          <w:noProof/>
          <w:lang w:val="fr-FR"/>
        </w:rPr>
        <w:t>du Forum n</w:t>
      </w:r>
      <w:r w:rsidR="001B2F58" w:rsidRPr="00DD03D6">
        <w:rPr>
          <w:noProof/>
          <w:lang w:val="fr-FR"/>
        </w:rPr>
        <w:t xml:space="preserve">ational </w:t>
      </w:r>
      <w:r w:rsidR="00C942D1">
        <w:rPr>
          <w:noProof/>
          <w:lang w:val="fr-FR"/>
        </w:rPr>
        <w:t>é</w:t>
      </w:r>
      <w:r w:rsidR="001B2F58" w:rsidRPr="00DD03D6">
        <w:rPr>
          <w:noProof/>
          <w:lang w:val="fr-FR"/>
        </w:rPr>
        <w:t>conomi</w:t>
      </w:r>
      <w:r w:rsidR="00C942D1">
        <w:rPr>
          <w:noProof/>
          <w:lang w:val="fr-FR"/>
        </w:rPr>
        <w:t>que et s</w:t>
      </w:r>
      <w:r w:rsidR="001B2F58" w:rsidRPr="00DD03D6">
        <w:rPr>
          <w:noProof/>
          <w:lang w:val="fr-FR"/>
        </w:rPr>
        <w:t xml:space="preserve">ocial, </w:t>
      </w:r>
      <w:r w:rsidR="00C942D1">
        <w:rPr>
          <w:noProof/>
          <w:lang w:val="fr-FR"/>
        </w:rPr>
        <w:t xml:space="preserve">intitulé </w:t>
      </w:r>
      <w:r w:rsidR="00C942D1">
        <w:rPr>
          <w:i/>
          <w:noProof/>
          <w:lang w:val="fr-FR"/>
        </w:rPr>
        <w:t xml:space="preserve">Les arts, l’intégration culturelle et la cohésion sociale </w:t>
      </w:r>
      <w:r w:rsidR="00C942D1">
        <w:rPr>
          <w:noProof/>
          <w:lang w:val="fr-FR"/>
        </w:rPr>
        <w:t>(</w:t>
      </w:r>
      <w:r w:rsidR="001B2F58" w:rsidRPr="00DD03D6">
        <w:rPr>
          <w:i/>
          <w:iCs/>
          <w:noProof/>
          <w:lang w:val="fr-FR"/>
        </w:rPr>
        <w:t>The Arts, Cultural Inclusion and Social Cohesion</w:t>
      </w:r>
      <w:r w:rsidR="00C942D1">
        <w:rPr>
          <w:noProof/>
          <w:lang w:val="fr-FR"/>
        </w:rPr>
        <w:t xml:space="preserve">) a établi que </w:t>
      </w:r>
      <w:r w:rsidR="00BE5B5E">
        <w:rPr>
          <w:noProof/>
          <w:lang w:val="fr-FR"/>
        </w:rPr>
        <w:t>« </w:t>
      </w:r>
      <w:r w:rsidR="00C942D1">
        <w:rPr>
          <w:noProof/>
          <w:lang w:val="fr-FR"/>
        </w:rPr>
        <w:t>des préoccupations ont été soulevées au sujet du niveau d’</w:t>
      </w:r>
      <w:r w:rsidR="001B2F58" w:rsidRPr="00DD03D6">
        <w:rPr>
          <w:noProof/>
          <w:lang w:val="fr-FR"/>
        </w:rPr>
        <w:t xml:space="preserve">expertise </w:t>
      </w:r>
      <w:r w:rsidR="00C942D1">
        <w:rPr>
          <w:noProof/>
          <w:lang w:val="fr-FR"/>
        </w:rPr>
        <w:t>disponible parmi les enseignants et au sein des établissements scolaires eu égard à l’application adéquate du programme d’études artistiques</w:t>
      </w:r>
      <w:r w:rsidR="00BE5B5E">
        <w:rPr>
          <w:noProof/>
          <w:lang w:val="fr-FR"/>
        </w:rPr>
        <w:t> »</w:t>
      </w:r>
      <w:r w:rsidR="00C942D1">
        <w:rPr>
          <w:noProof/>
          <w:lang w:val="fr-FR"/>
        </w:rPr>
        <w:t>.</w:t>
      </w:r>
      <w:r w:rsidR="001B2F58" w:rsidRPr="00DD03D6">
        <w:rPr>
          <w:noProof/>
          <w:lang w:val="fr-FR"/>
        </w:rPr>
        <w:t xml:space="preserve"> </w:t>
      </w:r>
      <w:r w:rsidR="00C942D1">
        <w:rPr>
          <w:noProof/>
          <w:lang w:val="fr-FR"/>
        </w:rPr>
        <w:t xml:space="preserve">Ce rapport a également estimé qu’il serait </w:t>
      </w:r>
      <w:r w:rsidR="00BE5B5E">
        <w:rPr>
          <w:noProof/>
          <w:lang w:val="fr-FR"/>
        </w:rPr>
        <w:t>« </w:t>
      </w:r>
      <w:r w:rsidR="001B2F58" w:rsidRPr="00DD03D6">
        <w:rPr>
          <w:noProof/>
          <w:lang w:val="fr-FR"/>
        </w:rPr>
        <w:t>u</w:t>
      </w:r>
      <w:r w:rsidR="00C942D1">
        <w:rPr>
          <w:noProof/>
          <w:lang w:val="fr-FR"/>
        </w:rPr>
        <w:t>tile de resserrer les liens entre les artistes, l’organisation des arts et les écoles à cette fin</w:t>
      </w:r>
      <w:r w:rsidR="00BE5B5E">
        <w:rPr>
          <w:noProof/>
          <w:lang w:val="fr-FR"/>
        </w:rPr>
        <w:t> »</w:t>
      </w:r>
      <w:r w:rsidR="001B2F58" w:rsidRPr="00DD03D6">
        <w:rPr>
          <w:noProof/>
          <w:lang w:val="fr-FR"/>
        </w:rPr>
        <w:t>.</w:t>
      </w:r>
    </w:p>
    <w:p w:rsidR="001B2F58" w:rsidRPr="00DD03D6" w:rsidRDefault="00C942D1" w:rsidP="008C466E">
      <w:pPr>
        <w:pStyle w:val="SingleTxtG"/>
        <w:numPr>
          <w:ilvl w:val="0"/>
          <w:numId w:val="3"/>
        </w:numPr>
        <w:ind w:left="1134" w:firstLine="0"/>
        <w:rPr>
          <w:noProof/>
          <w:lang w:val="fr-FR"/>
        </w:rPr>
      </w:pPr>
      <w:r>
        <w:rPr>
          <w:noProof/>
          <w:lang w:val="fr-FR"/>
        </w:rPr>
        <w:t>Le Conseil des a</w:t>
      </w:r>
      <w:r w:rsidR="001B2F58" w:rsidRPr="00DD03D6">
        <w:rPr>
          <w:noProof/>
          <w:lang w:val="fr-FR"/>
        </w:rPr>
        <w:t xml:space="preserve">rts </w:t>
      </w:r>
      <w:r w:rsidR="000C030C">
        <w:rPr>
          <w:noProof/>
          <w:lang w:val="fr-FR"/>
        </w:rPr>
        <w:t>finance et appuie d’une autre manière le travail pour et avec les enfants et les jeunes selon diverses modali</w:t>
      </w:r>
      <w:r w:rsidR="0087619E">
        <w:rPr>
          <w:noProof/>
          <w:lang w:val="fr-FR"/>
        </w:rPr>
        <w:t>t</w:t>
      </w:r>
      <w:r w:rsidR="00BE5B5E">
        <w:rPr>
          <w:noProof/>
          <w:lang w:val="fr-FR"/>
        </w:rPr>
        <w:t>és </w:t>
      </w:r>
      <w:r w:rsidR="001B2F58" w:rsidRPr="00DD03D6">
        <w:rPr>
          <w:noProof/>
          <w:lang w:val="fr-FR"/>
        </w:rPr>
        <w:t>:</w:t>
      </w:r>
    </w:p>
    <w:p w:rsidR="001B2F58" w:rsidRPr="00DD03D6" w:rsidRDefault="001B2F58" w:rsidP="00DD1511">
      <w:pPr>
        <w:pStyle w:val="Bullet1G"/>
        <w:tabs>
          <w:tab w:val="clear" w:pos="1701"/>
          <w:tab w:val="left" w:pos="1843"/>
          <w:tab w:val="left" w:pos="6237"/>
        </w:tabs>
        <w:ind w:left="1843" w:hanging="142"/>
        <w:rPr>
          <w:noProof/>
          <w:lang w:val="fr-FR"/>
        </w:rPr>
      </w:pPr>
      <w:r w:rsidRPr="00DD03D6">
        <w:rPr>
          <w:noProof/>
          <w:lang w:val="fr-FR"/>
        </w:rPr>
        <w:t>2</w:t>
      </w:r>
      <w:r w:rsidR="000C030C">
        <w:rPr>
          <w:noProof/>
          <w:lang w:val="fr-FR"/>
        </w:rPr>
        <w:t>,</w:t>
      </w:r>
      <w:r w:rsidRPr="00DD03D6">
        <w:rPr>
          <w:noProof/>
          <w:lang w:val="fr-FR"/>
        </w:rPr>
        <w:t>7 million</w:t>
      </w:r>
      <w:r w:rsidR="000C030C">
        <w:rPr>
          <w:noProof/>
          <w:lang w:val="fr-FR"/>
        </w:rPr>
        <w:t xml:space="preserve">s d’euros ont été affectés en </w:t>
      </w:r>
      <w:r w:rsidRPr="00DD03D6">
        <w:rPr>
          <w:noProof/>
          <w:lang w:val="fr-FR"/>
        </w:rPr>
        <w:t xml:space="preserve">2011 </w:t>
      </w:r>
      <w:r w:rsidR="000C030C">
        <w:rPr>
          <w:noProof/>
          <w:lang w:val="fr-FR"/>
        </w:rPr>
        <w:t xml:space="preserve">à des </w:t>
      </w:r>
      <w:r w:rsidRPr="00DD03D6">
        <w:rPr>
          <w:noProof/>
          <w:lang w:val="fr-FR"/>
        </w:rPr>
        <w:t xml:space="preserve">organisations </w:t>
      </w:r>
      <w:r w:rsidR="000C030C">
        <w:rPr>
          <w:noProof/>
          <w:lang w:val="fr-FR"/>
        </w:rPr>
        <w:t>artistiques s’occupant exclusivement d’enfants et de jeunes, parmi lesquelles le Programme artistique national pour la jeunesse, qui exécute des projets extrascolaires</w:t>
      </w:r>
      <w:r w:rsidRPr="00DD03D6">
        <w:rPr>
          <w:noProof/>
          <w:lang w:val="fr-FR"/>
        </w:rPr>
        <w:t xml:space="preserve">. </w:t>
      </w:r>
      <w:r w:rsidR="000C030C">
        <w:rPr>
          <w:noProof/>
          <w:lang w:val="fr-FR"/>
        </w:rPr>
        <w:t xml:space="preserve">Ce </w:t>
      </w:r>
      <w:r w:rsidRPr="00DD03D6">
        <w:rPr>
          <w:noProof/>
          <w:lang w:val="fr-FR"/>
        </w:rPr>
        <w:t xml:space="preserve">programme </w:t>
      </w:r>
      <w:r w:rsidR="000C030C">
        <w:rPr>
          <w:noProof/>
          <w:lang w:val="fr-FR"/>
        </w:rPr>
        <w:t xml:space="preserve">a été créé en </w:t>
      </w:r>
      <w:r w:rsidRPr="00DD03D6">
        <w:rPr>
          <w:noProof/>
          <w:lang w:val="fr-FR"/>
        </w:rPr>
        <w:t xml:space="preserve">1998 </w:t>
      </w:r>
      <w:r w:rsidR="000C030C">
        <w:rPr>
          <w:noProof/>
          <w:lang w:val="fr-FR"/>
        </w:rPr>
        <w:t xml:space="preserve">par le </w:t>
      </w:r>
      <w:r w:rsidR="000C030C">
        <w:rPr>
          <w:noProof/>
          <w:lang w:val="fr-FR" w:eastAsia="en-IE"/>
        </w:rPr>
        <w:t>Conseil n</w:t>
      </w:r>
      <w:r w:rsidR="000C030C" w:rsidRPr="00DD03D6">
        <w:rPr>
          <w:noProof/>
          <w:lang w:val="fr-FR" w:eastAsia="en-IE"/>
        </w:rPr>
        <w:t xml:space="preserve">ational </w:t>
      </w:r>
      <w:r w:rsidR="000C030C">
        <w:rPr>
          <w:noProof/>
          <w:lang w:val="fr-FR" w:eastAsia="en-IE"/>
        </w:rPr>
        <w:t>de la jeunesse d’Irlande et est cofinancé par le Conseil des arts et le Ministère de l’enfance et de la jeunesse</w:t>
      </w:r>
      <w:r w:rsidRPr="00DD03D6">
        <w:rPr>
          <w:noProof/>
          <w:lang w:val="fr-FR"/>
        </w:rPr>
        <w:t xml:space="preserve">. </w:t>
      </w:r>
    </w:p>
    <w:p w:rsidR="001B2F58" w:rsidRPr="00DD03D6" w:rsidRDefault="007C46A5" w:rsidP="00DD1511">
      <w:pPr>
        <w:pStyle w:val="Bullet1G"/>
        <w:tabs>
          <w:tab w:val="clear" w:pos="1701"/>
          <w:tab w:val="left" w:pos="1843"/>
          <w:tab w:val="left" w:pos="6237"/>
        </w:tabs>
        <w:ind w:left="1843" w:hanging="142"/>
        <w:rPr>
          <w:noProof/>
          <w:lang w:val="fr-FR"/>
        </w:rPr>
      </w:pPr>
      <w:r>
        <w:rPr>
          <w:noProof/>
          <w:lang w:val="fr-FR"/>
        </w:rPr>
        <w:t xml:space="preserve">Un montant estimatif de </w:t>
      </w:r>
      <w:r w:rsidR="001B2F58" w:rsidRPr="00DD03D6">
        <w:rPr>
          <w:noProof/>
          <w:lang w:val="fr-FR"/>
        </w:rPr>
        <w:t>4</w:t>
      </w:r>
      <w:r>
        <w:rPr>
          <w:noProof/>
          <w:lang w:val="fr-FR"/>
        </w:rPr>
        <w:t>,</w:t>
      </w:r>
      <w:r w:rsidR="001B2F58" w:rsidRPr="00DD03D6">
        <w:rPr>
          <w:noProof/>
          <w:lang w:val="fr-FR"/>
        </w:rPr>
        <w:t>2 million</w:t>
      </w:r>
      <w:r>
        <w:rPr>
          <w:noProof/>
          <w:lang w:val="fr-FR"/>
        </w:rPr>
        <w:t>s d’euros a été dépensé indirectement</w:t>
      </w:r>
      <w:r w:rsidR="001B2F58" w:rsidRPr="00DD03D6">
        <w:rPr>
          <w:noProof/>
          <w:lang w:val="fr-FR"/>
        </w:rPr>
        <w:t xml:space="preserve"> </w:t>
      </w:r>
      <w:r>
        <w:rPr>
          <w:noProof/>
          <w:lang w:val="fr-FR"/>
        </w:rPr>
        <w:t xml:space="preserve">en finançant divers lieux de présentation, </w:t>
      </w:r>
      <w:r w:rsidR="001B2F58" w:rsidRPr="00DD03D6">
        <w:rPr>
          <w:noProof/>
          <w:lang w:val="fr-FR"/>
        </w:rPr>
        <w:t xml:space="preserve">festivals, programmes </w:t>
      </w:r>
      <w:r>
        <w:rPr>
          <w:noProof/>
          <w:lang w:val="fr-FR"/>
        </w:rPr>
        <w:t xml:space="preserve">d’autorités locales et </w:t>
      </w:r>
      <w:r w:rsidR="001B2F58" w:rsidRPr="00DD03D6">
        <w:rPr>
          <w:noProof/>
          <w:lang w:val="fr-FR"/>
        </w:rPr>
        <w:lastRenderedPageBreak/>
        <w:t xml:space="preserve">organisations </w:t>
      </w:r>
      <w:r>
        <w:rPr>
          <w:noProof/>
          <w:lang w:val="fr-FR"/>
        </w:rPr>
        <w:t xml:space="preserve">artistiques à travers le pays, </w:t>
      </w:r>
      <w:r w:rsidR="004B52E4">
        <w:rPr>
          <w:noProof/>
          <w:lang w:val="fr-FR"/>
        </w:rPr>
        <w:t>et en fournissant des services artistiques aux enfants et aux jeunes en milieu scolaire ou en dehors de l’école dans le cadre d’un mandat plus large</w:t>
      </w:r>
      <w:r w:rsidR="001B2F58" w:rsidRPr="00DD03D6">
        <w:rPr>
          <w:noProof/>
          <w:lang w:val="fr-FR"/>
        </w:rPr>
        <w:t>.</w:t>
      </w:r>
    </w:p>
    <w:p w:rsidR="001B2F58" w:rsidRPr="00DD03D6" w:rsidRDefault="00DD1511" w:rsidP="00DD1511">
      <w:pPr>
        <w:pStyle w:val="Bullet1G"/>
        <w:tabs>
          <w:tab w:val="clear" w:pos="1701"/>
          <w:tab w:val="left" w:pos="1843"/>
          <w:tab w:val="left" w:pos="6237"/>
        </w:tabs>
        <w:ind w:left="1843" w:hanging="142"/>
        <w:rPr>
          <w:noProof/>
          <w:lang w:val="fr-FR"/>
        </w:rPr>
      </w:pPr>
      <w:r>
        <w:rPr>
          <w:noProof/>
          <w:lang w:val="fr-FR"/>
        </w:rPr>
        <w:t>Par ailleurs, 280 </w:t>
      </w:r>
      <w:r w:rsidR="001B2F58" w:rsidRPr="00DD03D6">
        <w:rPr>
          <w:noProof/>
          <w:lang w:val="fr-FR"/>
        </w:rPr>
        <w:t xml:space="preserve">000 </w:t>
      </w:r>
      <w:r w:rsidR="004B52E4">
        <w:rPr>
          <w:noProof/>
          <w:lang w:val="fr-FR"/>
        </w:rPr>
        <w:t xml:space="preserve">euros ont été affectés à des mesures de soutien, notamment le développement </w:t>
      </w:r>
      <w:r w:rsidR="001B2F58" w:rsidRPr="00DD03D6">
        <w:rPr>
          <w:noProof/>
          <w:lang w:val="fr-FR"/>
        </w:rPr>
        <w:t>profession</w:t>
      </w:r>
      <w:r w:rsidR="004B52E4">
        <w:rPr>
          <w:noProof/>
          <w:lang w:val="fr-FR"/>
        </w:rPr>
        <w:t xml:space="preserve">nel </w:t>
      </w:r>
      <w:r w:rsidR="001B2F58" w:rsidRPr="00DD03D6">
        <w:rPr>
          <w:noProof/>
          <w:lang w:val="fr-FR"/>
        </w:rPr>
        <w:t>(</w:t>
      </w:r>
      <w:r w:rsidR="004B52E4">
        <w:rPr>
          <w:noProof/>
          <w:lang w:val="fr-FR"/>
        </w:rPr>
        <w:t xml:space="preserve">principalement sous la </w:t>
      </w:r>
      <w:r w:rsidR="001B2F58" w:rsidRPr="00DD03D6">
        <w:rPr>
          <w:noProof/>
          <w:lang w:val="fr-FR"/>
        </w:rPr>
        <w:t>form</w:t>
      </w:r>
      <w:r w:rsidR="004B52E4">
        <w:rPr>
          <w:noProof/>
          <w:lang w:val="fr-FR"/>
        </w:rPr>
        <w:t>e de bourses et de subventions de formation</w:t>
      </w:r>
      <w:r w:rsidR="001B2F58" w:rsidRPr="00DD03D6">
        <w:rPr>
          <w:noProof/>
          <w:lang w:val="fr-FR"/>
        </w:rPr>
        <w:t xml:space="preserve">) </w:t>
      </w:r>
      <w:r w:rsidR="004B52E4">
        <w:rPr>
          <w:noProof/>
          <w:lang w:val="fr-FR"/>
        </w:rPr>
        <w:t xml:space="preserve">pour les </w:t>
      </w:r>
      <w:r w:rsidR="001B2F58" w:rsidRPr="00DD03D6">
        <w:rPr>
          <w:noProof/>
          <w:lang w:val="fr-FR"/>
        </w:rPr>
        <w:t>artist</w:t>
      </w:r>
      <w:r w:rsidR="004B52E4">
        <w:rPr>
          <w:noProof/>
          <w:lang w:val="fr-FR"/>
        </w:rPr>
        <w:t>e</w:t>
      </w:r>
      <w:r w:rsidR="001B2F58" w:rsidRPr="00DD03D6">
        <w:rPr>
          <w:noProof/>
          <w:lang w:val="fr-FR"/>
        </w:rPr>
        <w:t xml:space="preserve">s </w:t>
      </w:r>
      <w:r w:rsidR="00DC46B9">
        <w:rPr>
          <w:noProof/>
          <w:lang w:val="fr-FR"/>
        </w:rPr>
        <w:t>et spécialistes travaillant ou souhaitant travailler dans le domaine des arts de l’enfance et de la jeunesse</w:t>
      </w:r>
      <w:r w:rsidR="001B2F58" w:rsidRPr="00DD03D6">
        <w:rPr>
          <w:noProof/>
          <w:lang w:val="fr-FR"/>
        </w:rPr>
        <w:t xml:space="preserve">. </w:t>
      </w:r>
      <w:r w:rsidR="00DC46B9">
        <w:rPr>
          <w:noProof/>
          <w:lang w:val="fr-FR"/>
        </w:rPr>
        <w:t xml:space="preserve">D’autres mesures de soutien sont prévues, comme les projets exécutés en collaboration entre </w:t>
      </w:r>
      <w:r w:rsidR="001B2F58" w:rsidRPr="00DD03D6">
        <w:rPr>
          <w:noProof/>
          <w:lang w:val="fr-FR"/>
        </w:rPr>
        <w:t>artist</w:t>
      </w:r>
      <w:r w:rsidR="00DC46B9">
        <w:rPr>
          <w:noProof/>
          <w:lang w:val="fr-FR"/>
        </w:rPr>
        <w:t>e</w:t>
      </w:r>
      <w:r w:rsidR="001B2F58" w:rsidRPr="00DD03D6">
        <w:rPr>
          <w:noProof/>
          <w:lang w:val="fr-FR"/>
        </w:rPr>
        <w:t xml:space="preserve">s, </w:t>
      </w:r>
      <w:r w:rsidR="00DC46B9">
        <w:rPr>
          <w:noProof/>
          <w:lang w:val="fr-FR"/>
        </w:rPr>
        <w:t xml:space="preserve">enfants et jeunes dans la plupart des formes d’art et dans divers espaces, à savoir notamment </w:t>
      </w:r>
      <w:r w:rsidR="001B2F58" w:rsidRPr="00DD03D6">
        <w:rPr>
          <w:noProof/>
          <w:lang w:val="fr-FR"/>
        </w:rPr>
        <w:t>:</w:t>
      </w:r>
    </w:p>
    <w:p w:rsidR="001B2F58" w:rsidRPr="00DD03D6" w:rsidRDefault="001B2F58" w:rsidP="00E4251B">
      <w:pPr>
        <w:pStyle w:val="Bullet2G"/>
        <w:rPr>
          <w:iCs/>
          <w:noProof/>
          <w:lang w:val="fr-FR"/>
        </w:rPr>
      </w:pPr>
      <w:r w:rsidRPr="00DD03D6">
        <w:rPr>
          <w:iCs/>
          <w:noProof/>
          <w:lang w:val="fr-FR"/>
        </w:rPr>
        <w:t xml:space="preserve">Writers-in-Schools </w:t>
      </w:r>
      <w:r w:rsidR="00DC46B9">
        <w:rPr>
          <w:iCs/>
          <w:noProof/>
          <w:lang w:val="fr-FR"/>
        </w:rPr>
        <w:t xml:space="preserve">(écrivains à l’école) </w:t>
      </w:r>
      <w:r w:rsidRPr="00DD03D6">
        <w:rPr>
          <w:iCs/>
          <w:noProof/>
          <w:lang w:val="fr-FR"/>
        </w:rPr>
        <w:t xml:space="preserve">– </w:t>
      </w:r>
      <w:r w:rsidR="00DC46B9">
        <w:rPr>
          <w:iCs/>
          <w:noProof/>
          <w:lang w:val="fr-FR"/>
        </w:rPr>
        <w:t xml:space="preserve">projet géré par </w:t>
      </w:r>
      <w:r w:rsidRPr="00DD03D6">
        <w:rPr>
          <w:iCs/>
          <w:noProof/>
          <w:lang w:val="fr-FR"/>
        </w:rPr>
        <w:t>Poetry Ireland;</w:t>
      </w:r>
    </w:p>
    <w:p w:rsidR="001B2F58" w:rsidRPr="00DD03D6" w:rsidRDefault="001B2F58" w:rsidP="00E4251B">
      <w:pPr>
        <w:pStyle w:val="Bullet2G"/>
        <w:rPr>
          <w:iCs/>
          <w:noProof/>
          <w:lang w:val="fr-FR"/>
        </w:rPr>
      </w:pPr>
      <w:r w:rsidRPr="00DD03D6">
        <w:rPr>
          <w:iCs/>
          <w:noProof/>
          <w:lang w:val="fr-FR"/>
        </w:rPr>
        <w:t xml:space="preserve">Artists-in-Residence </w:t>
      </w:r>
      <w:r w:rsidR="00DC46B9">
        <w:rPr>
          <w:iCs/>
          <w:noProof/>
          <w:lang w:val="fr-FR"/>
        </w:rPr>
        <w:t xml:space="preserve">(artistes accueillis en résidence) dans le cadre du travail pour la jeunesse </w:t>
      </w:r>
      <w:r w:rsidRPr="00DD03D6">
        <w:rPr>
          <w:iCs/>
          <w:noProof/>
          <w:lang w:val="fr-FR"/>
        </w:rPr>
        <w:t xml:space="preserve">– </w:t>
      </w:r>
      <w:r w:rsidR="00DC46B9">
        <w:rPr>
          <w:iCs/>
          <w:noProof/>
          <w:lang w:val="fr-FR"/>
        </w:rPr>
        <w:t xml:space="preserve">projet géré par le </w:t>
      </w:r>
      <w:r w:rsidR="00DC46B9">
        <w:rPr>
          <w:noProof/>
          <w:lang w:val="fr-FR"/>
        </w:rPr>
        <w:t>Programme artistique national pour la jeunesse</w:t>
      </w:r>
      <w:r w:rsidRPr="00DD03D6">
        <w:rPr>
          <w:iCs/>
          <w:noProof/>
          <w:lang w:val="fr-FR"/>
        </w:rPr>
        <w:t>.</w:t>
      </w:r>
    </w:p>
    <w:p w:rsidR="001B2F58" w:rsidRPr="00DD03D6" w:rsidRDefault="00433235" w:rsidP="00DD1511">
      <w:pPr>
        <w:pStyle w:val="Bullet1G"/>
        <w:tabs>
          <w:tab w:val="clear" w:pos="1701"/>
          <w:tab w:val="left" w:pos="1843"/>
          <w:tab w:val="left" w:pos="6237"/>
        </w:tabs>
        <w:ind w:left="1843" w:hanging="142"/>
        <w:rPr>
          <w:noProof/>
          <w:lang w:val="fr-FR"/>
        </w:rPr>
      </w:pPr>
      <w:r>
        <w:rPr>
          <w:noProof/>
          <w:lang w:val="fr-FR"/>
        </w:rPr>
        <w:t>Le Programme des jeunes e</w:t>
      </w:r>
      <w:r w:rsidR="001B2F58" w:rsidRPr="00DD03D6">
        <w:rPr>
          <w:noProof/>
          <w:lang w:val="fr-FR"/>
        </w:rPr>
        <w:t xml:space="preserve">nsembles </w:t>
      </w:r>
      <w:r>
        <w:rPr>
          <w:noProof/>
          <w:lang w:val="fr-FR"/>
        </w:rPr>
        <w:t xml:space="preserve">a été créé par le Conseil des arts </w:t>
      </w:r>
      <w:r w:rsidR="00F97D15">
        <w:rPr>
          <w:noProof/>
          <w:lang w:val="fr-FR"/>
        </w:rPr>
        <w:t xml:space="preserve">en </w:t>
      </w:r>
      <w:r w:rsidR="005D7533" w:rsidRPr="00DD03D6">
        <w:rPr>
          <w:noProof/>
          <w:lang w:val="fr-FR"/>
        </w:rPr>
        <w:t xml:space="preserve">2008. </w:t>
      </w:r>
      <w:r>
        <w:rPr>
          <w:noProof/>
          <w:lang w:val="fr-FR"/>
        </w:rPr>
        <w:t xml:space="preserve">Un </w:t>
      </w:r>
      <w:r w:rsidR="00BE5B5E">
        <w:rPr>
          <w:noProof/>
          <w:lang w:val="fr-FR"/>
        </w:rPr>
        <w:t>« </w:t>
      </w:r>
      <w:r>
        <w:rPr>
          <w:noProof/>
          <w:lang w:val="fr-FR"/>
        </w:rPr>
        <w:t xml:space="preserve">jeune </w:t>
      </w:r>
      <w:r w:rsidR="001B2F58" w:rsidRPr="00DD03D6">
        <w:rPr>
          <w:noProof/>
          <w:lang w:val="fr-FR"/>
        </w:rPr>
        <w:t>ensemble</w:t>
      </w:r>
      <w:r w:rsidR="00BE5B5E">
        <w:rPr>
          <w:noProof/>
          <w:lang w:val="fr-FR"/>
        </w:rPr>
        <w:t> »</w:t>
      </w:r>
      <w:r w:rsidR="001B2F58" w:rsidRPr="00DD03D6">
        <w:rPr>
          <w:noProof/>
          <w:lang w:val="fr-FR"/>
        </w:rPr>
        <w:t xml:space="preserve"> </w:t>
      </w:r>
      <w:r>
        <w:rPr>
          <w:noProof/>
          <w:lang w:val="fr-FR"/>
        </w:rPr>
        <w:t>s’entend d’un groupe de jeunes travaillant ensemble pour créer de l’art</w:t>
      </w:r>
      <w:r w:rsidR="001B2F58" w:rsidRPr="00DD03D6">
        <w:rPr>
          <w:noProof/>
          <w:lang w:val="fr-FR"/>
        </w:rPr>
        <w:t xml:space="preserve">. </w:t>
      </w:r>
      <w:r>
        <w:rPr>
          <w:noProof/>
          <w:lang w:val="fr-FR"/>
        </w:rPr>
        <w:t>Ce peut être un orchestre de jeunes, une chorale de jeunes, une troupe de cirque</w:t>
      </w:r>
      <w:r w:rsidR="001B2F58" w:rsidRPr="00DD03D6">
        <w:rPr>
          <w:noProof/>
          <w:lang w:val="fr-FR"/>
        </w:rPr>
        <w:t xml:space="preserve">, </w:t>
      </w:r>
      <w:r>
        <w:rPr>
          <w:noProof/>
          <w:lang w:val="fr-FR"/>
        </w:rPr>
        <w:t>un orchestre de cuivres</w:t>
      </w:r>
      <w:r w:rsidR="001B2F58" w:rsidRPr="00DD03D6">
        <w:rPr>
          <w:noProof/>
          <w:lang w:val="fr-FR"/>
        </w:rPr>
        <w:t xml:space="preserve">, </w:t>
      </w:r>
      <w:r>
        <w:rPr>
          <w:noProof/>
          <w:lang w:val="fr-FR"/>
        </w:rPr>
        <w:t>un théâtre de jeunes</w:t>
      </w:r>
      <w:r w:rsidR="001B2F58" w:rsidRPr="00DD03D6">
        <w:rPr>
          <w:noProof/>
          <w:lang w:val="fr-FR"/>
        </w:rPr>
        <w:t xml:space="preserve">, </w:t>
      </w:r>
      <w:r>
        <w:rPr>
          <w:noProof/>
          <w:lang w:val="fr-FR"/>
        </w:rPr>
        <w:t>un groupe cinématographique</w:t>
      </w:r>
      <w:r w:rsidR="001B2F58" w:rsidRPr="00DD03D6">
        <w:rPr>
          <w:noProof/>
          <w:lang w:val="fr-FR"/>
        </w:rPr>
        <w:t xml:space="preserve">, </w:t>
      </w:r>
      <w:r>
        <w:rPr>
          <w:noProof/>
          <w:lang w:val="fr-FR"/>
        </w:rPr>
        <w:t xml:space="preserve">un groupe de </w:t>
      </w:r>
      <w:r w:rsidR="001B2F58" w:rsidRPr="00DD03D6">
        <w:rPr>
          <w:noProof/>
          <w:lang w:val="fr-FR"/>
        </w:rPr>
        <w:t>dan</w:t>
      </w:r>
      <w:r>
        <w:rPr>
          <w:noProof/>
          <w:lang w:val="fr-FR"/>
        </w:rPr>
        <w:t>s</w:t>
      </w:r>
      <w:r w:rsidR="001B2F58" w:rsidRPr="00DD03D6">
        <w:rPr>
          <w:noProof/>
          <w:lang w:val="fr-FR"/>
        </w:rPr>
        <w:t xml:space="preserve">e, </w:t>
      </w:r>
      <w:r>
        <w:rPr>
          <w:noProof/>
          <w:lang w:val="fr-FR"/>
        </w:rPr>
        <w:t xml:space="preserve">un </w:t>
      </w:r>
      <w:r w:rsidR="001B2F58" w:rsidRPr="00DD03D6">
        <w:rPr>
          <w:noProof/>
          <w:lang w:val="fr-FR"/>
        </w:rPr>
        <w:t>group</w:t>
      </w:r>
      <w:r>
        <w:rPr>
          <w:noProof/>
          <w:lang w:val="fr-FR"/>
        </w:rPr>
        <w:t xml:space="preserve">e de jeunes artistes plasticiens travaillant ensemble à la création d’une exposition (ou d’une œuvre unique, comme une peinture murale </w:t>
      </w:r>
      <w:r w:rsidR="00F97D15">
        <w:rPr>
          <w:noProof/>
          <w:lang w:val="fr-FR"/>
        </w:rPr>
        <w:t>ou un ensemble de graffiti</w:t>
      </w:r>
      <w:r w:rsidR="001B2F58" w:rsidRPr="00DD03D6">
        <w:rPr>
          <w:noProof/>
          <w:lang w:val="fr-FR"/>
        </w:rPr>
        <w:t xml:space="preserve">), </w:t>
      </w:r>
      <w:r w:rsidR="00F97D15">
        <w:rPr>
          <w:noProof/>
          <w:lang w:val="fr-FR"/>
        </w:rPr>
        <w:t>un groupe de poésie ou d’écriture</w:t>
      </w:r>
      <w:r w:rsidR="001B2F58" w:rsidRPr="00DD03D6">
        <w:rPr>
          <w:noProof/>
          <w:lang w:val="fr-FR"/>
        </w:rPr>
        <w:t>, o</w:t>
      </w:r>
      <w:r w:rsidR="00F97D15">
        <w:rPr>
          <w:noProof/>
          <w:lang w:val="fr-FR"/>
        </w:rPr>
        <w:t xml:space="preserve">u encore un </w:t>
      </w:r>
      <w:r w:rsidR="001B2F58" w:rsidRPr="00DD03D6">
        <w:rPr>
          <w:noProof/>
          <w:lang w:val="fr-FR"/>
        </w:rPr>
        <w:t>group</w:t>
      </w:r>
      <w:r w:rsidR="00F97D15">
        <w:rPr>
          <w:noProof/>
          <w:lang w:val="fr-FR"/>
        </w:rPr>
        <w:t>e</w:t>
      </w:r>
      <w:r w:rsidR="001B2F58" w:rsidRPr="00DD03D6">
        <w:rPr>
          <w:noProof/>
          <w:lang w:val="fr-FR"/>
        </w:rPr>
        <w:t xml:space="preserve"> </w:t>
      </w:r>
      <w:r w:rsidR="00F97D15">
        <w:rPr>
          <w:noProof/>
          <w:lang w:val="fr-FR"/>
        </w:rPr>
        <w:t>qui se propose de combiner plusieurs formes d’art en une même représentation ou manifestation</w:t>
      </w:r>
      <w:r w:rsidR="001B2F58" w:rsidRPr="00DD03D6">
        <w:rPr>
          <w:noProof/>
          <w:lang w:val="fr-FR"/>
        </w:rPr>
        <w:t xml:space="preserve">. </w:t>
      </w:r>
      <w:r w:rsidR="00F97D15">
        <w:rPr>
          <w:noProof/>
          <w:lang w:val="fr-FR"/>
        </w:rPr>
        <w:t xml:space="preserve">En 2011, </w:t>
      </w:r>
      <w:r w:rsidR="001B2F58" w:rsidRPr="00DD03D6">
        <w:rPr>
          <w:noProof/>
          <w:lang w:val="fr-FR"/>
        </w:rPr>
        <w:t>170</w:t>
      </w:r>
      <w:r w:rsidR="00DD1511">
        <w:rPr>
          <w:noProof/>
          <w:lang w:val="fr-FR"/>
        </w:rPr>
        <w:t> </w:t>
      </w:r>
      <w:r w:rsidR="001B2F58" w:rsidRPr="00DD03D6">
        <w:rPr>
          <w:noProof/>
          <w:lang w:val="fr-FR"/>
        </w:rPr>
        <w:t xml:space="preserve">000 </w:t>
      </w:r>
      <w:r w:rsidR="00F97D15">
        <w:rPr>
          <w:noProof/>
          <w:lang w:val="fr-FR"/>
        </w:rPr>
        <w:t>euros ont été consacrés à des projets ré</w:t>
      </w:r>
      <w:r w:rsidR="0087619E">
        <w:rPr>
          <w:noProof/>
          <w:lang w:val="fr-FR"/>
        </w:rPr>
        <w:t>alisés dans le cadre de ce Progr</w:t>
      </w:r>
      <w:r w:rsidR="00F97D15">
        <w:rPr>
          <w:noProof/>
          <w:lang w:val="fr-FR"/>
        </w:rPr>
        <w:t>amme</w:t>
      </w:r>
      <w:r w:rsidR="001B2F58" w:rsidRPr="00DD03D6">
        <w:rPr>
          <w:noProof/>
          <w:lang w:val="fr-FR"/>
        </w:rPr>
        <w:t xml:space="preserve">. </w:t>
      </w:r>
    </w:p>
    <w:p w:rsidR="001B2F58" w:rsidRPr="00DD03D6" w:rsidRDefault="00F97D15" w:rsidP="00DD1511">
      <w:pPr>
        <w:pStyle w:val="Bullet1G"/>
        <w:tabs>
          <w:tab w:val="clear" w:pos="1701"/>
          <w:tab w:val="left" w:pos="1843"/>
          <w:tab w:val="left" w:pos="6237"/>
        </w:tabs>
        <w:ind w:left="1843" w:hanging="142"/>
        <w:rPr>
          <w:noProof/>
          <w:lang w:val="fr-FR"/>
        </w:rPr>
      </w:pPr>
      <w:r>
        <w:rPr>
          <w:noProof/>
          <w:lang w:val="fr-FR"/>
        </w:rPr>
        <w:t xml:space="preserve">Les autres </w:t>
      </w:r>
      <w:r w:rsidR="001B2F58" w:rsidRPr="00DD03D6">
        <w:rPr>
          <w:noProof/>
          <w:lang w:val="fr-FR"/>
        </w:rPr>
        <w:t xml:space="preserve">initiatives </w:t>
      </w:r>
      <w:r>
        <w:rPr>
          <w:noProof/>
          <w:lang w:val="fr-FR"/>
        </w:rPr>
        <w:t>importantes axées spécifiquement sur les enfants et les jeunes sont notamment le</w:t>
      </w:r>
      <w:r w:rsidR="00763D72" w:rsidRPr="00DD03D6">
        <w:rPr>
          <w:noProof/>
          <w:lang w:val="fr-FR"/>
        </w:rPr>
        <w:t xml:space="preserve"> </w:t>
      </w:r>
      <w:r w:rsidR="006047DA">
        <w:rPr>
          <w:noProof/>
          <w:lang w:val="fr-FR"/>
        </w:rPr>
        <w:t xml:space="preserve">Programme </w:t>
      </w:r>
      <w:r w:rsidR="0021720C">
        <w:rPr>
          <w:noProof/>
          <w:lang w:val="fr-FR"/>
        </w:rPr>
        <w:t>des lauréats de littérature pour enfants</w:t>
      </w:r>
      <w:r w:rsidR="005D7533" w:rsidRPr="00DD03D6">
        <w:rPr>
          <w:noProof/>
          <w:lang w:val="fr-FR"/>
        </w:rPr>
        <w:t xml:space="preserve">, </w:t>
      </w:r>
      <w:r w:rsidR="00BE5B5E">
        <w:rPr>
          <w:noProof/>
          <w:lang w:val="fr-FR"/>
        </w:rPr>
        <w:t>« </w:t>
      </w:r>
      <w:r w:rsidR="001B2F58" w:rsidRPr="00DD03D6">
        <w:rPr>
          <w:noProof/>
          <w:lang w:val="fr-FR"/>
        </w:rPr>
        <w:t>Laureate na nÓg</w:t>
      </w:r>
      <w:r w:rsidR="00BE5B5E">
        <w:rPr>
          <w:noProof/>
          <w:lang w:val="fr-FR"/>
        </w:rPr>
        <w:t> »</w:t>
      </w:r>
      <w:r w:rsidR="001B2F58" w:rsidRPr="00DD03D6">
        <w:rPr>
          <w:noProof/>
          <w:lang w:val="fr-FR"/>
        </w:rPr>
        <w:t xml:space="preserve">, </w:t>
      </w:r>
      <w:r w:rsidR="0021720C">
        <w:rPr>
          <w:noProof/>
          <w:lang w:val="fr-FR"/>
        </w:rPr>
        <w:t xml:space="preserve">géré par </w:t>
      </w:r>
      <w:r w:rsidR="001B2F58" w:rsidRPr="00DD03D6">
        <w:rPr>
          <w:noProof/>
          <w:lang w:val="fr-FR"/>
        </w:rPr>
        <w:t>Children</w:t>
      </w:r>
      <w:r w:rsidR="000A2B7B" w:rsidRPr="00DD03D6">
        <w:rPr>
          <w:noProof/>
          <w:lang w:val="fr-FR"/>
        </w:rPr>
        <w:t>’</w:t>
      </w:r>
      <w:r w:rsidR="001B2F58" w:rsidRPr="00DD03D6">
        <w:rPr>
          <w:noProof/>
          <w:lang w:val="fr-FR"/>
        </w:rPr>
        <w:t xml:space="preserve">s Books Ireland, </w:t>
      </w:r>
      <w:r w:rsidR="0021720C">
        <w:rPr>
          <w:noProof/>
          <w:lang w:val="fr-FR"/>
        </w:rPr>
        <w:t xml:space="preserve">et le financement, par l’intermédiaire du Conseil des arts, de </w:t>
      </w:r>
      <w:r w:rsidR="00101A9A">
        <w:rPr>
          <w:noProof/>
          <w:lang w:val="fr-FR"/>
        </w:rPr>
        <w:t>l’agence-</w:t>
      </w:r>
      <w:r w:rsidR="001B2F58" w:rsidRPr="00DD03D6">
        <w:rPr>
          <w:noProof/>
          <w:lang w:val="fr-FR"/>
        </w:rPr>
        <w:t>re</w:t>
      </w:r>
      <w:r w:rsidR="00101A9A">
        <w:rPr>
          <w:noProof/>
          <w:lang w:val="fr-FR"/>
        </w:rPr>
        <w:t>s</w:t>
      </w:r>
      <w:r w:rsidR="001B2F58" w:rsidRPr="00DD03D6">
        <w:rPr>
          <w:noProof/>
          <w:lang w:val="fr-FR"/>
        </w:rPr>
        <w:t>source</w:t>
      </w:r>
      <w:r w:rsidR="00101A9A">
        <w:rPr>
          <w:noProof/>
          <w:lang w:val="fr-FR"/>
        </w:rPr>
        <w:t>s</w:t>
      </w:r>
      <w:r w:rsidR="001B2F58" w:rsidRPr="00DD03D6">
        <w:rPr>
          <w:noProof/>
          <w:lang w:val="fr-FR"/>
        </w:rPr>
        <w:t xml:space="preserve"> Music Network. </w:t>
      </w:r>
      <w:r w:rsidR="00101A9A">
        <w:rPr>
          <w:noProof/>
          <w:lang w:val="fr-FR"/>
        </w:rPr>
        <w:t>Le Conseil des a</w:t>
      </w:r>
      <w:r w:rsidR="001B2F58" w:rsidRPr="00DD03D6">
        <w:rPr>
          <w:noProof/>
          <w:lang w:val="fr-FR"/>
        </w:rPr>
        <w:t xml:space="preserve">rts </w:t>
      </w:r>
      <w:r w:rsidR="00101A9A">
        <w:rPr>
          <w:noProof/>
          <w:lang w:val="fr-FR"/>
        </w:rPr>
        <w:t xml:space="preserve">entretient de bonnes </w:t>
      </w:r>
      <w:r w:rsidR="001B2F58" w:rsidRPr="00DD03D6">
        <w:rPr>
          <w:noProof/>
          <w:lang w:val="fr-FR"/>
        </w:rPr>
        <w:t xml:space="preserve">relations </w:t>
      </w:r>
      <w:r w:rsidR="00101A9A">
        <w:rPr>
          <w:noProof/>
          <w:lang w:val="fr-FR"/>
        </w:rPr>
        <w:t xml:space="preserve">avec </w:t>
      </w:r>
      <w:r w:rsidR="001B2F58" w:rsidRPr="00DD03D6">
        <w:rPr>
          <w:noProof/>
          <w:lang w:val="fr-FR"/>
        </w:rPr>
        <w:t xml:space="preserve">Music Generation, </w:t>
      </w:r>
      <w:r w:rsidR="00101A9A">
        <w:rPr>
          <w:noProof/>
          <w:lang w:val="fr-FR"/>
        </w:rPr>
        <w:t>projet visant à instaurer des partenariats</w:t>
      </w:r>
      <w:r w:rsidR="00547E30">
        <w:rPr>
          <w:noProof/>
          <w:lang w:val="fr-FR"/>
        </w:rPr>
        <w:t xml:space="preserve"> </w:t>
      </w:r>
      <w:r w:rsidR="00101A9A">
        <w:rPr>
          <w:noProof/>
          <w:lang w:val="fr-FR"/>
        </w:rPr>
        <w:t xml:space="preserve">locaux pour l’éducation musicale, appuyé par </w:t>
      </w:r>
      <w:r w:rsidR="001B2F58" w:rsidRPr="00DD03D6">
        <w:rPr>
          <w:noProof/>
          <w:lang w:val="fr-FR"/>
        </w:rPr>
        <w:t xml:space="preserve">U2 </w:t>
      </w:r>
      <w:r w:rsidR="00101A9A">
        <w:rPr>
          <w:noProof/>
          <w:lang w:val="fr-FR"/>
        </w:rPr>
        <w:t xml:space="preserve">et les </w:t>
      </w:r>
      <w:r w:rsidR="001B2F58" w:rsidRPr="00DD03D6">
        <w:rPr>
          <w:noProof/>
          <w:lang w:val="fr-FR"/>
        </w:rPr>
        <w:t>Ireland Funds</w:t>
      </w:r>
      <w:r w:rsidR="00101A9A">
        <w:rPr>
          <w:noProof/>
          <w:lang w:val="fr-FR"/>
        </w:rPr>
        <w:t>, et poursuit le dialogue qu’il a engagé avec lui</w:t>
      </w:r>
      <w:r w:rsidR="001B2F58" w:rsidRPr="00DD03D6">
        <w:rPr>
          <w:noProof/>
          <w:lang w:val="fr-FR"/>
        </w:rPr>
        <w:t>.</w:t>
      </w:r>
    </w:p>
    <w:p w:rsidR="001B2F58" w:rsidRPr="00DD03D6" w:rsidRDefault="00101A9A" w:rsidP="002C58C8">
      <w:pPr>
        <w:pStyle w:val="SingleTxtG"/>
        <w:numPr>
          <w:ilvl w:val="0"/>
          <w:numId w:val="3"/>
        </w:numPr>
        <w:ind w:left="1134" w:firstLine="0"/>
        <w:rPr>
          <w:noProof/>
          <w:lang w:val="fr-FR"/>
        </w:rPr>
      </w:pPr>
      <w:r>
        <w:rPr>
          <w:noProof/>
          <w:lang w:val="fr-FR"/>
        </w:rPr>
        <w:t>Le Conseil des a</w:t>
      </w:r>
      <w:r w:rsidR="001B2F58" w:rsidRPr="00DD03D6">
        <w:rPr>
          <w:noProof/>
          <w:lang w:val="fr-FR"/>
        </w:rPr>
        <w:t xml:space="preserve">rts </w:t>
      </w:r>
      <w:r>
        <w:rPr>
          <w:noProof/>
          <w:lang w:val="fr-FR"/>
        </w:rPr>
        <w:t>assume depuis 2004 un rôle de chef de file dans la promotion des bonnes pratiques en matière de protection des enfants dans le secteur des arts</w:t>
      </w:r>
      <w:r w:rsidR="001B2F58" w:rsidRPr="00DD03D6">
        <w:rPr>
          <w:noProof/>
          <w:lang w:val="fr-FR"/>
        </w:rPr>
        <w:t>. I</w:t>
      </w:r>
      <w:r w:rsidR="00164CF2">
        <w:rPr>
          <w:noProof/>
          <w:lang w:val="fr-FR"/>
        </w:rPr>
        <w:t>l a élaboré une approche multidimensionnelle, à appliquer sur une période de cinq ans et reposant sur la coopé</w:t>
      </w:r>
      <w:r w:rsidR="001B2F58" w:rsidRPr="00DD03D6">
        <w:rPr>
          <w:noProof/>
          <w:lang w:val="fr-FR"/>
        </w:rPr>
        <w:t xml:space="preserve">ration </w:t>
      </w:r>
      <w:r w:rsidR="00164CF2">
        <w:rPr>
          <w:noProof/>
          <w:lang w:val="fr-FR"/>
        </w:rPr>
        <w:t xml:space="preserve">entre les </w:t>
      </w:r>
      <w:r w:rsidR="001B2F58" w:rsidRPr="00DD03D6">
        <w:rPr>
          <w:noProof/>
          <w:lang w:val="fr-FR"/>
        </w:rPr>
        <w:t xml:space="preserve">organisations </w:t>
      </w:r>
      <w:r w:rsidR="00164CF2">
        <w:rPr>
          <w:noProof/>
          <w:lang w:val="fr-FR"/>
        </w:rPr>
        <w:t xml:space="preserve">artistiques et les organismes clefs, notamment la Direction des services de santé et le Service central </w:t>
      </w:r>
      <w:r w:rsidR="0087619E">
        <w:rPr>
          <w:noProof/>
          <w:lang w:val="fr-FR"/>
        </w:rPr>
        <w:t>de vérification des antécédents</w:t>
      </w:r>
      <w:r w:rsidR="00164CF2">
        <w:rPr>
          <w:noProof/>
          <w:lang w:val="fr-FR"/>
        </w:rPr>
        <w:t xml:space="preserve"> de la </w:t>
      </w:r>
      <w:r w:rsidR="001B2F58" w:rsidRPr="00DD03D6">
        <w:rPr>
          <w:noProof/>
          <w:lang w:val="fr-FR"/>
        </w:rPr>
        <w:t xml:space="preserve">Garda. </w:t>
      </w:r>
      <w:r w:rsidR="00036C2A">
        <w:rPr>
          <w:noProof/>
          <w:lang w:val="fr-FR"/>
        </w:rPr>
        <w:t xml:space="preserve">Cette approche </w:t>
      </w:r>
      <w:r w:rsidR="00164CF2">
        <w:rPr>
          <w:noProof/>
          <w:lang w:val="fr-FR"/>
        </w:rPr>
        <w:t xml:space="preserve">a pour objectif d’améliorer et de multiplier les chances de participation des enfants et des jeunes à tous les aspects de l’activité artistique en encourageant la pratique </w:t>
      </w:r>
      <w:r w:rsidR="00B61767">
        <w:rPr>
          <w:noProof/>
          <w:lang w:val="fr-FR"/>
        </w:rPr>
        <w:t xml:space="preserve">inclusive </w:t>
      </w:r>
      <w:r w:rsidR="00164CF2">
        <w:rPr>
          <w:noProof/>
          <w:lang w:val="fr-FR"/>
        </w:rPr>
        <w:t>de cette activité dans de bonnes conditions de sécurité</w:t>
      </w:r>
      <w:r w:rsidR="001B2F58" w:rsidRPr="00DD03D6">
        <w:rPr>
          <w:noProof/>
          <w:lang w:val="fr-FR"/>
        </w:rPr>
        <w:t xml:space="preserve">. </w:t>
      </w:r>
      <w:r w:rsidR="00B61767">
        <w:rPr>
          <w:noProof/>
          <w:lang w:val="fr-FR"/>
        </w:rPr>
        <w:t xml:space="preserve">Cet objectif a été atteint grâce aux mesures énumérées ci-après </w:t>
      </w:r>
      <w:r w:rsidR="001B2F58" w:rsidRPr="00DD03D6">
        <w:rPr>
          <w:noProof/>
          <w:lang w:val="fr-FR"/>
        </w:rPr>
        <w:t>:</w:t>
      </w:r>
    </w:p>
    <w:p w:rsidR="001B2F58" w:rsidRPr="00DD03D6" w:rsidRDefault="00B61767" w:rsidP="00DD1511">
      <w:pPr>
        <w:pStyle w:val="Bullet1G"/>
        <w:tabs>
          <w:tab w:val="clear" w:pos="1701"/>
          <w:tab w:val="left" w:pos="1843"/>
          <w:tab w:val="left" w:pos="6237"/>
        </w:tabs>
        <w:ind w:left="1843" w:hanging="142"/>
        <w:rPr>
          <w:noProof/>
          <w:lang w:val="fr-FR"/>
        </w:rPr>
      </w:pPr>
      <w:r>
        <w:rPr>
          <w:noProof/>
          <w:lang w:val="fr-FR"/>
        </w:rPr>
        <w:t xml:space="preserve">Élaborer et publier des directives relatives à la protection des enfants dans le secteur artistique en </w:t>
      </w:r>
      <w:r w:rsidR="001B2F58" w:rsidRPr="00DD03D6">
        <w:rPr>
          <w:noProof/>
          <w:lang w:val="fr-FR"/>
        </w:rPr>
        <w:t xml:space="preserve">collaboration </w:t>
      </w:r>
      <w:r>
        <w:rPr>
          <w:noProof/>
          <w:lang w:val="fr-FR"/>
        </w:rPr>
        <w:t xml:space="preserve">avec la Direction des services de santé et les principales </w:t>
      </w:r>
      <w:r w:rsidR="001B2F58" w:rsidRPr="00DD03D6">
        <w:rPr>
          <w:noProof/>
          <w:lang w:val="fr-FR"/>
        </w:rPr>
        <w:t xml:space="preserve">organisations </w:t>
      </w:r>
      <w:r>
        <w:rPr>
          <w:noProof/>
          <w:lang w:val="fr-FR"/>
        </w:rPr>
        <w:t xml:space="preserve">du secteur des </w:t>
      </w:r>
      <w:r w:rsidR="001B2F58" w:rsidRPr="00DD03D6">
        <w:rPr>
          <w:noProof/>
          <w:lang w:val="fr-FR"/>
        </w:rPr>
        <w:t xml:space="preserve">arts </w:t>
      </w:r>
      <w:r>
        <w:rPr>
          <w:noProof/>
          <w:lang w:val="fr-FR"/>
        </w:rPr>
        <w:t>et de la culture</w:t>
      </w:r>
      <w:r w:rsidR="005D7533" w:rsidRPr="00DD03D6">
        <w:rPr>
          <w:noProof/>
          <w:lang w:val="fr-FR"/>
        </w:rPr>
        <w:t>;</w:t>
      </w:r>
      <w:r w:rsidR="001B2F58" w:rsidRPr="00DD03D6">
        <w:rPr>
          <w:noProof/>
          <w:lang w:val="fr-FR"/>
        </w:rPr>
        <w:t xml:space="preserve"> </w:t>
      </w:r>
    </w:p>
    <w:p w:rsidR="001B2F58" w:rsidRPr="00DD03D6" w:rsidRDefault="00B61767" w:rsidP="00DD1511">
      <w:pPr>
        <w:pStyle w:val="Bullet1G"/>
        <w:tabs>
          <w:tab w:val="clear" w:pos="1701"/>
          <w:tab w:val="left" w:pos="1843"/>
          <w:tab w:val="left" w:pos="6237"/>
        </w:tabs>
        <w:ind w:left="1843" w:hanging="142"/>
        <w:rPr>
          <w:noProof/>
          <w:lang w:val="fr-FR"/>
        </w:rPr>
      </w:pPr>
      <w:r>
        <w:rPr>
          <w:noProof/>
          <w:lang w:val="fr-FR"/>
        </w:rPr>
        <w:t xml:space="preserve">Appuyer et financer les </w:t>
      </w:r>
      <w:r w:rsidR="001B2F58" w:rsidRPr="00DD03D6">
        <w:rPr>
          <w:noProof/>
          <w:lang w:val="fr-FR"/>
        </w:rPr>
        <w:t xml:space="preserve">organisations </w:t>
      </w:r>
      <w:r>
        <w:rPr>
          <w:noProof/>
          <w:lang w:val="fr-FR"/>
        </w:rPr>
        <w:t>artistiques afin de renforcer les compétences, les capacités et les politiques concernant la protection et le bien-être des enfants</w:t>
      </w:r>
      <w:r w:rsidR="005D7533" w:rsidRPr="00DD03D6">
        <w:rPr>
          <w:noProof/>
          <w:lang w:val="fr-FR"/>
        </w:rPr>
        <w:t>;</w:t>
      </w:r>
    </w:p>
    <w:p w:rsidR="001B2F58" w:rsidRPr="00DD03D6" w:rsidRDefault="00B61767" w:rsidP="00DD1511">
      <w:pPr>
        <w:pStyle w:val="Bullet1G"/>
        <w:tabs>
          <w:tab w:val="clear" w:pos="1701"/>
          <w:tab w:val="left" w:pos="1843"/>
          <w:tab w:val="left" w:pos="6237"/>
        </w:tabs>
        <w:ind w:left="1843" w:hanging="142"/>
        <w:rPr>
          <w:noProof/>
          <w:lang w:val="fr-FR"/>
        </w:rPr>
      </w:pPr>
      <w:r>
        <w:rPr>
          <w:noProof/>
          <w:lang w:val="fr-FR"/>
        </w:rPr>
        <w:t xml:space="preserve">Exiger des </w:t>
      </w:r>
      <w:r w:rsidR="001B2F58" w:rsidRPr="00DD03D6">
        <w:rPr>
          <w:noProof/>
          <w:lang w:val="fr-FR"/>
        </w:rPr>
        <w:t xml:space="preserve">organisations </w:t>
      </w:r>
      <w:r>
        <w:rPr>
          <w:noProof/>
          <w:lang w:val="fr-FR"/>
        </w:rPr>
        <w:t xml:space="preserve">subventionnées qui travaillent avec les enfants et les jeunes qu’elles élaborent des politiques et procédures de protection des enfants </w:t>
      </w:r>
      <w:r w:rsidR="005B1D2F">
        <w:rPr>
          <w:noProof/>
          <w:lang w:val="fr-FR"/>
        </w:rPr>
        <w:t>en tant que critère de financement</w:t>
      </w:r>
      <w:r w:rsidR="005D7533" w:rsidRPr="00DD03D6">
        <w:rPr>
          <w:noProof/>
          <w:lang w:val="fr-FR"/>
        </w:rPr>
        <w:t>;</w:t>
      </w:r>
    </w:p>
    <w:p w:rsidR="001B2F58" w:rsidRPr="00DD03D6" w:rsidRDefault="005B1D2F" w:rsidP="00DD1511">
      <w:pPr>
        <w:pStyle w:val="Bullet1G"/>
        <w:tabs>
          <w:tab w:val="clear" w:pos="1701"/>
          <w:tab w:val="left" w:pos="1843"/>
          <w:tab w:val="left" w:pos="6237"/>
        </w:tabs>
        <w:ind w:left="1843" w:hanging="142"/>
        <w:rPr>
          <w:noProof/>
          <w:lang w:val="fr-FR"/>
        </w:rPr>
      </w:pPr>
      <w:r>
        <w:rPr>
          <w:noProof/>
          <w:lang w:val="fr-FR"/>
        </w:rPr>
        <w:lastRenderedPageBreak/>
        <w:t xml:space="preserve">S’assurer les services d’un </w:t>
      </w:r>
      <w:r w:rsidR="008B3D7F">
        <w:rPr>
          <w:lang w:val="fr-CH"/>
        </w:rPr>
        <w:t>conseiller en matière de bien-être des enfants</w:t>
      </w:r>
      <w:r w:rsidR="008B3D7F" w:rsidRPr="00DD03D6">
        <w:rPr>
          <w:noProof/>
          <w:lang w:val="fr-FR"/>
        </w:rPr>
        <w:t xml:space="preserve"> </w:t>
      </w:r>
      <w:r>
        <w:rPr>
          <w:noProof/>
          <w:lang w:val="fr-FR"/>
        </w:rPr>
        <w:t xml:space="preserve">spécialisé </w:t>
      </w:r>
      <w:r w:rsidR="008B3D7F">
        <w:rPr>
          <w:noProof/>
          <w:lang w:val="fr-FR"/>
        </w:rPr>
        <w:t>pour donner effet à cette politique dans l’ensemble du secteur artistique</w:t>
      </w:r>
      <w:r w:rsidR="005D7533" w:rsidRPr="00DD03D6">
        <w:rPr>
          <w:noProof/>
          <w:lang w:val="fr-FR"/>
        </w:rPr>
        <w:t>;</w:t>
      </w:r>
    </w:p>
    <w:p w:rsidR="001B2F58" w:rsidRPr="00DD03D6" w:rsidRDefault="008B3D7F" w:rsidP="00DD1511">
      <w:pPr>
        <w:pStyle w:val="Bullet1G"/>
        <w:tabs>
          <w:tab w:val="clear" w:pos="1701"/>
          <w:tab w:val="left" w:pos="1843"/>
          <w:tab w:val="left" w:pos="6237"/>
        </w:tabs>
        <w:ind w:left="1843" w:hanging="142"/>
        <w:rPr>
          <w:noProof/>
          <w:lang w:val="fr-FR"/>
        </w:rPr>
      </w:pPr>
      <w:r>
        <w:rPr>
          <w:noProof/>
          <w:lang w:val="fr-FR"/>
        </w:rPr>
        <w:t>Élaborer des garanties au sein du Conseil des a</w:t>
      </w:r>
      <w:r w:rsidR="001B2F58" w:rsidRPr="00DD03D6">
        <w:rPr>
          <w:noProof/>
          <w:lang w:val="fr-FR"/>
        </w:rPr>
        <w:t xml:space="preserve">rts </w:t>
      </w:r>
      <w:r>
        <w:rPr>
          <w:noProof/>
          <w:lang w:val="fr-FR"/>
        </w:rPr>
        <w:t>en adoptant des politiques et procédures internes concernant le travail avec les enfants et les jeunes</w:t>
      </w:r>
      <w:r w:rsidR="005D7533" w:rsidRPr="00DD03D6">
        <w:rPr>
          <w:noProof/>
          <w:lang w:val="fr-FR"/>
        </w:rPr>
        <w:t>;</w:t>
      </w:r>
    </w:p>
    <w:p w:rsidR="001B2F58" w:rsidRPr="00DD03D6" w:rsidRDefault="008B3D7F" w:rsidP="00DD1511">
      <w:pPr>
        <w:pStyle w:val="Bullet1G"/>
        <w:tabs>
          <w:tab w:val="clear" w:pos="1701"/>
          <w:tab w:val="left" w:pos="1843"/>
          <w:tab w:val="left" w:pos="6237"/>
        </w:tabs>
        <w:ind w:left="1843" w:hanging="142"/>
        <w:rPr>
          <w:noProof/>
          <w:lang w:val="fr-FR"/>
        </w:rPr>
      </w:pPr>
      <w:r>
        <w:rPr>
          <w:noProof/>
          <w:lang w:val="fr-FR"/>
        </w:rPr>
        <w:t xml:space="preserve">Fournir des formations, des conseils et des informations mises à jour d’un intérêt pratique </w:t>
      </w:r>
      <w:r w:rsidR="001B2F58" w:rsidRPr="00DD03D6">
        <w:rPr>
          <w:noProof/>
          <w:lang w:val="fr-FR"/>
        </w:rPr>
        <w:t>(</w:t>
      </w:r>
      <w:r>
        <w:rPr>
          <w:noProof/>
          <w:lang w:val="fr-FR"/>
        </w:rPr>
        <w:t xml:space="preserve">comme dans le cas de la révision, intervenue en 2011, des directives nationales intitulées </w:t>
      </w:r>
      <w:r w:rsidRPr="00FD2518">
        <w:rPr>
          <w:lang w:val="fr-CH"/>
        </w:rPr>
        <w:t>«</w:t>
      </w:r>
      <w:r w:rsidR="00FD2518">
        <w:rPr>
          <w:i/>
          <w:lang w:val="fr-CH"/>
        </w:rPr>
        <w:t> </w:t>
      </w:r>
      <w:r w:rsidRPr="007B3894">
        <w:rPr>
          <w:i/>
          <w:lang w:val="fr-CH"/>
        </w:rPr>
        <w:t>Les enfants d’abord</w:t>
      </w:r>
      <w:r>
        <w:rPr>
          <w:i/>
          <w:lang w:val="fr-CH"/>
        </w:rPr>
        <w:t xml:space="preserve"> </w:t>
      </w:r>
      <w:r w:rsidRPr="007B3894">
        <w:rPr>
          <w:i/>
          <w:lang w:val="fr-CH"/>
        </w:rPr>
        <w:t>: directives nationales pour la protecti</w:t>
      </w:r>
      <w:r>
        <w:rPr>
          <w:i/>
          <w:lang w:val="fr-CH"/>
        </w:rPr>
        <w:t>on et le bien-être des enfants</w:t>
      </w:r>
      <w:r w:rsidR="00FD2518">
        <w:rPr>
          <w:i/>
          <w:lang w:val="fr-CH"/>
        </w:rPr>
        <w:t> </w:t>
      </w:r>
      <w:r w:rsidRPr="00FD2518">
        <w:rPr>
          <w:lang w:val="fr-CH"/>
        </w:rPr>
        <w:t>»</w:t>
      </w:r>
      <w:r w:rsidR="001B2F58" w:rsidRPr="00DD03D6">
        <w:rPr>
          <w:noProof/>
          <w:lang w:val="fr-FR"/>
        </w:rPr>
        <w:t xml:space="preserve">), </w:t>
      </w:r>
      <w:r>
        <w:rPr>
          <w:noProof/>
          <w:lang w:val="fr-FR"/>
        </w:rPr>
        <w:t>maintenir le contact avec la Direction des services de santé et d’</w:t>
      </w:r>
      <w:r w:rsidR="00214D61">
        <w:rPr>
          <w:noProof/>
          <w:lang w:val="fr-FR"/>
        </w:rPr>
        <w:t>au</w:t>
      </w:r>
      <w:r>
        <w:rPr>
          <w:noProof/>
          <w:lang w:val="fr-FR"/>
        </w:rPr>
        <w:t>tres entités</w:t>
      </w:r>
      <w:r w:rsidR="001B2F58" w:rsidRPr="00DD03D6">
        <w:rPr>
          <w:noProof/>
          <w:lang w:val="fr-FR"/>
        </w:rPr>
        <w:t xml:space="preserve">, </w:t>
      </w:r>
      <w:r>
        <w:rPr>
          <w:noProof/>
          <w:lang w:val="fr-FR"/>
        </w:rPr>
        <w:t xml:space="preserve">et œuvrer de concert avec les </w:t>
      </w:r>
      <w:r w:rsidR="001B2F58" w:rsidRPr="00DD03D6">
        <w:rPr>
          <w:noProof/>
          <w:lang w:val="fr-FR"/>
        </w:rPr>
        <w:t xml:space="preserve">organisations </w:t>
      </w:r>
      <w:r>
        <w:rPr>
          <w:noProof/>
          <w:lang w:val="fr-FR"/>
        </w:rPr>
        <w:t>artistiques à l’amélioration continue de la pratique et des résultats</w:t>
      </w:r>
      <w:r w:rsidR="005D7533" w:rsidRPr="00DD03D6">
        <w:rPr>
          <w:noProof/>
          <w:lang w:val="fr-FR"/>
        </w:rPr>
        <w:t>;</w:t>
      </w:r>
    </w:p>
    <w:p w:rsidR="001B2F58" w:rsidRPr="00DD03D6" w:rsidRDefault="00214D61" w:rsidP="00DD1511">
      <w:pPr>
        <w:pStyle w:val="Bullet1G"/>
        <w:tabs>
          <w:tab w:val="clear" w:pos="1701"/>
          <w:tab w:val="left" w:pos="1843"/>
          <w:tab w:val="left" w:pos="6237"/>
        </w:tabs>
        <w:ind w:left="1843" w:hanging="142"/>
        <w:rPr>
          <w:noProof/>
          <w:lang w:val="fr-FR"/>
        </w:rPr>
      </w:pPr>
      <w:r>
        <w:rPr>
          <w:noProof/>
          <w:lang w:val="fr-FR"/>
        </w:rPr>
        <w:t>Concevoir des ressources adaptées à une utilisation dans le secteur artistique, notamment une ressource W</w:t>
      </w:r>
      <w:r w:rsidR="001B2F58" w:rsidRPr="00DD03D6">
        <w:rPr>
          <w:noProof/>
          <w:lang w:val="fr-FR"/>
        </w:rPr>
        <w:t>eb.</w:t>
      </w:r>
    </w:p>
    <w:p w:rsidR="001B2F58" w:rsidRPr="00DD03D6" w:rsidRDefault="00214D61" w:rsidP="008C466E">
      <w:pPr>
        <w:pStyle w:val="SingleTxtG"/>
        <w:numPr>
          <w:ilvl w:val="0"/>
          <w:numId w:val="3"/>
        </w:numPr>
        <w:ind w:left="1134" w:firstLine="0"/>
        <w:rPr>
          <w:noProof/>
          <w:lang w:val="fr-FR"/>
        </w:rPr>
      </w:pPr>
      <w:r>
        <w:rPr>
          <w:noProof/>
          <w:lang w:val="fr-FR"/>
        </w:rPr>
        <w:t>Le Conseil des a</w:t>
      </w:r>
      <w:r w:rsidR="001B2F58" w:rsidRPr="00DD03D6">
        <w:rPr>
          <w:noProof/>
          <w:lang w:val="fr-FR"/>
        </w:rPr>
        <w:t>rts continue</w:t>
      </w:r>
      <w:r w:rsidR="0060337C">
        <w:rPr>
          <w:noProof/>
          <w:lang w:val="fr-FR"/>
        </w:rPr>
        <w:t xml:space="preserve"> de collaborer avec d’autres entité</w:t>
      </w:r>
      <w:r w:rsidR="001B2F58" w:rsidRPr="00DD03D6">
        <w:rPr>
          <w:noProof/>
          <w:lang w:val="fr-FR"/>
        </w:rPr>
        <w:t>s</w:t>
      </w:r>
      <w:r w:rsidR="0060337C">
        <w:rPr>
          <w:noProof/>
          <w:lang w:val="fr-FR"/>
        </w:rPr>
        <w:t xml:space="preserve"> </w:t>
      </w:r>
      <w:r w:rsidR="001B2F58" w:rsidRPr="00DD03D6">
        <w:rPr>
          <w:noProof/>
          <w:lang w:val="fr-FR"/>
        </w:rPr>
        <w:t>– pri</w:t>
      </w:r>
      <w:r w:rsidR="0060337C">
        <w:rPr>
          <w:noProof/>
          <w:lang w:val="fr-FR"/>
        </w:rPr>
        <w:t xml:space="preserve">ncipalement le Conseil des institutions culturelles nationales </w:t>
      </w:r>
      <w:r w:rsidR="001B2F58" w:rsidRPr="00DD03D6">
        <w:rPr>
          <w:noProof/>
          <w:lang w:val="fr-FR"/>
        </w:rPr>
        <w:t>(</w:t>
      </w:r>
      <w:r w:rsidR="0060337C">
        <w:rPr>
          <w:noProof/>
          <w:lang w:val="fr-FR"/>
        </w:rPr>
        <w:t>é</w:t>
      </w:r>
      <w:r w:rsidR="001B2F58" w:rsidRPr="00DD03D6">
        <w:rPr>
          <w:noProof/>
          <w:lang w:val="fr-FR"/>
        </w:rPr>
        <w:t xml:space="preserve">ducation, </w:t>
      </w:r>
      <w:r w:rsidR="0060337C">
        <w:rPr>
          <w:noProof/>
          <w:lang w:val="fr-FR"/>
        </w:rPr>
        <w:t>c</w:t>
      </w:r>
      <w:r w:rsidR="001B2F58" w:rsidRPr="00DD03D6">
        <w:rPr>
          <w:noProof/>
          <w:lang w:val="fr-FR"/>
        </w:rPr>
        <w:t>ommun</w:t>
      </w:r>
      <w:r w:rsidR="0060337C">
        <w:rPr>
          <w:noProof/>
          <w:lang w:val="fr-FR"/>
        </w:rPr>
        <w:t>auté et action de proximité</w:t>
      </w:r>
      <w:r w:rsidR="001B2F58" w:rsidRPr="00DD03D6">
        <w:rPr>
          <w:noProof/>
          <w:lang w:val="fr-FR"/>
        </w:rPr>
        <w:t xml:space="preserve">), </w:t>
      </w:r>
      <w:r w:rsidR="0060337C">
        <w:rPr>
          <w:noProof/>
          <w:lang w:val="fr-FR"/>
        </w:rPr>
        <w:t>le Ministère de l’éducation et de la formation et les organismes associés, le Ministère de l’enfance et de la jeunesse</w:t>
      </w:r>
      <w:r w:rsidR="001B2F58" w:rsidRPr="00DD03D6">
        <w:rPr>
          <w:noProof/>
          <w:lang w:val="fr-FR"/>
        </w:rPr>
        <w:t xml:space="preserve">, </w:t>
      </w:r>
      <w:r w:rsidR="0060337C">
        <w:rPr>
          <w:noProof/>
          <w:lang w:val="fr-FR"/>
        </w:rPr>
        <w:t xml:space="preserve">la Direction des services de santé et le Conseil national de la jeunesse d’Irlande </w:t>
      </w:r>
      <w:r w:rsidR="001B2F58" w:rsidRPr="00DD03D6">
        <w:rPr>
          <w:noProof/>
          <w:lang w:val="fr-FR"/>
        </w:rPr>
        <w:t xml:space="preserve">– </w:t>
      </w:r>
      <w:r w:rsidR="0060337C">
        <w:rPr>
          <w:noProof/>
          <w:lang w:val="fr-FR"/>
        </w:rPr>
        <w:t>en vue d’élargir l’accès pour le million de citoyens qui constituent le public cible des activités artistiques destinées aux jeunes Irlandais</w:t>
      </w:r>
      <w:r w:rsidR="001B2F58" w:rsidRPr="00DD03D6">
        <w:rPr>
          <w:noProof/>
          <w:lang w:val="fr-FR"/>
        </w:rPr>
        <w:t>. A</w:t>
      </w:r>
      <w:r w:rsidR="00445D93">
        <w:rPr>
          <w:noProof/>
          <w:lang w:val="fr-FR"/>
        </w:rPr>
        <w:t>u niveau de l’UE, le Conseil des a</w:t>
      </w:r>
      <w:r w:rsidR="001B2F58" w:rsidRPr="00DD03D6">
        <w:rPr>
          <w:noProof/>
          <w:lang w:val="fr-FR"/>
        </w:rPr>
        <w:t xml:space="preserve">rts </w:t>
      </w:r>
      <w:r w:rsidR="00445D93">
        <w:rPr>
          <w:noProof/>
          <w:lang w:val="fr-FR"/>
        </w:rPr>
        <w:t>s’est fait représenter, de même que le Ministère de l’éducation et de la formation, dans le Groupe UE/</w:t>
      </w:r>
      <w:r w:rsidR="00D8239B">
        <w:rPr>
          <w:noProof/>
          <w:lang w:val="fr-FR"/>
        </w:rPr>
        <w:t xml:space="preserve">Cabinet de la </w:t>
      </w:r>
      <w:r w:rsidR="00610E91">
        <w:rPr>
          <w:noProof/>
          <w:lang w:val="fr-FR"/>
        </w:rPr>
        <w:t>M</w:t>
      </w:r>
      <w:r w:rsidR="00D8239B">
        <w:rPr>
          <w:noProof/>
          <w:lang w:val="fr-FR"/>
        </w:rPr>
        <w:t>inistre de l’enfance et de la jeunesse</w:t>
      </w:r>
      <w:r w:rsidR="00445D93">
        <w:rPr>
          <w:noProof/>
          <w:lang w:val="fr-FR"/>
        </w:rPr>
        <w:t xml:space="preserve"> 2009/2010 chargé d’établir un rapport sur le développement de synergies accrues entre l’é</w:t>
      </w:r>
      <w:r w:rsidR="001B2F58" w:rsidRPr="00DD03D6">
        <w:rPr>
          <w:noProof/>
          <w:lang w:val="fr-FR"/>
        </w:rPr>
        <w:t xml:space="preserve">ducation, </w:t>
      </w:r>
      <w:r w:rsidR="00445D93">
        <w:rPr>
          <w:noProof/>
          <w:lang w:val="fr-FR"/>
        </w:rPr>
        <w:t xml:space="preserve">les </w:t>
      </w:r>
      <w:r w:rsidR="001B2F58" w:rsidRPr="00DD03D6">
        <w:rPr>
          <w:noProof/>
          <w:lang w:val="fr-FR"/>
        </w:rPr>
        <w:t xml:space="preserve">arts </w:t>
      </w:r>
      <w:r w:rsidR="00445D93">
        <w:rPr>
          <w:noProof/>
          <w:lang w:val="fr-FR"/>
        </w:rPr>
        <w:t xml:space="preserve">et la </w:t>
      </w:r>
      <w:r w:rsidR="001B2F58" w:rsidRPr="00DD03D6">
        <w:rPr>
          <w:noProof/>
          <w:lang w:val="fr-FR"/>
        </w:rPr>
        <w:t xml:space="preserve">culture. </w:t>
      </w:r>
      <w:r w:rsidR="00445D93">
        <w:rPr>
          <w:noProof/>
          <w:lang w:val="fr-FR"/>
        </w:rPr>
        <w:t xml:space="preserve">Le </w:t>
      </w:r>
      <w:r w:rsidR="001B2F58" w:rsidRPr="00DD03D6">
        <w:rPr>
          <w:noProof/>
          <w:lang w:val="fr-FR"/>
        </w:rPr>
        <w:t>Group</w:t>
      </w:r>
      <w:r w:rsidR="00445D93">
        <w:rPr>
          <w:noProof/>
          <w:lang w:val="fr-FR"/>
        </w:rPr>
        <w:t>e</w:t>
      </w:r>
      <w:r w:rsidR="001B2F58" w:rsidRPr="00DD03D6">
        <w:rPr>
          <w:noProof/>
          <w:lang w:val="fr-FR"/>
        </w:rPr>
        <w:t xml:space="preserve"> </w:t>
      </w:r>
      <w:r w:rsidR="00445D93">
        <w:rPr>
          <w:noProof/>
          <w:lang w:val="fr-FR"/>
        </w:rPr>
        <w:t xml:space="preserve">a finalisé son rapport en juillet 2010; il s’intitule </w:t>
      </w:r>
      <w:r w:rsidR="00445D93">
        <w:rPr>
          <w:i/>
          <w:noProof/>
          <w:lang w:val="fr-FR"/>
        </w:rPr>
        <w:t xml:space="preserve">Programme européen pour la culture – Groupe de travail sur le développement de synergies avec l’éducation, en particulier l’éducation artistique </w:t>
      </w:r>
      <w:r w:rsidR="00445D93">
        <w:rPr>
          <w:noProof/>
          <w:lang w:val="fr-FR"/>
        </w:rPr>
        <w:t>(</w:t>
      </w:r>
      <w:r w:rsidR="001B2F58" w:rsidRPr="00DD03D6">
        <w:rPr>
          <w:i/>
          <w:iCs/>
          <w:noProof/>
          <w:lang w:val="fr-FR"/>
        </w:rPr>
        <w:t>European Agenda for Culture – Working Group on developing synergies with education, especially arts education</w:t>
      </w:r>
      <w:r w:rsidR="00445D93">
        <w:rPr>
          <w:noProof/>
          <w:lang w:val="fr-FR"/>
        </w:rPr>
        <w:t>). Le Conseil des a</w:t>
      </w:r>
      <w:r w:rsidR="001B2F58" w:rsidRPr="00DD03D6">
        <w:rPr>
          <w:noProof/>
          <w:lang w:val="fr-FR"/>
        </w:rPr>
        <w:t xml:space="preserve">rts </w:t>
      </w:r>
      <w:r w:rsidR="00445D93">
        <w:rPr>
          <w:noProof/>
          <w:lang w:val="fr-FR"/>
        </w:rPr>
        <w:t>a également des contacts réguliers avec ses collègues des Conseils des arts d’Irlande du Nord, d’Écosse, d’Angleterre et du Pays de Galles</w:t>
      </w:r>
      <w:r w:rsidR="001B2F58" w:rsidRPr="00DD03D6">
        <w:rPr>
          <w:noProof/>
          <w:lang w:val="fr-FR"/>
        </w:rPr>
        <w:t>.</w:t>
      </w:r>
    </w:p>
    <w:p w:rsidR="001B2F58" w:rsidRPr="00DD03D6" w:rsidRDefault="00BE22FC" w:rsidP="00BE22FC">
      <w:pPr>
        <w:pStyle w:val="H23G"/>
        <w:ind w:firstLine="0"/>
        <w:rPr>
          <w:noProof/>
          <w:lang w:val="fr-FR"/>
        </w:rPr>
      </w:pPr>
      <w:r>
        <w:rPr>
          <w:noProof/>
          <w:lang w:val="fr-FR"/>
        </w:rPr>
        <w:t>C</w:t>
      </w:r>
      <w:r w:rsidR="001B2F58" w:rsidRPr="00DD03D6">
        <w:rPr>
          <w:noProof/>
          <w:lang w:val="fr-FR"/>
        </w:rPr>
        <w:t>afés</w:t>
      </w:r>
      <w:r>
        <w:rPr>
          <w:noProof/>
          <w:lang w:val="fr-FR"/>
        </w:rPr>
        <w:t xml:space="preserve"> pour les jeunes</w:t>
      </w:r>
    </w:p>
    <w:p w:rsidR="001B2F58" w:rsidRDefault="007101D6" w:rsidP="008C466E">
      <w:pPr>
        <w:pStyle w:val="SingleTxtG"/>
        <w:numPr>
          <w:ilvl w:val="0"/>
          <w:numId w:val="3"/>
        </w:numPr>
        <w:ind w:left="1134" w:firstLine="0"/>
        <w:rPr>
          <w:noProof/>
          <w:lang w:val="fr-FR"/>
        </w:rPr>
      </w:pPr>
      <w:r>
        <w:rPr>
          <w:noProof/>
          <w:lang w:val="fr-FR"/>
        </w:rPr>
        <w:t xml:space="preserve">Le développement des cafés pour les jeunes a été retenu par le Gouvernement dans son Programme pour </w:t>
      </w:r>
      <w:r w:rsidR="001B2F58" w:rsidRPr="00DD03D6">
        <w:rPr>
          <w:noProof/>
          <w:lang w:val="fr-FR"/>
        </w:rPr>
        <w:t xml:space="preserve">2007, </w:t>
      </w:r>
      <w:r>
        <w:rPr>
          <w:noProof/>
          <w:lang w:val="fr-FR"/>
        </w:rPr>
        <w:t xml:space="preserve">en réponse à l’insistance avec laquelle les jeunes avaient demandé la création d’espaces </w:t>
      </w:r>
      <w:r w:rsidR="00992275">
        <w:rPr>
          <w:noProof/>
          <w:lang w:val="fr-FR"/>
        </w:rPr>
        <w:t>de loisirs de ce type</w:t>
      </w:r>
      <w:r w:rsidR="001B2F58" w:rsidRPr="00DD03D6">
        <w:rPr>
          <w:noProof/>
          <w:lang w:val="fr-FR"/>
        </w:rPr>
        <w:t xml:space="preserve">. </w:t>
      </w:r>
    </w:p>
    <w:p w:rsidR="001B2F58" w:rsidRPr="00DD03D6" w:rsidRDefault="00992275" w:rsidP="008C466E">
      <w:pPr>
        <w:pStyle w:val="SingleTxtG"/>
        <w:numPr>
          <w:ilvl w:val="0"/>
          <w:numId w:val="3"/>
        </w:numPr>
        <w:ind w:left="1134" w:firstLine="0"/>
        <w:rPr>
          <w:noProof/>
          <w:lang w:val="fr-FR"/>
        </w:rPr>
      </w:pPr>
      <w:r>
        <w:rPr>
          <w:noProof/>
          <w:lang w:val="fr-FR"/>
        </w:rPr>
        <w:t xml:space="preserve">Un programme de financement des cafés pour les jeunes a été mis en place en </w:t>
      </w:r>
      <w:r w:rsidR="001B2F58" w:rsidRPr="00DD03D6">
        <w:rPr>
          <w:noProof/>
          <w:lang w:val="fr-FR"/>
        </w:rPr>
        <w:t xml:space="preserve">2010/2011 </w:t>
      </w:r>
      <w:r>
        <w:rPr>
          <w:noProof/>
          <w:lang w:val="fr-FR"/>
        </w:rPr>
        <w:t>pour ouvrir des cafés de ce type dans tout le pays</w:t>
      </w:r>
      <w:r w:rsidR="001B2F58" w:rsidRPr="00DD03D6">
        <w:rPr>
          <w:noProof/>
          <w:lang w:val="fr-FR"/>
        </w:rPr>
        <w:t xml:space="preserve">. </w:t>
      </w:r>
      <w:r w:rsidR="0053452C">
        <w:rPr>
          <w:noProof/>
          <w:lang w:val="fr-FR"/>
        </w:rPr>
        <w:t xml:space="preserve">Ce programme a permis d’améliorer les installations existantes et d’affecter des crédits importants à la </w:t>
      </w:r>
      <w:r w:rsidR="001B2F58" w:rsidRPr="00DD03D6">
        <w:rPr>
          <w:noProof/>
          <w:lang w:val="fr-FR"/>
        </w:rPr>
        <w:t xml:space="preserve">construction </w:t>
      </w:r>
      <w:r w:rsidR="001A7C7A">
        <w:rPr>
          <w:noProof/>
          <w:lang w:val="fr-FR"/>
        </w:rPr>
        <w:t xml:space="preserve">de </w:t>
      </w:r>
      <w:r w:rsidR="001B2F58" w:rsidRPr="00DD03D6">
        <w:rPr>
          <w:noProof/>
          <w:lang w:val="fr-FR"/>
        </w:rPr>
        <w:t xml:space="preserve">16 </w:t>
      </w:r>
      <w:r w:rsidR="001A7C7A">
        <w:rPr>
          <w:noProof/>
          <w:lang w:val="fr-FR"/>
        </w:rPr>
        <w:t>nouveaux cafés, essentiellement dans les zones où il n’en existait pas encore</w:t>
      </w:r>
      <w:r w:rsidR="001B2F58" w:rsidRPr="00DD03D6">
        <w:rPr>
          <w:noProof/>
          <w:lang w:val="fr-FR"/>
        </w:rPr>
        <w:t>.</w:t>
      </w:r>
    </w:p>
    <w:p w:rsidR="001B2F58" w:rsidRPr="00DD03D6" w:rsidRDefault="001A7C7A" w:rsidP="008C466E">
      <w:pPr>
        <w:pStyle w:val="SingleTxtG"/>
        <w:numPr>
          <w:ilvl w:val="0"/>
          <w:numId w:val="3"/>
        </w:numPr>
        <w:ind w:left="1134" w:firstLine="0"/>
        <w:rPr>
          <w:noProof/>
          <w:lang w:val="fr-FR"/>
        </w:rPr>
      </w:pPr>
      <w:r>
        <w:rPr>
          <w:noProof/>
          <w:lang w:val="fr-FR"/>
        </w:rPr>
        <w:t xml:space="preserve">On estime que </w:t>
      </w:r>
      <w:r w:rsidR="001B2F58" w:rsidRPr="00DD03D6">
        <w:rPr>
          <w:noProof/>
          <w:lang w:val="fr-FR"/>
        </w:rPr>
        <w:t xml:space="preserve">100 cafés </w:t>
      </w:r>
      <w:r>
        <w:rPr>
          <w:noProof/>
          <w:lang w:val="fr-FR"/>
        </w:rPr>
        <w:t>pour les jeunes sont à présent ouvert dans le pays</w:t>
      </w:r>
      <w:r w:rsidR="001B2F58" w:rsidRPr="00DD03D6">
        <w:rPr>
          <w:noProof/>
          <w:lang w:val="fr-FR"/>
        </w:rPr>
        <w:t xml:space="preserve">. </w:t>
      </w:r>
      <w:r>
        <w:rPr>
          <w:noProof/>
          <w:lang w:val="fr-FR"/>
        </w:rPr>
        <w:t xml:space="preserve">À ce jour, le Ministère de l’enfance et de la jeunesse a consacré </w:t>
      </w:r>
      <w:r w:rsidR="001B2F58" w:rsidRPr="00DD03D6">
        <w:rPr>
          <w:noProof/>
          <w:lang w:val="fr-FR"/>
        </w:rPr>
        <w:t>2</w:t>
      </w:r>
      <w:r>
        <w:rPr>
          <w:noProof/>
          <w:lang w:val="fr-FR"/>
        </w:rPr>
        <w:t>,</w:t>
      </w:r>
      <w:r w:rsidR="001B2F58" w:rsidRPr="00DD03D6">
        <w:rPr>
          <w:noProof/>
          <w:lang w:val="fr-FR"/>
        </w:rPr>
        <w:t>2 million</w:t>
      </w:r>
      <w:r>
        <w:rPr>
          <w:noProof/>
          <w:lang w:val="fr-FR"/>
        </w:rPr>
        <w:t xml:space="preserve">s d’euros à ce projet et un financement supplémentaire important a été fourni par le Programme de déjudiciarisation pour les mineurs de la </w:t>
      </w:r>
      <w:r w:rsidR="001B2F58" w:rsidRPr="00DD03D6">
        <w:rPr>
          <w:noProof/>
          <w:lang w:val="fr-FR"/>
        </w:rPr>
        <w:t xml:space="preserve">Garda. </w:t>
      </w:r>
      <w:r w:rsidR="00D709E8">
        <w:rPr>
          <w:noProof/>
          <w:lang w:val="fr-FR"/>
        </w:rPr>
        <w:t>On étudie actuellement l</w:t>
      </w:r>
      <w:r>
        <w:rPr>
          <w:noProof/>
          <w:lang w:val="fr-FR"/>
        </w:rPr>
        <w:t xml:space="preserve">a possibilité d’utiliser ces cafés pour diffuser des informations sur la santé et autres </w:t>
      </w:r>
      <w:r w:rsidR="00D709E8">
        <w:rPr>
          <w:noProof/>
          <w:lang w:val="fr-FR"/>
        </w:rPr>
        <w:t>informa</w:t>
      </w:r>
      <w:r>
        <w:rPr>
          <w:noProof/>
          <w:lang w:val="fr-FR"/>
        </w:rPr>
        <w:t>tions utiles aux jeunes et pour fournir un cadre pour d’autres activités liées aux jeunes</w:t>
      </w:r>
      <w:r w:rsidR="001B2F58" w:rsidRPr="00DD03D6">
        <w:rPr>
          <w:noProof/>
          <w:lang w:val="fr-FR"/>
        </w:rPr>
        <w:t xml:space="preserve">. </w:t>
      </w:r>
      <w:r w:rsidR="00D709E8">
        <w:rPr>
          <w:noProof/>
          <w:lang w:val="fr-FR"/>
        </w:rPr>
        <w:t xml:space="preserve">Il apparaît d’ores et déjà que l’existence d’un café pour les jeunes peut procurer un grand nombre d’avantages annexes aux jeunes, comme des occasions d’interaction avec leurs pairs et d’acquisition d’une expérience précieuse s’agissant de gérer ces cafés et de collecter des fonds pour assurer leur viabilié à moyen et à long termes. </w:t>
      </w:r>
    </w:p>
    <w:p w:rsidR="001B2F58" w:rsidRPr="00DD03D6" w:rsidRDefault="00D709E8" w:rsidP="00D709E8">
      <w:pPr>
        <w:pStyle w:val="H23G"/>
        <w:ind w:firstLine="0"/>
        <w:rPr>
          <w:noProof/>
          <w:lang w:val="fr-FR"/>
        </w:rPr>
      </w:pPr>
      <w:r>
        <w:rPr>
          <w:noProof/>
          <w:lang w:val="fr-FR"/>
        </w:rPr>
        <w:lastRenderedPageBreak/>
        <w:t>P</w:t>
      </w:r>
      <w:r w:rsidR="00965DE9">
        <w:rPr>
          <w:noProof/>
          <w:lang w:val="fr-FR"/>
        </w:rPr>
        <w:t xml:space="preserve">restation des services destinés aux jeunes </w:t>
      </w:r>
    </w:p>
    <w:p w:rsidR="001B2F58" w:rsidRPr="00DD03D6" w:rsidRDefault="007860F7" w:rsidP="008C466E">
      <w:pPr>
        <w:pStyle w:val="SingleTxtG"/>
        <w:numPr>
          <w:ilvl w:val="0"/>
          <w:numId w:val="3"/>
        </w:numPr>
        <w:ind w:left="1134" w:firstLine="0"/>
        <w:rPr>
          <w:noProof/>
          <w:lang w:val="fr-FR"/>
        </w:rPr>
      </w:pPr>
      <w:r>
        <w:rPr>
          <w:noProof/>
          <w:lang w:val="fr-FR"/>
        </w:rPr>
        <w:t>Les ob</w:t>
      </w:r>
      <w:r w:rsidR="00906422">
        <w:rPr>
          <w:noProof/>
          <w:lang w:val="fr-FR"/>
        </w:rPr>
        <w:t xml:space="preserve">jectifs généraux poursuivis par le Service de la jeunesse du Ministère de l’enfance et de la jeunesse sont les suivants </w:t>
      </w:r>
      <w:r w:rsidR="001B2F58" w:rsidRPr="00DD03D6">
        <w:rPr>
          <w:noProof/>
          <w:lang w:val="fr-FR"/>
        </w:rPr>
        <w:t>:</w:t>
      </w:r>
    </w:p>
    <w:p w:rsidR="001B2F58" w:rsidRPr="00DD03D6" w:rsidRDefault="00906422" w:rsidP="00650E3A">
      <w:pPr>
        <w:pStyle w:val="Bullet1G"/>
        <w:tabs>
          <w:tab w:val="clear" w:pos="1701"/>
          <w:tab w:val="left" w:pos="1843"/>
          <w:tab w:val="left" w:pos="6237"/>
        </w:tabs>
        <w:ind w:left="1843" w:hanging="142"/>
        <w:rPr>
          <w:noProof/>
          <w:lang w:val="fr-FR"/>
        </w:rPr>
      </w:pPr>
      <w:r>
        <w:rPr>
          <w:noProof/>
          <w:lang w:val="fr-FR"/>
        </w:rPr>
        <w:t>Élaborer des politiques et des stratégies concernant la jeunesse qui facilitent et renforcent le développement personnel et social des jeunes</w:t>
      </w:r>
      <w:r w:rsidR="001B2F58" w:rsidRPr="00DD03D6">
        <w:rPr>
          <w:noProof/>
          <w:lang w:val="fr-FR"/>
        </w:rPr>
        <w:t>;</w:t>
      </w:r>
    </w:p>
    <w:p w:rsidR="001B2F58" w:rsidRPr="00DD03D6" w:rsidRDefault="00906422" w:rsidP="00650E3A">
      <w:pPr>
        <w:pStyle w:val="Bullet1G"/>
        <w:tabs>
          <w:tab w:val="clear" w:pos="1701"/>
          <w:tab w:val="left" w:pos="1843"/>
          <w:tab w:val="left" w:pos="6237"/>
        </w:tabs>
        <w:ind w:left="1843" w:hanging="142"/>
        <w:rPr>
          <w:noProof/>
          <w:lang w:val="fr-FR"/>
        </w:rPr>
      </w:pPr>
      <w:r>
        <w:rPr>
          <w:noProof/>
          <w:lang w:val="fr-FR"/>
        </w:rPr>
        <w:t xml:space="preserve">Aider le secteur de </w:t>
      </w:r>
      <w:r w:rsidR="007860F7">
        <w:rPr>
          <w:noProof/>
          <w:lang w:val="fr-FR"/>
        </w:rPr>
        <w:t xml:space="preserve">la </w:t>
      </w:r>
      <w:r>
        <w:rPr>
          <w:noProof/>
          <w:lang w:val="fr-FR"/>
        </w:rPr>
        <w:t xml:space="preserve">jeunesse à fournir un travail efficace avec les jeunes et </w:t>
      </w:r>
      <w:r w:rsidR="007860F7">
        <w:rPr>
          <w:noProof/>
          <w:lang w:val="fr-FR"/>
        </w:rPr>
        <w:t>à offrir à ces derniers des possibilités connexes, ainsi qu’à consolider et renforcer la fourniture de services et de programmes destinés aux jeunes</w:t>
      </w:r>
      <w:r w:rsidR="001B2F58" w:rsidRPr="00DD03D6">
        <w:rPr>
          <w:noProof/>
          <w:lang w:val="fr-FR"/>
        </w:rPr>
        <w:t>;</w:t>
      </w:r>
    </w:p>
    <w:p w:rsidR="001B2F58" w:rsidRPr="00DD03D6" w:rsidRDefault="007860F7" w:rsidP="00650E3A">
      <w:pPr>
        <w:pStyle w:val="Bullet1G"/>
        <w:tabs>
          <w:tab w:val="clear" w:pos="1701"/>
          <w:tab w:val="left" w:pos="1843"/>
          <w:tab w:val="left" w:pos="6237"/>
        </w:tabs>
        <w:ind w:left="1843" w:hanging="142"/>
        <w:rPr>
          <w:noProof/>
          <w:lang w:val="fr-FR"/>
        </w:rPr>
      </w:pPr>
      <w:r>
        <w:rPr>
          <w:noProof/>
          <w:lang w:val="fr-FR"/>
        </w:rPr>
        <w:t>Suivre et évaluer les structures, aides et services de travail avec les jeunes de manière à garantir tant la qualité des services que l’utilisation efficace des ressources</w:t>
      </w:r>
      <w:r w:rsidR="001B2F58" w:rsidRPr="00DD03D6">
        <w:rPr>
          <w:noProof/>
          <w:lang w:val="fr-FR"/>
        </w:rPr>
        <w:t>;</w:t>
      </w:r>
    </w:p>
    <w:p w:rsidR="001B2F58" w:rsidRPr="00DD03D6" w:rsidRDefault="007860F7" w:rsidP="00650E3A">
      <w:pPr>
        <w:pStyle w:val="Bullet1G"/>
        <w:tabs>
          <w:tab w:val="clear" w:pos="1701"/>
          <w:tab w:val="left" w:pos="1843"/>
          <w:tab w:val="left" w:pos="6237"/>
        </w:tabs>
        <w:ind w:left="1843" w:hanging="142"/>
        <w:rPr>
          <w:noProof/>
          <w:lang w:val="fr-FR"/>
        </w:rPr>
      </w:pPr>
      <w:r>
        <w:rPr>
          <w:noProof/>
          <w:lang w:val="fr-FR"/>
        </w:rPr>
        <w:t>Appuyer l’alignement des politiques et services concernant la jeunesse sur les autres politiques et services du Ministère de l’enfance et de la jeunesse et sur l’ensemble du domaine des politiques et des services afin de garantir la mise en œuvre d’une approche intégrée et coordonnée de la satisfaction des besoins des jeunes</w:t>
      </w:r>
      <w:r w:rsidR="001B2F58" w:rsidRPr="00DD03D6">
        <w:rPr>
          <w:noProof/>
          <w:lang w:val="fr-FR"/>
        </w:rPr>
        <w:t>;</w:t>
      </w:r>
    </w:p>
    <w:p w:rsidR="001B2F58" w:rsidRPr="00DD03D6" w:rsidRDefault="007860F7" w:rsidP="00650E3A">
      <w:pPr>
        <w:pStyle w:val="Bullet1G"/>
        <w:tabs>
          <w:tab w:val="clear" w:pos="1701"/>
          <w:tab w:val="left" w:pos="1843"/>
          <w:tab w:val="left" w:pos="6237"/>
        </w:tabs>
        <w:ind w:left="1843" w:hanging="142"/>
        <w:rPr>
          <w:noProof/>
          <w:lang w:val="fr-FR"/>
        </w:rPr>
      </w:pPr>
      <w:r>
        <w:rPr>
          <w:noProof/>
          <w:lang w:val="fr-FR"/>
        </w:rPr>
        <w:t>Coopérer avec l’UE et le Conseil de l’</w:t>
      </w:r>
      <w:r w:rsidR="001B2F58" w:rsidRPr="00DD03D6">
        <w:rPr>
          <w:noProof/>
          <w:lang w:val="fr-FR"/>
        </w:rPr>
        <w:t xml:space="preserve">Europe </w:t>
      </w:r>
      <w:r>
        <w:rPr>
          <w:noProof/>
          <w:lang w:val="fr-FR"/>
        </w:rPr>
        <w:t>en matière de politique</w:t>
      </w:r>
      <w:r w:rsidR="00C3203E">
        <w:rPr>
          <w:noProof/>
          <w:lang w:val="fr-FR"/>
        </w:rPr>
        <w:t>s</w:t>
      </w:r>
      <w:r>
        <w:rPr>
          <w:noProof/>
          <w:lang w:val="fr-FR"/>
        </w:rPr>
        <w:t xml:space="preserve"> de la jeunesse </w:t>
      </w:r>
      <w:r w:rsidR="00C3203E">
        <w:rPr>
          <w:noProof/>
          <w:lang w:val="fr-FR"/>
        </w:rPr>
        <w:t>et d’application des programmes de l’UE en faveur des jeunes</w:t>
      </w:r>
      <w:r w:rsidR="001B2F58" w:rsidRPr="00DD03D6">
        <w:rPr>
          <w:noProof/>
          <w:lang w:val="fr-FR"/>
        </w:rPr>
        <w:t>.</w:t>
      </w:r>
    </w:p>
    <w:p w:rsidR="001B2F58" w:rsidRPr="00DD03D6" w:rsidRDefault="00C3203E" w:rsidP="008C466E">
      <w:pPr>
        <w:pStyle w:val="SingleTxtG"/>
        <w:numPr>
          <w:ilvl w:val="0"/>
          <w:numId w:val="3"/>
        </w:numPr>
        <w:ind w:left="1134" w:firstLine="0"/>
        <w:rPr>
          <w:noProof/>
          <w:lang w:val="fr-FR"/>
        </w:rPr>
      </w:pPr>
      <w:r>
        <w:rPr>
          <w:noProof/>
          <w:lang w:val="fr-FR"/>
        </w:rPr>
        <w:t xml:space="preserve">En 2012, le budget global du secteur de la jeunese s’élève à </w:t>
      </w:r>
      <w:r w:rsidR="001B2F58" w:rsidRPr="00DD03D6">
        <w:rPr>
          <w:noProof/>
          <w:lang w:val="fr-FR"/>
        </w:rPr>
        <w:t>56</w:t>
      </w:r>
      <w:r>
        <w:rPr>
          <w:noProof/>
          <w:lang w:val="fr-FR"/>
        </w:rPr>
        <w:t>,</w:t>
      </w:r>
      <w:r w:rsidR="001B2F58" w:rsidRPr="00DD03D6">
        <w:rPr>
          <w:noProof/>
          <w:lang w:val="fr-FR"/>
        </w:rPr>
        <w:t>806 million</w:t>
      </w:r>
      <w:r>
        <w:rPr>
          <w:noProof/>
          <w:lang w:val="fr-FR"/>
        </w:rPr>
        <w:t xml:space="preserve">s d’euros pour les dépenses courantes et à </w:t>
      </w:r>
      <w:r w:rsidR="001B2F58" w:rsidRPr="00DD03D6">
        <w:rPr>
          <w:noProof/>
          <w:lang w:val="fr-FR"/>
        </w:rPr>
        <w:t>0</w:t>
      </w:r>
      <w:r>
        <w:rPr>
          <w:noProof/>
          <w:lang w:val="fr-FR"/>
        </w:rPr>
        <w:t>,</w:t>
      </w:r>
      <w:r w:rsidR="001B2F58" w:rsidRPr="00DD03D6">
        <w:rPr>
          <w:noProof/>
          <w:lang w:val="fr-FR"/>
        </w:rPr>
        <w:t xml:space="preserve">5 million </w:t>
      </w:r>
      <w:r>
        <w:rPr>
          <w:noProof/>
          <w:lang w:val="fr-FR"/>
        </w:rPr>
        <w:t>pour les dépenses d’équipement</w:t>
      </w:r>
      <w:r w:rsidR="001B2F58" w:rsidRPr="00DD03D6">
        <w:rPr>
          <w:noProof/>
          <w:lang w:val="fr-FR"/>
        </w:rPr>
        <w:t xml:space="preserve">. </w:t>
      </w:r>
      <w:r>
        <w:rPr>
          <w:noProof/>
          <w:lang w:val="fr-FR"/>
        </w:rPr>
        <w:t xml:space="preserve">Ces crédits financent divers programmes et services de travail avec la jeunesse à l’intention </w:t>
      </w:r>
      <w:r w:rsidR="002A745C">
        <w:rPr>
          <w:noProof/>
          <w:lang w:val="fr-FR"/>
        </w:rPr>
        <w:t xml:space="preserve">de </w:t>
      </w:r>
      <w:r>
        <w:rPr>
          <w:noProof/>
          <w:lang w:val="fr-FR"/>
        </w:rPr>
        <w:t>tous les jeunes, y compris ceux qui appartiennent aux communautés défavorisées, programmes exécutés et services fournis par le secteur du travail bénévole avec la jeunesse</w:t>
      </w:r>
      <w:r w:rsidR="001B2F58" w:rsidRPr="00DD03D6">
        <w:rPr>
          <w:noProof/>
          <w:lang w:val="fr-FR"/>
        </w:rPr>
        <w:t xml:space="preserve">. </w:t>
      </w:r>
      <w:r>
        <w:rPr>
          <w:noProof/>
          <w:lang w:val="fr-FR"/>
        </w:rPr>
        <w:t xml:space="preserve">Ces programmes et services sont fournis à plus de </w:t>
      </w:r>
      <w:r w:rsidR="001B2F58" w:rsidRPr="00DD03D6">
        <w:rPr>
          <w:noProof/>
          <w:lang w:val="fr-FR"/>
        </w:rPr>
        <w:t>387</w:t>
      </w:r>
      <w:r w:rsidR="00650E3A">
        <w:rPr>
          <w:noProof/>
          <w:lang w:val="fr-FR"/>
        </w:rPr>
        <w:t> </w:t>
      </w:r>
      <w:r w:rsidR="001B2F58" w:rsidRPr="00DD03D6">
        <w:rPr>
          <w:noProof/>
          <w:lang w:val="fr-FR"/>
        </w:rPr>
        <w:t xml:space="preserve">000 </w:t>
      </w:r>
      <w:r>
        <w:rPr>
          <w:noProof/>
          <w:lang w:val="fr-FR"/>
        </w:rPr>
        <w:t xml:space="preserve">jeunes par quelque </w:t>
      </w:r>
      <w:r w:rsidR="001B2F58" w:rsidRPr="00DD03D6">
        <w:rPr>
          <w:noProof/>
          <w:lang w:val="fr-FR"/>
        </w:rPr>
        <w:t>1</w:t>
      </w:r>
      <w:r w:rsidR="00650E3A">
        <w:rPr>
          <w:noProof/>
          <w:lang w:val="fr-FR"/>
        </w:rPr>
        <w:t> </w:t>
      </w:r>
      <w:r w:rsidR="001B2F58" w:rsidRPr="00DD03D6">
        <w:rPr>
          <w:noProof/>
          <w:lang w:val="fr-FR"/>
        </w:rPr>
        <w:t xml:space="preserve">400 </w:t>
      </w:r>
      <w:r w:rsidR="001776E0">
        <w:rPr>
          <w:noProof/>
          <w:lang w:val="fr-FR"/>
        </w:rPr>
        <w:t>personnes travaillant avec les jeunes</w:t>
      </w:r>
      <w:r w:rsidR="001B2F58" w:rsidRPr="00DD03D6">
        <w:rPr>
          <w:noProof/>
          <w:lang w:val="fr-FR"/>
        </w:rPr>
        <w:t xml:space="preserve">, </w:t>
      </w:r>
      <w:r w:rsidR="001776E0">
        <w:rPr>
          <w:noProof/>
          <w:lang w:val="fr-FR"/>
        </w:rPr>
        <w:t xml:space="preserve">qui appuient elles-mêmes un grand nombre de bénévoles, que le Conseil national de la jeunesse d’Irlande estime à </w:t>
      </w:r>
      <w:r w:rsidR="001B2F58" w:rsidRPr="00DD03D6">
        <w:rPr>
          <w:noProof/>
          <w:lang w:val="fr-FR"/>
        </w:rPr>
        <w:t>40</w:t>
      </w:r>
      <w:r w:rsidR="00650E3A">
        <w:rPr>
          <w:noProof/>
          <w:lang w:val="fr-FR"/>
        </w:rPr>
        <w:t> </w:t>
      </w:r>
      <w:r w:rsidR="001B2F58" w:rsidRPr="00DD03D6">
        <w:rPr>
          <w:noProof/>
          <w:lang w:val="fr-FR"/>
        </w:rPr>
        <w:t xml:space="preserve">000. </w:t>
      </w:r>
      <w:r w:rsidR="001776E0">
        <w:rPr>
          <w:noProof/>
          <w:lang w:val="fr-FR"/>
        </w:rPr>
        <w:t>Le Service de la jeunesse s’occupe principalement d’appuyer et de développer les politiques et les prestations relatives au travail avec les jeunes</w:t>
      </w:r>
      <w:r w:rsidR="001B2F58" w:rsidRPr="00DD03D6">
        <w:rPr>
          <w:rStyle w:val="Appelnotedebasdep"/>
          <w:noProof/>
          <w:lang w:val="fr-FR"/>
        </w:rPr>
        <w:footnoteReference w:id="47"/>
      </w:r>
      <w:r w:rsidR="001776E0">
        <w:rPr>
          <w:noProof/>
          <w:lang w:val="fr-FR"/>
        </w:rPr>
        <w:t>.</w:t>
      </w:r>
      <w:r w:rsidR="001B2F58" w:rsidRPr="00DD03D6">
        <w:rPr>
          <w:iCs/>
          <w:noProof/>
          <w:lang w:val="fr-FR"/>
        </w:rPr>
        <w:t xml:space="preserve"> </w:t>
      </w:r>
      <w:r w:rsidR="0051187E">
        <w:rPr>
          <w:iCs/>
          <w:noProof/>
          <w:lang w:val="fr-FR"/>
        </w:rPr>
        <w:t>Le Service fournit au secteur de la jeunesse divers mécanismes, programmes et aides en matière de financement, focalisés sur le développement des jeunes, le soutien aux jeunes, l’information pour les jeunes, les échanges entre jeunes et les activités récréatives pour les jeunes</w:t>
      </w:r>
      <w:r w:rsidR="001B2F58" w:rsidRPr="00DD03D6">
        <w:rPr>
          <w:noProof/>
          <w:lang w:val="fr-FR"/>
        </w:rPr>
        <w:t xml:space="preserve">. </w:t>
      </w:r>
      <w:r w:rsidR="002A745C">
        <w:rPr>
          <w:noProof/>
          <w:lang w:val="fr-FR"/>
        </w:rPr>
        <w:t>Ces services sont assurés par le personnel travaillant avec les jeunes et par des bénévoles grâce à divers mécanismes de financement</w:t>
      </w:r>
      <w:r w:rsidR="001B2F58" w:rsidRPr="00DD03D6">
        <w:rPr>
          <w:noProof/>
          <w:lang w:val="fr-FR"/>
        </w:rPr>
        <w:t>.</w:t>
      </w:r>
    </w:p>
    <w:p w:rsidR="001B2F58" w:rsidRPr="00DD03D6" w:rsidRDefault="002A745C" w:rsidP="008C466E">
      <w:pPr>
        <w:pStyle w:val="SingleTxtG"/>
        <w:numPr>
          <w:ilvl w:val="0"/>
          <w:numId w:val="3"/>
        </w:numPr>
        <w:ind w:left="1134" w:firstLine="0"/>
        <w:rPr>
          <w:noProof/>
          <w:lang w:val="fr-FR"/>
        </w:rPr>
      </w:pPr>
      <w:r>
        <w:rPr>
          <w:noProof/>
          <w:lang w:val="fr-FR"/>
        </w:rPr>
        <w:t xml:space="preserve">Le budget global du secteur de la jeunesse pour la période </w:t>
      </w:r>
      <w:r w:rsidR="001B2F58" w:rsidRPr="00DD03D6">
        <w:rPr>
          <w:noProof/>
          <w:lang w:val="fr-FR"/>
        </w:rPr>
        <w:t xml:space="preserve">2008-2012 </w:t>
      </w:r>
      <w:r>
        <w:rPr>
          <w:noProof/>
          <w:lang w:val="fr-FR"/>
        </w:rPr>
        <w:t xml:space="preserve">a presque atteint </w:t>
      </w:r>
      <w:r w:rsidR="001B2F58" w:rsidRPr="00DD03D6">
        <w:rPr>
          <w:noProof/>
          <w:lang w:val="fr-FR"/>
        </w:rPr>
        <w:t>315</w:t>
      </w:r>
      <w:r w:rsidR="007B2C8A" w:rsidRPr="00DD03D6">
        <w:rPr>
          <w:noProof/>
          <w:lang w:val="fr-FR"/>
        </w:rPr>
        <w:t> </w:t>
      </w:r>
      <w:r w:rsidR="001B2F58" w:rsidRPr="00DD03D6">
        <w:rPr>
          <w:noProof/>
          <w:lang w:val="fr-FR"/>
        </w:rPr>
        <w:t>million</w:t>
      </w:r>
      <w:r>
        <w:rPr>
          <w:noProof/>
          <w:lang w:val="fr-FR"/>
        </w:rPr>
        <w:t>s d’euros</w:t>
      </w:r>
      <w:r w:rsidR="001B2F58" w:rsidRPr="00DD03D6">
        <w:rPr>
          <w:noProof/>
          <w:lang w:val="fr-FR"/>
        </w:rPr>
        <w:t>.</w:t>
      </w:r>
      <w:r w:rsidR="007B2C8A" w:rsidRPr="00DD03D6">
        <w:rPr>
          <w:noProof/>
          <w:lang w:val="fr-FR"/>
        </w:rPr>
        <w:t xml:space="preserve"> </w:t>
      </w:r>
    </w:p>
    <w:p w:rsidR="001B2F58" w:rsidRPr="00DD03D6" w:rsidRDefault="002A745C" w:rsidP="008C466E">
      <w:pPr>
        <w:pStyle w:val="SingleTxtG"/>
        <w:numPr>
          <w:ilvl w:val="0"/>
          <w:numId w:val="3"/>
        </w:numPr>
        <w:ind w:left="1134" w:firstLine="0"/>
        <w:rPr>
          <w:noProof/>
          <w:lang w:val="fr-FR"/>
        </w:rPr>
      </w:pPr>
      <w:r>
        <w:rPr>
          <w:noProof/>
          <w:lang w:val="fr-FR"/>
        </w:rPr>
        <w:t xml:space="preserve">Les </w:t>
      </w:r>
      <w:r w:rsidR="001B2F58" w:rsidRPr="00DD03D6">
        <w:rPr>
          <w:noProof/>
          <w:lang w:val="fr-FR"/>
        </w:rPr>
        <w:t xml:space="preserve">organisations, services </w:t>
      </w:r>
      <w:r>
        <w:rPr>
          <w:noProof/>
          <w:lang w:val="fr-FR"/>
        </w:rPr>
        <w:t xml:space="preserve">et projets ci-après bénéficient de subventions </w:t>
      </w:r>
      <w:r w:rsidR="001B2F58" w:rsidRPr="00DD03D6">
        <w:rPr>
          <w:noProof/>
          <w:lang w:val="fr-FR"/>
        </w:rPr>
        <w:t>:</w:t>
      </w:r>
    </w:p>
    <w:p w:rsidR="001B2F58" w:rsidRPr="00DD03D6" w:rsidRDefault="002A745C" w:rsidP="00650E3A">
      <w:pPr>
        <w:pStyle w:val="Bullet1G"/>
        <w:tabs>
          <w:tab w:val="clear" w:pos="1701"/>
          <w:tab w:val="left" w:pos="1843"/>
          <w:tab w:val="left" w:pos="6237"/>
        </w:tabs>
        <w:ind w:left="1843" w:hanging="142"/>
        <w:rPr>
          <w:noProof/>
          <w:lang w:val="fr-FR"/>
        </w:rPr>
      </w:pPr>
      <w:r>
        <w:rPr>
          <w:noProof/>
          <w:lang w:val="fr-FR"/>
        </w:rPr>
        <w:t xml:space="preserve">Programme de subventions aux services destinés aux jeunes </w:t>
      </w:r>
      <w:r w:rsidR="001B2F58" w:rsidRPr="00DD03D6">
        <w:rPr>
          <w:noProof/>
          <w:lang w:val="fr-FR"/>
        </w:rPr>
        <w:t xml:space="preserve">– </w:t>
      </w:r>
      <w:r>
        <w:rPr>
          <w:noProof/>
          <w:lang w:val="fr-FR"/>
        </w:rPr>
        <w:t xml:space="preserve">Une subvention annuelle est versée à </w:t>
      </w:r>
      <w:r w:rsidR="001B2F58" w:rsidRPr="00DD03D6">
        <w:rPr>
          <w:noProof/>
          <w:lang w:val="fr-FR"/>
        </w:rPr>
        <w:t>31</w:t>
      </w:r>
      <w:r w:rsidR="0008097D" w:rsidRPr="00DD03D6">
        <w:rPr>
          <w:noProof/>
          <w:lang w:val="fr-FR"/>
        </w:rPr>
        <w:t> </w:t>
      </w:r>
      <w:r>
        <w:rPr>
          <w:noProof/>
          <w:lang w:val="fr-FR"/>
        </w:rPr>
        <w:t xml:space="preserve">organisations bénévoles </w:t>
      </w:r>
      <w:r w:rsidR="001B2F58" w:rsidRPr="00DD03D6">
        <w:rPr>
          <w:noProof/>
          <w:lang w:val="fr-FR"/>
        </w:rPr>
        <w:t>national</w:t>
      </w:r>
      <w:r>
        <w:rPr>
          <w:noProof/>
          <w:lang w:val="fr-FR"/>
        </w:rPr>
        <w:t>es</w:t>
      </w:r>
      <w:r w:rsidR="001B2F58" w:rsidRPr="00DD03D6">
        <w:rPr>
          <w:noProof/>
          <w:lang w:val="fr-FR"/>
        </w:rPr>
        <w:t xml:space="preserve"> </w:t>
      </w:r>
      <w:r>
        <w:rPr>
          <w:noProof/>
          <w:lang w:val="fr-FR"/>
        </w:rPr>
        <w:t xml:space="preserve">et importantes au plan régional pour garantir la naissance, la </w:t>
      </w:r>
      <w:r w:rsidR="001B2F58" w:rsidRPr="00DD03D6">
        <w:rPr>
          <w:noProof/>
          <w:lang w:val="fr-FR"/>
        </w:rPr>
        <w:t xml:space="preserve">promotion, </w:t>
      </w:r>
      <w:r>
        <w:rPr>
          <w:noProof/>
          <w:lang w:val="fr-FR"/>
        </w:rPr>
        <w:t xml:space="preserve">la croissance et le développement d’organisations de jeunes </w:t>
      </w:r>
      <w:r w:rsidR="002B31E0">
        <w:rPr>
          <w:noProof/>
          <w:lang w:val="fr-FR"/>
        </w:rPr>
        <w:t xml:space="preserve">aux </w:t>
      </w:r>
      <w:r w:rsidR="001B2F58" w:rsidRPr="00DD03D6">
        <w:rPr>
          <w:noProof/>
          <w:lang w:val="fr-FR"/>
        </w:rPr>
        <w:t xml:space="preserve">philosophies </w:t>
      </w:r>
      <w:r w:rsidR="002B31E0">
        <w:rPr>
          <w:noProof/>
          <w:lang w:val="fr-FR"/>
        </w:rPr>
        <w:t xml:space="preserve">et programmes </w:t>
      </w:r>
      <w:r w:rsidR="002B31E0">
        <w:rPr>
          <w:noProof/>
          <w:lang w:val="fr-FR"/>
        </w:rPr>
        <w:lastRenderedPageBreak/>
        <w:t xml:space="preserve">différents axés sur l’éducation sociale et le développement personnel des jeunes : </w:t>
      </w:r>
      <w:r w:rsidR="001B2F58" w:rsidRPr="00DD03D6">
        <w:rPr>
          <w:noProof/>
          <w:lang w:val="fr-FR"/>
        </w:rPr>
        <w:t>11</w:t>
      </w:r>
      <w:r w:rsidR="002B31E0">
        <w:rPr>
          <w:noProof/>
          <w:lang w:val="fr-FR"/>
        </w:rPr>
        <w:t>,</w:t>
      </w:r>
      <w:r w:rsidR="001B2F58" w:rsidRPr="00DD03D6">
        <w:rPr>
          <w:noProof/>
          <w:lang w:val="fr-FR"/>
        </w:rPr>
        <w:t>051 million</w:t>
      </w:r>
      <w:r w:rsidR="002B31E0">
        <w:rPr>
          <w:noProof/>
          <w:lang w:val="fr-FR"/>
        </w:rPr>
        <w:t>s d’euros e</w:t>
      </w:r>
      <w:r w:rsidR="001B2F58" w:rsidRPr="00DD03D6">
        <w:rPr>
          <w:noProof/>
          <w:lang w:val="fr-FR"/>
        </w:rPr>
        <w:t>n 2012</w:t>
      </w:r>
      <w:r w:rsidR="0008097D" w:rsidRPr="00DD03D6">
        <w:rPr>
          <w:noProof/>
          <w:lang w:val="fr-FR"/>
        </w:rPr>
        <w:t>.</w:t>
      </w:r>
    </w:p>
    <w:p w:rsidR="001B2F58" w:rsidRPr="00DD03D6" w:rsidRDefault="002B31E0" w:rsidP="00650E3A">
      <w:pPr>
        <w:pStyle w:val="Bullet1G"/>
        <w:tabs>
          <w:tab w:val="clear" w:pos="1701"/>
          <w:tab w:val="left" w:pos="1843"/>
          <w:tab w:val="left" w:pos="6237"/>
        </w:tabs>
        <w:ind w:left="1843" w:hanging="142"/>
        <w:rPr>
          <w:noProof/>
          <w:lang w:val="fr-FR"/>
        </w:rPr>
      </w:pPr>
      <w:r>
        <w:rPr>
          <w:noProof/>
          <w:lang w:val="fr-FR"/>
        </w:rPr>
        <w:t>Projets spéciaux en faveur des jeunes</w:t>
      </w:r>
      <w:r w:rsidR="00962DB0">
        <w:rPr>
          <w:noProof/>
          <w:lang w:val="fr-FR"/>
        </w:rPr>
        <w:t xml:space="preserve"> </w:t>
      </w:r>
      <w:r w:rsidR="001B2F58" w:rsidRPr="00DD03D6">
        <w:rPr>
          <w:noProof/>
          <w:lang w:val="fr-FR"/>
        </w:rPr>
        <w:t xml:space="preserve">– </w:t>
      </w:r>
      <w:r>
        <w:rPr>
          <w:noProof/>
          <w:lang w:val="fr-FR"/>
        </w:rPr>
        <w:t>Une subvention est versée pour des projets extrascolaires s’adressant à des jeunes défavorisés</w:t>
      </w:r>
      <w:r w:rsidR="001B2F58" w:rsidRPr="00DD03D6">
        <w:rPr>
          <w:noProof/>
          <w:lang w:val="fr-FR"/>
        </w:rPr>
        <w:t xml:space="preserve">. </w:t>
      </w:r>
      <w:r>
        <w:rPr>
          <w:noProof/>
          <w:lang w:val="fr-FR"/>
        </w:rPr>
        <w:t>La priorité est accordée aux projets concernant des initiatives spéciales de travail avec les jeunes, les jeunes sans abri, les jeunes toxicomanes et les jeunes appartenant à la communauté des gens du voyage</w:t>
      </w:r>
      <w:r w:rsidR="001B2F58" w:rsidRPr="00DD03D6">
        <w:rPr>
          <w:noProof/>
          <w:lang w:val="fr-FR"/>
        </w:rPr>
        <w:t xml:space="preserve">. </w:t>
      </w:r>
      <w:r>
        <w:rPr>
          <w:noProof/>
          <w:lang w:val="fr-FR"/>
        </w:rPr>
        <w:t>E</w:t>
      </w:r>
      <w:r w:rsidR="001B2F58" w:rsidRPr="00DD03D6">
        <w:rPr>
          <w:noProof/>
          <w:lang w:val="fr-FR"/>
        </w:rPr>
        <w:t xml:space="preserve">n 2012, 181 projets </w:t>
      </w:r>
      <w:r>
        <w:rPr>
          <w:noProof/>
          <w:lang w:val="fr-FR"/>
        </w:rPr>
        <w:t>ont été financés à l’aide de ce mécanisme, à hauteur de </w:t>
      </w:r>
      <w:r w:rsidR="001B2F58" w:rsidRPr="00DD03D6">
        <w:rPr>
          <w:noProof/>
          <w:lang w:val="fr-FR"/>
        </w:rPr>
        <w:t>17</w:t>
      </w:r>
      <w:r>
        <w:rPr>
          <w:noProof/>
          <w:lang w:val="fr-FR"/>
        </w:rPr>
        <w:t>,</w:t>
      </w:r>
      <w:r w:rsidR="001B2F58" w:rsidRPr="00DD03D6">
        <w:rPr>
          <w:noProof/>
          <w:lang w:val="fr-FR"/>
        </w:rPr>
        <w:t>042 million</w:t>
      </w:r>
      <w:r>
        <w:rPr>
          <w:noProof/>
          <w:lang w:val="fr-FR"/>
        </w:rPr>
        <w:t>s d’euros</w:t>
      </w:r>
      <w:r w:rsidR="0008097D" w:rsidRPr="00DD03D6">
        <w:rPr>
          <w:noProof/>
          <w:lang w:val="fr-FR"/>
        </w:rPr>
        <w:t>.</w:t>
      </w:r>
    </w:p>
    <w:p w:rsidR="001B2F58" w:rsidRPr="00DD03D6" w:rsidRDefault="002B31E0" w:rsidP="00650E3A">
      <w:pPr>
        <w:pStyle w:val="Bullet1G"/>
        <w:tabs>
          <w:tab w:val="clear" w:pos="1701"/>
          <w:tab w:val="left" w:pos="1843"/>
          <w:tab w:val="left" w:pos="6237"/>
        </w:tabs>
        <w:ind w:left="1843" w:hanging="142"/>
        <w:rPr>
          <w:noProof/>
          <w:lang w:val="fr-FR"/>
        </w:rPr>
      </w:pPr>
      <w:r>
        <w:rPr>
          <w:noProof/>
          <w:lang w:val="fr-FR"/>
        </w:rPr>
        <w:t xml:space="preserve">Fonds pour les </w:t>
      </w:r>
      <w:r w:rsidR="00A43957">
        <w:rPr>
          <w:noProof/>
          <w:lang w:val="fr-FR"/>
        </w:rPr>
        <w:t>structure</w:t>
      </w:r>
      <w:r>
        <w:rPr>
          <w:noProof/>
          <w:lang w:val="fr-FR"/>
        </w:rPr>
        <w:t xml:space="preserve">s et les services destinés aux jeunes </w:t>
      </w:r>
      <w:r w:rsidR="001B2F58" w:rsidRPr="00DD03D6">
        <w:rPr>
          <w:noProof/>
          <w:lang w:val="fr-FR"/>
        </w:rPr>
        <w:t xml:space="preserve">– </w:t>
      </w:r>
      <w:r>
        <w:rPr>
          <w:noProof/>
          <w:lang w:val="fr-FR"/>
        </w:rPr>
        <w:t xml:space="preserve">Ce fonds a été créé par le Gouvernement en </w:t>
      </w:r>
      <w:r w:rsidR="001B2F58" w:rsidRPr="00DD03D6">
        <w:rPr>
          <w:noProof/>
          <w:lang w:val="fr-FR"/>
        </w:rPr>
        <w:t xml:space="preserve">1998 </w:t>
      </w:r>
      <w:r w:rsidR="00AB3C51" w:rsidRPr="003B4D3C">
        <w:rPr>
          <w:noProof/>
          <w:lang w:val="fr-FR"/>
        </w:rPr>
        <w:t xml:space="preserve">pour contribuer </w:t>
      </w:r>
      <w:r w:rsidR="00AB3C51">
        <w:rPr>
          <w:noProof/>
          <w:lang w:val="fr-FR"/>
        </w:rPr>
        <w:t xml:space="preserve">à l’élaboration ciblée de stratégies de prévention en </w:t>
      </w:r>
      <w:r w:rsidR="00AB3C51" w:rsidRPr="003B4D3C">
        <w:rPr>
          <w:noProof/>
          <w:lang w:val="fr-FR"/>
        </w:rPr>
        <w:t>développ</w:t>
      </w:r>
      <w:r w:rsidR="00AB3C51">
        <w:rPr>
          <w:noProof/>
          <w:lang w:val="fr-FR"/>
        </w:rPr>
        <w:t xml:space="preserve">ant </w:t>
      </w:r>
      <w:r w:rsidR="00AB3C51" w:rsidRPr="003B4D3C">
        <w:rPr>
          <w:noProof/>
          <w:lang w:val="fr-FR"/>
        </w:rPr>
        <w:t xml:space="preserve">des installations (y compris sportives et récréatives) et des services </w:t>
      </w:r>
      <w:r w:rsidR="00AB3C51">
        <w:rPr>
          <w:noProof/>
          <w:lang w:val="fr-FR"/>
        </w:rPr>
        <w:t xml:space="preserve">pour les jeunes </w:t>
      </w:r>
      <w:r w:rsidR="00AB3C51" w:rsidRPr="003B4D3C">
        <w:rPr>
          <w:noProof/>
          <w:lang w:val="fr-FR"/>
        </w:rPr>
        <w:t>dans les zones défavorisées, où la drogue représente ou peut représenter un problème important</w:t>
      </w:r>
      <w:r w:rsidR="001B2F58" w:rsidRPr="00DD03D6">
        <w:rPr>
          <w:noProof/>
          <w:lang w:val="fr-FR"/>
        </w:rPr>
        <w:t xml:space="preserve">. </w:t>
      </w:r>
      <w:r w:rsidR="00AB3C51">
        <w:rPr>
          <w:noProof/>
          <w:lang w:val="fr-FR"/>
        </w:rPr>
        <w:t xml:space="preserve">En 2012, </w:t>
      </w:r>
      <w:r w:rsidR="001B2F58" w:rsidRPr="00DD03D6">
        <w:rPr>
          <w:noProof/>
          <w:lang w:val="fr-FR"/>
        </w:rPr>
        <w:t xml:space="preserve">182 projets </w:t>
      </w:r>
      <w:r w:rsidR="00AB3C51">
        <w:rPr>
          <w:noProof/>
          <w:lang w:val="fr-FR"/>
        </w:rPr>
        <w:t>ont été fi</w:t>
      </w:r>
      <w:r w:rsidR="00C54463">
        <w:rPr>
          <w:noProof/>
          <w:lang w:val="fr-FR"/>
        </w:rPr>
        <w:t>na</w:t>
      </w:r>
      <w:r w:rsidR="00AB3C51">
        <w:rPr>
          <w:noProof/>
          <w:lang w:val="fr-FR"/>
        </w:rPr>
        <w:t xml:space="preserve">ncés, à hauteur de </w:t>
      </w:r>
      <w:r w:rsidR="001B2F58" w:rsidRPr="00DD03D6">
        <w:rPr>
          <w:noProof/>
          <w:lang w:val="fr-FR"/>
        </w:rPr>
        <w:t>21</w:t>
      </w:r>
      <w:r w:rsidR="00AB3C51">
        <w:rPr>
          <w:noProof/>
          <w:lang w:val="fr-FR"/>
        </w:rPr>
        <w:t>,</w:t>
      </w:r>
      <w:r w:rsidR="001B2F58" w:rsidRPr="00DD03D6">
        <w:rPr>
          <w:noProof/>
          <w:lang w:val="fr-FR"/>
        </w:rPr>
        <w:t>332 million</w:t>
      </w:r>
      <w:r w:rsidR="00AB3C51">
        <w:rPr>
          <w:noProof/>
          <w:lang w:val="fr-FR"/>
        </w:rPr>
        <w:t>s</w:t>
      </w:r>
      <w:r w:rsidR="001B2F58" w:rsidRPr="00DD03D6">
        <w:rPr>
          <w:noProof/>
          <w:lang w:val="fr-FR"/>
        </w:rPr>
        <w:t xml:space="preserve"> </w:t>
      </w:r>
      <w:r w:rsidR="00AB3C51">
        <w:rPr>
          <w:noProof/>
          <w:lang w:val="fr-FR"/>
        </w:rPr>
        <w:t>d’euros</w:t>
      </w:r>
      <w:r w:rsidR="0008097D" w:rsidRPr="00DD03D6">
        <w:rPr>
          <w:noProof/>
          <w:lang w:val="fr-FR"/>
        </w:rPr>
        <w:t>.</w:t>
      </w:r>
    </w:p>
    <w:p w:rsidR="001B2F58" w:rsidRPr="00DD03D6" w:rsidRDefault="00AB3C51" w:rsidP="000A5D9F">
      <w:pPr>
        <w:pStyle w:val="Bullet1G"/>
        <w:tabs>
          <w:tab w:val="clear" w:pos="1701"/>
          <w:tab w:val="left" w:pos="1843"/>
          <w:tab w:val="left" w:pos="6237"/>
        </w:tabs>
        <w:ind w:left="1843" w:hanging="142"/>
        <w:rPr>
          <w:noProof/>
          <w:lang w:val="fr-FR"/>
        </w:rPr>
      </w:pPr>
      <w:r>
        <w:rPr>
          <w:noProof/>
          <w:lang w:val="fr-FR"/>
        </w:rPr>
        <w:t xml:space="preserve">Programme de subventions aux clubs de jeunes locaux </w:t>
      </w:r>
      <w:r w:rsidR="001B2F58" w:rsidRPr="00DD03D6">
        <w:rPr>
          <w:noProof/>
          <w:lang w:val="fr-FR"/>
        </w:rPr>
        <w:t xml:space="preserve">– </w:t>
      </w:r>
      <w:r>
        <w:rPr>
          <w:noProof/>
          <w:lang w:val="fr-FR"/>
        </w:rPr>
        <w:t xml:space="preserve">Ce programme finance les activités de travail avec les jeunes au niveau </w:t>
      </w:r>
      <w:r w:rsidR="001B2F58" w:rsidRPr="00DD03D6">
        <w:rPr>
          <w:noProof/>
          <w:lang w:val="fr-FR"/>
        </w:rPr>
        <w:t xml:space="preserve">local. </w:t>
      </w:r>
      <w:r w:rsidR="00C54463">
        <w:rPr>
          <w:noProof/>
          <w:lang w:val="fr-FR"/>
        </w:rPr>
        <w:t>Les subventions sont mises à la disposition de tous les clubs et groupes de jeunes par l’intermédiaire des comités pour l’enseignement professionnel</w:t>
      </w:r>
      <w:r w:rsidR="001B2F58" w:rsidRPr="00DD03D6">
        <w:rPr>
          <w:noProof/>
          <w:lang w:val="fr-FR"/>
        </w:rPr>
        <w:t>.</w:t>
      </w:r>
      <w:r w:rsidR="00547E30">
        <w:rPr>
          <w:noProof/>
          <w:lang w:val="fr-FR"/>
        </w:rPr>
        <w:t xml:space="preserve"> </w:t>
      </w:r>
      <w:r w:rsidR="00C54463">
        <w:rPr>
          <w:noProof/>
          <w:lang w:val="fr-FR"/>
        </w:rPr>
        <w:t xml:space="preserve">Ce programme bénéficie à </w:t>
      </w:r>
      <w:r w:rsidR="001B2F58" w:rsidRPr="00DD03D6">
        <w:rPr>
          <w:noProof/>
          <w:lang w:val="fr-FR"/>
        </w:rPr>
        <w:t>1</w:t>
      </w:r>
      <w:r w:rsidR="000A5D9F">
        <w:rPr>
          <w:noProof/>
          <w:lang w:val="fr-FR"/>
        </w:rPr>
        <w:t> </w:t>
      </w:r>
      <w:r w:rsidR="001B2F58" w:rsidRPr="00DD03D6">
        <w:rPr>
          <w:noProof/>
          <w:lang w:val="fr-FR"/>
        </w:rPr>
        <w:t>60</w:t>
      </w:r>
      <w:r w:rsidR="0008097D" w:rsidRPr="00DD03D6">
        <w:rPr>
          <w:noProof/>
          <w:lang w:val="fr-FR"/>
        </w:rPr>
        <w:t xml:space="preserve">0 clubs </w:t>
      </w:r>
      <w:r w:rsidR="00C54463">
        <w:rPr>
          <w:noProof/>
          <w:lang w:val="fr-FR"/>
        </w:rPr>
        <w:t xml:space="preserve">de jeunes et a versé </w:t>
      </w:r>
      <w:r w:rsidR="001B2F58" w:rsidRPr="00DD03D6">
        <w:rPr>
          <w:noProof/>
          <w:lang w:val="fr-FR"/>
        </w:rPr>
        <w:t>1</w:t>
      </w:r>
      <w:r w:rsidR="00C54463">
        <w:rPr>
          <w:noProof/>
          <w:lang w:val="fr-FR"/>
        </w:rPr>
        <w:t>,</w:t>
      </w:r>
      <w:r w:rsidR="001B2F58" w:rsidRPr="00DD03D6">
        <w:rPr>
          <w:noProof/>
          <w:lang w:val="fr-FR"/>
        </w:rPr>
        <w:t xml:space="preserve">035 million </w:t>
      </w:r>
      <w:r w:rsidR="00C54463">
        <w:rPr>
          <w:noProof/>
          <w:lang w:val="fr-FR"/>
        </w:rPr>
        <w:t>e</w:t>
      </w:r>
      <w:r w:rsidR="001B2F58" w:rsidRPr="00DD03D6">
        <w:rPr>
          <w:noProof/>
          <w:lang w:val="fr-FR"/>
        </w:rPr>
        <w:t>n 2012</w:t>
      </w:r>
      <w:r w:rsidR="0008097D" w:rsidRPr="00DD03D6">
        <w:rPr>
          <w:noProof/>
          <w:lang w:val="fr-FR"/>
        </w:rPr>
        <w:t>.</w:t>
      </w:r>
    </w:p>
    <w:p w:rsidR="001B2F58" w:rsidRPr="00DD03D6" w:rsidRDefault="00C54463" w:rsidP="000A5D9F">
      <w:pPr>
        <w:pStyle w:val="Bullet1G"/>
        <w:tabs>
          <w:tab w:val="clear" w:pos="1701"/>
          <w:tab w:val="left" w:pos="1843"/>
          <w:tab w:val="left" w:pos="6237"/>
        </w:tabs>
        <w:ind w:left="1843" w:hanging="142"/>
        <w:rPr>
          <w:noProof/>
          <w:lang w:val="fr-FR"/>
        </w:rPr>
      </w:pPr>
      <w:r>
        <w:rPr>
          <w:noProof/>
          <w:lang w:val="fr-FR"/>
        </w:rPr>
        <w:t>Centres d’i</w:t>
      </w:r>
      <w:r w:rsidR="001B2F58" w:rsidRPr="00DD03D6">
        <w:rPr>
          <w:noProof/>
          <w:lang w:val="fr-FR"/>
        </w:rPr>
        <w:t xml:space="preserve">nformation </w:t>
      </w:r>
      <w:r>
        <w:rPr>
          <w:noProof/>
          <w:lang w:val="fr-FR"/>
        </w:rPr>
        <w:t xml:space="preserve">pour les jeunes </w:t>
      </w:r>
      <w:r w:rsidR="001B2F58" w:rsidRPr="00DD03D6">
        <w:rPr>
          <w:noProof/>
          <w:lang w:val="fr-FR"/>
        </w:rPr>
        <w:t xml:space="preserve">– </w:t>
      </w:r>
      <w:r>
        <w:rPr>
          <w:noProof/>
          <w:lang w:val="fr-FR"/>
        </w:rPr>
        <w:t>Des ressources sont fournies pour la mise en place d’un réseau de centres d’information pour les jeunes</w:t>
      </w:r>
      <w:r w:rsidR="001B2F58" w:rsidRPr="00DD03D6">
        <w:rPr>
          <w:noProof/>
          <w:lang w:val="fr-FR"/>
        </w:rPr>
        <w:t xml:space="preserve">. </w:t>
      </w:r>
      <w:r>
        <w:rPr>
          <w:noProof/>
          <w:lang w:val="fr-FR"/>
        </w:rPr>
        <w:t>Ces centres ont pour objet de faciliter l’accès des jeunes à l’</w:t>
      </w:r>
      <w:r w:rsidR="001B2F58" w:rsidRPr="00DD03D6">
        <w:rPr>
          <w:noProof/>
          <w:lang w:val="fr-FR"/>
        </w:rPr>
        <w:t xml:space="preserve">information </w:t>
      </w:r>
      <w:r>
        <w:rPr>
          <w:noProof/>
          <w:lang w:val="fr-FR"/>
        </w:rPr>
        <w:t>sur les droits</w:t>
      </w:r>
      <w:r w:rsidR="001B2F58" w:rsidRPr="00DD03D6">
        <w:rPr>
          <w:noProof/>
          <w:lang w:val="fr-FR"/>
        </w:rPr>
        <w:t xml:space="preserve">, </w:t>
      </w:r>
      <w:r>
        <w:rPr>
          <w:noProof/>
          <w:lang w:val="fr-FR"/>
        </w:rPr>
        <w:t>les possibilités, les avantages, la santé, la protection sociale et d’autres questions</w:t>
      </w:r>
      <w:r w:rsidR="001B2F58" w:rsidRPr="00DD03D6">
        <w:rPr>
          <w:noProof/>
          <w:lang w:val="fr-FR"/>
        </w:rPr>
        <w:t xml:space="preserve">. </w:t>
      </w:r>
      <w:r>
        <w:rPr>
          <w:noProof/>
          <w:lang w:val="fr-FR"/>
        </w:rPr>
        <w:t xml:space="preserve">En 2012, le programme a financé </w:t>
      </w:r>
      <w:r w:rsidR="001B2F58" w:rsidRPr="00DD03D6">
        <w:rPr>
          <w:noProof/>
          <w:lang w:val="fr-FR"/>
        </w:rPr>
        <w:t xml:space="preserve">28 </w:t>
      </w:r>
      <w:r>
        <w:rPr>
          <w:noProof/>
          <w:lang w:val="fr-FR"/>
        </w:rPr>
        <w:t xml:space="preserve">de ces centres, à hauteur de </w:t>
      </w:r>
      <w:r w:rsidR="001B2F58" w:rsidRPr="00DD03D6">
        <w:rPr>
          <w:noProof/>
          <w:lang w:val="fr-FR"/>
        </w:rPr>
        <w:t>1</w:t>
      </w:r>
      <w:r>
        <w:rPr>
          <w:noProof/>
          <w:lang w:val="fr-FR"/>
        </w:rPr>
        <w:t>,</w:t>
      </w:r>
      <w:r w:rsidR="001B2F58" w:rsidRPr="00DD03D6">
        <w:rPr>
          <w:noProof/>
          <w:lang w:val="fr-FR"/>
        </w:rPr>
        <w:t xml:space="preserve">4 million </w:t>
      </w:r>
      <w:r>
        <w:rPr>
          <w:noProof/>
          <w:lang w:val="fr-FR"/>
        </w:rPr>
        <w:t>d’euros</w:t>
      </w:r>
      <w:r w:rsidR="0008097D" w:rsidRPr="00DD03D6">
        <w:rPr>
          <w:noProof/>
          <w:lang w:val="fr-FR"/>
        </w:rPr>
        <w:t>.</w:t>
      </w:r>
    </w:p>
    <w:p w:rsidR="001B2F58" w:rsidRPr="00DD03D6" w:rsidRDefault="00C54463" w:rsidP="000A5D9F">
      <w:pPr>
        <w:pStyle w:val="Bullet1G"/>
        <w:tabs>
          <w:tab w:val="clear" w:pos="1701"/>
          <w:tab w:val="left" w:pos="1843"/>
          <w:tab w:val="left" w:pos="6237"/>
        </w:tabs>
        <w:ind w:left="1843" w:hanging="142"/>
        <w:rPr>
          <w:i/>
          <w:noProof/>
          <w:lang w:val="fr-FR"/>
        </w:rPr>
      </w:pPr>
      <w:r>
        <w:rPr>
          <w:noProof/>
          <w:lang w:val="fr-FR"/>
        </w:rPr>
        <w:t xml:space="preserve">Projets relatifs à des équipes spéciales locales de lutte contre la drogue </w:t>
      </w:r>
      <w:r w:rsidR="001B2F58" w:rsidRPr="00DD03D6">
        <w:rPr>
          <w:noProof/>
          <w:lang w:val="fr-FR"/>
        </w:rPr>
        <w:t xml:space="preserve">– </w:t>
      </w:r>
      <w:r w:rsidR="00B0285D">
        <w:rPr>
          <w:noProof/>
          <w:lang w:val="fr-FR"/>
        </w:rPr>
        <w:t>En janvier 2011, la r</w:t>
      </w:r>
      <w:r w:rsidR="00B0285D">
        <w:rPr>
          <w:iCs/>
          <w:noProof/>
          <w:lang w:val="fr-FR"/>
        </w:rPr>
        <w:t>esponsibilité de</w:t>
      </w:r>
      <w:r w:rsidR="001B2F58" w:rsidRPr="00DD03D6">
        <w:rPr>
          <w:iCs/>
          <w:noProof/>
          <w:lang w:val="fr-FR"/>
        </w:rPr>
        <w:t xml:space="preserve"> 21 </w:t>
      </w:r>
      <w:r w:rsidR="00B0285D">
        <w:rPr>
          <w:iCs/>
          <w:noProof/>
          <w:lang w:val="fr-FR"/>
        </w:rPr>
        <w:t xml:space="preserve">projets liés à la jeunesse a été transférée du Ministère de l’éducation et de la formation au </w:t>
      </w:r>
      <w:r w:rsidR="00962DB0">
        <w:rPr>
          <w:iCs/>
          <w:noProof/>
          <w:lang w:val="fr-FR"/>
        </w:rPr>
        <w:t>Cabinet de la M</w:t>
      </w:r>
      <w:r w:rsidR="00D8239B">
        <w:rPr>
          <w:iCs/>
          <w:noProof/>
          <w:lang w:val="fr-FR"/>
        </w:rPr>
        <w:t>inistre de l’enfance et de la jeunesse</w:t>
      </w:r>
      <w:r w:rsidR="001B2F58" w:rsidRPr="00DD03D6">
        <w:rPr>
          <w:noProof/>
          <w:lang w:val="fr-FR"/>
        </w:rPr>
        <w:t xml:space="preserve">. </w:t>
      </w:r>
      <w:r w:rsidR="00B0285D">
        <w:rPr>
          <w:noProof/>
          <w:lang w:val="fr-FR"/>
        </w:rPr>
        <w:t xml:space="preserve">Ces projets, qui s’adressent aux jeunes au titre des différents piliers de la </w:t>
      </w:r>
      <w:r w:rsidR="00607EFB">
        <w:rPr>
          <w:noProof/>
          <w:lang w:val="fr-FR"/>
        </w:rPr>
        <w:t>Stratégie n</w:t>
      </w:r>
      <w:r w:rsidR="001B2F58" w:rsidRPr="00DD03D6">
        <w:rPr>
          <w:noProof/>
          <w:lang w:val="fr-FR"/>
        </w:rPr>
        <w:t>ational</w:t>
      </w:r>
      <w:r w:rsidR="00607EFB">
        <w:rPr>
          <w:noProof/>
          <w:lang w:val="fr-FR"/>
        </w:rPr>
        <w:t>e en matière de drogues</w:t>
      </w:r>
      <w:r w:rsidR="001B2F58" w:rsidRPr="00DD03D6">
        <w:rPr>
          <w:noProof/>
          <w:lang w:val="fr-FR"/>
        </w:rPr>
        <w:t xml:space="preserve">, </w:t>
      </w:r>
      <w:r w:rsidR="00607EFB">
        <w:rPr>
          <w:noProof/>
          <w:lang w:val="fr-FR"/>
        </w:rPr>
        <w:t>fournissent diverses aides aux jeunes dans le cadre de programmes de prévention de la toxicomanie et de sensibilisation à ce problème, ainsi qu’un aiguillage</w:t>
      </w:r>
      <w:r w:rsidR="0008097D" w:rsidRPr="00DD03D6">
        <w:rPr>
          <w:noProof/>
          <w:lang w:val="fr-FR"/>
        </w:rPr>
        <w:t xml:space="preserve">. </w:t>
      </w:r>
      <w:r w:rsidR="00607EFB">
        <w:rPr>
          <w:noProof/>
          <w:lang w:val="fr-FR"/>
        </w:rPr>
        <w:t>En 2012</w:t>
      </w:r>
      <w:r w:rsidR="00962DB0">
        <w:rPr>
          <w:noProof/>
          <w:lang w:val="fr-FR"/>
        </w:rPr>
        <w:t>,</w:t>
      </w:r>
      <w:r w:rsidR="00607EFB">
        <w:rPr>
          <w:noProof/>
          <w:lang w:val="fr-FR"/>
        </w:rPr>
        <w:t xml:space="preserve"> </w:t>
      </w:r>
      <w:r w:rsidR="001B2F58" w:rsidRPr="00DD03D6">
        <w:rPr>
          <w:noProof/>
          <w:lang w:val="fr-FR"/>
        </w:rPr>
        <w:t>1</w:t>
      </w:r>
      <w:r w:rsidR="00607EFB">
        <w:rPr>
          <w:noProof/>
          <w:lang w:val="fr-FR"/>
        </w:rPr>
        <w:t>,</w:t>
      </w:r>
      <w:r w:rsidR="001B2F58" w:rsidRPr="00DD03D6">
        <w:rPr>
          <w:noProof/>
          <w:lang w:val="fr-FR"/>
        </w:rPr>
        <w:t xml:space="preserve">34 million </w:t>
      </w:r>
      <w:r w:rsidR="00607EFB">
        <w:rPr>
          <w:noProof/>
          <w:lang w:val="fr-FR"/>
        </w:rPr>
        <w:t xml:space="preserve">d’euros </w:t>
      </w:r>
      <w:r w:rsidR="00962DB0">
        <w:rPr>
          <w:noProof/>
          <w:lang w:val="fr-FR"/>
        </w:rPr>
        <w:t>ont</w:t>
      </w:r>
      <w:r w:rsidR="00607EFB">
        <w:rPr>
          <w:noProof/>
          <w:lang w:val="fr-FR"/>
        </w:rPr>
        <w:t xml:space="preserve"> été versé</w:t>
      </w:r>
      <w:r w:rsidR="00962DB0">
        <w:rPr>
          <w:noProof/>
          <w:lang w:val="fr-FR"/>
        </w:rPr>
        <w:t>s</w:t>
      </w:r>
      <w:r w:rsidR="00607EFB">
        <w:rPr>
          <w:noProof/>
          <w:lang w:val="fr-FR"/>
        </w:rPr>
        <w:t xml:space="preserve"> au titre de ces projets</w:t>
      </w:r>
      <w:r w:rsidR="0008097D" w:rsidRPr="00DD03D6">
        <w:rPr>
          <w:noProof/>
          <w:lang w:val="fr-FR"/>
        </w:rPr>
        <w:t>.</w:t>
      </w:r>
    </w:p>
    <w:p w:rsidR="001B2F58" w:rsidRPr="00DD03D6" w:rsidRDefault="000A5D9F" w:rsidP="000A5D9F">
      <w:pPr>
        <w:pStyle w:val="Bullet1G"/>
        <w:tabs>
          <w:tab w:val="clear" w:pos="1701"/>
          <w:tab w:val="left" w:pos="1843"/>
          <w:tab w:val="left" w:pos="6237"/>
        </w:tabs>
        <w:ind w:left="1843" w:hanging="142"/>
        <w:rPr>
          <w:i/>
          <w:iCs/>
          <w:noProof/>
          <w:lang w:val="fr-FR"/>
        </w:rPr>
      </w:pPr>
      <w:r>
        <w:rPr>
          <w:noProof/>
          <w:lang w:val="fr-FR"/>
        </w:rPr>
        <w:t> </w:t>
      </w:r>
      <w:r w:rsidR="001B2F58" w:rsidRPr="00DD03D6">
        <w:rPr>
          <w:noProof/>
          <w:lang w:val="fr-FR"/>
        </w:rPr>
        <w:t>An Gaisce</w:t>
      </w:r>
      <w:r>
        <w:rPr>
          <w:noProof/>
          <w:lang w:val="fr-FR"/>
        </w:rPr>
        <w:t> </w:t>
      </w:r>
      <w:r w:rsidR="001B2F58" w:rsidRPr="00DD03D6">
        <w:rPr>
          <w:noProof/>
          <w:lang w:val="fr-FR"/>
        </w:rPr>
        <w:t xml:space="preserve">: </w:t>
      </w:r>
      <w:r w:rsidR="00607EFB">
        <w:rPr>
          <w:noProof/>
          <w:lang w:val="fr-FR"/>
        </w:rPr>
        <w:t xml:space="preserve">Le Prix du </w:t>
      </w:r>
      <w:r w:rsidR="001B2F58" w:rsidRPr="00DD03D6">
        <w:rPr>
          <w:noProof/>
          <w:lang w:val="fr-FR"/>
        </w:rPr>
        <w:t>Pr</w:t>
      </w:r>
      <w:r w:rsidR="00607EFB">
        <w:rPr>
          <w:noProof/>
          <w:lang w:val="fr-FR"/>
        </w:rPr>
        <w:t>é</w:t>
      </w:r>
      <w:r w:rsidR="001B2F58" w:rsidRPr="00DD03D6">
        <w:rPr>
          <w:noProof/>
          <w:lang w:val="fr-FR"/>
        </w:rPr>
        <w:t>sident</w:t>
      </w:r>
      <w:r w:rsidR="00607EFB">
        <w:rPr>
          <w:noProof/>
          <w:lang w:val="fr-FR"/>
        </w:rPr>
        <w:t xml:space="preserve"> </w:t>
      </w:r>
      <w:r w:rsidR="001B2F58" w:rsidRPr="00DD03D6">
        <w:rPr>
          <w:noProof/>
          <w:lang w:val="fr-FR"/>
        </w:rPr>
        <w:t xml:space="preserve">– </w:t>
      </w:r>
      <w:r w:rsidR="00607EFB">
        <w:rPr>
          <w:noProof/>
          <w:lang w:val="fr-FR"/>
        </w:rPr>
        <w:t xml:space="preserve">En 2012, 0,690 million d’euros ont été versés pour financer ce </w:t>
      </w:r>
      <w:r w:rsidR="001B2F58" w:rsidRPr="00DD03D6">
        <w:rPr>
          <w:noProof/>
          <w:lang w:val="fr-FR"/>
        </w:rPr>
        <w:t xml:space="preserve">programme </w:t>
      </w:r>
      <w:r w:rsidR="00607EFB">
        <w:rPr>
          <w:noProof/>
          <w:lang w:val="fr-FR"/>
        </w:rPr>
        <w:t xml:space="preserve">d’octroi de distinctions </w:t>
      </w:r>
      <w:r w:rsidR="001C1A05">
        <w:rPr>
          <w:noProof/>
          <w:lang w:val="fr-FR"/>
        </w:rPr>
        <w:t xml:space="preserve">conçues pour faciliter le développement personnel par le biais d’une </w:t>
      </w:r>
      <w:r w:rsidR="001B2F58" w:rsidRPr="00DD03D6">
        <w:rPr>
          <w:noProof/>
          <w:lang w:val="fr-FR"/>
        </w:rPr>
        <w:t xml:space="preserve">participation </w:t>
      </w:r>
      <w:r w:rsidR="001C1A05">
        <w:rPr>
          <w:noProof/>
          <w:lang w:val="fr-FR"/>
        </w:rPr>
        <w:t>à une série d’épreuves servant à tester le sens de l’init</w:t>
      </w:r>
      <w:r w:rsidR="00FA6C98">
        <w:rPr>
          <w:noProof/>
          <w:lang w:val="fr-FR"/>
        </w:rPr>
        <w:t>i</w:t>
      </w:r>
      <w:r w:rsidR="001C1A05">
        <w:rPr>
          <w:noProof/>
          <w:lang w:val="fr-FR"/>
        </w:rPr>
        <w:t>ative</w:t>
      </w:r>
      <w:r w:rsidR="00FA6C98">
        <w:rPr>
          <w:noProof/>
          <w:lang w:val="fr-FR"/>
        </w:rPr>
        <w:t xml:space="preserve"> et</w:t>
      </w:r>
      <w:r w:rsidR="001C1A05">
        <w:rPr>
          <w:noProof/>
          <w:lang w:val="fr-FR"/>
        </w:rPr>
        <w:t xml:space="preserve"> la discipline </w:t>
      </w:r>
      <w:r w:rsidR="00FA6C98">
        <w:rPr>
          <w:noProof/>
          <w:lang w:val="fr-FR"/>
        </w:rPr>
        <w:t xml:space="preserve">d’un jeune </w:t>
      </w:r>
      <w:r w:rsidR="001C1A05">
        <w:rPr>
          <w:noProof/>
          <w:lang w:val="fr-FR"/>
        </w:rPr>
        <w:t xml:space="preserve">et </w:t>
      </w:r>
      <w:r w:rsidR="00FA6C98">
        <w:rPr>
          <w:noProof/>
          <w:lang w:val="fr-FR"/>
        </w:rPr>
        <w:t>s</w:t>
      </w:r>
      <w:r w:rsidR="001C1A05">
        <w:rPr>
          <w:noProof/>
          <w:lang w:val="fr-FR"/>
        </w:rPr>
        <w:t xml:space="preserve">es </w:t>
      </w:r>
      <w:r w:rsidR="00FA6C98">
        <w:rPr>
          <w:noProof/>
          <w:lang w:val="fr-FR"/>
        </w:rPr>
        <w:t>compétences en matière de soins</w:t>
      </w:r>
      <w:r w:rsidR="001B2F58" w:rsidRPr="00DD03D6">
        <w:rPr>
          <w:noProof/>
          <w:lang w:val="fr-FR"/>
        </w:rPr>
        <w:t xml:space="preserve">. </w:t>
      </w:r>
      <w:r w:rsidR="00FA6C98">
        <w:rPr>
          <w:noProof/>
          <w:lang w:val="fr-FR"/>
        </w:rPr>
        <w:t xml:space="preserve">Les participants ont été cette année-là au nombre de </w:t>
      </w:r>
      <w:r w:rsidR="0008097D" w:rsidRPr="00DD03D6">
        <w:rPr>
          <w:noProof/>
          <w:lang w:val="fr-FR"/>
        </w:rPr>
        <w:t>9</w:t>
      </w:r>
      <w:r w:rsidR="00FA6C98">
        <w:rPr>
          <w:noProof/>
          <w:lang w:val="fr-FR"/>
        </w:rPr>
        <w:t xml:space="preserve"> </w:t>
      </w:r>
      <w:r w:rsidR="0008097D" w:rsidRPr="00DD03D6">
        <w:rPr>
          <w:noProof/>
          <w:lang w:val="fr-FR"/>
        </w:rPr>
        <w:t>000.</w:t>
      </w:r>
    </w:p>
    <w:p w:rsidR="001B2F58" w:rsidRPr="00DD03D6" w:rsidRDefault="001B2F58" w:rsidP="000A5D9F">
      <w:pPr>
        <w:pStyle w:val="Bullet1G"/>
        <w:tabs>
          <w:tab w:val="clear" w:pos="1701"/>
          <w:tab w:val="left" w:pos="1843"/>
          <w:tab w:val="left" w:pos="6237"/>
        </w:tabs>
        <w:ind w:left="1843" w:hanging="142"/>
        <w:rPr>
          <w:i/>
          <w:iCs/>
          <w:noProof/>
          <w:lang w:val="fr-FR"/>
        </w:rPr>
      </w:pPr>
      <w:r w:rsidRPr="00DD03D6">
        <w:rPr>
          <w:noProof/>
          <w:lang w:val="fr-FR"/>
        </w:rPr>
        <w:t>Léargas</w:t>
      </w:r>
      <w:r w:rsidR="00FA6C98">
        <w:rPr>
          <w:noProof/>
          <w:lang w:val="fr-FR"/>
        </w:rPr>
        <w:t xml:space="preserve"> </w:t>
      </w:r>
      <w:r w:rsidRPr="00DD03D6">
        <w:rPr>
          <w:noProof/>
          <w:lang w:val="fr-FR"/>
        </w:rPr>
        <w:t xml:space="preserve">: </w:t>
      </w:r>
      <w:r w:rsidR="00FA6C98">
        <w:rPr>
          <w:noProof/>
          <w:lang w:val="fr-FR"/>
        </w:rPr>
        <w:t xml:space="preserve">Le </w:t>
      </w:r>
      <w:r w:rsidRPr="00DD03D6">
        <w:rPr>
          <w:noProof/>
          <w:lang w:val="fr-FR"/>
        </w:rPr>
        <w:t>Bureau</w:t>
      </w:r>
      <w:r w:rsidRPr="00DD03D6">
        <w:rPr>
          <w:i/>
          <w:iCs/>
          <w:noProof/>
          <w:lang w:val="fr-FR"/>
        </w:rPr>
        <w:t xml:space="preserve"> </w:t>
      </w:r>
      <w:r w:rsidR="00FA6C98">
        <w:rPr>
          <w:iCs/>
          <w:noProof/>
          <w:lang w:val="fr-FR"/>
        </w:rPr>
        <w:t xml:space="preserve">d’échange </w:t>
      </w:r>
      <w:r w:rsidRPr="00DD03D6">
        <w:rPr>
          <w:noProof/>
          <w:lang w:val="fr-FR"/>
        </w:rPr>
        <w:t xml:space="preserve">– </w:t>
      </w:r>
      <w:r w:rsidR="00FA6C98">
        <w:rPr>
          <w:noProof/>
          <w:lang w:val="fr-FR"/>
        </w:rPr>
        <w:t>Les programmes internationaux d’é</w:t>
      </w:r>
      <w:r w:rsidRPr="00DD03D6">
        <w:rPr>
          <w:noProof/>
          <w:lang w:val="fr-FR"/>
        </w:rPr>
        <w:t xml:space="preserve">change </w:t>
      </w:r>
      <w:r w:rsidR="00FA6C98">
        <w:rPr>
          <w:noProof/>
          <w:lang w:val="fr-FR"/>
        </w:rPr>
        <w:t xml:space="preserve">sont administrés au nom du Ministère de l’enfance et de la jeunesse par </w:t>
      </w:r>
      <w:r w:rsidRPr="00DD03D6">
        <w:rPr>
          <w:noProof/>
          <w:lang w:val="fr-FR"/>
        </w:rPr>
        <w:t xml:space="preserve">Léargas, </w:t>
      </w:r>
      <w:r w:rsidR="00FA6C98">
        <w:rPr>
          <w:noProof/>
          <w:lang w:val="fr-FR"/>
        </w:rPr>
        <w:t>l’Agence nationale irlandaise pour le Prog</w:t>
      </w:r>
      <w:r w:rsidR="00962DB0">
        <w:rPr>
          <w:noProof/>
          <w:lang w:val="fr-FR"/>
        </w:rPr>
        <w:t>r</w:t>
      </w:r>
      <w:r w:rsidR="00FA6C98">
        <w:rPr>
          <w:noProof/>
          <w:lang w:val="fr-FR"/>
        </w:rPr>
        <w:t xml:space="preserve">amme « Jeunesse en action » de l’UE pour </w:t>
      </w:r>
      <w:r w:rsidRPr="00DD03D6">
        <w:rPr>
          <w:noProof/>
          <w:lang w:val="fr-FR"/>
        </w:rPr>
        <w:t xml:space="preserve">2007-2013. Léargas </w:t>
      </w:r>
      <w:r w:rsidR="00FA6C98">
        <w:rPr>
          <w:noProof/>
          <w:lang w:val="fr-FR"/>
        </w:rPr>
        <w:t>administre également</w:t>
      </w:r>
      <w:r w:rsidRPr="00DD03D6">
        <w:rPr>
          <w:noProof/>
          <w:lang w:val="fr-FR"/>
        </w:rPr>
        <w:t xml:space="preserve"> </w:t>
      </w:r>
      <w:r w:rsidR="00A26596">
        <w:rPr>
          <w:noProof/>
          <w:lang w:val="fr-FR"/>
        </w:rPr>
        <w:t xml:space="preserve">le programme irlando-britannique </w:t>
      </w:r>
      <w:r w:rsidRPr="00DD03D6">
        <w:rPr>
          <w:noProof/>
          <w:lang w:val="fr-FR"/>
        </w:rPr>
        <w:t>Causewa</w:t>
      </w:r>
      <w:r w:rsidR="00A26596">
        <w:rPr>
          <w:noProof/>
          <w:lang w:val="fr-FR"/>
        </w:rPr>
        <w:t>y</w:t>
      </w:r>
      <w:r w:rsidR="0005407D" w:rsidRPr="00DD03D6">
        <w:rPr>
          <w:noProof/>
          <w:lang w:val="fr-FR"/>
        </w:rPr>
        <w:t>.</w:t>
      </w:r>
      <w:r w:rsidR="0008097D" w:rsidRPr="00DD03D6">
        <w:rPr>
          <w:noProof/>
          <w:lang w:val="fr-FR"/>
        </w:rPr>
        <w:t xml:space="preserve"> </w:t>
      </w:r>
      <w:r w:rsidR="00A26596">
        <w:rPr>
          <w:noProof/>
          <w:lang w:val="fr-FR"/>
        </w:rPr>
        <w:t xml:space="preserve">Les programmes internationaux d’échange ont été financés à hauteur de </w:t>
      </w:r>
      <w:r w:rsidRPr="00DD03D6">
        <w:rPr>
          <w:noProof/>
          <w:lang w:val="fr-FR"/>
        </w:rPr>
        <w:t>0</w:t>
      </w:r>
      <w:r w:rsidR="00A26596">
        <w:rPr>
          <w:noProof/>
          <w:lang w:val="fr-FR"/>
        </w:rPr>
        <w:t>,</w:t>
      </w:r>
      <w:r w:rsidRPr="00DD03D6">
        <w:rPr>
          <w:noProof/>
          <w:lang w:val="fr-FR"/>
        </w:rPr>
        <w:t xml:space="preserve">492 million </w:t>
      </w:r>
      <w:r w:rsidR="00A26596">
        <w:rPr>
          <w:noProof/>
          <w:lang w:val="fr-FR"/>
        </w:rPr>
        <w:t>d’euros e</w:t>
      </w:r>
      <w:r w:rsidRPr="00DD03D6">
        <w:rPr>
          <w:noProof/>
          <w:lang w:val="fr-FR"/>
        </w:rPr>
        <w:t>n 2012</w:t>
      </w:r>
      <w:r w:rsidR="0008097D" w:rsidRPr="00DD03D6">
        <w:rPr>
          <w:noProof/>
          <w:lang w:val="fr-FR"/>
        </w:rPr>
        <w:t>.</w:t>
      </w:r>
    </w:p>
    <w:p w:rsidR="001B2F58" w:rsidRPr="00DD03D6" w:rsidRDefault="00A26596" w:rsidP="000A5D9F">
      <w:pPr>
        <w:pStyle w:val="Bullet1G"/>
        <w:tabs>
          <w:tab w:val="clear" w:pos="1701"/>
          <w:tab w:val="left" w:pos="1843"/>
          <w:tab w:val="left" w:pos="6237"/>
        </w:tabs>
        <w:ind w:left="1843" w:hanging="142"/>
        <w:rPr>
          <w:i/>
          <w:iCs/>
          <w:noProof/>
          <w:lang w:val="fr-FR"/>
        </w:rPr>
      </w:pPr>
      <w:r>
        <w:rPr>
          <w:noProof/>
          <w:lang w:val="fr-FR"/>
        </w:rPr>
        <w:t>Programme national pour la santé des jeunes</w:t>
      </w:r>
      <w:r w:rsidR="00962DB0">
        <w:rPr>
          <w:noProof/>
          <w:lang w:val="fr-FR"/>
        </w:rPr>
        <w:t xml:space="preserve"> </w:t>
      </w:r>
      <w:r w:rsidR="001B2F58" w:rsidRPr="00DD03D6">
        <w:rPr>
          <w:noProof/>
          <w:lang w:val="fr-FR"/>
        </w:rPr>
        <w:t xml:space="preserve">– </w:t>
      </w:r>
      <w:r>
        <w:rPr>
          <w:noProof/>
          <w:lang w:val="fr-FR"/>
        </w:rPr>
        <w:t>Il s’agit d’un partenariat entre le Ministère de l’enfance et de la jeunesse, la Direction des services de santé et le Conseil national de la jeunesse d’Irlande qui vise à fournir un programme de soutien et de formation à la promotion/éducation sanitaire polyvalent et soup</w:t>
      </w:r>
      <w:r w:rsidR="00187AEB">
        <w:rPr>
          <w:noProof/>
          <w:lang w:val="fr-FR"/>
        </w:rPr>
        <w:t>le aux organisations de jeunes</w:t>
      </w:r>
      <w:r>
        <w:rPr>
          <w:noProof/>
          <w:lang w:val="fr-FR"/>
        </w:rPr>
        <w:t xml:space="preserve"> et aux personnes qui travaillent avec les jeunes dans le </w:t>
      </w:r>
      <w:r>
        <w:rPr>
          <w:noProof/>
          <w:lang w:val="fr-FR"/>
        </w:rPr>
        <w:lastRenderedPageBreak/>
        <w:t>secteur de l’éducation non formelle</w:t>
      </w:r>
      <w:r w:rsidR="0008097D" w:rsidRPr="00DD03D6">
        <w:rPr>
          <w:noProof/>
          <w:lang w:val="fr-FR"/>
        </w:rPr>
        <w:t xml:space="preserve">. </w:t>
      </w:r>
      <w:r>
        <w:rPr>
          <w:noProof/>
          <w:lang w:val="fr-FR"/>
        </w:rPr>
        <w:t xml:space="preserve">Ce programme a été financé à hauteur de </w:t>
      </w:r>
      <w:r w:rsidR="001B2F58" w:rsidRPr="00DD03D6">
        <w:rPr>
          <w:noProof/>
          <w:lang w:val="fr-FR"/>
        </w:rPr>
        <w:t>0</w:t>
      </w:r>
      <w:r>
        <w:rPr>
          <w:noProof/>
          <w:lang w:val="fr-FR"/>
        </w:rPr>
        <w:t>,</w:t>
      </w:r>
      <w:r w:rsidR="001B2F58" w:rsidRPr="00DD03D6">
        <w:rPr>
          <w:noProof/>
          <w:lang w:val="fr-FR"/>
        </w:rPr>
        <w:t xml:space="preserve">.088 million </w:t>
      </w:r>
      <w:r>
        <w:rPr>
          <w:noProof/>
          <w:lang w:val="fr-FR"/>
        </w:rPr>
        <w:t>d’euros e</w:t>
      </w:r>
      <w:r w:rsidR="001B2F58" w:rsidRPr="00DD03D6">
        <w:rPr>
          <w:noProof/>
          <w:lang w:val="fr-FR"/>
        </w:rPr>
        <w:t>n 2012</w:t>
      </w:r>
      <w:r w:rsidR="0005407D" w:rsidRPr="00DD03D6">
        <w:rPr>
          <w:noProof/>
          <w:lang w:val="fr-FR"/>
        </w:rPr>
        <w:t>.</w:t>
      </w:r>
    </w:p>
    <w:p w:rsidR="001B2F58" w:rsidRPr="00DD03D6" w:rsidRDefault="00664EA7" w:rsidP="000A5D9F">
      <w:pPr>
        <w:pStyle w:val="Bullet1G"/>
        <w:tabs>
          <w:tab w:val="clear" w:pos="1701"/>
          <w:tab w:val="left" w:pos="1843"/>
          <w:tab w:val="left" w:pos="6237"/>
        </w:tabs>
        <w:ind w:left="1843" w:hanging="142"/>
        <w:rPr>
          <w:noProof/>
          <w:lang w:val="fr-FR"/>
        </w:rPr>
      </w:pPr>
      <w:r>
        <w:rPr>
          <w:noProof/>
          <w:lang w:val="fr-FR"/>
        </w:rPr>
        <w:t xml:space="preserve">Programme artistique national pour la jeunesse </w:t>
      </w:r>
      <w:r w:rsidR="001B2F58" w:rsidRPr="00DD03D6">
        <w:rPr>
          <w:noProof/>
          <w:lang w:val="fr-FR"/>
        </w:rPr>
        <w:t xml:space="preserve">– </w:t>
      </w:r>
      <w:r>
        <w:rPr>
          <w:noProof/>
          <w:lang w:val="fr-FR"/>
        </w:rPr>
        <w:t>Il s’agit d’un partenariat entre le Ministère de l’enfance et de la jeunesse, le Conseil des arts et le Conseil national de la jeunesse d’Irlande</w:t>
      </w:r>
      <w:r w:rsidR="001B2F58" w:rsidRPr="00DD03D6">
        <w:rPr>
          <w:noProof/>
          <w:lang w:val="fr-FR"/>
        </w:rPr>
        <w:t xml:space="preserve">. </w:t>
      </w:r>
      <w:r>
        <w:rPr>
          <w:noProof/>
          <w:lang w:val="fr-FR"/>
        </w:rPr>
        <w:t>Il entend favoriser le développement des arts chez les jeunes Irlandais et vise en particulier à aider ces derniers à réaliser leur potentiel par le biais</w:t>
      </w:r>
      <w:r w:rsidR="00211703">
        <w:rPr>
          <w:noProof/>
          <w:lang w:val="fr-FR"/>
        </w:rPr>
        <w:t xml:space="preserve"> d’une pratique artistique de qualité</w:t>
      </w:r>
      <w:r w:rsidR="001B2F58" w:rsidRPr="00DD03D6">
        <w:rPr>
          <w:noProof/>
          <w:lang w:val="fr-FR"/>
        </w:rPr>
        <w:t>.</w:t>
      </w:r>
      <w:r w:rsidR="00E4251B" w:rsidRPr="00DD03D6">
        <w:rPr>
          <w:noProof/>
          <w:lang w:val="fr-FR"/>
        </w:rPr>
        <w:t xml:space="preserve"> </w:t>
      </w:r>
      <w:r w:rsidR="00211703">
        <w:rPr>
          <w:noProof/>
          <w:lang w:val="fr-FR"/>
        </w:rPr>
        <w:t xml:space="preserve">En 2012, </w:t>
      </w:r>
      <w:r w:rsidR="001B2F58" w:rsidRPr="00DD03D6">
        <w:rPr>
          <w:noProof/>
          <w:lang w:val="fr-FR"/>
        </w:rPr>
        <w:t>0</w:t>
      </w:r>
      <w:r w:rsidR="00211703">
        <w:rPr>
          <w:noProof/>
          <w:lang w:val="fr-FR"/>
        </w:rPr>
        <w:t>,</w:t>
      </w:r>
      <w:r w:rsidR="001B2F58" w:rsidRPr="00DD03D6">
        <w:rPr>
          <w:noProof/>
          <w:lang w:val="fr-FR"/>
        </w:rPr>
        <w:t xml:space="preserve">067 million </w:t>
      </w:r>
      <w:r w:rsidR="00211703">
        <w:rPr>
          <w:noProof/>
          <w:lang w:val="fr-FR"/>
        </w:rPr>
        <w:t>d’euros ont été consacrés à ce programme</w:t>
      </w:r>
      <w:r w:rsidR="0005407D" w:rsidRPr="00DD03D6">
        <w:rPr>
          <w:noProof/>
          <w:lang w:val="fr-FR"/>
        </w:rPr>
        <w:t>.</w:t>
      </w:r>
    </w:p>
    <w:p w:rsidR="001B2F58" w:rsidRPr="000A5D9F" w:rsidRDefault="00BA4DEB" w:rsidP="000C6F27">
      <w:pPr>
        <w:pStyle w:val="SingleTxtG"/>
        <w:numPr>
          <w:ilvl w:val="0"/>
          <w:numId w:val="3"/>
        </w:numPr>
        <w:ind w:left="1134" w:firstLine="0"/>
        <w:rPr>
          <w:noProof/>
          <w:u w:val="single"/>
          <w:lang w:val="fr-FR"/>
        </w:rPr>
      </w:pPr>
      <w:r>
        <w:rPr>
          <w:noProof/>
          <w:lang w:val="fr-FR"/>
        </w:rPr>
        <w:t xml:space="preserve">Ces dernières années, des progrès notables ont été réalisés dans un certain nombre de domaines </w:t>
      </w:r>
      <w:r w:rsidR="001B2F58" w:rsidRPr="00DD03D6">
        <w:rPr>
          <w:noProof/>
          <w:lang w:val="fr-FR"/>
        </w:rPr>
        <w:t>important</w:t>
      </w:r>
      <w:r w:rsidR="00187AEB">
        <w:rPr>
          <w:noProof/>
          <w:lang w:val="fr-FR"/>
        </w:rPr>
        <w:t>s</w:t>
      </w:r>
      <w:r w:rsidR="001B2F58" w:rsidRPr="00DD03D6">
        <w:rPr>
          <w:noProof/>
          <w:lang w:val="fr-FR"/>
        </w:rPr>
        <w:t xml:space="preserve"> </w:t>
      </w:r>
      <w:r>
        <w:rPr>
          <w:noProof/>
          <w:lang w:val="fr-FR"/>
        </w:rPr>
        <w:t>en ce qui concerne les services fournis à la jeunesse</w:t>
      </w:r>
      <w:r w:rsidR="000A5D9F">
        <w:rPr>
          <w:noProof/>
          <w:lang w:val="fr-FR"/>
        </w:rPr>
        <w:t> </w:t>
      </w:r>
      <w:r w:rsidR="001B2F58" w:rsidRPr="00DD03D6">
        <w:rPr>
          <w:noProof/>
          <w:lang w:val="fr-FR"/>
        </w:rPr>
        <w:t>:</w:t>
      </w:r>
    </w:p>
    <w:p w:rsidR="001B2F58" w:rsidRPr="00DD03D6" w:rsidRDefault="00187AEB" w:rsidP="00504415">
      <w:pPr>
        <w:pStyle w:val="Bullet1G"/>
        <w:tabs>
          <w:tab w:val="clear" w:pos="1701"/>
          <w:tab w:val="left" w:pos="1843"/>
          <w:tab w:val="left" w:pos="6237"/>
        </w:tabs>
        <w:ind w:left="1843" w:hanging="142"/>
        <w:rPr>
          <w:noProof/>
          <w:lang w:val="fr-FR"/>
        </w:rPr>
      </w:pPr>
      <w:r>
        <w:rPr>
          <w:noProof/>
          <w:lang w:val="fr-FR"/>
        </w:rPr>
        <w:t>Mise sur pied d’un Programme n</w:t>
      </w:r>
      <w:r w:rsidR="001B2F58" w:rsidRPr="00DD03D6">
        <w:rPr>
          <w:noProof/>
          <w:lang w:val="fr-FR"/>
        </w:rPr>
        <w:t xml:space="preserve">ational </w:t>
      </w:r>
      <w:r>
        <w:rPr>
          <w:noProof/>
          <w:lang w:val="fr-FR"/>
        </w:rPr>
        <w:t>de p</w:t>
      </w:r>
      <w:r w:rsidR="001B2F58" w:rsidRPr="00DD03D6">
        <w:rPr>
          <w:noProof/>
          <w:lang w:val="fr-FR"/>
        </w:rPr>
        <w:t xml:space="preserve">rotection </w:t>
      </w:r>
      <w:r>
        <w:rPr>
          <w:noProof/>
          <w:lang w:val="fr-FR"/>
        </w:rPr>
        <w:t>de l’enfance</w:t>
      </w:r>
      <w:r w:rsidR="001B2F58" w:rsidRPr="00DD03D6">
        <w:rPr>
          <w:noProof/>
          <w:lang w:val="fr-FR"/>
        </w:rPr>
        <w:t xml:space="preserve">, </w:t>
      </w:r>
      <w:r>
        <w:rPr>
          <w:noProof/>
          <w:lang w:val="fr-FR"/>
        </w:rPr>
        <w:t xml:space="preserve">qui coordonne les formations en matière de protection de l’enfance et aide nombre d’organisations de jeunes à élaborer des directives et des politiques dans ce domaine </w:t>
      </w:r>
      <w:r w:rsidR="001B2F58" w:rsidRPr="00DD03D6">
        <w:rPr>
          <w:noProof/>
          <w:lang w:val="fr-FR"/>
        </w:rPr>
        <w:t>(2005/2006).</w:t>
      </w:r>
    </w:p>
    <w:p w:rsidR="001B2F58" w:rsidRPr="00DD03D6" w:rsidRDefault="00187AEB" w:rsidP="00504415">
      <w:pPr>
        <w:pStyle w:val="Bullet1G"/>
        <w:tabs>
          <w:tab w:val="clear" w:pos="1701"/>
          <w:tab w:val="left" w:pos="1843"/>
          <w:tab w:val="left" w:pos="6237"/>
        </w:tabs>
        <w:ind w:left="1843" w:hanging="142"/>
        <w:rPr>
          <w:noProof/>
          <w:lang w:val="fr-FR"/>
        </w:rPr>
      </w:pPr>
      <w:r>
        <w:rPr>
          <w:noProof/>
          <w:lang w:val="fr-FR"/>
        </w:rPr>
        <w:t xml:space="preserve">Mise en place de l’examen par la </w:t>
      </w:r>
      <w:r w:rsidR="001B2F58" w:rsidRPr="00DD03D6">
        <w:rPr>
          <w:noProof/>
          <w:lang w:val="fr-FR"/>
        </w:rPr>
        <w:t xml:space="preserve">Garda </w:t>
      </w:r>
      <w:r>
        <w:rPr>
          <w:noProof/>
          <w:lang w:val="fr-FR"/>
        </w:rPr>
        <w:t xml:space="preserve">de tous les nouveaux </w:t>
      </w:r>
      <w:r w:rsidR="001B2F58" w:rsidRPr="00DD03D6">
        <w:rPr>
          <w:noProof/>
          <w:lang w:val="fr-FR"/>
        </w:rPr>
        <w:t>employ</w:t>
      </w:r>
      <w:r>
        <w:rPr>
          <w:noProof/>
          <w:lang w:val="fr-FR"/>
        </w:rPr>
        <w:t>é</w:t>
      </w:r>
      <w:r w:rsidR="001B2F58" w:rsidRPr="00DD03D6">
        <w:rPr>
          <w:noProof/>
          <w:lang w:val="fr-FR"/>
        </w:rPr>
        <w:t xml:space="preserve">s </w:t>
      </w:r>
      <w:r>
        <w:rPr>
          <w:noProof/>
          <w:lang w:val="fr-FR"/>
        </w:rPr>
        <w:t xml:space="preserve">et bénévoles travaillant dans le secteur du travail avec les jeunes </w:t>
      </w:r>
      <w:r w:rsidR="001B2F58" w:rsidRPr="00DD03D6">
        <w:rPr>
          <w:noProof/>
          <w:lang w:val="fr-FR"/>
        </w:rPr>
        <w:t>(2006).</w:t>
      </w:r>
    </w:p>
    <w:p w:rsidR="001B2F58" w:rsidRPr="00DD03D6" w:rsidRDefault="008D1151" w:rsidP="0022664C">
      <w:pPr>
        <w:pStyle w:val="Bullet1G"/>
        <w:tabs>
          <w:tab w:val="clear" w:pos="1701"/>
          <w:tab w:val="left" w:pos="1843"/>
          <w:tab w:val="left" w:pos="6237"/>
        </w:tabs>
        <w:ind w:left="1843" w:hanging="142"/>
        <w:rPr>
          <w:noProof/>
          <w:lang w:val="fr-FR"/>
        </w:rPr>
      </w:pPr>
      <w:r>
        <w:rPr>
          <w:bCs/>
          <w:noProof/>
          <w:lang w:val="fr-FR"/>
        </w:rPr>
        <w:t>Nomination d’un évaluateur n</w:t>
      </w:r>
      <w:r w:rsidR="001B2F58" w:rsidRPr="00DD03D6">
        <w:rPr>
          <w:bCs/>
          <w:noProof/>
          <w:lang w:val="fr-FR"/>
        </w:rPr>
        <w:t xml:space="preserve">ational </w:t>
      </w:r>
      <w:r>
        <w:rPr>
          <w:bCs/>
          <w:noProof/>
          <w:lang w:val="fr-FR"/>
        </w:rPr>
        <w:t xml:space="preserve">du travail avec les jeunes pour appuyer le développement de bonnes pratiques en matière de travail avec les jeunes par le biais de l’évaluation, du suivi et de la révision des programmes et services liés à ce type de travail fournis par le secteur associatif du travail avec les jeunes en Irlande </w:t>
      </w:r>
      <w:r w:rsidR="001B2F58" w:rsidRPr="00DD03D6">
        <w:rPr>
          <w:noProof/>
          <w:lang w:val="fr-FR"/>
        </w:rPr>
        <w:t>(2006).</w:t>
      </w:r>
    </w:p>
    <w:p w:rsidR="001B2F58" w:rsidRPr="00DD03D6" w:rsidRDefault="008920BF" w:rsidP="0022664C">
      <w:pPr>
        <w:pStyle w:val="Bullet1G"/>
        <w:tabs>
          <w:tab w:val="clear" w:pos="1701"/>
          <w:tab w:val="left" w:pos="1843"/>
          <w:tab w:val="left" w:pos="6237"/>
        </w:tabs>
        <w:ind w:left="1843" w:hanging="142"/>
        <w:rPr>
          <w:noProof/>
          <w:lang w:val="fr-FR"/>
        </w:rPr>
      </w:pPr>
      <w:r>
        <w:rPr>
          <w:noProof/>
          <w:lang w:val="fr-FR"/>
        </w:rPr>
        <w:t xml:space="preserve">Transformation de tous les projets confiés à une seule personne dans le cadre des projets </w:t>
      </w:r>
      <w:r w:rsidRPr="0022664C">
        <w:rPr>
          <w:bCs/>
          <w:noProof/>
          <w:lang w:val="fr-FR"/>
        </w:rPr>
        <w:t>spéciaux</w:t>
      </w:r>
      <w:r>
        <w:rPr>
          <w:noProof/>
          <w:lang w:val="fr-FR"/>
        </w:rPr>
        <w:t xml:space="preserve"> en faveur de la jeunesse du Ministère de l’enfance et de la jeunesse en projets confiés à deux personnes </w:t>
      </w:r>
      <w:r w:rsidR="001B2F58" w:rsidRPr="00DD03D6">
        <w:rPr>
          <w:noProof/>
          <w:lang w:val="fr-FR"/>
        </w:rPr>
        <w:t>(2006/2007).</w:t>
      </w:r>
    </w:p>
    <w:p w:rsidR="001B2F58" w:rsidRPr="00DD03D6" w:rsidRDefault="008920BF" w:rsidP="0022664C">
      <w:pPr>
        <w:pStyle w:val="Bullet1G"/>
        <w:tabs>
          <w:tab w:val="clear" w:pos="1701"/>
          <w:tab w:val="left" w:pos="1843"/>
          <w:tab w:val="left" w:pos="6237"/>
        </w:tabs>
        <w:ind w:left="1843" w:hanging="142"/>
        <w:rPr>
          <w:noProof/>
          <w:lang w:val="fr-FR"/>
        </w:rPr>
      </w:pPr>
      <w:r>
        <w:rPr>
          <w:noProof/>
          <w:lang w:val="fr-FR"/>
        </w:rPr>
        <w:t xml:space="preserve">Création d’un Comité </w:t>
      </w:r>
      <w:r w:rsidR="001B2F58" w:rsidRPr="00DD03D6">
        <w:rPr>
          <w:noProof/>
          <w:lang w:val="fr-FR"/>
        </w:rPr>
        <w:t>Nor</w:t>
      </w:r>
      <w:r>
        <w:rPr>
          <w:noProof/>
          <w:lang w:val="fr-FR"/>
        </w:rPr>
        <w:t xml:space="preserve">d-Sud des normes d’éducation et de formation concernant le travail avec les jeunes, </w:t>
      </w:r>
      <w:r w:rsidR="00F44AB0">
        <w:rPr>
          <w:noProof/>
          <w:lang w:val="fr-FR"/>
        </w:rPr>
        <w:t xml:space="preserve">chargé de l’homologation professionnelle de la formation au travail avec les jeunes au niveau de l’Irlande tout entière </w:t>
      </w:r>
      <w:r w:rsidR="001B2F58" w:rsidRPr="00DD03D6">
        <w:rPr>
          <w:noProof/>
          <w:lang w:val="fr-FR"/>
        </w:rPr>
        <w:t>(2006/2007).</w:t>
      </w:r>
    </w:p>
    <w:p w:rsidR="001B2F58" w:rsidRPr="00DD03D6" w:rsidRDefault="00F44AB0" w:rsidP="0022664C">
      <w:pPr>
        <w:pStyle w:val="Bullet1G"/>
        <w:tabs>
          <w:tab w:val="clear" w:pos="1701"/>
          <w:tab w:val="left" w:pos="1843"/>
          <w:tab w:val="left" w:pos="6237"/>
        </w:tabs>
        <w:ind w:left="1843" w:hanging="142"/>
        <w:rPr>
          <w:noProof/>
          <w:lang w:val="fr-FR"/>
        </w:rPr>
      </w:pPr>
      <w:r>
        <w:rPr>
          <w:noProof/>
          <w:lang w:val="fr-FR"/>
        </w:rPr>
        <w:t xml:space="preserve">Financement des comités pour l’enseignement professionnel régionaux pour leur </w:t>
      </w:r>
      <w:r w:rsidR="005575A0">
        <w:rPr>
          <w:noProof/>
          <w:lang w:val="fr-FR"/>
        </w:rPr>
        <w:t>pe</w:t>
      </w:r>
      <w:r>
        <w:rPr>
          <w:noProof/>
          <w:lang w:val="fr-FR"/>
        </w:rPr>
        <w:t xml:space="preserve">rmettre de nommer des </w:t>
      </w:r>
      <w:r w:rsidR="005575A0">
        <w:rPr>
          <w:noProof/>
          <w:lang w:val="fr-FR"/>
        </w:rPr>
        <w:t>agents chargés de la jeunesse pour coordonner et appuyer la prestation</w:t>
      </w:r>
      <w:r w:rsidR="00965DE9">
        <w:rPr>
          <w:noProof/>
          <w:lang w:val="fr-FR"/>
        </w:rPr>
        <w:t xml:space="preserve"> des services destinés aux jeunes au niveau </w:t>
      </w:r>
      <w:r w:rsidR="001B2F58" w:rsidRPr="00DD03D6">
        <w:rPr>
          <w:noProof/>
          <w:lang w:val="fr-FR"/>
        </w:rPr>
        <w:t>local (2006/2007).</w:t>
      </w:r>
    </w:p>
    <w:p w:rsidR="001B2F58" w:rsidRPr="00DD03D6" w:rsidRDefault="00965DE9" w:rsidP="0022664C">
      <w:pPr>
        <w:pStyle w:val="Bullet1G"/>
        <w:tabs>
          <w:tab w:val="clear" w:pos="1701"/>
          <w:tab w:val="left" w:pos="1843"/>
          <w:tab w:val="left" w:pos="6237"/>
        </w:tabs>
        <w:ind w:left="1843" w:hanging="142"/>
        <w:rPr>
          <w:noProof/>
          <w:lang w:val="fr-FR"/>
        </w:rPr>
      </w:pPr>
      <w:r>
        <w:rPr>
          <w:noProof/>
          <w:lang w:val="fr-FR"/>
        </w:rPr>
        <w:t>Nomination d’un Comité n</w:t>
      </w:r>
      <w:r w:rsidR="001B2F58" w:rsidRPr="00DD03D6">
        <w:rPr>
          <w:noProof/>
          <w:lang w:val="fr-FR"/>
        </w:rPr>
        <w:t xml:space="preserve">ational </w:t>
      </w:r>
      <w:r>
        <w:rPr>
          <w:noProof/>
          <w:lang w:val="fr-FR"/>
        </w:rPr>
        <w:t>consultatif pour le travail avec les jeunes</w:t>
      </w:r>
      <w:r w:rsidR="001B2F58" w:rsidRPr="00DD03D6">
        <w:rPr>
          <w:noProof/>
          <w:lang w:val="fr-FR"/>
        </w:rPr>
        <w:t xml:space="preserve">, </w:t>
      </w:r>
      <w:r>
        <w:rPr>
          <w:noProof/>
          <w:lang w:val="fr-FR"/>
        </w:rPr>
        <w:t>en vertu de la loi de 2011 sur le travail avec les enfants</w:t>
      </w:r>
      <w:r w:rsidR="001B2F58" w:rsidRPr="00DD03D6">
        <w:rPr>
          <w:noProof/>
          <w:lang w:val="fr-FR"/>
        </w:rPr>
        <w:t xml:space="preserve">, </w:t>
      </w:r>
      <w:r>
        <w:rPr>
          <w:noProof/>
          <w:lang w:val="fr-FR"/>
        </w:rPr>
        <w:t xml:space="preserve">pour fournir des avis au Ministre sur les questions liées aux politiques relatives au travail avec les enfants et à la prestation de services aux jeunes </w:t>
      </w:r>
      <w:r w:rsidR="001B2F58" w:rsidRPr="00DD03D6">
        <w:rPr>
          <w:noProof/>
          <w:lang w:val="fr-FR"/>
        </w:rPr>
        <w:t>(2007).</w:t>
      </w:r>
    </w:p>
    <w:p w:rsidR="001B2F58" w:rsidRPr="00DD03D6" w:rsidRDefault="001B2F58" w:rsidP="0022664C">
      <w:pPr>
        <w:pStyle w:val="Bullet1G"/>
        <w:tabs>
          <w:tab w:val="clear" w:pos="1701"/>
          <w:tab w:val="left" w:pos="1843"/>
          <w:tab w:val="left" w:pos="6237"/>
        </w:tabs>
        <w:ind w:left="1843" w:hanging="142"/>
        <w:rPr>
          <w:noProof/>
          <w:lang w:val="fr-FR"/>
        </w:rPr>
      </w:pPr>
      <w:r w:rsidRPr="00DD03D6">
        <w:rPr>
          <w:bCs/>
          <w:noProof/>
          <w:lang w:val="fr-FR"/>
        </w:rPr>
        <w:t>R</w:t>
      </w:r>
      <w:r w:rsidR="00965DE9">
        <w:rPr>
          <w:bCs/>
          <w:noProof/>
          <w:lang w:val="fr-FR"/>
        </w:rPr>
        <w:t>é</w:t>
      </w:r>
      <w:r w:rsidRPr="00DD03D6">
        <w:rPr>
          <w:bCs/>
          <w:noProof/>
          <w:lang w:val="fr-FR"/>
        </w:rPr>
        <w:t xml:space="preserve">vision </w:t>
      </w:r>
      <w:r w:rsidR="00965DE9">
        <w:rPr>
          <w:bCs/>
          <w:noProof/>
          <w:lang w:val="fr-FR"/>
        </w:rPr>
        <w:t xml:space="preserve">du </w:t>
      </w:r>
      <w:r w:rsidR="00965DE9">
        <w:rPr>
          <w:noProof/>
          <w:lang w:val="fr-FR"/>
        </w:rPr>
        <w:t xml:space="preserve">Programme de subventions aux clubs de jeunes locaux destinée à l’adapter aux </w:t>
      </w:r>
      <w:r w:rsidRPr="00DD03D6">
        <w:rPr>
          <w:noProof/>
          <w:lang w:val="fr-FR"/>
        </w:rPr>
        <w:t>r</w:t>
      </w:r>
      <w:r w:rsidR="00965DE9">
        <w:rPr>
          <w:noProof/>
          <w:lang w:val="fr-FR"/>
        </w:rPr>
        <w:t>é</w:t>
      </w:r>
      <w:r w:rsidRPr="00DD03D6">
        <w:rPr>
          <w:noProof/>
          <w:lang w:val="fr-FR"/>
        </w:rPr>
        <w:t>alit</w:t>
      </w:r>
      <w:r w:rsidR="00965DE9">
        <w:rPr>
          <w:noProof/>
          <w:lang w:val="fr-FR"/>
        </w:rPr>
        <w:t>é</w:t>
      </w:r>
      <w:r w:rsidRPr="00DD03D6">
        <w:rPr>
          <w:noProof/>
          <w:lang w:val="fr-FR"/>
        </w:rPr>
        <w:t xml:space="preserve">s </w:t>
      </w:r>
      <w:r w:rsidR="00965DE9">
        <w:rPr>
          <w:noProof/>
          <w:lang w:val="fr-FR"/>
        </w:rPr>
        <w:t xml:space="preserve">et aux problèmes pratiques qui sont ceux auxquels se heurtent les groupes locaux de jeunes bénévoles en matière d’activités destinées aux jeunes </w:t>
      </w:r>
      <w:r w:rsidRPr="00DD03D6">
        <w:rPr>
          <w:noProof/>
          <w:lang w:val="fr-FR"/>
        </w:rPr>
        <w:t>(2008/2009).</w:t>
      </w:r>
    </w:p>
    <w:p w:rsidR="001B2F58" w:rsidRPr="00DD03D6" w:rsidRDefault="00965DE9" w:rsidP="000C6F27">
      <w:pPr>
        <w:pStyle w:val="SingleTxtG"/>
        <w:numPr>
          <w:ilvl w:val="0"/>
          <w:numId w:val="3"/>
        </w:numPr>
        <w:ind w:left="1134" w:firstLine="0"/>
        <w:rPr>
          <w:noProof/>
          <w:lang w:val="fr-FR"/>
        </w:rPr>
      </w:pPr>
      <w:r>
        <w:rPr>
          <w:noProof/>
          <w:lang w:val="fr-FR"/>
        </w:rPr>
        <w:t>Un cadre n</w:t>
      </w:r>
      <w:r w:rsidR="001B2F58" w:rsidRPr="00DD03D6">
        <w:rPr>
          <w:noProof/>
          <w:lang w:val="fr-FR"/>
        </w:rPr>
        <w:t xml:space="preserve">ational </w:t>
      </w:r>
      <w:r>
        <w:rPr>
          <w:noProof/>
          <w:lang w:val="fr-FR"/>
        </w:rPr>
        <w:t xml:space="preserve">des normes de qualité concernant le travail avec les jeunes a été présenté en janvier </w:t>
      </w:r>
      <w:r w:rsidR="001B2F58" w:rsidRPr="00DD03D6">
        <w:rPr>
          <w:noProof/>
          <w:lang w:val="fr-FR"/>
        </w:rPr>
        <w:t xml:space="preserve">2011. </w:t>
      </w:r>
      <w:r>
        <w:rPr>
          <w:noProof/>
          <w:lang w:val="fr-FR"/>
        </w:rPr>
        <w:t xml:space="preserve">Il s’agit pour l’essentiel d’un </w:t>
      </w:r>
      <w:r w:rsidR="00B340D0">
        <w:rPr>
          <w:noProof/>
          <w:lang w:val="fr-FR"/>
        </w:rPr>
        <w:t xml:space="preserve">outil d’aide, de développement et d’évaluation qui permet aux </w:t>
      </w:r>
      <w:r w:rsidR="001B2F58" w:rsidRPr="00DD03D6">
        <w:rPr>
          <w:noProof/>
          <w:lang w:val="fr-FR"/>
        </w:rPr>
        <w:t xml:space="preserve">services </w:t>
      </w:r>
      <w:r w:rsidR="00B340D0">
        <w:rPr>
          <w:noProof/>
          <w:lang w:val="fr-FR"/>
        </w:rPr>
        <w:t xml:space="preserve">et aux </w:t>
      </w:r>
      <w:r w:rsidR="001B2F58" w:rsidRPr="00DD03D6">
        <w:rPr>
          <w:noProof/>
          <w:lang w:val="fr-FR"/>
        </w:rPr>
        <w:t xml:space="preserve">organisations </w:t>
      </w:r>
      <w:r w:rsidR="00B340D0">
        <w:rPr>
          <w:noProof/>
          <w:lang w:val="fr-FR"/>
        </w:rPr>
        <w:t>de donner une expression commune à leur pratique en matière de travail avec les enfants</w:t>
      </w:r>
      <w:r w:rsidR="001B2F58" w:rsidRPr="00DD03D6">
        <w:rPr>
          <w:noProof/>
          <w:lang w:val="fr-FR"/>
        </w:rPr>
        <w:t xml:space="preserve">. </w:t>
      </w:r>
      <w:r w:rsidR="00B340D0">
        <w:rPr>
          <w:noProof/>
          <w:lang w:val="fr-FR"/>
        </w:rPr>
        <w:t xml:space="preserve">La mise en œuvre de ce cadre améliore les bonnes pratiques et offre un meilleur rapport qualité-prix, et aide les organisations </w:t>
      </w:r>
      <w:r w:rsidR="000A010E">
        <w:rPr>
          <w:noProof/>
          <w:lang w:val="fr-FR"/>
        </w:rPr>
        <w:t>et les services qui travaillent avec les jeunes à répondre aux besoins de développement de ces derniers dans un</w:t>
      </w:r>
      <w:r w:rsidR="001B2F58" w:rsidRPr="00DD03D6">
        <w:rPr>
          <w:noProof/>
          <w:lang w:val="fr-FR"/>
        </w:rPr>
        <w:t xml:space="preserve">e </w:t>
      </w:r>
      <w:r w:rsidR="000A010E">
        <w:rPr>
          <w:noProof/>
          <w:lang w:val="fr-FR"/>
        </w:rPr>
        <w:t>mesure encore plus grande et d’une manière plus rentable</w:t>
      </w:r>
      <w:r w:rsidR="001B2F58" w:rsidRPr="00DD03D6">
        <w:rPr>
          <w:noProof/>
          <w:lang w:val="fr-FR"/>
        </w:rPr>
        <w:t>.</w:t>
      </w:r>
    </w:p>
    <w:p w:rsidR="001B2F58" w:rsidRPr="00DD03D6" w:rsidRDefault="00A40575" w:rsidP="000C6F27">
      <w:pPr>
        <w:pStyle w:val="SingleTxtG"/>
        <w:numPr>
          <w:ilvl w:val="0"/>
          <w:numId w:val="3"/>
        </w:numPr>
        <w:ind w:left="1134" w:firstLine="0"/>
        <w:rPr>
          <w:noProof/>
          <w:lang w:val="fr-FR"/>
        </w:rPr>
      </w:pPr>
      <w:r>
        <w:rPr>
          <w:noProof/>
          <w:lang w:val="fr-FR"/>
        </w:rPr>
        <w:lastRenderedPageBreak/>
        <w:t>Ayant défini, par le biais du cadre susvisé, des normes nationales concernant les projets et les organisations liés au travail avec les enfants effectué par du personnel rémunéré, le Ministère de l’enfance et de la jeunesse s’emploie actuellement à finaliser les normes applicables aux groupes de jeunes locaux à l’intention des clubs et groupes de jeunes dirigés par des bénévoles et financés par son Service de la jeunesse</w:t>
      </w:r>
      <w:r w:rsidR="001B2F58" w:rsidRPr="00DD03D6">
        <w:rPr>
          <w:noProof/>
          <w:lang w:val="fr-FR"/>
        </w:rPr>
        <w:t>.</w:t>
      </w:r>
    </w:p>
    <w:p w:rsidR="001B2F58" w:rsidRPr="00DD03D6" w:rsidRDefault="00B728D4" w:rsidP="000C6F27">
      <w:pPr>
        <w:pStyle w:val="SingleTxtG"/>
        <w:numPr>
          <w:ilvl w:val="0"/>
          <w:numId w:val="3"/>
        </w:numPr>
        <w:ind w:left="1134" w:firstLine="0"/>
        <w:rPr>
          <w:noProof/>
          <w:lang w:val="fr-FR"/>
        </w:rPr>
      </w:pPr>
      <w:r>
        <w:rPr>
          <w:noProof/>
          <w:lang w:val="fr-FR"/>
        </w:rPr>
        <w:t>Les normes concernant les clubs de jeunes auront deux objectifs principaux : aider ces clubs à créer et fournir des programmes et des activités de qualité permettant aux jeunes de se développer dans des cadres sécurisés et favorables</w:t>
      </w:r>
      <w:r w:rsidR="001B2F58" w:rsidRPr="00DD03D6">
        <w:rPr>
          <w:noProof/>
          <w:lang w:val="fr-FR"/>
        </w:rPr>
        <w:t xml:space="preserve">, </w:t>
      </w:r>
      <w:r>
        <w:rPr>
          <w:noProof/>
          <w:lang w:val="fr-FR"/>
        </w:rPr>
        <w:t>et veiller à assurer un lien et une continuité avec les normes applicables à la prestation de services destinés aux jeunes par du personnel rémunéré</w:t>
      </w:r>
      <w:r w:rsidR="001B2F58" w:rsidRPr="00DD03D6">
        <w:rPr>
          <w:noProof/>
          <w:lang w:val="fr-FR"/>
        </w:rPr>
        <w:t>.</w:t>
      </w:r>
    </w:p>
    <w:p w:rsidR="001B2F58" w:rsidRPr="00DD03D6" w:rsidRDefault="00B728D4" w:rsidP="000C6F27">
      <w:pPr>
        <w:pStyle w:val="SingleTxtG"/>
        <w:numPr>
          <w:ilvl w:val="0"/>
          <w:numId w:val="3"/>
        </w:numPr>
        <w:ind w:left="1134" w:firstLine="0"/>
        <w:rPr>
          <w:noProof/>
          <w:lang w:val="fr-FR"/>
        </w:rPr>
      </w:pPr>
      <w:r>
        <w:rPr>
          <w:noProof/>
          <w:lang w:val="fr-FR"/>
        </w:rPr>
        <w:t>Le Ministère de l’enfance et de la jeunesse a entrepris de recenser les besoins en matière d’aide à la formation découlant de ses initiatives concernant les normes de qualité et prévoit d’établir un calendrier de formation coordonné pour répondre aux besoins de toutes les organisations dans ce domaine</w:t>
      </w:r>
      <w:r w:rsidR="001B2F58" w:rsidRPr="00DD03D6">
        <w:rPr>
          <w:noProof/>
          <w:lang w:val="fr-FR"/>
        </w:rPr>
        <w:t>.</w:t>
      </w:r>
    </w:p>
    <w:p w:rsidR="001B2F58" w:rsidRPr="00DD03D6" w:rsidRDefault="00E4251B" w:rsidP="00280D2A">
      <w:pPr>
        <w:pStyle w:val="HChG"/>
        <w:rPr>
          <w:noProof/>
          <w:lang w:val="fr-FR"/>
        </w:rPr>
      </w:pPr>
      <w:bookmarkStart w:id="64" w:name="_Toc356430896"/>
      <w:r w:rsidRPr="00DD03D6">
        <w:rPr>
          <w:noProof/>
          <w:lang w:val="fr-FR"/>
        </w:rPr>
        <w:tab/>
      </w:r>
      <w:r w:rsidR="005742D3" w:rsidRPr="00DD03D6">
        <w:rPr>
          <w:noProof/>
          <w:lang w:val="fr-FR"/>
        </w:rPr>
        <w:t>VIII</w:t>
      </w:r>
      <w:r w:rsidR="001B2F58" w:rsidRPr="00DD03D6">
        <w:rPr>
          <w:noProof/>
          <w:lang w:val="fr-FR"/>
        </w:rPr>
        <w:t>.</w:t>
      </w:r>
      <w:r w:rsidR="001B2F58" w:rsidRPr="00DD03D6">
        <w:rPr>
          <w:noProof/>
          <w:lang w:val="fr-FR"/>
        </w:rPr>
        <w:tab/>
      </w:r>
      <w:bookmarkEnd w:id="64"/>
      <w:r w:rsidR="00B728D4">
        <w:rPr>
          <w:noProof/>
          <w:lang w:val="fr-FR"/>
        </w:rPr>
        <w:t xml:space="preserve">Mesures de </w:t>
      </w:r>
      <w:r w:rsidR="00B728D4" w:rsidRPr="00DD03D6">
        <w:rPr>
          <w:noProof/>
          <w:lang w:val="fr-FR"/>
        </w:rPr>
        <w:t xml:space="preserve">protection </w:t>
      </w:r>
      <w:r w:rsidR="00B728D4">
        <w:rPr>
          <w:noProof/>
          <w:lang w:val="fr-FR"/>
        </w:rPr>
        <w:t>spéciales</w:t>
      </w:r>
    </w:p>
    <w:p w:rsidR="001B2F58" w:rsidRPr="00DD03D6" w:rsidRDefault="003A25D4" w:rsidP="000C6F27">
      <w:pPr>
        <w:pStyle w:val="SingleTxtG"/>
        <w:numPr>
          <w:ilvl w:val="0"/>
          <w:numId w:val="3"/>
        </w:numPr>
        <w:ind w:left="1134" w:firstLine="0"/>
        <w:rPr>
          <w:noProof/>
          <w:lang w:val="fr-FR"/>
        </w:rPr>
      </w:pPr>
      <w:r>
        <w:rPr>
          <w:noProof/>
          <w:lang w:val="fr-FR"/>
        </w:rPr>
        <w:t>Un certain nombre de mesures relevant de la protection spéciale ont été décrites dans d’autres parties du présent rapport</w:t>
      </w:r>
      <w:r w:rsidR="001B2F58" w:rsidRPr="00DD03D6">
        <w:rPr>
          <w:noProof/>
          <w:lang w:val="fr-FR"/>
        </w:rPr>
        <w:t xml:space="preserve">. </w:t>
      </w:r>
      <w:r>
        <w:rPr>
          <w:noProof/>
          <w:lang w:val="fr-FR"/>
        </w:rPr>
        <w:t xml:space="preserve">La présente </w:t>
      </w:r>
      <w:r w:rsidR="00796A7C" w:rsidRPr="00DD03D6">
        <w:rPr>
          <w:noProof/>
          <w:lang w:val="fr-FR"/>
        </w:rPr>
        <w:t xml:space="preserve">section </w:t>
      </w:r>
      <w:r>
        <w:rPr>
          <w:noProof/>
          <w:lang w:val="fr-FR"/>
        </w:rPr>
        <w:t xml:space="preserve">fournit des </w:t>
      </w:r>
      <w:r w:rsidR="001B2F58" w:rsidRPr="00DD03D6">
        <w:rPr>
          <w:noProof/>
          <w:lang w:val="fr-FR"/>
        </w:rPr>
        <w:t>information</w:t>
      </w:r>
      <w:r>
        <w:rPr>
          <w:noProof/>
          <w:lang w:val="fr-FR"/>
        </w:rPr>
        <w:t>s</w:t>
      </w:r>
      <w:r w:rsidR="001B2F58" w:rsidRPr="00DD03D6">
        <w:rPr>
          <w:noProof/>
          <w:lang w:val="fr-FR"/>
        </w:rPr>
        <w:t xml:space="preserve"> </w:t>
      </w:r>
      <w:r>
        <w:rPr>
          <w:noProof/>
          <w:lang w:val="fr-FR"/>
        </w:rPr>
        <w:t>sur d’autres mesures de protection spéciales</w:t>
      </w:r>
      <w:r w:rsidR="001B2F58" w:rsidRPr="00DD03D6">
        <w:rPr>
          <w:noProof/>
          <w:lang w:val="fr-FR"/>
        </w:rPr>
        <w:t>.</w:t>
      </w:r>
    </w:p>
    <w:p w:rsidR="001B2F58" w:rsidRPr="00DD03D6" w:rsidRDefault="000C6F27" w:rsidP="0005407D">
      <w:pPr>
        <w:pStyle w:val="H1G"/>
        <w:rPr>
          <w:noProof/>
          <w:lang w:val="fr-FR"/>
        </w:rPr>
      </w:pPr>
      <w:bookmarkStart w:id="65" w:name="_Toc356430897"/>
      <w:r w:rsidRPr="00DD03D6">
        <w:rPr>
          <w:noProof/>
          <w:lang w:val="fr-FR"/>
        </w:rPr>
        <w:tab/>
      </w:r>
      <w:r w:rsidR="001B2F58" w:rsidRPr="00DD03D6">
        <w:rPr>
          <w:noProof/>
          <w:lang w:val="fr-FR"/>
        </w:rPr>
        <w:t>A.</w:t>
      </w:r>
      <w:r w:rsidR="001B2F58" w:rsidRPr="00DD03D6">
        <w:rPr>
          <w:noProof/>
          <w:lang w:val="fr-FR"/>
        </w:rPr>
        <w:tab/>
      </w:r>
      <w:r w:rsidR="003A25D4">
        <w:rPr>
          <w:lang w:val="fr-FR"/>
        </w:rPr>
        <w:t xml:space="preserve">Enfants qui, se trouvant en dehors de leur pays d’origine, demandent </w:t>
      </w:r>
      <w:r w:rsidR="0022664C">
        <w:rPr>
          <w:lang w:val="fr-FR"/>
        </w:rPr>
        <w:br/>
      </w:r>
      <w:r w:rsidR="003A25D4">
        <w:rPr>
          <w:lang w:val="fr-FR"/>
        </w:rPr>
        <w:t>le statut de réfugié, enfants non accompagnés, enfants déplacés, enfants migrants et enfants touchés par les migrations</w:t>
      </w:r>
      <w:r w:rsidR="003A25D4" w:rsidRPr="00DD03D6">
        <w:rPr>
          <w:noProof/>
          <w:lang w:val="fr-FR"/>
        </w:rPr>
        <w:t xml:space="preserve"> </w:t>
      </w:r>
      <w:bookmarkEnd w:id="65"/>
    </w:p>
    <w:p w:rsidR="001B2F58" w:rsidRPr="00DD03D6" w:rsidRDefault="00A12824" w:rsidP="000C6F27">
      <w:pPr>
        <w:pStyle w:val="SingleTxtG"/>
        <w:numPr>
          <w:ilvl w:val="0"/>
          <w:numId w:val="3"/>
        </w:numPr>
        <w:ind w:left="1134" w:firstLine="0"/>
        <w:rPr>
          <w:noProof/>
          <w:lang w:val="fr-FR"/>
        </w:rPr>
      </w:pPr>
      <w:r>
        <w:rPr>
          <w:noProof/>
          <w:lang w:val="fr-FR" w:eastAsia="en-GB"/>
        </w:rPr>
        <w:t xml:space="preserve">Le </w:t>
      </w:r>
      <w:r w:rsidRPr="00AC0D1B">
        <w:rPr>
          <w:noProof/>
          <w:color w:val="000000"/>
          <w:lang w:val="fr-FR"/>
        </w:rPr>
        <w:t>Bureau du commissaire aux demandes de statut de réfugié</w:t>
      </w:r>
      <w:r>
        <w:rPr>
          <w:noProof/>
          <w:color w:val="000000"/>
          <w:lang w:val="fr-FR"/>
        </w:rPr>
        <w:t xml:space="preserve"> et le</w:t>
      </w:r>
      <w:r w:rsidRPr="00DD03D6">
        <w:rPr>
          <w:noProof/>
          <w:lang w:val="fr-FR" w:eastAsia="en-GB"/>
        </w:rPr>
        <w:t xml:space="preserve"> Tribunal </w:t>
      </w:r>
      <w:r>
        <w:rPr>
          <w:noProof/>
          <w:lang w:val="fr-FR" w:eastAsia="en-GB"/>
        </w:rPr>
        <w:t xml:space="preserve">d’appel des réfugiés </w:t>
      </w:r>
      <w:r w:rsidRPr="00DD03D6">
        <w:rPr>
          <w:noProof/>
          <w:lang w:val="fr-FR" w:eastAsia="en-GB"/>
        </w:rPr>
        <w:t>continue</w:t>
      </w:r>
      <w:r>
        <w:rPr>
          <w:noProof/>
          <w:lang w:val="fr-FR" w:eastAsia="en-GB"/>
        </w:rPr>
        <w:t>nt de collaborer avec d’autres organismes pour faire en sorte que toutes les procédures liées à une demande d’asile prennent en considération l’intérêt supérieur de l’enfant</w:t>
      </w:r>
      <w:r w:rsidRPr="00DD03D6">
        <w:rPr>
          <w:noProof/>
          <w:lang w:val="fr-FR" w:eastAsia="en-GB"/>
        </w:rPr>
        <w:t xml:space="preserve">. </w:t>
      </w:r>
      <w:r>
        <w:rPr>
          <w:noProof/>
          <w:lang w:val="fr-FR" w:eastAsia="en-GB"/>
        </w:rPr>
        <w:t>Des réunions régulières se tiennent avec la Direction des services de santé et le Service d’assistance juridique aux réfugiés afin de traiter les cas des mineurs non accompagnés et de régler les problèmes pratiques qui peuvent se présenter</w:t>
      </w:r>
      <w:r w:rsidR="001B2F58" w:rsidRPr="00DD03D6">
        <w:rPr>
          <w:noProof/>
          <w:lang w:val="fr-FR"/>
        </w:rPr>
        <w:t>.</w:t>
      </w:r>
    </w:p>
    <w:p w:rsidR="001B2F58" w:rsidRPr="00DD03D6" w:rsidRDefault="00A12824" w:rsidP="005D7533">
      <w:pPr>
        <w:pStyle w:val="SingleTxtG"/>
        <w:numPr>
          <w:ilvl w:val="0"/>
          <w:numId w:val="3"/>
        </w:numPr>
        <w:ind w:left="1134" w:firstLine="0"/>
        <w:rPr>
          <w:noProof/>
          <w:lang w:val="fr-FR"/>
        </w:rPr>
      </w:pPr>
      <w:r>
        <w:rPr>
          <w:noProof/>
          <w:lang w:val="fr-FR" w:eastAsia="en-GB"/>
        </w:rPr>
        <w:t xml:space="preserve">Des dispositions ont été prises pour obtenir la présence d’un travailleur </w:t>
      </w:r>
      <w:r w:rsidRPr="00DD03D6">
        <w:rPr>
          <w:noProof/>
          <w:lang w:val="fr-FR" w:eastAsia="en-GB"/>
        </w:rPr>
        <w:t xml:space="preserve">social </w:t>
      </w:r>
      <w:r>
        <w:rPr>
          <w:noProof/>
          <w:lang w:val="fr-FR" w:eastAsia="en-GB"/>
        </w:rPr>
        <w:t>au stade de l’entretien dans les affaires de demandeurs d’asile mineurs qui atteignent leur dix-huitième anniversaire pendant la procédure d’appel</w:t>
      </w:r>
      <w:r w:rsidRPr="00DD03D6">
        <w:rPr>
          <w:noProof/>
          <w:lang w:val="fr-FR" w:eastAsia="en-GB"/>
        </w:rPr>
        <w:t xml:space="preserve">. </w:t>
      </w:r>
      <w:r>
        <w:rPr>
          <w:noProof/>
          <w:lang w:val="fr-FR" w:eastAsia="en-GB"/>
        </w:rPr>
        <w:t>Chaque fois que cela est possible</w:t>
      </w:r>
      <w:r w:rsidRPr="00DD03D6">
        <w:rPr>
          <w:noProof/>
          <w:lang w:val="fr-FR" w:eastAsia="en-GB"/>
        </w:rPr>
        <w:t xml:space="preserve">, </w:t>
      </w:r>
      <w:r>
        <w:rPr>
          <w:noProof/>
          <w:lang w:val="fr-FR" w:eastAsia="en-GB"/>
        </w:rPr>
        <w:t>c’est un membre du tribunal spécialement formé pour s’occuper des enfants séparés qui procédera à leur audition</w:t>
      </w:r>
      <w:r w:rsidR="001B2F58" w:rsidRPr="00DD03D6">
        <w:rPr>
          <w:noProof/>
          <w:lang w:val="fr-FR"/>
        </w:rPr>
        <w:t>.</w:t>
      </w:r>
    </w:p>
    <w:p w:rsidR="001B2F58" w:rsidRPr="00DD03D6" w:rsidRDefault="00A12824" w:rsidP="002C58C8">
      <w:pPr>
        <w:pStyle w:val="SingleTxtG"/>
        <w:numPr>
          <w:ilvl w:val="0"/>
          <w:numId w:val="3"/>
        </w:numPr>
        <w:ind w:left="1134" w:firstLine="0"/>
        <w:rPr>
          <w:noProof/>
          <w:lang w:val="fr-FR"/>
        </w:rPr>
      </w:pPr>
      <w:r>
        <w:rPr>
          <w:noProof/>
          <w:lang w:val="fr-FR"/>
        </w:rPr>
        <w:t>Les s</w:t>
      </w:r>
      <w:r w:rsidR="001B2F58" w:rsidRPr="00DD03D6">
        <w:rPr>
          <w:noProof/>
          <w:lang w:val="fr-FR"/>
        </w:rPr>
        <w:t xml:space="preserve">ervices </w:t>
      </w:r>
      <w:r>
        <w:rPr>
          <w:noProof/>
          <w:lang w:val="fr-FR"/>
        </w:rPr>
        <w:t xml:space="preserve">destinés aux mineurs non accompagnés qui arrivent dans l’agglomération de </w:t>
      </w:r>
      <w:r w:rsidR="001B2F58" w:rsidRPr="00DD03D6">
        <w:rPr>
          <w:noProof/>
          <w:lang w:val="fr-FR"/>
        </w:rPr>
        <w:t xml:space="preserve">Dublin </w:t>
      </w:r>
      <w:r>
        <w:rPr>
          <w:noProof/>
          <w:lang w:val="fr-FR"/>
        </w:rPr>
        <w:t xml:space="preserve">sont assurés par l’équipe de travailleurs sociaux </w:t>
      </w:r>
      <w:r w:rsidR="00A87056">
        <w:rPr>
          <w:noProof/>
          <w:lang w:val="fr-FR"/>
        </w:rPr>
        <w:t>qui s’occupe des enfants séparés demandeurs d’asile de la Direction des services de santé</w:t>
      </w:r>
      <w:r w:rsidR="001B2F58" w:rsidRPr="00DD03D6">
        <w:rPr>
          <w:noProof/>
          <w:lang w:val="fr-FR"/>
        </w:rPr>
        <w:t xml:space="preserve">, </w:t>
      </w:r>
      <w:r w:rsidR="00A87056">
        <w:rPr>
          <w:noProof/>
          <w:lang w:val="fr-FR"/>
        </w:rPr>
        <w:t xml:space="preserve">en concertation avec les agences d’aide sociale communautaire, </w:t>
      </w:r>
      <w:r w:rsidR="00A92FA0">
        <w:rPr>
          <w:noProof/>
          <w:lang w:val="fr-FR"/>
        </w:rPr>
        <w:t>les</w:t>
      </w:r>
      <w:r w:rsidR="00A87056">
        <w:rPr>
          <w:noProof/>
          <w:lang w:val="fr-FR"/>
        </w:rPr>
        <w:t xml:space="preserve"> services psychologiques et </w:t>
      </w:r>
      <w:r w:rsidR="00A92FA0">
        <w:rPr>
          <w:noProof/>
          <w:lang w:val="fr-FR"/>
        </w:rPr>
        <w:t>d’</w:t>
      </w:r>
      <w:r w:rsidR="00A87056">
        <w:rPr>
          <w:noProof/>
          <w:lang w:val="fr-FR"/>
        </w:rPr>
        <w:t>autres agences</w:t>
      </w:r>
      <w:r w:rsidR="001B2F58" w:rsidRPr="00DD03D6">
        <w:rPr>
          <w:noProof/>
          <w:lang w:val="fr-FR"/>
        </w:rPr>
        <w:t xml:space="preserve">. </w:t>
      </w:r>
      <w:r w:rsidR="00A87056">
        <w:rPr>
          <w:noProof/>
          <w:lang w:val="fr-FR"/>
        </w:rPr>
        <w:t xml:space="preserve">Les enfants qui ne rejoignent pas leur famille sont pris en charge par la Direction, à titre volontaire ou à la suite d’une </w:t>
      </w:r>
      <w:r w:rsidR="00A92FA0">
        <w:rPr>
          <w:noProof/>
          <w:lang w:val="fr-FR"/>
        </w:rPr>
        <w:t xml:space="preserve">décision </w:t>
      </w:r>
      <w:r w:rsidR="00A87056">
        <w:rPr>
          <w:noProof/>
          <w:lang w:val="fr-FR"/>
        </w:rPr>
        <w:t>de justice rendue en vertu de la loi de 1991 sur la protection de l’enfance</w:t>
      </w:r>
      <w:r w:rsidR="001B2F58" w:rsidRPr="00DD03D6">
        <w:rPr>
          <w:noProof/>
          <w:lang w:val="fr-FR"/>
        </w:rPr>
        <w:t>.</w:t>
      </w:r>
    </w:p>
    <w:p w:rsidR="001B2F58" w:rsidRDefault="00A87056" w:rsidP="000C6F27">
      <w:pPr>
        <w:pStyle w:val="SingleTxtG"/>
        <w:numPr>
          <w:ilvl w:val="0"/>
          <w:numId w:val="3"/>
        </w:numPr>
        <w:ind w:left="1134" w:firstLine="0"/>
        <w:rPr>
          <w:noProof/>
          <w:lang w:val="fr-FR"/>
        </w:rPr>
      </w:pPr>
      <w:r>
        <w:rPr>
          <w:noProof/>
          <w:lang w:val="fr-FR"/>
        </w:rPr>
        <w:t>La Direction des services de santé met en œuvre la politique d’égalité des soins de façon que les enfants</w:t>
      </w:r>
      <w:r w:rsidR="001D4126">
        <w:rPr>
          <w:noProof/>
          <w:lang w:val="fr-FR"/>
        </w:rPr>
        <w:t xml:space="preserve"> et </w:t>
      </w:r>
      <w:r w:rsidR="007C2746">
        <w:rPr>
          <w:noProof/>
          <w:lang w:val="fr-FR"/>
        </w:rPr>
        <w:t xml:space="preserve">les </w:t>
      </w:r>
      <w:r w:rsidR="001D4126">
        <w:rPr>
          <w:noProof/>
          <w:lang w:val="fr-FR"/>
        </w:rPr>
        <w:t>jeunes qui ne sont pas ressortissants irlandais aient accès à des soins de la même qualité que ceux dont bénéficient les ressortissants</w:t>
      </w:r>
      <w:r w:rsidR="001B2F58" w:rsidRPr="00DD03D6">
        <w:rPr>
          <w:noProof/>
          <w:lang w:val="fr-FR"/>
        </w:rPr>
        <w:t xml:space="preserve">. </w:t>
      </w:r>
      <w:r w:rsidR="001D4126">
        <w:rPr>
          <w:noProof/>
          <w:lang w:val="fr-FR"/>
        </w:rPr>
        <w:t>Les possibilités de placement</w:t>
      </w:r>
      <w:r w:rsidR="007C2746">
        <w:rPr>
          <w:noProof/>
          <w:lang w:val="fr-FR"/>
        </w:rPr>
        <w:t xml:space="preserve"> approprié</w:t>
      </w:r>
      <w:r w:rsidR="001D4126">
        <w:rPr>
          <w:noProof/>
          <w:lang w:val="fr-FR"/>
        </w:rPr>
        <w:t xml:space="preserve"> dans </w:t>
      </w:r>
      <w:r w:rsidR="007C2746">
        <w:rPr>
          <w:noProof/>
          <w:lang w:val="fr-FR"/>
        </w:rPr>
        <w:t>une famille</w:t>
      </w:r>
      <w:r w:rsidR="001D4126">
        <w:rPr>
          <w:noProof/>
          <w:lang w:val="fr-FR"/>
        </w:rPr>
        <w:t xml:space="preserve"> d’accueil sont </w:t>
      </w:r>
      <w:r w:rsidR="00A92FA0">
        <w:rPr>
          <w:noProof/>
          <w:lang w:val="fr-FR"/>
        </w:rPr>
        <w:t xml:space="preserve">en cours de </w:t>
      </w:r>
      <w:r w:rsidR="001D4126">
        <w:rPr>
          <w:noProof/>
          <w:lang w:val="fr-FR"/>
        </w:rPr>
        <w:t>recens</w:t>
      </w:r>
      <w:r w:rsidR="00A92FA0">
        <w:rPr>
          <w:noProof/>
          <w:lang w:val="fr-FR"/>
        </w:rPr>
        <w:t>ement</w:t>
      </w:r>
      <w:r w:rsidR="001D4126">
        <w:rPr>
          <w:noProof/>
          <w:lang w:val="fr-FR"/>
        </w:rPr>
        <w:t xml:space="preserve"> et </w:t>
      </w:r>
      <w:r w:rsidR="009A6F1E">
        <w:rPr>
          <w:noProof/>
          <w:lang w:val="fr-FR"/>
        </w:rPr>
        <w:t xml:space="preserve">l’on s’emploie à </w:t>
      </w:r>
      <w:r w:rsidR="007C2746">
        <w:rPr>
          <w:noProof/>
          <w:lang w:val="fr-FR"/>
        </w:rPr>
        <w:t>apparier les enfants avec les familles d’accueil</w:t>
      </w:r>
      <w:r w:rsidR="001B2F58" w:rsidRPr="00DD03D6">
        <w:rPr>
          <w:noProof/>
          <w:lang w:val="fr-FR"/>
        </w:rPr>
        <w:t xml:space="preserve">. </w:t>
      </w:r>
      <w:r w:rsidR="007C2746">
        <w:rPr>
          <w:noProof/>
          <w:lang w:val="fr-FR"/>
        </w:rPr>
        <w:t xml:space="preserve">Le service que la Direction des services de santé assure pour les enfants séparés demandeurs d’asile s’est considérablement </w:t>
      </w:r>
      <w:r w:rsidR="007C2746">
        <w:rPr>
          <w:noProof/>
          <w:lang w:val="fr-FR"/>
        </w:rPr>
        <w:lastRenderedPageBreak/>
        <w:t xml:space="preserve">développé depuis </w:t>
      </w:r>
      <w:r w:rsidR="001B2F58" w:rsidRPr="00DD03D6">
        <w:rPr>
          <w:noProof/>
          <w:lang w:val="fr-FR"/>
        </w:rPr>
        <w:t xml:space="preserve">2009 </w:t>
      </w:r>
      <w:r w:rsidR="007C2746">
        <w:rPr>
          <w:noProof/>
          <w:lang w:val="fr-FR"/>
        </w:rPr>
        <w:t xml:space="preserve">et est actuellement considéré comme un </w:t>
      </w:r>
      <w:r w:rsidR="001B2F58" w:rsidRPr="00DD03D6">
        <w:rPr>
          <w:noProof/>
          <w:lang w:val="fr-FR"/>
        </w:rPr>
        <w:t xml:space="preserve">excellent service, </w:t>
      </w:r>
      <w:r w:rsidR="007C2746">
        <w:rPr>
          <w:noProof/>
          <w:lang w:val="fr-FR"/>
        </w:rPr>
        <w:t>les soins et l’appui qu’il fournit aux enfants étant de grande qualité</w:t>
      </w:r>
      <w:r w:rsidR="001B2F58" w:rsidRPr="00DD03D6">
        <w:rPr>
          <w:noProof/>
          <w:lang w:val="fr-FR"/>
        </w:rPr>
        <w:t>.</w:t>
      </w:r>
    </w:p>
    <w:p w:rsidR="001B2F58" w:rsidRPr="00DD03D6" w:rsidRDefault="007C2746" w:rsidP="000C6F27">
      <w:pPr>
        <w:pStyle w:val="SingleTxtG"/>
        <w:numPr>
          <w:ilvl w:val="0"/>
          <w:numId w:val="3"/>
        </w:numPr>
        <w:ind w:left="1134" w:firstLine="0"/>
        <w:rPr>
          <w:noProof/>
          <w:lang w:val="fr-FR"/>
        </w:rPr>
      </w:pPr>
      <w:r>
        <w:rPr>
          <w:noProof/>
          <w:lang w:val="fr-FR"/>
        </w:rPr>
        <w:t xml:space="preserve">Les mineurs non accompagnés âgés de plus de </w:t>
      </w:r>
      <w:r w:rsidR="001B2F58" w:rsidRPr="00DD03D6">
        <w:rPr>
          <w:noProof/>
          <w:lang w:val="fr-FR"/>
        </w:rPr>
        <w:t xml:space="preserve">18 </w:t>
      </w:r>
      <w:r>
        <w:rPr>
          <w:noProof/>
          <w:lang w:val="fr-FR"/>
        </w:rPr>
        <w:t xml:space="preserve">ans qui ne fréquentent pas une école secondaire sont logés par le système de prestation directe de </w:t>
      </w:r>
      <w:r>
        <w:rPr>
          <w:noProof/>
          <w:color w:val="000000"/>
          <w:lang w:val="fr-FR"/>
        </w:rPr>
        <w:t>l</w:t>
      </w:r>
      <w:r w:rsidRPr="009275C6">
        <w:rPr>
          <w:noProof/>
          <w:color w:val="000000"/>
          <w:lang w:val="fr-FR"/>
        </w:rPr>
        <w:t xml:space="preserve">’Agence </w:t>
      </w:r>
      <w:r>
        <w:rPr>
          <w:noProof/>
          <w:color w:val="000000"/>
          <w:lang w:val="fr-FR"/>
        </w:rPr>
        <w:t>pour l’accueil et l’intégration</w:t>
      </w:r>
      <w:r w:rsidR="001B2F58" w:rsidRPr="00DD03D6">
        <w:rPr>
          <w:bCs/>
          <w:noProof/>
          <w:lang w:val="fr-FR"/>
        </w:rPr>
        <w:t xml:space="preserve">. </w:t>
      </w:r>
      <w:r>
        <w:rPr>
          <w:bCs/>
          <w:noProof/>
          <w:lang w:val="fr-FR"/>
        </w:rPr>
        <w:t xml:space="preserve">Les jeunes de plus de </w:t>
      </w:r>
      <w:r w:rsidR="001B2F58" w:rsidRPr="00DD03D6">
        <w:rPr>
          <w:noProof/>
          <w:lang w:val="fr-FR"/>
        </w:rPr>
        <w:t xml:space="preserve">18 </w:t>
      </w:r>
      <w:r>
        <w:rPr>
          <w:noProof/>
          <w:lang w:val="fr-FR"/>
        </w:rPr>
        <w:t>ans qui font des études sont pris en charge par les services d’hébergement de l’Agence à Dublin</w:t>
      </w:r>
      <w:r w:rsidR="00377DC9">
        <w:rPr>
          <w:noProof/>
          <w:lang w:val="fr-FR"/>
        </w:rPr>
        <w:t xml:space="preserve"> j</w:t>
      </w:r>
      <w:r>
        <w:rPr>
          <w:noProof/>
          <w:lang w:val="fr-FR"/>
        </w:rPr>
        <w:t>u</w:t>
      </w:r>
      <w:r w:rsidR="00377DC9">
        <w:rPr>
          <w:noProof/>
          <w:lang w:val="fr-FR"/>
        </w:rPr>
        <w:t>s</w:t>
      </w:r>
      <w:r>
        <w:rPr>
          <w:noProof/>
          <w:lang w:val="fr-FR"/>
        </w:rPr>
        <w:t>qu’à la fin de l’année scolaire correspondante</w:t>
      </w:r>
      <w:r w:rsidR="001B2F58" w:rsidRPr="00DD03D6">
        <w:rPr>
          <w:noProof/>
          <w:lang w:val="fr-FR"/>
        </w:rPr>
        <w:t>.</w:t>
      </w:r>
    </w:p>
    <w:p w:rsidR="001B2F58" w:rsidRPr="00DD03D6" w:rsidRDefault="007C2746" w:rsidP="002C58C8">
      <w:pPr>
        <w:pStyle w:val="SingleTxtG"/>
        <w:numPr>
          <w:ilvl w:val="0"/>
          <w:numId w:val="3"/>
        </w:numPr>
        <w:ind w:left="1134" w:firstLine="0"/>
        <w:rPr>
          <w:noProof/>
          <w:lang w:val="fr-FR"/>
        </w:rPr>
      </w:pPr>
      <w:r>
        <w:rPr>
          <w:noProof/>
          <w:lang w:val="fr-FR"/>
        </w:rPr>
        <w:t xml:space="preserve">Le Programme d’accès </w:t>
      </w:r>
      <w:r w:rsidR="005649DA">
        <w:rPr>
          <w:noProof/>
          <w:lang w:val="fr-FR"/>
        </w:rPr>
        <w:t xml:space="preserve">des enfants séparés </w:t>
      </w:r>
      <w:r>
        <w:rPr>
          <w:noProof/>
          <w:lang w:val="fr-FR"/>
        </w:rPr>
        <w:t xml:space="preserve">aux services </w:t>
      </w:r>
      <w:r w:rsidR="005649DA">
        <w:rPr>
          <w:noProof/>
          <w:lang w:val="fr-FR"/>
        </w:rPr>
        <w:t xml:space="preserve">du Comité pour l’enseignement professionnel de la ville de Dublin est </w:t>
      </w:r>
      <w:r w:rsidR="00137469">
        <w:rPr>
          <w:noProof/>
          <w:lang w:val="fr-FR"/>
        </w:rPr>
        <w:t xml:space="preserve">un </w:t>
      </w:r>
      <w:r w:rsidR="001B2F58" w:rsidRPr="00DD03D6">
        <w:rPr>
          <w:noProof/>
          <w:lang w:val="fr-FR"/>
        </w:rPr>
        <w:t xml:space="preserve">service </w:t>
      </w:r>
      <w:r w:rsidR="00137469">
        <w:rPr>
          <w:noProof/>
          <w:lang w:val="fr-FR"/>
        </w:rPr>
        <w:t>destiné aux enfants séparés nouvellement arrivés qui leur donne l’occasion de s’intégrer en Irlande et dans le système éducatif dans un milieu protégé et favorable</w:t>
      </w:r>
      <w:r w:rsidR="001B2F58" w:rsidRPr="00DD03D6">
        <w:rPr>
          <w:noProof/>
          <w:lang w:val="fr-FR"/>
        </w:rPr>
        <w:t xml:space="preserve">. </w:t>
      </w:r>
      <w:r w:rsidR="00137469">
        <w:rPr>
          <w:noProof/>
          <w:lang w:val="fr-FR"/>
        </w:rPr>
        <w:t xml:space="preserve">Ce programme regroupe les services suivants : le programme d’accès à l’éducation </w:t>
      </w:r>
      <w:r w:rsidR="001B2F58" w:rsidRPr="00DD03D6">
        <w:rPr>
          <w:noProof/>
          <w:lang w:val="fr-FR"/>
        </w:rPr>
        <w:t>(</w:t>
      </w:r>
      <w:r w:rsidR="00137469">
        <w:rPr>
          <w:noProof/>
          <w:lang w:val="fr-FR"/>
        </w:rPr>
        <w:t xml:space="preserve">voir les </w:t>
      </w:r>
      <w:r w:rsidR="00C3370E" w:rsidRPr="00DD03D6">
        <w:rPr>
          <w:noProof/>
          <w:lang w:val="fr-FR"/>
        </w:rPr>
        <w:t>p</w:t>
      </w:r>
      <w:r w:rsidR="00796A7C" w:rsidRPr="00DD03D6">
        <w:rPr>
          <w:noProof/>
          <w:lang w:val="fr-FR"/>
        </w:rPr>
        <w:t>ar</w:t>
      </w:r>
      <w:r w:rsidR="0022664C">
        <w:rPr>
          <w:noProof/>
          <w:lang w:val="fr-FR"/>
        </w:rPr>
        <w:t xml:space="preserve">agraphes </w:t>
      </w:r>
      <w:r w:rsidR="00C3370E" w:rsidRPr="00DD03D6">
        <w:rPr>
          <w:noProof/>
          <w:lang w:val="fr-FR"/>
        </w:rPr>
        <w:t>615</w:t>
      </w:r>
      <w:r w:rsidR="0022664C">
        <w:rPr>
          <w:noProof/>
          <w:lang w:val="fr-FR"/>
        </w:rPr>
        <w:t xml:space="preserve"> et </w:t>
      </w:r>
      <w:r w:rsidR="00C3370E" w:rsidRPr="00DD03D6">
        <w:rPr>
          <w:noProof/>
          <w:lang w:val="fr-FR"/>
        </w:rPr>
        <w:t>616</w:t>
      </w:r>
      <w:r w:rsidR="001B2F58" w:rsidRPr="00DD03D6">
        <w:rPr>
          <w:noProof/>
          <w:lang w:val="fr-FR"/>
        </w:rPr>
        <w:t xml:space="preserve">), </w:t>
      </w:r>
      <w:r w:rsidR="00137469">
        <w:rPr>
          <w:noProof/>
          <w:lang w:val="fr-FR"/>
        </w:rPr>
        <w:t xml:space="preserve">un </w:t>
      </w:r>
      <w:r w:rsidR="001B2F58" w:rsidRPr="00DD03D6">
        <w:rPr>
          <w:noProof/>
          <w:lang w:val="fr-FR"/>
        </w:rPr>
        <w:t xml:space="preserve">club </w:t>
      </w:r>
      <w:r w:rsidR="00137469">
        <w:rPr>
          <w:noProof/>
          <w:lang w:val="fr-FR"/>
        </w:rPr>
        <w:t>de jeunes pour les mineurs non accompagnés nouvellement arrivés</w:t>
      </w:r>
      <w:r w:rsidR="001B2F58" w:rsidRPr="00DD03D6">
        <w:rPr>
          <w:noProof/>
          <w:lang w:val="fr-FR"/>
        </w:rPr>
        <w:t>,</w:t>
      </w:r>
      <w:r w:rsidR="00137469">
        <w:rPr>
          <w:noProof/>
          <w:lang w:val="fr-FR"/>
        </w:rPr>
        <w:t xml:space="preserve"> un service « porte ouverte » et</w:t>
      </w:r>
      <w:r w:rsidR="00547E30">
        <w:rPr>
          <w:noProof/>
          <w:lang w:val="fr-FR"/>
        </w:rPr>
        <w:t xml:space="preserve"> </w:t>
      </w:r>
      <w:r w:rsidR="00137469">
        <w:rPr>
          <w:noProof/>
          <w:lang w:val="fr-FR"/>
        </w:rPr>
        <w:t xml:space="preserve">un </w:t>
      </w:r>
      <w:r w:rsidR="001B2F58" w:rsidRPr="00DD03D6">
        <w:rPr>
          <w:noProof/>
          <w:lang w:val="fr-FR"/>
        </w:rPr>
        <w:t xml:space="preserve">service </w:t>
      </w:r>
      <w:r w:rsidR="00137469">
        <w:rPr>
          <w:noProof/>
          <w:lang w:val="fr-FR"/>
        </w:rPr>
        <w:t>d’information pour ceux qui étaient mineur</w:t>
      </w:r>
      <w:r w:rsidR="00377DC9">
        <w:rPr>
          <w:noProof/>
          <w:lang w:val="fr-FR"/>
        </w:rPr>
        <w:t>s</w:t>
      </w:r>
      <w:r w:rsidR="00137469">
        <w:rPr>
          <w:noProof/>
          <w:lang w:val="fr-FR"/>
        </w:rPr>
        <w:t>, mais ont</w:t>
      </w:r>
      <w:r w:rsidR="00547E30">
        <w:rPr>
          <w:noProof/>
          <w:lang w:val="fr-FR"/>
        </w:rPr>
        <w:t xml:space="preserve"> atteint et dépassé l’âge de 18 </w:t>
      </w:r>
      <w:r w:rsidR="00137469">
        <w:rPr>
          <w:noProof/>
          <w:lang w:val="fr-FR"/>
        </w:rPr>
        <w:t>ans</w:t>
      </w:r>
      <w:r w:rsidR="001B2F58" w:rsidRPr="00DD03D6">
        <w:rPr>
          <w:noProof/>
          <w:lang w:val="fr-FR"/>
        </w:rPr>
        <w:t xml:space="preserve">. </w:t>
      </w:r>
      <w:r w:rsidR="00137469">
        <w:rPr>
          <w:noProof/>
          <w:lang w:val="fr-FR"/>
        </w:rPr>
        <w:t xml:space="preserve">Ce </w:t>
      </w:r>
      <w:r w:rsidR="001B2F58" w:rsidRPr="00DD03D6">
        <w:rPr>
          <w:noProof/>
          <w:lang w:val="fr-FR"/>
        </w:rPr>
        <w:t xml:space="preserve">programme </w:t>
      </w:r>
      <w:r w:rsidR="00137469">
        <w:rPr>
          <w:noProof/>
          <w:lang w:val="fr-FR"/>
        </w:rPr>
        <w:t xml:space="preserve">reçoit environ </w:t>
      </w:r>
      <w:r w:rsidR="0022664C">
        <w:rPr>
          <w:noProof/>
          <w:lang w:val="fr-FR"/>
        </w:rPr>
        <w:t>210 </w:t>
      </w:r>
      <w:r w:rsidR="001B2F58" w:rsidRPr="00DD03D6">
        <w:rPr>
          <w:noProof/>
          <w:lang w:val="fr-FR"/>
        </w:rPr>
        <w:t xml:space="preserve">000 </w:t>
      </w:r>
      <w:r w:rsidR="00137469">
        <w:rPr>
          <w:noProof/>
          <w:lang w:val="fr-FR"/>
        </w:rPr>
        <w:t>euros chaque année du Mi</w:t>
      </w:r>
      <w:r w:rsidR="00377DC9">
        <w:rPr>
          <w:noProof/>
          <w:lang w:val="fr-FR"/>
        </w:rPr>
        <w:t>nistère des finances et a égale</w:t>
      </w:r>
      <w:r w:rsidR="00137469">
        <w:rPr>
          <w:noProof/>
          <w:lang w:val="fr-FR"/>
        </w:rPr>
        <w:t>ment reçu</w:t>
      </w:r>
      <w:r w:rsidR="00377DC9">
        <w:rPr>
          <w:noProof/>
          <w:lang w:val="fr-FR"/>
        </w:rPr>
        <w:t xml:space="preserve"> une contribution du Fonds européen pour les réfugiés</w:t>
      </w:r>
      <w:r w:rsidR="001B2F58" w:rsidRPr="00DD03D6">
        <w:rPr>
          <w:noProof/>
          <w:lang w:val="fr-FR"/>
        </w:rPr>
        <w:t>.</w:t>
      </w:r>
    </w:p>
    <w:p w:rsidR="001B2F58" w:rsidRPr="00DD03D6" w:rsidRDefault="00AB239B" w:rsidP="000C6F27">
      <w:pPr>
        <w:pStyle w:val="SingleTxtG"/>
        <w:numPr>
          <w:ilvl w:val="0"/>
          <w:numId w:val="3"/>
        </w:numPr>
        <w:ind w:left="1134" w:firstLine="0"/>
        <w:rPr>
          <w:noProof/>
          <w:lang w:val="fr-FR"/>
        </w:rPr>
      </w:pPr>
      <w:r>
        <w:rPr>
          <w:noProof/>
          <w:lang w:val="fr-FR"/>
        </w:rPr>
        <w:t xml:space="preserve">Un protocole national conjoint sur les enfants </w:t>
      </w:r>
      <w:r>
        <w:rPr>
          <w:noProof/>
          <w:color w:val="000000"/>
          <w:lang w:val="fr-FR"/>
        </w:rPr>
        <w:t xml:space="preserve">qui disparaissent </w:t>
      </w:r>
      <w:r w:rsidRPr="00AB239B">
        <w:rPr>
          <w:noProof/>
          <w:color w:val="000000"/>
          <w:lang w:val="fr-FR"/>
        </w:rPr>
        <w:t>des structures de placement</w:t>
      </w:r>
      <w:r w:rsidR="00547E30">
        <w:rPr>
          <w:rStyle w:val="apple-converted-space"/>
          <w:color w:val="000000"/>
          <w:lang w:val="fr-CH"/>
        </w:rPr>
        <w:t xml:space="preserve"> </w:t>
      </w:r>
      <w:r>
        <w:rPr>
          <w:noProof/>
          <w:lang w:val="fr-FR"/>
        </w:rPr>
        <w:t xml:space="preserve">a été conclu entre les </w:t>
      </w:r>
      <w:r w:rsidR="003553BB">
        <w:rPr>
          <w:noProof/>
          <w:lang w:val="fr-FR"/>
        </w:rPr>
        <w:t>membres de la Garda</w:t>
      </w:r>
      <w:r w:rsidR="001B2F58" w:rsidRPr="00DD03D6">
        <w:rPr>
          <w:noProof/>
          <w:lang w:val="fr-FR"/>
        </w:rPr>
        <w:t xml:space="preserve"> </w:t>
      </w:r>
      <w:r>
        <w:rPr>
          <w:noProof/>
          <w:lang w:val="fr-FR"/>
        </w:rPr>
        <w:t>et la Direction des services de santé</w:t>
      </w:r>
      <w:r w:rsidR="001B2F58" w:rsidRPr="00DD03D6">
        <w:rPr>
          <w:noProof/>
          <w:lang w:val="fr-FR"/>
        </w:rPr>
        <w:t xml:space="preserve">. </w:t>
      </w:r>
      <w:r>
        <w:rPr>
          <w:noProof/>
          <w:lang w:val="fr-FR"/>
        </w:rPr>
        <w:t xml:space="preserve">Il a été décidé d’appliquer les mesures ci-après </w:t>
      </w:r>
      <w:r w:rsidR="001B2F58" w:rsidRPr="00DD03D6">
        <w:rPr>
          <w:noProof/>
          <w:lang w:val="fr-FR"/>
        </w:rPr>
        <w:t>:</w:t>
      </w:r>
    </w:p>
    <w:p w:rsidR="001B2F58" w:rsidRPr="00DD03D6" w:rsidRDefault="00AB239B" w:rsidP="0022664C">
      <w:pPr>
        <w:pStyle w:val="Bullet1G"/>
        <w:tabs>
          <w:tab w:val="clear" w:pos="1701"/>
          <w:tab w:val="left" w:pos="1843"/>
          <w:tab w:val="left" w:pos="6237"/>
        </w:tabs>
        <w:ind w:left="1843" w:hanging="142"/>
        <w:rPr>
          <w:noProof/>
          <w:lang w:val="fr-FR"/>
        </w:rPr>
      </w:pPr>
      <w:r>
        <w:rPr>
          <w:noProof/>
          <w:lang w:val="fr-FR"/>
        </w:rPr>
        <w:t xml:space="preserve">Entretien mené en collaboration dans les ports </w:t>
      </w:r>
      <w:r w:rsidR="00A92FA0">
        <w:rPr>
          <w:noProof/>
          <w:lang w:val="fr-FR"/>
        </w:rPr>
        <w:t xml:space="preserve">par </w:t>
      </w:r>
      <w:r>
        <w:rPr>
          <w:noProof/>
          <w:lang w:val="fr-FR"/>
        </w:rPr>
        <w:t xml:space="preserve">les travailleurs sociaux et les </w:t>
      </w:r>
      <w:r w:rsidR="003553BB">
        <w:rPr>
          <w:noProof/>
          <w:lang w:val="fr-FR"/>
        </w:rPr>
        <w:t>membres de la Garda</w:t>
      </w:r>
      <w:r w:rsidR="001B2F58" w:rsidRPr="00DD03D6">
        <w:rPr>
          <w:noProof/>
          <w:lang w:val="fr-FR"/>
        </w:rPr>
        <w:t>;</w:t>
      </w:r>
    </w:p>
    <w:p w:rsidR="001B2F58" w:rsidRPr="00DD03D6" w:rsidRDefault="002219BD" w:rsidP="0022664C">
      <w:pPr>
        <w:pStyle w:val="Bullet1G"/>
        <w:tabs>
          <w:tab w:val="clear" w:pos="1701"/>
          <w:tab w:val="left" w:pos="1843"/>
          <w:tab w:val="left" w:pos="6237"/>
        </w:tabs>
        <w:ind w:left="1843" w:hanging="142"/>
        <w:rPr>
          <w:noProof/>
          <w:lang w:val="fr-FR"/>
        </w:rPr>
      </w:pPr>
      <w:r>
        <w:rPr>
          <w:noProof/>
          <w:lang w:val="fr-FR"/>
        </w:rPr>
        <w:t>Prise d’empreintes digitales des personnes se présentant</w:t>
      </w:r>
      <w:r w:rsidR="004630C5">
        <w:rPr>
          <w:noProof/>
          <w:lang w:val="fr-FR"/>
        </w:rPr>
        <w:t xml:space="preserve"> comme mineures dans les ports</w:t>
      </w:r>
      <w:r>
        <w:rPr>
          <w:noProof/>
          <w:lang w:val="fr-FR"/>
        </w:rPr>
        <w:t xml:space="preserve">, </w:t>
      </w:r>
      <w:r w:rsidR="004630C5">
        <w:rPr>
          <w:noProof/>
          <w:lang w:val="fr-FR"/>
        </w:rPr>
        <w:t>aux fins de traçabilité</w:t>
      </w:r>
      <w:r w:rsidR="001B2F58" w:rsidRPr="00DD03D6">
        <w:rPr>
          <w:noProof/>
          <w:lang w:val="fr-FR"/>
        </w:rPr>
        <w:t>;</w:t>
      </w:r>
    </w:p>
    <w:p w:rsidR="001B2F58" w:rsidRPr="00DD03D6" w:rsidRDefault="004630C5" w:rsidP="0022664C">
      <w:pPr>
        <w:pStyle w:val="Bullet1G"/>
        <w:tabs>
          <w:tab w:val="clear" w:pos="1701"/>
          <w:tab w:val="left" w:pos="1843"/>
          <w:tab w:val="left" w:pos="6237"/>
        </w:tabs>
        <w:ind w:left="1843" w:hanging="142"/>
        <w:rPr>
          <w:noProof/>
          <w:lang w:val="fr-FR"/>
        </w:rPr>
      </w:pPr>
      <w:r>
        <w:rPr>
          <w:noProof/>
          <w:lang w:val="fr-FR"/>
        </w:rPr>
        <w:t xml:space="preserve">Surveillance prévue par la </w:t>
      </w:r>
      <w:r w:rsidR="001B2F58" w:rsidRPr="00DD03D6">
        <w:rPr>
          <w:noProof/>
          <w:lang w:val="fr-FR"/>
        </w:rPr>
        <w:t xml:space="preserve">Garda </w:t>
      </w:r>
      <w:r>
        <w:rPr>
          <w:noProof/>
          <w:lang w:val="fr-FR"/>
        </w:rPr>
        <w:t xml:space="preserve">des personnes risquant de disparaître entre le moment où elles se présentent dans les port et la période initiale de </w:t>
      </w:r>
      <w:r w:rsidR="001B2F58" w:rsidRPr="00DD03D6">
        <w:rPr>
          <w:noProof/>
          <w:lang w:val="fr-FR"/>
        </w:rPr>
        <w:t>placement;</w:t>
      </w:r>
    </w:p>
    <w:p w:rsidR="001B2F58" w:rsidRPr="00DD03D6" w:rsidRDefault="004630C5" w:rsidP="0022664C">
      <w:pPr>
        <w:pStyle w:val="Bullet1G"/>
        <w:tabs>
          <w:tab w:val="clear" w:pos="1701"/>
          <w:tab w:val="left" w:pos="1843"/>
          <w:tab w:val="left" w:pos="6237"/>
        </w:tabs>
        <w:ind w:left="1843" w:hanging="142"/>
        <w:rPr>
          <w:noProof/>
          <w:lang w:val="fr-FR"/>
        </w:rPr>
      </w:pPr>
      <w:r>
        <w:rPr>
          <w:noProof/>
          <w:lang w:val="fr-FR"/>
        </w:rPr>
        <w:t xml:space="preserve">Contrôle du système de </w:t>
      </w:r>
      <w:r w:rsidR="001B2F58" w:rsidRPr="00DD03D6">
        <w:rPr>
          <w:noProof/>
          <w:lang w:val="fr-FR"/>
        </w:rPr>
        <w:t xml:space="preserve">notification </w:t>
      </w:r>
      <w:r>
        <w:rPr>
          <w:noProof/>
          <w:lang w:val="fr-FR"/>
        </w:rPr>
        <w:t xml:space="preserve">des disparitions aux </w:t>
      </w:r>
      <w:r w:rsidR="001B2F58" w:rsidRPr="00DD03D6">
        <w:rPr>
          <w:noProof/>
          <w:lang w:val="fr-FR"/>
        </w:rPr>
        <w:t xml:space="preserve">Gardaí </w:t>
      </w:r>
      <w:r>
        <w:rPr>
          <w:noProof/>
          <w:lang w:val="fr-FR"/>
        </w:rPr>
        <w:t xml:space="preserve">locaux par les inspecteurs de la </w:t>
      </w:r>
      <w:r w:rsidR="001B2F58" w:rsidRPr="00DD03D6">
        <w:rPr>
          <w:noProof/>
          <w:lang w:val="fr-FR"/>
        </w:rPr>
        <w:t>Garda;</w:t>
      </w:r>
    </w:p>
    <w:p w:rsidR="001B2F58" w:rsidRPr="00DD03D6" w:rsidRDefault="004630C5" w:rsidP="0022664C">
      <w:pPr>
        <w:pStyle w:val="Bullet1G"/>
        <w:tabs>
          <w:tab w:val="clear" w:pos="1701"/>
          <w:tab w:val="left" w:pos="1843"/>
          <w:tab w:val="left" w:pos="6237"/>
        </w:tabs>
        <w:ind w:left="1843" w:hanging="142"/>
        <w:rPr>
          <w:noProof/>
          <w:lang w:val="fr-FR"/>
        </w:rPr>
      </w:pPr>
      <w:r>
        <w:rPr>
          <w:noProof/>
          <w:lang w:val="fr-FR"/>
        </w:rPr>
        <w:t xml:space="preserve">Formation commune du personnel de la Direction des services de santé et de celui du </w:t>
      </w:r>
      <w:r w:rsidR="003553BB" w:rsidRPr="003553BB">
        <w:rPr>
          <w:rFonts w:eastAsia="Calibri"/>
          <w:noProof/>
          <w:lang w:val="fr-FR"/>
        </w:rPr>
        <w:t>Bureau national de l’immigration de la Garda</w:t>
      </w:r>
      <w:r w:rsidR="003553BB">
        <w:rPr>
          <w:rFonts w:eastAsia="Calibri"/>
          <w:noProof/>
          <w:lang w:val="fr-FR"/>
        </w:rPr>
        <w:t xml:space="preserve"> en ce qui concerne les enfants </w:t>
      </w:r>
      <w:r w:rsidR="003553BB">
        <w:rPr>
          <w:noProof/>
          <w:lang w:val="fr-FR"/>
        </w:rPr>
        <w:t>risquant fortement de disparaître</w:t>
      </w:r>
      <w:r w:rsidR="001B2F58" w:rsidRPr="00DD03D6">
        <w:rPr>
          <w:noProof/>
          <w:lang w:val="fr-FR"/>
        </w:rPr>
        <w:t>;</w:t>
      </w:r>
    </w:p>
    <w:p w:rsidR="001B2F58" w:rsidRPr="00DD03D6" w:rsidRDefault="003553BB" w:rsidP="0022664C">
      <w:pPr>
        <w:pStyle w:val="Bullet1G"/>
        <w:tabs>
          <w:tab w:val="clear" w:pos="1701"/>
          <w:tab w:val="left" w:pos="1843"/>
          <w:tab w:val="left" w:pos="6237"/>
        </w:tabs>
        <w:ind w:left="1843" w:hanging="142"/>
        <w:rPr>
          <w:noProof/>
          <w:lang w:val="fr-FR"/>
        </w:rPr>
      </w:pPr>
      <w:r>
        <w:rPr>
          <w:noProof/>
          <w:lang w:val="fr-FR"/>
        </w:rPr>
        <w:t>Partage des preuves photographiques entre la Direction des services de santé et les membres de la Garda</w:t>
      </w:r>
      <w:r w:rsidR="001B2F58" w:rsidRPr="00DD03D6">
        <w:rPr>
          <w:noProof/>
          <w:lang w:val="fr-FR"/>
        </w:rPr>
        <w:t>.</w:t>
      </w:r>
    </w:p>
    <w:p w:rsidR="001B2F58" w:rsidRPr="00DD03D6" w:rsidRDefault="003553BB" w:rsidP="000C6F27">
      <w:pPr>
        <w:pStyle w:val="SingleTxtG"/>
        <w:numPr>
          <w:ilvl w:val="0"/>
          <w:numId w:val="3"/>
        </w:numPr>
        <w:ind w:left="1134" w:firstLine="0"/>
        <w:rPr>
          <w:noProof/>
          <w:lang w:val="fr-FR"/>
        </w:rPr>
      </w:pPr>
      <w:r>
        <w:rPr>
          <w:noProof/>
          <w:lang w:val="fr-FR"/>
        </w:rPr>
        <w:t xml:space="preserve">La diminution du nombre des enfants disparus après s’être présentés au dernier trimestre de </w:t>
      </w:r>
      <w:r w:rsidR="001B2F58" w:rsidRPr="00DD03D6">
        <w:rPr>
          <w:noProof/>
          <w:lang w:val="fr-FR"/>
        </w:rPr>
        <w:t xml:space="preserve">2009 </w:t>
      </w:r>
      <w:r>
        <w:rPr>
          <w:noProof/>
          <w:lang w:val="fr-FR"/>
        </w:rPr>
        <w:t>est l’aboutissement d’une intens</w:t>
      </w:r>
      <w:r w:rsidR="001B2F58" w:rsidRPr="00DD03D6">
        <w:rPr>
          <w:noProof/>
          <w:lang w:val="fr-FR"/>
        </w:rPr>
        <w:t xml:space="preserve">e </w:t>
      </w:r>
      <w:r>
        <w:rPr>
          <w:noProof/>
          <w:lang w:val="fr-FR"/>
        </w:rPr>
        <w:t>activité inter</w:t>
      </w:r>
      <w:r w:rsidR="00A92FA0">
        <w:rPr>
          <w:noProof/>
          <w:lang w:val="fr-FR"/>
        </w:rPr>
        <w:t xml:space="preserve">organismes </w:t>
      </w:r>
      <w:r>
        <w:rPr>
          <w:noProof/>
          <w:lang w:val="fr-FR"/>
        </w:rPr>
        <w:t>menée tout au long de cette années</w:t>
      </w:r>
      <w:r w:rsidR="00C3370E" w:rsidRPr="00DD03D6">
        <w:rPr>
          <w:noProof/>
          <w:lang w:val="fr-FR"/>
        </w:rPr>
        <w:t>-</w:t>
      </w:r>
      <w:r>
        <w:rPr>
          <w:noProof/>
          <w:lang w:val="fr-FR"/>
        </w:rPr>
        <w:t>là</w:t>
      </w:r>
      <w:r w:rsidR="001B2F58" w:rsidRPr="00DD03D6">
        <w:rPr>
          <w:noProof/>
          <w:lang w:val="fr-FR"/>
        </w:rPr>
        <w:t xml:space="preserve">. </w:t>
      </w:r>
      <w:r>
        <w:rPr>
          <w:noProof/>
          <w:lang w:val="fr-FR"/>
        </w:rPr>
        <w:t xml:space="preserve">Les membres de la Garda et de la Direction des services de santé ont l’intention de </w:t>
      </w:r>
      <w:r w:rsidR="001B2F58" w:rsidRPr="00DD03D6">
        <w:rPr>
          <w:noProof/>
          <w:lang w:val="fr-FR"/>
        </w:rPr>
        <w:t>continue</w:t>
      </w:r>
      <w:r>
        <w:rPr>
          <w:noProof/>
          <w:lang w:val="fr-FR"/>
        </w:rPr>
        <w:t>r de redoubler d’efforts concertés pour empêcher les enfants de disparaître des structures de placement et de localiser ceux qui le font</w:t>
      </w:r>
      <w:r w:rsidR="001B2F58" w:rsidRPr="00DD03D6">
        <w:rPr>
          <w:noProof/>
          <w:lang w:val="fr-FR"/>
        </w:rPr>
        <w:t>.</w:t>
      </w:r>
    </w:p>
    <w:p w:rsidR="001B2F58" w:rsidRPr="00DD03D6" w:rsidRDefault="000C6F27" w:rsidP="000C6F27">
      <w:pPr>
        <w:pStyle w:val="H1G"/>
        <w:rPr>
          <w:noProof/>
          <w:lang w:val="fr-FR"/>
        </w:rPr>
      </w:pPr>
      <w:bookmarkStart w:id="66" w:name="_Toc356430898"/>
      <w:r w:rsidRPr="00DD03D6">
        <w:rPr>
          <w:noProof/>
          <w:lang w:val="fr-FR"/>
        </w:rPr>
        <w:tab/>
      </w:r>
      <w:r w:rsidR="001B2F58" w:rsidRPr="00DD03D6">
        <w:rPr>
          <w:noProof/>
          <w:lang w:val="fr-FR"/>
        </w:rPr>
        <w:t>B.</w:t>
      </w:r>
      <w:r w:rsidR="001B2F58" w:rsidRPr="00DD03D6">
        <w:rPr>
          <w:noProof/>
          <w:lang w:val="fr-FR"/>
        </w:rPr>
        <w:tab/>
      </w:r>
      <w:bookmarkEnd w:id="66"/>
      <w:r w:rsidR="00585E06" w:rsidRPr="00B0572C">
        <w:rPr>
          <w:lang w:val="fr-FR"/>
        </w:rPr>
        <w:t xml:space="preserve">Enfants touchés </w:t>
      </w:r>
      <w:r w:rsidR="00585E06">
        <w:rPr>
          <w:lang w:val="fr-FR"/>
        </w:rPr>
        <w:t>par des conflits armés</w:t>
      </w:r>
      <w:r w:rsidR="00585E06" w:rsidRPr="00B0572C">
        <w:rPr>
          <w:lang w:val="fr-FR"/>
        </w:rPr>
        <w:t>, avec indication, notamment, des mesures de réadaptation physique et psychologique et de réinsertion sociale prises</w:t>
      </w:r>
    </w:p>
    <w:p w:rsidR="001B2F58" w:rsidRPr="00DD03D6" w:rsidRDefault="00585E06" w:rsidP="002C58C8">
      <w:pPr>
        <w:pStyle w:val="SingleTxtG"/>
        <w:numPr>
          <w:ilvl w:val="0"/>
          <w:numId w:val="3"/>
        </w:numPr>
        <w:ind w:left="1134" w:firstLine="0"/>
        <w:rPr>
          <w:noProof/>
          <w:lang w:val="fr-FR"/>
        </w:rPr>
      </w:pPr>
      <w:r>
        <w:rPr>
          <w:noProof/>
          <w:lang w:val="fr-FR"/>
        </w:rPr>
        <w:t xml:space="preserve">Cette question est abordée dans le cadre de l’examen de la question du </w:t>
      </w:r>
      <w:r w:rsidRPr="00DD03D6">
        <w:rPr>
          <w:noProof/>
          <w:lang w:val="fr-FR" w:eastAsia="en-GB"/>
        </w:rPr>
        <w:t>Protocol</w:t>
      </w:r>
      <w:r>
        <w:rPr>
          <w:noProof/>
          <w:lang w:val="fr-FR" w:eastAsia="en-GB"/>
        </w:rPr>
        <w:t xml:space="preserve">e facultatif à la </w:t>
      </w:r>
      <w:r w:rsidRPr="00DD03D6">
        <w:rPr>
          <w:noProof/>
          <w:lang w:val="fr-FR" w:eastAsia="en-GB"/>
        </w:rPr>
        <w:t xml:space="preserve">Convention </w:t>
      </w:r>
      <w:r>
        <w:rPr>
          <w:noProof/>
          <w:lang w:val="fr-FR" w:eastAsia="en-GB"/>
        </w:rPr>
        <w:t>relative aux droits de l’enfant concernant l’implication d’enfants dans les conflits armés</w:t>
      </w:r>
      <w:r w:rsidRPr="00DD03D6">
        <w:rPr>
          <w:noProof/>
          <w:lang w:val="fr-FR" w:eastAsia="en-GB"/>
        </w:rPr>
        <w:t xml:space="preserve"> </w:t>
      </w:r>
      <w:r w:rsidR="001B2F58" w:rsidRPr="00DD03D6">
        <w:rPr>
          <w:noProof/>
          <w:lang w:val="fr-FR"/>
        </w:rPr>
        <w:t>(</w:t>
      </w:r>
      <w:r>
        <w:rPr>
          <w:noProof/>
          <w:lang w:val="fr-FR"/>
        </w:rPr>
        <w:t xml:space="preserve">voir les </w:t>
      </w:r>
      <w:r w:rsidR="00A52BD9" w:rsidRPr="00DD03D6">
        <w:rPr>
          <w:noProof/>
          <w:lang w:val="fr-FR"/>
        </w:rPr>
        <w:t>p</w:t>
      </w:r>
      <w:r>
        <w:rPr>
          <w:noProof/>
          <w:lang w:val="fr-FR"/>
        </w:rPr>
        <w:t>ar</w:t>
      </w:r>
      <w:r w:rsidR="0022664C">
        <w:rPr>
          <w:noProof/>
          <w:lang w:val="fr-FR"/>
        </w:rPr>
        <w:t>agraphes</w:t>
      </w:r>
      <w:r w:rsidR="00796A7C" w:rsidRPr="00DD03D6">
        <w:rPr>
          <w:noProof/>
          <w:lang w:val="fr-FR"/>
        </w:rPr>
        <w:t> </w:t>
      </w:r>
      <w:r w:rsidR="00A52BD9" w:rsidRPr="00DD03D6">
        <w:rPr>
          <w:noProof/>
          <w:lang w:val="fr-FR"/>
        </w:rPr>
        <w:t>185</w:t>
      </w:r>
      <w:r w:rsidR="0022664C">
        <w:rPr>
          <w:noProof/>
          <w:lang w:val="fr-FR"/>
        </w:rPr>
        <w:t xml:space="preserve"> et </w:t>
      </w:r>
      <w:r w:rsidR="00A52BD9" w:rsidRPr="00DD03D6">
        <w:rPr>
          <w:noProof/>
          <w:lang w:val="fr-FR"/>
        </w:rPr>
        <w:t>186</w:t>
      </w:r>
      <w:r w:rsidR="001B2F58" w:rsidRPr="00DD03D6">
        <w:rPr>
          <w:noProof/>
          <w:lang w:val="fr-FR"/>
        </w:rPr>
        <w:t>).</w:t>
      </w:r>
    </w:p>
    <w:p w:rsidR="001B2F58" w:rsidRDefault="00585E06" w:rsidP="00E77652">
      <w:pPr>
        <w:pStyle w:val="SingleTxtG"/>
        <w:numPr>
          <w:ilvl w:val="0"/>
          <w:numId w:val="3"/>
        </w:numPr>
        <w:ind w:left="1134" w:firstLine="0"/>
        <w:rPr>
          <w:noProof/>
          <w:lang w:val="fr-FR"/>
        </w:rPr>
      </w:pPr>
      <w:r>
        <w:rPr>
          <w:noProof/>
          <w:lang w:val="fr-FR"/>
        </w:rPr>
        <w:lastRenderedPageBreak/>
        <w:t xml:space="preserve">Depuis le deuxième rapport périodique de l’Irlande </w:t>
      </w:r>
      <w:r w:rsidR="001B2F58" w:rsidRPr="00DD03D6">
        <w:rPr>
          <w:noProof/>
          <w:lang w:val="fr-FR"/>
        </w:rPr>
        <w:t xml:space="preserve">(2005), </w:t>
      </w:r>
      <w:r>
        <w:rPr>
          <w:noProof/>
          <w:lang w:val="fr-FR"/>
        </w:rPr>
        <w:t>le Statut de la Cour pénale i</w:t>
      </w:r>
      <w:r w:rsidR="001B2F58" w:rsidRPr="00DD03D6">
        <w:rPr>
          <w:noProof/>
          <w:lang w:val="fr-FR"/>
        </w:rPr>
        <w:t>nternational</w:t>
      </w:r>
      <w:r>
        <w:rPr>
          <w:noProof/>
          <w:lang w:val="fr-FR"/>
        </w:rPr>
        <w:t>e</w:t>
      </w:r>
      <w:r w:rsidR="001B2F58" w:rsidRPr="00DD03D6">
        <w:rPr>
          <w:noProof/>
          <w:lang w:val="fr-FR"/>
        </w:rPr>
        <w:t xml:space="preserve"> </w:t>
      </w:r>
      <w:r>
        <w:rPr>
          <w:noProof/>
          <w:lang w:val="fr-FR"/>
        </w:rPr>
        <w:t>et l’Accord sur les privilèges et i</w:t>
      </w:r>
      <w:r w:rsidR="001B2F58" w:rsidRPr="00DD03D6">
        <w:rPr>
          <w:noProof/>
          <w:lang w:val="fr-FR"/>
        </w:rPr>
        <w:t>mmunit</w:t>
      </w:r>
      <w:r>
        <w:rPr>
          <w:noProof/>
          <w:lang w:val="fr-FR"/>
        </w:rPr>
        <w:t>é</w:t>
      </w:r>
      <w:r w:rsidR="001B2F58" w:rsidRPr="00DD03D6">
        <w:rPr>
          <w:noProof/>
          <w:lang w:val="fr-FR"/>
        </w:rPr>
        <w:t xml:space="preserve">s </w:t>
      </w:r>
      <w:r>
        <w:rPr>
          <w:noProof/>
          <w:lang w:val="fr-FR"/>
        </w:rPr>
        <w:t>de la Cour pénale i</w:t>
      </w:r>
      <w:r w:rsidR="001B2F58" w:rsidRPr="00DD03D6">
        <w:rPr>
          <w:noProof/>
          <w:lang w:val="fr-FR"/>
        </w:rPr>
        <w:t>nternational</w:t>
      </w:r>
      <w:r>
        <w:rPr>
          <w:noProof/>
          <w:lang w:val="fr-FR"/>
        </w:rPr>
        <w:t>e</w:t>
      </w:r>
      <w:r w:rsidR="001B2F58" w:rsidRPr="00DD03D6">
        <w:rPr>
          <w:noProof/>
          <w:lang w:val="fr-FR"/>
        </w:rPr>
        <w:t xml:space="preserve"> </w:t>
      </w:r>
      <w:r>
        <w:rPr>
          <w:noProof/>
          <w:lang w:val="fr-FR"/>
        </w:rPr>
        <w:t xml:space="preserve">ont </w:t>
      </w:r>
      <w:r w:rsidR="00A92FA0">
        <w:rPr>
          <w:noProof/>
          <w:lang w:val="fr-FR"/>
        </w:rPr>
        <w:t xml:space="preserve">été </w:t>
      </w:r>
      <w:r>
        <w:rPr>
          <w:noProof/>
          <w:lang w:val="fr-FR"/>
        </w:rPr>
        <w:t>transposés dans le droit irlandais par le biais de la loi de 2006 sur la Cour pénale i</w:t>
      </w:r>
      <w:r w:rsidR="001B2F58" w:rsidRPr="00DD03D6">
        <w:rPr>
          <w:noProof/>
          <w:lang w:val="fr-FR"/>
        </w:rPr>
        <w:t>nternational</w:t>
      </w:r>
      <w:r>
        <w:rPr>
          <w:noProof/>
          <w:lang w:val="fr-FR"/>
        </w:rPr>
        <w:t>e</w:t>
      </w:r>
      <w:r w:rsidR="001B2F58" w:rsidRPr="00DD03D6">
        <w:rPr>
          <w:noProof/>
          <w:lang w:val="fr-FR"/>
        </w:rPr>
        <w:t>.</w:t>
      </w:r>
    </w:p>
    <w:p w:rsidR="001B2F58" w:rsidRPr="00DD03D6" w:rsidRDefault="00585E06" w:rsidP="00352749">
      <w:pPr>
        <w:pStyle w:val="SingleTxtG"/>
        <w:numPr>
          <w:ilvl w:val="0"/>
          <w:numId w:val="3"/>
        </w:numPr>
        <w:ind w:left="1134" w:firstLine="0"/>
        <w:rPr>
          <w:noProof/>
          <w:lang w:val="fr-FR"/>
        </w:rPr>
      </w:pPr>
      <w:r>
        <w:rPr>
          <w:noProof/>
          <w:lang w:val="fr-FR"/>
        </w:rPr>
        <w:t>Tous les demandeurs d’asile entrant dans le pays passent un examen médical dans les deux premières semaines qui suivent leur arrivée</w:t>
      </w:r>
      <w:r w:rsidR="001B2F58" w:rsidRPr="00DD03D6">
        <w:rPr>
          <w:noProof/>
          <w:lang w:val="fr-FR"/>
        </w:rPr>
        <w:t xml:space="preserve">. </w:t>
      </w:r>
      <w:r w:rsidR="002854B8">
        <w:rPr>
          <w:noProof/>
          <w:lang w:val="fr-FR"/>
        </w:rPr>
        <w:t xml:space="preserve">Une équipe est spécialement chargée de ce service au Centre de réception principal de l’Agence pour l’accueil et l’intégration de </w:t>
      </w:r>
      <w:r w:rsidR="001B2F58" w:rsidRPr="00DD03D6">
        <w:rPr>
          <w:noProof/>
          <w:lang w:val="fr-FR"/>
        </w:rPr>
        <w:t>Balseskin</w:t>
      </w:r>
      <w:r w:rsidR="002854B8">
        <w:rPr>
          <w:noProof/>
          <w:lang w:val="fr-FR"/>
        </w:rPr>
        <w:t>, à</w:t>
      </w:r>
      <w:r w:rsidR="001B2F58" w:rsidRPr="00DD03D6">
        <w:rPr>
          <w:noProof/>
          <w:lang w:val="fr-FR"/>
        </w:rPr>
        <w:t xml:space="preserve"> Dublin. </w:t>
      </w:r>
      <w:r w:rsidR="002854B8">
        <w:rPr>
          <w:noProof/>
          <w:lang w:val="fr-FR"/>
        </w:rPr>
        <w:t>Cette équipe est gérée par la Direction des services de santé et peut, en fin d’examen, diriger les intéressés vers des services de soutien psychologique et autre</w:t>
      </w:r>
      <w:r w:rsidR="001B2F58" w:rsidRPr="00DD03D6">
        <w:rPr>
          <w:noProof/>
          <w:lang w:val="fr-FR"/>
        </w:rPr>
        <w:t>.</w:t>
      </w:r>
    </w:p>
    <w:p w:rsidR="001B2F58" w:rsidRPr="00DD03D6" w:rsidRDefault="00EC6FA0" w:rsidP="000C6F27">
      <w:pPr>
        <w:pStyle w:val="SingleTxtG"/>
        <w:numPr>
          <w:ilvl w:val="0"/>
          <w:numId w:val="3"/>
        </w:numPr>
        <w:ind w:left="1134" w:firstLine="0"/>
        <w:rPr>
          <w:noProof/>
          <w:lang w:val="fr-FR"/>
        </w:rPr>
      </w:pPr>
      <w:r>
        <w:rPr>
          <w:noProof/>
          <w:lang w:val="fr-FR"/>
        </w:rPr>
        <w:t xml:space="preserve">En ce qui concerne les enfants qui ont engagé une procédure de demande d’asile, si les services de santé ne se sont pas encore aperçus qu’un </w:t>
      </w:r>
      <w:r w:rsidR="00602A42">
        <w:rPr>
          <w:noProof/>
          <w:lang w:val="fr-FR"/>
        </w:rPr>
        <w:t>mineur non accompagné semble avoir été exposé à un conflit armé et souffre d’un traumatisme p</w:t>
      </w:r>
      <w:r w:rsidR="001B2F58" w:rsidRPr="00DD03D6">
        <w:rPr>
          <w:noProof/>
          <w:lang w:val="fr-FR"/>
        </w:rPr>
        <w:t>hysi</w:t>
      </w:r>
      <w:r w:rsidR="00602A42">
        <w:rPr>
          <w:noProof/>
          <w:lang w:val="fr-FR"/>
        </w:rPr>
        <w:t>que et psychologique</w:t>
      </w:r>
      <w:r w:rsidR="001B2F58" w:rsidRPr="00DD03D6">
        <w:rPr>
          <w:noProof/>
          <w:lang w:val="fr-FR"/>
        </w:rPr>
        <w:t xml:space="preserve">, </w:t>
      </w:r>
      <w:r w:rsidR="00602A42">
        <w:rPr>
          <w:noProof/>
          <w:lang w:val="fr-FR"/>
        </w:rPr>
        <w:t xml:space="preserve">le </w:t>
      </w:r>
      <w:r w:rsidR="00FE2D2F" w:rsidRPr="00AC0D1B">
        <w:rPr>
          <w:noProof/>
          <w:color w:val="000000"/>
          <w:lang w:val="fr-FR"/>
        </w:rPr>
        <w:t>Bureau du commissaire aux demandes de statut de réfugié</w:t>
      </w:r>
      <w:r w:rsidR="00FE2D2F">
        <w:rPr>
          <w:noProof/>
          <w:color w:val="000000"/>
          <w:lang w:val="fr-FR"/>
        </w:rPr>
        <w:t xml:space="preserve"> porte cette question à l’</w:t>
      </w:r>
      <w:r w:rsidR="001B2F58" w:rsidRPr="00DD03D6">
        <w:rPr>
          <w:noProof/>
          <w:lang w:val="fr-FR"/>
        </w:rPr>
        <w:t xml:space="preserve">attention </w:t>
      </w:r>
      <w:r w:rsidR="00FE2D2F">
        <w:rPr>
          <w:noProof/>
          <w:lang w:val="fr-FR"/>
        </w:rPr>
        <w:t>de la personne à laquelle la Direction des services de santé a confié la responsabilité de l’enfant</w:t>
      </w:r>
      <w:r w:rsidR="001B2F58" w:rsidRPr="00DD03D6">
        <w:rPr>
          <w:noProof/>
          <w:lang w:val="fr-FR"/>
        </w:rPr>
        <w:t xml:space="preserve">. </w:t>
      </w:r>
    </w:p>
    <w:p w:rsidR="001B2F58" w:rsidRPr="00DD03D6" w:rsidRDefault="00FE2D2F" w:rsidP="002C58C8">
      <w:pPr>
        <w:pStyle w:val="SingleTxtG"/>
        <w:numPr>
          <w:ilvl w:val="0"/>
          <w:numId w:val="3"/>
        </w:numPr>
        <w:ind w:left="1134" w:firstLine="0"/>
        <w:rPr>
          <w:noProof/>
          <w:lang w:val="fr-FR"/>
        </w:rPr>
      </w:pPr>
      <w:r w:rsidRPr="00FE2D2F">
        <w:rPr>
          <w:noProof/>
          <w:lang w:val="fr-FR"/>
        </w:rPr>
        <w:t>Un groupe de responsables d’entretien</w:t>
      </w:r>
      <w:r w:rsidR="00810755">
        <w:rPr>
          <w:noProof/>
          <w:lang w:val="fr-FR"/>
        </w:rPr>
        <w:t xml:space="preserve"> </w:t>
      </w:r>
      <w:r w:rsidRPr="00FE2D2F">
        <w:rPr>
          <w:noProof/>
          <w:lang w:val="fr-FR"/>
        </w:rPr>
        <w:t>expérimentés, exerçant dans le domaine de la demande d’asile</w:t>
      </w:r>
      <w:r w:rsidR="00896733">
        <w:rPr>
          <w:noProof/>
          <w:lang w:val="fr-FR"/>
        </w:rPr>
        <w:t xml:space="preserve"> au Bureau susvisé</w:t>
      </w:r>
      <w:r w:rsidRPr="00FE2D2F">
        <w:rPr>
          <w:noProof/>
          <w:lang w:val="fr-FR"/>
        </w:rPr>
        <w:t xml:space="preserve">, a aussi bénéficié d’une formation spécialisée complémentaire afin de pouvoir travailler sur des dossiers impliquant des mineurs non accompagnés. Cette formation concerne des questions comme les besoins psychologiques, les aspects propres à l’enfance dans </w:t>
      </w:r>
      <w:r w:rsidR="00896733">
        <w:rPr>
          <w:noProof/>
          <w:lang w:val="fr-FR"/>
        </w:rPr>
        <w:t>la procédure de demande du statut</w:t>
      </w:r>
      <w:r w:rsidRPr="00FE2D2F">
        <w:rPr>
          <w:noProof/>
          <w:lang w:val="fr-FR"/>
        </w:rPr>
        <w:t xml:space="preserve"> </w:t>
      </w:r>
      <w:r w:rsidR="00896733">
        <w:rPr>
          <w:noProof/>
          <w:lang w:val="fr-FR"/>
        </w:rPr>
        <w:t>de réfugié</w:t>
      </w:r>
      <w:r w:rsidRPr="00FE2D2F">
        <w:rPr>
          <w:noProof/>
          <w:lang w:val="fr-FR"/>
        </w:rPr>
        <w:t>, le rôle du travailleur social ainsi que d’autres questions ayant particulièrement trait à la détermination du statut de réfugié pour les mineurs non accompagnés</w:t>
      </w:r>
      <w:r w:rsidR="001B2F58" w:rsidRPr="00DD03D6">
        <w:rPr>
          <w:noProof/>
          <w:lang w:val="fr-FR"/>
        </w:rPr>
        <w:t xml:space="preserve">. </w:t>
      </w:r>
      <w:r w:rsidR="00896733">
        <w:rPr>
          <w:noProof/>
          <w:lang w:val="fr-FR"/>
        </w:rPr>
        <w:t xml:space="preserve">Le module de formation a été élaboré par le </w:t>
      </w:r>
      <w:r w:rsidR="001B2F58" w:rsidRPr="00DD03D6">
        <w:rPr>
          <w:noProof/>
          <w:lang w:val="fr-FR"/>
        </w:rPr>
        <w:t xml:space="preserve">HCR </w:t>
      </w:r>
      <w:r w:rsidR="00896733">
        <w:rPr>
          <w:noProof/>
          <w:lang w:val="fr-FR"/>
        </w:rPr>
        <w:t xml:space="preserve">et la formation est animée par lui </w:t>
      </w:r>
      <w:r w:rsidR="001B2F58" w:rsidRPr="00DD03D6">
        <w:rPr>
          <w:noProof/>
          <w:lang w:val="fr-FR"/>
        </w:rPr>
        <w:t>(</w:t>
      </w:r>
      <w:r w:rsidR="00896733">
        <w:rPr>
          <w:noProof/>
          <w:lang w:val="fr-FR"/>
        </w:rPr>
        <w:t xml:space="preserve">voir le </w:t>
      </w:r>
      <w:r w:rsidR="00A52BD9" w:rsidRPr="00DD03D6">
        <w:rPr>
          <w:noProof/>
          <w:lang w:val="fr-FR"/>
        </w:rPr>
        <w:t>p</w:t>
      </w:r>
      <w:r w:rsidR="00796A7C" w:rsidRPr="00DD03D6">
        <w:rPr>
          <w:noProof/>
          <w:lang w:val="fr-FR"/>
        </w:rPr>
        <w:t>ar</w:t>
      </w:r>
      <w:r w:rsidR="00C439D5">
        <w:rPr>
          <w:noProof/>
          <w:lang w:val="fr-FR"/>
        </w:rPr>
        <w:t>agraphe</w:t>
      </w:r>
      <w:r w:rsidR="00796A7C" w:rsidRPr="00DD03D6">
        <w:rPr>
          <w:noProof/>
          <w:lang w:val="fr-FR"/>
        </w:rPr>
        <w:t> </w:t>
      </w:r>
      <w:r w:rsidR="00D47102" w:rsidRPr="00DD03D6">
        <w:rPr>
          <w:noProof/>
          <w:lang w:val="fr-FR"/>
        </w:rPr>
        <w:t>288</w:t>
      </w:r>
      <w:r w:rsidR="001B2F58" w:rsidRPr="00DD03D6">
        <w:rPr>
          <w:noProof/>
          <w:lang w:val="fr-FR"/>
        </w:rPr>
        <w:t xml:space="preserve">). </w:t>
      </w:r>
      <w:r w:rsidR="00513988">
        <w:rPr>
          <w:noProof/>
          <w:lang w:val="fr-FR"/>
        </w:rPr>
        <w:t>Le fonctionnaire habilité qui établit le rapport et la recomma</w:t>
      </w:r>
      <w:r w:rsidR="001B2F58" w:rsidRPr="00DD03D6">
        <w:rPr>
          <w:noProof/>
          <w:lang w:val="fr-FR"/>
        </w:rPr>
        <w:t xml:space="preserve">ndation </w:t>
      </w:r>
      <w:r w:rsidR="00513988">
        <w:rPr>
          <w:noProof/>
          <w:lang w:val="fr-FR"/>
        </w:rPr>
        <w:t>dans les cas impliquant des mineurs non accompagnés a également suivi le programme de formation spécialisée</w:t>
      </w:r>
      <w:r w:rsidR="001B2F58" w:rsidRPr="00DD03D6">
        <w:rPr>
          <w:noProof/>
          <w:lang w:val="fr-FR"/>
        </w:rPr>
        <w:t>.</w:t>
      </w:r>
    </w:p>
    <w:p w:rsidR="001B2F58" w:rsidRPr="00DD03D6" w:rsidRDefault="00513988" w:rsidP="000C6F27">
      <w:pPr>
        <w:pStyle w:val="SingleTxtG"/>
        <w:numPr>
          <w:ilvl w:val="0"/>
          <w:numId w:val="3"/>
        </w:numPr>
        <w:ind w:left="1134" w:firstLine="0"/>
        <w:rPr>
          <w:noProof/>
          <w:lang w:val="fr-FR"/>
        </w:rPr>
      </w:pPr>
      <w:r>
        <w:rPr>
          <w:noProof/>
          <w:lang w:val="fr-FR" w:eastAsia="en-GB"/>
        </w:rPr>
        <w:t xml:space="preserve">Si les procédures utilisées concernent les mineurs non accompagnés, </w:t>
      </w:r>
      <w:r w:rsidRPr="002D17FD">
        <w:rPr>
          <w:noProof/>
          <w:color w:val="000000"/>
          <w:lang w:val="fr-FR"/>
        </w:rPr>
        <w:t xml:space="preserve">l’approche adoptée − en particulier sur le plan de la formation − est aussi très bénéfique lorsqu’il s’agit d’interroger des enfants qui sont accompagnés mais dont les parents </w:t>
      </w:r>
      <w:r>
        <w:rPr>
          <w:noProof/>
          <w:color w:val="000000"/>
          <w:lang w:val="fr-FR"/>
        </w:rPr>
        <w:t>ont décidé qu’il</w:t>
      </w:r>
      <w:r w:rsidR="00AC6FF9">
        <w:rPr>
          <w:noProof/>
          <w:color w:val="000000"/>
          <w:lang w:val="fr-FR"/>
        </w:rPr>
        <w:t>s</w:t>
      </w:r>
      <w:r>
        <w:rPr>
          <w:noProof/>
          <w:color w:val="000000"/>
          <w:lang w:val="fr-FR"/>
        </w:rPr>
        <w:t xml:space="preserve"> </w:t>
      </w:r>
      <w:r w:rsidRPr="002D17FD">
        <w:rPr>
          <w:noProof/>
          <w:color w:val="000000"/>
          <w:lang w:val="fr-FR"/>
        </w:rPr>
        <w:t>d</w:t>
      </w:r>
      <w:r>
        <w:rPr>
          <w:noProof/>
          <w:color w:val="000000"/>
          <w:lang w:val="fr-FR"/>
        </w:rPr>
        <w:t>ev</w:t>
      </w:r>
      <w:r w:rsidR="00AC6FF9">
        <w:rPr>
          <w:noProof/>
          <w:color w:val="000000"/>
          <w:lang w:val="fr-FR"/>
        </w:rPr>
        <w:t>r</w:t>
      </w:r>
      <w:r>
        <w:rPr>
          <w:noProof/>
          <w:color w:val="000000"/>
          <w:lang w:val="fr-FR"/>
        </w:rPr>
        <w:t xml:space="preserve">aient </w:t>
      </w:r>
      <w:r w:rsidRPr="002D17FD">
        <w:rPr>
          <w:noProof/>
          <w:color w:val="000000"/>
          <w:lang w:val="fr-FR"/>
        </w:rPr>
        <w:t>faire l’objet d’une demande d’asile distincte.</w:t>
      </w:r>
    </w:p>
    <w:p w:rsidR="001B2F58" w:rsidRPr="00DD03D6" w:rsidRDefault="000C6F27" w:rsidP="000C6F27">
      <w:pPr>
        <w:pStyle w:val="H1G"/>
        <w:rPr>
          <w:noProof/>
          <w:lang w:val="fr-FR"/>
        </w:rPr>
      </w:pPr>
      <w:bookmarkStart w:id="67" w:name="_Toc356430899"/>
      <w:r w:rsidRPr="00DD03D6">
        <w:rPr>
          <w:noProof/>
          <w:lang w:val="fr-FR"/>
        </w:rPr>
        <w:tab/>
      </w:r>
      <w:r w:rsidR="001B2F58" w:rsidRPr="00DD03D6">
        <w:rPr>
          <w:noProof/>
          <w:lang w:val="fr-FR"/>
        </w:rPr>
        <w:t>C.</w:t>
      </w:r>
      <w:r w:rsidR="001B2F58" w:rsidRPr="00DD03D6">
        <w:rPr>
          <w:noProof/>
          <w:lang w:val="fr-FR"/>
        </w:rPr>
        <w:tab/>
      </w:r>
      <w:r w:rsidR="00361C06" w:rsidRPr="00B0572C">
        <w:rPr>
          <w:lang w:val="fr-FR"/>
        </w:rPr>
        <w:t>Enfants en situation d’exploitation, y compris leur réadaptation physique et psychologique et leur réinsertion sociale</w:t>
      </w:r>
      <w:bookmarkEnd w:id="67"/>
      <w:r w:rsidR="00547E30">
        <w:rPr>
          <w:noProof/>
          <w:lang w:val="fr-FR"/>
        </w:rPr>
        <w:t xml:space="preserve"> </w:t>
      </w:r>
    </w:p>
    <w:p w:rsidR="001B2F58" w:rsidRPr="00DD03D6" w:rsidRDefault="000C6F27" w:rsidP="000C6F27">
      <w:pPr>
        <w:pStyle w:val="H23G"/>
        <w:rPr>
          <w:noProof/>
          <w:lang w:val="fr-FR"/>
        </w:rPr>
      </w:pPr>
      <w:r w:rsidRPr="00DD03D6">
        <w:rPr>
          <w:noProof/>
          <w:lang w:val="fr-FR"/>
        </w:rPr>
        <w:tab/>
      </w:r>
      <w:r w:rsidRPr="00DD03D6">
        <w:rPr>
          <w:noProof/>
          <w:lang w:val="fr-FR"/>
        </w:rPr>
        <w:tab/>
      </w:r>
      <w:r w:rsidR="00361C06">
        <w:rPr>
          <w:noProof/>
          <w:lang w:val="fr-FR"/>
        </w:rPr>
        <w:t>E</w:t>
      </w:r>
      <w:r w:rsidR="001B2F58" w:rsidRPr="00DD03D6">
        <w:rPr>
          <w:noProof/>
          <w:lang w:val="fr-FR"/>
        </w:rPr>
        <w:t>xploitation</w:t>
      </w:r>
      <w:r w:rsidR="00361C06">
        <w:rPr>
          <w:noProof/>
          <w:lang w:val="fr-FR"/>
        </w:rPr>
        <w:t xml:space="preserve"> économique</w:t>
      </w:r>
    </w:p>
    <w:p w:rsidR="001B2F58" w:rsidRPr="00DD03D6" w:rsidRDefault="000847C2" w:rsidP="002C58C8">
      <w:pPr>
        <w:pStyle w:val="SingleTxtG"/>
        <w:numPr>
          <w:ilvl w:val="0"/>
          <w:numId w:val="3"/>
        </w:numPr>
        <w:ind w:left="1134" w:firstLine="0"/>
        <w:rPr>
          <w:noProof/>
          <w:lang w:val="fr-FR"/>
        </w:rPr>
      </w:pPr>
      <w:r>
        <w:rPr>
          <w:noProof/>
          <w:lang w:val="fr-FR"/>
        </w:rPr>
        <w:t xml:space="preserve">Les garanties </w:t>
      </w:r>
      <w:r w:rsidR="001B2F58" w:rsidRPr="00DD03D6">
        <w:rPr>
          <w:noProof/>
          <w:lang w:val="fr-FR"/>
        </w:rPr>
        <w:t>l</w:t>
      </w:r>
      <w:r>
        <w:rPr>
          <w:noProof/>
          <w:lang w:val="fr-FR"/>
        </w:rPr>
        <w:t>é</w:t>
      </w:r>
      <w:r w:rsidR="001B2F58" w:rsidRPr="00DD03D6">
        <w:rPr>
          <w:noProof/>
          <w:lang w:val="fr-FR"/>
        </w:rPr>
        <w:t>gislative</w:t>
      </w:r>
      <w:r>
        <w:rPr>
          <w:noProof/>
          <w:lang w:val="fr-FR"/>
        </w:rPr>
        <w:t>s contre l’</w:t>
      </w:r>
      <w:r w:rsidR="001B2F58" w:rsidRPr="00DD03D6">
        <w:rPr>
          <w:noProof/>
          <w:lang w:val="fr-FR"/>
        </w:rPr>
        <w:t>exp</w:t>
      </w:r>
      <w:r w:rsidR="00753C8C" w:rsidRPr="00DD03D6">
        <w:rPr>
          <w:noProof/>
          <w:lang w:val="fr-FR"/>
        </w:rPr>
        <w:t xml:space="preserve">loitation </w:t>
      </w:r>
      <w:r>
        <w:rPr>
          <w:noProof/>
          <w:lang w:val="fr-FR"/>
        </w:rPr>
        <w:t xml:space="preserve">économique sont présentées dans le tableau </w:t>
      </w:r>
      <w:r w:rsidR="001B2F58" w:rsidRPr="00DD03D6">
        <w:rPr>
          <w:noProof/>
          <w:lang w:val="fr-FR"/>
        </w:rPr>
        <w:t xml:space="preserve">3. </w:t>
      </w:r>
      <w:r>
        <w:rPr>
          <w:noProof/>
          <w:lang w:val="fr-FR"/>
        </w:rPr>
        <w:t xml:space="preserve">Les mesures d’application de cette </w:t>
      </w:r>
      <w:r w:rsidR="001B2F58" w:rsidRPr="00DD03D6">
        <w:rPr>
          <w:noProof/>
          <w:lang w:val="fr-FR"/>
        </w:rPr>
        <w:t>l</w:t>
      </w:r>
      <w:r>
        <w:rPr>
          <w:noProof/>
          <w:lang w:val="fr-FR"/>
        </w:rPr>
        <w:t>é</w:t>
      </w:r>
      <w:r w:rsidR="001B2F58" w:rsidRPr="00DD03D6">
        <w:rPr>
          <w:noProof/>
          <w:lang w:val="fr-FR"/>
        </w:rPr>
        <w:t xml:space="preserve">gislation </w:t>
      </w:r>
      <w:r>
        <w:rPr>
          <w:noProof/>
          <w:lang w:val="fr-FR"/>
        </w:rPr>
        <w:t>ont été indiquées dans le deuxième rapport périodique de l’Irlande</w:t>
      </w:r>
      <w:r w:rsidR="001B2F58" w:rsidRPr="00DD03D6">
        <w:rPr>
          <w:rStyle w:val="Appelnotedebasdep"/>
          <w:noProof/>
          <w:lang w:val="fr-FR"/>
        </w:rPr>
        <w:footnoteReference w:id="48"/>
      </w:r>
      <w:r>
        <w:rPr>
          <w:noProof/>
          <w:lang w:val="fr-FR"/>
        </w:rPr>
        <w:t>.</w:t>
      </w:r>
    </w:p>
    <w:p w:rsidR="001B2F58" w:rsidRPr="00DD03D6" w:rsidRDefault="000C6F27" w:rsidP="000C6F27">
      <w:pPr>
        <w:pStyle w:val="H23G"/>
        <w:rPr>
          <w:noProof/>
          <w:lang w:val="fr-FR"/>
        </w:rPr>
      </w:pPr>
      <w:r w:rsidRPr="00DD03D6">
        <w:rPr>
          <w:noProof/>
          <w:lang w:val="fr-FR"/>
        </w:rPr>
        <w:tab/>
      </w:r>
      <w:r w:rsidRPr="00DD03D6">
        <w:rPr>
          <w:noProof/>
          <w:lang w:val="fr-FR"/>
        </w:rPr>
        <w:tab/>
      </w:r>
      <w:r w:rsidR="00891853">
        <w:rPr>
          <w:noProof/>
          <w:lang w:val="fr-FR"/>
        </w:rPr>
        <w:t>E</w:t>
      </w:r>
      <w:r w:rsidR="001B2F58" w:rsidRPr="00DD03D6">
        <w:rPr>
          <w:noProof/>
          <w:lang w:val="fr-FR"/>
        </w:rPr>
        <w:t xml:space="preserve">xploitation </w:t>
      </w:r>
      <w:r w:rsidR="00891853">
        <w:rPr>
          <w:noProof/>
          <w:lang w:val="fr-FR"/>
        </w:rPr>
        <w:t xml:space="preserve">sexuelle et violence sexuelle </w:t>
      </w:r>
    </w:p>
    <w:p w:rsidR="001B2F58" w:rsidRDefault="00891853" w:rsidP="002C58C8">
      <w:pPr>
        <w:pStyle w:val="SingleTxtG"/>
        <w:numPr>
          <w:ilvl w:val="0"/>
          <w:numId w:val="3"/>
        </w:numPr>
        <w:ind w:left="1134" w:firstLine="0"/>
        <w:rPr>
          <w:noProof/>
          <w:lang w:val="fr-FR"/>
        </w:rPr>
      </w:pPr>
      <w:r>
        <w:rPr>
          <w:noProof/>
          <w:lang w:val="fr-FR"/>
        </w:rPr>
        <w:t xml:space="preserve">Depuis le deuxième rapport périodique de l’Irlande </w:t>
      </w:r>
      <w:r w:rsidR="001B2F58" w:rsidRPr="00DD03D6">
        <w:rPr>
          <w:noProof/>
          <w:lang w:val="fr-FR"/>
        </w:rPr>
        <w:t xml:space="preserve">(2005), </w:t>
      </w:r>
      <w:r>
        <w:rPr>
          <w:noProof/>
          <w:lang w:val="fr-FR"/>
        </w:rPr>
        <w:t>un certain nombre d’enquêtes sur des cas de violence sexuelle se sont déroulées et des mesures ont été mises en place pour protéger les enfants contre cette violence</w:t>
      </w:r>
      <w:r w:rsidR="001B2F58" w:rsidRPr="00DD03D6">
        <w:rPr>
          <w:noProof/>
          <w:lang w:val="fr-FR"/>
        </w:rPr>
        <w:t xml:space="preserve">. </w:t>
      </w:r>
      <w:r>
        <w:rPr>
          <w:noProof/>
          <w:lang w:val="fr-FR"/>
        </w:rPr>
        <w:t xml:space="preserve">Elles sont présentées aux </w:t>
      </w:r>
      <w:r w:rsidR="00CE159B" w:rsidRPr="00DD03D6">
        <w:rPr>
          <w:noProof/>
          <w:lang w:val="fr-FR"/>
        </w:rPr>
        <w:t>p</w:t>
      </w:r>
      <w:r w:rsidR="00796A7C" w:rsidRPr="00DD03D6">
        <w:rPr>
          <w:noProof/>
          <w:lang w:val="fr-FR"/>
        </w:rPr>
        <w:t>aragraph</w:t>
      </w:r>
      <w:r>
        <w:rPr>
          <w:noProof/>
          <w:lang w:val="fr-FR"/>
        </w:rPr>
        <w:t>e</w:t>
      </w:r>
      <w:r w:rsidR="00796A7C" w:rsidRPr="00DD03D6">
        <w:rPr>
          <w:noProof/>
          <w:lang w:val="fr-FR"/>
        </w:rPr>
        <w:t>s </w:t>
      </w:r>
      <w:r w:rsidR="0062390F" w:rsidRPr="00DD03D6">
        <w:rPr>
          <w:noProof/>
          <w:lang w:val="fr-FR"/>
        </w:rPr>
        <w:t>410</w:t>
      </w:r>
      <w:r>
        <w:rPr>
          <w:noProof/>
          <w:lang w:val="fr-FR"/>
        </w:rPr>
        <w:t xml:space="preserve"> à </w:t>
      </w:r>
      <w:r w:rsidR="0062390F" w:rsidRPr="00DD03D6">
        <w:rPr>
          <w:noProof/>
          <w:lang w:val="fr-FR"/>
        </w:rPr>
        <w:t>422</w:t>
      </w:r>
      <w:r w:rsidR="001B2F58" w:rsidRPr="00DD03D6">
        <w:rPr>
          <w:noProof/>
          <w:lang w:val="fr-FR"/>
        </w:rPr>
        <w:t>.</w:t>
      </w:r>
    </w:p>
    <w:p w:rsidR="001B2F58" w:rsidRPr="00DD03D6" w:rsidRDefault="00891853" w:rsidP="004454EF">
      <w:pPr>
        <w:pStyle w:val="SingleTxtG"/>
        <w:numPr>
          <w:ilvl w:val="0"/>
          <w:numId w:val="3"/>
        </w:numPr>
        <w:ind w:left="1134" w:firstLine="0"/>
        <w:rPr>
          <w:noProof/>
          <w:lang w:val="fr-FR"/>
        </w:rPr>
      </w:pPr>
      <w:r>
        <w:rPr>
          <w:noProof/>
          <w:lang w:val="fr-FR"/>
        </w:rPr>
        <w:t xml:space="preserve">La loi de 2006 sur le droit pénal (infractions sexuelles) est entrée en vigueur en juin </w:t>
      </w:r>
      <w:r w:rsidR="001B2F58" w:rsidRPr="00DD03D6">
        <w:rPr>
          <w:noProof/>
          <w:lang w:val="fr-FR"/>
        </w:rPr>
        <w:t xml:space="preserve">2006 </w:t>
      </w:r>
      <w:r>
        <w:rPr>
          <w:noProof/>
          <w:lang w:val="fr-FR"/>
        </w:rPr>
        <w:t xml:space="preserve">et a actualisé les dispositions existantes du droit pénal irlandais régissant la </w:t>
      </w:r>
      <w:r w:rsidR="001B2F58" w:rsidRPr="00DD03D6">
        <w:rPr>
          <w:noProof/>
          <w:lang w:val="fr-FR"/>
        </w:rPr>
        <w:t xml:space="preserve">protection </w:t>
      </w:r>
      <w:r>
        <w:rPr>
          <w:noProof/>
          <w:lang w:val="fr-FR"/>
        </w:rPr>
        <w:t>des enfants âgés de moins de 17 ans contre la violence et l’exploitation sexuelles</w:t>
      </w:r>
      <w:r w:rsidR="001B2F58" w:rsidRPr="00DD03D6">
        <w:rPr>
          <w:noProof/>
          <w:lang w:val="fr-FR"/>
        </w:rPr>
        <w:t xml:space="preserve">. </w:t>
      </w:r>
      <w:r w:rsidR="007112B9">
        <w:rPr>
          <w:noProof/>
          <w:lang w:val="fr-FR"/>
        </w:rPr>
        <w:t xml:space="preserve">Elle </w:t>
      </w:r>
      <w:r w:rsidR="007112B9">
        <w:rPr>
          <w:noProof/>
          <w:lang w:val="fr-FR"/>
        </w:rPr>
        <w:lastRenderedPageBreak/>
        <w:t xml:space="preserve">prévoit notamment un alourdissement de la peine maximale pour l’incitation à la débauche d’un enfant âgé de 15 ou 16 ans lorsque l’infraction est commise par une </w:t>
      </w:r>
      <w:r w:rsidR="007112B9" w:rsidRPr="00DD03D6">
        <w:rPr>
          <w:noProof/>
          <w:lang w:val="fr-FR"/>
        </w:rPr>
        <w:t>person</w:t>
      </w:r>
      <w:r w:rsidR="007112B9">
        <w:rPr>
          <w:noProof/>
          <w:lang w:val="fr-FR"/>
        </w:rPr>
        <w:t>ne exerçant une</w:t>
      </w:r>
      <w:r w:rsidR="007112B9" w:rsidRPr="00DD03D6">
        <w:rPr>
          <w:noProof/>
          <w:lang w:val="fr-FR"/>
        </w:rPr>
        <w:t xml:space="preserve"> </w:t>
      </w:r>
      <w:r w:rsidR="007112B9">
        <w:rPr>
          <w:noProof/>
          <w:lang w:val="fr-FR"/>
        </w:rPr>
        <w:t>aut</w:t>
      </w:r>
      <w:r w:rsidR="007112B9" w:rsidRPr="00DD03D6">
        <w:rPr>
          <w:noProof/>
          <w:lang w:val="fr-FR"/>
        </w:rPr>
        <w:t>orit</w:t>
      </w:r>
      <w:r w:rsidR="007112B9">
        <w:rPr>
          <w:noProof/>
          <w:lang w:val="fr-FR"/>
        </w:rPr>
        <w:t>é</w:t>
      </w:r>
      <w:r w:rsidR="001B2F58" w:rsidRPr="00DD03D6">
        <w:rPr>
          <w:noProof/>
          <w:lang w:val="fr-FR"/>
        </w:rPr>
        <w:t>.</w:t>
      </w:r>
    </w:p>
    <w:p w:rsidR="001B2F58" w:rsidRDefault="005C2ABE" w:rsidP="004454EF">
      <w:pPr>
        <w:pStyle w:val="SingleTxtG"/>
        <w:numPr>
          <w:ilvl w:val="0"/>
          <w:numId w:val="3"/>
        </w:numPr>
        <w:ind w:left="1134" w:firstLine="0"/>
        <w:rPr>
          <w:noProof/>
          <w:lang w:val="fr-FR"/>
        </w:rPr>
      </w:pPr>
      <w:r>
        <w:rPr>
          <w:bCs/>
          <w:noProof/>
          <w:lang w:val="fr-FR"/>
        </w:rPr>
        <w:t>La</w:t>
      </w:r>
      <w:r w:rsidRPr="00DD03D6">
        <w:rPr>
          <w:b/>
          <w:bCs/>
          <w:noProof/>
          <w:lang w:val="fr-FR"/>
        </w:rPr>
        <w:t xml:space="preserve"> </w:t>
      </w:r>
      <w:r w:rsidRPr="005C2ABE">
        <w:rPr>
          <w:bCs/>
          <w:noProof/>
          <w:lang w:val="fr-FR"/>
        </w:rPr>
        <w:t>loi de 2007</w:t>
      </w:r>
      <w:r w:rsidRPr="005C2ABE">
        <w:rPr>
          <w:noProof/>
          <w:lang w:val="fr-FR"/>
        </w:rPr>
        <w:t xml:space="preserve"> portant modification de la loi </w:t>
      </w:r>
      <w:r w:rsidRPr="005C2ABE">
        <w:rPr>
          <w:bCs/>
          <w:noProof/>
          <w:lang w:val="fr-FR"/>
        </w:rPr>
        <w:t>sur le droit pénal</w:t>
      </w:r>
      <w:r w:rsidRPr="005C2ABE">
        <w:rPr>
          <w:noProof/>
          <w:lang w:val="fr-FR"/>
        </w:rPr>
        <w:t xml:space="preserve"> (infractions sexuelles) </w:t>
      </w:r>
      <w:r>
        <w:rPr>
          <w:noProof/>
          <w:lang w:val="fr-FR"/>
        </w:rPr>
        <w:t>a alourdi les peines prévues par la loi de 2006 pour les tentatives d’infraction et actualisé l’infraction consistant à rencontrer un enfant à des fins d’exploitation sexuelle ou à voyager dans cette intention</w:t>
      </w:r>
      <w:r w:rsidR="001B2F58" w:rsidRPr="00DD03D6">
        <w:rPr>
          <w:noProof/>
          <w:lang w:val="fr-FR"/>
        </w:rPr>
        <w:t xml:space="preserve">. </w:t>
      </w:r>
      <w:r>
        <w:rPr>
          <w:noProof/>
          <w:lang w:val="fr-FR"/>
        </w:rPr>
        <w:t>E</w:t>
      </w:r>
      <w:r w:rsidR="001B2F58" w:rsidRPr="00DD03D6">
        <w:rPr>
          <w:noProof/>
          <w:lang w:val="fr-FR"/>
        </w:rPr>
        <w:t xml:space="preserve">n </w:t>
      </w:r>
      <w:r>
        <w:rPr>
          <w:noProof/>
          <w:lang w:val="fr-FR"/>
        </w:rPr>
        <w:t xml:space="preserve">outre, cette loi érige en infraction pénale le même comportement manifesté en dehoirs du pays par </w:t>
      </w:r>
      <w:r w:rsidR="0011416A">
        <w:rPr>
          <w:noProof/>
          <w:lang w:val="fr-FR"/>
        </w:rPr>
        <w:t>d</w:t>
      </w:r>
      <w:r>
        <w:rPr>
          <w:noProof/>
          <w:lang w:val="fr-FR"/>
        </w:rPr>
        <w:t>es ressor</w:t>
      </w:r>
      <w:r w:rsidR="0011416A">
        <w:rPr>
          <w:noProof/>
          <w:lang w:val="fr-FR"/>
        </w:rPr>
        <w:t>t</w:t>
      </w:r>
      <w:r>
        <w:rPr>
          <w:noProof/>
          <w:lang w:val="fr-FR"/>
        </w:rPr>
        <w:t>issants irlandais ou des personnes ayant leur résidence habituelle en Irlande</w:t>
      </w:r>
      <w:r w:rsidR="001B2F58" w:rsidRPr="00DD03D6">
        <w:rPr>
          <w:noProof/>
          <w:lang w:val="fr-FR"/>
        </w:rPr>
        <w:t>.</w:t>
      </w:r>
    </w:p>
    <w:p w:rsidR="001B2F58" w:rsidRPr="00DD03D6" w:rsidRDefault="0011416A" w:rsidP="004454EF">
      <w:pPr>
        <w:pStyle w:val="SingleTxtG"/>
        <w:numPr>
          <w:ilvl w:val="0"/>
          <w:numId w:val="3"/>
        </w:numPr>
        <w:ind w:left="1134" w:firstLine="0"/>
        <w:rPr>
          <w:noProof/>
          <w:lang w:val="fr-FR"/>
        </w:rPr>
      </w:pPr>
      <w:r>
        <w:rPr>
          <w:noProof/>
          <w:lang w:val="fr-FR"/>
        </w:rPr>
        <w:t>Un projet de loi sur les infractions sexuelles destiné à renforcer la protection des enfants contre la violence sexuelle et l’</w:t>
      </w:r>
      <w:r w:rsidR="001B2F58" w:rsidRPr="00DD03D6">
        <w:rPr>
          <w:noProof/>
          <w:lang w:val="fr-FR"/>
        </w:rPr>
        <w:t xml:space="preserve">exploitation </w:t>
      </w:r>
      <w:r>
        <w:rPr>
          <w:noProof/>
          <w:lang w:val="fr-FR"/>
        </w:rPr>
        <w:t xml:space="preserve">sexuelle </w:t>
      </w:r>
      <w:r w:rsidR="008C2D7E">
        <w:rPr>
          <w:noProof/>
          <w:lang w:val="fr-FR"/>
        </w:rPr>
        <w:t>est en bonne voie d’achèvement</w:t>
      </w:r>
      <w:r w:rsidR="001B2F58" w:rsidRPr="00DD03D6">
        <w:rPr>
          <w:noProof/>
          <w:lang w:val="fr-FR"/>
        </w:rPr>
        <w:t xml:space="preserve">. </w:t>
      </w:r>
      <w:r w:rsidR="008C2D7E">
        <w:rPr>
          <w:noProof/>
          <w:lang w:val="fr-FR"/>
        </w:rPr>
        <w:t>Il donnera effet aux recomma</w:t>
      </w:r>
      <w:r w:rsidR="001B2F58" w:rsidRPr="00DD03D6">
        <w:rPr>
          <w:noProof/>
          <w:lang w:val="fr-FR"/>
        </w:rPr>
        <w:t xml:space="preserve">ndations </w:t>
      </w:r>
      <w:r w:rsidR="008C2D7E">
        <w:rPr>
          <w:noProof/>
          <w:lang w:val="fr-FR"/>
        </w:rPr>
        <w:t>des commissions parlementaires et permettra d’appliquer pleinement les dispositions de droit pénal énoncées dans un certain nombre d’instruments juridiques internationaux</w:t>
      </w:r>
      <w:r w:rsidR="001B2F58" w:rsidRPr="00DD03D6">
        <w:rPr>
          <w:noProof/>
          <w:lang w:val="fr-FR"/>
        </w:rPr>
        <w:t xml:space="preserve">. </w:t>
      </w:r>
    </w:p>
    <w:p w:rsidR="001B2F58" w:rsidRPr="00DD03D6" w:rsidRDefault="008C2D7E" w:rsidP="004454EF">
      <w:pPr>
        <w:pStyle w:val="SingleTxtG"/>
        <w:numPr>
          <w:ilvl w:val="0"/>
          <w:numId w:val="3"/>
        </w:numPr>
        <w:ind w:left="1134" w:firstLine="0"/>
        <w:rPr>
          <w:noProof/>
          <w:lang w:val="fr-FR"/>
        </w:rPr>
      </w:pPr>
      <w:r>
        <w:rPr>
          <w:noProof/>
          <w:lang w:val="fr-FR"/>
        </w:rPr>
        <w:t>E</w:t>
      </w:r>
      <w:r w:rsidR="001B2F58" w:rsidRPr="00DD03D6">
        <w:rPr>
          <w:noProof/>
          <w:lang w:val="fr-FR"/>
        </w:rPr>
        <w:t xml:space="preserve">n </w:t>
      </w:r>
      <w:r>
        <w:rPr>
          <w:noProof/>
          <w:lang w:val="fr-FR"/>
        </w:rPr>
        <w:t>av</w:t>
      </w:r>
      <w:r w:rsidR="001B2F58" w:rsidRPr="00DD03D6">
        <w:rPr>
          <w:noProof/>
          <w:lang w:val="fr-FR"/>
        </w:rPr>
        <w:t xml:space="preserve">ril 2010, </w:t>
      </w:r>
      <w:r>
        <w:rPr>
          <w:noProof/>
          <w:lang w:val="fr-FR"/>
        </w:rPr>
        <w:t xml:space="preserve">la </w:t>
      </w:r>
      <w:r w:rsidR="001B2F58" w:rsidRPr="00DD03D6">
        <w:rPr>
          <w:noProof/>
          <w:lang w:val="fr-FR"/>
        </w:rPr>
        <w:t xml:space="preserve">Garda Síochána </w:t>
      </w:r>
      <w:r>
        <w:rPr>
          <w:noProof/>
          <w:lang w:val="fr-FR"/>
        </w:rPr>
        <w:t xml:space="preserve">a publié une politique globale concernant </w:t>
      </w:r>
      <w:r>
        <w:rPr>
          <w:i/>
          <w:noProof/>
          <w:lang w:val="fr-FR"/>
        </w:rPr>
        <w:t>L</w:t>
      </w:r>
      <w:r w:rsidRPr="008C2D7E">
        <w:rPr>
          <w:i/>
          <w:noProof/>
          <w:lang w:val="fr-FR"/>
        </w:rPr>
        <w:t>’enquête sur les infractions sexuelles, les infractions contre les enfants et la protection de l’enfant</w:t>
      </w:r>
      <w:r>
        <w:rPr>
          <w:noProof/>
          <w:lang w:val="fr-FR"/>
        </w:rPr>
        <w:t xml:space="preserve">, qui vise à associer </w:t>
      </w:r>
      <w:r w:rsidRPr="00DD03D6">
        <w:rPr>
          <w:noProof/>
          <w:lang w:val="fr-FR"/>
        </w:rPr>
        <w:t>professio</w:t>
      </w:r>
      <w:r>
        <w:rPr>
          <w:noProof/>
          <w:lang w:val="fr-FR"/>
        </w:rPr>
        <w:t>n</w:t>
      </w:r>
      <w:r w:rsidRPr="00DD03D6">
        <w:rPr>
          <w:noProof/>
          <w:lang w:val="fr-FR"/>
        </w:rPr>
        <w:t>nalism</w:t>
      </w:r>
      <w:r>
        <w:rPr>
          <w:noProof/>
          <w:lang w:val="fr-FR"/>
        </w:rPr>
        <w:t>e</w:t>
      </w:r>
      <w:r w:rsidRPr="00DD03D6">
        <w:rPr>
          <w:noProof/>
          <w:lang w:val="fr-FR"/>
        </w:rPr>
        <w:t xml:space="preserve"> </w:t>
      </w:r>
      <w:r>
        <w:rPr>
          <w:noProof/>
          <w:lang w:val="fr-FR"/>
        </w:rPr>
        <w:t xml:space="preserve">et doigté et </w:t>
      </w:r>
      <w:r w:rsidRPr="00DD03D6">
        <w:rPr>
          <w:noProof/>
          <w:lang w:val="fr-FR"/>
        </w:rPr>
        <w:t xml:space="preserve">compassion </w:t>
      </w:r>
      <w:r>
        <w:rPr>
          <w:noProof/>
          <w:lang w:val="fr-FR"/>
        </w:rPr>
        <w:t>dans l’enquête sur les infractions sexuelles</w:t>
      </w:r>
      <w:r w:rsidR="001B2F58" w:rsidRPr="00DD03D6">
        <w:rPr>
          <w:noProof/>
          <w:lang w:val="fr-FR"/>
        </w:rPr>
        <w:t xml:space="preserve">. </w:t>
      </w:r>
      <w:r>
        <w:rPr>
          <w:noProof/>
          <w:lang w:val="fr-FR"/>
        </w:rPr>
        <w:t xml:space="preserve">Cette politique énonce les normes, </w:t>
      </w:r>
      <w:r w:rsidR="001B2F58" w:rsidRPr="00DD03D6">
        <w:rPr>
          <w:noProof/>
          <w:lang w:val="fr-FR"/>
        </w:rPr>
        <w:t>proc</w:t>
      </w:r>
      <w:r>
        <w:rPr>
          <w:noProof/>
          <w:lang w:val="fr-FR"/>
        </w:rPr>
        <w:t>é</w:t>
      </w:r>
      <w:r w:rsidR="001B2F58" w:rsidRPr="00DD03D6">
        <w:rPr>
          <w:noProof/>
          <w:lang w:val="fr-FR"/>
        </w:rPr>
        <w:t xml:space="preserve">dures </w:t>
      </w:r>
      <w:r>
        <w:rPr>
          <w:noProof/>
          <w:lang w:val="fr-FR"/>
        </w:rPr>
        <w:t>et</w:t>
      </w:r>
      <w:r w:rsidR="001B2F58" w:rsidRPr="00DD03D6">
        <w:rPr>
          <w:noProof/>
          <w:lang w:val="fr-FR"/>
        </w:rPr>
        <w:t xml:space="preserve"> prati</w:t>
      </w:r>
      <w:r>
        <w:rPr>
          <w:noProof/>
          <w:lang w:val="fr-FR"/>
        </w:rPr>
        <w:t>qu</w:t>
      </w:r>
      <w:r w:rsidR="001B2F58" w:rsidRPr="00DD03D6">
        <w:rPr>
          <w:noProof/>
          <w:lang w:val="fr-FR"/>
        </w:rPr>
        <w:t xml:space="preserve">es </w:t>
      </w:r>
      <w:r>
        <w:rPr>
          <w:noProof/>
          <w:lang w:val="fr-FR"/>
        </w:rPr>
        <w:t>à respecter</w:t>
      </w:r>
      <w:r w:rsidR="001B2F58" w:rsidRPr="00DD03D6">
        <w:rPr>
          <w:noProof/>
          <w:lang w:val="fr-FR"/>
        </w:rPr>
        <w:t xml:space="preserve">, </w:t>
      </w:r>
      <w:r>
        <w:rPr>
          <w:noProof/>
          <w:lang w:val="fr-FR"/>
        </w:rPr>
        <w:t xml:space="preserve">fournit des </w:t>
      </w:r>
      <w:r w:rsidR="001B2F58" w:rsidRPr="00DD03D6">
        <w:rPr>
          <w:noProof/>
          <w:lang w:val="fr-FR"/>
        </w:rPr>
        <w:t xml:space="preserve">instructions </w:t>
      </w:r>
      <w:r w:rsidR="005F2AA5">
        <w:rPr>
          <w:noProof/>
          <w:lang w:val="fr-FR"/>
        </w:rPr>
        <w:t>en matière d’évaluation et de gestion du risque</w:t>
      </w:r>
      <w:r w:rsidR="001B2F58" w:rsidRPr="00DD03D6">
        <w:rPr>
          <w:noProof/>
          <w:lang w:val="fr-FR"/>
        </w:rPr>
        <w:t xml:space="preserve"> pos</w:t>
      </w:r>
      <w:r w:rsidR="005F2AA5">
        <w:rPr>
          <w:noProof/>
          <w:lang w:val="fr-FR"/>
        </w:rPr>
        <w:t>é</w:t>
      </w:r>
      <w:r w:rsidR="001B2F58" w:rsidRPr="00DD03D6">
        <w:rPr>
          <w:noProof/>
          <w:lang w:val="fr-FR"/>
        </w:rPr>
        <w:t xml:space="preserve"> </w:t>
      </w:r>
      <w:r w:rsidR="001A2420">
        <w:rPr>
          <w:noProof/>
          <w:lang w:val="fr-FR"/>
        </w:rPr>
        <w:t>pour</w:t>
      </w:r>
      <w:r w:rsidR="005F2AA5">
        <w:rPr>
          <w:noProof/>
          <w:lang w:val="fr-FR"/>
        </w:rPr>
        <w:t xml:space="preserve"> la collectivité </w:t>
      </w:r>
      <w:r w:rsidR="001A2420">
        <w:rPr>
          <w:noProof/>
          <w:lang w:val="fr-FR"/>
        </w:rPr>
        <w:t xml:space="preserve">par </w:t>
      </w:r>
      <w:r w:rsidR="005F003E">
        <w:rPr>
          <w:noProof/>
          <w:lang w:val="fr-FR"/>
        </w:rPr>
        <w:t>les délinquants sexuels condamnés</w:t>
      </w:r>
      <w:r w:rsidR="001B2F58" w:rsidRPr="00DD03D6">
        <w:rPr>
          <w:noProof/>
          <w:lang w:val="fr-FR"/>
        </w:rPr>
        <w:t xml:space="preserve"> </w:t>
      </w:r>
      <w:r w:rsidR="005F003E">
        <w:rPr>
          <w:noProof/>
          <w:lang w:val="fr-FR"/>
        </w:rPr>
        <w:t>et apporte des modifications au rôle des spécialistes des entretiens avec les victimes</w:t>
      </w:r>
      <w:r w:rsidR="001B2F58" w:rsidRPr="00DD03D6">
        <w:rPr>
          <w:noProof/>
          <w:lang w:val="fr-FR"/>
        </w:rPr>
        <w:t xml:space="preserve">. </w:t>
      </w:r>
      <w:r w:rsidR="005F003E">
        <w:rPr>
          <w:noProof/>
          <w:lang w:val="fr-FR"/>
        </w:rPr>
        <w:t>De plus, un Service de gestion des infractions sexuelles a été créé pour assister les membres de la Garda dans le</w:t>
      </w:r>
      <w:r w:rsidR="00420D49">
        <w:rPr>
          <w:noProof/>
          <w:lang w:val="fr-FR"/>
        </w:rPr>
        <w:t>s enquê</w:t>
      </w:r>
      <w:r w:rsidR="005F003E">
        <w:rPr>
          <w:noProof/>
          <w:lang w:val="fr-FR"/>
        </w:rPr>
        <w:t xml:space="preserve">tes menées sur les infractions de ce type, promouvoir les meilleures pratiques en matière d’enquête et suivre un échantillon d’enquêtes pour s’assurer </w:t>
      </w:r>
      <w:r w:rsidR="00D90BAD">
        <w:rPr>
          <w:noProof/>
          <w:lang w:val="fr-FR"/>
        </w:rPr>
        <w:t>qu’une attention appropriée leur est accordée</w:t>
      </w:r>
      <w:r w:rsidR="001B2F58" w:rsidRPr="00DD03D6">
        <w:rPr>
          <w:noProof/>
          <w:lang w:val="fr-FR"/>
        </w:rPr>
        <w:t xml:space="preserve">. </w:t>
      </w:r>
      <w:r w:rsidR="00D90BAD">
        <w:rPr>
          <w:noProof/>
          <w:lang w:val="fr-FR"/>
        </w:rPr>
        <w:t xml:space="preserve">Cette politique fait actuellement l’objet d’un réexamen à la lumière des faits nouveaux survenus depuis sa </w:t>
      </w:r>
      <w:r w:rsidR="001B2F58" w:rsidRPr="00DD03D6">
        <w:rPr>
          <w:noProof/>
          <w:lang w:val="fr-FR"/>
        </w:rPr>
        <w:t xml:space="preserve">publication, </w:t>
      </w:r>
      <w:r w:rsidR="00D90BAD">
        <w:rPr>
          <w:noProof/>
          <w:lang w:val="fr-FR"/>
        </w:rPr>
        <w:t xml:space="preserve">notamment la </w:t>
      </w:r>
      <w:r w:rsidR="001B2F58" w:rsidRPr="00DD03D6">
        <w:rPr>
          <w:noProof/>
          <w:lang w:val="fr-FR"/>
        </w:rPr>
        <w:t xml:space="preserve">publication </w:t>
      </w:r>
      <w:r w:rsidR="00D90BAD">
        <w:rPr>
          <w:noProof/>
          <w:lang w:val="fr-FR"/>
        </w:rPr>
        <w:t xml:space="preserve">en 2011 de la révision des directives nationales intitulées </w:t>
      </w:r>
      <w:r w:rsidR="00D90BAD" w:rsidRPr="00FD2518">
        <w:rPr>
          <w:lang w:val="fr-CH"/>
        </w:rPr>
        <w:t>«</w:t>
      </w:r>
      <w:r w:rsidR="00FD2518">
        <w:rPr>
          <w:i/>
          <w:lang w:val="fr-CH"/>
        </w:rPr>
        <w:t> </w:t>
      </w:r>
      <w:r w:rsidR="00D90BAD" w:rsidRPr="007B3894">
        <w:rPr>
          <w:i/>
          <w:lang w:val="fr-CH"/>
        </w:rPr>
        <w:t>Les enfants d’abord</w:t>
      </w:r>
      <w:r w:rsidR="00D90BAD">
        <w:rPr>
          <w:i/>
          <w:lang w:val="fr-CH"/>
        </w:rPr>
        <w:t xml:space="preserve"> </w:t>
      </w:r>
      <w:r w:rsidR="00D90BAD" w:rsidRPr="007B3894">
        <w:rPr>
          <w:i/>
          <w:lang w:val="fr-CH"/>
        </w:rPr>
        <w:t>: directives nationales pour la protecti</w:t>
      </w:r>
      <w:r w:rsidR="00D90BAD">
        <w:rPr>
          <w:i/>
          <w:lang w:val="fr-CH"/>
        </w:rPr>
        <w:t>on et le bien-être des enfants</w:t>
      </w:r>
      <w:r w:rsidR="00FD2518">
        <w:rPr>
          <w:i/>
          <w:lang w:val="fr-CH"/>
        </w:rPr>
        <w:t> </w:t>
      </w:r>
      <w:r w:rsidR="00D90BAD" w:rsidRPr="00FD2518">
        <w:rPr>
          <w:lang w:val="fr-CH"/>
        </w:rPr>
        <w:t>»</w:t>
      </w:r>
      <w:r w:rsidR="001B2F58" w:rsidRPr="00DD03D6">
        <w:rPr>
          <w:noProof/>
          <w:lang w:val="fr-FR"/>
        </w:rPr>
        <w:t>.</w:t>
      </w:r>
    </w:p>
    <w:p w:rsidR="001B2F58" w:rsidRPr="00DD03D6" w:rsidRDefault="00420D49" w:rsidP="004454EF">
      <w:pPr>
        <w:pStyle w:val="SingleTxtG"/>
        <w:numPr>
          <w:ilvl w:val="0"/>
          <w:numId w:val="3"/>
        </w:numPr>
        <w:ind w:left="1134" w:firstLine="0"/>
        <w:rPr>
          <w:noProof/>
          <w:lang w:val="fr-FR"/>
        </w:rPr>
      </w:pPr>
      <w:r>
        <w:rPr>
          <w:noProof/>
          <w:lang w:val="fr-FR"/>
        </w:rPr>
        <w:t>Le Service d’enquête sur la violence familiale et les agressions sexuelles du Bureau n</w:t>
      </w:r>
      <w:r w:rsidR="001B2F58" w:rsidRPr="00DD03D6">
        <w:rPr>
          <w:noProof/>
          <w:lang w:val="fr-FR"/>
        </w:rPr>
        <w:t xml:space="preserve">ational </w:t>
      </w:r>
      <w:r>
        <w:rPr>
          <w:noProof/>
          <w:lang w:val="fr-FR"/>
        </w:rPr>
        <w:t xml:space="preserve">d’enquêtes pénales est le service </w:t>
      </w:r>
      <w:r w:rsidR="001B2F58" w:rsidRPr="00DD03D6">
        <w:rPr>
          <w:noProof/>
          <w:lang w:val="fr-FR"/>
        </w:rPr>
        <w:t xml:space="preserve">national </w:t>
      </w:r>
      <w:r>
        <w:rPr>
          <w:noProof/>
          <w:lang w:val="fr-FR"/>
        </w:rPr>
        <w:t xml:space="preserve">de la </w:t>
      </w:r>
      <w:r w:rsidR="001B2F58" w:rsidRPr="00DD03D6">
        <w:rPr>
          <w:noProof/>
          <w:lang w:val="fr-FR"/>
        </w:rPr>
        <w:t xml:space="preserve">Garda </w:t>
      </w:r>
      <w:r>
        <w:rPr>
          <w:noProof/>
          <w:lang w:val="fr-FR"/>
        </w:rPr>
        <w:t xml:space="preserve">qui </w:t>
      </w:r>
      <w:r w:rsidR="005920A5">
        <w:rPr>
          <w:noProof/>
          <w:lang w:val="fr-FR"/>
        </w:rPr>
        <w:t xml:space="preserve">met un corps d’experts à la disposition des autres services de la </w:t>
      </w:r>
      <w:r w:rsidR="001B2F58" w:rsidRPr="00DD03D6">
        <w:rPr>
          <w:noProof/>
          <w:lang w:val="fr-FR"/>
        </w:rPr>
        <w:t xml:space="preserve">Garda </w:t>
      </w:r>
      <w:r w:rsidR="005920A5">
        <w:rPr>
          <w:noProof/>
          <w:lang w:val="fr-FR"/>
        </w:rPr>
        <w:t>dans les enquêtes menées sur des infractions à caractère sexuel, notamment les sévices à enfant et l’exploitation sexuelle des enfants</w:t>
      </w:r>
      <w:r w:rsidR="001B2F58" w:rsidRPr="00DD03D6">
        <w:rPr>
          <w:noProof/>
          <w:lang w:val="fr-FR"/>
        </w:rPr>
        <w:t xml:space="preserve">. </w:t>
      </w:r>
      <w:r w:rsidR="005920A5" w:rsidRPr="00FD2518">
        <w:rPr>
          <w:lang w:val="fr-CH"/>
        </w:rPr>
        <w:t>«</w:t>
      </w:r>
      <w:r w:rsidR="00FD2518">
        <w:rPr>
          <w:i/>
          <w:lang w:val="fr-CH"/>
        </w:rPr>
        <w:t> </w:t>
      </w:r>
      <w:r w:rsidR="005920A5" w:rsidRPr="007B3894">
        <w:rPr>
          <w:i/>
          <w:lang w:val="fr-CH"/>
        </w:rPr>
        <w:t>Les enfants d’abord</w:t>
      </w:r>
      <w:r w:rsidR="005920A5">
        <w:rPr>
          <w:i/>
          <w:lang w:val="fr-CH"/>
        </w:rPr>
        <w:t xml:space="preserve"> </w:t>
      </w:r>
      <w:r w:rsidR="005920A5" w:rsidRPr="007B3894">
        <w:rPr>
          <w:i/>
          <w:lang w:val="fr-CH"/>
        </w:rPr>
        <w:t>: directives nationales pour la protecti</w:t>
      </w:r>
      <w:r w:rsidR="005920A5">
        <w:rPr>
          <w:i/>
          <w:lang w:val="fr-CH"/>
        </w:rPr>
        <w:t>on et le bien-être des enfants</w:t>
      </w:r>
      <w:r w:rsidR="00FD2518">
        <w:rPr>
          <w:i/>
          <w:lang w:val="fr-CH"/>
        </w:rPr>
        <w:t> </w:t>
      </w:r>
      <w:r w:rsidR="005920A5" w:rsidRPr="00FD2518">
        <w:rPr>
          <w:lang w:val="fr-CH"/>
        </w:rPr>
        <w:t>»</w:t>
      </w:r>
      <w:r w:rsidR="005920A5">
        <w:rPr>
          <w:noProof/>
          <w:lang w:val="fr-FR"/>
        </w:rPr>
        <w:t xml:space="preserve"> ont été adoptées par la </w:t>
      </w:r>
      <w:r w:rsidR="001B2F58" w:rsidRPr="00DD03D6">
        <w:rPr>
          <w:noProof/>
          <w:lang w:val="fr-FR"/>
        </w:rPr>
        <w:t xml:space="preserve">Garda </w:t>
      </w:r>
      <w:r w:rsidR="005920A5">
        <w:rPr>
          <w:noProof/>
          <w:lang w:val="fr-FR"/>
        </w:rPr>
        <w:t>en tant que document directif concernant le bien-être et la protection des enfants</w:t>
      </w:r>
      <w:r w:rsidR="001B2F58" w:rsidRPr="00DD03D6">
        <w:rPr>
          <w:noProof/>
          <w:lang w:val="fr-FR"/>
        </w:rPr>
        <w:t>.</w:t>
      </w:r>
    </w:p>
    <w:p w:rsidR="001B2F58" w:rsidRPr="00DD03D6" w:rsidRDefault="005920A5" w:rsidP="004454EF">
      <w:pPr>
        <w:pStyle w:val="SingleTxtG"/>
        <w:numPr>
          <w:ilvl w:val="0"/>
          <w:numId w:val="3"/>
        </w:numPr>
        <w:ind w:left="1134" w:firstLine="0"/>
        <w:rPr>
          <w:noProof/>
          <w:lang w:val="fr-FR"/>
        </w:rPr>
      </w:pPr>
      <w:r>
        <w:rPr>
          <w:noProof/>
          <w:lang w:val="fr-FR"/>
        </w:rPr>
        <w:t xml:space="preserve">Répondant à une </w:t>
      </w:r>
      <w:r w:rsidR="001B2F58" w:rsidRPr="00DD03D6">
        <w:rPr>
          <w:noProof/>
          <w:lang w:val="fr-FR"/>
        </w:rPr>
        <w:t xml:space="preserve">invitation </w:t>
      </w:r>
      <w:r w:rsidR="00A313A2">
        <w:rPr>
          <w:noProof/>
          <w:lang w:val="fr-FR"/>
        </w:rPr>
        <w:t>de la</w:t>
      </w:r>
      <w:r>
        <w:rPr>
          <w:noProof/>
          <w:lang w:val="fr-FR"/>
        </w:rPr>
        <w:t xml:space="preserve"> Ministre de l’enfance et de la jeunesse</w:t>
      </w:r>
      <w:r w:rsidR="001B2F58" w:rsidRPr="00DD03D6">
        <w:rPr>
          <w:noProof/>
          <w:lang w:val="fr-FR"/>
        </w:rPr>
        <w:t xml:space="preserve">, Retail Ireland (2012) </w:t>
      </w:r>
      <w:r>
        <w:rPr>
          <w:noProof/>
          <w:lang w:val="fr-FR"/>
        </w:rPr>
        <w:t>a élaboré des directives concernant les vêtements des enfants</w:t>
      </w:r>
      <w:r w:rsidR="001B2F58" w:rsidRPr="00DD03D6">
        <w:rPr>
          <w:noProof/>
          <w:lang w:val="fr-FR"/>
        </w:rPr>
        <w:t xml:space="preserve">. </w:t>
      </w:r>
      <w:r>
        <w:rPr>
          <w:noProof/>
          <w:lang w:val="fr-FR"/>
        </w:rPr>
        <w:t xml:space="preserve">Celles-ci ont été officiellement présentées en juin </w:t>
      </w:r>
      <w:r w:rsidR="001B2F58" w:rsidRPr="00DD03D6">
        <w:rPr>
          <w:noProof/>
          <w:lang w:val="fr-FR"/>
        </w:rPr>
        <w:t xml:space="preserve">2012 </w:t>
      </w:r>
      <w:r>
        <w:rPr>
          <w:noProof/>
          <w:lang w:val="fr-FR"/>
        </w:rPr>
        <w:t xml:space="preserve">et </w:t>
      </w:r>
      <w:r w:rsidR="00B11569">
        <w:rPr>
          <w:noProof/>
          <w:lang w:val="fr-FR"/>
        </w:rPr>
        <w:t>10 des principaux détaillants de vêtements pour enfants y ont adhéré</w:t>
      </w:r>
      <w:r w:rsidR="001B2F58" w:rsidRPr="00DD03D6">
        <w:rPr>
          <w:noProof/>
          <w:lang w:val="fr-FR"/>
        </w:rPr>
        <w:t xml:space="preserve">. </w:t>
      </w:r>
      <w:r w:rsidR="00B11569">
        <w:rPr>
          <w:noProof/>
          <w:lang w:val="fr-FR"/>
        </w:rPr>
        <w:t xml:space="preserve">Elles couvrent le </w:t>
      </w:r>
      <w:r w:rsidR="001B2F58" w:rsidRPr="00DD03D6">
        <w:rPr>
          <w:noProof/>
          <w:lang w:val="fr-FR"/>
        </w:rPr>
        <w:t>styli</w:t>
      </w:r>
      <w:r w:rsidR="00B11569">
        <w:rPr>
          <w:noProof/>
          <w:lang w:val="fr-FR"/>
        </w:rPr>
        <w:t>sme</w:t>
      </w:r>
      <w:r w:rsidR="001B2F58" w:rsidRPr="00DD03D6">
        <w:rPr>
          <w:noProof/>
          <w:lang w:val="fr-FR"/>
        </w:rPr>
        <w:t xml:space="preserve">, </w:t>
      </w:r>
      <w:r w:rsidR="00B11569">
        <w:rPr>
          <w:noProof/>
          <w:lang w:val="fr-FR"/>
        </w:rPr>
        <w:t>le dimensionnement</w:t>
      </w:r>
      <w:r w:rsidR="001B2F58" w:rsidRPr="00DD03D6">
        <w:rPr>
          <w:noProof/>
          <w:lang w:val="fr-FR"/>
        </w:rPr>
        <w:t xml:space="preserve">, </w:t>
      </w:r>
      <w:r w:rsidR="00B11569">
        <w:rPr>
          <w:noProof/>
          <w:lang w:val="fr-FR"/>
        </w:rPr>
        <w:t xml:space="preserve">l’étiquetage et le </w:t>
      </w:r>
      <w:r w:rsidR="001B2F58" w:rsidRPr="00DD03D6">
        <w:rPr>
          <w:noProof/>
          <w:lang w:val="fr-FR"/>
        </w:rPr>
        <w:t xml:space="preserve">marketing </w:t>
      </w:r>
      <w:r w:rsidR="00B11569">
        <w:rPr>
          <w:noProof/>
          <w:lang w:val="fr-FR"/>
        </w:rPr>
        <w:t>des vêtements</w:t>
      </w:r>
      <w:r w:rsidR="001B2F58" w:rsidRPr="00DD03D6">
        <w:rPr>
          <w:noProof/>
          <w:lang w:val="fr-FR"/>
        </w:rPr>
        <w:t xml:space="preserve">, </w:t>
      </w:r>
      <w:r w:rsidR="00B11569">
        <w:rPr>
          <w:noProof/>
          <w:lang w:val="fr-FR"/>
        </w:rPr>
        <w:t>chaussures et accessoires</w:t>
      </w:r>
      <w:r w:rsidR="001B2F58" w:rsidRPr="00DD03D6">
        <w:rPr>
          <w:noProof/>
          <w:lang w:val="fr-FR"/>
        </w:rPr>
        <w:t xml:space="preserve"> </w:t>
      </w:r>
      <w:r w:rsidR="00B11569">
        <w:rPr>
          <w:noProof/>
          <w:lang w:val="fr-FR"/>
        </w:rPr>
        <w:t>pour enfants</w:t>
      </w:r>
      <w:r w:rsidR="001B2F58" w:rsidRPr="00DD03D6">
        <w:rPr>
          <w:noProof/>
          <w:lang w:val="fr-FR"/>
        </w:rPr>
        <w:t xml:space="preserve">. </w:t>
      </w:r>
      <w:r w:rsidR="00B11569">
        <w:rPr>
          <w:noProof/>
          <w:lang w:val="fr-FR"/>
        </w:rPr>
        <w:t>Entre autres directives, les tissus et les coupes doivent respecter la décence</w:t>
      </w:r>
      <w:r w:rsidR="001B2F58" w:rsidRPr="00DD03D6">
        <w:rPr>
          <w:noProof/>
          <w:lang w:val="fr-FR"/>
        </w:rPr>
        <w:t xml:space="preserve">, </w:t>
      </w:r>
      <w:r w:rsidR="00B11569">
        <w:rPr>
          <w:noProof/>
          <w:lang w:val="fr-FR"/>
        </w:rPr>
        <w:t xml:space="preserve">les </w:t>
      </w:r>
      <w:r w:rsidR="001B2F58" w:rsidRPr="00DD03D6">
        <w:rPr>
          <w:noProof/>
          <w:lang w:val="fr-FR"/>
        </w:rPr>
        <w:t xml:space="preserve">slogans </w:t>
      </w:r>
      <w:r w:rsidR="00B11569">
        <w:rPr>
          <w:noProof/>
          <w:lang w:val="fr-FR"/>
        </w:rPr>
        <w:t xml:space="preserve">et les </w:t>
      </w:r>
      <w:r w:rsidR="001B2F58" w:rsidRPr="00DD03D6">
        <w:rPr>
          <w:noProof/>
          <w:lang w:val="fr-FR"/>
        </w:rPr>
        <w:t xml:space="preserve">images </w:t>
      </w:r>
      <w:r w:rsidR="00B11569">
        <w:rPr>
          <w:noProof/>
          <w:lang w:val="fr-FR"/>
        </w:rPr>
        <w:t xml:space="preserve">doivent </w:t>
      </w:r>
      <w:r w:rsidR="00525559">
        <w:rPr>
          <w:noProof/>
          <w:lang w:val="fr-FR"/>
        </w:rPr>
        <w:t>être adaptés en fonction de l’âge et les sous-vêtements ne doivent pas comporter d’éléments valorisants ou d’armatures et doivent être étiqueté</w:t>
      </w:r>
      <w:r w:rsidR="00531E06">
        <w:rPr>
          <w:noProof/>
          <w:lang w:val="fr-FR"/>
        </w:rPr>
        <w:t>s</w:t>
      </w:r>
      <w:r w:rsidR="00525559">
        <w:rPr>
          <w:noProof/>
          <w:lang w:val="fr-FR"/>
        </w:rPr>
        <w:t xml:space="preserve"> non pas selon l’âge, mais selon le tour de poitrine</w:t>
      </w:r>
      <w:r w:rsidR="001B2F58" w:rsidRPr="00DD03D6">
        <w:rPr>
          <w:noProof/>
          <w:lang w:val="fr-FR"/>
        </w:rPr>
        <w:t>.</w:t>
      </w:r>
    </w:p>
    <w:p w:rsidR="001B2F58" w:rsidRPr="00DD03D6" w:rsidRDefault="00525559" w:rsidP="00525559">
      <w:pPr>
        <w:pStyle w:val="H23G"/>
        <w:ind w:firstLine="0"/>
        <w:rPr>
          <w:noProof/>
          <w:lang w:val="fr-FR"/>
        </w:rPr>
      </w:pPr>
      <w:r>
        <w:rPr>
          <w:noProof/>
          <w:lang w:val="fr-FR"/>
        </w:rPr>
        <w:t>Vente, traite et enlèvement</w:t>
      </w:r>
      <w:r w:rsidR="001B2F58" w:rsidRPr="00DD03D6">
        <w:rPr>
          <w:noProof/>
          <w:lang w:val="fr-FR"/>
        </w:rPr>
        <w:t xml:space="preserve"> </w:t>
      </w:r>
    </w:p>
    <w:p w:rsidR="001B2F58" w:rsidRPr="004D367F" w:rsidRDefault="00525559" w:rsidP="002C58C8">
      <w:pPr>
        <w:pStyle w:val="SingleTxtG"/>
        <w:numPr>
          <w:ilvl w:val="0"/>
          <w:numId w:val="3"/>
        </w:numPr>
        <w:ind w:left="1134" w:firstLine="0"/>
        <w:rPr>
          <w:iCs/>
          <w:noProof/>
          <w:lang w:val="fr-FR"/>
        </w:rPr>
      </w:pPr>
      <w:r>
        <w:rPr>
          <w:noProof/>
          <w:lang w:val="fr-FR"/>
        </w:rPr>
        <w:t>Les mesures adoptées récemment pour lutter contre l’enlèvement d’enfants ont été</w:t>
      </w:r>
      <w:r w:rsidR="00547E30">
        <w:rPr>
          <w:noProof/>
          <w:lang w:val="fr-FR"/>
        </w:rPr>
        <w:t xml:space="preserve"> </w:t>
      </w:r>
      <w:r>
        <w:rPr>
          <w:noProof/>
          <w:lang w:val="fr-FR"/>
        </w:rPr>
        <w:t xml:space="preserve">présentées aux </w:t>
      </w:r>
      <w:r w:rsidR="00863C4A" w:rsidRPr="00DD03D6">
        <w:rPr>
          <w:noProof/>
          <w:lang w:val="fr-FR"/>
        </w:rPr>
        <w:t>p</w:t>
      </w:r>
      <w:r w:rsidR="00796A7C" w:rsidRPr="00DD03D6">
        <w:rPr>
          <w:noProof/>
          <w:lang w:val="fr-FR"/>
        </w:rPr>
        <w:t>aragraph</w:t>
      </w:r>
      <w:r>
        <w:rPr>
          <w:noProof/>
          <w:lang w:val="fr-FR"/>
        </w:rPr>
        <w:t>e</w:t>
      </w:r>
      <w:r w:rsidR="00796A7C" w:rsidRPr="00DD03D6">
        <w:rPr>
          <w:noProof/>
          <w:lang w:val="fr-FR"/>
        </w:rPr>
        <w:t>s </w:t>
      </w:r>
      <w:r>
        <w:rPr>
          <w:noProof/>
          <w:lang w:val="fr-FR"/>
        </w:rPr>
        <w:t xml:space="preserve">441 à </w:t>
      </w:r>
      <w:r w:rsidR="007D6093" w:rsidRPr="00DD03D6">
        <w:rPr>
          <w:noProof/>
          <w:lang w:val="fr-FR"/>
        </w:rPr>
        <w:t>447</w:t>
      </w:r>
      <w:r w:rsidR="001B2F58" w:rsidRPr="00DD03D6">
        <w:rPr>
          <w:noProof/>
          <w:lang w:val="fr-FR"/>
        </w:rPr>
        <w:t>.</w:t>
      </w:r>
    </w:p>
    <w:p w:rsidR="001B2F58" w:rsidRPr="00DD03D6" w:rsidRDefault="004B57FC" w:rsidP="005D7533">
      <w:pPr>
        <w:pStyle w:val="SingleTxtG"/>
        <w:numPr>
          <w:ilvl w:val="0"/>
          <w:numId w:val="3"/>
        </w:numPr>
        <w:ind w:left="1134" w:firstLine="0"/>
        <w:rPr>
          <w:noProof/>
          <w:lang w:val="fr-FR"/>
        </w:rPr>
      </w:pPr>
      <w:r>
        <w:rPr>
          <w:noProof/>
          <w:lang w:val="fr-FR"/>
        </w:rPr>
        <w:t>E</w:t>
      </w:r>
      <w:r w:rsidR="001B2F58" w:rsidRPr="00DD03D6">
        <w:rPr>
          <w:noProof/>
          <w:lang w:val="fr-FR"/>
        </w:rPr>
        <w:t xml:space="preserve">n </w:t>
      </w:r>
      <w:r>
        <w:rPr>
          <w:noProof/>
          <w:lang w:val="fr-FR"/>
        </w:rPr>
        <w:t xml:space="preserve">février </w:t>
      </w:r>
      <w:r w:rsidR="001B2F58" w:rsidRPr="00DD03D6">
        <w:rPr>
          <w:noProof/>
          <w:lang w:val="fr-FR"/>
        </w:rPr>
        <w:t xml:space="preserve">2008, </w:t>
      </w:r>
      <w:r w:rsidR="00FC5270">
        <w:rPr>
          <w:noProof/>
          <w:lang w:val="fr-FR"/>
        </w:rPr>
        <w:t>le Service de lutte contre la traite des êtres humains a été créé au sein du Ministère de la j</w:t>
      </w:r>
      <w:r w:rsidR="001B2F58" w:rsidRPr="00DD03D6">
        <w:rPr>
          <w:noProof/>
          <w:lang w:val="fr-FR"/>
        </w:rPr>
        <w:t xml:space="preserve">ustice </w:t>
      </w:r>
      <w:r w:rsidR="00FC5270">
        <w:rPr>
          <w:noProof/>
          <w:lang w:val="fr-FR"/>
        </w:rPr>
        <w:t xml:space="preserve">et de l’égalité pour permettre à l’Irlande d’apporter une </w:t>
      </w:r>
      <w:r w:rsidR="00FC5270">
        <w:rPr>
          <w:noProof/>
          <w:lang w:val="fr-FR"/>
        </w:rPr>
        <w:lastRenderedPageBreak/>
        <w:t>réponse coordonnée, globale et intégrée au problème de la traite des êtres humains</w:t>
      </w:r>
      <w:r w:rsidR="001B2F58" w:rsidRPr="00DD03D6">
        <w:rPr>
          <w:noProof/>
          <w:lang w:val="fr-FR"/>
        </w:rPr>
        <w:t xml:space="preserve">. </w:t>
      </w:r>
      <w:r w:rsidR="001776BB">
        <w:rPr>
          <w:noProof/>
          <w:lang w:val="fr-FR"/>
        </w:rPr>
        <w:t xml:space="preserve">Un élément clef de cette </w:t>
      </w:r>
      <w:r w:rsidR="001B2F58" w:rsidRPr="00DD03D6">
        <w:rPr>
          <w:noProof/>
          <w:lang w:val="fr-FR"/>
        </w:rPr>
        <w:t>strat</w:t>
      </w:r>
      <w:r w:rsidR="001776BB">
        <w:rPr>
          <w:noProof/>
          <w:lang w:val="fr-FR"/>
        </w:rPr>
        <w:t>é</w:t>
      </w:r>
      <w:r w:rsidR="001B2F58" w:rsidRPr="00DD03D6">
        <w:rPr>
          <w:noProof/>
          <w:lang w:val="fr-FR"/>
        </w:rPr>
        <w:t>g</w:t>
      </w:r>
      <w:r w:rsidR="001776BB">
        <w:rPr>
          <w:noProof/>
          <w:lang w:val="fr-FR"/>
        </w:rPr>
        <w:t xml:space="preserve">ie est le </w:t>
      </w:r>
      <w:r w:rsidR="001776BB" w:rsidRPr="001776BB">
        <w:rPr>
          <w:i/>
          <w:noProof/>
          <w:lang w:val="fr-FR"/>
        </w:rPr>
        <w:t>Plan national d’action préventive et de lutte contre la traite des êtres humains en Irlande pour</w:t>
      </w:r>
      <w:r w:rsidR="001776BB" w:rsidRPr="00DD03D6">
        <w:rPr>
          <w:noProof/>
          <w:lang w:val="fr-FR"/>
        </w:rPr>
        <w:t xml:space="preserve"> </w:t>
      </w:r>
      <w:r w:rsidR="001B2F58" w:rsidRPr="00DD03D6">
        <w:rPr>
          <w:i/>
          <w:iCs/>
          <w:noProof/>
          <w:lang w:val="fr-FR"/>
        </w:rPr>
        <w:t>2009-2012</w:t>
      </w:r>
      <w:r w:rsidR="001B2F58" w:rsidRPr="00DD03D6">
        <w:rPr>
          <w:iCs/>
          <w:noProof/>
          <w:lang w:val="fr-FR"/>
        </w:rPr>
        <w:t>,</w:t>
      </w:r>
      <w:r w:rsidR="001B2F58" w:rsidRPr="00DD03D6">
        <w:rPr>
          <w:noProof/>
          <w:lang w:val="fr-FR"/>
        </w:rPr>
        <w:t xml:space="preserve"> </w:t>
      </w:r>
      <w:r w:rsidR="001776BB">
        <w:rPr>
          <w:noProof/>
          <w:lang w:val="fr-FR"/>
        </w:rPr>
        <w:t>qui a été publié par le Ministre de la j</w:t>
      </w:r>
      <w:r w:rsidR="001B2F58" w:rsidRPr="00DD03D6">
        <w:rPr>
          <w:noProof/>
          <w:lang w:val="fr-FR"/>
        </w:rPr>
        <w:t xml:space="preserve">ustice </w:t>
      </w:r>
      <w:r w:rsidR="001776BB">
        <w:rPr>
          <w:noProof/>
          <w:lang w:val="fr-FR"/>
        </w:rPr>
        <w:t xml:space="preserve">et de l’égalité en juin </w:t>
      </w:r>
      <w:r w:rsidR="001B2F58" w:rsidRPr="00DD03D6">
        <w:rPr>
          <w:noProof/>
          <w:lang w:val="fr-FR"/>
        </w:rPr>
        <w:t xml:space="preserve">2009. </w:t>
      </w:r>
      <w:r w:rsidR="001776BB">
        <w:rPr>
          <w:noProof/>
          <w:lang w:val="fr-FR"/>
        </w:rPr>
        <w:t xml:space="preserve">Le site Web </w:t>
      </w:r>
      <w:hyperlink r:id="rId38" w:history="1">
        <w:r w:rsidR="001B2F58" w:rsidRPr="00DD03D6">
          <w:rPr>
            <w:rStyle w:val="Lienhypertexte"/>
            <w:noProof/>
            <w:color w:val="0000FF"/>
            <w:u w:val="single"/>
            <w:lang w:val="fr-FR"/>
          </w:rPr>
          <w:t>www.blueblindfold.gov.ie</w:t>
        </w:r>
      </w:hyperlink>
      <w:r w:rsidR="001B2F58" w:rsidRPr="00DD03D6">
        <w:rPr>
          <w:noProof/>
          <w:lang w:val="fr-FR"/>
        </w:rPr>
        <w:t xml:space="preserve"> </w:t>
      </w:r>
      <w:r w:rsidR="001776BB">
        <w:rPr>
          <w:noProof/>
          <w:lang w:val="fr-FR"/>
        </w:rPr>
        <w:t xml:space="preserve">donne toutes les informations nécessaires sur le </w:t>
      </w:r>
      <w:r w:rsidR="001B2F58" w:rsidRPr="00DD03D6">
        <w:rPr>
          <w:noProof/>
          <w:lang w:val="fr-FR"/>
        </w:rPr>
        <w:t>c</w:t>
      </w:r>
      <w:r w:rsidR="005D7533" w:rsidRPr="00DD03D6">
        <w:rPr>
          <w:noProof/>
          <w:lang w:val="fr-FR"/>
        </w:rPr>
        <w:t xml:space="preserve">oncept </w:t>
      </w:r>
      <w:r w:rsidR="001776BB">
        <w:rPr>
          <w:noProof/>
          <w:lang w:val="fr-FR"/>
        </w:rPr>
        <w:t>de « Bandeau bleu »</w:t>
      </w:r>
      <w:r w:rsidR="005D7533" w:rsidRPr="00DD03D6">
        <w:rPr>
          <w:noProof/>
          <w:lang w:val="fr-FR"/>
        </w:rPr>
        <w:t xml:space="preserve"> – </w:t>
      </w:r>
      <w:r w:rsidR="00BE5B5E">
        <w:rPr>
          <w:noProof/>
          <w:lang w:val="fr-FR"/>
        </w:rPr>
        <w:t>« </w:t>
      </w:r>
      <w:r w:rsidR="001776BB">
        <w:rPr>
          <w:noProof/>
          <w:lang w:val="fr-FR"/>
        </w:rPr>
        <w:t>Ne fermez pas les yeux sur la traite des êtres humains</w:t>
      </w:r>
      <w:r w:rsidR="00BE5B5E">
        <w:rPr>
          <w:noProof/>
          <w:lang w:val="fr-FR"/>
        </w:rPr>
        <w:t> »</w:t>
      </w:r>
      <w:r w:rsidR="001B2F58" w:rsidRPr="00DD03D6">
        <w:rPr>
          <w:noProof/>
          <w:lang w:val="fr-FR"/>
        </w:rPr>
        <w:t>.</w:t>
      </w:r>
    </w:p>
    <w:p w:rsidR="001B2F58" w:rsidRPr="00DD03D6" w:rsidRDefault="001776BB" w:rsidP="002C58C8">
      <w:pPr>
        <w:pStyle w:val="SingleTxtG"/>
        <w:numPr>
          <w:ilvl w:val="0"/>
          <w:numId w:val="3"/>
        </w:numPr>
        <w:ind w:left="1134" w:firstLine="0"/>
        <w:rPr>
          <w:noProof/>
          <w:lang w:val="fr-FR"/>
        </w:rPr>
      </w:pPr>
      <w:r>
        <w:rPr>
          <w:noProof/>
          <w:lang w:val="fr-FR"/>
        </w:rPr>
        <w:t>Le Plan d’a</w:t>
      </w:r>
      <w:r w:rsidR="001B2F58" w:rsidRPr="00DD03D6">
        <w:rPr>
          <w:noProof/>
          <w:lang w:val="fr-FR"/>
        </w:rPr>
        <w:t xml:space="preserve">ction </w:t>
      </w:r>
      <w:r>
        <w:rPr>
          <w:noProof/>
          <w:lang w:val="fr-FR"/>
        </w:rPr>
        <w:t>cherche avant tout à empêcher la traite des êtres humains à devenir un grave problème en Ir</w:t>
      </w:r>
      <w:r w:rsidR="001B2F58" w:rsidRPr="00DD03D6">
        <w:rPr>
          <w:noProof/>
          <w:lang w:val="fr-FR"/>
        </w:rPr>
        <w:t>land</w:t>
      </w:r>
      <w:r>
        <w:rPr>
          <w:noProof/>
          <w:lang w:val="fr-FR"/>
        </w:rPr>
        <w:t>e</w:t>
      </w:r>
      <w:r w:rsidR="001B2F58" w:rsidRPr="00DD03D6">
        <w:rPr>
          <w:noProof/>
          <w:lang w:val="fr-FR"/>
        </w:rPr>
        <w:t xml:space="preserve">. </w:t>
      </w:r>
      <w:r w:rsidR="00D91C94">
        <w:rPr>
          <w:noProof/>
          <w:lang w:val="fr-FR"/>
        </w:rPr>
        <w:t xml:space="preserve">Il se compose de quatre parties principales </w:t>
      </w:r>
      <w:r w:rsidR="001B2F58" w:rsidRPr="00DD03D6">
        <w:rPr>
          <w:noProof/>
          <w:lang w:val="fr-FR"/>
        </w:rPr>
        <w:t xml:space="preserve">: i) </w:t>
      </w:r>
      <w:r w:rsidR="00D91C94">
        <w:rPr>
          <w:noProof/>
          <w:lang w:val="fr-FR"/>
        </w:rPr>
        <w:t>pré</w:t>
      </w:r>
      <w:r w:rsidR="001B2F58" w:rsidRPr="00DD03D6">
        <w:rPr>
          <w:noProof/>
          <w:lang w:val="fr-FR"/>
        </w:rPr>
        <w:t xml:space="preserve">vention </w:t>
      </w:r>
      <w:r w:rsidR="00D91C94">
        <w:rPr>
          <w:noProof/>
          <w:lang w:val="fr-FR"/>
        </w:rPr>
        <w:t>et sensibilisation</w:t>
      </w:r>
      <w:r w:rsidR="001B2F58" w:rsidRPr="00DD03D6">
        <w:rPr>
          <w:noProof/>
          <w:lang w:val="fr-FR"/>
        </w:rPr>
        <w:t xml:space="preserve">; ii) </w:t>
      </w:r>
      <w:r w:rsidR="00D91C94">
        <w:rPr>
          <w:noProof/>
          <w:lang w:val="fr-FR"/>
        </w:rPr>
        <w:t>poursuite des trafiquants</w:t>
      </w:r>
      <w:r w:rsidR="001B2F58" w:rsidRPr="00DD03D6">
        <w:rPr>
          <w:noProof/>
          <w:lang w:val="fr-FR"/>
        </w:rPr>
        <w:t xml:space="preserve">; iii) </w:t>
      </w:r>
      <w:r w:rsidR="00D91C94">
        <w:rPr>
          <w:noProof/>
          <w:lang w:val="fr-FR"/>
        </w:rPr>
        <w:t>p</w:t>
      </w:r>
      <w:r w:rsidR="001B2F58" w:rsidRPr="00DD03D6">
        <w:rPr>
          <w:noProof/>
          <w:lang w:val="fr-FR"/>
        </w:rPr>
        <w:t xml:space="preserve">rotection </w:t>
      </w:r>
      <w:r w:rsidR="00D91C94">
        <w:rPr>
          <w:noProof/>
          <w:lang w:val="fr-FR"/>
        </w:rPr>
        <w:t>des</w:t>
      </w:r>
      <w:r w:rsidR="001B2F58" w:rsidRPr="00DD03D6">
        <w:rPr>
          <w:noProof/>
          <w:lang w:val="fr-FR"/>
        </w:rPr>
        <w:t xml:space="preserve"> victim</w:t>
      </w:r>
      <w:r w:rsidR="00D91C94">
        <w:rPr>
          <w:noProof/>
          <w:lang w:val="fr-FR"/>
        </w:rPr>
        <w:t>e</w:t>
      </w:r>
      <w:r w:rsidR="001B2F58" w:rsidRPr="00DD03D6">
        <w:rPr>
          <w:noProof/>
          <w:lang w:val="fr-FR"/>
        </w:rPr>
        <w:t xml:space="preserve">s; </w:t>
      </w:r>
      <w:r w:rsidR="00D91C94">
        <w:rPr>
          <w:noProof/>
          <w:lang w:val="fr-FR"/>
        </w:rPr>
        <w:t>et</w:t>
      </w:r>
      <w:r w:rsidR="001B2F58" w:rsidRPr="00DD03D6">
        <w:rPr>
          <w:noProof/>
          <w:lang w:val="fr-FR"/>
        </w:rPr>
        <w:t xml:space="preserve"> iv) </w:t>
      </w:r>
      <w:r w:rsidR="00D91C94">
        <w:rPr>
          <w:noProof/>
          <w:lang w:val="fr-FR"/>
        </w:rPr>
        <w:t>traite des enfants</w:t>
      </w:r>
      <w:r w:rsidR="001B2F58" w:rsidRPr="00DD03D6">
        <w:rPr>
          <w:noProof/>
          <w:lang w:val="fr-FR"/>
        </w:rPr>
        <w:t xml:space="preserve">. </w:t>
      </w:r>
      <w:r w:rsidR="00D91C94">
        <w:rPr>
          <w:noProof/>
          <w:lang w:val="fr-FR"/>
        </w:rPr>
        <w:t xml:space="preserve">Il présente les </w:t>
      </w:r>
      <w:r w:rsidR="001B2F58" w:rsidRPr="00DD03D6">
        <w:rPr>
          <w:noProof/>
          <w:lang w:val="fr-FR"/>
        </w:rPr>
        <w:t xml:space="preserve">structures </w:t>
      </w:r>
      <w:r w:rsidR="00D91C94">
        <w:rPr>
          <w:noProof/>
          <w:lang w:val="fr-FR"/>
        </w:rPr>
        <w:t>qui ont permis au pays de se conformer aux dispositions des instruments internationaux pertinents</w:t>
      </w:r>
      <w:r w:rsidR="001B2F58" w:rsidRPr="00DD03D6">
        <w:rPr>
          <w:noProof/>
          <w:lang w:val="fr-FR"/>
        </w:rPr>
        <w:t xml:space="preserve">. </w:t>
      </w:r>
      <w:r w:rsidR="00D91C94">
        <w:rPr>
          <w:noProof/>
          <w:lang w:val="fr-FR"/>
        </w:rPr>
        <w:t>L’</w:t>
      </w:r>
      <w:r w:rsidR="001B2F58" w:rsidRPr="00DD03D6">
        <w:rPr>
          <w:noProof/>
          <w:lang w:val="fr-FR"/>
        </w:rPr>
        <w:t>Irland</w:t>
      </w:r>
      <w:r w:rsidR="00D91C94">
        <w:rPr>
          <w:noProof/>
          <w:lang w:val="fr-FR"/>
        </w:rPr>
        <w:t>e</w:t>
      </w:r>
      <w:r w:rsidR="001B2F58" w:rsidRPr="00DD03D6">
        <w:rPr>
          <w:noProof/>
          <w:lang w:val="fr-FR"/>
        </w:rPr>
        <w:t xml:space="preserve"> </w:t>
      </w:r>
      <w:r w:rsidR="0036759E">
        <w:rPr>
          <w:noProof/>
          <w:lang w:val="fr-FR"/>
        </w:rPr>
        <w:t>a ratifié la Convention du Conseil de l’Europe sur la lutte contre la traite des êtres humains, qui est entrée en vigueur en Irlande le 1</w:t>
      </w:r>
      <w:r w:rsidR="0036759E" w:rsidRPr="0036759E">
        <w:rPr>
          <w:noProof/>
          <w:vertAlign w:val="superscript"/>
          <w:lang w:val="fr-FR"/>
        </w:rPr>
        <w:t>er</w:t>
      </w:r>
      <w:r w:rsidR="0036759E">
        <w:rPr>
          <w:noProof/>
          <w:lang w:val="fr-FR"/>
        </w:rPr>
        <w:t xml:space="preserve"> novembre</w:t>
      </w:r>
      <w:r w:rsidR="0036759E" w:rsidRPr="00DD03D6">
        <w:rPr>
          <w:noProof/>
          <w:lang w:val="fr-FR"/>
        </w:rPr>
        <w:t xml:space="preserve"> </w:t>
      </w:r>
      <w:r w:rsidR="001B2F58" w:rsidRPr="00DD03D6">
        <w:rPr>
          <w:noProof/>
          <w:lang w:val="fr-FR"/>
        </w:rPr>
        <w:t xml:space="preserve">2010. </w:t>
      </w:r>
      <w:r w:rsidR="0036759E">
        <w:rPr>
          <w:noProof/>
          <w:lang w:val="fr-FR"/>
        </w:rPr>
        <w:t>Elle</w:t>
      </w:r>
      <w:r w:rsidR="0036759E" w:rsidRPr="00DD03D6">
        <w:rPr>
          <w:noProof/>
          <w:lang w:val="fr-FR"/>
        </w:rPr>
        <w:t xml:space="preserve"> </w:t>
      </w:r>
      <w:r w:rsidR="0036759E">
        <w:rPr>
          <w:noProof/>
          <w:lang w:val="fr-FR"/>
        </w:rPr>
        <w:t xml:space="preserve">a également </w:t>
      </w:r>
      <w:r w:rsidR="0036759E" w:rsidRPr="00DD03D6">
        <w:rPr>
          <w:noProof/>
          <w:lang w:val="fr-FR"/>
        </w:rPr>
        <w:t>ratifi</w:t>
      </w:r>
      <w:r w:rsidR="0036759E">
        <w:rPr>
          <w:noProof/>
          <w:lang w:val="fr-FR"/>
        </w:rPr>
        <w:t xml:space="preserve">é le </w:t>
      </w:r>
      <w:r w:rsidR="0036759E" w:rsidRPr="00113E72">
        <w:rPr>
          <w:noProof/>
          <w:lang w:val="fr-FR"/>
        </w:rPr>
        <w:t xml:space="preserve">Protocole additionnel </w:t>
      </w:r>
      <w:r w:rsidR="0036759E">
        <w:rPr>
          <w:noProof/>
          <w:lang w:val="fr-FR"/>
        </w:rPr>
        <w:t>à la Convention des Nations Unies contre la criminalité transnationale organisée visant à prévenir, réprimer et punir la traite des personnes, en particulier des femmes et des enfants</w:t>
      </w:r>
      <w:r w:rsidR="0036759E" w:rsidRPr="00113E72">
        <w:rPr>
          <w:noProof/>
          <w:lang w:val="fr-FR"/>
        </w:rPr>
        <w:t xml:space="preserve">, </w:t>
      </w:r>
      <w:r w:rsidR="0036759E">
        <w:rPr>
          <w:noProof/>
          <w:lang w:val="fr-FR"/>
        </w:rPr>
        <w:t xml:space="preserve">qui est entré en vigueur dans le pays le </w:t>
      </w:r>
      <w:r w:rsidR="0036759E" w:rsidRPr="00113E72">
        <w:rPr>
          <w:noProof/>
          <w:lang w:val="fr-FR"/>
        </w:rPr>
        <w:t xml:space="preserve">17 </w:t>
      </w:r>
      <w:r w:rsidR="0036759E">
        <w:rPr>
          <w:noProof/>
          <w:lang w:val="fr-FR"/>
        </w:rPr>
        <w:t xml:space="preserve">juillet </w:t>
      </w:r>
      <w:r w:rsidR="0036759E" w:rsidRPr="00113E72">
        <w:rPr>
          <w:noProof/>
          <w:lang w:val="fr-FR"/>
        </w:rPr>
        <w:t>2010</w:t>
      </w:r>
      <w:r w:rsidR="001B2F58" w:rsidRPr="00DD03D6">
        <w:rPr>
          <w:noProof/>
          <w:lang w:val="fr-FR"/>
        </w:rPr>
        <w:t>.</w:t>
      </w:r>
    </w:p>
    <w:p w:rsidR="001B2F58" w:rsidRPr="00DD03D6" w:rsidRDefault="0036759E" w:rsidP="002C58C8">
      <w:pPr>
        <w:pStyle w:val="SingleTxtG"/>
        <w:numPr>
          <w:ilvl w:val="0"/>
          <w:numId w:val="3"/>
        </w:numPr>
        <w:ind w:left="1134" w:firstLine="0"/>
        <w:rPr>
          <w:noProof/>
          <w:lang w:val="fr-FR"/>
        </w:rPr>
      </w:pPr>
      <w:r>
        <w:rPr>
          <w:noProof/>
          <w:lang w:val="fr-FR"/>
        </w:rPr>
        <w:t xml:space="preserve">Le Service de lutte contre la traite des êtres humains </w:t>
      </w:r>
      <w:r w:rsidR="00443070">
        <w:rPr>
          <w:noProof/>
          <w:lang w:val="fr-FR"/>
        </w:rPr>
        <w:t>procède actuellement à un examen à mi-parcours de ce Plan d’action</w:t>
      </w:r>
      <w:r w:rsidR="001B2F58" w:rsidRPr="00DD03D6">
        <w:rPr>
          <w:noProof/>
          <w:lang w:val="fr-FR"/>
        </w:rPr>
        <w:t>. A</w:t>
      </w:r>
      <w:r w:rsidR="00443070">
        <w:rPr>
          <w:noProof/>
          <w:lang w:val="fr-FR"/>
        </w:rPr>
        <w:t xml:space="preserve">u </w:t>
      </w:r>
      <w:r w:rsidR="001B2F58" w:rsidRPr="00DD03D6">
        <w:rPr>
          <w:noProof/>
          <w:lang w:val="fr-FR"/>
        </w:rPr>
        <w:t>30</w:t>
      </w:r>
      <w:r w:rsidR="00D94EED" w:rsidRPr="00DD03D6">
        <w:rPr>
          <w:noProof/>
          <w:lang w:val="fr-FR"/>
        </w:rPr>
        <w:t> </w:t>
      </w:r>
      <w:r w:rsidR="00443070">
        <w:rPr>
          <w:noProof/>
          <w:lang w:val="fr-FR"/>
        </w:rPr>
        <w:t xml:space="preserve">juin </w:t>
      </w:r>
      <w:r w:rsidR="001B2F58" w:rsidRPr="00DD03D6">
        <w:rPr>
          <w:noProof/>
          <w:lang w:val="fr-FR"/>
        </w:rPr>
        <w:t xml:space="preserve">2011, 55 </w:t>
      </w:r>
      <w:r w:rsidR="00443070">
        <w:rPr>
          <w:noProof/>
          <w:lang w:val="fr-FR"/>
        </w:rPr>
        <w:t>activités prévues dans le plan avaient été menées à bien</w:t>
      </w:r>
      <w:r w:rsidR="001B2F58" w:rsidRPr="00DD03D6">
        <w:rPr>
          <w:noProof/>
          <w:lang w:val="fr-FR"/>
        </w:rPr>
        <w:t xml:space="preserve">, 34 </w:t>
      </w:r>
      <w:r w:rsidR="00443070">
        <w:rPr>
          <w:noProof/>
          <w:lang w:val="fr-FR"/>
        </w:rPr>
        <w:t>étaient en cours et</w:t>
      </w:r>
      <w:r w:rsidR="001B2F58" w:rsidRPr="00DD03D6">
        <w:rPr>
          <w:noProof/>
          <w:lang w:val="fr-FR"/>
        </w:rPr>
        <w:t xml:space="preserve"> 55 </w:t>
      </w:r>
      <w:r w:rsidR="00443070">
        <w:rPr>
          <w:noProof/>
          <w:lang w:val="fr-FR"/>
        </w:rPr>
        <w:t>autres étaient continues</w:t>
      </w:r>
      <w:r w:rsidR="001B2F58" w:rsidRPr="00DD03D6">
        <w:rPr>
          <w:noProof/>
          <w:lang w:val="fr-FR"/>
        </w:rPr>
        <w:t xml:space="preserve">. </w:t>
      </w:r>
      <w:r w:rsidR="00443070">
        <w:rPr>
          <w:noProof/>
          <w:lang w:val="fr-FR"/>
        </w:rPr>
        <w:t>Pour 2012, le</w:t>
      </w:r>
      <w:r w:rsidR="00B63E84">
        <w:rPr>
          <w:noProof/>
          <w:lang w:val="fr-FR"/>
        </w:rPr>
        <w:t>s</w:t>
      </w:r>
      <w:r w:rsidR="00443070">
        <w:rPr>
          <w:noProof/>
          <w:lang w:val="fr-FR"/>
        </w:rPr>
        <w:t xml:space="preserve"> p</w:t>
      </w:r>
      <w:r w:rsidR="001B2F58" w:rsidRPr="00DD03D6">
        <w:rPr>
          <w:noProof/>
          <w:lang w:val="fr-FR"/>
        </w:rPr>
        <w:t>riorit</w:t>
      </w:r>
      <w:r w:rsidR="00443070">
        <w:rPr>
          <w:noProof/>
          <w:lang w:val="fr-FR"/>
        </w:rPr>
        <w:t>é</w:t>
      </w:r>
      <w:r w:rsidR="001B2F58" w:rsidRPr="00DD03D6">
        <w:rPr>
          <w:noProof/>
          <w:lang w:val="fr-FR"/>
        </w:rPr>
        <w:t xml:space="preserve">s </w:t>
      </w:r>
      <w:r w:rsidR="00443070">
        <w:rPr>
          <w:noProof/>
          <w:lang w:val="fr-FR"/>
        </w:rPr>
        <w:t xml:space="preserve">sont le maintien des mesures existantes (telles que les </w:t>
      </w:r>
      <w:r w:rsidR="001B2F58" w:rsidRPr="00DD03D6">
        <w:rPr>
          <w:noProof/>
          <w:lang w:val="fr-FR"/>
        </w:rPr>
        <w:t>for</w:t>
      </w:r>
      <w:r w:rsidR="00443070">
        <w:rPr>
          <w:noProof/>
          <w:lang w:val="fr-FR"/>
        </w:rPr>
        <w:t xml:space="preserve">ums consultatifs et le programme continu de formation et de sensibilisation) et la prestation de </w:t>
      </w:r>
      <w:r w:rsidR="001B2F58" w:rsidRPr="00DD03D6">
        <w:rPr>
          <w:noProof/>
          <w:lang w:val="fr-FR"/>
        </w:rPr>
        <w:t xml:space="preserve">services </w:t>
      </w:r>
      <w:r w:rsidR="00443070">
        <w:rPr>
          <w:noProof/>
          <w:lang w:val="fr-FR"/>
        </w:rPr>
        <w:t>aux victimes de la traite, ainsi que de nouvelles activités</w:t>
      </w:r>
      <w:r w:rsidR="007A114F">
        <w:rPr>
          <w:noProof/>
          <w:lang w:val="fr-FR"/>
        </w:rPr>
        <w:t xml:space="preserve">, notamment le réexamen du module d’éducation civique, sociale et politique consacré à la traite des êtres humains élaboré pour le premier cycle de l’enseignement secondaire, l’élaboration et la </w:t>
      </w:r>
      <w:r w:rsidR="001B2F58" w:rsidRPr="00DD03D6">
        <w:rPr>
          <w:noProof/>
          <w:lang w:val="fr-FR"/>
        </w:rPr>
        <w:t xml:space="preserve">distribution </w:t>
      </w:r>
      <w:r w:rsidR="007A114F">
        <w:rPr>
          <w:noProof/>
          <w:lang w:val="fr-FR"/>
        </w:rPr>
        <w:t xml:space="preserve">d’un dépliant sur la traite des enfants, et l’étude des moyens de sensibiliser le personnel des compagnies aériennes et les </w:t>
      </w:r>
      <w:r w:rsidR="001B2F58" w:rsidRPr="00DD03D6">
        <w:rPr>
          <w:noProof/>
          <w:lang w:val="fr-FR"/>
        </w:rPr>
        <w:t>profession</w:t>
      </w:r>
      <w:r w:rsidR="007A114F">
        <w:rPr>
          <w:noProof/>
          <w:lang w:val="fr-FR"/>
        </w:rPr>
        <w:t xml:space="preserve">nels travaillant directement avec les familles </w:t>
      </w:r>
      <w:r w:rsidR="001B2F58" w:rsidRPr="00DD03D6">
        <w:rPr>
          <w:noProof/>
          <w:lang w:val="fr-FR"/>
        </w:rPr>
        <w:t>(</w:t>
      </w:r>
      <w:r w:rsidR="007A114F">
        <w:rPr>
          <w:noProof/>
          <w:lang w:val="fr-FR"/>
        </w:rPr>
        <w:t xml:space="preserve">comme les </w:t>
      </w:r>
      <w:r w:rsidR="00932B2E">
        <w:rPr>
          <w:noProof/>
          <w:lang w:val="fr-FR"/>
        </w:rPr>
        <w:t>infirmières de la santé publique</w:t>
      </w:r>
      <w:r w:rsidR="001B2F58" w:rsidRPr="00DD03D6">
        <w:rPr>
          <w:noProof/>
          <w:lang w:val="fr-FR"/>
        </w:rPr>
        <w:t>).</w:t>
      </w:r>
    </w:p>
    <w:p w:rsidR="001B2F58" w:rsidRDefault="00B63E84" w:rsidP="002C58C8">
      <w:pPr>
        <w:pStyle w:val="SingleTxtG"/>
        <w:numPr>
          <w:ilvl w:val="0"/>
          <w:numId w:val="3"/>
        </w:numPr>
        <w:ind w:left="1134" w:firstLine="0"/>
        <w:rPr>
          <w:noProof/>
          <w:lang w:val="fr-FR"/>
        </w:rPr>
      </w:pPr>
      <w:r>
        <w:rPr>
          <w:noProof/>
          <w:lang w:val="fr-FR"/>
        </w:rPr>
        <w:t xml:space="preserve">La loi de 2008 </w:t>
      </w:r>
      <w:r>
        <w:rPr>
          <w:lang w:val="fr-CH"/>
        </w:rPr>
        <w:t>sur le droit pénal (traite des êtres humains) a actualisé la loi sur la traite des enfants (voir le par</w:t>
      </w:r>
      <w:r w:rsidR="00547E30">
        <w:rPr>
          <w:lang w:val="fr-CH"/>
        </w:rPr>
        <w:t>agraphe</w:t>
      </w:r>
      <w:r>
        <w:rPr>
          <w:lang w:val="fr-CH"/>
        </w:rPr>
        <w:t xml:space="preserve"> 206).</w:t>
      </w:r>
      <w:r w:rsidRPr="00DD03D6">
        <w:rPr>
          <w:noProof/>
          <w:lang w:val="fr-FR"/>
        </w:rPr>
        <w:t xml:space="preserve"> </w:t>
      </w:r>
      <w:r>
        <w:rPr>
          <w:noProof/>
          <w:lang w:val="fr-FR"/>
        </w:rPr>
        <w:t xml:space="preserve">Elle prévoit l’emprisonnement à vie pour toute personne reconnue coupable de l’infraction de </w:t>
      </w:r>
      <w:r>
        <w:rPr>
          <w:lang w:val="fr-CH"/>
        </w:rPr>
        <w:t>traite d’enfant à des fins d’exploitation sexuelle ou de travail ou dans le but d’ôter certains organes à un enfant</w:t>
      </w:r>
      <w:r w:rsidRPr="00DD03D6">
        <w:rPr>
          <w:noProof/>
          <w:lang w:val="fr-FR"/>
        </w:rPr>
        <w:t xml:space="preserve">. </w:t>
      </w:r>
      <w:r>
        <w:rPr>
          <w:noProof/>
          <w:lang w:val="fr-FR"/>
        </w:rPr>
        <w:t>Elle érige également en infraction pénale la vente et l’achat d’enfants à quelque fin que ce soit, infractions qui sont également passibles d’une peine pouvant aller jusqu’à l’emprisonnement à vie</w:t>
      </w:r>
      <w:r w:rsidR="001B2F58" w:rsidRPr="00DD03D6">
        <w:rPr>
          <w:noProof/>
          <w:lang w:val="fr-FR"/>
        </w:rPr>
        <w:t>.</w:t>
      </w:r>
    </w:p>
    <w:p w:rsidR="001B2F58" w:rsidRPr="00DD03D6" w:rsidRDefault="00B63E84" w:rsidP="002C58C8">
      <w:pPr>
        <w:pStyle w:val="SingleTxtG"/>
        <w:numPr>
          <w:ilvl w:val="0"/>
          <w:numId w:val="3"/>
        </w:numPr>
        <w:ind w:left="1134" w:firstLine="0"/>
        <w:rPr>
          <w:noProof/>
          <w:lang w:val="fr-FR"/>
        </w:rPr>
      </w:pPr>
      <w:r>
        <w:rPr>
          <w:noProof/>
          <w:lang w:val="fr-FR"/>
        </w:rPr>
        <w:t xml:space="preserve">La </w:t>
      </w:r>
      <w:r w:rsidR="001B2F58" w:rsidRPr="00DD03D6">
        <w:rPr>
          <w:noProof/>
          <w:lang w:val="fr-FR"/>
        </w:rPr>
        <w:t xml:space="preserve">Directive </w:t>
      </w:r>
      <w:r w:rsidR="00696B65">
        <w:rPr>
          <w:noProof/>
          <w:lang w:val="fr-FR"/>
        </w:rPr>
        <w:t>de l’UE concernant la pré</w:t>
      </w:r>
      <w:r w:rsidR="001B2F58" w:rsidRPr="00DD03D6">
        <w:rPr>
          <w:noProof/>
          <w:lang w:val="fr-FR"/>
        </w:rPr>
        <w:t>venti</w:t>
      </w:r>
      <w:r w:rsidR="00696B65">
        <w:rPr>
          <w:noProof/>
          <w:lang w:val="fr-FR"/>
        </w:rPr>
        <w:t xml:space="preserve">on de la traite des êtres humains et la lutte contre ce phénomène ainsi que la protection des victimes doit être transposée dans le droit des États membres d’ici à avril </w:t>
      </w:r>
      <w:r w:rsidR="001B2F58" w:rsidRPr="00DD03D6">
        <w:rPr>
          <w:noProof/>
          <w:lang w:val="fr-FR"/>
        </w:rPr>
        <w:t xml:space="preserve">2013. </w:t>
      </w:r>
      <w:r w:rsidR="00696B65">
        <w:rPr>
          <w:noProof/>
          <w:lang w:val="fr-FR"/>
        </w:rPr>
        <w:t xml:space="preserve">Pour se conformer pleinement aux mesures de droit pénal contenues dans cette </w:t>
      </w:r>
      <w:r w:rsidR="001B2F58" w:rsidRPr="00DD03D6">
        <w:rPr>
          <w:noProof/>
          <w:lang w:val="fr-FR"/>
        </w:rPr>
        <w:t xml:space="preserve">Directive, </w:t>
      </w:r>
      <w:r w:rsidR="00696B65">
        <w:rPr>
          <w:noProof/>
          <w:lang w:val="fr-FR"/>
        </w:rPr>
        <w:t xml:space="preserve">l’Irlande devra modifier la loi de 2008 </w:t>
      </w:r>
      <w:r w:rsidR="00696B65">
        <w:rPr>
          <w:lang w:val="fr-CH"/>
        </w:rPr>
        <w:t>sur le droit pénal (traite des êtres humains)</w:t>
      </w:r>
      <w:r w:rsidR="001B2F58" w:rsidRPr="00DD03D6">
        <w:rPr>
          <w:noProof/>
          <w:lang w:val="fr-FR"/>
        </w:rPr>
        <w:t xml:space="preserve">, </w:t>
      </w:r>
      <w:r w:rsidR="00696B65">
        <w:rPr>
          <w:noProof/>
          <w:lang w:val="fr-FR"/>
        </w:rPr>
        <w:t xml:space="preserve">notamment pour élargir la </w:t>
      </w:r>
      <w:r w:rsidR="005D7533" w:rsidRPr="00DD03D6">
        <w:rPr>
          <w:noProof/>
          <w:lang w:val="fr-FR"/>
        </w:rPr>
        <w:t>d</w:t>
      </w:r>
      <w:r w:rsidR="00696B65">
        <w:rPr>
          <w:noProof/>
          <w:lang w:val="fr-FR"/>
        </w:rPr>
        <w:t>é</w:t>
      </w:r>
      <w:r w:rsidR="005D7533" w:rsidRPr="00DD03D6">
        <w:rPr>
          <w:noProof/>
          <w:lang w:val="fr-FR"/>
        </w:rPr>
        <w:t xml:space="preserve">finition </w:t>
      </w:r>
      <w:r w:rsidR="00696B65">
        <w:rPr>
          <w:noProof/>
          <w:lang w:val="fr-FR"/>
        </w:rPr>
        <w:t>de l’</w:t>
      </w:r>
      <w:r w:rsidR="00BE5B5E">
        <w:rPr>
          <w:noProof/>
          <w:lang w:val="fr-FR"/>
        </w:rPr>
        <w:t>« </w:t>
      </w:r>
      <w:r w:rsidR="001B2F58" w:rsidRPr="00DD03D6">
        <w:rPr>
          <w:noProof/>
          <w:lang w:val="fr-FR"/>
        </w:rPr>
        <w:t>exploitation</w:t>
      </w:r>
      <w:r w:rsidR="00BE5B5E">
        <w:rPr>
          <w:noProof/>
          <w:lang w:val="fr-FR"/>
        </w:rPr>
        <w:t> »</w:t>
      </w:r>
      <w:r w:rsidR="001B2F58" w:rsidRPr="00DD03D6">
        <w:rPr>
          <w:noProof/>
          <w:lang w:val="fr-FR"/>
        </w:rPr>
        <w:t>.</w:t>
      </w:r>
    </w:p>
    <w:p w:rsidR="001B2F58" w:rsidRPr="00DD03D6" w:rsidRDefault="00696B65" w:rsidP="002C58C8">
      <w:pPr>
        <w:pStyle w:val="SingleTxtG"/>
        <w:numPr>
          <w:ilvl w:val="0"/>
          <w:numId w:val="3"/>
        </w:numPr>
        <w:ind w:left="1134" w:firstLine="0"/>
        <w:rPr>
          <w:noProof/>
          <w:lang w:val="fr-FR"/>
        </w:rPr>
      </w:pPr>
      <w:r>
        <w:rPr>
          <w:noProof/>
          <w:lang w:val="fr-FR"/>
        </w:rPr>
        <w:t>Le terme de</w:t>
      </w:r>
      <w:r w:rsidR="001B2F58" w:rsidRPr="00DD03D6">
        <w:rPr>
          <w:noProof/>
          <w:lang w:val="fr-FR"/>
        </w:rPr>
        <w:t xml:space="preserve"> </w:t>
      </w:r>
      <w:r w:rsidR="00C405FF">
        <w:rPr>
          <w:noProof/>
          <w:lang w:val="fr-FR"/>
        </w:rPr>
        <w:t xml:space="preserve">mécanisme national d’orientation </w:t>
      </w:r>
      <w:r>
        <w:rPr>
          <w:noProof/>
          <w:lang w:val="fr-FR"/>
        </w:rPr>
        <w:t xml:space="preserve">sert à décrire </w:t>
      </w:r>
      <w:r w:rsidR="001B2F58" w:rsidRPr="00DD03D6">
        <w:rPr>
          <w:noProof/>
          <w:lang w:val="fr-FR"/>
        </w:rPr>
        <w:t xml:space="preserve">i) </w:t>
      </w:r>
      <w:r w:rsidR="00250FEC">
        <w:rPr>
          <w:noProof/>
          <w:lang w:val="fr-FR"/>
        </w:rPr>
        <w:t>le processus d’identification d’une victime présumée de la traite des êtres humains</w:t>
      </w:r>
      <w:r w:rsidR="001B2F58" w:rsidRPr="00DD03D6">
        <w:rPr>
          <w:noProof/>
          <w:lang w:val="fr-FR"/>
        </w:rPr>
        <w:t xml:space="preserve">; ii) </w:t>
      </w:r>
      <w:r w:rsidR="00250FEC">
        <w:rPr>
          <w:noProof/>
          <w:lang w:val="fr-FR"/>
        </w:rPr>
        <w:t>les divers services d’</w:t>
      </w:r>
      <w:r w:rsidR="001B2F58" w:rsidRPr="00DD03D6">
        <w:rPr>
          <w:noProof/>
          <w:lang w:val="fr-FR"/>
        </w:rPr>
        <w:t xml:space="preserve">assistance </w:t>
      </w:r>
      <w:r w:rsidR="00250FEC">
        <w:rPr>
          <w:noProof/>
          <w:lang w:val="fr-FR"/>
        </w:rPr>
        <w:t>et d’appui à la disposition des victimes présumées de la traite des êtres humains</w:t>
      </w:r>
      <w:r w:rsidR="001B2F58" w:rsidRPr="00DD03D6">
        <w:rPr>
          <w:noProof/>
          <w:lang w:val="fr-FR"/>
        </w:rPr>
        <w:t xml:space="preserve">; </w:t>
      </w:r>
      <w:r w:rsidR="00250FEC">
        <w:rPr>
          <w:noProof/>
          <w:lang w:val="fr-FR"/>
        </w:rPr>
        <w:t>et</w:t>
      </w:r>
      <w:r w:rsidR="001B2F58" w:rsidRPr="00DD03D6">
        <w:rPr>
          <w:noProof/>
          <w:lang w:val="fr-FR"/>
        </w:rPr>
        <w:t xml:space="preserve"> iii) </w:t>
      </w:r>
      <w:r w:rsidR="00250FEC">
        <w:rPr>
          <w:noProof/>
          <w:lang w:val="fr-FR"/>
        </w:rPr>
        <w:t>la manière dont les victimes potentielles et présumées sont orientées vers chacun de ces services ou peuvent demander à y accéder</w:t>
      </w:r>
      <w:r w:rsidR="001B2F58" w:rsidRPr="00DD03D6">
        <w:rPr>
          <w:noProof/>
          <w:lang w:val="fr-FR"/>
        </w:rPr>
        <w:t xml:space="preserve">. </w:t>
      </w:r>
      <w:r w:rsidR="00250FEC">
        <w:rPr>
          <w:noProof/>
          <w:lang w:val="fr-FR"/>
        </w:rPr>
        <w:t>L’a</w:t>
      </w:r>
      <w:r w:rsidR="001B2F58" w:rsidRPr="00DD03D6">
        <w:rPr>
          <w:noProof/>
          <w:lang w:val="fr-FR"/>
        </w:rPr>
        <w:t xml:space="preserve">ssistance </w:t>
      </w:r>
      <w:r w:rsidR="00250FEC">
        <w:rPr>
          <w:noProof/>
          <w:lang w:val="fr-FR"/>
        </w:rPr>
        <w:t xml:space="preserve">fournie par la Direction des services de santé est présentée aux </w:t>
      </w:r>
      <w:r w:rsidR="00417F85" w:rsidRPr="00DD03D6">
        <w:rPr>
          <w:noProof/>
          <w:lang w:val="fr-FR"/>
        </w:rPr>
        <w:t>p</w:t>
      </w:r>
      <w:r w:rsidR="00796A7C" w:rsidRPr="00DD03D6">
        <w:rPr>
          <w:noProof/>
          <w:lang w:val="fr-FR"/>
        </w:rPr>
        <w:t>aragraph</w:t>
      </w:r>
      <w:r w:rsidR="00250FEC">
        <w:rPr>
          <w:noProof/>
          <w:lang w:val="fr-FR"/>
        </w:rPr>
        <w:t>e</w:t>
      </w:r>
      <w:r w:rsidR="00796A7C" w:rsidRPr="00DD03D6">
        <w:rPr>
          <w:noProof/>
          <w:lang w:val="fr-FR"/>
        </w:rPr>
        <w:t>s </w:t>
      </w:r>
      <w:r w:rsidR="00417F85" w:rsidRPr="00DD03D6">
        <w:rPr>
          <w:noProof/>
          <w:lang w:val="fr-FR"/>
        </w:rPr>
        <w:t>291</w:t>
      </w:r>
      <w:r w:rsidR="0022664C">
        <w:rPr>
          <w:noProof/>
          <w:lang w:val="fr-FR"/>
        </w:rPr>
        <w:t xml:space="preserve"> et </w:t>
      </w:r>
      <w:r w:rsidR="00417F85" w:rsidRPr="00DD03D6">
        <w:rPr>
          <w:noProof/>
          <w:lang w:val="fr-FR"/>
        </w:rPr>
        <w:t>292</w:t>
      </w:r>
      <w:r w:rsidR="001B2F58" w:rsidRPr="00DD03D6">
        <w:rPr>
          <w:noProof/>
          <w:lang w:val="fr-FR"/>
        </w:rPr>
        <w:t>.</w:t>
      </w:r>
    </w:p>
    <w:p w:rsidR="001B2F58" w:rsidRPr="00DD03D6" w:rsidRDefault="00530258" w:rsidP="004454EF">
      <w:pPr>
        <w:pStyle w:val="SingleTxtG"/>
        <w:numPr>
          <w:ilvl w:val="0"/>
          <w:numId w:val="3"/>
        </w:numPr>
        <w:ind w:left="1134" w:firstLine="0"/>
        <w:rPr>
          <w:noProof/>
          <w:lang w:val="fr-FR"/>
        </w:rPr>
      </w:pPr>
      <w:r>
        <w:rPr>
          <w:noProof/>
          <w:lang w:val="fr-FR"/>
        </w:rPr>
        <w:t>E</w:t>
      </w:r>
      <w:r w:rsidR="001B2F58" w:rsidRPr="00DD03D6">
        <w:rPr>
          <w:noProof/>
          <w:lang w:val="fr-FR"/>
        </w:rPr>
        <w:t xml:space="preserve">n 2009, </w:t>
      </w:r>
      <w:r>
        <w:rPr>
          <w:noProof/>
          <w:lang w:val="fr-FR"/>
        </w:rPr>
        <w:t>l’</w:t>
      </w:r>
      <w:r w:rsidR="001B2F58" w:rsidRPr="00DD03D6">
        <w:rPr>
          <w:noProof/>
          <w:lang w:val="fr-FR"/>
        </w:rPr>
        <w:t>Irland</w:t>
      </w:r>
      <w:r>
        <w:rPr>
          <w:noProof/>
          <w:lang w:val="fr-FR"/>
        </w:rPr>
        <w:t>e</w:t>
      </w:r>
      <w:r w:rsidR="001B2F58" w:rsidRPr="00DD03D6">
        <w:rPr>
          <w:noProof/>
          <w:lang w:val="fr-FR"/>
        </w:rPr>
        <w:t xml:space="preserve"> </w:t>
      </w:r>
      <w:r>
        <w:rPr>
          <w:noProof/>
          <w:lang w:val="fr-FR"/>
        </w:rPr>
        <w:t xml:space="preserve">a établi le premier rapport sur les victimes potentielles et présumées de la traite des êtres humains. </w:t>
      </w:r>
      <w:r w:rsidR="000D32A1">
        <w:rPr>
          <w:noProof/>
          <w:lang w:val="fr-FR"/>
        </w:rPr>
        <w:t xml:space="preserve">Il donne une vue d’ensemble de la traite en Irlande en </w:t>
      </w:r>
      <w:r w:rsidR="001B2F58" w:rsidRPr="00DD03D6">
        <w:rPr>
          <w:noProof/>
          <w:lang w:val="fr-FR"/>
        </w:rPr>
        <w:t xml:space="preserve">2009. </w:t>
      </w:r>
      <w:r w:rsidR="000D32A1">
        <w:rPr>
          <w:noProof/>
          <w:lang w:val="fr-FR"/>
        </w:rPr>
        <w:t>Les i</w:t>
      </w:r>
      <w:r w:rsidR="001B2F58" w:rsidRPr="00DD03D6">
        <w:rPr>
          <w:noProof/>
          <w:lang w:val="fr-FR"/>
        </w:rPr>
        <w:t>nformation</w:t>
      </w:r>
      <w:r w:rsidR="000D32A1">
        <w:rPr>
          <w:noProof/>
          <w:lang w:val="fr-FR"/>
        </w:rPr>
        <w:t>s qu’il contient ont été recueillies auprès d’un certain nombre de</w:t>
      </w:r>
      <w:r w:rsidR="00547E30">
        <w:rPr>
          <w:noProof/>
          <w:lang w:val="fr-FR"/>
        </w:rPr>
        <w:t xml:space="preserve"> </w:t>
      </w:r>
      <w:r w:rsidR="001B2F58" w:rsidRPr="00DD03D6">
        <w:rPr>
          <w:noProof/>
          <w:lang w:val="fr-FR"/>
        </w:rPr>
        <w:t>sources</w:t>
      </w:r>
      <w:r w:rsidR="000D32A1">
        <w:rPr>
          <w:noProof/>
          <w:lang w:val="fr-FR"/>
        </w:rPr>
        <w:t xml:space="preserve">, parmi lesquelles le Bureau national de l’immigration de la </w:t>
      </w:r>
      <w:r w:rsidR="001B2F58" w:rsidRPr="00DD03D6">
        <w:rPr>
          <w:noProof/>
          <w:lang w:val="fr-FR"/>
        </w:rPr>
        <w:t xml:space="preserve">Garda, </w:t>
      </w:r>
      <w:r w:rsidR="000D32A1">
        <w:rPr>
          <w:noProof/>
          <w:lang w:val="fr-FR"/>
        </w:rPr>
        <w:t xml:space="preserve">le Service </w:t>
      </w:r>
      <w:r w:rsidR="000D32A1">
        <w:rPr>
          <w:noProof/>
          <w:lang w:val="fr-FR"/>
        </w:rPr>
        <w:lastRenderedPageBreak/>
        <w:t>irlandais de la n</w:t>
      </w:r>
      <w:r w:rsidR="001B2F58" w:rsidRPr="00DD03D6">
        <w:rPr>
          <w:noProof/>
          <w:lang w:val="fr-FR"/>
        </w:rPr>
        <w:t xml:space="preserve">aturalisation </w:t>
      </w:r>
      <w:r w:rsidR="000D32A1">
        <w:rPr>
          <w:noProof/>
          <w:lang w:val="fr-FR"/>
        </w:rPr>
        <w:t>et de l’i</w:t>
      </w:r>
      <w:r w:rsidR="001B2F58" w:rsidRPr="00DD03D6">
        <w:rPr>
          <w:noProof/>
          <w:lang w:val="fr-FR"/>
        </w:rPr>
        <w:t xml:space="preserve">mmigration </w:t>
      </w:r>
      <w:r w:rsidR="000D32A1">
        <w:rPr>
          <w:noProof/>
          <w:lang w:val="fr-FR"/>
        </w:rPr>
        <w:t>du Ministère de la j</w:t>
      </w:r>
      <w:r w:rsidR="001B2F58" w:rsidRPr="00DD03D6">
        <w:rPr>
          <w:noProof/>
          <w:lang w:val="fr-FR"/>
        </w:rPr>
        <w:t xml:space="preserve">ustice </w:t>
      </w:r>
      <w:r w:rsidR="000D32A1">
        <w:rPr>
          <w:noProof/>
          <w:lang w:val="fr-FR"/>
        </w:rPr>
        <w:t>et de l’égalité</w:t>
      </w:r>
      <w:r w:rsidR="001B2F58" w:rsidRPr="00DD03D6">
        <w:rPr>
          <w:noProof/>
          <w:lang w:val="fr-FR"/>
        </w:rPr>
        <w:t xml:space="preserve">, </w:t>
      </w:r>
      <w:r w:rsidR="000D32A1">
        <w:rPr>
          <w:noProof/>
          <w:lang w:val="fr-FR"/>
        </w:rPr>
        <w:t>et plusieurs ONG</w:t>
      </w:r>
      <w:r w:rsidR="001B2F58" w:rsidRPr="00DD03D6">
        <w:rPr>
          <w:noProof/>
          <w:lang w:val="fr-FR"/>
        </w:rPr>
        <w:t xml:space="preserve">. </w:t>
      </w:r>
      <w:r w:rsidR="00A313A2">
        <w:rPr>
          <w:noProof/>
          <w:lang w:val="fr-FR"/>
        </w:rPr>
        <w:t>C</w:t>
      </w:r>
      <w:r w:rsidR="000D32A1">
        <w:rPr>
          <w:noProof/>
          <w:lang w:val="fr-FR"/>
        </w:rPr>
        <w:t xml:space="preserve">e rapport présente des informations </w:t>
      </w:r>
      <w:r w:rsidR="001B2F58" w:rsidRPr="00DD03D6">
        <w:rPr>
          <w:noProof/>
          <w:lang w:val="fr-FR"/>
        </w:rPr>
        <w:t>important</w:t>
      </w:r>
      <w:r w:rsidR="000D32A1">
        <w:rPr>
          <w:noProof/>
          <w:lang w:val="fr-FR"/>
        </w:rPr>
        <w:t>es sur</w:t>
      </w:r>
      <w:r w:rsidR="00A313A2">
        <w:rPr>
          <w:noProof/>
          <w:lang w:val="fr-FR"/>
        </w:rPr>
        <w:t xml:space="preserve"> les victimes présumées, leur</w:t>
      </w:r>
      <w:r w:rsidR="000D32A1">
        <w:rPr>
          <w:noProof/>
          <w:lang w:val="fr-FR"/>
        </w:rPr>
        <w:t xml:space="preserve"> parcours et leur expérience vécue</w:t>
      </w:r>
      <w:r w:rsidR="001B2F58" w:rsidRPr="00DD03D6">
        <w:rPr>
          <w:noProof/>
          <w:lang w:val="fr-FR"/>
        </w:rPr>
        <w:t>.</w:t>
      </w:r>
    </w:p>
    <w:p w:rsidR="001B2F58" w:rsidRPr="00DD03D6" w:rsidRDefault="00E903F0" w:rsidP="002C58C8">
      <w:pPr>
        <w:pStyle w:val="SingleTxtG"/>
        <w:numPr>
          <w:ilvl w:val="0"/>
          <w:numId w:val="3"/>
        </w:numPr>
        <w:ind w:left="1134" w:firstLine="0"/>
        <w:rPr>
          <w:noProof/>
          <w:lang w:val="fr-FR"/>
        </w:rPr>
      </w:pPr>
      <w:r>
        <w:rPr>
          <w:noProof/>
          <w:lang w:val="fr-FR"/>
        </w:rPr>
        <w:t xml:space="preserve">Dans le </w:t>
      </w:r>
      <w:r w:rsidR="001B2F58" w:rsidRPr="00DD03D6">
        <w:rPr>
          <w:i/>
          <w:iCs/>
          <w:noProof/>
          <w:lang w:val="fr-FR"/>
        </w:rPr>
        <w:t>R</w:t>
      </w:r>
      <w:r>
        <w:rPr>
          <w:i/>
          <w:iCs/>
          <w:noProof/>
          <w:lang w:val="fr-FR"/>
        </w:rPr>
        <w:t xml:space="preserve">apport annuel 2009 </w:t>
      </w:r>
      <w:r>
        <w:rPr>
          <w:noProof/>
          <w:lang w:val="fr-FR"/>
        </w:rPr>
        <w:t>de</w:t>
      </w:r>
      <w:r w:rsidR="001B2F58" w:rsidRPr="00DD03D6">
        <w:rPr>
          <w:noProof/>
          <w:lang w:val="fr-FR"/>
        </w:rPr>
        <w:t xml:space="preserve"> </w:t>
      </w:r>
      <w:r>
        <w:rPr>
          <w:noProof/>
          <w:lang w:val="fr-FR"/>
        </w:rPr>
        <w:t xml:space="preserve">la </w:t>
      </w:r>
      <w:r w:rsidR="001B2F58" w:rsidRPr="00DD03D6">
        <w:rPr>
          <w:noProof/>
          <w:lang w:val="fr-FR"/>
        </w:rPr>
        <w:t>Garda Síochána, i</w:t>
      </w:r>
      <w:r>
        <w:rPr>
          <w:noProof/>
          <w:lang w:val="fr-FR"/>
        </w:rPr>
        <w:t xml:space="preserve">l est indiqué que </w:t>
      </w:r>
      <w:r w:rsidR="001B2F58" w:rsidRPr="00DD03D6">
        <w:rPr>
          <w:noProof/>
          <w:lang w:val="fr-FR"/>
        </w:rPr>
        <w:t xml:space="preserve">68 </w:t>
      </w:r>
      <w:r>
        <w:rPr>
          <w:noProof/>
          <w:lang w:val="fr-FR"/>
        </w:rPr>
        <w:t xml:space="preserve">incidents liés à la traite des êtres humaine ont été signalés à la Garda, pour un </w:t>
      </w:r>
      <w:r w:rsidR="001B2F58" w:rsidRPr="00DD03D6">
        <w:rPr>
          <w:noProof/>
          <w:lang w:val="fr-FR"/>
        </w:rPr>
        <w:t xml:space="preserve">total </w:t>
      </w:r>
      <w:r>
        <w:rPr>
          <w:noProof/>
          <w:lang w:val="fr-FR"/>
        </w:rPr>
        <w:t>de</w:t>
      </w:r>
      <w:r w:rsidR="001B2F58" w:rsidRPr="00DD03D6">
        <w:rPr>
          <w:noProof/>
          <w:lang w:val="fr-FR"/>
        </w:rPr>
        <w:t xml:space="preserve"> 66 cas</w:t>
      </w:r>
      <w:r>
        <w:rPr>
          <w:noProof/>
          <w:lang w:val="fr-FR"/>
        </w:rPr>
        <w:t xml:space="preserve"> potentiels et présumés de traite, dont </w:t>
      </w:r>
      <w:r w:rsidR="001B2F58" w:rsidRPr="00DD03D6">
        <w:rPr>
          <w:noProof/>
          <w:lang w:val="fr-FR"/>
        </w:rPr>
        <w:t xml:space="preserve">17 </w:t>
      </w:r>
      <w:r>
        <w:rPr>
          <w:noProof/>
          <w:lang w:val="fr-FR"/>
        </w:rPr>
        <w:t>concernaient des mineurs</w:t>
      </w:r>
      <w:r w:rsidR="001B2F58" w:rsidRPr="00DD03D6">
        <w:rPr>
          <w:noProof/>
          <w:lang w:val="fr-FR"/>
        </w:rPr>
        <w:t xml:space="preserve">. </w:t>
      </w:r>
      <w:r>
        <w:rPr>
          <w:noProof/>
          <w:lang w:val="fr-FR"/>
        </w:rPr>
        <w:t xml:space="preserve">Dans le </w:t>
      </w:r>
      <w:r>
        <w:rPr>
          <w:i/>
          <w:iCs/>
          <w:noProof/>
          <w:lang w:val="fr-FR"/>
        </w:rPr>
        <w:t>Rapport annuel 2010</w:t>
      </w:r>
      <w:r w:rsidR="001B2F58" w:rsidRPr="00DD03D6">
        <w:rPr>
          <w:noProof/>
          <w:lang w:val="fr-FR"/>
        </w:rPr>
        <w:t>, 69 cas</w:t>
      </w:r>
      <w:r>
        <w:rPr>
          <w:noProof/>
          <w:lang w:val="fr-FR"/>
        </w:rPr>
        <w:t xml:space="preserve"> de traite présumée concernant </w:t>
      </w:r>
      <w:r w:rsidR="001B2F58" w:rsidRPr="00DD03D6">
        <w:rPr>
          <w:noProof/>
          <w:lang w:val="fr-FR"/>
        </w:rPr>
        <w:t>78</w:t>
      </w:r>
      <w:r w:rsidR="002800C9" w:rsidRPr="00DD03D6">
        <w:rPr>
          <w:noProof/>
          <w:lang w:val="fr-FR"/>
        </w:rPr>
        <w:t> </w:t>
      </w:r>
      <w:r>
        <w:rPr>
          <w:noProof/>
          <w:lang w:val="fr-FR"/>
        </w:rPr>
        <w:t>victimes présumées ont été signalés</w:t>
      </w:r>
      <w:r w:rsidR="001B2F58" w:rsidRPr="00DD03D6">
        <w:rPr>
          <w:noProof/>
          <w:lang w:val="fr-FR"/>
        </w:rPr>
        <w:t xml:space="preserve">. </w:t>
      </w:r>
      <w:r>
        <w:rPr>
          <w:noProof/>
          <w:lang w:val="fr-FR"/>
        </w:rPr>
        <w:t xml:space="preserve">Sur ces </w:t>
      </w:r>
      <w:r w:rsidR="001B2F58" w:rsidRPr="00DD03D6">
        <w:rPr>
          <w:noProof/>
          <w:lang w:val="fr-FR"/>
        </w:rPr>
        <w:t>78 victim</w:t>
      </w:r>
      <w:r>
        <w:rPr>
          <w:noProof/>
          <w:lang w:val="fr-FR"/>
        </w:rPr>
        <w:t>e</w:t>
      </w:r>
      <w:r w:rsidR="001B2F58" w:rsidRPr="00DD03D6">
        <w:rPr>
          <w:noProof/>
          <w:lang w:val="fr-FR"/>
        </w:rPr>
        <w:t>s</w:t>
      </w:r>
      <w:r>
        <w:rPr>
          <w:noProof/>
          <w:lang w:val="fr-FR"/>
        </w:rPr>
        <w:t xml:space="preserve"> présumées</w:t>
      </w:r>
      <w:r w:rsidR="001B2F58" w:rsidRPr="00DD03D6">
        <w:rPr>
          <w:noProof/>
          <w:lang w:val="fr-FR"/>
        </w:rPr>
        <w:t xml:space="preserve">, 19 </w:t>
      </w:r>
      <w:r>
        <w:rPr>
          <w:noProof/>
          <w:lang w:val="fr-FR"/>
        </w:rPr>
        <w:t xml:space="preserve">étaient mineures, dont </w:t>
      </w:r>
      <w:r w:rsidR="001B2F58" w:rsidRPr="00DD03D6">
        <w:rPr>
          <w:noProof/>
          <w:lang w:val="fr-FR"/>
        </w:rPr>
        <w:t>15</w:t>
      </w:r>
      <w:r w:rsidR="002800C9" w:rsidRPr="00DD03D6">
        <w:rPr>
          <w:noProof/>
          <w:lang w:val="fr-FR"/>
        </w:rPr>
        <w:t> </w:t>
      </w:r>
      <w:r>
        <w:rPr>
          <w:noProof/>
          <w:lang w:val="fr-FR"/>
        </w:rPr>
        <w:t>avaient été soumises à l’</w:t>
      </w:r>
      <w:r w:rsidR="001B2F58" w:rsidRPr="00DD03D6">
        <w:rPr>
          <w:noProof/>
          <w:lang w:val="fr-FR"/>
        </w:rPr>
        <w:t xml:space="preserve">exploitation </w:t>
      </w:r>
      <w:r>
        <w:rPr>
          <w:noProof/>
          <w:lang w:val="fr-FR"/>
        </w:rPr>
        <w:t>sexuelle et un</w:t>
      </w:r>
      <w:r w:rsidR="00052FDD">
        <w:rPr>
          <w:noProof/>
          <w:lang w:val="fr-FR"/>
        </w:rPr>
        <w:t>e autre à l’</w:t>
      </w:r>
      <w:r w:rsidR="001B2F58" w:rsidRPr="00DD03D6">
        <w:rPr>
          <w:noProof/>
          <w:lang w:val="fr-FR"/>
        </w:rPr>
        <w:t>exploitation</w:t>
      </w:r>
      <w:r w:rsidR="00052FDD">
        <w:rPr>
          <w:noProof/>
          <w:lang w:val="fr-FR"/>
        </w:rPr>
        <w:t xml:space="preserve"> du travail; pour les trois dernières victimes</w:t>
      </w:r>
      <w:r w:rsidR="00CF19B4">
        <w:rPr>
          <w:noProof/>
          <w:lang w:val="fr-FR"/>
        </w:rPr>
        <w:t xml:space="preserve"> mineures</w:t>
      </w:r>
      <w:r w:rsidR="00052FDD">
        <w:rPr>
          <w:noProof/>
          <w:lang w:val="fr-FR"/>
        </w:rPr>
        <w:t>, la nature de l’</w:t>
      </w:r>
      <w:r w:rsidR="001B2F58" w:rsidRPr="00DD03D6">
        <w:rPr>
          <w:noProof/>
          <w:lang w:val="fr-FR"/>
        </w:rPr>
        <w:t xml:space="preserve">exploitation </w:t>
      </w:r>
      <w:r w:rsidR="00052FDD">
        <w:rPr>
          <w:noProof/>
          <w:lang w:val="fr-FR"/>
        </w:rPr>
        <w:t>n’était pas précisée car on ne disposait d’aucune indication</w:t>
      </w:r>
      <w:r w:rsidR="00CF19B4">
        <w:rPr>
          <w:noProof/>
          <w:lang w:val="fr-FR"/>
        </w:rPr>
        <w:t xml:space="preserve"> permettant de dire qu’il y avait eu exploitation du travail ou exploitation sexuelle</w:t>
      </w:r>
      <w:r w:rsidR="001B2F58" w:rsidRPr="00DD03D6">
        <w:rPr>
          <w:noProof/>
          <w:lang w:val="fr-FR"/>
        </w:rPr>
        <w:t>.</w:t>
      </w:r>
    </w:p>
    <w:p w:rsidR="001B2F58" w:rsidRDefault="00B472FB" w:rsidP="004454EF">
      <w:pPr>
        <w:pStyle w:val="SingleTxtG"/>
        <w:numPr>
          <w:ilvl w:val="0"/>
          <w:numId w:val="3"/>
        </w:numPr>
        <w:ind w:left="1134" w:firstLine="0"/>
        <w:rPr>
          <w:noProof/>
          <w:lang w:val="fr-FR"/>
        </w:rPr>
      </w:pPr>
      <w:r>
        <w:rPr>
          <w:noProof/>
          <w:lang w:val="fr-FR"/>
        </w:rPr>
        <w:t xml:space="preserve">Trois autres services relevant d’organismes publics traitant de cette question sont le Service d’enquêtes et de coordination en matière de lutte contre la traite des êtres humains du Bureau national de l’immigration de la </w:t>
      </w:r>
      <w:r w:rsidRPr="00DD03D6">
        <w:rPr>
          <w:noProof/>
          <w:lang w:val="fr-FR"/>
        </w:rPr>
        <w:t>Garda</w:t>
      </w:r>
      <w:r w:rsidR="001B2F58" w:rsidRPr="00DD03D6">
        <w:rPr>
          <w:noProof/>
          <w:lang w:val="fr-FR"/>
        </w:rPr>
        <w:t xml:space="preserve">, </w:t>
      </w:r>
      <w:r>
        <w:rPr>
          <w:noProof/>
          <w:lang w:val="fr-FR"/>
        </w:rPr>
        <w:t xml:space="preserve">l’Équipe de lutte contre la traite des êtres humains de la Direction des services de santé et une équipe de juristes spécialisés dans la lutte contre </w:t>
      </w:r>
      <w:r w:rsidR="00460326">
        <w:rPr>
          <w:noProof/>
          <w:lang w:val="fr-FR"/>
        </w:rPr>
        <w:t xml:space="preserve">la </w:t>
      </w:r>
      <w:r>
        <w:rPr>
          <w:noProof/>
          <w:lang w:val="fr-FR"/>
        </w:rPr>
        <w:t>traite des êtres humains de la Commission de l’aide juridictionnelle</w:t>
      </w:r>
      <w:r w:rsidR="001B2F58" w:rsidRPr="00DD03D6">
        <w:rPr>
          <w:noProof/>
          <w:lang w:val="fr-FR"/>
        </w:rPr>
        <w:t xml:space="preserve">. </w:t>
      </w:r>
      <w:r w:rsidR="00460326">
        <w:rPr>
          <w:noProof/>
          <w:lang w:val="fr-FR"/>
        </w:rPr>
        <w:t>Ces services ont été</w:t>
      </w:r>
      <w:r>
        <w:rPr>
          <w:noProof/>
          <w:lang w:val="fr-FR"/>
        </w:rPr>
        <w:t xml:space="preserve"> mis en place pour permettre à l’Irlande de se conformer à ses engagements internationaux en matière de </w:t>
      </w:r>
      <w:r w:rsidR="001B2F58" w:rsidRPr="00DD03D6">
        <w:rPr>
          <w:noProof/>
          <w:lang w:val="fr-FR"/>
        </w:rPr>
        <w:t xml:space="preserve">services </w:t>
      </w:r>
      <w:r>
        <w:rPr>
          <w:noProof/>
          <w:lang w:val="fr-FR"/>
        </w:rPr>
        <w:t xml:space="preserve">à fournir aux </w:t>
      </w:r>
      <w:r w:rsidR="001B2F58" w:rsidRPr="00DD03D6">
        <w:rPr>
          <w:noProof/>
          <w:lang w:val="fr-FR"/>
        </w:rPr>
        <w:t>victim</w:t>
      </w:r>
      <w:r>
        <w:rPr>
          <w:noProof/>
          <w:lang w:val="fr-FR"/>
        </w:rPr>
        <w:t>e</w:t>
      </w:r>
      <w:r w:rsidR="001B2F58" w:rsidRPr="00DD03D6">
        <w:rPr>
          <w:noProof/>
          <w:lang w:val="fr-FR"/>
        </w:rPr>
        <w:t xml:space="preserve">s </w:t>
      </w:r>
      <w:r>
        <w:rPr>
          <w:noProof/>
          <w:lang w:val="fr-FR"/>
        </w:rPr>
        <w:t>de la traite</w:t>
      </w:r>
      <w:r w:rsidR="001B2F58" w:rsidRPr="00DD03D6">
        <w:rPr>
          <w:noProof/>
          <w:lang w:val="fr-FR"/>
        </w:rPr>
        <w:t xml:space="preserve">. </w:t>
      </w:r>
      <w:r>
        <w:rPr>
          <w:noProof/>
          <w:lang w:val="fr-FR"/>
        </w:rPr>
        <w:t xml:space="preserve">Des spécialistes de cette question sont par ailleurs affectés à la poursuite </w:t>
      </w:r>
      <w:r w:rsidR="00460326">
        <w:rPr>
          <w:noProof/>
          <w:lang w:val="fr-FR"/>
        </w:rPr>
        <w:t xml:space="preserve">des cas de traite au </w:t>
      </w:r>
      <w:r w:rsidR="00460326" w:rsidRPr="00460326">
        <w:rPr>
          <w:noProof/>
          <w:szCs w:val="26"/>
          <w:lang w:val="fr-FR"/>
        </w:rPr>
        <w:t>Bureau du Directeur du ministère public</w:t>
      </w:r>
      <w:r w:rsidR="00460326" w:rsidRPr="00460326">
        <w:rPr>
          <w:noProof/>
          <w:lang w:val="fr-FR"/>
        </w:rPr>
        <w:t xml:space="preserve"> </w:t>
      </w:r>
      <w:r w:rsidR="00460326">
        <w:rPr>
          <w:noProof/>
          <w:lang w:val="fr-FR"/>
        </w:rPr>
        <w:t>et dans le Service des nouvelles communautés et des demandeurs d’asile de la Direction des services de santé</w:t>
      </w:r>
      <w:r w:rsidR="001B2F58" w:rsidRPr="00DD03D6">
        <w:rPr>
          <w:noProof/>
          <w:lang w:val="fr-FR"/>
        </w:rPr>
        <w:t>.</w:t>
      </w:r>
    </w:p>
    <w:p w:rsidR="001B2F58" w:rsidRPr="00DD03D6" w:rsidRDefault="00B276DE" w:rsidP="002C58C8">
      <w:pPr>
        <w:pStyle w:val="SingleTxtG"/>
        <w:numPr>
          <w:ilvl w:val="0"/>
          <w:numId w:val="3"/>
        </w:numPr>
        <w:ind w:left="1134" w:firstLine="0"/>
        <w:rPr>
          <w:noProof/>
          <w:lang w:val="fr-FR"/>
        </w:rPr>
      </w:pPr>
      <w:r>
        <w:rPr>
          <w:noProof/>
          <w:lang w:val="fr-FR"/>
        </w:rPr>
        <w:t>À la fin de 2007, le Ministère de la justice et de l’égalité a créé un Groupe interministériel de haut niveau qui a été chargé de recommander les mesures les plus appropriées et efficaces à prendre pour lutter contre la traite des êtres humains</w:t>
      </w:r>
      <w:r w:rsidR="001B2F58" w:rsidRPr="00DD03D6">
        <w:rPr>
          <w:noProof/>
          <w:lang w:val="fr-FR"/>
        </w:rPr>
        <w:t xml:space="preserve">. </w:t>
      </w:r>
      <w:r>
        <w:rPr>
          <w:noProof/>
          <w:lang w:val="fr-FR"/>
        </w:rPr>
        <w:t>Ce Groupe de haut niveau se compose de hauts fonctionnaires des ministères et organismes publics clefs</w:t>
      </w:r>
      <w:r w:rsidR="001B2F58" w:rsidRPr="00DD03D6">
        <w:rPr>
          <w:noProof/>
          <w:lang w:val="fr-FR"/>
        </w:rPr>
        <w:t xml:space="preserve">. </w:t>
      </w:r>
      <w:r>
        <w:rPr>
          <w:noProof/>
          <w:lang w:val="fr-FR"/>
        </w:rPr>
        <w:t xml:space="preserve">Ses membres se concertent avec les ONG et les organisations internationales </w:t>
      </w:r>
      <w:r w:rsidR="00C95447">
        <w:rPr>
          <w:noProof/>
          <w:lang w:val="fr-FR"/>
        </w:rPr>
        <w:t>selon le principe de la table ronde</w:t>
      </w:r>
      <w:r w:rsidR="001B2F58" w:rsidRPr="00DD03D6">
        <w:rPr>
          <w:noProof/>
          <w:lang w:val="fr-FR"/>
        </w:rPr>
        <w:t xml:space="preserve">. </w:t>
      </w:r>
      <w:r w:rsidR="00C95447">
        <w:rPr>
          <w:noProof/>
          <w:lang w:val="fr-FR"/>
        </w:rPr>
        <w:t xml:space="preserve">Le </w:t>
      </w:r>
      <w:r w:rsidR="001B2F58" w:rsidRPr="00DD03D6">
        <w:rPr>
          <w:noProof/>
          <w:lang w:val="fr-FR"/>
        </w:rPr>
        <w:t>Group</w:t>
      </w:r>
      <w:r w:rsidR="00C95447">
        <w:rPr>
          <w:noProof/>
          <w:lang w:val="fr-FR"/>
        </w:rPr>
        <w:t>e</w:t>
      </w:r>
      <w:r w:rsidR="001B2F58" w:rsidRPr="00DD03D6">
        <w:rPr>
          <w:noProof/>
          <w:lang w:val="fr-FR"/>
        </w:rPr>
        <w:t xml:space="preserve"> </w:t>
      </w:r>
      <w:r w:rsidR="00C95447">
        <w:rPr>
          <w:noProof/>
          <w:lang w:val="fr-FR"/>
        </w:rPr>
        <w:t>a créé cinq groupes de travail pluri</w:t>
      </w:r>
      <w:r w:rsidR="001B2F58" w:rsidRPr="00DD03D6">
        <w:rPr>
          <w:noProof/>
          <w:lang w:val="fr-FR"/>
        </w:rPr>
        <w:t>disciplina</w:t>
      </w:r>
      <w:r w:rsidR="00C95447">
        <w:rPr>
          <w:noProof/>
          <w:lang w:val="fr-FR"/>
        </w:rPr>
        <w:t>ires, dont l’un s’occupe spécifiquement de la traite des enfants</w:t>
      </w:r>
      <w:r w:rsidR="001B2F58" w:rsidRPr="00DD03D6">
        <w:rPr>
          <w:noProof/>
          <w:lang w:val="fr-FR"/>
        </w:rPr>
        <w:t>.</w:t>
      </w:r>
    </w:p>
    <w:p w:rsidR="001B2F58" w:rsidRPr="00DD03D6" w:rsidRDefault="0007411A" w:rsidP="004454EF">
      <w:pPr>
        <w:pStyle w:val="SingleTxtG"/>
        <w:numPr>
          <w:ilvl w:val="0"/>
          <w:numId w:val="3"/>
        </w:numPr>
        <w:ind w:left="1134" w:firstLine="0"/>
        <w:rPr>
          <w:noProof/>
          <w:lang w:val="fr-FR"/>
        </w:rPr>
      </w:pPr>
      <w:r>
        <w:rPr>
          <w:noProof/>
          <w:lang w:val="fr-FR"/>
        </w:rPr>
        <w:t xml:space="preserve">Les </w:t>
      </w:r>
      <w:r w:rsidRPr="0007411A">
        <w:rPr>
          <w:noProof/>
          <w:lang w:val="fr-FR"/>
        </w:rPr>
        <w:t>programmes annuels d’activités du Directeur de la Garda</w:t>
      </w:r>
      <w:r w:rsidRPr="00487473">
        <w:rPr>
          <w:lang w:val="fr-CH"/>
        </w:rPr>
        <w:t xml:space="preserve"> pour </w:t>
      </w:r>
      <w:r w:rsidR="001B2F58" w:rsidRPr="00DD03D6">
        <w:rPr>
          <w:noProof/>
          <w:lang w:val="fr-FR"/>
        </w:rPr>
        <w:t xml:space="preserve">2010, 2011 </w:t>
      </w:r>
      <w:r>
        <w:rPr>
          <w:noProof/>
          <w:lang w:val="fr-FR"/>
        </w:rPr>
        <w:t>et</w:t>
      </w:r>
      <w:r w:rsidR="001B2F58" w:rsidRPr="00DD03D6">
        <w:rPr>
          <w:noProof/>
          <w:lang w:val="fr-FR"/>
        </w:rPr>
        <w:t xml:space="preserve"> 2012 </w:t>
      </w:r>
      <w:r>
        <w:rPr>
          <w:noProof/>
          <w:lang w:val="fr-FR"/>
        </w:rPr>
        <w:t>ont fait de la lutte contre la traite des êtres humains une priorité</w:t>
      </w:r>
      <w:r w:rsidR="001B2F58" w:rsidRPr="00DD03D6">
        <w:rPr>
          <w:noProof/>
          <w:lang w:val="fr-FR"/>
        </w:rPr>
        <w:t xml:space="preserve">, </w:t>
      </w:r>
      <w:r>
        <w:rPr>
          <w:noProof/>
          <w:lang w:val="fr-FR"/>
        </w:rPr>
        <w:t xml:space="preserve">en mettant l’accent sur la </w:t>
      </w:r>
      <w:r w:rsidR="001B2F58" w:rsidRPr="00DD03D6">
        <w:rPr>
          <w:noProof/>
          <w:lang w:val="fr-FR"/>
        </w:rPr>
        <w:t>pr</w:t>
      </w:r>
      <w:r>
        <w:rPr>
          <w:noProof/>
          <w:lang w:val="fr-FR"/>
        </w:rPr>
        <w:t>é</w:t>
      </w:r>
      <w:r w:rsidR="001B2F58" w:rsidRPr="00DD03D6">
        <w:rPr>
          <w:noProof/>
          <w:lang w:val="fr-FR"/>
        </w:rPr>
        <w:t xml:space="preserve">vention </w:t>
      </w:r>
      <w:r>
        <w:rPr>
          <w:noProof/>
          <w:lang w:val="fr-FR"/>
        </w:rPr>
        <w:t xml:space="preserve">et la </w:t>
      </w:r>
      <w:r w:rsidR="001B2F58" w:rsidRPr="00DD03D6">
        <w:rPr>
          <w:noProof/>
          <w:lang w:val="fr-FR"/>
        </w:rPr>
        <w:t>d</w:t>
      </w:r>
      <w:r>
        <w:rPr>
          <w:noProof/>
          <w:lang w:val="fr-FR"/>
        </w:rPr>
        <w:t>é</w:t>
      </w:r>
      <w:r w:rsidR="001B2F58" w:rsidRPr="00DD03D6">
        <w:rPr>
          <w:noProof/>
          <w:lang w:val="fr-FR"/>
        </w:rPr>
        <w:t>tection</w:t>
      </w:r>
      <w:r>
        <w:rPr>
          <w:noProof/>
          <w:lang w:val="fr-FR"/>
        </w:rPr>
        <w:t xml:space="preserve">. Elle a également été identifiée comme une activité prioritaire en </w:t>
      </w:r>
      <w:r w:rsidR="001B2F58" w:rsidRPr="00DD03D6">
        <w:rPr>
          <w:noProof/>
          <w:lang w:val="fr-FR"/>
        </w:rPr>
        <w:t xml:space="preserve">2011 </w:t>
      </w:r>
      <w:r>
        <w:rPr>
          <w:noProof/>
          <w:lang w:val="fr-FR"/>
        </w:rPr>
        <w:t>et</w:t>
      </w:r>
      <w:r w:rsidR="001B2F58" w:rsidRPr="00DD03D6">
        <w:rPr>
          <w:noProof/>
          <w:lang w:val="fr-FR"/>
        </w:rPr>
        <w:t xml:space="preserve"> 2010.</w:t>
      </w:r>
    </w:p>
    <w:p w:rsidR="001B2F58" w:rsidRPr="00DD03D6" w:rsidRDefault="0007411A" w:rsidP="004454EF">
      <w:pPr>
        <w:pStyle w:val="SingleTxtG"/>
        <w:numPr>
          <w:ilvl w:val="0"/>
          <w:numId w:val="3"/>
        </w:numPr>
        <w:ind w:left="1134" w:firstLine="0"/>
        <w:rPr>
          <w:noProof/>
          <w:lang w:val="fr-FR"/>
        </w:rPr>
      </w:pPr>
      <w:r>
        <w:rPr>
          <w:noProof/>
          <w:lang w:val="fr-FR"/>
        </w:rPr>
        <w:t xml:space="preserve">Un certain nombre d’activités de sensibilisation et de formation se sont déroulées depuis la création du Service de lutte contre la traite des êtres humains en </w:t>
      </w:r>
      <w:r w:rsidR="001B2F58" w:rsidRPr="00DD03D6">
        <w:rPr>
          <w:noProof/>
          <w:lang w:val="fr-FR"/>
        </w:rPr>
        <w:t xml:space="preserve">2008. </w:t>
      </w:r>
      <w:r>
        <w:rPr>
          <w:noProof/>
          <w:lang w:val="fr-FR"/>
        </w:rPr>
        <w:t xml:space="preserve">On trouvera des informations détaillées sur les activités de sensibilisation réalisées à ce jour sur le site </w:t>
      </w:r>
      <w:hyperlink r:id="rId39" w:history="1">
        <w:r w:rsidR="001B2F58" w:rsidRPr="00DD03D6">
          <w:rPr>
            <w:rStyle w:val="Lienhypertexte"/>
            <w:noProof/>
            <w:color w:val="0000FF"/>
            <w:u w:val="single"/>
            <w:lang w:val="fr-FR"/>
          </w:rPr>
          <w:t>www.blueblindfold.gov.ie</w:t>
        </w:r>
      </w:hyperlink>
      <w:r w:rsidR="001B2F58" w:rsidRPr="00DD03D6">
        <w:rPr>
          <w:noProof/>
          <w:lang w:val="fr-FR"/>
        </w:rPr>
        <w:t xml:space="preserve">. </w:t>
      </w:r>
      <w:r w:rsidR="003F489A">
        <w:rPr>
          <w:noProof/>
          <w:lang w:val="fr-FR"/>
        </w:rPr>
        <w:t xml:space="preserve">Ces activités ont également porté sur la formation des membres de la </w:t>
      </w:r>
      <w:r w:rsidR="001B2F58" w:rsidRPr="00DD03D6">
        <w:rPr>
          <w:noProof/>
          <w:lang w:val="fr-FR"/>
        </w:rPr>
        <w:t>Garda</w:t>
      </w:r>
      <w:r w:rsidR="003F489A">
        <w:rPr>
          <w:noProof/>
          <w:lang w:val="fr-FR"/>
        </w:rPr>
        <w:t xml:space="preserve"> et de la Commission de l’aide juridictionnelle, ainsi que des ONG</w:t>
      </w:r>
      <w:r w:rsidR="001B2F58" w:rsidRPr="00DD03D6">
        <w:rPr>
          <w:noProof/>
          <w:lang w:val="fr-FR"/>
        </w:rPr>
        <w:t xml:space="preserve">. </w:t>
      </w:r>
    </w:p>
    <w:p w:rsidR="001B2F58" w:rsidRPr="00DD03D6" w:rsidRDefault="003F489A" w:rsidP="005D7533">
      <w:pPr>
        <w:pStyle w:val="SingleTxtG"/>
        <w:numPr>
          <w:ilvl w:val="0"/>
          <w:numId w:val="3"/>
        </w:numPr>
        <w:ind w:left="1134" w:firstLine="0"/>
        <w:rPr>
          <w:noProof/>
          <w:lang w:val="fr-FR"/>
        </w:rPr>
      </w:pPr>
      <w:r>
        <w:rPr>
          <w:noProof/>
          <w:lang w:val="fr-FR"/>
        </w:rPr>
        <w:t>En 2010, le Ministère de la j</w:t>
      </w:r>
      <w:r w:rsidR="001B2F58" w:rsidRPr="00DD03D6">
        <w:rPr>
          <w:noProof/>
          <w:lang w:val="fr-FR"/>
        </w:rPr>
        <w:t xml:space="preserve">ustice </w:t>
      </w:r>
      <w:r>
        <w:rPr>
          <w:noProof/>
          <w:lang w:val="fr-FR"/>
        </w:rPr>
        <w:t xml:space="preserve">et de l’égalité a versé </w:t>
      </w:r>
      <w:r w:rsidR="001B2F58" w:rsidRPr="00DD03D6">
        <w:rPr>
          <w:noProof/>
          <w:lang w:val="fr-FR"/>
        </w:rPr>
        <w:t>258</w:t>
      </w:r>
      <w:r w:rsidR="006B44EA">
        <w:rPr>
          <w:noProof/>
          <w:lang w:val="fr-FR"/>
        </w:rPr>
        <w:t> </w:t>
      </w:r>
      <w:r w:rsidR="001B2F58" w:rsidRPr="00DD03D6">
        <w:rPr>
          <w:noProof/>
          <w:lang w:val="fr-FR"/>
        </w:rPr>
        <w:t xml:space="preserve">500 </w:t>
      </w:r>
      <w:r>
        <w:rPr>
          <w:noProof/>
          <w:lang w:val="fr-FR"/>
        </w:rPr>
        <w:t xml:space="preserve">euros à deux ONG, dont </w:t>
      </w:r>
      <w:r w:rsidR="001B2F58" w:rsidRPr="00DD03D6">
        <w:rPr>
          <w:noProof/>
          <w:lang w:val="fr-FR"/>
        </w:rPr>
        <w:t>250</w:t>
      </w:r>
      <w:r w:rsidR="006B44EA">
        <w:rPr>
          <w:noProof/>
          <w:lang w:val="fr-FR"/>
        </w:rPr>
        <w:t> </w:t>
      </w:r>
      <w:r w:rsidR="001B2F58" w:rsidRPr="00DD03D6">
        <w:rPr>
          <w:noProof/>
          <w:lang w:val="fr-FR"/>
        </w:rPr>
        <w:t xml:space="preserve">000 </w:t>
      </w:r>
      <w:r>
        <w:rPr>
          <w:noProof/>
          <w:lang w:val="fr-FR"/>
        </w:rPr>
        <w:t xml:space="preserve">euros à </w:t>
      </w:r>
      <w:r w:rsidR="001B2F58" w:rsidRPr="00DD03D6">
        <w:rPr>
          <w:noProof/>
          <w:lang w:val="fr-FR"/>
        </w:rPr>
        <w:t xml:space="preserve">Ruhama, </w:t>
      </w:r>
      <w:r>
        <w:rPr>
          <w:noProof/>
          <w:lang w:val="fr-FR"/>
        </w:rPr>
        <w:t xml:space="preserve">qui fournit une </w:t>
      </w:r>
      <w:r w:rsidR="001B2F58" w:rsidRPr="00DD03D6">
        <w:rPr>
          <w:noProof/>
          <w:lang w:val="fr-FR"/>
        </w:rPr>
        <w:t>assist</w:t>
      </w:r>
      <w:r>
        <w:rPr>
          <w:noProof/>
          <w:lang w:val="fr-FR"/>
        </w:rPr>
        <w:t xml:space="preserve">ance aux </w:t>
      </w:r>
      <w:r w:rsidR="001B2F58" w:rsidRPr="00DD03D6">
        <w:rPr>
          <w:noProof/>
          <w:lang w:val="fr-FR"/>
        </w:rPr>
        <w:t>victim</w:t>
      </w:r>
      <w:r>
        <w:rPr>
          <w:noProof/>
          <w:lang w:val="fr-FR"/>
        </w:rPr>
        <w:t>e</w:t>
      </w:r>
      <w:r w:rsidR="001B2F58" w:rsidRPr="00DD03D6">
        <w:rPr>
          <w:noProof/>
          <w:lang w:val="fr-FR"/>
        </w:rPr>
        <w:t xml:space="preserve">s </w:t>
      </w:r>
      <w:r>
        <w:rPr>
          <w:noProof/>
          <w:lang w:val="fr-FR"/>
        </w:rPr>
        <w:t>de l’</w:t>
      </w:r>
      <w:r w:rsidR="001B2F58" w:rsidRPr="00DD03D6">
        <w:rPr>
          <w:noProof/>
          <w:lang w:val="fr-FR"/>
        </w:rPr>
        <w:t>exploitation</w:t>
      </w:r>
      <w:r>
        <w:rPr>
          <w:noProof/>
          <w:lang w:val="fr-FR"/>
        </w:rPr>
        <w:t xml:space="preserve"> sexuelle</w:t>
      </w:r>
      <w:r w:rsidR="001B2F58" w:rsidRPr="00DD03D6">
        <w:rPr>
          <w:noProof/>
          <w:lang w:val="fr-FR"/>
        </w:rPr>
        <w:t xml:space="preserve">, </w:t>
      </w:r>
      <w:r>
        <w:rPr>
          <w:noProof/>
          <w:lang w:val="fr-FR"/>
        </w:rPr>
        <w:t xml:space="preserve">et </w:t>
      </w:r>
      <w:r w:rsidR="001B2F58" w:rsidRPr="00DD03D6">
        <w:rPr>
          <w:noProof/>
          <w:lang w:val="fr-FR"/>
        </w:rPr>
        <w:t>8</w:t>
      </w:r>
      <w:r w:rsidR="006B44EA">
        <w:rPr>
          <w:noProof/>
          <w:lang w:val="fr-FR"/>
        </w:rPr>
        <w:t> </w:t>
      </w:r>
      <w:r w:rsidR="001B2F58" w:rsidRPr="00DD03D6">
        <w:rPr>
          <w:noProof/>
          <w:lang w:val="fr-FR"/>
        </w:rPr>
        <w:t xml:space="preserve">500 </w:t>
      </w:r>
      <w:r>
        <w:rPr>
          <w:noProof/>
          <w:lang w:val="fr-FR"/>
        </w:rPr>
        <w:t>euros au</w:t>
      </w:r>
      <w:r w:rsidR="001B2F58" w:rsidRPr="00DD03D6">
        <w:rPr>
          <w:noProof/>
          <w:lang w:val="fr-FR"/>
        </w:rPr>
        <w:t xml:space="preserve"> Migrant Rights Council Ireland (MRCI), </w:t>
      </w:r>
      <w:r>
        <w:rPr>
          <w:noProof/>
          <w:lang w:val="fr-FR"/>
        </w:rPr>
        <w:t xml:space="preserve">qui vient en aide aux </w:t>
      </w:r>
      <w:r w:rsidR="001B2F58" w:rsidRPr="00DD03D6">
        <w:rPr>
          <w:noProof/>
          <w:lang w:val="fr-FR"/>
        </w:rPr>
        <w:t>victim</w:t>
      </w:r>
      <w:r>
        <w:rPr>
          <w:noProof/>
          <w:lang w:val="fr-FR"/>
        </w:rPr>
        <w:t>e</w:t>
      </w:r>
      <w:r w:rsidR="001B2F58" w:rsidRPr="00DD03D6">
        <w:rPr>
          <w:noProof/>
          <w:lang w:val="fr-FR"/>
        </w:rPr>
        <w:t xml:space="preserve">s </w:t>
      </w:r>
      <w:r>
        <w:rPr>
          <w:noProof/>
          <w:lang w:val="fr-FR"/>
        </w:rPr>
        <w:t>de l’</w:t>
      </w:r>
      <w:r w:rsidR="001B2F58" w:rsidRPr="00DD03D6">
        <w:rPr>
          <w:noProof/>
          <w:lang w:val="fr-FR"/>
        </w:rPr>
        <w:t>exploitation</w:t>
      </w:r>
      <w:r>
        <w:rPr>
          <w:noProof/>
          <w:lang w:val="fr-FR"/>
        </w:rPr>
        <w:t xml:space="preserve"> du travail</w:t>
      </w:r>
      <w:r w:rsidR="001B2F58" w:rsidRPr="00DD03D6">
        <w:rPr>
          <w:noProof/>
          <w:lang w:val="fr-FR"/>
        </w:rPr>
        <w:t xml:space="preserve">. </w:t>
      </w:r>
      <w:r>
        <w:rPr>
          <w:noProof/>
          <w:lang w:val="fr-FR"/>
        </w:rPr>
        <w:t>E</w:t>
      </w:r>
      <w:r w:rsidR="001B2F58" w:rsidRPr="00DD03D6">
        <w:rPr>
          <w:noProof/>
          <w:lang w:val="fr-FR"/>
        </w:rPr>
        <w:t xml:space="preserve">n 2011, Ruhama </w:t>
      </w:r>
      <w:r>
        <w:rPr>
          <w:noProof/>
          <w:lang w:val="fr-FR"/>
        </w:rPr>
        <w:t xml:space="preserve">a reçu </w:t>
      </w:r>
      <w:r w:rsidR="001B2F58" w:rsidRPr="00DD03D6">
        <w:rPr>
          <w:noProof/>
          <w:lang w:val="fr-FR"/>
        </w:rPr>
        <w:t>225</w:t>
      </w:r>
      <w:r>
        <w:rPr>
          <w:noProof/>
          <w:lang w:val="fr-FR"/>
        </w:rPr>
        <w:t> </w:t>
      </w:r>
      <w:r w:rsidR="001B2F58" w:rsidRPr="00DD03D6">
        <w:rPr>
          <w:noProof/>
          <w:lang w:val="fr-FR"/>
        </w:rPr>
        <w:t>000</w:t>
      </w:r>
      <w:r>
        <w:rPr>
          <w:noProof/>
          <w:lang w:val="fr-FR"/>
        </w:rPr>
        <w:t xml:space="preserve"> et le MRCI </w:t>
      </w:r>
      <w:r w:rsidR="001B2F58" w:rsidRPr="00DD03D6">
        <w:rPr>
          <w:noProof/>
          <w:lang w:val="fr-FR"/>
        </w:rPr>
        <w:t>17</w:t>
      </w:r>
      <w:r w:rsidR="006B44EA">
        <w:rPr>
          <w:noProof/>
          <w:lang w:val="fr-FR"/>
        </w:rPr>
        <w:t> </w:t>
      </w:r>
      <w:r w:rsidR="001B2F58" w:rsidRPr="00DD03D6">
        <w:rPr>
          <w:noProof/>
          <w:lang w:val="fr-FR"/>
        </w:rPr>
        <w:t xml:space="preserve">000. </w:t>
      </w:r>
      <w:r>
        <w:rPr>
          <w:noProof/>
          <w:lang w:val="fr-FR"/>
        </w:rPr>
        <w:t xml:space="preserve">Le Ministère a par ailleurs financé en partie une exposition photographique intitulée </w:t>
      </w:r>
      <w:r w:rsidR="00BE5B5E">
        <w:rPr>
          <w:noProof/>
          <w:lang w:val="fr-FR"/>
        </w:rPr>
        <w:t>« </w:t>
      </w:r>
      <w:r w:rsidR="001B2F58" w:rsidRPr="00DD03D6">
        <w:rPr>
          <w:noProof/>
          <w:lang w:val="fr-FR"/>
        </w:rPr>
        <w:t>Not Natasha</w:t>
      </w:r>
      <w:r w:rsidR="00BE5B5E">
        <w:rPr>
          <w:noProof/>
          <w:lang w:val="fr-FR"/>
        </w:rPr>
        <w:t> »</w:t>
      </w:r>
      <w:r w:rsidR="001B2F58" w:rsidRPr="00DD03D6">
        <w:rPr>
          <w:noProof/>
          <w:lang w:val="fr-FR"/>
        </w:rPr>
        <w:t>, organis</w:t>
      </w:r>
      <w:r>
        <w:rPr>
          <w:noProof/>
          <w:lang w:val="fr-FR"/>
        </w:rPr>
        <w:t>é</w:t>
      </w:r>
      <w:r w:rsidR="001B2F58" w:rsidRPr="00DD03D6">
        <w:rPr>
          <w:noProof/>
          <w:lang w:val="fr-FR"/>
        </w:rPr>
        <w:t>e</w:t>
      </w:r>
      <w:r>
        <w:rPr>
          <w:noProof/>
          <w:lang w:val="fr-FR"/>
        </w:rPr>
        <w:t xml:space="preserve"> par l</w:t>
      </w:r>
      <w:r w:rsidR="00987DFD">
        <w:rPr>
          <w:noProof/>
          <w:lang w:val="fr-FR"/>
        </w:rPr>
        <w:t>’</w:t>
      </w:r>
      <w:r w:rsidR="001B2F58" w:rsidRPr="00DD03D6">
        <w:rPr>
          <w:noProof/>
          <w:lang w:val="fr-FR"/>
        </w:rPr>
        <w:t xml:space="preserve">Immigrant Council of Ireland. </w:t>
      </w:r>
      <w:r w:rsidR="00870143">
        <w:rPr>
          <w:noProof/>
          <w:lang w:val="fr-FR"/>
        </w:rPr>
        <w:t xml:space="preserve">Cette exposition avait pour thème la traite à des fins </w:t>
      </w:r>
      <w:r w:rsidR="001B2F58" w:rsidRPr="00DD03D6">
        <w:rPr>
          <w:noProof/>
          <w:lang w:val="fr-FR"/>
        </w:rPr>
        <w:t>sex</w:t>
      </w:r>
      <w:r w:rsidR="00870143">
        <w:rPr>
          <w:noProof/>
          <w:lang w:val="fr-FR"/>
        </w:rPr>
        <w:t>uelles et ses conséquences pour les victimes</w:t>
      </w:r>
      <w:r w:rsidR="001B2F58" w:rsidRPr="00DD03D6">
        <w:rPr>
          <w:noProof/>
          <w:lang w:val="fr-FR"/>
        </w:rPr>
        <w:t>.</w:t>
      </w:r>
    </w:p>
    <w:p w:rsidR="001B2F58" w:rsidRPr="00DD03D6" w:rsidRDefault="00870143" w:rsidP="004454EF">
      <w:pPr>
        <w:pStyle w:val="SingleTxtG"/>
        <w:numPr>
          <w:ilvl w:val="0"/>
          <w:numId w:val="3"/>
        </w:numPr>
        <w:ind w:left="1134" w:firstLine="0"/>
        <w:rPr>
          <w:noProof/>
          <w:lang w:val="fr-FR"/>
        </w:rPr>
      </w:pPr>
      <w:r>
        <w:rPr>
          <w:noProof/>
          <w:lang w:val="fr-FR"/>
        </w:rPr>
        <w:t xml:space="preserve">L’Irlande coopère avec les services de </w:t>
      </w:r>
      <w:r w:rsidR="001B2F58" w:rsidRPr="00DD03D6">
        <w:rPr>
          <w:noProof/>
          <w:lang w:val="fr-FR"/>
        </w:rPr>
        <w:t xml:space="preserve">police </w:t>
      </w:r>
      <w:r>
        <w:rPr>
          <w:noProof/>
          <w:lang w:val="fr-FR"/>
        </w:rPr>
        <w:t xml:space="preserve">et les organismes spécialisés des autres pays ainsi qu’avec les organisations </w:t>
      </w:r>
      <w:r w:rsidR="001B2F58" w:rsidRPr="00DD03D6">
        <w:rPr>
          <w:noProof/>
          <w:lang w:val="fr-FR"/>
        </w:rPr>
        <w:t>international</w:t>
      </w:r>
      <w:r>
        <w:rPr>
          <w:noProof/>
          <w:lang w:val="fr-FR"/>
        </w:rPr>
        <w:t>es</w:t>
      </w:r>
      <w:r w:rsidR="001B2F58" w:rsidRPr="00DD03D6">
        <w:rPr>
          <w:noProof/>
          <w:lang w:val="fr-FR"/>
        </w:rPr>
        <w:t xml:space="preserve"> </w:t>
      </w:r>
      <w:r>
        <w:rPr>
          <w:noProof/>
          <w:lang w:val="fr-FR"/>
        </w:rPr>
        <w:t>dans la lutte contre l’infraction de traite des êtres humains</w:t>
      </w:r>
      <w:r w:rsidR="001B2F58" w:rsidRPr="00DD03D6">
        <w:rPr>
          <w:noProof/>
          <w:lang w:val="fr-FR"/>
        </w:rPr>
        <w:t>.</w:t>
      </w:r>
    </w:p>
    <w:p w:rsidR="001B2F58" w:rsidRPr="00DD03D6" w:rsidRDefault="004454EF" w:rsidP="004454EF">
      <w:pPr>
        <w:pStyle w:val="H1G"/>
        <w:rPr>
          <w:noProof/>
          <w:lang w:val="fr-FR"/>
        </w:rPr>
      </w:pPr>
      <w:bookmarkStart w:id="68" w:name="_Toc356430900"/>
      <w:r w:rsidRPr="00DD03D6">
        <w:rPr>
          <w:noProof/>
          <w:lang w:val="fr-FR"/>
        </w:rPr>
        <w:lastRenderedPageBreak/>
        <w:tab/>
      </w:r>
      <w:r w:rsidR="001B2F58" w:rsidRPr="00DD03D6">
        <w:rPr>
          <w:noProof/>
          <w:lang w:val="fr-FR"/>
        </w:rPr>
        <w:t>D.</w:t>
      </w:r>
      <w:r w:rsidR="001B2F58" w:rsidRPr="00DD03D6">
        <w:rPr>
          <w:noProof/>
          <w:lang w:val="fr-FR"/>
        </w:rPr>
        <w:tab/>
      </w:r>
      <w:r w:rsidR="00870143">
        <w:rPr>
          <w:noProof/>
          <w:lang w:val="fr-FR"/>
        </w:rPr>
        <w:t xml:space="preserve">Enfants des rues </w:t>
      </w:r>
      <w:bookmarkEnd w:id="68"/>
    </w:p>
    <w:p w:rsidR="001B2F58" w:rsidRPr="00DD03D6" w:rsidRDefault="00870143" w:rsidP="00763D72">
      <w:pPr>
        <w:pStyle w:val="SingleTxtG"/>
        <w:numPr>
          <w:ilvl w:val="0"/>
          <w:numId w:val="3"/>
        </w:numPr>
        <w:ind w:left="1134" w:firstLine="0"/>
        <w:rPr>
          <w:noProof/>
          <w:u w:val="single"/>
          <w:lang w:val="fr-FR"/>
        </w:rPr>
      </w:pPr>
      <w:r>
        <w:rPr>
          <w:noProof/>
          <w:lang w:val="fr-FR"/>
        </w:rPr>
        <w:t xml:space="preserve">Dans son </w:t>
      </w:r>
      <w:r w:rsidR="001B2F58" w:rsidRPr="00DD03D6">
        <w:rPr>
          <w:noProof/>
          <w:lang w:val="fr-FR"/>
        </w:rPr>
        <w:t xml:space="preserve">Programme </w:t>
      </w:r>
      <w:r>
        <w:rPr>
          <w:noProof/>
          <w:lang w:val="fr-FR"/>
        </w:rPr>
        <w:t xml:space="preserve">pour </w:t>
      </w:r>
      <w:r w:rsidR="001B2F58" w:rsidRPr="00DD03D6">
        <w:rPr>
          <w:noProof/>
          <w:lang w:val="fr-FR"/>
        </w:rPr>
        <w:t>2011-2016</w:t>
      </w:r>
      <w:r>
        <w:rPr>
          <w:noProof/>
          <w:lang w:val="fr-FR"/>
        </w:rPr>
        <w:t xml:space="preserve">, le Gouvernement </w:t>
      </w:r>
      <w:r w:rsidR="003902DC">
        <w:rPr>
          <w:noProof/>
          <w:lang w:val="fr-FR"/>
        </w:rPr>
        <w:t xml:space="preserve">s’engage notamment </w:t>
      </w:r>
      <w:r w:rsidR="001B2F58" w:rsidRPr="00DD03D6">
        <w:rPr>
          <w:noProof/>
          <w:lang w:val="fr-FR"/>
        </w:rPr>
        <w:t>i)</w:t>
      </w:r>
      <w:r w:rsidR="006B44EA">
        <w:rPr>
          <w:noProof/>
          <w:lang w:val="fr-FR"/>
        </w:rPr>
        <w:t> </w:t>
      </w:r>
      <w:r w:rsidR="003902DC">
        <w:rPr>
          <w:noProof/>
          <w:lang w:val="fr-FR"/>
        </w:rPr>
        <w:t>à</w:t>
      </w:r>
      <w:r w:rsidR="006B44EA">
        <w:rPr>
          <w:noProof/>
          <w:lang w:val="fr-FR"/>
        </w:rPr>
        <w:t> </w:t>
      </w:r>
      <w:r w:rsidR="003902DC">
        <w:rPr>
          <w:noProof/>
          <w:lang w:val="fr-FR"/>
        </w:rPr>
        <w:t>mettre fin à l’absence durable de domicile et à la nécessité de dormir à la dure</w:t>
      </w:r>
      <w:r w:rsidR="001B2F58" w:rsidRPr="00DD03D6">
        <w:rPr>
          <w:noProof/>
          <w:lang w:val="fr-FR"/>
        </w:rPr>
        <w:t xml:space="preserve">, </w:t>
      </w:r>
      <w:r w:rsidR="003902DC">
        <w:rPr>
          <w:noProof/>
          <w:lang w:val="fr-FR"/>
        </w:rPr>
        <w:t xml:space="preserve">et </w:t>
      </w:r>
      <w:r w:rsidR="006B44EA">
        <w:rPr>
          <w:noProof/>
          <w:lang w:val="fr-FR"/>
        </w:rPr>
        <w:t>ii) </w:t>
      </w:r>
      <w:r w:rsidR="003902DC">
        <w:rPr>
          <w:noProof/>
          <w:lang w:val="fr-FR"/>
        </w:rPr>
        <w:t>à</w:t>
      </w:r>
      <w:r w:rsidR="006B44EA">
        <w:rPr>
          <w:noProof/>
          <w:lang w:val="fr-FR"/>
        </w:rPr>
        <w:t> </w:t>
      </w:r>
      <w:r w:rsidR="003902DC">
        <w:rPr>
          <w:noProof/>
          <w:lang w:val="fr-FR"/>
        </w:rPr>
        <w:t>réexaminer et actualiser la Stratégie en faveur des jeunes sans</w:t>
      </w:r>
      <w:r w:rsidR="00AB3242">
        <w:rPr>
          <w:noProof/>
          <w:lang w:val="fr-FR"/>
        </w:rPr>
        <w:t xml:space="preserve"> </w:t>
      </w:r>
      <w:r w:rsidR="003902DC">
        <w:rPr>
          <w:noProof/>
          <w:lang w:val="fr-FR"/>
        </w:rPr>
        <w:t xml:space="preserve">abri élaborée en </w:t>
      </w:r>
      <w:r w:rsidR="001B2F58" w:rsidRPr="00DD03D6">
        <w:rPr>
          <w:noProof/>
          <w:lang w:val="fr-FR"/>
        </w:rPr>
        <w:t xml:space="preserve">2001, </w:t>
      </w:r>
      <w:r w:rsidR="003902DC">
        <w:rPr>
          <w:noProof/>
          <w:lang w:val="fr-FR"/>
        </w:rPr>
        <w:t>en y incluant notamment un aspect visant spécifiquement l’absence de dom</w:t>
      </w:r>
      <w:r w:rsidR="00AC11C1">
        <w:rPr>
          <w:noProof/>
          <w:lang w:val="fr-FR"/>
        </w:rPr>
        <w:t>icile parmi les jeunes</w:t>
      </w:r>
      <w:r w:rsidR="001B2F58" w:rsidRPr="00DD03D6">
        <w:rPr>
          <w:noProof/>
          <w:lang w:val="fr-FR"/>
        </w:rPr>
        <w:t xml:space="preserve">. </w:t>
      </w:r>
      <w:r w:rsidR="00AC11C1">
        <w:rPr>
          <w:noProof/>
          <w:lang w:val="fr-FR"/>
        </w:rPr>
        <w:t xml:space="preserve">Un examen des progrès réalisés entrepris en </w:t>
      </w:r>
      <w:r w:rsidR="001B2F58" w:rsidRPr="00DD03D6">
        <w:rPr>
          <w:noProof/>
          <w:lang w:val="fr-FR"/>
        </w:rPr>
        <w:t xml:space="preserve">2008 </w:t>
      </w:r>
      <w:r w:rsidR="00AC11C1">
        <w:rPr>
          <w:noProof/>
          <w:lang w:val="fr-FR"/>
        </w:rPr>
        <w:t>par la Direction des services de santé en collaboration avec d’autres organismes a permis de constater que l’on avait beaucoup progressé, en particulier dans les domaines de la coopération interorganismes</w:t>
      </w:r>
      <w:r w:rsidR="001B2F58" w:rsidRPr="00DD03D6">
        <w:rPr>
          <w:noProof/>
          <w:lang w:val="fr-FR"/>
        </w:rPr>
        <w:t xml:space="preserve">, </w:t>
      </w:r>
      <w:r w:rsidR="00AC11C1">
        <w:rPr>
          <w:noProof/>
          <w:lang w:val="fr-FR"/>
        </w:rPr>
        <w:t xml:space="preserve">de la prévention précoce et des services fournis en dehors des heures </w:t>
      </w:r>
      <w:r w:rsidR="00601384">
        <w:rPr>
          <w:noProof/>
          <w:lang w:val="fr-FR"/>
        </w:rPr>
        <w:t xml:space="preserve">habituelles </w:t>
      </w:r>
      <w:r w:rsidR="00AC11C1">
        <w:rPr>
          <w:noProof/>
          <w:lang w:val="fr-FR"/>
        </w:rPr>
        <w:t>de travail</w:t>
      </w:r>
      <w:r w:rsidR="001B2F58" w:rsidRPr="00DD03D6">
        <w:rPr>
          <w:noProof/>
          <w:lang w:val="fr-FR"/>
        </w:rPr>
        <w:t xml:space="preserve">. </w:t>
      </w:r>
      <w:r w:rsidR="00AC11C1">
        <w:rPr>
          <w:noProof/>
          <w:lang w:val="fr-FR"/>
        </w:rPr>
        <w:t xml:space="preserve">Le Ministère de l’enfance et de la jeunesse a </w:t>
      </w:r>
      <w:r w:rsidR="0087469E">
        <w:rPr>
          <w:noProof/>
          <w:lang w:val="fr-FR"/>
        </w:rPr>
        <w:t xml:space="preserve">demandé au </w:t>
      </w:r>
      <w:r w:rsidR="001B2F58" w:rsidRPr="00DD03D6">
        <w:rPr>
          <w:noProof/>
          <w:lang w:val="fr-FR"/>
        </w:rPr>
        <w:t xml:space="preserve">Centre </w:t>
      </w:r>
      <w:r w:rsidR="0087469E">
        <w:rPr>
          <w:noProof/>
          <w:lang w:val="fr-FR"/>
        </w:rPr>
        <w:t>pour des services efficaces de procéder à un examen de l’application de la Stratégie en faveur des jeunes sans</w:t>
      </w:r>
      <w:r w:rsidR="00601384">
        <w:rPr>
          <w:noProof/>
          <w:lang w:val="fr-FR"/>
        </w:rPr>
        <w:t xml:space="preserve"> </w:t>
      </w:r>
      <w:r w:rsidR="0087469E">
        <w:rPr>
          <w:noProof/>
          <w:lang w:val="fr-FR"/>
        </w:rPr>
        <w:t>abri afin d’établir dans quelle mesure elle avait porté ses fruits et de recenser les obstacles ou difficultés qu’elle pouvait avoir rencontrés</w:t>
      </w:r>
      <w:r w:rsidR="001B2F58" w:rsidRPr="00DD03D6">
        <w:rPr>
          <w:noProof/>
          <w:lang w:val="fr-FR"/>
        </w:rPr>
        <w:t xml:space="preserve">. </w:t>
      </w:r>
      <w:r w:rsidR="0087469E">
        <w:rPr>
          <w:noProof/>
          <w:lang w:val="fr-FR"/>
        </w:rPr>
        <w:t xml:space="preserve">Dans le cadre de ce processus, le Centre en question </w:t>
      </w:r>
      <w:r w:rsidR="001B2F58" w:rsidRPr="00DD03D6">
        <w:rPr>
          <w:noProof/>
          <w:lang w:val="fr-FR"/>
        </w:rPr>
        <w:t>consult</w:t>
      </w:r>
      <w:r w:rsidR="0087469E">
        <w:rPr>
          <w:noProof/>
          <w:lang w:val="fr-FR"/>
        </w:rPr>
        <w:t>era les prestataires de services compétents, les ONG et les jeunes et formulera des</w:t>
      </w:r>
      <w:r w:rsidR="00547E30">
        <w:rPr>
          <w:noProof/>
          <w:lang w:val="fr-FR"/>
        </w:rPr>
        <w:t xml:space="preserve"> </w:t>
      </w:r>
      <w:r w:rsidR="0087469E">
        <w:rPr>
          <w:noProof/>
          <w:lang w:val="fr-FR"/>
        </w:rPr>
        <w:t>recomma</w:t>
      </w:r>
      <w:r w:rsidR="001B2F58" w:rsidRPr="00DD03D6">
        <w:rPr>
          <w:noProof/>
          <w:lang w:val="fr-FR"/>
        </w:rPr>
        <w:t xml:space="preserve">ndations. </w:t>
      </w:r>
      <w:r w:rsidR="0087469E">
        <w:rPr>
          <w:noProof/>
          <w:lang w:val="fr-FR"/>
        </w:rPr>
        <w:t>Cette é</w:t>
      </w:r>
      <w:r w:rsidR="001B2F58" w:rsidRPr="00DD03D6">
        <w:rPr>
          <w:noProof/>
          <w:lang w:val="fr-FR"/>
        </w:rPr>
        <w:t xml:space="preserve">valuation </w:t>
      </w:r>
      <w:r w:rsidR="00A11EB3">
        <w:rPr>
          <w:noProof/>
          <w:lang w:val="fr-FR"/>
        </w:rPr>
        <w:t>est en voie de finalisation et devrait être publiée sous peu</w:t>
      </w:r>
      <w:r w:rsidR="001B2F58" w:rsidRPr="00DD03D6">
        <w:rPr>
          <w:noProof/>
          <w:lang w:val="fr-FR"/>
        </w:rPr>
        <w:t xml:space="preserve">. </w:t>
      </w:r>
      <w:r w:rsidR="00A11EB3">
        <w:rPr>
          <w:noProof/>
          <w:lang w:val="fr-FR"/>
        </w:rPr>
        <w:t xml:space="preserve">Il est permis d’anticiper sur ses conclusions </w:t>
      </w:r>
      <w:r w:rsidR="004675DE">
        <w:rPr>
          <w:noProof/>
          <w:lang w:val="fr-FR"/>
        </w:rPr>
        <w:t>en disant qu</w:t>
      </w:r>
      <w:r w:rsidR="006A3006">
        <w:rPr>
          <w:noProof/>
          <w:lang w:val="fr-FR"/>
        </w:rPr>
        <w:t xml:space="preserve">e l’on s’accorde à présent à penser </w:t>
      </w:r>
      <w:r w:rsidR="004675DE">
        <w:rPr>
          <w:noProof/>
          <w:lang w:val="fr-FR"/>
        </w:rPr>
        <w:t>que, d’une façon générale, la Stratégie en faveur des jeunes sans</w:t>
      </w:r>
      <w:r w:rsidR="00601384">
        <w:rPr>
          <w:noProof/>
          <w:lang w:val="fr-FR"/>
        </w:rPr>
        <w:t xml:space="preserve"> </w:t>
      </w:r>
      <w:r w:rsidR="004675DE">
        <w:rPr>
          <w:noProof/>
          <w:lang w:val="fr-FR"/>
        </w:rPr>
        <w:t xml:space="preserve">abri </w:t>
      </w:r>
      <w:r w:rsidR="006A3006">
        <w:rPr>
          <w:noProof/>
          <w:lang w:val="fr-FR"/>
        </w:rPr>
        <w:t>a été considérée comme ayant apporté une contribution notable au règlement du problème de l’absence de domicile parmi les jeunes et ayant aidé en particulier à pratiquement éliminer la nécessité pour des enfants de dormir à la dure</w:t>
      </w:r>
      <w:r w:rsidR="001B2F58" w:rsidRPr="00DD03D6">
        <w:rPr>
          <w:noProof/>
          <w:lang w:val="fr-FR"/>
        </w:rPr>
        <w:t xml:space="preserve">. </w:t>
      </w:r>
      <w:r w:rsidR="006A3006">
        <w:rPr>
          <w:noProof/>
          <w:lang w:val="fr-FR"/>
        </w:rPr>
        <w:t xml:space="preserve">C’est ce que confirme un récent rapport de la Direction de la lutte contre l’absence de domicile de la région de </w:t>
      </w:r>
      <w:r w:rsidR="001B2F58" w:rsidRPr="00DD03D6">
        <w:rPr>
          <w:noProof/>
          <w:lang w:val="fr-FR"/>
        </w:rPr>
        <w:t xml:space="preserve">Dublin </w:t>
      </w:r>
      <w:r w:rsidR="009B315B">
        <w:rPr>
          <w:noProof/>
          <w:lang w:val="fr-FR"/>
        </w:rPr>
        <w:t>(novembre</w:t>
      </w:r>
      <w:r w:rsidR="001B2F58" w:rsidRPr="00DD03D6">
        <w:rPr>
          <w:noProof/>
          <w:lang w:val="fr-FR"/>
        </w:rPr>
        <w:t xml:space="preserve"> 2011</w:t>
      </w:r>
      <w:r w:rsidR="009B315B">
        <w:rPr>
          <w:noProof/>
          <w:lang w:val="fr-FR"/>
        </w:rPr>
        <w:t>)</w:t>
      </w:r>
      <w:r w:rsidR="001B2F58" w:rsidRPr="00DD03D6">
        <w:rPr>
          <w:noProof/>
          <w:lang w:val="fr-FR"/>
        </w:rPr>
        <w:t xml:space="preserve">, </w:t>
      </w:r>
      <w:r w:rsidR="009B315B">
        <w:rPr>
          <w:noProof/>
          <w:lang w:val="fr-FR"/>
        </w:rPr>
        <w:t xml:space="preserve">qui a établi pendant son opération de </w:t>
      </w:r>
      <w:r w:rsidR="003F36DD">
        <w:rPr>
          <w:iCs/>
          <w:noProof/>
          <w:lang w:val="fr-FR"/>
        </w:rPr>
        <w:t>« </w:t>
      </w:r>
      <w:r w:rsidR="009B315B">
        <w:rPr>
          <w:iCs/>
          <w:noProof/>
          <w:lang w:val="fr-FR"/>
        </w:rPr>
        <w:t>dénombrement des personnes qui dorment à la dure</w:t>
      </w:r>
      <w:r w:rsidR="003F36DD">
        <w:rPr>
          <w:iCs/>
          <w:noProof/>
          <w:lang w:val="fr-FR"/>
        </w:rPr>
        <w:t> »</w:t>
      </w:r>
      <w:r w:rsidR="009B315B">
        <w:rPr>
          <w:noProof/>
          <w:lang w:val="fr-FR"/>
        </w:rPr>
        <w:t xml:space="preserve"> qu’aucun enfant ne dormait à la dure à </w:t>
      </w:r>
      <w:r w:rsidR="001B2F58" w:rsidRPr="00DD03D6">
        <w:rPr>
          <w:noProof/>
          <w:lang w:val="fr-FR"/>
        </w:rPr>
        <w:t>Dublin</w:t>
      </w:r>
      <w:r w:rsidR="009B315B">
        <w:rPr>
          <w:noProof/>
          <w:lang w:val="fr-FR"/>
        </w:rPr>
        <w:t>.</w:t>
      </w:r>
      <w:r w:rsidR="001B2F58" w:rsidRPr="00DD03D6">
        <w:rPr>
          <w:noProof/>
          <w:lang w:val="fr-FR"/>
        </w:rPr>
        <w:t xml:space="preserve"> </w:t>
      </w:r>
    </w:p>
    <w:p w:rsidR="001B2F58" w:rsidRPr="00DD03D6" w:rsidRDefault="004454EF" w:rsidP="004454EF">
      <w:pPr>
        <w:pStyle w:val="H1G"/>
        <w:rPr>
          <w:noProof/>
          <w:lang w:val="fr-FR"/>
        </w:rPr>
      </w:pPr>
      <w:bookmarkStart w:id="69" w:name="_Toc356430901"/>
      <w:r w:rsidRPr="00DD03D6">
        <w:rPr>
          <w:noProof/>
          <w:lang w:val="fr-FR"/>
        </w:rPr>
        <w:tab/>
      </w:r>
      <w:r w:rsidR="001B2F58" w:rsidRPr="00DD03D6">
        <w:rPr>
          <w:noProof/>
          <w:lang w:val="fr-FR"/>
        </w:rPr>
        <w:t>E.</w:t>
      </w:r>
      <w:r w:rsidR="001B2F58" w:rsidRPr="00DD03D6">
        <w:rPr>
          <w:noProof/>
          <w:lang w:val="fr-FR"/>
        </w:rPr>
        <w:tab/>
      </w:r>
      <w:r w:rsidR="009B315B">
        <w:rPr>
          <w:noProof/>
          <w:lang w:val="fr-FR"/>
        </w:rPr>
        <w:t>Enfants en situation de confli</w:t>
      </w:r>
      <w:r w:rsidR="009B315B" w:rsidRPr="00DD03D6">
        <w:rPr>
          <w:noProof/>
          <w:lang w:val="fr-FR"/>
        </w:rPr>
        <w:t xml:space="preserve">t </w:t>
      </w:r>
      <w:r w:rsidR="009B315B">
        <w:rPr>
          <w:noProof/>
          <w:lang w:val="fr-FR"/>
        </w:rPr>
        <w:t>avec la loi</w:t>
      </w:r>
      <w:r w:rsidR="009B315B" w:rsidRPr="00DD03D6">
        <w:rPr>
          <w:noProof/>
          <w:lang w:val="fr-FR"/>
        </w:rPr>
        <w:t xml:space="preserve">, </w:t>
      </w:r>
      <w:r w:rsidR="009B315B">
        <w:rPr>
          <w:noProof/>
          <w:lang w:val="fr-FR"/>
        </w:rPr>
        <w:t>et enfants victimes et témoins</w:t>
      </w:r>
      <w:bookmarkEnd w:id="69"/>
      <w:r w:rsidR="00547E30">
        <w:rPr>
          <w:noProof/>
          <w:lang w:val="fr-FR"/>
        </w:rPr>
        <w:t xml:space="preserve"> </w:t>
      </w:r>
    </w:p>
    <w:p w:rsidR="001B2F58" w:rsidRPr="00DD03D6" w:rsidRDefault="005F09FD" w:rsidP="005D7533">
      <w:pPr>
        <w:pStyle w:val="SingleTxtG"/>
        <w:numPr>
          <w:ilvl w:val="0"/>
          <w:numId w:val="3"/>
        </w:numPr>
        <w:ind w:left="1134" w:firstLine="0"/>
        <w:rPr>
          <w:noProof/>
          <w:lang w:val="fr-FR"/>
        </w:rPr>
      </w:pPr>
      <w:r>
        <w:rPr>
          <w:lang w:val="fr-CH"/>
        </w:rPr>
        <w:t xml:space="preserve">Il faut envisager le système de justice pour mineurs dans sa totalité, depuis le programme de déjudiciarisation mis en place par la Garda jusqu’aux établissements scolaires dans lesquels des enfants sont détenus, en passant par les tribunaux pour enfants. Il est important de noter qu’il ne s’agit pas seulement d’effectuer un choix entre le programme de déjudiciarisation, les sanctions prévoyant des travaux d’intérêt général effectués localement et la détention pure et simple. Les principes énoncés dans la loi de 2001 </w:t>
      </w:r>
      <w:r w:rsidR="00601384">
        <w:rPr>
          <w:lang w:val="fr-CH"/>
        </w:rPr>
        <w:t>sur les</w:t>
      </w:r>
      <w:r>
        <w:rPr>
          <w:lang w:val="fr-CH"/>
        </w:rPr>
        <w:t xml:space="preserve"> enfants exigent des diverses autorités compétentes qu’elles appliquent, progressivement, une série de «</w:t>
      </w:r>
      <w:r w:rsidR="00FD2518">
        <w:rPr>
          <w:lang w:val="fr-CH"/>
        </w:rPr>
        <w:t> </w:t>
      </w:r>
      <w:r>
        <w:rPr>
          <w:lang w:val="fr-CH"/>
        </w:rPr>
        <w:t>filtres</w:t>
      </w:r>
      <w:r w:rsidR="00FD2518">
        <w:rPr>
          <w:lang w:val="fr-CH"/>
        </w:rPr>
        <w:t> </w:t>
      </w:r>
      <w:r>
        <w:rPr>
          <w:lang w:val="fr-CH"/>
        </w:rPr>
        <w:t>» ou d’expérimentations en fonction de la situation propre à chaque enfant entré en conflit avec la loi</w:t>
      </w:r>
      <w:r w:rsidR="001B2F58" w:rsidRPr="00DD03D6">
        <w:rPr>
          <w:noProof/>
          <w:lang w:val="fr-FR"/>
        </w:rPr>
        <w:t>.</w:t>
      </w:r>
    </w:p>
    <w:p w:rsidR="001B2F58" w:rsidRPr="006B44EA" w:rsidRDefault="005F09FD" w:rsidP="002C58C8">
      <w:pPr>
        <w:pStyle w:val="SingleTxtG"/>
        <w:numPr>
          <w:ilvl w:val="0"/>
          <w:numId w:val="3"/>
        </w:numPr>
        <w:ind w:left="1134" w:firstLine="0"/>
        <w:rPr>
          <w:noProof/>
          <w:lang w:val="fr-FR"/>
        </w:rPr>
      </w:pPr>
      <w:r>
        <w:rPr>
          <w:lang w:val="fr-CH"/>
        </w:rPr>
        <w:t>Le premier filtre, qui est aussi le principal, est le programme de déjudiciarisation de la Garda, impliquant différentes étapes en fonction de la gravité de l’infraction commise, depuis l’avertissement informel (sans supervision) à la mise en garde formelle (supervisée), en passant par la participation à un projet de déjudiciarisation mis en place par la Garda à l’intention des jeunes. Les sanctions autres que l’incarcération que peuvent déterminer les tribunaux constituent le deuxième filtre principal</w:t>
      </w:r>
      <w:r w:rsidR="000238C4">
        <w:rPr>
          <w:lang w:val="fr-CH"/>
        </w:rPr>
        <w:t xml:space="preserve"> </w:t>
      </w:r>
      <w:r>
        <w:rPr>
          <w:lang w:val="fr-CH"/>
        </w:rPr>
        <w:t>: elles incluent la relaxe en application de la loi sur la probation et les sanctions n’exigeant pas de supervision (amendes, disqualification, engagement de ne pas troubler l’ordre public, respect d’un couvre-feu, etc.). L’étape suivant</w:t>
      </w:r>
      <w:r w:rsidR="000238C4">
        <w:rPr>
          <w:lang w:val="fr-CH"/>
        </w:rPr>
        <w:t>e</w:t>
      </w:r>
      <w:r>
        <w:rPr>
          <w:lang w:val="fr-CH"/>
        </w:rPr>
        <w:t xml:space="preserve"> met en jeu les sanctions supervisées par le Service de probation (travaux d’intérêt général et autres sanctions du même type). Enfin, en dernie</w:t>
      </w:r>
      <w:r w:rsidR="000238C4">
        <w:rPr>
          <w:lang w:val="fr-CH"/>
        </w:rPr>
        <w:t>r ressort, on peut avoir recours</w:t>
      </w:r>
      <w:r>
        <w:rPr>
          <w:lang w:val="fr-CH"/>
        </w:rPr>
        <w:t xml:space="preserve"> à la détention.</w:t>
      </w:r>
    </w:p>
    <w:p w:rsidR="001B2F58" w:rsidRPr="00DD03D6" w:rsidRDefault="000238C4" w:rsidP="002C58C8">
      <w:pPr>
        <w:pStyle w:val="SingleTxtG"/>
        <w:numPr>
          <w:ilvl w:val="0"/>
          <w:numId w:val="3"/>
        </w:numPr>
        <w:ind w:left="1134" w:firstLine="0"/>
        <w:rPr>
          <w:noProof/>
          <w:lang w:val="fr-FR"/>
        </w:rPr>
      </w:pPr>
      <w:r>
        <w:rPr>
          <w:noProof/>
          <w:lang w:val="fr-FR"/>
        </w:rPr>
        <w:t xml:space="preserve">Les dispositions concernant les enfants victimes appelés à témoigner en vertu de la loi de 2010 sur la procédure pénale sont présentées au </w:t>
      </w:r>
      <w:r w:rsidR="00B73F4C" w:rsidRPr="00DD03D6">
        <w:rPr>
          <w:noProof/>
          <w:lang w:val="fr-FR"/>
        </w:rPr>
        <w:t>p</w:t>
      </w:r>
      <w:r w:rsidR="00796A7C" w:rsidRPr="00DD03D6">
        <w:rPr>
          <w:noProof/>
          <w:lang w:val="fr-FR"/>
        </w:rPr>
        <w:t>aragraph</w:t>
      </w:r>
      <w:r>
        <w:rPr>
          <w:noProof/>
          <w:lang w:val="fr-FR"/>
        </w:rPr>
        <w:t>e</w:t>
      </w:r>
      <w:r w:rsidR="00796A7C" w:rsidRPr="00DD03D6">
        <w:rPr>
          <w:noProof/>
          <w:lang w:val="fr-FR"/>
        </w:rPr>
        <w:t> </w:t>
      </w:r>
      <w:r w:rsidR="00B73F4C" w:rsidRPr="00DD03D6">
        <w:rPr>
          <w:noProof/>
          <w:lang w:val="fr-FR"/>
        </w:rPr>
        <w:t>210</w:t>
      </w:r>
      <w:r w:rsidR="001B2F58" w:rsidRPr="00DD03D6">
        <w:rPr>
          <w:noProof/>
          <w:lang w:val="fr-FR"/>
        </w:rPr>
        <w:t>.</w:t>
      </w:r>
    </w:p>
    <w:p w:rsidR="001B2F58" w:rsidRPr="00DD03D6" w:rsidRDefault="000238C4" w:rsidP="000238C4">
      <w:pPr>
        <w:pStyle w:val="H23G"/>
        <w:ind w:firstLine="0"/>
        <w:rPr>
          <w:noProof/>
          <w:lang w:val="fr-FR"/>
        </w:rPr>
      </w:pPr>
      <w:r>
        <w:rPr>
          <w:noProof/>
          <w:lang w:val="fr-FR"/>
        </w:rPr>
        <w:lastRenderedPageBreak/>
        <w:t>L’</w:t>
      </w:r>
      <w:r w:rsidR="001B2F58" w:rsidRPr="00DD03D6">
        <w:rPr>
          <w:noProof/>
          <w:lang w:val="fr-FR"/>
        </w:rPr>
        <w:t xml:space="preserve">administration </w:t>
      </w:r>
      <w:r>
        <w:rPr>
          <w:noProof/>
          <w:lang w:val="fr-FR"/>
        </w:rPr>
        <w:t>de la justice pour mineurs</w:t>
      </w:r>
      <w:r w:rsidR="001B2F58" w:rsidRPr="00DD03D6">
        <w:rPr>
          <w:noProof/>
          <w:lang w:val="fr-FR"/>
        </w:rPr>
        <w:t xml:space="preserve">, </w:t>
      </w:r>
      <w:r>
        <w:rPr>
          <w:noProof/>
          <w:lang w:val="fr-FR"/>
        </w:rPr>
        <w:t>l’</w:t>
      </w:r>
      <w:r w:rsidR="001B2F58" w:rsidRPr="00DD03D6">
        <w:rPr>
          <w:noProof/>
          <w:lang w:val="fr-FR"/>
        </w:rPr>
        <w:t xml:space="preserve">existence </w:t>
      </w:r>
      <w:r w:rsidR="00103468">
        <w:rPr>
          <w:noProof/>
          <w:lang w:val="fr-FR"/>
        </w:rPr>
        <w:t xml:space="preserve">de tribunaux </w:t>
      </w:r>
      <w:r w:rsidR="001B2F58" w:rsidRPr="00DD03D6">
        <w:rPr>
          <w:noProof/>
          <w:lang w:val="fr-FR"/>
        </w:rPr>
        <w:t>sp</w:t>
      </w:r>
      <w:r w:rsidR="00103468">
        <w:rPr>
          <w:noProof/>
          <w:lang w:val="fr-FR"/>
        </w:rPr>
        <w:t>é</w:t>
      </w:r>
      <w:r w:rsidR="001B2F58" w:rsidRPr="00DD03D6">
        <w:rPr>
          <w:noProof/>
          <w:lang w:val="fr-FR"/>
        </w:rPr>
        <w:t>cialis</w:t>
      </w:r>
      <w:r w:rsidR="00103468">
        <w:rPr>
          <w:noProof/>
          <w:lang w:val="fr-FR"/>
        </w:rPr>
        <w:t xml:space="preserve">és et </w:t>
      </w:r>
      <w:r w:rsidR="00724CF7">
        <w:rPr>
          <w:noProof/>
          <w:lang w:val="fr-FR"/>
        </w:rPr>
        <w:t xml:space="preserve">l’âge minimal </w:t>
      </w:r>
      <w:r w:rsidR="001B2F58" w:rsidRPr="00DD03D6">
        <w:rPr>
          <w:noProof/>
          <w:lang w:val="fr-FR"/>
        </w:rPr>
        <w:t xml:space="preserve">applicable </w:t>
      </w:r>
      <w:r w:rsidR="00724CF7">
        <w:rPr>
          <w:noProof/>
          <w:lang w:val="fr-FR"/>
        </w:rPr>
        <w:t xml:space="preserve">en matière de responsabilité pénale </w:t>
      </w:r>
    </w:p>
    <w:p w:rsidR="001B2F58" w:rsidRPr="00DD03D6" w:rsidRDefault="00724CF7" w:rsidP="004454EF">
      <w:pPr>
        <w:pStyle w:val="SingleTxtG"/>
        <w:numPr>
          <w:ilvl w:val="0"/>
          <w:numId w:val="3"/>
        </w:numPr>
        <w:ind w:left="1134" w:firstLine="0"/>
        <w:rPr>
          <w:noProof/>
          <w:lang w:val="fr-FR"/>
        </w:rPr>
      </w:pPr>
      <w:r>
        <w:rPr>
          <w:noProof/>
          <w:lang w:val="fr-FR"/>
        </w:rPr>
        <w:t>En Irlande, l’âge de la responsabilité pénale est fixé par l’article 52 de la loi de 2001 sur les enfants</w:t>
      </w:r>
      <w:r w:rsidR="001B2F58" w:rsidRPr="00DD03D6">
        <w:rPr>
          <w:noProof/>
          <w:lang w:val="fr-FR"/>
        </w:rPr>
        <w:t xml:space="preserve">, </w:t>
      </w:r>
      <w:r>
        <w:rPr>
          <w:noProof/>
          <w:lang w:val="fr-FR"/>
        </w:rPr>
        <w:t xml:space="preserve">qui est entrée en vigueur en </w:t>
      </w:r>
      <w:r w:rsidR="001B2F58" w:rsidRPr="00DD03D6">
        <w:rPr>
          <w:noProof/>
          <w:lang w:val="fr-FR"/>
        </w:rPr>
        <w:t xml:space="preserve">2007 </w:t>
      </w:r>
      <w:r>
        <w:rPr>
          <w:noProof/>
          <w:lang w:val="fr-FR"/>
        </w:rPr>
        <w:t>par le biais de la loi de 2006 sur la justice pénale</w:t>
      </w:r>
      <w:r w:rsidR="001B2F58" w:rsidRPr="00DD03D6">
        <w:rPr>
          <w:noProof/>
          <w:lang w:val="fr-FR"/>
        </w:rPr>
        <w:t xml:space="preserve">. </w:t>
      </w:r>
      <w:r>
        <w:rPr>
          <w:noProof/>
          <w:lang w:val="fr-FR"/>
        </w:rPr>
        <w:t>Cet âge a été porté de sept à 12 ans et, en règle générale, les enfants â</w:t>
      </w:r>
      <w:r w:rsidR="00135C7E">
        <w:rPr>
          <w:noProof/>
          <w:lang w:val="fr-FR"/>
        </w:rPr>
        <w:t>gé</w:t>
      </w:r>
      <w:r>
        <w:rPr>
          <w:noProof/>
          <w:lang w:val="fr-FR"/>
        </w:rPr>
        <w:t xml:space="preserve">s de moins de 12 ans ne peuvent pas être inculpés. </w:t>
      </w:r>
      <w:r w:rsidR="00135C7E">
        <w:rPr>
          <w:noProof/>
          <w:lang w:val="fr-FR"/>
        </w:rPr>
        <w:t>Toutefois, d</w:t>
      </w:r>
      <w:r>
        <w:rPr>
          <w:noProof/>
          <w:lang w:val="fr-FR"/>
        </w:rPr>
        <w:t xml:space="preserve">es enfants âgés de </w:t>
      </w:r>
      <w:r w:rsidRPr="00DD03D6">
        <w:rPr>
          <w:noProof/>
          <w:lang w:val="fr-FR"/>
        </w:rPr>
        <w:t xml:space="preserve">10 </w:t>
      </w:r>
      <w:r>
        <w:rPr>
          <w:noProof/>
          <w:lang w:val="fr-FR"/>
        </w:rPr>
        <w:t xml:space="preserve">et </w:t>
      </w:r>
      <w:r w:rsidRPr="00DD03D6">
        <w:rPr>
          <w:noProof/>
          <w:lang w:val="fr-FR"/>
        </w:rPr>
        <w:t>11 </w:t>
      </w:r>
      <w:r>
        <w:rPr>
          <w:noProof/>
          <w:lang w:val="fr-FR"/>
        </w:rPr>
        <w:t xml:space="preserve">ans peuvent être accusés d’une infraction grave, </w:t>
      </w:r>
      <w:r w:rsidR="00135C7E">
        <w:rPr>
          <w:noProof/>
          <w:lang w:val="fr-FR"/>
        </w:rPr>
        <w:t>telle que le meurtre, l’homicide involontaire, le viol ou l’</w:t>
      </w:r>
      <w:r w:rsidR="00135C7E" w:rsidRPr="00FA02D4">
        <w:rPr>
          <w:lang w:val="fr-CH"/>
        </w:rPr>
        <w:t>agression sexuelle avec circonstances aggravantes</w:t>
      </w:r>
      <w:r w:rsidR="00135C7E">
        <w:rPr>
          <w:lang w:val="fr-CH"/>
        </w:rPr>
        <w:t xml:space="preserve">. Une garantie supplémentaire est prévue par la loi : </w:t>
      </w:r>
      <w:r>
        <w:rPr>
          <w:noProof/>
          <w:lang w:val="fr-FR"/>
        </w:rPr>
        <w:t xml:space="preserve">un enfant âgé de moins de 14 ans </w:t>
      </w:r>
      <w:r w:rsidR="00135C7E">
        <w:rPr>
          <w:noProof/>
          <w:lang w:val="fr-FR"/>
        </w:rPr>
        <w:t xml:space="preserve">accusé d’une infraction </w:t>
      </w:r>
      <w:r>
        <w:rPr>
          <w:noProof/>
          <w:lang w:val="fr-FR"/>
        </w:rPr>
        <w:t>ne peut être poursuivi qu’avec l’assentiment du Directeur du ministère public</w:t>
      </w:r>
      <w:r w:rsidR="001B2F58" w:rsidRPr="00DD03D6">
        <w:rPr>
          <w:noProof/>
          <w:lang w:val="fr-FR"/>
        </w:rPr>
        <w:t>.</w:t>
      </w:r>
    </w:p>
    <w:p w:rsidR="001B2F58" w:rsidRPr="00DD03D6" w:rsidRDefault="00135C7E" w:rsidP="004454EF">
      <w:pPr>
        <w:pStyle w:val="SingleTxtG"/>
        <w:numPr>
          <w:ilvl w:val="0"/>
          <w:numId w:val="3"/>
        </w:numPr>
        <w:ind w:left="1134" w:firstLine="0"/>
        <w:rPr>
          <w:noProof/>
          <w:lang w:val="fr-FR"/>
        </w:rPr>
      </w:pPr>
      <w:r>
        <w:rPr>
          <w:noProof/>
          <w:lang w:val="fr-FR"/>
        </w:rPr>
        <w:t xml:space="preserve">Comme il avait été prévu au moment de son adoption, la loi de 2001 sur les enfants (telle que modifiée) a été appliquée de façon progressive pour tenir compte de la mise en place et du renforcement planifiés des </w:t>
      </w:r>
      <w:r w:rsidR="001B2F58" w:rsidRPr="00DD03D6">
        <w:rPr>
          <w:noProof/>
          <w:lang w:val="fr-FR"/>
        </w:rPr>
        <w:t xml:space="preserve">services. </w:t>
      </w:r>
      <w:r>
        <w:rPr>
          <w:noProof/>
          <w:lang w:val="fr-FR"/>
        </w:rPr>
        <w:t xml:space="preserve">La mise en application de toutes les dispositions de cette loi non encore entrées en vigueur </w:t>
      </w:r>
      <w:r w:rsidR="00991C0B">
        <w:rPr>
          <w:noProof/>
          <w:lang w:val="fr-FR"/>
        </w:rPr>
        <w:t xml:space="preserve">a été réalisée en </w:t>
      </w:r>
      <w:r w:rsidR="001B2F58" w:rsidRPr="00DD03D6">
        <w:rPr>
          <w:noProof/>
          <w:lang w:val="fr-FR"/>
        </w:rPr>
        <w:t xml:space="preserve">2007. </w:t>
      </w:r>
      <w:r w:rsidR="00991C0B">
        <w:rPr>
          <w:noProof/>
          <w:lang w:val="fr-FR"/>
        </w:rPr>
        <w:t xml:space="preserve">Cette année-là, le Gouvernement a approuvé l’affectation de ressources supplémentaires importantes pour permettre l’application </w:t>
      </w:r>
      <w:r w:rsidR="001B2F58" w:rsidRPr="00DD03D6">
        <w:rPr>
          <w:noProof/>
          <w:lang w:val="fr-FR"/>
        </w:rPr>
        <w:t xml:space="preserve">effective </w:t>
      </w:r>
      <w:r w:rsidR="00991C0B">
        <w:rPr>
          <w:noProof/>
          <w:lang w:val="fr-FR"/>
        </w:rPr>
        <w:t xml:space="preserve">de cette loi, à savoir </w:t>
      </w:r>
      <w:r w:rsidR="00840DB2">
        <w:rPr>
          <w:noProof/>
          <w:lang w:val="fr-FR"/>
        </w:rPr>
        <w:t xml:space="preserve">un </w:t>
      </w:r>
      <w:r w:rsidR="00840DB2">
        <w:rPr>
          <w:lang w:val="fr-CH"/>
        </w:rPr>
        <w:t xml:space="preserve">personnel supplémentaire au sein du Service de probation et du Service de </w:t>
      </w:r>
      <w:r w:rsidR="00C26E16">
        <w:rPr>
          <w:lang w:val="fr-CH"/>
        </w:rPr>
        <w:t xml:space="preserve">la </w:t>
      </w:r>
      <w:r w:rsidR="00840DB2">
        <w:rPr>
          <w:lang w:val="fr-CH"/>
        </w:rPr>
        <w:t xml:space="preserve">justice pour mineurs, </w:t>
      </w:r>
      <w:r w:rsidR="00991C0B">
        <w:rPr>
          <w:noProof/>
          <w:lang w:val="fr-FR"/>
        </w:rPr>
        <w:t xml:space="preserve">des juges supplémentaires pour le Tribunal pour enfants et </w:t>
      </w:r>
      <w:r w:rsidR="00840DB2">
        <w:rPr>
          <w:noProof/>
          <w:lang w:val="fr-FR"/>
        </w:rPr>
        <w:t xml:space="preserve">des </w:t>
      </w:r>
      <w:r w:rsidR="00840DB2">
        <w:rPr>
          <w:lang w:val="fr-CH"/>
        </w:rPr>
        <w:t xml:space="preserve">fonctionnaires chargés d’assurer la liaison avec les mineurs au cours de la période </w:t>
      </w:r>
      <w:r w:rsidR="001B2F58" w:rsidRPr="00DD03D6">
        <w:rPr>
          <w:noProof/>
          <w:lang w:val="fr-FR"/>
        </w:rPr>
        <w:t>2007-2011</w:t>
      </w:r>
      <w:r w:rsidR="00C26E16">
        <w:rPr>
          <w:noProof/>
          <w:lang w:val="fr-FR"/>
        </w:rPr>
        <w:t>.</w:t>
      </w:r>
      <w:r w:rsidR="00840DB2" w:rsidRPr="00840DB2">
        <w:rPr>
          <w:lang w:val="fr-CH"/>
        </w:rPr>
        <w:t xml:space="preserve"> </w:t>
      </w:r>
      <w:r w:rsidR="00840DB2">
        <w:rPr>
          <w:lang w:val="fr-CH"/>
        </w:rPr>
        <w:t>L’ensemble de ces ressources supplémentaires ont été affectées</w:t>
      </w:r>
      <w:r w:rsidR="001B2F58" w:rsidRPr="00DD03D6">
        <w:rPr>
          <w:noProof/>
          <w:lang w:val="fr-FR"/>
        </w:rPr>
        <w:t>.</w:t>
      </w:r>
    </w:p>
    <w:p w:rsidR="001B2F58" w:rsidRPr="00DD03D6" w:rsidRDefault="00AF7578" w:rsidP="004454EF">
      <w:pPr>
        <w:pStyle w:val="SingleTxtG"/>
        <w:numPr>
          <w:ilvl w:val="0"/>
          <w:numId w:val="3"/>
        </w:numPr>
        <w:ind w:left="1134" w:firstLine="0"/>
        <w:rPr>
          <w:bCs/>
          <w:iCs/>
          <w:noProof/>
          <w:lang w:val="fr-FR"/>
        </w:rPr>
      </w:pPr>
      <w:r>
        <w:rPr>
          <w:lang w:val="fr-CH"/>
        </w:rPr>
        <w:t xml:space="preserve">La Stratégie nationale en matière de justice pour mineurs (2008-2010), élaborée en partenariat avec les principaux acteurs du secteur, est essentielle dans le cadre de l’action menée par le Service de </w:t>
      </w:r>
      <w:r w:rsidR="00C26E16">
        <w:rPr>
          <w:lang w:val="fr-CH"/>
        </w:rPr>
        <w:t xml:space="preserve">la </w:t>
      </w:r>
      <w:r>
        <w:rPr>
          <w:lang w:val="fr-CH"/>
        </w:rPr>
        <w:t xml:space="preserve">justice pour mineurs. L’objectif de la Stratégie est de permettre aux diverses entités œuvrant au sein de ce système de travailler en partenariat. Elle est assortie d’un certain nombre d’objectifs et de cibles pour les ministères et organismes gouvernementaux impliqués, qui permettront de mesurer les progrès accomplis et de déterminer où affecter les ressources disponibles. La vaste majorité des objectifs associés à la Stratégie ont été atteints. Le Service de </w:t>
      </w:r>
      <w:r w:rsidR="00C26E16">
        <w:rPr>
          <w:lang w:val="fr-CH"/>
        </w:rPr>
        <w:t xml:space="preserve">la </w:t>
      </w:r>
      <w:r>
        <w:rPr>
          <w:lang w:val="fr-CH"/>
        </w:rPr>
        <w:t>justice pour mineurs élabore actuellement un complément à la Stratégie nationale sous l’égide du Cadre directeur national pour les enfants et les jeunes et dans le cadre d’une Stratégie nationale de lutte contre la délinquance</w:t>
      </w:r>
      <w:r w:rsidR="001B2F58" w:rsidRPr="00DD03D6">
        <w:rPr>
          <w:noProof/>
          <w:lang w:val="fr-FR"/>
        </w:rPr>
        <w:t>.</w:t>
      </w:r>
    </w:p>
    <w:p w:rsidR="001B2F58" w:rsidRPr="00DD03D6" w:rsidRDefault="00853D2F" w:rsidP="00853D2F">
      <w:pPr>
        <w:pStyle w:val="H23G"/>
        <w:ind w:firstLine="0"/>
        <w:rPr>
          <w:noProof/>
          <w:lang w:val="fr-FR"/>
        </w:rPr>
      </w:pPr>
      <w:r>
        <w:rPr>
          <w:noProof/>
          <w:lang w:val="fr-FR"/>
        </w:rPr>
        <w:t>Enfants privés de liberté et mesures adoptées pour faire en sorte qu’un enfant ne puisse être arrêté, détenu ou incarcéré qu’en dernier re</w:t>
      </w:r>
      <w:r w:rsidR="00C34EBA">
        <w:rPr>
          <w:noProof/>
          <w:lang w:val="fr-FR"/>
        </w:rPr>
        <w:t xml:space="preserve">ssort </w:t>
      </w:r>
      <w:r>
        <w:rPr>
          <w:noProof/>
          <w:lang w:val="fr-FR"/>
        </w:rPr>
        <w:t xml:space="preserve">et pour la durée appropriée la plus courte possible et qu’il bénéficie sans délai d’une assistance judiciaire </w:t>
      </w:r>
    </w:p>
    <w:p w:rsidR="001B2F58" w:rsidRPr="00DD03D6" w:rsidRDefault="00853D2F" w:rsidP="002C58C8">
      <w:pPr>
        <w:pStyle w:val="SingleTxtG"/>
        <w:numPr>
          <w:ilvl w:val="0"/>
          <w:numId w:val="3"/>
        </w:numPr>
        <w:ind w:left="1134" w:firstLine="0"/>
        <w:rPr>
          <w:noProof/>
          <w:lang w:val="fr-FR"/>
        </w:rPr>
      </w:pPr>
      <w:r>
        <w:rPr>
          <w:noProof/>
          <w:lang w:val="fr-FR"/>
        </w:rPr>
        <w:t>La loi de 2001 sur les enfants, telle que modifiée par la loi de 2006 sur la justice pénale, dispose que la détention</w:t>
      </w:r>
      <w:r w:rsidR="00C34EBA">
        <w:rPr>
          <w:lang w:val="fr-CH"/>
        </w:rPr>
        <w:t xml:space="preserve"> d’enfants ne doit intervenir qu’en dernier ressort</w:t>
      </w:r>
      <w:r w:rsidR="00C34EBA">
        <w:rPr>
          <w:noProof/>
          <w:lang w:val="fr-FR"/>
        </w:rPr>
        <w:t xml:space="preserve"> </w:t>
      </w:r>
      <w:r>
        <w:rPr>
          <w:noProof/>
          <w:lang w:val="fr-FR"/>
        </w:rPr>
        <w:t>et que les enfants âgés de moins de 18 ans ne peuvent pas</w:t>
      </w:r>
      <w:r w:rsidR="00C34EBA">
        <w:rPr>
          <w:noProof/>
          <w:lang w:val="fr-FR"/>
        </w:rPr>
        <w:t xml:space="preserve"> être condamnés à une peine d’emprisonnement ou mis sous écrou</w:t>
      </w:r>
      <w:r w:rsidR="001B2F58" w:rsidRPr="00DD03D6">
        <w:rPr>
          <w:noProof/>
          <w:lang w:val="fr-FR"/>
        </w:rPr>
        <w:t xml:space="preserve">. </w:t>
      </w:r>
      <w:r w:rsidR="00C34EBA">
        <w:rPr>
          <w:noProof/>
          <w:lang w:val="fr-FR"/>
        </w:rPr>
        <w:t xml:space="preserve">Elle crée des centres de détention avant jugement et des établissements d’éducation surveillée pour les enfants âgés de moins de 18 ans. Ces dispositions sont entrées en vigueur le </w:t>
      </w:r>
      <w:r w:rsidR="001B2F58" w:rsidRPr="00DD03D6">
        <w:rPr>
          <w:noProof/>
          <w:lang w:val="fr-FR"/>
        </w:rPr>
        <w:t>1</w:t>
      </w:r>
      <w:r w:rsidR="00C34EBA" w:rsidRPr="00C34EBA">
        <w:rPr>
          <w:noProof/>
          <w:vertAlign w:val="superscript"/>
          <w:lang w:val="fr-FR"/>
        </w:rPr>
        <w:t>er</w:t>
      </w:r>
      <w:r w:rsidR="00C34EBA">
        <w:rPr>
          <w:noProof/>
          <w:lang w:val="fr-FR"/>
        </w:rPr>
        <w:t xml:space="preserve"> mars </w:t>
      </w:r>
      <w:r w:rsidR="001B2F58" w:rsidRPr="00DD03D6">
        <w:rPr>
          <w:noProof/>
          <w:lang w:val="fr-FR"/>
        </w:rPr>
        <w:t xml:space="preserve">2007. </w:t>
      </w:r>
      <w:r w:rsidR="00C34EBA">
        <w:rPr>
          <w:noProof/>
          <w:lang w:val="fr-FR"/>
        </w:rPr>
        <w:t xml:space="preserve">Cette loi </w:t>
      </w:r>
      <w:r w:rsidR="00C34EBA">
        <w:rPr>
          <w:lang w:val="fr-CH"/>
        </w:rPr>
        <w:t>précise que toute sanction imposée à un enfant ayant commis une infraction doit perturber aussi peu que possible les activités légitimes de l’enfant et être la moins restrictive possible en fonction des circonstances</w:t>
      </w:r>
      <w:r w:rsidR="001B2F58" w:rsidRPr="00DD03D6">
        <w:rPr>
          <w:noProof/>
          <w:lang w:val="fr-FR"/>
        </w:rPr>
        <w:t>.</w:t>
      </w:r>
    </w:p>
    <w:p w:rsidR="001B2F58" w:rsidRPr="00DD03D6" w:rsidRDefault="009270A3" w:rsidP="004454EF">
      <w:pPr>
        <w:pStyle w:val="SingleTxtG"/>
        <w:numPr>
          <w:ilvl w:val="0"/>
          <w:numId w:val="3"/>
        </w:numPr>
        <w:ind w:left="1134" w:firstLine="0"/>
        <w:rPr>
          <w:noProof/>
          <w:lang w:val="fr-FR"/>
        </w:rPr>
      </w:pPr>
      <w:r>
        <w:rPr>
          <w:lang w:val="fr-CH"/>
        </w:rPr>
        <w:t>On observe une tendance à la baisse du nombre d’enfants détenus. En 2004, la moyenne annuelle était de 134. En 2006, elle est tombée à 119 puis à 104 en 2008 et à 80 en 2011</w:t>
      </w:r>
      <w:r w:rsidR="001B2F58" w:rsidRPr="00DD03D6">
        <w:rPr>
          <w:noProof/>
          <w:lang w:val="fr-FR"/>
        </w:rPr>
        <w:t xml:space="preserve">. </w:t>
      </w:r>
      <w:r>
        <w:rPr>
          <w:lang w:val="fr-CH"/>
        </w:rPr>
        <w:t xml:space="preserve">La mise en place de nouvelles solutions de substitution à la détention, comme les travaux d’intérêt général, la multiplication des mesures de déjudiciarisation et l’intensification de la </w:t>
      </w:r>
      <w:r w:rsidRPr="009270A3">
        <w:rPr>
          <w:noProof/>
          <w:lang w:val="fr-FR"/>
        </w:rPr>
        <w:t>collaboration interorganisations</w:t>
      </w:r>
      <w:r>
        <w:rPr>
          <w:lang w:val="fr-CH"/>
        </w:rPr>
        <w:t xml:space="preserve"> devrait permettre la poursuite de cette tendance à la baisse</w:t>
      </w:r>
      <w:r w:rsidR="001B2F58" w:rsidRPr="00DD03D6">
        <w:rPr>
          <w:noProof/>
          <w:lang w:val="fr-FR"/>
        </w:rPr>
        <w:t>.</w:t>
      </w:r>
    </w:p>
    <w:p w:rsidR="001B2F58" w:rsidRPr="00DD03D6" w:rsidRDefault="009270A3" w:rsidP="009270A3">
      <w:pPr>
        <w:pStyle w:val="H23G"/>
        <w:ind w:firstLine="0"/>
        <w:rPr>
          <w:noProof/>
          <w:lang w:val="fr-FR"/>
        </w:rPr>
      </w:pPr>
      <w:r>
        <w:rPr>
          <w:noProof/>
          <w:lang w:val="fr-FR"/>
        </w:rPr>
        <w:lastRenderedPageBreak/>
        <w:t xml:space="preserve">L’établissement des sentences imposées aux enfants, en </w:t>
      </w:r>
      <w:r w:rsidR="001B2F58" w:rsidRPr="00DD03D6">
        <w:rPr>
          <w:noProof/>
          <w:lang w:val="fr-FR"/>
        </w:rPr>
        <w:t>particul</w:t>
      </w:r>
      <w:r>
        <w:rPr>
          <w:noProof/>
          <w:lang w:val="fr-FR"/>
        </w:rPr>
        <w:t>ie</w:t>
      </w:r>
      <w:r w:rsidR="001B2F58" w:rsidRPr="00DD03D6">
        <w:rPr>
          <w:noProof/>
          <w:lang w:val="fr-FR"/>
        </w:rPr>
        <w:t xml:space="preserve">r </w:t>
      </w:r>
      <w:r>
        <w:rPr>
          <w:noProof/>
          <w:lang w:val="fr-FR"/>
        </w:rPr>
        <w:t>l’interdiction de prononcer la peine de mort et la réclusion perpétuelle, et l’</w:t>
      </w:r>
      <w:r w:rsidR="001B2F58" w:rsidRPr="00DD03D6">
        <w:rPr>
          <w:noProof/>
          <w:lang w:val="fr-FR"/>
        </w:rPr>
        <w:t xml:space="preserve">existence </w:t>
      </w:r>
      <w:r>
        <w:rPr>
          <w:noProof/>
          <w:lang w:val="fr-FR"/>
        </w:rPr>
        <w:t xml:space="preserve">de sanctions </w:t>
      </w:r>
      <w:r w:rsidR="001B2F58" w:rsidRPr="00DD03D6">
        <w:rPr>
          <w:noProof/>
          <w:lang w:val="fr-FR"/>
        </w:rPr>
        <w:t>alternative</w:t>
      </w:r>
      <w:r>
        <w:rPr>
          <w:noProof/>
          <w:lang w:val="fr-FR"/>
        </w:rPr>
        <w:t>s</w:t>
      </w:r>
      <w:r w:rsidR="001B2F58" w:rsidRPr="00DD03D6">
        <w:rPr>
          <w:noProof/>
          <w:lang w:val="fr-FR"/>
        </w:rPr>
        <w:t xml:space="preserve"> </w:t>
      </w:r>
      <w:r>
        <w:rPr>
          <w:noProof/>
          <w:lang w:val="fr-FR"/>
        </w:rPr>
        <w:t xml:space="preserve">fondées sur </w:t>
      </w:r>
      <w:r w:rsidR="00686515">
        <w:rPr>
          <w:noProof/>
          <w:lang w:val="fr-FR"/>
        </w:rPr>
        <w:t>une approche réparatrice</w:t>
      </w:r>
      <w:r w:rsidR="00547E30">
        <w:rPr>
          <w:noProof/>
          <w:lang w:val="fr-FR"/>
        </w:rPr>
        <w:t xml:space="preserve"> </w:t>
      </w:r>
    </w:p>
    <w:p w:rsidR="001B2F58" w:rsidRDefault="00686515" w:rsidP="002C58C8">
      <w:pPr>
        <w:pStyle w:val="SingleTxtG"/>
        <w:numPr>
          <w:ilvl w:val="0"/>
          <w:numId w:val="3"/>
        </w:numPr>
        <w:ind w:left="1134" w:firstLine="0"/>
        <w:rPr>
          <w:noProof/>
          <w:lang w:val="fr-FR"/>
        </w:rPr>
      </w:pPr>
      <w:r>
        <w:rPr>
          <w:noProof/>
          <w:lang w:val="fr-FR"/>
        </w:rPr>
        <w:t xml:space="preserve">Il existe un certain nombre de </w:t>
      </w:r>
      <w:r>
        <w:rPr>
          <w:lang w:val="fr-CH"/>
        </w:rPr>
        <w:t>solutions de substitution à la détention</w:t>
      </w:r>
      <w:r w:rsidRPr="00DD03D6">
        <w:rPr>
          <w:noProof/>
          <w:lang w:val="fr-FR"/>
        </w:rPr>
        <w:t xml:space="preserve"> </w:t>
      </w:r>
      <w:r>
        <w:rPr>
          <w:noProof/>
          <w:lang w:val="fr-FR"/>
        </w:rPr>
        <w:t>lorsque l’on a affaire à des enfants en situation de conflit avec la loi ou comparaissant devant les tribunaux</w:t>
      </w:r>
      <w:r w:rsidR="001B2F58" w:rsidRPr="00DD03D6">
        <w:rPr>
          <w:noProof/>
          <w:lang w:val="fr-FR"/>
        </w:rPr>
        <w:t xml:space="preserve">. </w:t>
      </w:r>
      <w:r>
        <w:rPr>
          <w:noProof/>
          <w:lang w:val="fr-FR"/>
        </w:rPr>
        <w:t>Elles sont exposées dans les paragraphes qui suivent</w:t>
      </w:r>
      <w:r w:rsidR="001B2F58" w:rsidRPr="00DD03D6">
        <w:rPr>
          <w:noProof/>
          <w:lang w:val="fr-FR"/>
        </w:rPr>
        <w:t>.</w:t>
      </w:r>
    </w:p>
    <w:p w:rsidR="001B2F58" w:rsidRPr="00DD03D6" w:rsidRDefault="00686515" w:rsidP="004454EF">
      <w:pPr>
        <w:pStyle w:val="SingleTxtG"/>
        <w:numPr>
          <w:ilvl w:val="0"/>
          <w:numId w:val="3"/>
        </w:numPr>
        <w:ind w:left="1134" w:firstLine="0"/>
        <w:rPr>
          <w:b/>
          <w:bCs/>
          <w:noProof/>
          <w:lang w:val="fr-FR"/>
        </w:rPr>
      </w:pPr>
      <w:r>
        <w:rPr>
          <w:noProof/>
          <w:lang w:val="fr-FR"/>
        </w:rPr>
        <w:t xml:space="preserve">Le </w:t>
      </w:r>
      <w:r>
        <w:rPr>
          <w:lang w:val="fr-CH"/>
        </w:rPr>
        <w:t>programme de déjudiciarisation de la Garda</w:t>
      </w:r>
      <w:r w:rsidR="001B2F58" w:rsidRPr="00DD03D6">
        <w:rPr>
          <w:rStyle w:val="Appelnotedebasdep"/>
          <w:noProof/>
          <w:lang w:val="fr-FR"/>
        </w:rPr>
        <w:footnoteReference w:id="49"/>
      </w:r>
      <w:r w:rsidR="001B2F58" w:rsidRPr="00DD03D6">
        <w:rPr>
          <w:noProof/>
          <w:lang w:val="fr-FR"/>
        </w:rPr>
        <w:t xml:space="preserve"> </w:t>
      </w:r>
      <w:r w:rsidR="002B1395">
        <w:rPr>
          <w:noProof/>
          <w:lang w:val="fr-FR"/>
        </w:rPr>
        <w:t>a é</w:t>
      </w:r>
      <w:r w:rsidR="00EE756D">
        <w:rPr>
          <w:noProof/>
          <w:lang w:val="fr-FR"/>
        </w:rPr>
        <w:t>té doté d’une base légale par la</w:t>
      </w:r>
      <w:r w:rsidR="002B1395">
        <w:rPr>
          <w:noProof/>
          <w:lang w:val="fr-FR"/>
        </w:rPr>
        <w:t xml:space="preserve"> </w:t>
      </w:r>
      <w:r w:rsidR="00EE756D">
        <w:rPr>
          <w:noProof/>
          <w:lang w:val="fr-FR"/>
        </w:rPr>
        <w:t>partie 4</w:t>
      </w:r>
      <w:r w:rsidR="002B1395">
        <w:rPr>
          <w:noProof/>
          <w:lang w:val="fr-FR"/>
        </w:rPr>
        <w:t xml:space="preserve"> de la loi de 2001 sur les enfants</w:t>
      </w:r>
      <w:r w:rsidR="001B2F58" w:rsidRPr="00DD03D6">
        <w:rPr>
          <w:noProof/>
          <w:lang w:val="fr-FR"/>
        </w:rPr>
        <w:t>.</w:t>
      </w:r>
    </w:p>
    <w:p w:rsidR="001B2F58" w:rsidRPr="00DD03D6" w:rsidRDefault="002C2731" w:rsidP="002C58C8">
      <w:pPr>
        <w:pStyle w:val="SingleTxtG"/>
        <w:numPr>
          <w:ilvl w:val="0"/>
          <w:numId w:val="3"/>
        </w:numPr>
        <w:ind w:left="1134" w:firstLine="0"/>
        <w:rPr>
          <w:noProof/>
          <w:lang w:val="fr-FR"/>
        </w:rPr>
      </w:pPr>
      <w:r>
        <w:rPr>
          <w:noProof/>
          <w:lang w:val="fr-FR"/>
        </w:rPr>
        <w:t>L’</w:t>
      </w:r>
      <w:r w:rsidRPr="00DD03D6">
        <w:rPr>
          <w:noProof/>
          <w:lang w:val="fr-FR"/>
        </w:rPr>
        <w:t>int</w:t>
      </w:r>
      <w:r>
        <w:rPr>
          <w:noProof/>
          <w:lang w:val="fr-FR"/>
        </w:rPr>
        <w:t>é</w:t>
      </w:r>
      <w:r w:rsidRPr="00DD03D6">
        <w:rPr>
          <w:noProof/>
          <w:lang w:val="fr-FR"/>
        </w:rPr>
        <w:t xml:space="preserve">gration </w:t>
      </w:r>
      <w:r>
        <w:rPr>
          <w:noProof/>
          <w:lang w:val="fr-FR"/>
        </w:rPr>
        <w:t xml:space="preserve">du mécanisme relatif au comportement </w:t>
      </w:r>
      <w:r w:rsidRPr="00DD03D6">
        <w:rPr>
          <w:noProof/>
          <w:lang w:val="fr-FR"/>
        </w:rPr>
        <w:t xml:space="preserve">antisocial </w:t>
      </w:r>
      <w:r>
        <w:rPr>
          <w:noProof/>
          <w:lang w:val="fr-FR"/>
        </w:rPr>
        <w:t xml:space="preserve">d’enfants au programme de déjudiciarisation pour les mineurs de la </w:t>
      </w:r>
      <w:r w:rsidRPr="00DD03D6">
        <w:rPr>
          <w:noProof/>
          <w:lang w:val="fr-FR"/>
        </w:rPr>
        <w:t xml:space="preserve">Garda </w:t>
      </w:r>
      <w:r>
        <w:rPr>
          <w:noProof/>
          <w:lang w:val="fr-FR"/>
        </w:rPr>
        <w:t>offre une procédure par paliers efficace pour traiter ceux qui sont lents à changer de comportement</w:t>
      </w:r>
      <w:r w:rsidRPr="00DD03D6">
        <w:rPr>
          <w:noProof/>
          <w:lang w:val="fr-FR"/>
        </w:rPr>
        <w:t xml:space="preserve">. </w:t>
      </w:r>
      <w:r>
        <w:rPr>
          <w:noProof/>
          <w:lang w:val="fr-FR"/>
        </w:rPr>
        <w:t xml:space="preserve">Les </w:t>
      </w:r>
      <w:r w:rsidRPr="00DD03D6">
        <w:rPr>
          <w:noProof/>
          <w:lang w:val="fr-FR"/>
        </w:rPr>
        <w:t xml:space="preserve">options </w:t>
      </w:r>
      <w:r>
        <w:rPr>
          <w:noProof/>
          <w:lang w:val="fr-FR"/>
        </w:rPr>
        <w:t xml:space="preserve">sont les suivantes : </w:t>
      </w:r>
      <w:r w:rsidRPr="00DD03D6">
        <w:rPr>
          <w:noProof/>
          <w:lang w:val="fr-FR"/>
        </w:rPr>
        <w:t xml:space="preserve">i) </w:t>
      </w:r>
      <w:r>
        <w:rPr>
          <w:noProof/>
          <w:lang w:val="fr-FR"/>
        </w:rPr>
        <w:t>aucune mesure supplémentaire de la part de la</w:t>
      </w:r>
      <w:r w:rsidRPr="00DD03D6">
        <w:rPr>
          <w:noProof/>
          <w:lang w:val="fr-FR"/>
        </w:rPr>
        <w:t xml:space="preserve"> police, ii) </w:t>
      </w:r>
      <w:r>
        <w:rPr>
          <w:noProof/>
          <w:lang w:val="fr-FR"/>
        </w:rPr>
        <w:t>un avertissement informel</w:t>
      </w:r>
      <w:r w:rsidRPr="00DD03D6">
        <w:rPr>
          <w:noProof/>
          <w:lang w:val="fr-FR"/>
        </w:rPr>
        <w:t xml:space="preserve">, iii) </w:t>
      </w:r>
      <w:r>
        <w:rPr>
          <w:noProof/>
          <w:lang w:val="fr-FR"/>
        </w:rPr>
        <w:t>une mise en garde formelle</w:t>
      </w:r>
      <w:r w:rsidRPr="00DD03D6">
        <w:rPr>
          <w:noProof/>
          <w:lang w:val="fr-FR"/>
        </w:rPr>
        <w:t xml:space="preserve">, </w:t>
      </w:r>
      <w:r>
        <w:rPr>
          <w:noProof/>
          <w:lang w:val="fr-FR"/>
        </w:rPr>
        <w:t>supervisée</w:t>
      </w:r>
      <w:r w:rsidRPr="00DD03D6">
        <w:rPr>
          <w:noProof/>
          <w:lang w:val="fr-FR"/>
        </w:rPr>
        <w:t xml:space="preserve"> </w:t>
      </w:r>
      <w:r>
        <w:rPr>
          <w:noProof/>
          <w:lang w:val="fr-FR"/>
        </w:rPr>
        <w:t xml:space="preserve">par un agent de liaison pour mineur de la </w:t>
      </w:r>
      <w:r w:rsidRPr="00DD03D6">
        <w:rPr>
          <w:noProof/>
          <w:lang w:val="fr-FR"/>
        </w:rPr>
        <w:t xml:space="preserve">Garda, </w:t>
      </w:r>
      <w:r>
        <w:rPr>
          <w:noProof/>
          <w:lang w:val="fr-FR"/>
        </w:rPr>
        <w:t>et</w:t>
      </w:r>
      <w:r w:rsidRPr="00DD03D6">
        <w:rPr>
          <w:noProof/>
          <w:lang w:val="fr-FR"/>
        </w:rPr>
        <w:t xml:space="preserve"> iv) </w:t>
      </w:r>
      <w:r>
        <w:rPr>
          <w:noProof/>
          <w:lang w:val="fr-FR"/>
        </w:rPr>
        <w:t>les poursuites</w:t>
      </w:r>
      <w:r w:rsidR="001B2F58" w:rsidRPr="00DD03D6">
        <w:rPr>
          <w:noProof/>
          <w:lang w:val="fr-FR"/>
        </w:rPr>
        <w:t xml:space="preserve">. </w:t>
      </w:r>
      <w:r w:rsidR="00522CEC">
        <w:rPr>
          <w:noProof/>
          <w:lang w:val="fr-FR"/>
        </w:rPr>
        <w:t xml:space="preserve">L’article </w:t>
      </w:r>
      <w:r w:rsidR="001B2F58" w:rsidRPr="00DD03D6">
        <w:rPr>
          <w:noProof/>
          <w:lang w:val="fr-FR"/>
        </w:rPr>
        <w:t xml:space="preserve">257F </w:t>
      </w:r>
      <w:r w:rsidR="00522CEC">
        <w:rPr>
          <w:noProof/>
          <w:lang w:val="fr-FR"/>
        </w:rPr>
        <w:t xml:space="preserve">de la loi de 2001 sur les enfants érige en infraction le fait pour un enfant, </w:t>
      </w:r>
      <w:r w:rsidR="001E193E">
        <w:rPr>
          <w:noProof/>
          <w:lang w:val="fr-FR"/>
        </w:rPr>
        <w:t>en l’absence d’</w:t>
      </w:r>
      <w:r w:rsidR="00522CEC">
        <w:rPr>
          <w:noProof/>
          <w:lang w:val="fr-FR"/>
        </w:rPr>
        <w:t xml:space="preserve">excuse raisonnable, </w:t>
      </w:r>
      <w:r w:rsidR="001E193E">
        <w:rPr>
          <w:noProof/>
          <w:lang w:val="fr-FR"/>
        </w:rPr>
        <w:t xml:space="preserve">de </w:t>
      </w:r>
      <w:r w:rsidR="00522CEC">
        <w:rPr>
          <w:noProof/>
          <w:lang w:val="fr-FR"/>
        </w:rPr>
        <w:t xml:space="preserve">ne </w:t>
      </w:r>
      <w:r w:rsidR="001E193E">
        <w:rPr>
          <w:noProof/>
          <w:lang w:val="fr-FR"/>
        </w:rPr>
        <w:t xml:space="preserve">pas </w:t>
      </w:r>
      <w:r w:rsidR="00522CEC">
        <w:rPr>
          <w:noProof/>
          <w:lang w:val="fr-FR"/>
        </w:rPr>
        <w:t>se conforme</w:t>
      </w:r>
      <w:r w:rsidR="001E193E">
        <w:rPr>
          <w:noProof/>
          <w:lang w:val="fr-FR"/>
        </w:rPr>
        <w:t>r</w:t>
      </w:r>
      <w:r w:rsidR="00522CEC">
        <w:rPr>
          <w:noProof/>
          <w:lang w:val="fr-FR"/>
        </w:rPr>
        <w:t xml:space="preserve"> à une injonction pour mauvais comportement</w:t>
      </w:r>
      <w:r w:rsidR="001B2F58" w:rsidRPr="00DD03D6">
        <w:rPr>
          <w:noProof/>
          <w:lang w:val="fr-FR"/>
        </w:rPr>
        <w:t xml:space="preserve">. </w:t>
      </w:r>
      <w:r w:rsidR="00522CEC">
        <w:rPr>
          <w:noProof/>
          <w:lang w:val="fr-FR"/>
        </w:rPr>
        <w:t xml:space="preserve">Dans la pratique, le fait pour un enfant d’avoir manifesté un comportement antisocial et de continuer d’agir de la sorte peut amener la </w:t>
      </w:r>
      <w:r w:rsidR="00522CEC" w:rsidRPr="00DD03D6">
        <w:rPr>
          <w:noProof/>
          <w:lang w:val="fr-FR"/>
        </w:rPr>
        <w:t xml:space="preserve">Garda Síochána </w:t>
      </w:r>
      <w:r w:rsidR="00522CEC">
        <w:rPr>
          <w:noProof/>
          <w:lang w:val="fr-FR"/>
        </w:rPr>
        <w:t>a demander à un tribunal d’émettre une</w:t>
      </w:r>
      <w:r w:rsidR="001B2F58" w:rsidRPr="00DD03D6">
        <w:rPr>
          <w:noProof/>
          <w:lang w:val="fr-FR"/>
        </w:rPr>
        <w:t xml:space="preserve"> </w:t>
      </w:r>
      <w:r w:rsidR="00522CEC">
        <w:rPr>
          <w:lang w:val="fr-CH"/>
        </w:rPr>
        <w:t>injonction pour mauvais comportement</w:t>
      </w:r>
      <w:r w:rsidR="001B2F58" w:rsidRPr="00DD03D6">
        <w:rPr>
          <w:noProof/>
          <w:lang w:val="fr-FR"/>
        </w:rPr>
        <w:t xml:space="preserve">. </w:t>
      </w:r>
      <w:r w:rsidR="00522CEC">
        <w:rPr>
          <w:noProof/>
          <w:lang w:val="fr-FR"/>
        </w:rPr>
        <w:t>Il s’agit d’une procédure essentiellement civile, qui ne devient une affaire pénale que si une injonction de ce type, émise par un tribunal, n’est pas respectée</w:t>
      </w:r>
      <w:r w:rsidR="001B2F58" w:rsidRPr="00DD03D6">
        <w:rPr>
          <w:noProof/>
          <w:lang w:val="fr-FR"/>
        </w:rPr>
        <w:t>.</w:t>
      </w:r>
    </w:p>
    <w:p w:rsidR="001B2F58" w:rsidRPr="00DD03D6" w:rsidRDefault="00637993" w:rsidP="002C58C8">
      <w:pPr>
        <w:pStyle w:val="SingleTxtG"/>
        <w:numPr>
          <w:ilvl w:val="0"/>
          <w:numId w:val="3"/>
        </w:numPr>
        <w:ind w:left="1134" w:firstLine="0"/>
        <w:rPr>
          <w:noProof/>
          <w:lang w:val="fr-FR"/>
        </w:rPr>
      </w:pPr>
      <w:r>
        <w:rPr>
          <w:noProof/>
          <w:lang w:val="fr-FR"/>
        </w:rPr>
        <w:t xml:space="preserve">La loi de 2001 sur les enfants a été modifiée par la </w:t>
      </w:r>
      <w:r w:rsidR="00EE756D">
        <w:rPr>
          <w:lang w:val="fr-CH"/>
        </w:rPr>
        <w:t>p</w:t>
      </w:r>
      <w:r>
        <w:rPr>
          <w:lang w:val="fr-CH"/>
        </w:rPr>
        <w:t>artie 13 de la loi de 2006 sur la justice pénale, qui traite des comportements antisociaux d’enfants</w:t>
      </w:r>
      <w:r w:rsidR="00D33F63">
        <w:rPr>
          <w:lang w:val="fr-CH"/>
        </w:rPr>
        <w:t xml:space="preserve"> et </w:t>
      </w:r>
      <w:r>
        <w:rPr>
          <w:lang w:val="fr-CH"/>
        </w:rPr>
        <w:t>est entrée en vigueur le 1</w:t>
      </w:r>
      <w:r>
        <w:rPr>
          <w:vertAlign w:val="superscript"/>
          <w:lang w:val="fr-CH"/>
        </w:rPr>
        <w:t>er</w:t>
      </w:r>
      <w:r>
        <w:rPr>
          <w:lang w:val="fr-CH"/>
        </w:rPr>
        <w:t xml:space="preserve"> mars 2007. Les dispositions qui sont énoncées </w:t>
      </w:r>
      <w:r w:rsidR="00D33F63">
        <w:rPr>
          <w:lang w:val="fr-CH"/>
        </w:rPr>
        <w:t xml:space="preserve">dans cette partie </w:t>
      </w:r>
      <w:r>
        <w:rPr>
          <w:lang w:val="fr-CH"/>
        </w:rPr>
        <w:t xml:space="preserve">prévoient une procédure par paliers pour lutter contre les comportements antisociaux. Les mesures visant les jeunes et les adultes sont distinctes et les protections prévues dans la loi de 2001 </w:t>
      </w:r>
      <w:r w:rsidR="00D33F63">
        <w:rPr>
          <w:lang w:val="fr-CH"/>
        </w:rPr>
        <w:t>sur les</w:t>
      </w:r>
      <w:r>
        <w:rPr>
          <w:lang w:val="fr-CH"/>
        </w:rPr>
        <w:t xml:space="preserve"> enfants s’appliquent. S’agissant des enfants, les mesures vont d’un avertissement par un membre de la police irlandaise à l’émission d’une injonction pour mauvais comportement par un tribunal pour enfant, en passant par la conclusion d’un contrat de bonne conduite impliquant l’enfant et ses parents ou tuteurs, ou encore par l’orientation vers le programme de déjudiciarisation de la Garda pour les déli</w:t>
      </w:r>
      <w:r w:rsidR="00EE756D">
        <w:rPr>
          <w:lang w:val="fr-CH"/>
        </w:rPr>
        <w:t xml:space="preserve">nquants juvéniles. Lorsque les procédures de lutte contre le comportement antisocial </w:t>
      </w:r>
      <w:r w:rsidRPr="00EE756D">
        <w:rPr>
          <w:noProof/>
          <w:lang w:val="fr-FR"/>
        </w:rPr>
        <w:t>visent d</w:t>
      </w:r>
      <w:r>
        <w:rPr>
          <w:lang w:val="fr-CH"/>
        </w:rPr>
        <w:t>es enfants, l</w:t>
      </w:r>
      <w:r w:rsidR="00EE756D">
        <w:rPr>
          <w:lang w:val="fr-CH"/>
        </w:rPr>
        <w:t xml:space="preserve">eur </w:t>
      </w:r>
      <w:r>
        <w:rPr>
          <w:lang w:val="fr-CH"/>
        </w:rPr>
        <w:t xml:space="preserve">application est surveillée </w:t>
      </w:r>
      <w:r w:rsidR="00D33F63">
        <w:rPr>
          <w:lang w:val="fr-CH"/>
        </w:rPr>
        <w:t xml:space="preserve">et </w:t>
      </w:r>
      <w:r w:rsidR="00EE756D">
        <w:rPr>
          <w:lang w:val="fr-CH"/>
        </w:rPr>
        <w:t>l</w:t>
      </w:r>
      <w:r w:rsidR="00D33F63">
        <w:rPr>
          <w:lang w:val="fr-CH"/>
        </w:rPr>
        <w:t>e réexamen de la législation pertinente se poursuit</w:t>
      </w:r>
      <w:r w:rsidR="001B2F58" w:rsidRPr="00DD03D6">
        <w:rPr>
          <w:noProof/>
          <w:lang w:val="fr-FR"/>
        </w:rPr>
        <w:t>.</w:t>
      </w:r>
    </w:p>
    <w:p w:rsidR="001B2F58" w:rsidRPr="00DD03D6" w:rsidRDefault="00D33F63" w:rsidP="002C58C8">
      <w:pPr>
        <w:pStyle w:val="SingleTxtG"/>
        <w:numPr>
          <w:ilvl w:val="0"/>
          <w:numId w:val="3"/>
        </w:numPr>
        <w:ind w:left="1134" w:firstLine="0"/>
        <w:rPr>
          <w:noProof/>
          <w:lang w:val="fr-FR"/>
        </w:rPr>
      </w:pPr>
      <w:r>
        <w:rPr>
          <w:noProof/>
          <w:lang w:val="fr-FR"/>
        </w:rPr>
        <w:t xml:space="preserve">Entre le </w:t>
      </w:r>
      <w:r w:rsidR="001B2F58" w:rsidRPr="00DD03D6">
        <w:rPr>
          <w:noProof/>
          <w:lang w:val="fr-FR"/>
        </w:rPr>
        <w:t>1</w:t>
      </w:r>
      <w:r w:rsidRPr="00D33F63">
        <w:rPr>
          <w:noProof/>
          <w:vertAlign w:val="superscript"/>
          <w:lang w:val="fr-FR"/>
        </w:rPr>
        <w:t>er</w:t>
      </w:r>
      <w:r>
        <w:rPr>
          <w:noProof/>
          <w:lang w:val="fr-FR"/>
        </w:rPr>
        <w:t xml:space="preserve"> mars </w:t>
      </w:r>
      <w:r w:rsidR="001B2F58" w:rsidRPr="00DD03D6">
        <w:rPr>
          <w:noProof/>
          <w:lang w:val="fr-FR"/>
        </w:rPr>
        <w:t xml:space="preserve">2007 </w:t>
      </w:r>
      <w:r>
        <w:rPr>
          <w:noProof/>
          <w:lang w:val="fr-FR"/>
        </w:rPr>
        <w:t xml:space="preserve">et le </w:t>
      </w:r>
      <w:r w:rsidR="001B2F58" w:rsidRPr="00DD03D6">
        <w:rPr>
          <w:noProof/>
          <w:lang w:val="fr-FR"/>
        </w:rPr>
        <w:t xml:space="preserve">31 </w:t>
      </w:r>
      <w:r>
        <w:rPr>
          <w:noProof/>
          <w:lang w:val="fr-FR"/>
        </w:rPr>
        <w:t>dé</w:t>
      </w:r>
      <w:r w:rsidR="001B2F58" w:rsidRPr="00DD03D6">
        <w:rPr>
          <w:noProof/>
          <w:lang w:val="fr-FR"/>
        </w:rPr>
        <w:t>cemb</w:t>
      </w:r>
      <w:r>
        <w:rPr>
          <w:noProof/>
          <w:lang w:val="fr-FR"/>
        </w:rPr>
        <w:t>re</w:t>
      </w:r>
      <w:r w:rsidR="001B2F58" w:rsidRPr="00DD03D6">
        <w:rPr>
          <w:noProof/>
          <w:lang w:val="fr-FR"/>
        </w:rPr>
        <w:t xml:space="preserve"> 2011, 2</w:t>
      </w:r>
      <w:r w:rsidR="006B44EA">
        <w:rPr>
          <w:noProof/>
          <w:lang w:val="fr-FR"/>
        </w:rPr>
        <w:t> </w:t>
      </w:r>
      <w:r w:rsidR="001B2F58" w:rsidRPr="00DD03D6">
        <w:rPr>
          <w:noProof/>
          <w:lang w:val="fr-FR"/>
        </w:rPr>
        <w:t xml:space="preserve">006 </w:t>
      </w:r>
      <w:r>
        <w:rPr>
          <w:noProof/>
          <w:lang w:val="fr-FR"/>
        </w:rPr>
        <w:t>avertissements ont été adressés à des enfants au sujet de leur comportement</w:t>
      </w:r>
      <w:r w:rsidR="001B2F58" w:rsidRPr="00DD03D6">
        <w:rPr>
          <w:noProof/>
          <w:lang w:val="fr-FR"/>
        </w:rPr>
        <w:t xml:space="preserve">, 15 </w:t>
      </w:r>
      <w:r>
        <w:rPr>
          <w:lang w:val="fr-CH"/>
        </w:rPr>
        <w:t xml:space="preserve">contrats de bonne conduite ont été conclus et trois </w:t>
      </w:r>
      <w:r>
        <w:rPr>
          <w:noProof/>
          <w:lang w:val="fr-FR"/>
        </w:rPr>
        <w:t>injonction</w:t>
      </w:r>
      <w:r w:rsidR="00EE756D">
        <w:rPr>
          <w:noProof/>
          <w:lang w:val="fr-FR"/>
        </w:rPr>
        <w:t>s</w:t>
      </w:r>
      <w:r>
        <w:rPr>
          <w:noProof/>
          <w:lang w:val="fr-FR"/>
        </w:rPr>
        <w:t xml:space="preserve"> pour mauvais comportement ont été émises par les tribunaux</w:t>
      </w:r>
      <w:r w:rsidR="001B2F58" w:rsidRPr="00DD03D6">
        <w:rPr>
          <w:noProof/>
          <w:lang w:val="fr-FR"/>
        </w:rPr>
        <w:t>.</w:t>
      </w:r>
    </w:p>
    <w:p w:rsidR="001B2F58" w:rsidRPr="00DD03D6" w:rsidRDefault="00007844" w:rsidP="002C58C8">
      <w:pPr>
        <w:pStyle w:val="SingleTxtG"/>
        <w:numPr>
          <w:ilvl w:val="0"/>
          <w:numId w:val="3"/>
        </w:numPr>
        <w:ind w:left="1134" w:firstLine="0"/>
        <w:rPr>
          <w:noProof/>
          <w:lang w:val="fr-FR"/>
        </w:rPr>
      </w:pPr>
      <w:r>
        <w:rPr>
          <w:noProof/>
          <w:lang w:val="fr-FR"/>
        </w:rPr>
        <w:t>Lorsqu’un tribunal se prononce sur le cas d’un enfant qui a plaidé coupable ou est dé</w:t>
      </w:r>
      <w:r w:rsidR="00EE756D">
        <w:rPr>
          <w:noProof/>
          <w:lang w:val="fr-FR"/>
        </w:rPr>
        <w:t>claré coupable d’avoir commis u</w:t>
      </w:r>
      <w:r>
        <w:rPr>
          <w:noProof/>
          <w:lang w:val="fr-FR"/>
        </w:rPr>
        <w:t>ne infractio</w:t>
      </w:r>
      <w:r w:rsidR="00862487">
        <w:rPr>
          <w:noProof/>
          <w:lang w:val="fr-FR"/>
        </w:rPr>
        <w:t>n, il importe que le juge dispos</w:t>
      </w:r>
      <w:r>
        <w:rPr>
          <w:noProof/>
          <w:lang w:val="fr-FR"/>
        </w:rPr>
        <w:t>e</w:t>
      </w:r>
      <w:r w:rsidR="00862487">
        <w:rPr>
          <w:noProof/>
          <w:lang w:val="fr-FR"/>
        </w:rPr>
        <w:t xml:space="preserve"> </w:t>
      </w:r>
      <w:r w:rsidR="00862487">
        <w:rPr>
          <w:noProof/>
          <w:lang w:val="fr-FR" w:eastAsia="en-GB"/>
        </w:rPr>
        <w:t>de tous les renseignements pertinents sur les antécédents de l’enfant au moment de prendre en considération son intérêt supérieur</w:t>
      </w:r>
      <w:r w:rsidR="00862487" w:rsidRPr="00DD03D6">
        <w:rPr>
          <w:noProof/>
          <w:lang w:val="fr-FR"/>
        </w:rPr>
        <w:t xml:space="preserve">. </w:t>
      </w:r>
      <w:r w:rsidR="00862487">
        <w:rPr>
          <w:noProof/>
          <w:lang w:val="fr-FR"/>
        </w:rPr>
        <w:t xml:space="preserve">Le </w:t>
      </w:r>
      <w:r w:rsidR="00862487">
        <w:rPr>
          <w:noProof/>
          <w:lang w:val="fr-FR" w:eastAsia="en-GB"/>
        </w:rPr>
        <w:t>rapport préalable au prononcé de la peine</w:t>
      </w:r>
      <w:r w:rsidR="00862487">
        <w:rPr>
          <w:noProof/>
          <w:lang w:val="fr-FR"/>
        </w:rPr>
        <w:t xml:space="preserve">, établi par un </w:t>
      </w:r>
      <w:r w:rsidR="00862487">
        <w:rPr>
          <w:noProof/>
          <w:lang w:val="fr-FR" w:eastAsia="en-GB"/>
        </w:rPr>
        <w:t>agent de p</w:t>
      </w:r>
      <w:r w:rsidR="00862487" w:rsidRPr="00DD03D6">
        <w:rPr>
          <w:noProof/>
          <w:lang w:val="fr-FR" w:eastAsia="en-GB"/>
        </w:rPr>
        <w:t xml:space="preserve">robation, </w:t>
      </w:r>
      <w:r w:rsidR="00862487">
        <w:rPr>
          <w:noProof/>
          <w:lang w:val="fr-FR" w:eastAsia="en-GB"/>
        </w:rPr>
        <w:t xml:space="preserve">lui facilite la tâche. Il importe que l’agent de probation ait également accès à tous les renseignements pertinents. </w:t>
      </w:r>
      <w:r w:rsidR="00862487">
        <w:rPr>
          <w:noProof/>
          <w:lang w:val="fr-FR"/>
        </w:rPr>
        <w:t>Le principe premier veut que le placement en détention soit une mesure de dernier ressort</w:t>
      </w:r>
      <w:r w:rsidR="001B2F58" w:rsidRPr="00DD03D6">
        <w:rPr>
          <w:noProof/>
          <w:lang w:val="fr-FR"/>
        </w:rPr>
        <w:t>. .</w:t>
      </w:r>
    </w:p>
    <w:p w:rsidR="001B2F58" w:rsidRPr="00DD03D6" w:rsidRDefault="006350DE" w:rsidP="004454EF">
      <w:pPr>
        <w:pStyle w:val="SingleTxtG"/>
        <w:numPr>
          <w:ilvl w:val="0"/>
          <w:numId w:val="3"/>
        </w:numPr>
        <w:ind w:left="1134" w:firstLine="0"/>
        <w:rPr>
          <w:noProof/>
          <w:lang w:val="fr-FR"/>
        </w:rPr>
      </w:pPr>
      <w:r>
        <w:rPr>
          <w:noProof/>
          <w:lang w:val="fr-FR"/>
        </w:rPr>
        <w:t xml:space="preserve">Les projets de déjudiciarisation </w:t>
      </w:r>
      <w:r w:rsidR="00E32F83">
        <w:rPr>
          <w:lang w:val="fr-CH"/>
        </w:rPr>
        <w:t xml:space="preserve">mis en place par la Garda à l’intention des jeunes </w:t>
      </w:r>
      <w:r>
        <w:rPr>
          <w:noProof/>
          <w:lang w:val="fr-FR"/>
        </w:rPr>
        <w:t xml:space="preserve">sont des initiatives de prévention de la délinquance mises en œuvre </w:t>
      </w:r>
      <w:r w:rsidR="00BE5F45">
        <w:rPr>
          <w:noProof/>
          <w:lang w:val="fr-FR"/>
        </w:rPr>
        <w:t>partout dans le pays</w:t>
      </w:r>
      <w:r w:rsidR="001B2F58" w:rsidRPr="00DD03D6">
        <w:rPr>
          <w:noProof/>
          <w:lang w:val="fr-FR"/>
        </w:rPr>
        <w:t xml:space="preserve">, </w:t>
      </w:r>
      <w:r>
        <w:rPr>
          <w:noProof/>
          <w:lang w:val="fr-FR"/>
        </w:rPr>
        <w:t xml:space="preserve">à ancrage local </w:t>
      </w:r>
      <w:r w:rsidR="00F00325">
        <w:rPr>
          <w:noProof/>
          <w:lang w:val="fr-FR"/>
        </w:rPr>
        <w:t xml:space="preserve">et impliqnant plusieurs services qui sont financées par le Service de la justice </w:t>
      </w:r>
      <w:r w:rsidR="00F00325">
        <w:rPr>
          <w:noProof/>
          <w:lang w:val="fr-FR"/>
        </w:rPr>
        <w:lastRenderedPageBreak/>
        <w:t xml:space="preserve">pour mineurs. </w:t>
      </w:r>
      <w:r w:rsidR="00EE756D">
        <w:rPr>
          <w:noProof/>
          <w:lang w:val="fr-FR"/>
        </w:rPr>
        <w:t xml:space="preserve">Ces projets </w:t>
      </w:r>
      <w:r w:rsidR="00F00325">
        <w:rPr>
          <w:noProof/>
          <w:lang w:val="fr-FR"/>
        </w:rPr>
        <w:t>cherchent à empêcher les jeunes de s’abandonner à un comportement antisocial et/ou criminel</w:t>
      </w:r>
      <w:r w:rsidR="00EE756D">
        <w:rPr>
          <w:noProof/>
          <w:lang w:val="fr-FR"/>
        </w:rPr>
        <w:t xml:space="preserve"> et </w:t>
      </w:r>
      <w:r w:rsidR="00F00325">
        <w:rPr>
          <w:noProof/>
          <w:lang w:val="fr-FR"/>
        </w:rPr>
        <w:t xml:space="preserve">s’adressent en particulier aux jeunes âgés de 12 à 17 ans en situation de risque vivant dans des communautés </w:t>
      </w:r>
      <w:r w:rsidR="00BE5F45">
        <w:rPr>
          <w:noProof/>
          <w:lang w:val="fr-FR"/>
        </w:rPr>
        <w:t>dans lesquelles</w:t>
      </w:r>
      <w:r w:rsidR="00E20352">
        <w:rPr>
          <w:noProof/>
          <w:lang w:val="fr-FR"/>
        </w:rPr>
        <w:t xml:space="preserve"> un risque spécifique a été déce</w:t>
      </w:r>
      <w:r w:rsidR="00BE5F45">
        <w:rPr>
          <w:noProof/>
          <w:lang w:val="fr-FR"/>
        </w:rPr>
        <w:t>lé et lorsqu’il existe un risque de les voir rester dans le système judiciaire</w:t>
      </w:r>
      <w:r w:rsidR="001B2F58" w:rsidRPr="00DD03D6">
        <w:rPr>
          <w:noProof/>
          <w:lang w:val="fr-FR"/>
        </w:rPr>
        <w:t>.</w:t>
      </w:r>
    </w:p>
    <w:p w:rsidR="001B2F58" w:rsidRPr="00DD03D6" w:rsidRDefault="00E32F83" w:rsidP="004454EF">
      <w:pPr>
        <w:pStyle w:val="SingleTxtG"/>
        <w:numPr>
          <w:ilvl w:val="0"/>
          <w:numId w:val="3"/>
        </w:numPr>
        <w:ind w:left="1134" w:firstLine="0"/>
        <w:rPr>
          <w:noProof/>
          <w:lang w:val="fr-FR"/>
        </w:rPr>
      </w:pPr>
      <w:r>
        <w:rPr>
          <w:noProof/>
          <w:lang w:val="fr-FR"/>
        </w:rPr>
        <w:t xml:space="preserve">Depuis </w:t>
      </w:r>
      <w:r w:rsidR="001B2F58" w:rsidRPr="00DD03D6">
        <w:rPr>
          <w:noProof/>
          <w:lang w:val="fr-FR"/>
        </w:rPr>
        <w:t xml:space="preserve">2006, </w:t>
      </w:r>
      <w:r>
        <w:rPr>
          <w:noProof/>
          <w:lang w:val="fr-FR"/>
        </w:rPr>
        <w:t xml:space="preserve">le nombre de projets de déjudiciarisation </w:t>
      </w:r>
      <w:r>
        <w:rPr>
          <w:lang w:val="fr-CH"/>
        </w:rPr>
        <w:t>mis en place par la Garda à l’intention des jeunes</w:t>
      </w:r>
      <w:r w:rsidRPr="00DD03D6">
        <w:rPr>
          <w:noProof/>
          <w:lang w:val="fr-FR"/>
        </w:rPr>
        <w:t xml:space="preserve"> </w:t>
      </w:r>
      <w:r>
        <w:rPr>
          <w:noProof/>
          <w:lang w:val="fr-FR"/>
        </w:rPr>
        <w:t xml:space="preserve">à travers le pays est passé de </w:t>
      </w:r>
      <w:r w:rsidR="001B2F58" w:rsidRPr="00DD03D6">
        <w:rPr>
          <w:noProof/>
          <w:lang w:val="fr-FR"/>
        </w:rPr>
        <w:t xml:space="preserve">64 </w:t>
      </w:r>
      <w:r>
        <w:rPr>
          <w:noProof/>
          <w:lang w:val="fr-FR"/>
        </w:rPr>
        <w:t>à</w:t>
      </w:r>
      <w:r w:rsidR="001B2F58" w:rsidRPr="00DD03D6">
        <w:rPr>
          <w:noProof/>
          <w:lang w:val="fr-FR"/>
        </w:rPr>
        <w:t xml:space="preserve"> 100. </w:t>
      </w:r>
      <w:r w:rsidR="00E20352">
        <w:rPr>
          <w:noProof/>
          <w:lang w:val="fr-FR"/>
        </w:rPr>
        <w:t>Ces trois dernières années, l’accent a été mis essentiellement sur la qualité et l’efficacité des services fournis</w:t>
      </w:r>
      <w:r w:rsidR="001B2F58" w:rsidRPr="00DD03D6">
        <w:rPr>
          <w:noProof/>
          <w:lang w:val="fr-FR"/>
        </w:rPr>
        <w:t xml:space="preserve">. </w:t>
      </w:r>
      <w:r w:rsidR="00E20352">
        <w:rPr>
          <w:noProof/>
          <w:lang w:val="fr-FR"/>
        </w:rPr>
        <w:t>Dans le cadre de ce processus, le Service de la justice pour mineurs a procédé à u</w:t>
      </w:r>
      <w:r w:rsidR="00DF367E">
        <w:rPr>
          <w:noProof/>
          <w:lang w:val="fr-FR"/>
        </w:rPr>
        <w:t>n diagnostic de ces projets, en les évaluant au regard des tendance locales de la délinquance juvénile, du profil des jeunes délinquants et des don</w:t>
      </w:r>
      <w:r w:rsidR="002D17EA">
        <w:rPr>
          <w:noProof/>
          <w:lang w:val="fr-FR"/>
        </w:rPr>
        <w:t>n</w:t>
      </w:r>
      <w:r w:rsidR="00DF367E">
        <w:rPr>
          <w:noProof/>
          <w:lang w:val="fr-FR"/>
        </w:rPr>
        <w:t>ées disponibles concernant les meilleurs pratiques et les améliorations recherchées par les projets</w:t>
      </w:r>
      <w:r w:rsidR="001B2F58" w:rsidRPr="00DD03D6">
        <w:rPr>
          <w:noProof/>
          <w:lang w:val="fr-FR"/>
        </w:rPr>
        <w:t xml:space="preserve">. </w:t>
      </w:r>
      <w:r w:rsidR="00DF367E">
        <w:rPr>
          <w:noProof/>
          <w:lang w:val="fr-FR"/>
        </w:rPr>
        <w:t xml:space="preserve">Le Service a publié les résultats en juillet </w:t>
      </w:r>
      <w:r w:rsidR="001B2F58" w:rsidRPr="00DD03D6">
        <w:rPr>
          <w:noProof/>
          <w:lang w:val="fr-FR"/>
        </w:rPr>
        <w:t xml:space="preserve">2009 </w:t>
      </w:r>
      <w:r w:rsidR="00DF367E">
        <w:rPr>
          <w:noProof/>
          <w:lang w:val="fr-FR"/>
        </w:rPr>
        <w:t xml:space="preserve">dans le rapport intitulé </w:t>
      </w:r>
      <w:r w:rsidR="00DF367E">
        <w:rPr>
          <w:i/>
          <w:noProof/>
          <w:lang w:val="fr-FR"/>
        </w:rPr>
        <w:t xml:space="preserve">Concevoir des solutions locales efficaces à la délinquance juvénile – Diagnostic des projets de déjudiciarisation mis en place par la Garda à l’intention des jeunes </w:t>
      </w:r>
      <w:r w:rsidR="00DF367E">
        <w:rPr>
          <w:noProof/>
          <w:lang w:val="fr-FR"/>
        </w:rPr>
        <w:t>(</w:t>
      </w:r>
      <w:r w:rsidR="001B2F58" w:rsidRPr="00DD03D6">
        <w:rPr>
          <w:i/>
          <w:iCs/>
          <w:noProof/>
          <w:lang w:val="fr-FR"/>
        </w:rPr>
        <w:t>Designing effective local responses to youth crime – A baseline analysis of the Garda Youth Diversion Projects</w:t>
      </w:r>
      <w:r w:rsidR="00DF367E">
        <w:rPr>
          <w:noProof/>
          <w:lang w:val="fr-FR"/>
        </w:rPr>
        <w:t>). On a commencé à donner effet aux recomma</w:t>
      </w:r>
      <w:r w:rsidR="001B2F58" w:rsidRPr="00DD03D6">
        <w:rPr>
          <w:noProof/>
          <w:lang w:val="fr-FR"/>
        </w:rPr>
        <w:t xml:space="preserve">ndations </w:t>
      </w:r>
      <w:r w:rsidR="00DF367E">
        <w:rPr>
          <w:noProof/>
          <w:lang w:val="fr-FR"/>
        </w:rPr>
        <w:t>de ce rapport</w:t>
      </w:r>
      <w:r w:rsidR="004D070D">
        <w:rPr>
          <w:noProof/>
          <w:lang w:val="fr-FR"/>
        </w:rPr>
        <w:t xml:space="preserve"> : </w:t>
      </w:r>
      <w:r w:rsidR="001B2F58" w:rsidRPr="00DD03D6">
        <w:rPr>
          <w:noProof/>
          <w:lang w:val="fr-FR"/>
        </w:rPr>
        <w:t xml:space="preserve">14 sites </w:t>
      </w:r>
      <w:r w:rsidR="004D070D">
        <w:rPr>
          <w:noProof/>
          <w:lang w:val="fr-FR"/>
        </w:rPr>
        <w:t>de démonstration ont élaboré une approche consistant à appliquer les pratiques de référence</w:t>
      </w:r>
      <w:r w:rsidR="001B2F58" w:rsidRPr="00DD03D6">
        <w:rPr>
          <w:noProof/>
          <w:lang w:val="fr-FR"/>
        </w:rPr>
        <w:t xml:space="preserve">. </w:t>
      </w:r>
      <w:r w:rsidR="004D070D">
        <w:rPr>
          <w:noProof/>
          <w:lang w:val="fr-FR"/>
        </w:rPr>
        <w:t xml:space="preserve">Les 100 projets de déjudiciarisation ont été financés à hauteur d’un peu plus de </w:t>
      </w:r>
      <w:r w:rsidR="001B2F58" w:rsidRPr="00DD03D6">
        <w:rPr>
          <w:noProof/>
          <w:lang w:val="fr-FR"/>
        </w:rPr>
        <w:t>11 million</w:t>
      </w:r>
      <w:r w:rsidR="004D070D">
        <w:rPr>
          <w:noProof/>
          <w:lang w:val="fr-FR"/>
        </w:rPr>
        <w:t>s d’euros e</w:t>
      </w:r>
      <w:r w:rsidR="001B2F58" w:rsidRPr="00DD03D6">
        <w:rPr>
          <w:noProof/>
          <w:lang w:val="fr-FR"/>
        </w:rPr>
        <w:t>n 2011.</w:t>
      </w:r>
    </w:p>
    <w:p w:rsidR="001B2F58" w:rsidRPr="00DD03D6" w:rsidRDefault="002D17EA" w:rsidP="004454EF">
      <w:pPr>
        <w:pStyle w:val="SingleTxtG"/>
        <w:numPr>
          <w:ilvl w:val="0"/>
          <w:numId w:val="3"/>
        </w:numPr>
        <w:ind w:left="1134" w:firstLine="0"/>
        <w:rPr>
          <w:noProof/>
          <w:lang w:val="fr-FR"/>
        </w:rPr>
      </w:pPr>
      <w:r>
        <w:rPr>
          <w:noProof/>
          <w:lang w:val="fr-FR"/>
        </w:rPr>
        <w:t xml:space="preserve">Le Service de la justice pour mineurs a récemment finalisé, en collaboration avec la </w:t>
      </w:r>
      <w:r w:rsidR="001B2F58" w:rsidRPr="00DD03D6">
        <w:rPr>
          <w:noProof/>
          <w:lang w:val="fr-FR"/>
        </w:rPr>
        <w:t xml:space="preserve">Garda Síochána </w:t>
      </w:r>
      <w:r>
        <w:rPr>
          <w:noProof/>
          <w:lang w:val="fr-FR"/>
        </w:rPr>
        <w:t>et des</w:t>
      </w:r>
      <w:r w:rsidR="001B2F58" w:rsidRPr="00DD03D6">
        <w:rPr>
          <w:noProof/>
          <w:lang w:val="fr-FR"/>
        </w:rPr>
        <w:t xml:space="preserve"> organisations</w:t>
      </w:r>
      <w:r>
        <w:rPr>
          <w:noProof/>
          <w:lang w:val="fr-FR"/>
        </w:rPr>
        <w:t xml:space="preserve"> locales</w:t>
      </w:r>
      <w:r w:rsidR="001B2F58" w:rsidRPr="00DD03D6">
        <w:rPr>
          <w:noProof/>
          <w:lang w:val="fr-FR"/>
        </w:rPr>
        <w:t xml:space="preserve">, </w:t>
      </w:r>
      <w:r>
        <w:rPr>
          <w:noProof/>
          <w:lang w:val="fr-FR"/>
        </w:rPr>
        <w:t xml:space="preserve">une nouvelle </w:t>
      </w:r>
      <w:r w:rsidR="001B2F58" w:rsidRPr="00DD03D6">
        <w:rPr>
          <w:noProof/>
          <w:lang w:val="fr-FR"/>
        </w:rPr>
        <w:t>go</w:t>
      </w:r>
      <w:r w:rsidR="0037528E">
        <w:rPr>
          <w:noProof/>
          <w:lang w:val="fr-FR"/>
        </w:rPr>
        <w:t>u</w:t>
      </w:r>
      <w:r w:rsidR="001B2F58" w:rsidRPr="00DD03D6">
        <w:rPr>
          <w:noProof/>
          <w:lang w:val="fr-FR"/>
        </w:rPr>
        <w:t xml:space="preserve">vernance </w:t>
      </w:r>
      <w:r w:rsidR="0037528E">
        <w:rPr>
          <w:noProof/>
          <w:lang w:val="fr-FR"/>
        </w:rPr>
        <w:t>pour les projets de déjudiciarisation destinée à en améliorer l’efficaci</w:t>
      </w:r>
      <w:r w:rsidR="00CA6D5E">
        <w:rPr>
          <w:noProof/>
          <w:lang w:val="fr-FR"/>
        </w:rPr>
        <w:t>t</w:t>
      </w:r>
      <w:r w:rsidR="0037528E">
        <w:rPr>
          <w:noProof/>
          <w:lang w:val="fr-FR"/>
        </w:rPr>
        <w:t>é</w:t>
      </w:r>
      <w:r w:rsidR="001B2F58" w:rsidRPr="00DD03D6">
        <w:rPr>
          <w:noProof/>
          <w:lang w:val="fr-FR"/>
        </w:rPr>
        <w:t xml:space="preserve">. </w:t>
      </w:r>
      <w:r w:rsidR="0059478A">
        <w:rPr>
          <w:noProof/>
          <w:lang w:val="fr-FR"/>
        </w:rPr>
        <w:t xml:space="preserve">Il a par ailleurs obtenu du </w:t>
      </w:r>
      <w:r w:rsidR="001B2F58" w:rsidRPr="00DD03D6">
        <w:rPr>
          <w:noProof/>
          <w:lang w:val="fr-FR"/>
        </w:rPr>
        <w:t>F</w:t>
      </w:r>
      <w:r w:rsidR="00985259">
        <w:rPr>
          <w:noProof/>
          <w:lang w:val="fr-FR"/>
        </w:rPr>
        <w:t>SE</w:t>
      </w:r>
      <w:r w:rsidR="001B2F58" w:rsidRPr="00DD03D6">
        <w:rPr>
          <w:noProof/>
          <w:lang w:val="fr-FR"/>
        </w:rPr>
        <w:t xml:space="preserve"> </w:t>
      </w:r>
      <w:r w:rsidR="0059478A">
        <w:rPr>
          <w:noProof/>
          <w:lang w:val="fr-FR"/>
        </w:rPr>
        <w:t>une participation au financement d’un Programme d’investissement dans le capital humain qui se propose spécifiquement de renf</w:t>
      </w:r>
      <w:r w:rsidR="00985259">
        <w:rPr>
          <w:noProof/>
          <w:lang w:val="fr-FR"/>
        </w:rPr>
        <w:t>or</w:t>
      </w:r>
      <w:r w:rsidR="0059478A">
        <w:rPr>
          <w:noProof/>
          <w:lang w:val="fr-FR"/>
        </w:rPr>
        <w:t xml:space="preserve">cer la capacité des </w:t>
      </w:r>
      <w:r w:rsidR="001B2F58" w:rsidRPr="00DD03D6">
        <w:rPr>
          <w:noProof/>
          <w:lang w:val="fr-FR"/>
        </w:rPr>
        <w:t xml:space="preserve">participants </w:t>
      </w:r>
      <w:r w:rsidR="00985259">
        <w:rPr>
          <w:noProof/>
          <w:lang w:val="fr-FR"/>
        </w:rPr>
        <w:t>de</w:t>
      </w:r>
      <w:r w:rsidR="0059478A">
        <w:rPr>
          <w:noProof/>
          <w:lang w:val="fr-FR"/>
        </w:rPr>
        <w:t xml:space="preserve"> trouver un emploi</w:t>
      </w:r>
      <w:r w:rsidR="001B2F58" w:rsidRPr="00DD03D6">
        <w:rPr>
          <w:noProof/>
          <w:lang w:val="fr-FR"/>
        </w:rPr>
        <w:t xml:space="preserve">. </w:t>
      </w:r>
      <w:r w:rsidR="00985259">
        <w:rPr>
          <w:noProof/>
          <w:lang w:val="fr-FR"/>
        </w:rPr>
        <w:t xml:space="preserve">Les remboursements FSE se sont élevés à </w:t>
      </w:r>
      <w:r w:rsidR="001B2F58" w:rsidRPr="00DD03D6">
        <w:rPr>
          <w:noProof/>
          <w:lang w:val="fr-FR"/>
        </w:rPr>
        <w:t>2</w:t>
      </w:r>
      <w:r w:rsidR="00985259">
        <w:rPr>
          <w:noProof/>
          <w:lang w:val="fr-FR"/>
        </w:rPr>
        <w:t>,</w:t>
      </w:r>
      <w:r w:rsidR="001B2F58" w:rsidRPr="00DD03D6">
        <w:rPr>
          <w:noProof/>
          <w:lang w:val="fr-FR"/>
        </w:rPr>
        <w:t>008 million</w:t>
      </w:r>
      <w:r w:rsidR="00985259">
        <w:rPr>
          <w:noProof/>
          <w:lang w:val="fr-FR"/>
        </w:rPr>
        <w:t xml:space="preserve">s d’euros en 2010 et à </w:t>
      </w:r>
      <w:r w:rsidR="001B2F58" w:rsidRPr="00DD03D6">
        <w:rPr>
          <w:noProof/>
          <w:lang w:val="fr-FR"/>
        </w:rPr>
        <w:t>1</w:t>
      </w:r>
      <w:r w:rsidR="00985259">
        <w:rPr>
          <w:noProof/>
          <w:lang w:val="fr-FR"/>
        </w:rPr>
        <w:t>,</w:t>
      </w:r>
      <w:r w:rsidR="001B2F58" w:rsidRPr="00DD03D6">
        <w:rPr>
          <w:noProof/>
          <w:lang w:val="fr-FR"/>
        </w:rPr>
        <w:t xml:space="preserve">463 million </w:t>
      </w:r>
      <w:r w:rsidR="00985259">
        <w:rPr>
          <w:noProof/>
          <w:lang w:val="fr-FR"/>
        </w:rPr>
        <w:t>e</w:t>
      </w:r>
      <w:r w:rsidR="001B2F58" w:rsidRPr="00DD03D6">
        <w:rPr>
          <w:noProof/>
          <w:lang w:val="fr-FR"/>
        </w:rPr>
        <w:t>n 2011.</w:t>
      </w:r>
    </w:p>
    <w:p w:rsidR="001B2F58" w:rsidRPr="00DD03D6" w:rsidRDefault="004750A6" w:rsidP="002C58C8">
      <w:pPr>
        <w:pStyle w:val="SingleTxtG"/>
        <w:numPr>
          <w:ilvl w:val="0"/>
          <w:numId w:val="3"/>
        </w:numPr>
        <w:ind w:left="1134" w:firstLine="0"/>
        <w:rPr>
          <w:noProof/>
          <w:lang w:val="fr-FR"/>
        </w:rPr>
      </w:pPr>
      <w:r>
        <w:rPr>
          <w:noProof/>
          <w:lang w:val="fr-FR"/>
        </w:rPr>
        <w:t>Le Service de probation des mineurs</w:t>
      </w:r>
      <w:r w:rsidR="001B2F58" w:rsidRPr="00DD03D6">
        <w:rPr>
          <w:noProof/>
          <w:lang w:val="fr-FR"/>
        </w:rPr>
        <w:t xml:space="preserve"> (YPP) </w:t>
      </w:r>
      <w:r>
        <w:rPr>
          <w:noProof/>
          <w:lang w:val="fr-FR"/>
        </w:rPr>
        <w:t xml:space="preserve">est une division </w:t>
      </w:r>
      <w:r w:rsidR="001B2F58" w:rsidRPr="00DD03D6">
        <w:rPr>
          <w:noProof/>
          <w:lang w:val="fr-FR"/>
        </w:rPr>
        <w:t>sp</w:t>
      </w:r>
      <w:r>
        <w:rPr>
          <w:noProof/>
          <w:lang w:val="fr-FR"/>
        </w:rPr>
        <w:t>é</w:t>
      </w:r>
      <w:r w:rsidR="001B2F58" w:rsidRPr="00DD03D6">
        <w:rPr>
          <w:noProof/>
          <w:lang w:val="fr-FR"/>
        </w:rPr>
        <w:t>cialis</w:t>
      </w:r>
      <w:r>
        <w:rPr>
          <w:noProof/>
          <w:lang w:val="fr-FR"/>
        </w:rPr>
        <w:t>ée du Service de p</w:t>
      </w:r>
      <w:r w:rsidR="001B2F58" w:rsidRPr="00DD03D6">
        <w:rPr>
          <w:noProof/>
          <w:lang w:val="fr-FR"/>
        </w:rPr>
        <w:t xml:space="preserve">robation </w:t>
      </w:r>
      <w:r w:rsidR="00FD3A57">
        <w:rPr>
          <w:noProof/>
          <w:lang w:val="fr-FR"/>
        </w:rPr>
        <w:t>dotée de ressources spécifiques pour travailler avec les enfants âgés de 12 à 18 ans qui comparaissent devant les tribunaux</w:t>
      </w:r>
      <w:r w:rsidR="001B2F58" w:rsidRPr="00DD03D6">
        <w:rPr>
          <w:noProof/>
          <w:lang w:val="fr-FR"/>
        </w:rPr>
        <w:t xml:space="preserve">. </w:t>
      </w:r>
      <w:r w:rsidR="00FD3A57">
        <w:rPr>
          <w:noProof/>
          <w:lang w:val="fr-FR"/>
        </w:rPr>
        <w:t>Le Service de probation des mineurs</w:t>
      </w:r>
      <w:r w:rsidR="001B2F58" w:rsidRPr="00DD03D6">
        <w:rPr>
          <w:noProof/>
          <w:lang w:val="fr-FR"/>
        </w:rPr>
        <w:t xml:space="preserve"> </w:t>
      </w:r>
      <w:r w:rsidR="00DA2BB4">
        <w:rPr>
          <w:noProof/>
          <w:lang w:val="fr-FR"/>
        </w:rPr>
        <w:t xml:space="preserve">met en œuvre </w:t>
      </w:r>
      <w:r w:rsidR="00DA2BB4" w:rsidRPr="00FA02D4">
        <w:rPr>
          <w:lang w:val="fr-CH"/>
        </w:rPr>
        <w:t xml:space="preserve">une approche </w:t>
      </w:r>
      <w:r w:rsidR="00DA2BB4">
        <w:rPr>
          <w:lang w:val="fr-CH"/>
        </w:rPr>
        <w:t xml:space="preserve">de la délinquance juvénile </w:t>
      </w:r>
      <w:r w:rsidR="00DA2BB4" w:rsidRPr="00FA02D4">
        <w:rPr>
          <w:lang w:val="fr-CH"/>
        </w:rPr>
        <w:t xml:space="preserve">impliquant plusieurs services </w:t>
      </w:r>
      <w:r w:rsidR="00C13363">
        <w:rPr>
          <w:lang w:val="fr-CH"/>
        </w:rPr>
        <w:t>et collabore avec un certain nombre</w:t>
      </w:r>
      <w:r w:rsidR="001B2F58" w:rsidRPr="00DD03D6">
        <w:rPr>
          <w:noProof/>
          <w:lang w:val="fr-FR"/>
        </w:rPr>
        <w:t xml:space="preserve"> </w:t>
      </w:r>
      <w:r w:rsidR="00C13363">
        <w:rPr>
          <w:noProof/>
          <w:lang w:val="fr-FR"/>
        </w:rPr>
        <w:t xml:space="preserve">d’organisations locales en vue de fournir des services et des </w:t>
      </w:r>
      <w:r w:rsidR="001B2F58" w:rsidRPr="00DD03D6">
        <w:rPr>
          <w:noProof/>
          <w:lang w:val="fr-FR"/>
        </w:rPr>
        <w:t xml:space="preserve">interventions </w:t>
      </w:r>
      <w:r w:rsidR="00C13363">
        <w:rPr>
          <w:noProof/>
          <w:lang w:val="fr-FR"/>
        </w:rPr>
        <w:t>aux jeunes délinquants et à leur famille</w:t>
      </w:r>
      <w:r w:rsidR="001B2F58" w:rsidRPr="00DD03D6">
        <w:rPr>
          <w:noProof/>
          <w:lang w:val="fr-FR"/>
        </w:rPr>
        <w:t xml:space="preserve">. </w:t>
      </w:r>
      <w:r w:rsidR="00D66325">
        <w:rPr>
          <w:noProof/>
          <w:lang w:val="fr-FR"/>
        </w:rPr>
        <w:t xml:space="preserve">Le </w:t>
      </w:r>
      <w:r w:rsidR="005F55F9">
        <w:rPr>
          <w:noProof/>
          <w:lang w:val="fr-FR"/>
        </w:rPr>
        <w:t>Service national irlandais de formation</w:t>
      </w:r>
      <w:r w:rsidR="00D66325">
        <w:rPr>
          <w:noProof/>
          <w:lang w:val="fr-FR"/>
        </w:rPr>
        <w:t xml:space="preserve"> et les c</w:t>
      </w:r>
      <w:r w:rsidR="005F55F9">
        <w:rPr>
          <w:noProof/>
          <w:lang w:val="fr-FR"/>
        </w:rPr>
        <w:t>omité</w:t>
      </w:r>
      <w:r w:rsidR="00D66325">
        <w:rPr>
          <w:noProof/>
          <w:lang w:val="fr-FR"/>
        </w:rPr>
        <w:t>s</w:t>
      </w:r>
      <w:r w:rsidR="005F55F9">
        <w:rPr>
          <w:noProof/>
          <w:lang w:val="fr-FR"/>
        </w:rPr>
        <w:t xml:space="preserve"> pour l’enseignement professionnel</w:t>
      </w:r>
      <w:r w:rsidR="00D66325">
        <w:rPr>
          <w:noProof/>
          <w:lang w:val="fr-FR"/>
        </w:rPr>
        <w:t xml:space="preserve"> locaux travaillent de concert avec certains de ces projets pour proposer une formation et une é</w:t>
      </w:r>
      <w:r w:rsidR="001B2F58" w:rsidRPr="00DD03D6">
        <w:rPr>
          <w:noProof/>
          <w:lang w:val="fr-FR"/>
        </w:rPr>
        <w:t xml:space="preserve">ducation. </w:t>
      </w:r>
      <w:r w:rsidR="00D66325">
        <w:rPr>
          <w:noProof/>
          <w:lang w:val="fr-FR"/>
        </w:rPr>
        <w:t>Des services de conseil et d’autres services d’appui sont également proposés</w:t>
      </w:r>
      <w:r w:rsidR="001B2F58" w:rsidRPr="00DD03D6">
        <w:rPr>
          <w:noProof/>
          <w:lang w:val="fr-FR"/>
        </w:rPr>
        <w:t xml:space="preserve">. </w:t>
      </w:r>
      <w:r w:rsidR="00D66325">
        <w:rPr>
          <w:noProof/>
          <w:lang w:val="fr-FR"/>
        </w:rPr>
        <w:t>Le Ministère de la j</w:t>
      </w:r>
      <w:r w:rsidR="001B2F58" w:rsidRPr="00DD03D6">
        <w:rPr>
          <w:noProof/>
          <w:lang w:val="fr-FR"/>
        </w:rPr>
        <w:t xml:space="preserve">ustice </w:t>
      </w:r>
      <w:r w:rsidR="00D66325">
        <w:rPr>
          <w:noProof/>
          <w:lang w:val="fr-FR"/>
        </w:rPr>
        <w:t>et de l’égalité finance l’activité des projets locaux du Service de probation des mineurs dans l’ensemble du pays</w:t>
      </w:r>
      <w:r w:rsidR="001B2F58" w:rsidRPr="00DD03D6">
        <w:rPr>
          <w:noProof/>
          <w:lang w:val="fr-FR"/>
        </w:rPr>
        <w:t xml:space="preserve">. </w:t>
      </w:r>
      <w:r w:rsidR="00D66325">
        <w:rPr>
          <w:noProof/>
          <w:lang w:val="fr-FR"/>
        </w:rPr>
        <w:t>En 2011, ces 19 proje</w:t>
      </w:r>
      <w:r w:rsidR="001B2F58" w:rsidRPr="00DD03D6">
        <w:rPr>
          <w:noProof/>
          <w:lang w:val="fr-FR"/>
        </w:rPr>
        <w:t xml:space="preserve">ts </w:t>
      </w:r>
      <w:r w:rsidR="00D66325">
        <w:rPr>
          <w:noProof/>
          <w:lang w:val="fr-FR"/>
        </w:rPr>
        <w:t>ont été financés à hauteur d’un peu moins de 5 millions d’euros</w:t>
      </w:r>
      <w:r w:rsidR="001B2F58" w:rsidRPr="00DD03D6">
        <w:rPr>
          <w:noProof/>
          <w:lang w:val="fr-FR"/>
        </w:rPr>
        <w:t>.</w:t>
      </w:r>
    </w:p>
    <w:p w:rsidR="001B2F58" w:rsidRPr="00DD03D6" w:rsidRDefault="00D66325" w:rsidP="002C58C8">
      <w:pPr>
        <w:pStyle w:val="SingleTxtG"/>
        <w:numPr>
          <w:ilvl w:val="0"/>
          <w:numId w:val="3"/>
        </w:numPr>
        <w:ind w:left="1134" w:firstLine="0"/>
        <w:rPr>
          <w:noProof/>
          <w:lang w:val="fr-FR"/>
        </w:rPr>
      </w:pPr>
      <w:r w:rsidRPr="00FA02D4">
        <w:rPr>
          <w:lang w:val="fr-CH"/>
        </w:rPr>
        <w:t xml:space="preserve">Les sanctions compensatoires prévues par la loi de 2001 </w:t>
      </w:r>
      <w:r>
        <w:rPr>
          <w:lang w:val="fr-CH"/>
        </w:rPr>
        <w:t>sur les enfants telle que modifi</w:t>
      </w:r>
      <w:r w:rsidRPr="00FA02D4">
        <w:rPr>
          <w:lang w:val="fr-CH"/>
        </w:rPr>
        <w:t>ée ont été instaurées le 1</w:t>
      </w:r>
      <w:r w:rsidRPr="00FA02D4">
        <w:rPr>
          <w:vertAlign w:val="superscript"/>
          <w:lang w:val="fr-CH"/>
        </w:rPr>
        <w:t>er</w:t>
      </w:r>
      <w:r w:rsidRPr="00FA02D4">
        <w:rPr>
          <w:lang w:val="fr-CH"/>
        </w:rPr>
        <w:t xml:space="preserve"> mars 2007. Elles </w:t>
      </w:r>
      <w:r>
        <w:rPr>
          <w:lang w:val="fr-CH"/>
        </w:rPr>
        <w:t xml:space="preserve">sont pour l’essentiel supervisées et gérées par </w:t>
      </w:r>
      <w:r w:rsidR="006759C5">
        <w:rPr>
          <w:lang w:val="fr-CH"/>
        </w:rPr>
        <w:t>l</w:t>
      </w:r>
      <w:r w:rsidR="006759C5">
        <w:rPr>
          <w:noProof/>
          <w:lang w:val="fr-FR"/>
        </w:rPr>
        <w:t>e Service de probation des mineurs</w:t>
      </w:r>
      <w:r w:rsidR="006759C5" w:rsidRPr="00DD03D6">
        <w:rPr>
          <w:noProof/>
          <w:lang w:val="fr-FR"/>
        </w:rPr>
        <w:t xml:space="preserve"> </w:t>
      </w:r>
      <w:r w:rsidR="006759C5">
        <w:rPr>
          <w:noProof/>
          <w:lang w:val="fr-FR"/>
        </w:rPr>
        <w:t xml:space="preserve">et </w:t>
      </w:r>
      <w:r w:rsidRPr="00FA02D4">
        <w:rPr>
          <w:lang w:val="fr-CH"/>
        </w:rPr>
        <w:t xml:space="preserve">constituent pour les tribunaux des solutions de substitution à l’incarcération des jeunes délinquants. </w:t>
      </w:r>
      <w:r w:rsidR="006759C5">
        <w:rPr>
          <w:lang w:val="fr-CH"/>
        </w:rPr>
        <w:t>Elles visent à réduire le nombre d’enfants condamnés par les tribunaux à un</w:t>
      </w:r>
      <w:r w:rsidR="001A5CA0">
        <w:rPr>
          <w:lang w:val="fr-CH"/>
        </w:rPr>
        <w:t>e</w:t>
      </w:r>
      <w:r w:rsidR="006759C5">
        <w:rPr>
          <w:lang w:val="fr-CH"/>
        </w:rPr>
        <w:t xml:space="preserve"> peine d’emprisonnement. </w:t>
      </w:r>
      <w:r w:rsidRPr="00FA02D4">
        <w:rPr>
          <w:lang w:val="fr-CH"/>
        </w:rPr>
        <w:t xml:space="preserve">Ces sanctions prennent diverses formes, comme l’ordonnance de suivi par un tuteur ou l’ordonnance d’appui à la famille, qui vise à aider, conseiller et appuyer l’enfant et sa famille. La loi de 2001 </w:t>
      </w:r>
      <w:r w:rsidR="001A5CA0">
        <w:rPr>
          <w:lang w:val="fr-CH"/>
        </w:rPr>
        <w:t>sur les</w:t>
      </w:r>
      <w:r w:rsidRPr="00FA02D4">
        <w:rPr>
          <w:lang w:val="fr-CH"/>
        </w:rPr>
        <w:t xml:space="preserve"> enfants prévoit également que les parents participent à diverses étapes de l’exécution de la sanction compensatoire, dans le cadre de conférences familiales ou consacrées à la justice réparatrice, ou encore de contrats de bonne conduite</w:t>
      </w:r>
      <w:r w:rsidR="001B2F58" w:rsidRPr="00DD03D6">
        <w:rPr>
          <w:noProof/>
          <w:lang w:val="fr-FR"/>
        </w:rPr>
        <w:t xml:space="preserve">. </w:t>
      </w:r>
      <w:r w:rsidR="001A5CA0" w:rsidRPr="00FA02D4">
        <w:rPr>
          <w:lang w:val="fr-CH"/>
        </w:rPr>
        <w:t>Les 10 sanctions compensatoires à la disposition des tribunaux sont les suivantes</w:t>
      </w:r>
      <w:r w:rsidR="00547E30">
        <w:rPr>
          <w:lang w:val="fr-CH"/>
        </w:rPr>
        <w:t> </w:t>
      </w:r>
      <w:r w:rsidR="001A5CA0" w:rsidRPr="00FA02D4">
        <w:rPr>
          <w:lang w:val="fr-CH"/>
        </w:rPr>
        <w:t>:</w:t>
      </w:r>
      <w:r w:rsidR="00D07800">
        <w:rPr>
          <w:lang w:val="fr-CH"/>
        </w:rPr>
        <w:t xml:space="preserve"> o</w:t>
      </w:r>
      <w:r w:rsidR="00D07800" w:rsidRPr="00FA02D4">
        <w:rPr>
          <w:lang w:val="fr-CH"/>
        </w:rPr>
        <w:t>rdonnance de travaux compensatoires</w:t>
      </w:r>
      <w:r w:rsidR="001B2F58" w:rsidRPr="00DD03D6">
        <w:rPr>
          <w:noProof/>
          <w:lang w:val="fr-FR"/>
        </w:rPr>
        <w:t xml:space="preserve">, </w:t>
      </w:r>
      <w:r w:rsidR="00D07800" w:rsidRPr="00D07800">
        <w:rPr>
          <w:noProof/>
          <w:lang w:val="fr-FR"/>
        </w:rPr>
        <w:t>obligation de se</w:t>
      </w:r>
      <w:r w:rsidR="00D07800" w:rsidRPr="00FA02D4">
        <w:rPr>
          <w:lang w:val="fr-CH"/>
        </w:rPr>
        <w:t xml:space="preserve"> rendre dans un centre de jour</w:t>
      </w:r>
      <w:r w:rsidR="001B2F58" w:rsidRPr="00DD03D6">
        <w:rPr>
          <w:noProof/>
          <w:lang w:val="fr-FR"/>
        </w:rPr>
        <w:t xml:space="preserve">, </w:t>
      </w:r>
      <w:r w:rsidR="00D07800">
        <w:rPr>
          <w:lang w:val="fr-CH"/>
        </w:rPr>
        <w:t>o</w:t>
      </w:r>
      <w:r w:rsidR="00D07800" w:rsidRPr="00FA02D4">
        <w:rPr>
          <w:lang w:val="fr-CH"/>
        </w:rPr>
        <w:t>rdonnance de probation</w:t>
      </w:r>
      <w:r w:rsidR="001B2F58" w:rsidRPr="00DD03D6">
        <w:rPr>
          <w:noProof/>
          <w:lang w:val="fr-FR"/>
        </w:rPr>
        <w:t xml:space="preserve">, </w:t>
      </w:r>
      <w:r w:rsidR="00D07800">
        <w:rPr>
          <w:lang w:val="fr-CH"/>
        </w:rPr>
        <w:t>o</w:t>
      </w:r>
      <w:r w:rsidR="00D07800" w:rsidRPr="00FA02D4">
        <w:rPr>
          <w:lang w:val="fr-CH"/>
        </w:rPr>
        <w:t xml:space="preserve">rdonnance contraignant le jeune délinquant à suivre une </w:t>
      </w:r>
      <w:r w:rsidR="00D07800" w:rsidRPr="00FA02D4">
        <w:rPr>
          <w:lang w:val="fr-CH"/>
        </w:rPr>
        <w:lastRenderedPageBreak/>
        <w:t>formation ou à exécuter certaines activités</w:t>
      </w:r>
      <w:r w:rsidR="001B2F58" w:rsidRPr="00DD03D6">
        <w:rPr>
          <w:noProof/>
          <w:lang w:val="fr-FR"/>
        </w:rPr>
        <w:t xml:space="preserve">, </w:t>
      </w:r>
      <w:r w:rsidR="00D07800">
        <w:rPr>
          <w:lang w:val="fr-CH"/>
        </w:rPr>
        <w:t>o</w:t>
      </w:r>
      <w:r w:rsidR="00D07800" w:rsidRPr="00FA02D4">
        <w:rPr>
          <w:lang w:val="fr-CH"/>
        </w:rPr>
        <w:t>rdonnance de supervision intensive</w:t>
      </w:r>
      <w:r w:rsidR="001B2F58" w:rsidRPr="00DD03D6">
        <w:rPr>
          <w:noProof/>
          <w:lang w:val="fr-FR"/>
        </w:rPr>
        <w:t xml:space="preserve">, </w:t>
      </w:r>
      <w:r w:rsidR="00F715D3">
        <w:rPr>
          <w:lang w:val="fr-CH"/>
        </w:rPr>
        <w:t>o</w:t>
      </w:r>
      <w:r w:rsidR="00F715D3" w:rsidRPr="00FA02D4">
        <w:rPr>
          <w:lang w:val="fr-CH"/>
        </w:rPr>
        <w:t>rdonnance de supervision du jeune délinquant assigné à résidence</w:t>
      </w:r>
      <w:r w:rsidR="001B2F58" w:rsidRPr="00DD03D6">
        <w:rPr>
          <w:noProof/>
          <w:lang w:val="fr-FR"/>
        </w:rPr>
        <w:t xml:space="preserve">, </w:t>
      </w:r>
      <w:r w:rsidR="00F715D3">
        <w:rPr>
          <w:lang w:val="fr-CH"/>
        </w:rPr>
        <w:t>p</w:t>
      </w:r>
      <w:r w:rsidR="00F715D3" w:rsidRPr="00FA02D4">
        <w:rPr>
          <w:lang w:val="fr-CH"/>
        </w:rPr>
        <w:t xml:space="preserve">lacement du jeune délinquant sous la responsabilité d’une personne compétente (qui lui apporte </w:t>
      </w:r>
      <w:r w:rsidR="00F715D3">
        <w:rPr>
          <w:lang w:val="fr-CH"/>
        </w:rPr>
        <w:t xml:space="preserve">des </w:t>
      </w:r>
      <w:r w:rsidR="00F715D3" w:rsidRPr="00FA02D4">
        <w:rPr>
          <w:lang w:val="fr-CH"/>
        </w:rPr>
        <w:t>s</w:t>
      </w:r>
      <w:r w:rsidR="00F715D3">
        <w:rPr>
          <w:lang w:val="fr-CH"/>
        </w:rPr>
        <w:t>oins et assure une supervision)</w:t>
      </w:r>
      <w:r w:rsidR="001B2F58" w:rsidRPr="00DD03D6">
        <w:rPr>
          <w:noProof/>
          <w:lang w:val="fr-FR"/>
        </w:rPr>
        <w:t xml:space="preserve">, </w:t>
      </w:r>
      <w:r w:rsidR="00F715D3" w:rsidRPr="003F726B">
        <w:rPr>
          <w:noProof/>
          <w:lang w:val="fr-FR"/>
        </w:rPr>
        <w:t xml:space="preserve">ordonnance </w:t>
      </w:r>
      <w:r w:rsidR="00F715D3" w:rsidRPr="00FA02D4">
        <w:rPr>
          <w:lang w:val="fr-CH"/>
        </w:rPr>
        <w:t>de supervision par un tuteur qui apporte un soutien aux délinquants et à la famille</w:t>
      </w:r>
      <w:r w:rsidR="001B2F58" w:rsidRPr="00DD03D6">
        <w:rPr>
          <w:noProof/>
          <w:lang w:val="fr-FR"/>
        </w:rPr>
        <w:t xml:space="preserve">, </w:t>
      </w:r>
      <w:r w:rsidR="00D30C61">
        <w:rPr>
          <w:lang w:val="fr-CH"/>
        </w:rPr>
        <w:t>o</w:t>
      </w:r>
      <w:r w:rsidR="00D30C61" w:rsidRPr="00FA02D4">
        <w:rPr>
          <w:lang w:val="fr-CH"/>
        </w:rPr>
        <w:t>rdonnance de restriction de la liberté de mouvement</w:t>
      </w:r>
      <w:r w:rsidR="00D30C61" w:rsidRPr="00DD03D6">
        <w:rPr>
          <w:noProof/>
          <w:lang w:val="fr-FR"/>
        </w:rPr>
        <w:t xml:space="preserve"> </w:t>
      </w:r>
      <w:r w:rsidR="001B2F58" w:rsidRPr="00DD03D6">
        <w:rPr>
          <w:noProof/>
          <w:lang w:val="fr-FR"/>
        </w:rPr>
        <w:t>(</w:t>
      </w:r>
      <w:r w:rsidR="003F726B">
        <w:rPr>
          <w:noProof/>
          <w:lang w:val="fr-FR"/>
        </w:rPr>
        <w:t xml:space="preserve">gérée par la Garda Síochána) et </w:t>
      </w:r>
      <w:r w:rsidR="003F726B">
        <w:rPr>
          <w:lang w:val="fr-CH"/>
        </w:rPr>
        <w:t>o</w:t>
      </w:r>
      <w:r w:rsidR="003F726B" w:rsidRPr="00FA02D4">
        <w:rPr>
          <w:lang w:val="fr-CH"/>
        </w:rPr>
        <w:t>rdonnance combinant la restriction de la liberté de mouvement et une autre sanction</w:t>
      </w:r>
      <w:r w:rsidR="001B2F58" w:rsidRPr="00DD03D6">
        <w:rPr>
          <w:noProof/>
          <w:lang w:val="fr-FR"/>
        </w:rPr>
        <w:t>.</w:t>
      </w:r>
    </w:p>
    <w:p w:rsidR="001B2F58" w:rsidRPr="00DD03D6" w:rsidRDefault="003F726B" w:rsidP="002C58C8">
      <w:pPr>
        <w:pStyle w:val="SingleTxtG"/>
        <w:numPr>
          <w:ilvl w:val="0"/>
          <w:numId w:val="3"/>
        </w:numPr>
        <w:ind w:left="1134" w:firstLine="0"/>
        <w:rPr>
          <w:noProof/>
          <w:lang w:val="fr-FR"/>
        </w:rPr>
      </w:pPr>
      <w:r>
        <w:rPr>
          <w:noProof/>
          <w:lang w:val="fr-FR"/>
        </w:rPr>
        <w:t xml:space="preserve">Les garçons jusqu’à l’âge de </w:t>
      </w:r>
      <w:r w:rsidR="001B2F58" w:rsidRPr="00DD03D6">
        <w:rPr>
          <w:noProof/>
          <w:lang w:val="fr-FR"/>
        </w:rPr>
        <w:t xml:space="preserve">17 </w:t>
      </w:r>
      <w:r>
        <w:rPr>
          <w:noProof/>
          <w:lang w:val="fr-FR"/>
        </w:rPr>
        <w:t>ans et les filles jusqu’à l’âge de 18 ans sont actuellement pris en charge dans des établissements d’éducation surveillée</w:t>
      </w:r>
      <w:r w:rsidR="001B2F58" w:rsidRPr="00DD03D6">
        <w:rPr>
          <w:noProof/>
          <w:lang w:val="fr-FR"/>
        </w:rPr>
        <w:t xml:space="preserve">. </w:t>
      </w:r>
      <w:r w:rsidR="000475F3">
        <w:rPr>
          <w:noProof/>
          <w:lang w:val="fr-FR"/>
        </w:rPr>
        <w:t xml:space="preserve">Une disposition provisoire autorise le placement en détention de garçons âgés de 17 ans </w:t>
      </w:r>
      <w:r w:rsidR="00DC22C2">
        <w:rPr>
          <w:noProof/>
          <w:lang w:val="fr-FR"/>
        </w:rPr>
        <w:t>à</w:t>
      </w:r>
      <w:r w:rsidR="000475F3">
        <w:rPr>
          <w:noProof/>
          <w:lang w:val="fr-FR"/>
        </w:rPr>
        <w:t xml:space="preserve"> </w:t>
      </w:r>
      <w:r w:rsidR="000475F3" w:rsidRPr="00ED7ABF">
        <w:rPr>
          <w:color w:val="000000"/>
          <w:lang w:val="fr-FR"/>
        </w:rPr>
        <w:t>l’Institution Saint-Patrick</w:t>
      </w:r>
      <w:r w:rsidR="000475F3" w:rsidRPr="00DD03D6">
        <w:rPr>
          <w:noProof/>
          <w:lang w:val="fr-FR"/>
        </w:rPr>
        <w:t xml:space="preserve"> </w:t>
      </w:r>
      <w:r w:rsidR="000475F3">
        <w:rPr>
          <w:noProof/>
          <w:lang w:val="fr-FR"/>
        </w:rPr>
        <w:t>du fait du manque de moyens d’hébergement appropriés suffisants au sein du système d’établissements d’éducation surveillée</w:t>
      </w:r>
      <w:r w:rsidR="001B2F58" w:rsidRPr="00DD03D6">
        <w:rPr>
          <w:noProof/>
          <w:lang w:val="fr-FR"/>
        </w:rPr>
        <w:t xml:space="preserve">. </w:t>
      </w:r>
      <w:r w:rsidR="000475F3">
        <w:rPr>
          <w:noProof/>
          <w:lang w:val="fr-FR"/>
        </w:rPr>
        <w:t xml:space="preserve">À la fin de </w:t>
      </w:r>
      <w:r w:rsidR="001B2F58" w:rsidRPr="00DD03D6">
        <w:rPr>
          <w:noProof/>
          <w:lang w:val="fr-FR"/>
        </w:rPr>
        <w:t xml:space="preserve">2006, </w:t>
      </w:r>
      <w:r w:rsidR="000475F3">
        <w:rPr>
          <w:noProof/>
          <w:lang w:val="fr-FR"/>
        </w:rPr>
        <w:t>le pays comptait cinq établissements de ce type</w:t>
      </w:r>
      <w:r w:rsidR="001B2F58" w:rsidRPr="00DD03D6">
        <w:rPr>
          <w:noProof/>
          <w:lang w:val="fr-FR"/>
        </w:rPr>
        <w:t xml:space="preserve">. </w:t>
      </w:r>
      <w:r w:rsidR="000475F3">
        <w:rPr>
          <w:noProof/>
          <w:lang w:val="fr-FR"/>
        </w:rPr>
        <w:t xml:space="preserve">Il en reste actuellement trois, d’une capacité d’accueil globale de </w:t>
      </w:r>
      <w:r w:rsidR="001B2F58" w:rsidRPr="00DD03D6">
        <w:rPr>
          <w:noProof/>
          <w:lang w:val="fr-FR"/>
        </w:rPr>
        <w:t>52 p</w:t>
      </w:r>
      <w:r w:rsidR="000475F3">
        <w:rPr>
          <w:noProof/>
          <w:lang w:val="fr-FR"/>
        </w:rPr>
        <w:t xml:space="preserve">ersonnes </w:t>
      </w:r>
      <w:r w:rsidR="001B2F58" w:rsidRPr="00DD03D6">
        <w:rPr>
          <w:noProof/>
          <w:lang w:val="fr-FR"/>
        </w:rPr>
        <w:t xml:space="preserve">(44 </w:t>
      </w:r>
      <w:r w:rsidR="000475F3">
        <w:rPr>
          <w:noProof/>
          <w:lang w:val="fr-FR"/>
        </w:rPr>
        <w:t>garçons et huit filles</w:t>
      </w:r>
      <w:r w:rsidR="001B2F58" w:rsidRPr="00DD03D6">
        <w:rPr>
          <w:noProof/>
          <w:lang w:val="fr-FR"/>
        </w:rPr>
        <w:t xml:space="preserve">), </w:t>
      </w:r>
      <w:r w:rsidR="000475F3">
        <w:rPr>
          <w:noProof/>
          <w:lang w:val="fr-FR"/>
        </w:rPr>
        <w:t xml:space="preserve">qui sont tous les trois situés sur le même campus à </w:t>
      </w:r>
      <w:r w:rsidR="001B2F58" w:rsidRPr="00DD03D6">
        <w:rPr>
          <w:noProof/>
          <w:lang w:val="fr-FR"/>
        </w:rPr>
        <w:t xml:space="preserve">Oberstown, </w:t>
      </w:r>
      <w:r w:rsidR="000475F3">
        <w:rPr>
          <w:noProof/>
          <w:lang w:val="fr-FR"/>
        </w:rPr>
        <w:t xml:space="preserve">comté de </w:t>
      </w:r>
      <w:r w:rsidR="001B2F58" w:rsidRPr="00DD03D6">
        <w:rPr>
          <w:noProof/>
          <w:lang w:val="fr-FR"/>
        </w:rPr>
        <w:t>Dublin.</w:t>
      </w:r>
    </w:p>
    <w:p w:rsidR="001B2F58" w:rsidRPr="00DD03D6" w:rsidRDefault="000475F3" w:rsidP="002C58C8">
      <w:pPr>
        <w:pStyle w:val="SingleTxtG"/>
        <w:numPr>
          <w:ilvl w:val="0"/>
          <w:numId w:val="3"/>
        </w:numPr>
        <w:ind w:left="1134" w:firstLine="0"/>
        <w:rPr>
          <w:noProof/>
          <w:lang w:val="fr-FR"/>
        </w:rPr>
      </w:pPr>
      <w:r>
        <w:rPr>
          <w:noProof/>
          <w:lang w:val="fr-FR"/>
        </w:rPr>
        <w:t>E</w:t>
      </w:r>
      <w:r w:rsidR="001B2F58" w:rsidRPr="00DD03D6">
        <w:rPr>
          <w:noProof/>
          <w:lang w:val="fr-FR"/>
        </w:rPr>
        <w:t xml:space="preserve">n </w:t>
      </w:r>
      <w:r>
        <w:rPr>
          <w:noProof/>
          <w:lang w:val="fr-FR"/>
        </w:rPr>
        <w:t>av</w:t>
      </w:r>
      <w:r w:rsidR="001B2F58" w:rsidRPr="00DD03D6">
        <w:rPr>
          <w:noProof/>
          <w:lang w:val="fr-FR"/>
        </w:rPr>
        <w:t xml:space="preserve">ril 2012, </w:t>
      </w:r>
      <w:r w:rsidR="00DC22C2">
        <w:rPr>
          <w:noProof/>
          <w:lang w:val="fr-FR"/>
        </w:rPr>
        <w:t>la</w:t>
      </w:r>
      <w:r>
        <w:rPr>
          <w:noProof/>
          <w:lang w:val="fr-FR"/>
        </w:rPr>
        <w:t xml:space="preserve"> Ministre de l’enfance et de la jeunesse a annoncé </w:t>
      </w:r>
      <w:r w:rsidR="00330DA0" w:rsidRPr="00FA02D4">
        <w:rPr>
          <w:lang w:val="fr-CH"/>
        </w:rPr>
        <w:t>que des investissements sur trois ans avaient été approuvés</w:t>
      </w:r>
      <w:r w:rsidR="00330DA0">
        <w:rPr>
          <w:lang w:val="fr-CH"/>
        </w:rPr>
        <w:t xml:space="preserve"> </w:t>
      </w:r>
      <w:r w:rsidR="00330DA0" w:rsidRPr="00FA02D4">
        <w:rPr>
          <w:lang w:val="fr-CH"/>
        </w:rPr>
        <w:t xml:space="preserve">afin de mettre un terme à la détention de garçons </w:t>
      </w:r>
      <w:r w:rsidR="00330DA0">
        <w:rPr>
          <w:lang w:val="fr-CH"/>
        </w:rPr>
        <w:t>âgés de moins de 18</w:t>
      </w:r>
      <w:r w:rsidR="00330DA0" w:rsidRPr="00FA02D4">
        <w:rPr>
          <w:lang w:val="fr-CH"/>
        </w:rPr>
        <w:t xml:space="preserve"> ans à l’Institution S</w:t>
      </w:r>
      <w:r w:rsidR="00330DA0">
        <w:rPr>
          <w:lang w:val="fr-CH"/>
        </w:rPr>
        <w:t>ain</w:t>
      </w:r>
      <w:r w:rsidR="00330DA0" w:rsidRPr="00FA02D4">
        <w:rPr>
          <w:lang w:val="fr-CH"/>
        </w:rPr>
        <w:t>t</w:t>
      </w:r>
      <w:r w:rsidR="00330DA0">
        <w:rPr>
          <w:lang w:val="fr-CH"/>
        </w:rPr>
        <w:t>-</w:t>
      </w:r>
      <w:r w:rsidR="00330DA0" w:rsidRPr="00FA02D4">
        <w:rPr>
          <w:lang w:val="fr-CH"/>
        </w:rPr>
        <w:t xml:space="preserve">Patrick grâce à la construction de nouvelles installations sur le campus existant à </w:t>
      </w:r>
      <w:r w:rsidR="00330DA0" w:rsidRPr="00330DA0">
        <w:rPr>
          <w:noProof/>
          <w:lang w:val="fr-FR"/>
        </w:rPr>
        <w:t>Oberstown.</w:t>
      </w:r>
      <w:r w:rsidR="00330DA0" w:rsidRPr="00FA02D4">
        <w:rPr>
          <w:lang w:val="fr-CH"/>
        </w:rPr>
        <w:t xml:space="preserve"> Il est prévu que la construction de ces nouveaux locaux débute en mai 2013 et que le projet soit achevé en juillet 2015. </w:t>
      </w:r>
      <w:r w:rsidR="00330DA0">
        <w:rPr>
          <w:lang w:val="fr-CH"/>
        </w:rPr>
        <w:t xml:space="preserve">À </w:t>
      </w:r>
      <w:r w:rsidR="00330DA0" w:rsidRPr="00FA02D4">
        <w:rPr>
          <w:lang w:val="fr-CH"/>
        </w:rPr>
        <w:t xml:space="preserve">compter de </w:t>
      </w:r>
      <w:r w:rsidR="00330DA0">
        <w:rPr>
          <w:lang w:val="fr-CH"/>
        </w:rPr>
        <w:t>la mi-2014</w:t>
      </w:r>
      <w:r w:rsidR="00330DA0" w:rsidRPr="00FA02D4">
        <w:rPr>
          <w:lang w:val="fr-CH"/>
        </w:rPr>
        <w:t>, l</w:t>
      </w:r>
      <w:r w:rsidR="00330DA0">
        <w:rPr>
          <w:lang w:val="fr-CH"/>
        </w:rPr>
        <w:t xml:space="preserve">orsque les premières places de détention auront été fournies dans le cadre de ce projet, </w:t>
      </w:r>
      <w:r w:rsidR="00330DA0" w:rsidRPr="00FA02D4">
        <w:rPr>
          <w:lang w:val="fr-CH"/>
        </w:rPr>
        <w:t xml:space="preserve">tous les enfants de moins de 18 ans condamnés à la détention par les tribunaux seront envoyés dans les nouvelles installations de détention intégrées </w:t>
      </w:r>
      <w:r w:rsidR="00330DA0" w:rsidRPr="00330DA0">
        <w:rPr>
          <w:noProof/>
          <w:lang w:val="fr-FR"/>
        </w:rPr>
        <w:t>d’Oberstown</w:t>
      </w:r>
      <w:r w:rsidR="001B2F58" w:rsidRPr="00330DA0">
        <w:rPr>
          <w:noProof/>
          <w:lang w:val="fr-FR"/>
        </w:rPr>
        <w:t>.</w:t>
      </w:r>
      <w:r w:rsidR="001B2F58" w:rsidRPr="00DD03D6">
        <w:rPr>
          <w:noProof/>
          <w:lang w:val="fr-FR"/>
        </w:rPr>
        <w:t xml:space="preserve"> </w:t>
      </w:r>
    </w:p>
    <w:p w:rsidR="001B2F58" w:rsidRPr="00DD03D6" w:rsidRDefault="00330DA0" w:rsidP="002C58C8">
      <w:pPr>
        <w:pStyle w:val="SingleTxtG"/>
        <w:numPr>
          <w:ilvl w:val="0"/>
          <w:numId w:val="3"/>
        </w:numPr>
        <w:ind w:left="1134" w:firstLine="0"/>
        <w:rPr>
          <w:noProof/>
          <w:lang w:val="fr-FR"/>
        </w:rPr>
      </w:pPr>
      <w:r>
        <w:rPr>
          <w:noProof/>
          <w:lang w:val="fr-FR"/>
        </w:rPr>
        <w:t xml:space="preserve">À la date </w:t>
      </w:r>
      <w:r w:rsidR="00567BDA">
        <w:rPr>
          <w:noProof/>
          <w:lang w:val="fr-FR"/>
        </w:rPr>
        <w:t xml:space="preserve">du </w:t>
      </w:r>
      <w:r w:rsidR="001B2F58" w:rsidRPr="00DD03D6">
        <w:rPr>
          <w:noProof/>
          <w:lang w:val="fr-FR"/>
        </w:rPr>
        <w:t>1</w:t>
      </w:r>
      <w:r w:rsidR="00567BDA" w:rsidRPr="00567BDA">
        <w:rPr>
          <w:noProof/>
          <w:vertAlign w:val="superscript"/>
          <w:lang w:val="fr-FR"/>
        </w:rPr>
        <w:t>er</w:t>
      </w:r>
      <w:r w:rsidR="00567BDA">
        <w:rPr>
          <w:noProof/>
          <w:lang w:val="fr-FR"/>
        </w:rPr>
        <w:t xml:space="preserve"> mai</w:t>
      </w:r>
      <w:r w:rsidR="001B2F58" w:rsidRPr="00DD03D6">
        <w:rPr>
          <w:noProof/>
          <w:lang w:val="fr-FR"/>
        </w:rPr>
        <w:t xml:space="preserve"> 2012, </w:t>
      </w:r>
      <w:r w:rsidR="00567BDA">
        <w:rPr>
          <w:noProof/>
          <w:lang w:val="fr-FR"/>
        </w:rPr>
        <w:t>les garçons de 16 ans nouvellement placés en détention avant jugement ou condamnés étaient envoyés dans les établissements d’éducation surveillée d’</w:t>
      </w:r>
      <w:r w:rsidR="001B2F58" w:rsidRPr="00DD03D6">
        <w:rPr>
          <w:noProof/>
          <w:lang w:val="fr-FR"/>
        </w:rPr>
        <w:t xml:space="preserve">Oberstown. </w:t>
      </w:r>
      <w:r w:rsidR="00567BDA">
        <w:rPr>
          <w:noProof/>
          <w:lang w:val="fr-FR"/>
        </w:rPr>
        <w:t xml:space="preserve">Cela signifie que l’on a mis fin à la pratique consistant à les envoyer à </w:t>
      </w:r>
      <w:r w:rsidR="001B2F58" w:rsidRPr="00DD03D6">
        <w:rPr>
          <w:noProof/>
          <w:lang w:val="fr-FR"/>
        </w:rPr>
        <w:t>S</w:t>
      </w:r>
      <w:r w:rsidR="00567BDA">
        <w:rPr>
          <w:noProof/>
          <w:lang w:val="fr-FR"/>
        </w:rPr>
        <w:t>ain</w:t>
      </w:r>
      <w:r w:rsidR="001B2F58" w:rsidRPr="00DD03D6">
        <w:rPr>
          <w:noProof/>
          <w:lang w:val="fr-FR"/>
        </w:rPr>
        <w:t>t</w:t>
      </w:r>
      <w:r w:rsidR="00567BDA">
        <w:rPr>
          <w:noProof/>
          <w:lang w:val="fr-FR"/>
        </w:rPr>
        <w:t>-</w:t>
      </w:r>
      <w:r w:rsidR="001B2F58" w:rsidRPr="00DD03D6">
        <w:rPr>
          <w:noProof/>
          <w:lang w:val="fr-FR"/>
        </w:rPr>
        <w:t xml:space="preserve">Patrick. </w:t>
      </w:r>
      <w:r w:rsidR="00567BDA">
        <w:rPr>
          <w:noProof/>
          <w:lang w:val="fr-FR"/>
        </w:rPr>
        <w:t xml:space="preserve">À compter du </w:t>
      </w:r>
      <w:r w:rsidR="001B2F58" w:rsidRPr="00DD03D6">
        <w:rPr>
          <w:noProof/>
          <w:lang w:val="fr-FR"/>
        </w:rPr>
        <w:t>1</w:t>
      </w:r>
      <w:r w:rsidR="00567BDA" w:rsidRPr="00567BDA">
        <w:rPr>
          <w:noProof/>
          <w:vertAlign w:val="superscript"/>
          <w:lang w:val="fr-FR"/>
        </w:rPr>
        <w:t>er</w:t>
      </w:r>
      <w:r w:rsidR="00567BDA">
        <w:rPr>
          <w:noProof/>
          <w:lang w:val="fr-FR"/>
        </w:rPr>
        <w:t xml:space="preserve"> juillet </w:t>
      </w:r>
      <w:r w:rsidR="001B2F58" w:rsidRPr="00DD03D6">
        <w:rPr>
          <w:noProof/>
          <w:lang w:val="fr-FR"/>
        </w:rPr>
        <w:t xml:space="preserve">2012, </w:t>
      </w:r>
      <w:r w:rsidR="00567BDA">
        <w:rPr>
          <w:noProof/>
          <w:lang w:val="fr-FR"/>
        </w:rPr>
        <w:t xml:space="preserve">le mandat du Médiateur pour les enfants a été étendu aux garçons de moins de 18 ans détenus à </w:t>
      </w:r>
      <w:r w:rsidR="001B2F58" w:rsidRPr="00DD03D6">
        <w:rPr>
          <w:noProof/>
          <w:lang w:val="fr-FR"/>
        </w:rPr>
        <w:t>S</w:t>
      </w:r>
      <w:r w:rsidR="00567BDA">
        <w:rPr>
          <w:noProof/>
          <w:lang w:val="fr-FR"/>
        </w:rPr>
        <w:t>ain</w:t>
      </w:r>
      <w:r w:rsidR="001B2F58" w:rsidRPr="00DD03D6">
        <w:rPr>
          <w:noProof/>
          <w:lang w:val="fr-FR"/>
        </w:rPr>
        <w:t>t</w:t>
      </w:r>
      <w:r w:rsidR="00567BDA">
        <w:rPr>
          <w:noProof/>
          <w:lang w:val="fr-FR"/>
        </w:rPr>
        <w:t>-</w:t>
      </w:r>
      <w:r w:rsidR="001B2F58" w:rsidRPr="00DD03D6">
        <w:rPr>
          <w:noProof/>
          <w:lang w:val="fr-FR"/>
        </w:rPr>
        <w:t xml:space="preserve">Patrick. </w:t>
      </w:r>
      <w:r w:rsidR="00567BDA">
        <w:rPr>
          <w:noProof/>
          <w:lang w:val="fr-FR"/>
        </w:rPr>
        <w:t>Le Ministre de l’enfance et de la jeunesse a entrepris d’élaborer des propositions de modification de la loi de 2001 sur les enfants afin qu’elle prévoie la gestion intégrée de toutes les structures du campus d’</w:t>
      </w:r>
      <w:r w:rsidR="001B2F58" w:rsidRPr="00DD03D6">
        <w:rPr>
          <w:noProof/>
          <w:lang w:val="fr-FR"/>
        </w:rPr>
        <w:t>Oberstown.</w:t>
      </w:r>
    </w:p>
    <w:p w:rsidR="001B2F58" w:rsidRPr="00DD03D6" w:rsidRDefault="00340EFD" w:rsidP="007A1674">
      <w:pPr>
        <w:pStyle w:val="SingleTxtG"/>
        <w:numPr>
          <w:ilvl w:val="0"/>
          <w:numId w:val="3"/>
        </w:numPr>
        <w:ind w:left="1134" w:firstLine="0"/>
        <w:rPr>
          <w:noProof/>
          <w:lang w:val="fr-FR"/>
        </w:rPr>
      </w:pPr>
      <w:r>
        <w:rPr>
          <w:lang w:val="fr-CH"/>
        </w:rPr>
        <w:t>Le Service de la justice pour mineurs a élaboré u</w:t>
      </w:r>
      <w:r w:rsidRPr="00FA02D4">
        <w:rPr>
          <w:lang w:val="fr-CH"/>
        </w:rPr>
        <w:t>ne politique de protection pour promouvoir le bien-être des enfants, les protéger contre tout mauvais traitement et protéger le personnel contre d’éventuelles allégations de mauvais traitement</w:t>
      </w:r>
      <w:r w:rsidR="00AB698D">
        <w:rPr>
          <w:lang w:val="fr-CH"/>
        </w:rPr>
        <w:t>s</w:t>
      </w:r>
      <w:r w:rsidRPr="00FA02D4">
        <w:rPr>
          <w:lang w:val="fr-CH"/>
        </w:rPr>
        <w:t xml:space="preserve"> infondées. Cette politique a été mise en place à la suite de l’examen du document détaillant la politique de protection des enfants</w:t>
      </w:r>
      <w:r>
        <w:rPr>
          <w:lang w:val="fr-CH"/>
        </w:rPr>
        <w:t>, qui avait été conçu et utilisé</w:t>
      </w:r>
      <w:r w:rsidRPr="00FA02D4">
        <w:rPr>
          <w:lang w:val="fr-CH"/>
        </w:rPr>
        <w:t xml:space="preserve"> dans l’ensemble des établissements </w:t>
      </w:r>
      <w:r>
        <w:rPr>
          <w:lang w:val="fr-CH"/>
        </w:rPr>
        <w:t>d’éducation surveillée</w:t>
      </w:r>
      <w:r w:rsidR="001B2F58" w:rsidRPr="00DD03D6">
        <w:rPr>
          <w:noProof/>
          <w:lang w:val="fr-FR"/>
        </w:rPr>
        <w:t xml:space="preserve">. </w:t>
      </w:r>
      <w:r>
        <w:rPr>
          <w:noProof/>
          <w:lang w:val="fr-FR"/>
        </w:rPr>
        <w:t xml:space="preserve">Outre cette politique, le Service </w:t>
      </w:r>
      <w:r w:rsidRPr="00FA02D4">
        <w:rPr>
          <w:lang w:val="fr-CH"/>
        </w:rPr>
        <w:t>a recours à un conseiller en matière de bien-être des enfants, qui est spécialisé dans ce domaine et dans les questions de protection ainsi que dans les normes, inspections, et mécanismes de dépôt de plainte en détention</w:t>
      </w:r>
      <w:r w:rsidR="001B2F58" w:rsidRPr="00DD03D6">
        <w:rPr>
          <w:noProof/>
          <w:lang w:val="fr-FR"/>
        </w:rPr>
        <w:t xml:space="preserve">. </w:t>
      </w:r>
      <w:r>
        <w:rPr>
          <w:noProof/>
          <w:lang w:val="fr-FR"/>
        </w:rPr>
        <w:t>Par ailleurs, le Commissaire aux droits de l’homme du Conseil de l’Europe et le Comité pour la prévention de la torture du Conseil se sont rendus dans les centres de détention pour mineurs.</w:t>
      </w:r>
    </w:p>
    <w:p w:rsidR="001B2F58" w:rsidRPr="00DD03D6" w:rsidRDefault="009923BF" w:rsidP="007A1674">
      <w:pPr>
        <w:pStyle w:val="SingleTxtG"/>
        <w:numPr>
          <w:ilvl w:val="0"/>
          <w:numId w:val="3"/>
        </w:numPr>
        <w:ind w:left="1134" w:firstLine="0"/>
        <w:rPr>
          <w:noProof/>
          <w:lang w:val="fr-FR"/>
        </w:rPr>
      </w:pPr>
      <w:r>
        <w:rPr>
          <w:noProof/>
          <w:lang w:val="fr-FR"/>
        </w:rPr>
        <w:t xml:space="preserve">La Garda </w:t>
      </w:r>
      <w:r w:rsidR="00AB698D">
        <w:rPr>
          <w:noProof/>
          <w:lang w:val="fr-FR"/>
        </w:rPr>
        <w:t>vérifie les antécédents de</w:t>
      </w:r>
      <w:r>
        <w:rPr>
          <w:noProof/>
          <w:lang w:val="fr-FR"/>
        </w:rPr>
        <w:t xml:space="preserve"> tous les membres du personnel travaillant dans les établissements d’éducation surveillée avant qu’ils n’y soient nommés</w:t>
      </w:r>
      <w:r w:rsidR="001B2F58" w:rsidRPr="00DD03D6">
        <w:rPr>
          <w:noProof/>
          <w:lang w:val="fr-FR"/>
        </w:rPr>
        <w:t xml:space="preserve">. </w:t>
      </w:r>
      <w:r w:rsidR="00AF3137">
        <w:rPr>
          <w:noProof/>
          <w:lang w:val="fr-FR"/>
        </w:rPr>
        <w:t xml:space="preserve">Une nouvelle politique détaillée de vérification des antécédents a été élaborée </w:t>
      </w:r>
      <w:r w:rsidR="00855A3C">
        <w:rPr>
          <w:noProof/>
          <w:lang w:val="fr-FR"/>
        </w:rPr>
        <w:t>et est actuellement mise en application dans tous ces établissements</w:t>
      </w:r>
      <w:r w:rsidR="001B2F58" w:rsidRPr="00DD03D6">
        <w:rPr>
          <w:noProof/>
          <w:lang w:val="fr-FR"/>
        </w:rPr>
        <w:t>.</w:t>
      </w:r>
    </w:p>
    <w:p w:rsidR="001B2F58" w:rsidRPr="00DD03D6" w:rsidRDefault="00855A3C" w:rsidP="001B2F58">
      <w:pPr>
        <w:pStyle w:val="SingleTxtG"/>
        <w:numPr>
          <w:ilvl w:val="0"/>
          <w:numId w:val="3"/>
        </w:numPr>
        <w:ind w:left="1134" w:firstLine="0"/>
        <w:rPr>
          <w:noProof/>
          <w:lang w:val="fr-FR"/>
        </w:rPr>
      </w:pPr>
      <w:r>
        <w:rPr>
          <w:noProof/>
          <w:lang w:val="fr-FR"/>
        </w:rPr>
        <w:t xml:space="preserve">Toutes les filles de moins de </w:t>
      </w:r>
      <w:r w:rsidR="001B2F58" w:rsidRPr="00DD03D6">
        <w:rPr>
          <w:noProof/>
          <w:lang w:val="fr-FR"/>
        </w:rPr>
        <w:t xml:space="preserve">18 </w:t>
      </w:r>
      <w:r>
        <w:rPr>
          <w:noProof/>
          <w:lang w:val="fr-FR"/>
        </w:rPr>
        <w:t xml:space="preserve">ans </w:t>
      </w:r>
      <w:r w:rsidR="00354878">
        <w:rPr>
          <w:noProof/>
          <w:lang w:val="fr-FR"/>
        </w:rPr>
        <w:t>sont détenues dans l’un des établissements d’éducation surveillée</w:t>
      </w:r>
      <w:r w:rsidR="001B2F58" w:rsidRPr="00DD03D6">
        <w:rPr>
          <w:noProof/>
          <w:lang w:val="fr-FR"/>
        </w:rPr>
        <w:t xml:space="preserve">. </w:t>
      </w:r>
      <w:r w:rsidR="00354878">
        <w:rPr>
          <w:noProof/>
          <w:lang w:val="fr-FR"/>
        </w:rPr>
        <w:t xml:space="preserve">À l’heure actuelle, les garçons de </w:t>
      </w:r>
      <w:r w:rsidR="001B2F58" w:rsidRPr="00DD03D6">
        <w:rPr>
          <w:noProof/>
          <w:lang w:val="fr-FR"/>
        </w:rPr>
        <w:t xml:space="preserve">17 </w:t>
      </w:r>
      <w:r w:rsidR="00354878">
        <w:rPr>
          <w:noProof/>
          <w:lang w:val="fr-FR"/>
        </w:rPr>
        <w:t xml:space="preserve">ans sont détenus à l’Institution </w:t>
      </w:r>
      <w:r w:rsidR="001B2F58" w:rsidRPr="00DD03D6">
        <w:rPr>
          <w:noProof/>
          <w:lang w:val="fr-FR"/>
        </w:rPr>
        <w:t>S</w:t>
      </w:r>
      <w:r w:rsidR="00354878">
        <w:rPr>
          <w:noProof/>
          <w:lang w:val="fr-FR"/>
        </w:rPr>
        <w:t>ain</w:t>
      </w:r>
      <w:r w:rsidR="001B2F58" w:rsidRPr="00DD03D6">
        <w:rPr>
          <w:noProof/>
          <w:lang w:val="fr-FR"/>
        </w:rPr>
        <w:t>t</w:t>
      </w:r>
      <w:r w:rsidR="00354878">
        <w:rPr>
          <w:noProof/>
          <w:lang w:val="fr-FR"/>
        </w:rPr>
        <w:t>-</w:t>
      </w:r>
      <w:r w:rsidR="001B2F58" w:rsidRPr="00DD03D6">
        <w:rPr>
          <w:noProof/>
          <w:lang w:val="fr-FR"/>
        </w:rPr>
        <w:t xml:space="preserve">Patrick, </w:t>
      </w:r>
      <w:r w:rsidR="00354878">
        <w:rPr>
          <w:noProof/>
          <w:lang w:val="fr-FR"/>
        </w:rPr>
        <w:t xml:space="preserve">lieu de </w:t>
      </w:r>
      <w:r w:rsidR="001B2F58" w:rsidRPr="00DD03D6">
        <w:rPr>
          <w:noProof/>
          <w:lang w:val="fr-FR"/>
        </w:rPr>
        <w:t>d</w:t>
      </w:r>
      <w:r w:rsidR="00354878">
        <w:rPr>
          <w:noProof/>
          <w:lang w:val="fr-FR"/>
        </w:rPr>
        <w:t>é</w:t>
      </w:r>
      <w:r w:rsidR="001B2F58" w:rsidRPr="00DD03D6">
        <w:rPr>
          <w:noProof/>
          <w:lang w:val="fr-FR"/>
        </w:rPr>
        <w:t xml:space="preserve">tention </w:t>
      </w:r>
      <w:r w:rsidR="00354878">
        <w:rPr>
          <w:noProof/>
          <w:lang w:val="fr-FR"/>
        </w:rPr>
        <w:t xml:space="preserve">pour jeunes de 17 à 21 ans géré par le Service pénitentiaire </w:t>
      </w:r>
      <w:r w:rsidR="00354878">
        <w:rPr>
          <w:noProof/>
          <w:lang w:val="fr-FR"/>
        </w:rPr>
        <w:lastRenderedPageBreak/>
        <w:t>irlandais</w:t>
      </w:r>
      <w:r w:rsidR="001B2F58" w:rsidRPr="00DD03D6">
        <w:rPr>
          <w:noProof/>
          <w:lang w:val="fr-FR"/>
        </w:rPr>
        <w:t xml:space="preserve">. </w:t>
      </w:r>
      <w:r w:rsidR="00354878">
        <w:rPr>
          <w:noProof/>
          <w:lang w:val="fr-FR"/>
        </w:rPr>
        <w:t xml:space="preserve">Cette pratique prendra fin en </w:t>
      </w:r>
      <w:r w:rsidR="001B2F58" w:rsidRPr="00DD03D6">
        <w:rPr>
          <w:noProof/>
          <w:lang w:val="fr-FR"/>
        </w:rPr>
        <w:t xml:space="preserve">2014 </w:t>
      </w:r>
      <w:r w:rsidR="00354878">
        <w:rPr>
          <w:noProof/>
          <w:lang w:val="fr-FR"/>
        </w:rPr>
        <w:t>lorsque les nouvelles structures de détention situées sur le campus d’</w:t>
      </w:r>
      <w:r w:rsidR="001B2F58" w:rsidRPr="00DD03D6">
        <w:rPr>
          <w:noProof/>
          <w:lang w:val="fr-FR"/>
        </w:rPr>
        <w:t xml:space="preserve">Oberstown </w:t>
      </w:r>
      <w:r w:rsidR="00354878">
        <w:rPr>
          <w:noProof/>
          <w:lang w:val="fr-FR"/>
        </w:rPr>
        <w:t>seront prêtes</w:t>
      </w:r>
      <w:r w:rsidR="001B2F58" w:rsidRPr="00DD03D6">
        <w:rPr>
          <w:noProof/>
          <w:lang w:val="fr-FR"/>
        </w:rPr>
        <w:t xml:space="preserve">. </w:t>
      </w:r>
      <w:r w:rsidR="00354878">
        <w:rPr>
          <w:noProof/>
          <w:lang w:val="fr-FR"/>
        </w:rPr>
        <w:t xml:space="preserve">Dans </w:t>
      </w:r>
      <w:r w:rsidR="00E762D7">
        <w:rPr>
          <w:noProof/>
          <w:lang w:val="fr-FR"/>
        </w:rPr>
        <w:t>cette attente</w:t>
      </w:r>
      <w:r w:rsidR="00354878">
        <w:rPr>
          <w:noProof/>
          <w:lang w:val="fr-FR"/>
        </w:rPr>
        <w:t xml:space="preserve">, on a beaucoup fait pour améliorer les structures existantes et un personnel supplémentaire important a été recruté à </w:t>
      </w:r>
      <w:r w:rsidR="001B2F58" w:rsidRPr="00DD03D6">
        <w:rPr>
          <w:noProof/>
          <w:lang w:val="fr-FR"/>
        </w:rPr>
        <w:t>S</w:t>
      </w:r>
      <w:r w:rsidR="00354878">
        <w:rPr>
          <w:noProof/>
          <w:lang w:val="fr-FR"/>
        </w:rPr>
        <w:t>ain</w:t>
      </w:r>
      <w:r w:rsidR="001B2F58" w:rsidRPr="00DD03D6">
        <w:rPr>
          <w:noProof/>
          <w:lang w:val="fr-FR"/>
        </w:rPr>
        <w:t>t</w:t>
      </w:r>
      <w:r w:rsidR="00354878">
        <w:rPr>
          <w:noProof/>
          <w:lang w:val="fr-FR"/>
        </w:rPr>
        <w:t>-</w:t>
      </w:r>
      <w:r w:rsidR="001B2F58" w:rsidRPr="00DD03D6">
        <w:rPr>
          <w:noProof/>
          <w:lang w:val="fr-FR"/>
        </w:rPr>
        <w:t>Patrick</w:t>
      </w:r>
      <w:r w:rsidR="00354878">
        <w:rPr>
          <w:noProof/>
          <w:lang w:val="fr-FR"/>
        </w:rPr>
        <w:t xml:space="preserve"> pour les enfants qui </w:t>
      </w:r>
      <w:r w:rsidR="001B2F58" w:rsidRPr="00DD03D6">
        <w:rPr>
          <w:noProof/>
          <w:lang w:val="fr-FR"/>
        </w:rPr>
        <w:t>continue</w:t>
      </w:r>
      <w:r w:rsidR="00354878">
        <w:rPr>
          <w:noProof/>
          <w:lang w:val="fr-FR"/>
        </w:rPr>
        <w:t>ront</w:t>
      </w:r>
      <w:r w:rsidR="00E762D7">
        <w:rPr>
          <w:noProof/>
          <w:lang w:val="fr-FR"/>
        </w:rPr>
        <w:t xml:space="preserve"> </w:t>
      </w:r>
      <w:r w:rsidR="00354878">
        <w:rPr>
          <w:noProof/>
          <w:lang w:val="fr-FR"/>
        </w:rPr>
        <w:t xml:space="preserve">d’y </w:t>
      </w:r>
      <w:r w:rsidR="00E762D7">
        <w:rPr>
          <w:noProof/>
          <w:lang w:val="fr-FR"/>
        </w:rPr>
        <w:t xml:space="preserve">être détenus en attendant l’achèvement </w:t>
      </w:r>
      <w:r w:rsidR="00354878">
        <w:rPr>
          <w:noProof/>
          <w:lang w:val="fr-FR"/>
        </w:rPr>
        <w:t>des nouvelles structures</w:t>
      </w:r>
      <w:r w:rsidR="001B2F58" w:rsidRPr="00DD03D6">
        <w:rPr>
          <w:noProof/>
          <w:lang w:val="fr-FR"/>
        </w:rPr>
        <w:t xml:space="preserve">. </w:t>
      </w:r>
      <w:r w:rsidR="00E762D7">
        <w:rPr>
          <w:noProof/>
          <w:lang w:val="fr-FR"/>
        </w:rPr>
        <w:t xml:space="preserve">On s’est employé autant que possible à séparer les enfants des jeunes adultes eu égard aux contraintes physiques du site de </w:t>
      </w:r>
      <w:r w:rsidR="001B2F58" w:rsidRPr="00DD03D6">
        <w:rPr>
          <w:noProof/>
          <w:lang w:val="fr-FR"/>
        </w:rPr>
        <w:t>S</w:t>
      </w:r>
      <w:r w:rsidR="00E762D7">
        <w:rPr>
          <w:noProof/>
          <w:lang w:val="fr-FR"/>
        </w:rPr>
        <w:t>ain</w:t>
      </w:r>
      <w:r w:rsidR="001B2F58" w:rsidRPr="00DD03D6">
        <w:rPr>
          <w:noProof/>
          <w:lang w:val="fr-FR"/>
        </w:rPr>
        <w:t>t</w:t>
      </w:r>
      <w:r w:rsidR="00E762D7">
        <w:rPr>
          <w:noProof/>
          <w:lang w:val="fr-FR"/>
        </w:rPr>
        <w:t>-</w:t>
      </w:r>
      <w:r w:rsidR="001B2F58" w:rsidRPr="00DD03D6">
        <w:rPr>
          <w:noProof/>
          <w:lang w:val="fr-FR"/>
        </w:rPr>
        <w:t>Patrick.</w:t>
      </w:r>
    </w:p>
    <w:p w:rsidR="001B2F58" w:rsidRPr="00DD03D6" w:rsidRDefault="00067B0B" w:rsidP="00067B0B">
      <w:pPr>
        <w:pStyle w:val="H23G"/>
        <w:ind w:firstLine="0"/>
        <w:rPr>
          <w:noProof/>
          <w:lang w:val="fr-FR"/>
        </w:rPr>
      </w:pPr>
      <w:r>
        <w:rPr>
          <w:noProof/>
          <w:lang w:val="fr-FR"/>
        </w:rPr>
        <w:t xml:space="preserve">Réadaptation </w:t>
      </w:r>
      <w:r w:rsidR="00E762D7" w:rsidRPr="00B0572C">
        <w:rPr>
          <w:lang w:val="fr-FR"/>
        </w:rPr>
        <w:t>physique et psychologique et réinsertion sociale</w:t>
      </w:r>
      <w:r w:rsidR="00E762D7" w:rsidRPr="00DD03D6">
        <w:rPr>
          <w:noProof/>
          <w:lang w:val="fr-FR"/>
        </w:rPr>
        <w:t xml:space="preserve"> </w:t>
      </w:r>
    </w:p>
    <w:p w:rsidR="001B2F58" w:rsidRPr="00DD03D6" w:rsidRDefault="00E762D7" w:rsidP="002C58C8">
      <w:pPr>
        <w:pStyle w:val="SingleTxtG"/>
        <w:numPr>
          <w:ilvl w:val="0"/>
          <w:numId w:val="3"/>
        </w:numPr>
        <w:ind w:left="1134" w:firstLine="0"/>
        <w:rPr>
          <w:noProof/>
          <w:lang w:val="fr-FR"/>
        </w:rPr>
      </w:pPr>
      <w:r>
        <w:rPr>
          <w:noProof/>
          <w:lang w:val="fr-FR"/>
        </w:rPr>
        <w:t xml:space="preserve">Les établissements d’éducation surveillée ont pour fonction principale d’exécuter un programme de </w:t>
      </w:r>
      <w:r w:rsidR="00CD131A">
        <w:rPr>
          <w:noProof/>
          <w:lang w:val="fr-FR"/>
        </w:rPr>
        <w:t>soins</w:t>
      </w:r>
      <w:r>
        <w:rPr>
          <w:noProof/>
          <w:lang w:val="fr-FR"/>
        </w:rPr>
        <w:t xml:space="preserve"> et d’éducation visant à réinsérer les enfants que les tribunaux leur envoient.</w:t>
      </w:r>
    </w:p>
    <w:p w:rsidR="001B2F58" w:rsidRPr="00DD03D6" w:rsidRDefault="00E762D7" w:rsidP="002C58C8">
      <w:pPr>
        <w:pStyle w:val="SingleTxtG"/>
        <w:numPr>
          <w:ilvl w:val="0"/>
          <w:numId w:val="3"/>
        </w:numPr>
        <w:ind w:left="1134" w:firstLine="0"/>
        <w:rPr>
          <w:noProof/>
          <w:lang w:val="fr-FR"/>
        </w:rPr>
      </w:pPr>
      <w:r>
        <w:rPr>
          <w:noProof/>
          <w:lang w:val="fr-FR"/>
        </w:rPr>
        <w:t xml:space="preserve">Le Service de la justice pour mineurs </w:t>
      </w:r>
      <w:r w:rsidR="00CD131A" w:rsidRPr="00FA02D4">
        <w:rPr>
          <w:lang w:val="fr-CH"/>
        </w:rPr>
        <w:t xml:space="preserve">travaille avec la Direction des services de santé à l’élaboration d’un service national spécialisé </w:t>
      </w:r>
      <w:r w:rsidR="00CD131A">
        <w:rPr>
          <w:lang w:val="fr-CH"/>
        </w:rPr>
        <w:t xml:space="preserve">pluridisciplinaire </w:t>
      </w:r>
      <w:r w:rsidR="00CD131A" w:rsidRPr="00FA02D4">
        <w:rPr>
          <w:lang w:val="fr-CH"/>
        </w:rPr>
        <w:t>destiné aux jeunes qui ont besoin de soins spécifiques et qui se trouvent en détention</w:t>
      </w:r>
      <w:r w:rsidR="00CD131A">
        <w:rPr>
          <w:lang w:val="fr-CH"/>
        </w:rPr>
        <w:t xml:space="preserve">, </w:t>
      </w:r>
      <w:r w:rsidR="00CD131A" w:rsidRPr="00FA02D4">
        <w:rPr>
          <w:lang w:val="fr-CH"/>
        </w:rPr>
        <w:t xml:space="preserve">conséquence du </w:t>
      </w:r>
      <w:r w:rsidR="00CD131A" w:rsidRPr="00CD131A">
        <w:rPr>
          <w:i/>
          <w:lang w:val="fr-CH"/>
        </w:rPr>
        <w:t>Plan de mise en œuvre du rapport de la Commission d’enquête sur les mauvais traitements infligés aux enfant</w:t>
      </w:r>
      <w:r w:rsidR="00CD131A">
        <w:rPr>
          <w:i/>
          <w:lang w:val="fr-CH"/>
        </w:rPr>
        <w:t>s, 2009</w:t>
      </w:r>
      <w:r w:rsidR="00CD131A" w:rsidRPr="00FA02D4">
        <w:rPr>
          <w:lang w:val="fr-CH"/>
        </w:rPr>
        <w:t xml:space="preserve">, publié par le Cabinet du Ministre </w:t>
      </w:r>
      <w:r w:rsidR="00CD131A">
        <w:rPr>
          <w:lang w:val="fr-CH"/>
        </w:rPr>
        <w:t>de l’enfance et de la jeunesse en 2009 (voir les par</w:t>
      </w:r>
      <w:r w:rsidR="0022664C">
        <w:rPr>
          <w:lang w:val="fr-CH"/>
        </w:rPr>
        <w:t>agraphes</w:t>
      </w:r>
      <w:r w:rsidR="00CD131A">
        <w:rPr>
          <w:lang w:val="fr-CH"/>
        </w:rPr>
        <w:t xml:space="preserve"> 413</w:t>
      </w:r>
      <w:r w:rsidR="0022664C">
        <w:rPr>
          <w:lang w:val="fr-CH"/>
        </w:rPr>
        <w:t xml:space="preserve"> et </w:t>
      </w:r>
      <w:r w:rsidR="00CD131A">
        <w:rPr>
          <w:lang w:val="fr-CH"/>
        </w:rPr>
        <w:t>414)</w:t>
      </w:r>
      <w:r w:rsidR="00CD131A" w:rsidRPr="00FA02D4">
        <w:rPr>
          <w:lang w:val="fr-CH"/>
        </w:rPr>
        <w:t xml:space="preserve">. </w:t>
      </w:r>
      <w:r w:rsidR="00CD131A">
        <w:rPr>
          <w:lang w:val="fr-CH"/>
        </w:rPr>
        <w:t>La mise en place de</w:t>
      </w:r>
      <w:r w:rsidR="00CD131A" w:rsidRPr="00FA02D4">
        <w:rPr>
          <w:lang w:val="fr-CH"/>
        </w:rPr>
        <w:t xml:space="preserve"> ce service a atteint un stade avancé et la Direction des services de santé recrute du personnel à cette fin</w:t>
      </w:r>
      <w:r w:rsidR="00CD131A">
        <w:rPr>
          <w:lang w:val="fr-CH"/>
        </w:rPr>
        <w:t>. Un Directeur a été nommé en septembre 2012</w:t>
      </w:r>
      <w:r w:rsidR="00CD131A" w:rsidRPr="00FA02D4">
        <w:rPr>
          <w:lang w:val="fr-CH"/>
        </w:rPr>
        <w:t xml:space="preserve">. Ce nouveau service de portée nationale comprendra une évaluation des enfants dont on estime qu’ils pourraient commettre des infractions justifiant leur détention. Cela devrait réduire la nécessité de placer les enfants en détention </w:t>
      </w:r>
      <w:r w:rsidR="00CD131A">
        <w:rPr>
          <w:lang w:val="fr-CH"/>
        </w:rPr>
        <w:t>avant jugement</w:t>
      </w:r>
      <w:r w:rsidR="00CD131A" w:rsidRPr="00FA02D4">
        <w:rPr>
          <w:lang w:val="fr-CH"/>
        </w:rPr>
        <w:t xml:space="preserve"> à des fins d’évaluation. La constitution d’un service d’analyse scientifique de la santé mentale des enfants et des a</w:t>
      </w:r>
      <w:r w:rsidR="00CD131A">
        <w:rPr>
          <w:lang w:val="fr-CH"/>
        </w:rPr>
        <w:t>dolescents est également prévue</w:t>
      </w:r>
      <w:r w:rsidR="00CD131A" w:rsidRPr="00FA02D4">
        <w:rPr>
          <w:lang w:val="fr-CH"/>
        </w:rPr>
        <w:t>; une fois ce service en place, des professionnels pourront se rendre dans les établissements où sont détenus les jeunes</w:t>
      </w:r>
      <w:r w:rsidR="001B2F58" w:rsidRPr="00DD03D6">
        <w:rPr>
          <w:noProof/>
          <w:lang w:val="fr-FR"/>
        </w:rPr>
        <w:t>.</w:t>
      </w:r>
    </w:p>
    <w:p w:rsidR="001B2F58" w:rsidRPr="00DD03D6" w:rsidRDefault="0063363A" w:rsidP="0063363A">
      <w:pPr>
        <w:pStyle w:val="H23G"/>
        <w:ind w:firstLine="0"/>
        <w:rPr>
          <w:noProof/>
          <w:lang w:val="fr-FR"/>
        </w:rPr>
      </w:pPr>
      <w:r>
        <w:rPr>
          <w:noProof/>
          <w:lang w:val="fr-FR"/>
        </w:rPr>
        <w:t xml:space="preserve">Activités de formation prévues pour tous les </w:t>
      </w:r>
      <w:r w:rsidR="001B2F58" w:rsidRPr="00DD03D6">
        <w:rPr>
          <w:noProof/>
          <w:lang w:val="fr-FR"/>
        </w:rPr>
        <w:t>profession</w:t>
      </w:r>
      <w:r>
        <w:rPr>
          <w:noProof/>
          <w:lang w:val="fr-FR"/>
        </w:rPr>
        <w:t>ne</w:t>
      </w:r>
      <w:r w:rsidR="001B2F58" w:rsidRPr="00DD03D6">
        <w:rPr>
          <w:noProof/>
          <w:lang w:val="fr-FR"/>
        </w:rPr>
        <w:t xml:space="preserve">ls </w:t>
      </w:r>
      <w:r>
        <w:rPr>
          <w:noProof/>
          <w:lang w:val="fr-FR"/>
        </w:rPr>
        <w:t xml:space="preserve">de la justice pour mineurs </w:t>
      </w:r>
    </w:p>
    <w:p w:rsidR="001B2F58" w:rsidRPr="00DD03D6" w:rsidRDefault="0063363A" w:rsidP="007A1674">
      <w:pPr>
        <w:pStyle w:val="SingleTxtG"/>
        <w:numPr>
          <w:ilvl w:val="0"/>
          <w:numId w:val="3"/>
        </w:numPr>
        <w:ind w:left="1134" w:firstLine="0"/>
        <w:rPr>
          <w:noProof/>
          <w:lang w:val="fr-FR"/>
        </w:rPr>
      </w:pPr>
      <w:r>
        <w:rPr>
          <w:noProof/>
          <w:lang w:val="fr-FR"/>
        </w:rPr>
        <w:t xml:space="preserve">La formation que suivent tous les </w:t>
      </w:r>
      <w:r w:rsidR="001B2F58" w:rsidRPr="00DD03D6">
        <w:rPr>
          <w:noProof/>
          <w:lang w:val="fr-FR"/>
        </w:rPr>
        <w:t>profession</w:t>
      </w:r>
      <w:r>
        <w:rPr>
          <w:noProof/>
          <w:lang w:val="fr-FR"/>
        </w:rPr>
        <w:t>ne</w:t>
      </w:r>
      <w:r w:rsidR="001B2F58" w:rsidRPr="00DD03D6">
        <w:rPr>
          <w:noProof/>
          <w:lang w:val="fr-FR"/>
        </w:rPr>
        <w:t xml:space="preserve">ls </w:t>
      </w:r>
      <w:r>
        <w:rPr>
          <w:noProof/>
          <w:lang w:val="fr-FR"/>
        </w:rPr>
        <w:t>de la justice pour mineurs a été décrite dans des sections antérieures du présent rapport</w:t>
      </w:r>
      <w:r w:rsidR="001B2F58" w:rsidRPr="00DD03D6">
        <w:rPr>
          <w:noProof/>
          <w:lang w:val="fr-FR"/>
        </w:rPr>
        <w:t>.</w:t>
      </w:r>
    </w:p>
    <w:p w:rsidR="001B2F58" w:rsidRPr="00DD03D6" w:rsidRDefault="004454EF" w:rsidP="004454EF">
      <w:pPr>
        <w:pStyle w:val="H1G"/>
        <w:rPr>
          <w:noProof/>
          <w:lang w:val="fr-FR"/>
        </w:rPr>
      </w:pPr>
      <w:r w:rsidRPr="00DD03D6">
        <w:rPr>
          <w:noProof/>
          <w:lang w:val="fr-FR"/>
        </w:rPr>
        <w:tab/>
      </w:r>
      <w:r w:rsidR="001B2F58" w:rsidRPr="00DD03D6">
        <w:rPr>
          <w:noProof/>
          <w:lang w:val="fr-FR"/>
        </w:rPr>
        <w:t>F.</w:t>
      </w:r>
      <w:r w:rsidR="001B2F58" w:rsidRPr="00DD03D6">
        <w:rPr>
          <w:noProof/>
          <w:lang w:val="fr-FR"/>
        </w:rPr>
        <w:tab/>
      </w:r>
      <w:r w:rsidR="007F3120" w:rsidRPr="00AB1E7E">
        <w:rPr>
          <w:lang w:val="fr-FR"/>
        </w:rPr>
        <w:t>Enfants appartenant à une minorité ou à un groupe autochtone</w:t>
      </w:r>
      <w:r w:rsidR="007F3120" w:rsidRPr="00DD03D6">
        <w:rPr>
          <w:noProof/>
          <w:lang w:val="fr-FR"/>
        </w:rPr>
        <w:t xml:space="preserve"> </w:t>
      </w:r>
    </w:p>
    <w:p w:rsidR="00625155" w:rsidRPr="00DD03D6" w:rsidRDefault="0063363A" w:rsidP="00754986">
      <w:pPr>
        <w:pStyle w:val="SingleTxtG"/>
        <w:numPr>
          <w:ilvl w:val="0"/>
          <w:numId w:val="3"/>
        </w:numPr>
        <w:spacing w:before="240" w:after="0"/>
        <w:ind w:left="1134" w:firstLine="0"/>
        <w:rPr>
          <w:noProof/>
          <w:lang w:val="fr-FR"/>
        </w:rPr>
      </w:pPr>
      <w:r>
        <w:rPr>
          <w:noProof/>
          <w:lang w:val="fr-FR"/>
        </w:rPr>
        <w:t xml:space="preserve">On trouvera dans des </w:t>
      </w:r>
      <w:r w:rsidR="001B2F58" w:rsidRPr="00DD03D6">
        <w:rPr>
          <w:noProof/>
          <w:lang w:val="fr-FR"/>
        </w:rPr>
        <w:t xml:space="preserve">sections </w:t>
      </w:r>
      <w:r>
        <w:rPr>
          <w:noProof/>
          <w:lang w:val="fr-FR"/>
        </w:rPr>
        <w:t>antérieures du présent rapport des renseignements sur les dispositions spécifiques prises en faveur des enfants appartenant à une minorité ethnique (notamment les enfants demandeurs d’asile), des irlandophones et des enfants appartenant à la communauté des gens du voyage</w:t>
      </w:r>
      <w:r w:rsidR="001B2F58" w:rsidRPr="00DD03D6">
        <w:rPr>
          <w:noProof/>
          <w:lang w:val="fr-FR"/>
        </w:rPr>
        <w:t>.</w:t>
      </w:r>
    </w:p>
    <w:p w:rsidR="00625155" w:rsidRPr="00DD03D6" w:rsidRDefault="00625155" w:rsidP="00625155">
      <w:pPr>
        <w:pStyle w:val="SingleTxtG"/>
        <w:spacing w:before="240" w:after="0"/>
        <w:jc w:val="center"/>
        <w:rPr>
          <w:noProof/>
          <w:u w:val="single"/>
          <w:lang w:val="fr-FR"/>
        </w:rPr>
      </w:pPr>
      <w:r w:rsidRPr="00DD03D6">
        <w:rPr>
          <w:noProof/>
          <w:u w:val="single"/>
          <w:lang w:val="fr-FR"/>
        </w:rPr>
        <w:tab/>
      </w:r>
      <w:r w:rsidRPr="00DD03D6">
        <w:rPr>
          <w:noProof/>
          <w:u w:val="single"/>
          <w:lang w:val="fr-FR"/>
        </w:rPr>
        <w:tab/>
      </w:r>
      <w:r w:rsidRPr="00DD03D6">
        <w:rPr>
          <w:noProof/>
          <w:u w:val="single"/>
          <w:lang w:val="fr-FR"/>
        </w:rPr>
        <w:tab/>
      </w:r>
    </w:p>
    <w:sectPr w:rsidR="00625155" w:rsidRPr="00DD03D6" w:rsidSect="005A6325">
      <w:headerReference w:type="even" r:id="rId40"/>
      <w:headerReference w:type="default" r:id="rId41"/>
      <w:footerReference w:type="even" r:id="rId42"/>
      <w:footerReference w:type="default" r:id="rId43"/>
      <w:footerReference w:type="first" r:id="rId44"/>
      <w:pgSz w:w="11906" w:h="16838"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B5" w:rsidRDefault="000A2CB5"/>
  </w:endnote>
  <w:endnote w:type="continuationSeparator" w:id="0">
    <w:p w:rsidR="000A2CB5" w:rsidRDefault="000A2CB5"/>
  </w:endnote>
  <w:endnote w:type="continuationNotice" w:id="1">
    <w:p w:rsidR="000A2CB5" w:rsidRDefault="000A2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B5" w:rsidRPr="009A5E46" w:rsidRDefault="000A2CB5" w:rsidP="00857877">
    <w:pPr>
      <w:pStyle w:val="Pieddepage"/>
      <w:tabs>
        <w:tab w:val="right" w:pos="9639"/>
      </w:tabs>
      <w:rPr>
        <w:b/>
        <w:bCs/>
        <w:sz w:val="18"/>
        <w:szCs w:val="18"/>
      </w:rPr>
    </w:pPr>
    <w:r w:rsidRPr="009A5E46">
      <w:rPr>
        <w:b/>
        <w:bCs/>
        <w:sz w:val="18"/>
        <w:szCs w:val="18"/>
      </w:rPr>
      <w:fldChar w:fldCharType="begin"/>
    </w:r>
    <w:r w:rsidRPr="009A5E46">
      <w:rPr>
        <w:b/>
        <w:bCs/>
        <w:sz w:val="18"/>
        <w:szCs w:val="18"/>
      </w:rPr>
      <w:instrText xml:space="preserve"> PAGE    \* MERGEFORMAT </w:instrText>
    </w:r>
    <w:r w:rsidRPr="009A5E46">
      <w:rPr>
        <w:b/>
        <w:bCs/>
        <w:sz w:val="18"/>
        <w:szCs w:val="18"/>
      </w:rPr>
      <w:fldChar w:fldCharType="separate"/>
    </w:r>
    <w:r w:rsidR="009666B3">
      <w:rPr>
        <w:b/>
        <w:bCs/>
        <w:noProof/>
        <w:sz w:val="18"/>
        <w:szCs w:val="18"/>
      </w:rPr>
      <w:t>160</w:t>
    </w:r>
    <w:r w:rsidRPr="009A5E46">
      <w:rPr>
        <w:b/>
        <w:bCs/>
        <w:sz w:val="18"/>
        <w:szCs w:val="18"/>
      </w:rPr>
      <w:fldChar w:fldCharType="end"/>
    </w:r>
    <w:r w:rsidR="00857877">
      <w:rPr>
        <w:bCs/>
        <w:szCs w:val="16"/>
      </w:rPr>
      <w:tab/>
      <w:t>GE.15-00874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B5" w:rsidRPr="00857877" w:rsidRDefault="005A295D" w:rsidP="00857877">
    <w:pPr>
      <w:pStyle w:val="Pieddepage"/>
      <w:tabs>
        <w:tab w:val="right" w:pos="9639"/>
      </w:tabs>
      <w:rPr>
        <w:bCs/>
        <w:szCs w:val="16"/>
      </w:rPr>
    </w:pPr>
    <w:r w:rsidRPr="00857877">
      <w:rPr>
        <w:bCs/>
        <w:szCs w:val="16"/>
      </w:rPr>
      <w:t>GE.15-00874</w:t>
    </w:r>
    <w:r w:rsidR="00857877">
      <w:rPr>
        <w:b/>
        <w:bCs/>
        <w:sz w:val="18"/>
        <w:szCs w:val="18"/>
      </w:rPr>
      <w:tab/>
    </w:r>
    <w:r w:rsidR="000A2CB5" w:rsidRPr="009A5E46">
      <w:rPr>
        <w:b/>
        <w:bCs/>
        <w:sz w:val="18"/>
        <w:szCs w:val="18"/>
      </w:rPr>
      <w:fldChar w:fldCharType="begin"/>
    </w:r>
    <w:r w:rsidR="000A2CB5" w:rsidRPr="009A5E46">
      <w:rPr>
        <w:b/>
        <w:bCs/>
        <w:sz w:val="18"/>
        <w:szCs w:val="18"/>
      </w:rPr>
      <w:instrText xml:space="preserve"> PAGE   \* MERGEFORMAT </w:instrText>
    </w:r>
    <w:r w:rsidR="000A2CB5" w:rsidRPr="009A5E46">
      <w:rPr>
        <w:b/>
        <w:bCs/>
        <w:sz w:val="18"/>
        <w:szCs w:val="18"/>
      </w:rPr>
      <w:fldChar w:fldCharType="separate"/>
    </w:r>
    <w:r w:rsidR="009666B3">
      <w:rPr>
        <w:b/>
        <w:bCs/>
        <w:noProof/>
        <w:sz w:val="18"/>
        <w:szCs w:val="18"/>
      </w:rPr>
      <w:t>159</w:t>
    </w:r>
    <w:r w:rsidR="000A2CB5" w:rsidRPr="009A5E46">
      <w:rPr>
        <w:b/>
        <w:bCs/>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B5" w:rsidRPr="000A2CB5" w:rsidRDefault="000A2CB5" w:rsidP="00487473">
    <w:pPr>
      <w:tabs>
        <w:tab w:val="left" w:pos="7230"/>
      </w:tabs>
    </w:pPr>
    <w:r>
      <w:rPr>
        <w:noProof/>
        <w:lang w:val="en-US"/>
      </w:rPr>
      <w:drawing>
        <wp:anchor distT="0" distB="0" distL="114300" distR="114300" simplePos="0" relativeHeight="251658240" behindDoc="0" locked="0" layoutInCell="1" allowOverlap="1" wp14:anchorId="253C71D8" wp14:editId="1AE82C82">
          <wp:simplePos x="0" y="0"/>
          <wp:positionH relativeFrom="margin">
            <wp:posOffset>5490845</wp:posOffset>
          </wp:positionH>
          <wp:positionV relativeFrom="margin">
            <wp:posOffset>8028940</wp:posOffset>
          </wp:positionV>
          <wp:extent cx="637200" cy="637200"/>
          <wp:effectExtent l="0" t="0" r="0" b="0"/>
          <wp:wrapNone/>
          <wp:docPr id="4" name="Image 1" descr="http://undocs.org/m2/QRCode.ashx?DS=CRC/C/IRL/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IRL/3-4&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6EF">
      <w:t>GE.15-00874</w:t>
    </w:r>
    <w:r>
      <w:br/>
    </w:r>
    <w:r w:rsidRPr="000A2CB5">
      <w:rPr>
        <w:rFonts w:ascii="C39T30Lfz" w:hAnsi="C39T30Lfz"/>
        <w:sz w:val="56"/>
      </w:rPr>
      <w:t></w:t>
    </w:r>
    <w:r w:rsidRPr="000A2CB5">
      <w:rPr>
        <w:rFonts w:ascii="C39T30Lfz" w:hAnsi="C39T30Lfz"/>
        <w:sz w:val="56"/>
      </w:rPr>
      <w:t></w:t>
    </w:r>
    <w:r w:rsidRPr="000A2CB5">
      <w:rPr>
        <w:rFonts w:ascii="C39T30Lfz" w:hAnsi="C39T30Lfz"/>
        <w:sz w:val="56"/>
      </w:rPr>
      <w:t></w:t>
    </w:r>
    <w:r w:rsidRPr="000A2CB5">
      <w:rPr>
        <w:rFonts w:ascii="C39T30Lfz" w:hAnsi="C39T30Lfz"/>
        <w:sz w:val="56"/>
      </w:rPr>
      <w:t></w:t>
    </w:r>
    <w:r w:rsidRPr="000A2CB5">
      <w:rPr>
        <w:rFonts w:ascii="C39T30Lfz" w:hAnsi="C39T30Lfz"/>
        <w:sz w:val="56"/>
      </w:rPr>
      <w:t></w:t>
    </w:r>
    <w:r w:rsidRPr="000A2CB5">
      <w:rPr>
        <w:rFonts w:ascii="C39T30Lfz" w:hAnsi="C39T30Lfz"/>
        <w:sz w:val="56"/>
      </w:rPr>
      <w:t></w:t>
    </w:r>
    <w:r w:rsidRPr="000A2CB5">
      <w:rPr>
        <w:rFonts w:ascii="C39T30Lfz" w:hAnsi="C39T30Lfz"/>
        <w:sz w:val="56"/>
      </w:rPr>
      <w:t></w:t>
    </w:r>
    <w:r w:rsidRPr="000A2CB5">
      <w:rPr>
        <w:rFonts w:ascii="C39T30Lfz" w:hAnsi="C39T30Lfz"/>
        <w:sz w:val="56"/>
      </w:rPr>
      <w:t></w:t>
    </w:r>
    <w:r w:rsidRPr="000A2CB5">
      <w:rPr>
        <w:rFonts w:ascii="C39T30Lfz" w:hAnsi="C39T30Lfz"/>
        <w:sz w:val="56"/>
      </w:rPr>
      <w:t></w:t>
    </w:r>
    <w:r w:rsidR="009B7DF1">
      <w:rPr>
        <w:noProof/>
        <w:lang w:val="en-US"/>
      </w:rPr>
      <w:drawing>
        <wp:anchor distT="0" distB="0" distL="114300" distR="114300" simplePos="0" relativeHeight="251660288" behindDoc="0" locked="0" layoutInCell="1" allowOverlap="0" wp14:anchorId="5C3F631D" wp14:editId="06CA3A63">
          <wp:simplePos x="0" y="0"/>
          <wp:positionH relativeFrom="margin">
            <wp:posOffset>4320540</wp:posOffset>
          </wp:positionH>
          <wp:positionV relativeFrom="margin">
            <wp:posOffset>8281035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B5" w:rsidRPr="000B175B" w:rsidRDefault="000A2CB5" w:rsidP="000B175B">
      <w:pPr>
        <w:tabs>
          <w:tab w:val="right" w:pos="2155"/>
        </w:tabs>
        <w:spacing w:after="80"/>
        <w:ind w:left="680"/>
        <w:rPr>
          <w:u w:val="single"/>
        </w:rPr>
      </w:pPr>
      <w:r>
        <w:rPr>
          <w:u w:val="single"/>
        </w:rPr>
        <w:tab/>
      </w:r>
    </w:p>
  </w:footnote>
  <w:footnote w:type="continuationSeparator" w:id="0">
    <w:p w:rsidR="000A2CB5" w:rsidRPr="00FC68B7" w:rsidRDefault="000A2CB5" w:rsidP="00FC68B7">
      <w:pPr>
        <w:tabs>
          <w:tab w:val="left" w:pos="2155"/>
        </w:tabs>
        <w:spacing w:after="80"/>
        <w:ind w:left="680"/>
        <w:rPr>
          <w:u w:val="single"/>
        </w:rPr>
      </w:pPr>
      <w:r>
        <w:rPr>
          <w:u w:val="single"/>
        </w:rPr>
        <w:tab/>
      </w:r>
    </w:p>
  </w:footnote>
  <w:footnote w:type="continuationNotice" w:id="1">
    <w:p w:rsidR="000A2CB5" w:rsidRDefault="000A2CB5"/>
  </w:footnote>
  <w:footnote w:id="2">
    <w:p w:rsidR="000A2CB5" w:rsidRPr="00487473" w:rsidRDefault="000A2CB5" w:rsidP="003F45F8">
      <w:pPr>
        <w:pStyle w:val="Notedebasdepage"/>
        <w:rPr>
          <w:lang w:val="fr-CH"/>
        </w:rPr>
      </w:pPr>
      <w:r>
        <w:tab/>
      </w:r>
      <w:r w:rsidRPr="00487473">
        <w:rPr>
          <w:rStyle w:val="Appelnotedebasdep"/>
          <w:sz w:val="20"/>
          <w:vertAlign w:val="baseline"/>
          <w:lang w:val="fr-CH"/>
        </w:rPr>
        <w:t>*</w:t>
      </w:r>
      <w:r w:rsidRPr="00487473">
        <w:rPr>
          <w:sz w:val="20"/>
          <w:lang w:val="fr-CH"/>
        </w:rPr>
        <w:tab/>
      </w:r>
      <w:r w:rsidRPr="00487473">
        <w:rPr>
          <w:bCs/>
          <w:noProof/>
          <w:szCs w:val="18"/>
          <w:bdr w:val="none" w:sz="0" w:space="0" w:color="auto" w:frame="1"/>
          <w:shd w:val="clear" w:color="auto" w:fill="FFFFFF"/>
          <w:lang w:val="fr-FR"/>
        </w:rPr>
        <w:t>Le présent document n</w:t>
      </w:r>
      <w:r>
        <w:rPr>
          <w:bCs/>
          <w:noProof/>
          <w:szCs w:val="18"/>
          <w:bdr w:val="none" w:sz="0" w:space="0" w:color="auto" w:frame="1"/>
          <w:shd w:val="clear" w:color="auto" w:fill="FFFFFF"/>
          <w:lang w:val="fr-FR"/>
        </w:rPr>
        <w:t>’</w:t>
      </w:r>
      <w:r w:rsidRPr="00487473">
        <w:rPr>
          <w:bCs/>
          <w:noProof/>
          <w:szCs w:val="18"/>
          <w:bdr w:val="none" w:sz="0" w:space="0" w:color="auto" w:frame="1"/>
          <w:shd w:val="clear" w:color="auto" w:fill="FFFFFF"/>
          <w:lang w:val="fr-FR"/>
        </w:rPr>
        <w:t>a pas fait l</w:t>
      </w:r>
      <w:r>
        <w:rPr>
          <w:bCs/>
          <w:noProof/>
          <w:szCs w:val="18"/>
          <w:bdr w:val="none" w:sz="0" w:space="0" w:color="auto" w:frame="1"/>
          <w:shd w:val="clear" w:color="auto" w:fill="FFFFFF"/>
          <w:lang w:val="fr-FR"/>
        </w:rPr>
        <w:t>’</w:t>
      </w:r>
      <w:r w:rsidRPr="00487473">
        <w:rPr>
          <w:bCs/>
          <w:noProof/>
          <w:szCs w:val="18"/>
          <w:bdr w:val="none" w:sz="0" w:space="0" w:color="auto" w:frame="1"/>
          <w:shd w:val="clear" w:color="auto" w:fill="FFFFFF"/>
          <w:lang w:val="fr-FR"/>
        </w:rPr>
        <w:t>objet d</w:t>
      </w:r>
      <w:r>
        <w:rPr>
          <w:bCs/>
          <w:noProof/>
          <w:szCs w:val="18"/>
          <w:bdr w:val="none" w:sz="0" w:space="0" w:color="auto" w:frame="1"/>
          <w:shd w:val="clear" w:color="auto" w:fill="FFFFFF"/>
          <w:lang w:val="fr-FR"/>
        </w:rPr>
        <w:t>’</w:t>
      </w:r>
      <w:r w:rsidRPr="00487473">
        <w:rPr>
          <w:bCs/>
          <w:noProof/>
          <w:szCs w:val="18"/>
          <w:bdr w:val="none" w:sz="0" w:space="0" w:color="auto" w:frame="1"/>
          <w:shd w:val="clear" w:color="auto" w:fill="FFFFFF"/>
          <w:lang w:val="fr-FR"/>
        </w:rPr>
        <w:t>une relecture sur le fond par les services d</w:t>
      </w:r>
      <w:r>
        <w:rPr>
          <w:bCs/>
          <w:noProof/>
          <w:szCs w:val="18"/>
          <w:bdr w:val="none" w:sz="0" w:space="0" w:color="auto" w:frame="1"/>
          <w:shd w:val="clear" w:color="auto" w:fill="FFFFFF"/>
          <w:lang w:val="fr-FR"/>
        </w:rPr>
        <w:t>’</w:t>
      </w:r>
      <w:r w:rsidRPr="00487473">
        <w:rPr>
          <w:bCs/>
          <w:noProof/>
          <w:szCs w:val="18"/>
          <w:bdr w:val="none" w:sz="0" w:space="0" w:color="auto" w:frame="1"/>
          <w:shd w:val="clear" w:color="auto" w:fill="FFFFFF"/>
          <w:lang w:val="fr-FR"/>
        </w:rPr>
        <w:t>édition</w:t>
      </w:r>
      <w:r w:rsidRPr="00487473">
        <w:rPr>
          <w:lang w:val="fr-CH"/>
        </w:rPr>
        <w:t>.</w:t>
      </w:r>
    </w:p>
  </w:footnote>
  <w:footnote w:id="3">
    <w:p w:rsidR="000A2CB5" w:rsidRPr="00487473" w:rsidRDefault="000A2CB5" w:rsidP="00673EDB">
      <w:pPr>
        <w:pStyle w:val="Notedebasdepage"/>
        <w:rPr>
          <w:lang w:val="fr-CH"/>
        </w:rPr>
      </w:pPr>
      <w:r w:rsidRPr="00487473">
        <w:rPr>
          <w:lang w:val="fr-CH"/>
        </w:rPr>
        <w:tab/>
      </w:r>
      <w:r w:rsidRPr="00487473">
        <w:rPr>
          <w:rStyle w:val="Appelnotedebasdep"/>
          <w:sz w:val="20"/>
          <w:vertAlign w:val="baseline"/>
          <w:lang w:val="fr-CH"/>
        </w:rPr>
        <w:t>**</w:t>
      </w:r>
      <w:r w:rsidRPr="00487473">
        <w:rPr>
          <w:lang w:val="fr-CH"/>
        </w:rPr>
        <w:tab/>
      </w:r>
      <w:r w:rsidRPr="005E5FF6">
        <w:rPr>
          <w:noProof/>
          <w:lang w:val="fr-FR"/>
        </w:rPr>
        <w:t>Les annexes peuvent être consultées aux archives du secrétariat</w:t>
      </w:r>
      <w:r w:rsidRPr="00487473">
        <w:rPr>
          <w:lang w:val="fr-CH"/>
        </w:rPr>
        <w:t xml:space="preserve">. </w:t>
      </w:r>
    </w:p>
  </w:footnote>
  <w:footnote w:id="4">
    <w:p w:rsidR="000A2CB5" w:rsidRPr="00487473" w:rsidRDefault="000A2CB5" w:rsidP="002C58C8">
      <w:pPr>
        <w:pStyle w:val="Notedebasdepage"/>
        <w:rPr>
          <w:rFonts w:cs="Arial"/>
          <w:lang w:val="fr-CH"/>
        </w:rPr>
      </w:pPr>
      <w:r w:rsidRPr="00487473">
        <w:rPr>
          <w:rFonts w:cs="Arial"/>
          <w:lang w:val="fr-CH"/>
        </w:rPr>
        <w:tab/>
      </w:r>
      <w:r w:rsidRPr="00763D72">
        <w:rPr>
          <w:rStyle w:val="Appelnotedebasdep"/>
        </w:rPr>
        <w:footnoteRef/>
      </w:r>
      <w:r w:rsidRPr="00487473">
        <w:rPr>
          <w:rFonts w:cs="Arial"/>
          <w:lang w:val="fr-CH"/>
        </w:rPr>
        <w:tab/>
      </w:r>
      <w:r w:rsidRPr="006E1F37">
        <w:rPr>
          <w:rFonts w:cs="Arial"/>
          <w:noProof/>
          <w:lang w:val="fr-FR"/>
        </w:rPr>
        <w:t>Les données fournies sur les familles reconstitu</w:t>
      </w:r>
      <w:r>
        <w:rPr>
          <w:rFonts w:cs="Arial"/>
          <w:noProof/>
          <w:lang w:val="fr-FR"/>
        </w:rPr>
        <w:t xml:space="preserve">ées sont des </w:t>
      </w:r>
      <w:r w:rsidRPr="006E1F37">
        <w:rPr>
          <w:rFonts w:cs="Arial"/>
          <w:noProof/>
          <w:lang w:val="fr-FR"/>
        </w:rPr>
        <w:t>estimat</w:t>
      </w:r>
      <w:r>
        <w:rPr>
          <w:rFonts w:cs="Arial"/>
          <w:noProof/>
          <w:lang w:val="fr-FR"/>
        </w:rPr>
        <w:t>ion</w:t>
      </w:r>
      <w:r w:rsidRPr="006E1F37">
        <w:rPr>
          <w:rFonts w:cs="Arial"/>
          <w:noProof/>
          <w:lang w:val="fr-FR"/>
        </w:rPr>
        <w:t xml:space="preserve">s. </w:t>
      </w:r>
      <w:r>
        <w:rPr>
          <w:rFonts w:cs="Arial"/>
          <w:noProof/>
          <w:lang w:val="fr-FR"/>
        </w:rPr>
        <w:t xml:space="preserve">Dans la mesure où les </w:t>
      </w:r>
      <w:r w:rsidRPr="006E1F37">
        <w:rPr>
          <w:rFonts w:cs="Arial"/>
          <w:noProof/>
          <w:lang w:val="fr-FR"/>
        </w:rPr>
        <w:t>information</w:t>
      </w:r>
      <w:r>
        <w:rPr>
          <w:rFonts w:cs="Arial"/>
          <w:noProof/>
          <w:lang w:val="fr-FR"/>
        </w:rPr>
        <w:t>s n’étaient saisies sur le formulaire de recensement qu’en ce qui concerne le lien entre chaque personne du ménage et les quatre premières personnes du ménage, certaines familles</w:t>
      </w:r>
      <w:r w:rsidRPr="006E1F37">
        <w:rPr>
          <w:rFonts w:cs="Arial"/>
          <w:noProof/>
          <w:lang w:val="fr-FR"/>
        </w:rPr>
        <w:t xml:space="preserve"> reconstitu</w:t>
      </w:r>
      <w:r>
        <w:rPr>
          <w:rFonts w:cs="Arial"/>
          <w:noProof/>
          <w:lang w:val="fr-FR"/>
        </w:rPr>
        <w:t>ées n’auront pas été repérées</w:t>
      </w:r>
      <w:r w:rsidRPr="006E1F37">
        <w:rPr>
          <w:rFonts w:cs="Arial"/>
          <w:noProof/>
          <w:lang w:val="fr-FR"/>
        </w:rPr>
        <w:t xml:space="preserve">. </w:t>
      </w:r>
      <w:r>
        <w:rPr>
          <w:rFonts w:cs="Arial"/>
          <w:noProof/>
          <w:lang w:val="fr-FR"/>
        </w:rPr>
        <w:t>Par exemple, lorsque la p</w:t>
      </w:r>
      <w:r w:rsidRPr="006E1F37">
        <w:rPr>
          <w:rFonts w:cs="Arial"/>
          <w:noProof/>
          <w:lang w:val="fr-FR"/>
        </w:rPr>
        <w:t>erson</w:t>
      </w:r>
      <w:r>
        <w:rPr>
          <w:rFonts w:cs="Arial"/>
          <w:noProof/>
          <w:lang w:val="fr-FR"/>
        </w:rPr>
        <w:t>ne</w:t>
      </w:r>
      <w:r w:rsidRPr="006E1F37">
        <w:rPr>
          <w:rFonts w:cs="Arial"/>
          <w:noProof/>
          <w:lang w:val="fr-FR"/>
        </w:rPr>
        <w:t xml:space="preserve"> 6 </w:t>
      </w:r>
      <w:r>
        <w:rPr>
          <w:rFonts w:cs="Arial"/>
          <w:noProof/>
          <w:lang w:val="fr-FR"/>
        </w:rPr>
        <w:t>mentionnée sur le formulaire de recensement était un enfant du conjoint et que la personne 5 était ce conjoint, cette famille reconstituée n’aura pas été incluse dans les chiffres susvisés</w:t>
      </w:r>
      <w:r w:rsidRPr="00487473">
        <w:rPr>
          <w:rFonts w:cs="Arial"/>
          <w:lang w:val="fr-CH"/>
        </w:rPr>
        <w:t>.</w:t>
      </w:r>
    </w:p>
  </w:footnote>
  <w:footnote w:id="5">
    <w:p w:rsidR="000A2CB5" w:rsidRPr="00487473" w:rsidRDefault="000A2CB5" w:rsidP="007A2AF3">
      <w:pPr>
        <w:pStyle w:val="Notedebasdepage"/>
        <w:rPr>
          <w:rFonts w:cs="Arial"/>
          <w:lang w:val="fr-CH"/>
        </w:rPr>
      </w:pPr>
      <w:r w:rsidRPr="00487473">
        <w:rPr>
          <w:rFonts w:ascii="Arial" w:hAnsi="Arial" w:cs="Arial"/>
          <w:lang w:val="fr-CH"/>
        </w:rPr>
        <w:tab/>
      </w:r>
      <w:r w:rsidRPr="00763D72">
        <w:rPr>
          <w:rStyle w:val="Appelnotedebasdep"/>
        </w:rPr>
        <w:footnoteRef/>
      </w:r>
      <w:r w:rsidRPr="00487473">
        <w:rPr>
          <w:rFonts w:ascii="Arial" w:hAnsi="Arial" w:cs="Arial"/>
          <w:lang w:val="fr-CH"/>
        </w:rPr>
        <w:tab/>
      </w:r>
      <w:r w:rsidRPr="008E5835">
        <w:rPr>
          <w:rFonts w:cs="Arial"/>
          <w:noProof/>
          <w:lang w:val="fr-FR"/>
        </w:rPr>
        <w:t>CRC/C/IRL/CO/2, Comi</w:t>
      </w:r>
      <w:r>
        <w:rPr>
          <w:rFonts w:cs="Arial"/>
          <w:noProof/>
          <w:lang w:val="fr-FR"/>
        </w:rPr>
        <w:t>té des droits de l’enfant</w:t>
      </w:r>
      <w:r w:rsidRPr="008E5835">
        <w:rPr>
          <w:rFonts w:cs="Arial"/>
          <w:noProof/>
          <w:lang w:val="fr-FR"/>
        </w:rPr>
        <w:t>, 43</w:t>
      </w:r>
      <w:r w:rsidRPr="008E5835">
        <w:rPr>
          <w:rFonts w:cs="Arial"/>
          <w:noProof/>
          <w:vertAlign w:val="superscript"/>
          <w:lang w:val="fr-FR"/>
        </w:rPr>
        <w:t>e</w:t>
      </w:r>
      <w:r>
        <w:rPr>
          <w:rFonts w:cs="Arial"/>
          <w:noProof/>
          <w:lang w:val="fr-FR"/>
        </w:rPr>
        <w:t xml:space="preserve"> s</w:t>
      </w:r>
      <w:r w:rsidRPr="008E5835">
        <w:rPr>
          <w:rFonts w:cs="Arial"/>
          <w:noProof/>
          <w:lang w:val="fr-FR"/>
        </w:rPr>
        <w:t xml:space="preserve">ession, </w:t>
      </w:r>
      <w:r>
        <w:rPr>
          <w:rFonts w:cs="Arial"/>
          <w:noProof/>
          <w:lang w:val="fr-FR"/>
        </w:rPr>
        <w:t>Examen des rapports soumis par les États parties en vertu de l’a</w:t>
      </w:r>
      <w:r w:rsidRPr="008E5835">
        <w:rPr>
          <w:rFonts w:cs="Arial"/>
          <w:noProof/>
          <w:lang w:val="fr-FR"/>
        </w:rPr>
        <w:t xml:space="preserve">rticle 44 </w:t>
      </w:r>
      <w:r>
        <w:rPr>
          <w:rFonts w:cs="Arial"/>
          <w:noProof/>
          <w:lang w:val="fr-FR"/>
        </w:rPr>
        <w:t xml:space="preserve">de la </w:t>
      </w:r>
      <w:r w:rsidRPr="008E5835">
        <w:rPr>
          <w:rFonts w:cs="Arial"/>
          <w:noProof/>
          <w:lang w:val="fr-FR"/>
        </w:rPr>
        <w:t xml:space="preserve">Convention </w:t>
      </w:r>
      <w:r>
        <w:rPr>
          <w:rFonts w:cs="Arial"/>
          <w:noProof/>
          <w:lang w:val="fr-FR"/>
        </w:rPr>
        <w:t>relative aux droits de l’enfant</w:t>
      </w:r>
      <w:r w:rsidRPr="008E5835">
        <w:rPr>
          <w:rFonts w:cs="Arial"/>
          <w:noProof/>
          <w:lang w:val="fr-FR"/>
        </w:rPr>
        <w:t>, Observations</w:t>
      </w:r>
      <w:r>
        <w:rPr>
          <w:rFonts w:cs="Arial"/>
          <w:noProof/>
          <w:lang w:val="fr-FR"/>
        </w:rPr>
        <w:t xml:space="preserve"> finales </w:t>
      </w:r>
      <w:r w:rsidRPr="008E5835">
        <w:rPr>
          <w:rFonts w:cs="Arial"/>
          <w:noProof/>
          <w:lang w:val="fr-FR"/>
        </w:rPr>
        <w:t>: Irland</w:t>
      </w:r>
      <w:r>
        <w:rPr>
          <w:rFonts w:cs="Arial"/>
          <w:noProof/>
          <w:lang w:val="fr-FR"/>
        </w:rPr>
        <w:t>e</w:t>
      </w:r>
      <w:r w:rsidRPr="00487473">
        <w:rPr>
          <w:rFonts w:cs="Arial"/>
          <w:lang w:val="fr-CH"/>
        </w:rPr>
        <w:t>.</w:t>
      </w:r>
    </w:p>
  </w:footnote>
  <w:footnote w:id="6">
    <w:p w:rsidR="000A2CB5" w:rsidRPr="002D44BE" w:rsidRDefault="000A2CB5" w:rsidP="00E62D34">
      <w:pPr>
        <w:pStyle w:val="Notedebasdepage"/>
        <w:rPr>
          <w:noProof/>
          <w:lang w:val="fr-FR"/>
        </w:rPr>
      </w:pPr>
      <w:r w:rsidRPr="00487473">
        <w:rPr>
          <w:lang w:val="fr-CH"/>
        </w:rPr>
        <w:tab/>
      </w:r>
      <w:r w:rsidRPr="00763D72">
        <w:rPr>
          <w:rStyle w:val="Appelnotedebasdep"/>
        </w:rPr>
        <w:footnoteRef/>
      </w:r>
      <w:r w:rsidRPr="00487473">
        <w:rPr>
          <w:lang w:val="fr-CH"/>
        </w:rPr>
        <w:tab/>
      </w:r>
      <w:r>
        <w:rPr>
          <w:noProof/>
          <w:lang w:val="fr-FR"/>
        </w:rPr>
        <w:t>L’Irlande se classe beaucoup mieux dans les tableaux relatifs à l’éducation</w:t>
      </w:r>
      <w:r w:rsidRPr="002D44BE">
        <w:rPr>
          <w:noProof/>
          <w:lang w:val="fr-FR"/>
        </w:rPr>
        <w:t xml:space="preserve"> (2</w:t>
      </w:r>
      <w:r w:rsidRPr="002D44BE">
        <w:rPr>
          <w:noProof/>
          <w:vertAlign w:val="superscript"/>
          <w:lang w:val="fr-FR"/>
        </w:rPr>
        <w:t>e</w:t>
      </w:r>
      <w:r>
        <w:rPr>
          <w:noProof/>
          <w:lang w:val="fr-FR"/>
        </w:rPr>
        <w:t xml:space="preserve"> rang</w:t>
      </w:r>
      <w:r w:rsidRPr="002D44BE">
        <w:rPr>
          <w:noProof/>
          <w:lang w:val="fr-FR"/>
        </w:rPr>
        <w:t xml:space="preserve">) </w:t>
      </w:r>
      <w:r>
        <w:rPr>
          <w:noProof/>
          <w:lang w:val="fr-FR"/>
        </w:rPr>
        <w:t xml:space="preserve">et à la santé </w:t>
      </w:r>
      <w:r w:rsidRPr="002D44BE">
        <w:rPr>
          <w:noProof/>
          <w:lang w:val="fr-FR"/>
        </w:rPr>
        <w:t>(7</w:t>
      </w:r>
      <w:r w:rsidRPr="002D44BE">
        <w:rPr>
          <w:noProof/>
          <w:vertAlign w:val="superscript"/>
          <w:lang w:val="fr-FR"/>
        </w:rPr>
        <w:t>e</w:t>
      </w:r>
      <w:r>
        <w:rPr>
          <w:noProof/>
          <w:lang w:val="fr-FR"/>
        </w:rPr>
        <w:t> rang</w:t>
      </w:r>
      <w:r w:rsidRPr="002D44BE">
        <w:rPr>
          <w:noProof/>
          <w:lang w:val="fr-FR"/>
        </w:rPr>
        <w:t xml:space="preserve">). </w:t>
      </w:r>
    </w:p>
  </w:footnote>
  <w:footnote w:id="7">
    <w:p w:rsidR="000A2CB5" w:rsidRDefault="000A2CB5" w:rsidP="008342B8">
      <w:pPr>
        <w:pStyle w:val="Notedebasdepage"/>
        <w:rPr>
          <w:rFonts w:cs="Arial"/>
        </w:rPr>
      </w:pPr>
      <w:r w:rsidRPr="00487473">
        <w:rPr>
          <w:rFonts w:cs="Arial"/>
          <w:lang w:val="fr-CH"/>
        </w:rPr>
        <w:tab/>
      </w:r>
      <w:r w:rsidRPr="00763D72">
        <w:rPr>
          <w:rStyle w:val="Appelnotedebasdep"/>
        </w:rPr>
        <w:footnoteRef/>
      </w:r>
      <w:r>
        <w:rPr>
          <w:rFonts w:cs="Arial"/>
        </w:rPr>
        <w:tab/>
      </w:r>
      <w:r w:rsidRPr="00F320D6">
        <w:rPr>
          <w:rFonts w:cs="Arial"/>
          <w:noProof/>
          <w:lang w:val="fr-FR"/>
        </w:rPr>
        <w:t>2010, CRC/C/58/Rev.2.</w:t>
      </w:r>
    </w:p>
  </w:footnote>
  <w:footnote w:id="8">
    <w:p w:rsidR="000A2CB5" w:rsidRPr="00487473" w:rsidRDefault="000A2CB5" w:rsidP="008342B8">
      <w:pPr>
        <w:pStyle w:val="Notedebasdepage"/>
        <w:rPr>
          <w:lang w:val="fr-CH"/>
        </w:rPr>
      </w:pPr>
      <w:r>
        <w:tab/>
      </w:r>
      <w:r w:rsidRPr="00763D72">
        <w:rPr>
          <w:rStyle w:val="Appelnotedebasdep"/>
        </w:rPr>
        <w:footnoteRef/>
      </w:r>
      <w:r w:rsidRPr="00487473">
        <w:rPr>
          <w:lang w:val="fr-CH"/>
        </w:rPr>
        <w:tab/>
      </w:r>
      <w:r>
        <w:rPr>
          <w:noProof/>
          <w:lang w:val="fr-FR"/>
        </w:rPr>
        <w:t xml:space="preserve">Cette responsabilité </w:t>
      </w:r>
      <w:r w:rsidRPr="00D4370C">
        <w:rPr>
          <w:noProof/>
          <w:lang w:val="fr-FR"/>
        </w:rPr>
        <w:t>l</w:t>
      </w:r>
      <w:r>
        <w:rPr>
          <w:noProof/>
          <w:lang w:val="fr-FR"/>
        </w:rPr>
        <w:t>é</w:t>
      </w:r>
      <w:r w:rsidRPr="00D4370C">
        <w:rPr>
          <w:noProof/>
          <w:lang w:val="fr-FR"/>
        </w:rPr>
        <w:t xml:space="preserve">gislative </w:t>
      </w:r>
      <w:r>
        <w:rPr>
          <w:noProof/>
          <w:lang w:val="fr-FR"/>
        </w:rPr>
        <w:t xml:space="preserve">comprend la </w:t>
      </w:r>
      <w:r w:rsidRPr="00D4370C">
        <w:rPr>
          <w:noProof/>
          <w:lang w:val="fr-FR"/>
        </w:rPr>
        <w:t xml:space="preserve">Convention </w:t>
      </w:r>
      <w:r>
        <w:rPr>
          <w:noProof/>
          <w:lang w:val="fr-FR"/>
        </w:rPr>
        <w:t>relative aux droits de l’enfant (enfants jusqu’à l’âge de 18 ans),</w:t>
      </w:r>
      <w:r w:rsidRPr="00D4370C">
        <w:rPr>
          <w:noProof/>
          <w:lang w:val="fr-FR"/>
        </w:rPr>
        <w:t xml:space="preserve"> </w:t>
      </w:r>
      <w:r>
        <w:rPr>
          <w:noProof/>
          <w:lang w:val="fr-FR"/>
        </w:rPr>
        <w:t>la loi de 2000 sur la protection de l’éducation</w:t>
      </w:r>
      <w:r w:rsidRPr="00D4370C">
        <w:rPr>
          <w:noProof/>
          <w:lang w:val="fr-FR"/>
        </w:rPr>
        <w:t xml:space="preserve"> (</w:t>
      </w:r>
      <w:r>
        <w:rPr>
          <w:noProof/>
          <w:lang w:val="fr-FR"/>
        </w:rPr>
        <w:t xml:space="preserve">enfants et jeunes jusqu’à l’âge de </w:t>
      </w:r>
      <w:r w:rsidRPr="00D4370C">
        <w:rPr>
          <w:noProof/>
          <w:lang w:val="fr-FR"/>
        </w:rPr>
        <w:t xml:space="preserve">16 </w:t>
      </w:r>
      <w:r>
        <w:rPr>
          <w:noProof/>
          <w:lang w:val="fr-FR"/>
        </w:rPr>
        <w:t xml:space="preserve">et </w:t>
      </w:r>
      <w:r w:rsidRPr="00D4370C">
        <w:rPr>
          <w:noProof/>
          <w:lang w:val="fr-FR"/>
        </w:rPr>
        <w:t xml:space="preserve">17 </w:t>
      </w:r>
      <w:r>
        <w:rPr>
          <w:noProof/>
          <w:lang w:val="fr-FR"/>
        </w:rPr>
        <w:t>ans s’ils prennent un emploi</w:t>
      </w:r>
      <w:r w:rsidRPr="00D4370C">
        <w:rPr>
          <w:noProof/>
          <w:lang w:val="fr-FR"/>
        </w:rPr>
        <w:t xml:space="preserve">) </w:t>
      </w:r>
      <w:r>
        <w:rPr>
          <w:noProof/>
          <w:lang w:val="fr-FR"/>
        </w:rPr>
        <w:t xml:space="preserve">et la loi de 2001 sur l’action en faveur de la jeunesse </w:t>
      </w:r>
      <w:r w:rsidRPr="00D4370C">
        <w:rPr>
          <w:noProof/>
          <w:lang w:val="fr-FR"/>
        </w:rPr>
        <w:t>(</w:t>
      </w:r>
      <w:r>
        <w:rPr>
          <w:noProof/>
          <w:lang w:val="fr-FR"/>
        </w:rPr>
        <w:t>aux fins de laquelle un jeune est une personne âgée de moins de 25 ans, mais qui n’en met pas moins particulièrement l’accent sur les jeunes âgés de 10 à 21 ans).</w:t>
      </w:r>
    </w:p>
  </w:footnote>
  <w:footnote w:id="9">
    <w:p w:rsidR="000A2CB5" w:rsidRPr="00487473" w:rsidRDefault="000A2CB5" w:rsidP="008E1AF1">
      <w:pPr>
        <w:pStyle w:val="Notedebasdepage"/>
        <w:rPr>
          <w:rFonts w:cs="Arial"/>
          <w:lang w:val="fr-CH"/>
        </w:rPr>
      </w:pPr>
      <w:r w:rsidRPr="00487473">
        <w:rPr>
          <w:rFonts w:cs="Arial"/>
          <w:lang w:val="fr-CH"/>
        </w:rPr>
        <w:tab/>
      </w:r>
      <w:r w:rsidRPr="00763D72">
        <w:rPr>
          <w:rStyle w:val="Appelnotedebasdep"/>
        </w:rPr>
        <w:footnoteRef/>
      </w:r>
      <w:r w:rsidRPr="00487473">
        <w:rPr>
          <w:rFonts w:cs="Arial"/>
          <w:lang w:val="fr-CH"/>
        </w:rPr>
        <w:tab/>
      </w:r>
      <w:r w:rsidRPr="00AC6F1D">
        <w:rPr>
          <w:rFonts w:cs="Arial"/>
          <w:noProof/>
          <w:lang w:val="fr-FR"/>
        </w:rPr>
        <w:t xml:space="preserve">1996, CRC/C/11/Add.12, </w:t>
      </w:r>
      <w:r>
        <w:rPr>
          <w:rFonts w:cs="Arial"/>
          <w:noProof/>
          <w:lang w:val="fr-FR"/>
        </w:rPr>
        <w:t>p</w:t>
      </w:r>
      <w:r w:rsidRPr="00AC6F1D">
        <w:rPr>
          <w:rFonts w:cs="Arial"/>
          <w:noProof/>
          <w:lang w:val="fr-FR"/>
        </w:rPr>
        <w:t>ar</w:t>
      </w:r>
      <w:r>
        <w:rPr>
          <w:rFonts w:cs="Arial"/>
          <w:noProof/>
          <w:lang w:val="fr-FR"/>
        </w:rPr>
        <w:t>.</w:t>
      </w:r>
      <w:r w:rsidRPr="00AC6F1D">
        <w:rPr>
          <w:rFonts w:cs="Arial"/>
          <w:noProof/>
          <w:lang w:val="fr-FR"/>
        </w:rPr>
        <w:t> 86</w:t>
      </w:r>
      <w:r>
        <w:rPr>
          <w:rFonts w:cs="Arial"/>
          <w:noProof/>
          <w:lang w:val="fr-FR"/>
        </w:rPr>
        <w:t xml:space="preserve"> à </w:t>
      </w:r>
      <w:r w:rsidRPr="00AC6F1D">
        <w:rPr>
          <w:rFonts w:cs="Arial"/>
          <w:noProof/>
          <w:lang w:val="fr-FR"/>
        </w:rPr>
        <w:t xml:space="preserve">89; 2005, CRC/C/IRL/12, </w:t>
      </w:r>
      <w:r>
        <w:rPr>
          <w:rFonts w:cs="Arial"/>
          <w:noProof/>
          <w:lang w:val="fr-FR"/>
        </w:rPr>
        <w:t>p</w:t>
      </w:r>
      <w:r w:rsidRPr="00AC6F1D">
        <w:rPr>
          <w:rFonts w:cs="Arial"/>
          <w:noProof/>
          <w:lang w:val="fr-FR"/>
        </w:rPr>
        <w:t>ar</w:t>
      </w:r>
      <w:r>
        <w:rPr>
          <w:rFonts w:cs="Arial"/>
          <w:noProof/>
          <w:lang w:val="fr-FR"/>
        </w:rPr>
        <w:t>.</w:t>
      </w:r>
      <w:r w:rsidRPr="00AC6F1D">
        <w:rPr>
          <w:rFonts w:cs="Arial"/>
          <w:noProof/>
          <w:lang w:val="fr-FR"/>
        </w:rPr>
        <w:t> 251</w:t>
      </w:r>
      <w:r>
        <w:rPr>
          <w:rFonts w:cs="Arial"/>
          <w:noProof/>
          <w:lang w:val="fr-FR"/>
        </w:rPr>
        <w:t xml:space="preserve"> à </w:t>
      </w:r>
      <w:r w:rsidRPr="00AC6F1D">
        <w:rPr>
          <w:rFonts w:cs="Arial"/>
          <w:noProof/>
          <w:lang w:val="fr-FR"/>
        </w:rPr>
        <w:t>276.</w:t>
      </w:r>
    </w:p>
  </w:footnote>
  <w:footnote w:id="10">
    <w:p w:rsidR="000A2CB5" w:rsidRPr="00487473" w:rsidRDefault="000A2CB5" w:rsidP="005F3C76">
      <w:pPr>
        <w:pStyle w:val="Notedebasdepage"/>
        <w:rPr>
          <w:rFonts w:cs="Arial"/>
          <w:lang w:val="fr-CH"/>
        </w:rPr>
      </w:pPr>
      <w:r w:rsidRPr="00487473">
        <w:rPr>
          <w:rFonts w:cs="Arial"/>
          <w:lang w:val="fr-CH"/>
        </w:rPr>
        <w:tab/>
      </w:r>
      <w:r w:rsidRPr="00763D72">
        <w:rPr>
          <w:rStyle w:val="Appelnotedebasdep"/>
        </w:rPr>
        <w:footnoteRef/>
      </w:r>
      <w:r w:rsidRPr="00487473">
        <w:rPr>
          <w:rFonts w:cs="Arial"/>
          <w:lang w:val="fr-CH"/>
        </w:rPr>
        <w:tab/>
      </w:r>
      <w:r w:rsidRPr="00CB43AB">
        <w:rPr>
          <w:rFonts w:cs="Arial"/>
          <w:noProof/>
          <w:lang w:val="fr-FR"/>
        </w:rPr>
        <w:t xml:space="preserve">1996, CRC/C/11/Add.12, </w:t>
      </w:r>
      <w:r>
        <w:rPr>
          <w:rFonts w:cs="Arial"/>
          <w:noProof/>
          <w:lang w:val="fr-FR"/>
        </w:rPr>
        <w:t>p</w:t>
      </w:r>
      <w:r w:rsidRPr="00CB43AB">
        <w:rPr>
          <w:rFonts w:cs="Arial"/>
          <w:noProof/>
          <w:lang w:val="fr-FR"/>
        </w:rPr>
        <w:t>ar</w:t>
      </w:r>
      <w:r>
        <w:rPr>
          <w:rFonts w:cs="Arial"/>
          <w:noProof/>
          <w:lang w:val="fr-FR"/>
        </w:rPr>
        <w:t>.</w:t>
      </w:r>
      <w:r w:rsidRPr="00CB43AB">
        <w:rPr>
          <w:rFonts w:cs="Arial"/>
          <w:noProof/>
          <w:lang w:val="fr-FR"/>
        </w:rPr>
        <w:t> 95</w:t>
      </w:r>
      <w:r>
        <w:rPr>
          <w:rFonts w:cs="Arial"/>
          <w:noProof/>
          <w:lang w:val="fr-FR"/>
        </w:rPr>
        <w:t xml:space="preserve"> à </w:t>
      </w:r>
      <w:r w:rsidRPr="00CB43AB">
        <w:rPr>
          <w:rFonts w:cs="Arial"/>
          <w:noProof/>
          <w:lang w:val="fr-FR"/>
        </w:rPr>
        <w:t>103; 2005, CRC/C/IRL/2,</w:t>
      </w:r>
      <w:r>
        <w:rPr>
          <w:rFonts w:cs="Arial"/>
          <w:noProof/>
          <w:lang w:val="fr-FR"/>
        </w:rPr>
        <w:t xml:space="preserve"> p</w:t>
      </w:r>
      <w:r w:rsidRPr="00CB43AB">
        <w:rPr>
          <w:rFonts w:cs="Arial"/>
          <w:noProof/>
          <w:lang w:val="fr-FR"/>
        </w:rPr>
        <w:t>ar</w:t>
      </w:r>
      <w:r>
        <w:rPr>
          <w:rFonts w:cs="Arial"/>
          <w:noProof/>
          <w:lang w:val="fr-FR"/>
        </w:rPr>
        <w:t>.</w:t>
      </w:r>
      <w:r w:rsidRPr="00CB43AB">
        <w:rPr>
          <w:rFonts w:cs="Arial"/>
          <w:noProof/>
          <w:lang w:val="fr-FR"/>
        </w:rPr>
        <w:t> 277</w:t>
      </w:r>
      <w:r>
        <w:rPr>
          <w:rFonts w:cs="Arial"/>
          <w:noProof/>
          <w:lang w:val="fr-FR"/>
        </w:rPr>
        <w:t xml:space="preserve"> à </w:t>
      </w:r>
      <w:r w:rsidRPr="00CB43AB">
        <w:rPr>
          <w:rFonts w:cs="Arial"/>
          <w:noProof/>
          <w:lang w:val="fr-FR"/>
        </w:rPr>
        <w:t>315</w:t>
      </w:r>
      <w:r w:rsidRPr="00487473">
        <w:rPr>
          <w:rFonts w:cs="Arial"/>
          <w:lang w:val="fr-CH"/>
        </w:rPr>
        <w:t>.</w:t>
      </w:r>
    </w:p>
  </w:footnote>
  <w:footnote w:id="11">
    <w:p w:rsidR="000A2CB5" w:rsidRPr="00487473" w:rsidRDefault="000A2CB5" w:rsidP="005F3C76">
      <w:pPr>
        <w:pStyle w:val="Notedebasdepage"/>
        <w:rPr>
          <w:lang w:val="fr-CH"/>
        </w:rPr>
      </w:pPr>
      <w:r w:rsidRPr="00487473">
        <w:rPr>
          <w:rFonts w:ascii="Arial" w:hAnsi="Arial" w:cs="Arial"/>
          <w:lang w:val="fr-CH"/>
        </w:rPr>
        <w:tab/>
      </w:r>
      <w:r w:rsidRPr="00763D72">
        <w:rPr>
          <w:rStyle w:val="Appelnotedebasdep"/>
        </w:rPr>
        <w:footnoteRef/>
      </w:r>
      <w:r w:rsidRPr="00487473">
        <w:rPr>
          <w:lang w:val="fr-CH"/>
        </w:rPr>
        <w:tab/>
      </w:r>
      <w:r w:rsidRPr="00705E2A">
        <w:rPr>
          <w:noProof/>
          <w:lang w:val="fr-FR"/>
        </w:rPr>
        <w:t xml:space="preserve">1996, CRC/C/11/Add.12, </w:t>
      </w:r>
      <w:r>
        <w:rPr>
          <w:noProof/>
          <w:lang w:val="fr-FR"/>
        </w:rPr>
        <w:t>p</w:t>
      </w:r>
      <w:r w:rsidRPr="00705E2A">
        <w:rPr>
          <w:noProof/>
          <w:lang w:val="fr-FR"/>
        </w:rPr>
        <w:t>ar</w:t>
      </w:r>
      <w:r>
        <w:rPr>
          <w:noProof/>
          <w:lang w:val="fr-FR"/>
        </w:rPr>
        <w:t>.</w:t>
      </w:r>
      <w:r w:rsidRPr="00705E2A">
        <w:rPr>
          <w:noProof/>
          <w:lang w:val="fr-FR"/>
        </w:rPr>
        <w:t> </w:t>
      </w:r>
      <w:r>
        <w:rPr>
          <w:noProof/>
          <w:lang w:val="fr-FR"/>
        </w:rPr>
        <w:t xml:space="preserve">104 à </w:t>
      </w:r>
      <w:r w:rsidRPr="00705E2A">
        <w:rPr>
          <w:noProof/>
          <w:lang w:val="fr-FR"/>
        </w:rPr>
        <w:t>116</w:t>
      </w:r>
      <w:r w:rsidRPr="00487473">
        <w:rPr>
          <w:szCs w:val="24"/>
          <w:lang w:val="fr-CH"/>
        </w:rPr>
        <w:t xml:space="preserve">. </w:t>
      </w:r>
    </w:p>
  </w:footnote>
  <w:footnote w:id="12">
    <w:p w:rsidR="000A2CB5" w:rsidRPr="00487473" w:rsidRDefault="000A2CB5" w:rsidP="005F3C76">
      <w:pPr>
        <w:pStyle w:val="Notedebasdepage"/>
        <w:rPr>
          <w:rFonts w:cs="Arial"/>
          <w:lang w:val="fr-CH"/>
        </w:rPr>
      </w:pPr>
      <w:r w:rsidRPr="00487473">
        <w:rPr>
          <w:rFonts w:cs="Arial"/>
          <w:lang w:val="fr-CH"/>
        </w:rPr>
        <w:tab/>
      </w:r>
      <w:r w:rsidRPr="00763D72">
        <w:rPr>
          <w:rStyle w:val="Appelnotedebasdep"/>
        </w:rPr>
        <w:footnoteRef/>
      </w:r>
      <w:r w:rsidRPr="00487473">
        <w:rPr>
          <w:rFonts w:cs="Arial"/>
          <w:lang w:val="fr-CH"/>
        </w:rPr>
        <w:tab/>
      </w:r>
      <w:r w:rsidRPr="000D2102">
        <w:rPr>
          <w:rFonts w:cs="Arial"/>
          <w:noProof/>
          <w:lang w:val="fr-FR"/>
        </w:rPr>
        <w:t xml:space="preserve">2005, CRC/C/IRL/2, </w:t>
      </w:r>
      <w:r>
        <w:rPr>
          <w:rFonts w:cs="Arial"/>
          <w:noProof/>
          <w:lang w:val="fr-FR"/>
        </w:rPr>
        <w:t>p</w:t>
      </w:r>
      <w:r w:rsidRPr="000D2102">
        <w:rPr>
          <w:rFonts w:cs="Arial"/>
          <w:noProof/>
          <w:lang w:val="fr-FR"/>
        </w:rPr>
        <w:t>ar</w:t>
      </w:r>
      <w:r>
        <w:rPr>
          <w:rFonts w:cs="Arial"/>
          <w:noProof/>
          <w:lang w:val="fr-FR"/>
        </w:rPr>
        <w:t>.</w:t>
      </w:r>
      <w:r w:rsidRPr="000D2102">
        <w:rPr>
          <w:rFonts w:cs="Arial"/>
          <w:noProof/>
          <w:lang w:val="fr-FR"/>
        </w:rPr>
        <w:t> 318.</w:t>
      </w:r>
    </w:p>
  </w:footnote>
  <w:footnote w:id="13">
    <w:p w:rsidR="000A2CB5" w:rsidRPr="00487473" w:rsidRDefault="000A2CB5" w:rsidP="003D0F58">
      <w:pPr>
        <w:pStyle w:val="Notedebasdepage"/>
        <w:rPr>
          <w:rFonts w:cs="Arial"/>
          <w:lang w:val="fr-CH"/>
        </w:rPr>
      </w:pPr>
      <w:r w:rsidRPr="00487473">
        <w:rPr>
          <w:rFonts w:cs="Arial"/>
          <w:lang w:val="fr-CH"/>
        </w:rPr>
        <w:tab/>
      </w:r>
      <w:r w:rsidRPr="00763D72">
        <w:rPr>
          <w:rStyle w:val="Appelnotedebasdep"/>
        </w:rPr>
        <w:footnoteRef/>
      </w:r>
      <w:r w:rsidRPr="00487473">
        <w:rPr>
          <w:rFonts w:cs="Arial"/>
          <w:lang w:val="fr-CH"/>
        </w:rPr>
        <w:tab/>
      </w:r>
      <w:r>
        <w:rPr>
          <w:rFonts w:cs="Arial"/>
          <w:noProof/>
          <w:lang w:val="fr-FR"/>
        </w:rPr>
        <w:t>2005, CRC/C/IRL/2, p</w:t>
      </w:r>
      <w:r w:rsidRPr="00915CC4">
        <w:rPr>
          <w:rFonts w:cs="Arial"/>
          <w:noProof/>
          <w:lang w:val="fr-FR"/>
        </w:rPr>
        <w:t>ar</w:t>
      </w:r>
      <w:r>
        <w:rPr>
          <w:rFonts w:cs="Arial"/>
          <w:noProof/>
          <w:lang w:val="fr-FR"/>
        </w:rPr>
        <w:t>.</w:t>
      </w:r>
      <w:r w:rsidRPr="00915CC4">
        <w:rPr>
          <w:rFonts w:cs="Arial"/>
          <w:noProof/>
          <w:lang w:val="fr-FR"/>
        </w:rPr>
        <w:t> 330</w:t>
      </w:r>
      <w:r>
        <w:rPr>
          <w:rFonts w:cs="Arial"/>
          <w:noProof/>
          <w:lang w:val="fr-FR"/>
        </w:rPr>
        <w:t xml:space="preserve"> à </w:t>
      </w:r>
      <w:r w:rsidRPr="00915CC4">
        <w:rPr>
          <w:rFonts w:cs="Arial"/>
          <w:noProof/>
          <w:lang w:val="fr-FR"/>
        </w:rPr>
        <w:t>354</w:t>
      </w:r>
      <w:r w:rsidRPr="00487473">
        <w:rPr>
          <w:rFonts w:cs="Arial"/>
          <w:lang w:val="fr-CH"/>
        </w:rPr>
        <w:t xml:space="preserve">. </w:t>
      </w:r>
    </w:p>
  </w:footnote>
  <w:footnote w:id="14">
    <w:p w:rsidR="000A2CB5" w:rsidRPr="00101062" w:rsidRDefault="000A2CB5" w:rsidP="00654EEC">
      <w:pPr>
        <w:pStyle w:val="Notedebasdepage"/>
        <w:rPr>
          <w:rFonts w:cs="Arial"/>
          <w:noProof/>
          <w:lang w:val="fr-FR"/>
        </w:rPr>
      </w:pPr>
      <w:r w:rsidRPr="00487473">
        <w:rPr>
          <w:rFonts w:cs="Arial"/>
          <w:lang w:val="fr-CH"/>
        </w:rPr>
        <w:tab/>
      </w:r>
      <w:r w:rsidRPr="00763D72">
        <w:rPr>
          <w:rStyle w:val="Appelnotedebasdep"/>
        </w:rPr>
        <w:footnoteRef/>
      </w:r>
      <w:r w:rsidRPr="00B11AFE">
        <w:rPr>
          <w:rFonts w:cs="Arial"/>
          <w:lang w:val="fr-CH"/>
        </w:rPr>
        <w:tab/>
      </w:r>
      <w:r w:rsidRPr="00101062">
        <w:rPr>
          <w:rFonts w:cs="Arial"/>
          <w:noProof/>
          <w:lang w:val="fr-FR"/>
        </w:rPr>
        <w:t xml:space="preserve">2005, CRC/C/IRL/2, </w:t>
      </w:r>
      <w:r>
        <w:rPr>
          <w:rFonts w:cs="Arial"/>
          <w:noProof/>
          <w:lang w:val="fr-FR"/>
        </w:rPr>
        <w:t>p</w:t>
      </w:r>
      <w:r w:rsidRPr="00101062">
        <w:rPr>
          <w:rFonts w:cs="Arial"/>
          <w:noProof/>
          <w:lang w:val="fr-FR"/>
        </w:rPr>
        <w:t>ar</w:t>
      </w:r>
      <w:r>
        <w:rPr>
          <w:rFonts w:cs="Arial"/>
          <w:noProof/>
          <w:lang w:val="fr-FR"/>
        </w:rPr>
        <w:t>.</w:t>
      </w:r>
      <w:r w:rsidRPr="00101062">
        <w:rPr>
          <w:rFonts w:cs="Arial"/>
          <w:noProof/>
          <w:lang w:val="fr-FR"/>
        </w:rPr>
        <w:t> 36</w:t>
      </w:r>
      <w:r>
        <w:rPr>
          <w:rFonts w:cs="Arial"/>
          <w:noProof/>
          <w:lang w:val="fr-FR"/>
        </w:rPr>
        <w:t>8</w:t>
      </w:r>
      <w:r w:rsidRPr="00101062">
        <w:rPr>
          <w:rFonts w:cs="Arial"/>
          <w:noProof/>
          <w:lang w:val="fr-FR"/>
        </w:rPr>
        <w:t>.</w:t>
      </w:r>
    </w:p>
  </w:footnote>
  <w:footnote w:id="15">
    <w:p w:rsidR="000A2CB5" w:rsidRPr="00101062" w:rsidRDefault="000A2CB5" w:rsidP="00654EEC">
      <w:pPr>
        <w:pStyle w:val="Notedebasdepage"/>
        <w:rPr>
          <w:rFonts w:cs="Arial"/>
          <w:noProof/>
          <w:lang w:val="fr-FR"/>
        </w:rPr>
      </w:pPr>
      <w:r w:rsidRPr="00101062">
        <w:rPr>
          <w:rFonts w:cs="Arial"/>
          <w:noProof/>
          <w:lang w:val="fr-FR"/>
        </w:rPr>
        <w:tab/>
      </w:r>
      <w:r w:rsidRPr="00101062">
        <w:rPr>
          <w:rStyle w:val="Appelnotedebasdep"/>
          <w:noProof/>
          <w:lang w:val="fr-FR"/>
        </w:rPr>
        <w:footnoteRef/>
      </w:r>
      <w:r>
        <w:rPr>
          <w:rFonts w:cs="Arial"/>
          <w:noProof/>
          <w:lang w:val="fr-FR"/>
        </w:rPr>
        <w:tab/>
        <w:t>2005, CRC/C/IRL/2, par.</w:t>
      </w:r>
      <w:r w:rsidRPr="00101062">
        <w:rPr>
          <w:rFonts w:cs="Arial"/>
          <w:noProof/>
          <w:lang w:val="fr-FR"/>
        </w:rPr>
        <w:t> 370</w:t>
      </w:r>
      <w:r>
        <w:rPr>
          <w:rFonts w:cs="Arial"/>
          <w:noProof/>
          <w:lang w:val="fr-FR"/>
        </w:rPr>
        <w:t xml:space="preserve"> et 3</w:t>
      </w:r>
      <w:r w:rsidRPr="00101062">
        <w:rPr>
          <w:rFonts w:cs="Arial"/>
          <w:noProof/>
          <w:lang w:val="fr-FR"/>
        </w:rPr>
        <w:t>71</w:t>
      </w:r>
      <w:r w:rsidRPr="00101062">
        <w:rPr>
          <w:rFonts w:cs="Arial"/>
          <w:noProof/>
          <w:szCs w:val="24"/>
          <w:lang w:val="fr-FR"/>
        </w:rPr>
        <w:t>.</w:t>
      </w:r>
    </w:p>
  </w:footnote>
  <w:footnote w:id="16">
    <w:p w:rsidR="000A2CB5" w:rsidRPr="00B11AFE" w:rsidRDefault="000A2CB5" w:rsidP="00654EEC">
      <w:pPr>
        <w:pStyle w:val="Notedebasdepage"/>
        <w:rPr>
          <w:rFonts w:cs="Arial"/>
          <w:lang w:val="fr-CH"/>
        </w:rPr>
      </w:pPr>
      <w:r w:rsidRPr="00101062">
        <w:rPr>
          <w:rFonts w:cs="Arial"/>
          <w:noProof/>
          <w:lang w:val="fr-FR"/>
        </w:rPr>
        <w:tab/>
      </w:r>
      <w:r w:rsidRPr="00101062">
        <w:rPr>
          <w:rStyle w:val="Appelnotedebasdep"/>
          <w:noProof/>
          <w:lang w:val="fr-FR"/>
        </w:rPr>
        <w:footnoteRef/>
      </w:r>
      <w:r>
        <w:rPr>
          <w:rFonts w:cs="Arial"/>
          <w:noProof/>
          <w:lang w:val="fr-FR"/>
        </w:rPr>
        <w:tab/>
        <w:t>2005, CRC/C/IRL/2, p</w:t>
      </w:r>
      <w:r w:rsidRPr="00101062">
        <w:rPr>
          <w:rFonts w:cs="Arial"/>
          <w:noProof/>
          <w:lang w:val="fr-FR"/>
        </w:rPr>
        <w:t>ar</w:t>
      </w:r>
      <w:r>
        <w:rPr>
          <w:rFonts w:cs="Arial"/>
          <w:noProof/>
          <w:lang w:val="fr-FR"/>
        </w:rPr>
        <w:t>.</w:t>
      </w:r>
      <w:r w:rsidRPr="00101062">
        <w:rPr>
          <w:rFonts w:cs="Arial"/>
          <w:noProof/>
          <w:lang w:val="fr-FR"/>
        </w:rPr>
        <w:t> 373</w:t>
      </w:r>
      <w:r>
        <w:rPr>
          <w:rFonts w:cs="Arial"/>
          <w:noProof/>
          <w:lang w:val="fr-FR"/>
        </w:rPr>
        <w:t xml:space="preserve"> et </w:t>
      </w:r>
      <w:r w:rsidRPr="00101062">
        <w:rPr>
          <w:rFonts w:cs="Arial"/>
          <w:noProof/>
          <w:lang w:val="fr-FR"/>
        </w:rPr>
        <w:t>374</w:t>
      </w:r>
      <w:r w:rsidRPr="00B11AFE">
        <w:rPr>
          <w:rFonts w:cs="Arial"/>
          <w:lang w:val="fr-CH"/>
        </w:rPr>
        <w:t>.</w:t>
      </w:r>
    </w:p>
  </w:footnote>
  <w:footnote w:id="17">
    <w:p w:rsidR="000A2CB5" w:rsidRPr="00487473" w:rsidRDefault="000A2CB5" w:rsidP="00654EEC">
      <w:pPr>
        <w:pStyle w:val="Notedebasdepage"/>
        <w:rPr>
          <w:rFonts w:cs="Arial"/>
          <w:lang w:val="fr-CH"/>
        </w:rPr>
      </w:pPr>
      <w:r w:rsidRPr="00B11AFE">
        <w:rPr>
          <w:rFonts w:cs="Arial"/>
          <w:lang w:val="fr-CH"/>
        </w:rPr>
        <w:tab/>
      </w:r>
      <w:r w:rsidRPr="00763D72">
        <w:rPr>
          <w:rStyle w:val="Appelnotedebasdep"/>
        </w:rPr>
        <w:footnoteRef/>
      </w:r>
      <w:r w:rsidRPr="00487473">
        <w:rPr>
          <w:rFonts w:cs="Arial"/>
          <w:lang w:val="fr-CH"/>
        </w:rPr>
        <w:tab/>
      </w:r>
      <w:r w:rsidRPr="002E55E3">
        <w:rPr>
          <w:rFonts w:cs="Arial"/>
          <w:noProof/>
          <w:lang w:val="fr-FR"/>
        </w:rPr>
        <w:t xml:space="preserve">2005, CRC/C/IRL/2, </w:t>
      </w:r>
      <w:r>
        <w:rPr>
          <w:rFonts w:cs="Arial"/>
          <w:noProof/>
          <w:lang w:val="fr-FR"/>
        </w:rPr>
        <w:t>p</w:t>
      </w:r>
      <w:r w:rsidRPr="002E55E3">
        <w:rPr>
          <w:rFonts w:cs="Arial"/>
          <w:noProof/>
          <w:lang w:val="fr-FR"/>
        </w:rPr>
        <w:t>ar</w:t>
      </w:r>
      <w:r>
        <w:rPr>
          <w:rFonts w:cs="Arial"/>
          <w:noProof/>
          <w:lang w:val="fr-FR"/>
        </w:rPr>
        <w:t>.</w:t>
      </w:r>
      <w:r w:rsidRPr="002E55E3">
        <w:rPr>
          <w:rFonts w:cs="Arial"/>
          <w:noProof/>
          <w:lang w:val="fr-FR"/>
        </w:rPr>
        <w:t> 37</w:t>
      </w:r>
      <w:r>
        <w:rPr>
          <w:rFonts w:cs="Arial"/>
          <w:noProof/>
          <w:lang w:val="fr-FR"/>
        </w:rPr>
        <w:t>1</w:t>
      </w:r>
      <w:r w:rsidRPr="00487473">
        <w:rPr>
          <w:rFonts w:cs="Arial"/>
          <w:lang w:val="fr-CH"/>
        </w:rPr>
        <w:t>.</w:t>
      </w:r>
    </w:p>
  </w:footnote>
  <w:footnote w:id="18">
    <w:p w:rsidR="000A2CB5" w:rsidRPr="00487473" w:rsidRDefault="000A2CB5" w:rsidP="00654EEC">
      <w:pPr>
        <w:pStyle w:val="Notedebasdepage"/>
        <w:rPr>
          <w:rFonts w:cs="Arial"/>
          <w:lang w:val="fr-CH"/>
        </w:rPr>
      </w:pPr>
      <w:r w:rsidRPr="00487473">
        <w:rPr>
          <w:rFonts w:cs="Arial"/>
          <w:lang w:val="fr-CH"/>
        </w:rPr>
        <w:tab/>
      </w:r>
      <w:r w:rsidRPr="00763D72">
        <w:rPr>
          <w:rStyle w:val="Appelnotedebasdep"/>
        </w:rPr>
        <w:footnoteRef/>
      </w:r>
      <w:r w:rsidRPr="00487473">
        <w:rPr>
          <w:rFonts w:cs="Arial"/>
          <w:lang w:val="fr-CH"/>
        </w:rPr>
        <w:tab/>
      </w:r>
      <w:r w:rsidRPr="004D43A3">
        <w:rPr>
          <w:rFonts w:cs="Arial"/>
          <w:noProof/>
          <w:lang w:val="fr-FR"/>
        </w:rPr>
        <w:t xml:space="preserve">2005, CRC/C/IRL/2, </w:t>
      </w:r>
      <w:r>
        <w:rPr>
          <w:rFonts w:cs="Arial"/>
          <w:noProof/>
          <w:lang w:val="fr-FR"/>
        </w:rPr>
        <w:t>p</w:t>
      </w:r>
      <w:r w:rsidRPr="004D43A3">
        <w:rPr>
          <w:rFonts w:cs="Arial"/>
          <w:noProof/>
          <w:lang w:val="fr-FR"/>
        </w:rPr>
        <w:t>ar</w:t>
      </w:r>
      <w:r>
        <w:rPr>
          <w:rFonts w:cs="Arial"/>
          <w:noProof/>
          <w:lang w:val="fr-FR"/>
        </w:rPr>
        <w:t>.</w:t>
      </w:r>
      <w:r w:rsidRPr="004D43A3">
        <w:rPr>
          <w:rFonts w:cs="Arial"/>
          <w:noProof/>
          <w:lang w:val="fr-FR"/>
        </w:rPr>
        <w:t> 377</w:t>
      </w:r>
      <w:r>
        <w:rPr>
          <w:rFonts w:cs="Arial"/>
          <w:noProof/>
          <w:lang w:val="fr-FR"/>
        </w:rPr>
        <w:t xml:space="preserve"> à </w:t>
      </w:r>
      <w:r w:rsidRPr="004D43A3">
        <w:rPr>
          <w:rFonts w:cs="Arial"/>
          <w:noProof/>
          <w:lang w:val="fr-FR"/>
        </w:rPr>
        <w:t>391</w:t>
      </w:r>
      <w:r w:rsidRPr="00487473">
        <w:rPr>
          <w:rFonts w:cs="Arial"/>
          <w:lang w:val="fr-CH"/>
        </w:rPr>
        <w:t>.</w:t>
      </w:r>
    </w:p>
  </w:footnote>
  <w:footnote w:id="19">
    <w:p w:rsidR="000A2CB5" w:rsidRPr="00BE7CC7" w:rsidRDefault="000A2CB5" w:rsidP="00654EEC">
      <w:pPr>
        <w:pStyle w:val="Notedebasdepage"/>
        <w:rPr>
          <w:rFonts w:cs="Arial"/>
          <w:noProof/>
          <w:lang w:val="fr-FR"/>
        </w:rPr>
      </w:pPr>
      <w:r w:rsidRPr="00487473">
        <w:rPr>
          <w:rFonts w:cs="Arial"/>
          <w:lang w:val="fr-CH"/>
        </w:rPr>
        <w:tab/>
      </w:r>
      <w:r w:rsidRPr="00763D72">
        <w:rPr>
          <w:rStyle w:val="Appelnotedebasdep"/>
        </w:rPr>
        <w:footnoteRef/>
      </w:r>
      <w:r w:rsidRPr="00487473">
        <w:rPr>
          <w:rFonts w:cs="Arial"/>
          <w:lang w:val="fr-CH"/>
        </w:rPr>
        <w:tab/>
      </w:r>
      <w:r>
        <w:rPr>
          <w:rFonts w:cs="Arial"/>
          <w:noProof/>
          <w:lang w:val="fr-FR"/>
        </w:rPr>
        <w:t>2005, CRC/C/IRL/2, p</w:t>
      </w:r>
      <w:r w:rsidRPr="00BE7CC7">
        <w:rPr>
          <w:rFonts w:cs="Arial"/>
          <w:noProof/>
          <w:lang w:val="fr-FR"/>
        </w:rPr>
        <w:t>ar</w:t>
      </w:r>
      <w:r>
        <w:rPr>
          <w:rFonts w:cs="Arial"/>
          <w:noProof/>
          <w:lang w:val="fr-FR"/>
        </w:rPr>
        <w:t>.</w:t>
      </w:r>
      <w:r w:rsidRPr="00BE7CC7">
        <w:rPr>
          <w:rFonts w:cs="Arial"/>
          <w:noProof/>
          <w:lang w:val="fr-FR"/>
        </w:rPr>
        <w:t> 385.</w:t>
      </w:r>
    </w:p>
  </w:footnote>
  <w:footnote w:id="20">
    <w:p w:rsidR="000A2CB5" w:rsidRPr="00487473" w:rsidRDefault="000A2CB5" w:rsidP="00510086">
      <w:pPr>
        <w:pStyle w:val="Notedebasdepage"/>
        <w:rPr>
          <w:rFonts w:cs="Arial"/>
          <w:lang w:val="fr-CH"/>
        </w:rPr>
      </w:pPr>
      <w:r w:rsidRPr="00487473">
        <w:rPr>
          <w:rFonts w:cs="Arial"/>
          <w:lang w:val="fr-CH"/>
        </w:rPr>
        <w:tab/>
      </w:r>
      <w:r w:rsidRPr="00763D72">
        <w:rPr>
          <w:rStyle w:val="Appelnotedebasdep"/>
        </w:rPr>
        <w:footnoteRef/>
      </w:r>
      <w:r w:rsidRPr="00487473">
        <w:rPr>
          <w:rFonts w:cs="Arial"/>
          <w:lang w:val="fr-CH"/>
        </w:rPr>
        <w:tab/>
      </w:r>
      <w:r w:rsidRPr="00301FD4">
        <w:rPr>
          <w:rFonts w:cs="Arial"/>
          <w:noProof/>
          <w:lang w:val="fr-FR"/>
        </w:rPr>
        <w:t xml:space="preserve">2005, CRC/C/IRL/2, </w:t>
      </w:r>
      <w:r>
        <w:rPr>
          <w:rFonts w:cs="Arial"/>
          <w:noProof/>
          <w:lang w:val="fr-FR"/>
        </w:rPr>
        <w:t>p</w:t>
      </w:r>
      <w:r w:rsidRPr="00301FD4">
        <w:rPr>
          <w:rFonts w:cs="Arial"/>
          <w:noProof/>
          <w:lang w:val="fr-FR"/>
        </w:rPr>
        <w:t>ar</w:t>
      </w:r>
      <w:r>
        <w:rPr>
          <w:rFonts w:cs="Arial"/>
          <w:noProof/>
          <w:lang w:val="fr-FR"/>
        </w:rPr>
        <w:t>.</w:t>
      </w:r>
      <w:r w:rsidRPr="00301FD4">
        <w:rPr>
          <w:rFonts w:cs="Arial"/>
          <w:noProof/>
          <w:lang w:val="fr-FR"/>
        </w:rPr>
        <w:t> 392</w:t>
      </w:r>
      <w:r>
        <w:rPr>
          <w:rFonts w:cs="Arial"/>
          <w:noProof/>
          <w:lang w:val="fr-FR"/>
        </w:rPr>
        <w:t xml:space="preserve"> à </w:t>
      </w:r>
      <w:r w:rsidRPr="00301FD4">
        <w:rPr>
          <w:rFonts w:cs="Arial"/>
          <w:noProof/>
          <w:lang w:val="fr-FR"/>
        </w:rPr>
        <w:t>396</w:t>
      </w:r>
      <w:r w:rsidRPr="00487473">
        <w:rPr>
          <w:rFonts w:cs="Arial"/>
          <w:lang w:val="fr-CH"/>
        </w:rPr>
        <w:t>.</w:t>
      </w:r>
    </w:p>
  </w:footnote>
  <w:footnote w:id="21">
    <w:p w:rsidR="000A2CB5" w:rsidRPr="008205B3" w:rsidRDefault="000A2CB5" w:rsidP="00510086">
      <w:pPr>
        <w:pStyle w:val="Notedebasdepage"/>
        <w:rPr>
          <w:noProof/>
          <w:lang w:val="fr-FR"/>
        </w:rPr>
      </w:pPr>
      <w:r w:rsidRPr="00487473">
        <w:rPr>
          <w:rFonts w:ascii="Arial" w:hAnsi="Arial" w:cs="Arial"/>
          <w:lang w:val="fr-CH"/>
        </w:rPr>
        <w:tab/>
      </w:r>
      <w:r w:rsidRPr="008205B3">
        <w:rPr>
          <w:rStyle w:val="Appelnotedebasdep"/>
          <w:noProof/>
          <w:lang w:val="fr-FR"/>
        </w:rPr>
        <w:footnoteRef/>
      </w:r>
      <w:r w:rsidRPr="008205B3">
        <w:rPr>
          <w:rFonts w:ascii="Arial" w:hAnsi="Arial" w:cs="Arial"/>
          <w:noProof/>
          <w:lang w:val="fr-FR"/>
        </w:rPr>
        <w:tab/>
      </w:r>
      <w:r>
        <w:rPr>
          <w:noProof/>
          <w:lang w:val="fr-FR"/>
        </w:rPr>
        <w:t xml:space="preserve">L’article </w:t>
      </w:r>
      <w:r w:rsidRPr="008205B3">
        <w:rPr>
          <w:noProof/>
          <w:lang w:val="fr-FR"/>
        </w:rPr>
        <w:t xml:space="preserve">246 </w:t>
      </w:r>
      <w:r>
        <w:rPr>
          <w:noProof/>
          <w:lang w:val="fr-FR"/>
        </w:rPr>
        <w:t xml:space="preserve">de la loi de 2001 sur les enfants dispose ce qui suit </w:t>
      </w:r>
      <w:r w:rsidRPr="008205B3">
        <w:rPr>
          <w:noProof/>
          <w:lang w:val="fr-FR"/>
        </w:rPr>
        <w:t xml:space="preserve">: 1) </w:t>
      </w:r>
      <w:r>
        <w:rPr>
          <w:lang w:val="fr-FR"/>
        </w:rPr>
        <w:t>le fait pour une personne ayant la garde ou la charge d’un enfant de délibérément l’agresser, le maltraiter, le négliger, l’abandonner ou l’exposer, ou encore de faire en sorte ou de permettre qu’il soit agressé, maltraité, négligé, abandonné ou exposé et qu’il subisse ainsi des souffrances ou des lésions inutiles ou que son bien-être s’en trouve gravement perturbé constitue une infraction</w:t>
      </w:r>
      <w:r w:rsidRPr="002135F8">
        <w:rPr>
          <w:szCs w:val="24"/>
          <w:lang w:val="fr-CH"/>
        </w:rPr>
        <w:t>.</w:t>
      </w:r>
    </w:p>
  </w:footnote>
  <w:footnote w:id="22">
    <w:p w:rsidR="000A2CB5" w:rsidRDefault="000A2CB5" w:rsidP="00510086">
      <w:pPr>
        <w:pStyle w:val="Notedebasdepage"/>
        <w:rPr>
          <w:rFonts w:cs="Arial"/>
        </w:rPr>
      </w:pPr>
      <w:r w:rsidRPr="008205B3">
        <w:rPr>
          <w:rFonts w:cs="Arial"/>
          <w:noProof/>
          <w:lang w:val="fr-FR"/>
        </w:rPr>
        <w:tab/>
      </w:r>
      <w:r w:rsidRPr="008205B3">
        <w:rPr>
          <w:rStyle w:val="Appelnotedebasdep"/>
          <w:noProof/>
          <w:lang w:val="fr-FR"/>
        </w:rPr>
        <w:footnoteRef/>
      </w:r>
      <w:r w:rsidRPr="008205B3">
        <w:rPr>
          <w:rFonts w:cs="Arial"/>
          <w:noProof/>
          <w:lang w:val="fr-FR"/>
        </w:rPr>
        <w:tab/>
      </w:r>
      <w:r w:rsidRPr="008205B3">
        <w:rPr>
          <w:rFonts w:cs="Arial"/>
          <w:noProof/>
          <w:color w:val="000000"/>
          <w:lang w:val="fr-FR"/>
        </w:rPr>
        <w:t xml:space="preserve">2005, CRC/C/IRL/2, </w:t>
      </w:r>
      <w:r>
        <w:rPr>
          <w:rFonts w:cs="Arial"/>
          <w:noProof/>
          <w:lang w:val="fr-FR"/>
        </w:rPr>
        <w:t>p</w:t>
      </w:r>
      <w:r w:rsidRPr="008205B3">
        <w:rPr>
          <w:rFonts w:cs="Arial"/>
          <w:noProof/>
          <w:lang w:val="fr-FR"/>
        </w:rPr>
        <w:t>ar</w:t>
      </w:r>
      <w:r>
        <w:rPr>
          <w:rFonts w:cs="Arial"/>
          <w:noProof/>
          <w:lang w:val="fr-FR"/>
        </w:rPr>
        <w:t>. </w:t>
      </w:r>
      <w:r w:rsidRPr="008205B3">
        <w:rPr>
          <w:rFonts w:cs="Arial"/>
          <w:noProof/>
          <w:color w:val="000000"/>
          <w:lang w:val="fr-FR"/>
        </w:rPr>
        <w:t>300</w:t>
      </w:r>
      <w:r>
        <w:rPr>
          <w:rFonts w:cs="Arial"/>
          <w:noProof/>
          <w:color w:val="000000"/>
          <w:lang w:val="fr-FR"/>
        </w:rPr>
        <w:t xml:space="preserve"> et </w:t>
      </w:r>
      <w:r w:rsidRPr="008205B3">
        <w:rPr>
          <w:rFonts w:cs="Arial"/>
          <w:noProof/>
          <w:color w:val="000000"/>
          <w:lang w:val="fr-FR"/>
        </w:rPr>
        <w:t>301.</w:t>
      </w:r>
    </w:p>
  </w:footnote>
  <w:footnote w:id="23">
    <w:p w:rsidR="000A2CB5" w:rsidRPr="008C6A89" w:rsidRDefault="000A2CB5" w:rsidP="00905D61">
      <w:pPr>
        <w:pStyle w:val="Notedebasdepage"/>
        <w:rPr>
          <w:rFonts w:cs="Arial"/>
          <w:noProof/>
          <w:lang w:val="fr-FR"/>
        </w:rPr>
      </w:pPr>
      <w:r>
        <w:rPr>
          <w:rFonts w:cs="Arial"/>
        </w:rPr>
        <w:tab/>
      </w:r>
      <w:r w:rsidRPr="00763D72">
        <w:rPr>
          <w:rStyle w:val="Appelnotedebasdep"/>
        </w:rPr>
        <w:footnoteRef/>
      </w:r>
      <w:r w:rsidRPr="00487473">
        <w:rPr>
          <w:rFonts w:cs="Arial"/>
          <w:lang w:val="fr-CH"/>
        </w:rPr>
        <w:tab/>
      </w:r>
      <w:r>
        <w:rPr>
          <w:rFonts w:cs="Arial"/>
          <w:noProof/>
          <w:lang w:val="fr-FR"/>
        </w:rPr>
        <w:t>2005, CRC/C/IRL/2, p</w:t>
      </w:r>
      <w:r w:rsidRPr="008C6A89">
        <w:rPr>
          <w:rFonts w:cs="Arial"/>
          <w:noProof/>
          <w:lang w:val="fr-FR"/>
        </w:rPr>
        <w:t>ar</w:t>
      </w:r>
      <w:r>
        <w:rPr>
          <w:rFonts w:cs="Arial"/>
          <w:noProof/>
          <w:lang w:val="fr-FR"/>
        </w:rPr>
        <w:t>.</w:t>
      </w:r>
      <w:r w:rsidRPr="008C6A89">
        <w:rPr>
          <w:rFonts w:cs="Arial"/>
          <w:noProof/>
          <w:lang w:val="fr-FR"/>
        </w:rPr>
        <w:t> 406</w:t>
      </w:r>
      <w:r>
        <w:rPr>
          <w:rFonts w:cs="Arial"/>
          <w:noProof/>
          <w:lang w:val="fr-FR"/>
        </w:rPr>
        <w:t xml:space="preserve"> à </w:t>
      </w:r>
      <w:r w:rsidRPr="008C6A89">
        <w:rPr>
          <w:rFonts w:cs="Arial"/>
          <w:noProof/>
          <w:lang w:val="fr-FR"/>
        </w:rPr>
        <w:t>412.</w:t>
      </w:r>
    </w:p>
  </w:footnote>
  <w:footnote w:id="24">
    <w:p w:rsidR="000A2CB5" w:rsidRDefault="000A2CB5" w:rsidP="00905D61">
      <w:pPr>
        <w:pStyle w:val="Notedebasdepage"/>
        <w:rPr>
          <w:rFonts w:cs="Arial"/>
        </w:rPr>
      </w:pPr>
      <w:r w:rsidRPr="008C6A89">
        <w:rPr>
          <w:rFonts w:cs="Arial"/>
          <w:noProof/>
          <w:lang w:val="fr-FR"/>
        </w:rPr>
        <w:tab/>
      </w:r>
      <w:r w:rsidRPr="008C6A89">
        <w:rPr>
          <w:rStyle w:val="Appelnotedebasdep"/>
          <w:noProof/>
          <w:lang w:val="fr-FR"/>
        </w:rPr>
        <w:footnoteRef/>
      </w:r>
      <w:r>
        <w:rPr>
          <w:rFonts w:cs="Arial"/>
          <w:noProof/>
          <w:lang w:val="fr-FR"/>
        </w:rPr>
        <w:tab/>
        <w:t>2005, CRC/C/IRL/2, p</w:t>
      </w:r>
      <w:r w:rsidRPr="008C6A89">
        <w:rPr>
          <w:rFonts w:cs="Arial"/>
          <w:noProof/>
          <w:lang w:val="fr-FR"/>
        </w:rPr>
        <w:t>ar</w:t>
      </w:r>
      <w:r>
        <w:rPr>
          <w:rFonts w:cs="Arial"/>
          <w:noProof/>
          <w:lang w:val="fr-FR"/>
        </w:rPr>
        <w:t xml:space="preserve">. 413 à </w:t>
      </w:r>
      <w:r w:rsidRPr="008C6A89">
        <w:rPr>
          <w:rFonts w:cs="Arial"/>
          <w:noProof/>
          <w:lang w:val="fr-FR"/>
        </w:rPr>
        <w:t>433</w:t>
      </w:r>
      <w:r>
        <w:rPr>
          <w:rFonts w:cs="Arial"/>
        </w:rPr>
        <w:t>.</w:t>
      </w:r>
    </w:p>
  </w:footnote>
  <w:footnote w:id="25">
    <w:p w:rsidR="000A2CB5" w:rsidRPr="008E24E0" w:rsidRDefault="000A2CB5" w:rsidP="00905D61">
      <w:pPr>
        <w:pStyle w:val="Notedebasdepage"/>
        <w:rPr>
          <w:rFonts w:cs="Arial"/>
          <w:noProof/>
          <w:lang w:val="fr-FR"/>
        </w:rPr>
      </w:pPr>
      <w:r>
        <w:rPr>
          <w:rFonts w:cs="Arial"/>
        </w:rPr>
        <w:tab/>
      </w:r>
      <w:r w:rsidRPr="00763D72">
        <w:rPr>
          <w:rStyle w:val="Appelnotedebasdep"/>
        </w:rPr>
        <w:footnoteRef/>
      </w:r>
      <w:r w:rsidRPr="00487473">
        <w:rPr>
          <w:rFonts w:cs="Arial"/>
          <w:lang w:val="fr-CH"/>
        </w:rPr>
        <w:tab/>
      </w:r>
      <w:r>
        <w:rPr>
          <w:rFonts w:cs="Arial"/>
          <w:noProof/>
          <w:lang w:val="fr-FR"/>
        </w:rPr>
        <w:t>2005, CRC/C/IRL/2, p</w:t>
      </w:r>
      <w:r w:rsidRPr="008E24E0">
        <w:rPr>
          <w:rFonts w:cs="Arial"/>
          <w:noProof/>
          <w:lang w:val="fr-FR"/>
        </w:rPr>
        <w:t>ar</w:t>
      </w:r>
      <w:r>
        <w:rPr>
          <w:rFonts w:cs="Arial"/>
          <w:noProof/>
          <w:lang w:val="fr-FR"/>
        </w:rPr>
        <w:t xml:space="preserve">. 425 et </w:t>
      </w:r>
      <w:r w:rsidRPr="008E24E0">
        <w:rPr>
          <w:rFonts w:cs="Arial"/>
          <w:noProof/>
          <w:lang w:val="fr-FR"/>
        </w:rPr>
        <w:t>426.</w:t>
      </w:r>
    </w:p>
  </w:footnote>
  <w:footnote w:id="26">
    <w:p w:rsidR="000A2CB5" w:rsidRDefault="000A2CB5" w:rsidP="00905D61">
      <w:pPr>
        <w:pStyle w:val="Notedebasdepage"/>
        <w:rPr>
          <w:rFonts w:cs="Arial"/>
        </w:rPr>
      </w:pPr>
      <w:r w:rsidRPr="008E24E0">
        <w:rPr>
          <w:rFonts w:cs="Arial"/>
          <w:noProof/>
          <w:lang w:val="fr-FR"/>
        </w:rPr>
        <w:tab/>
      </w:r>
      <w:r w:rsidRPr="008E24E0">
        <w:rPr>
          <w:rStyle w:val="Appelnotedebasdep"/>
          <w:noProof/>
          <w:lang w:val="fr-FR"/>
        </w:rPr>
        <w:footnoteRef/>
      </w:r>
      <w:r>
        <w:rPr>
          <w:rFonts w:cs="Arial"/>
          <w:noProof/>
          <w:lang w:val="fr-FR"/>
        </w:rPr>
        <w:tab/>
        <w:t>2005, CRC/C/IRL/2, p</w:t>
      </w:r>
      <w:r w:rsidRPr="008E24E0">
        <w:rPr>
          <w:rFonts w:cs="Arial"/>
          <w:noProof/>
          <w:lang w:val="fr-FR"/>
        </w:rPr>
        <w:t>ar</w:t>
      </w:r>
      <w:r>
        <w:rPr>
          <w:rFonts w:cs="Arial"/>
          <w:noProof/>
          <w:lang w:val="fr-FR"/>
        </w:rPr>
        <w:t>.</w:t>
      </w:r>
      <w:r w:rsidRPr="008E24E0">
        <w:rPr>
          <w:rFonts w:cs="Arial"/>
          <w:noProof/>
          <w:lang w:val="fr-FR"/>
        </w:rPr>
        <w:t> 426</w:t>
      </w:r>
      <w:r>
        <w:rPr>
          <w:rFonts w:cs="Arial"/>
          <w:noProof/>
          <w:lang w:val="fr-FR"/>
        </w:rPr>
        <w:t xml:space="preserve"> à </w:t>
      </w:r>
      <w:r w:rsidRPr="008E24E0">
        <w:rPr>
          <w:rFonts w:cs="Arial"/>
          <w:noProof/>
          <w:lang w:val="fr-FR"/>
        </w:rPr>
        <w:t>429</w:t>
      </w:r>
      <w:r>
        <w:rPr>
          <w:rFonts w:cs="Arial"/>
        </w:rPr>
        <w:t>.</w:t>
      </w:r>
    </w:p>
  </w:footnote>
  <w:footnote w:id="27">
    <w:p w:rsidR="000A2CB5" w:rsidRPr="0067612A" w:rsidRDefault="000A2CB5" w:rsidP="00280125">
      <w:pPr>
        <w:pStyle w:val="Notedebasdepage"/>
        <w:rPr>
          <w:rFonts w:cs="Arial"/>
          <w:noProof/>
          <w:lang w:val="fr-FR"/>
        </w:rPr>
      </w:pPr>
      <w:r>
        <w:rPr>
          <w:rFonts w:cs="Arial"/>
        </w:rPr>
        <w:tab/>
      </w:r>
      <w:r w:rsidRPr="00763D72">
        <w:rPr>
          <w:rStyle w:val="Appelnotedebasdep"/>
        </w:rPr>
        <w:footnoteRef/>
      </w:r>
      <w:r w:rsidRPr="00487473">
        <w:rPr>
          <w:rFonts w:cs="Arial"/>
          <w:lang w:val="fr-CH"/>
        </w:rPr>
        <w:tab/>
      </w:r>
      <w:r>
        <w:rPr>
          <w:rFonts w:cs="Arial"/>
          <w:noProof/>
          <w:lang w:val="fr-FR"/>
        </w:rPr>
        <w:t>1996, CRC/C/11/Add.12, p</w:t>
      </w:r>
      <w:r w:rsidRPr="0067612A">
        <w:rPr>
          <w:rFonts w:cs="Arial"/>
          <w:noProof/>
          <w:lang w:val="fr-FR"/>
        </w:rPr>
        <w:t>ar</w:t>
      </w:r>
      <w:r>
        <w:rPr>
          <w:rFonts w:cs="Arial"/>
          <w:noProof/>
          <w:lang w:val="fr-FR"/>
        </w:rPr>
        <w:t xml:space="preserve">. 183 à </w:t>
      </w:r>
      <w:r w:rsidRPr="0067612A">
        <w:rPr>
          <w:rFonts w:cs="Arial"/>
          <w:noProof/>
          <w:lang w:val="fr-FR"/>
        </w:rPr>
        <w:t xml:space="preserve">199; 2005, CRC/C/IRL/2, </w:t>
      </w:r>
      <w:r>
        <w:rPr>
          <w:rFonts w:cs="Arial"/>
          <w:noProof/>
          <w:lang w:val="fr-FR"/>
        </w:rPr>
        <w:t>p</w:t>
      </w:r>
      <w:r w:rsidRPr="0067612A">
        <w:rPr>
          <w:rFonts w:cs="Arial"/>
          <w:noProof/>
          <w:lang w:val="fr-FR"/>
        </w:rPr>
        <w:t>ar</w:t>
      </w:r>
      <w:r>
        <w:rPr>
          <w:rFonts w:cs="Arial"/>
          <w:noProof/>
          <w:lang w:val="fr-FR"/>
        </w:rPr>
        <w:t>.</w:t>
      </w:r>
      <w:r w:rsidRPr="0067612A">
        <w:rPr>
          <w:rFonts w:cs="Arial"/>
          <w:noProof/>
          <w:lang w:val="fr-FR"/>
        </w:rPr>
        <w:t> 434</w:t>
      </w:r>
      <w:r>
        <w:rPr>
          <w:rFonts w:cs="Arial"/>
          <w:noProof/>
          <w:lang w:val="fr-FR"/>
        </w:rPr>
        <w:t xml:space="preserve"> à </w:t>
      </w:r>
      <w:r w:rsidRPr="0067612A">
        <w:rPr>
          <w:rFonts w:cs="Arial"/>
          <w:noProof/>
          <w:lang w:val="fr-FR"/>
        </w:rPr>
        <w:t>437.</w:t>
      </w:r>
    </w:p>
  </w:footnote>
  <w:footnote w:id="28">
    <w:p w:rsidR="000A2CB5" w:rsidRPr="00487473" w:rsidRDefault="000A2CB5" w:rsidP="00280125">
      <w:pPr>
        <w:pStyle w:val="Notedebasdepage"/>
        <w:rPr>
          <w:rFonts w:cs="Arial"/>
          <w:lang w:val="fr-CH"/>
        </w:rPr>
      </w:pPr>
      <w:r w:rsidRPr="00487473">
        <w:rPr>
          <w:rFonts w:cs="Arial"/>
          <w:lang w:val="fr-CH"/>
        </w:rPr>
        <w:tab/>
      </w:r>
      <w:r w:rsidRPr="00763D72">
        <w:rPr>
          <w:rStyle w:val="Appelnotedebasdep"/>
        </w:rPr>
        <w:footnoteRef/>
      </w:r>
      <w:r w:rsidRPr="00487473">
        <w:rPr>
          <w:rFonts w:cs="Arial"/>
          <w:lang w:val="fr-CH"/>
        </w:rPr>
        <w:tab/>
      </w:r>
      <w:r>
        <w:rPr>
          <w:rFonts w:cs="Arial"/>
          <w:noProof/>
          <w:lang w:val="fr-FR"/>
        </w:rPr>
        <w:t>2005, CRC/C/IRL/2, p</w:t>
      </w:r>
      <w:r w:rsidRPr="00121739">
        <w:rPr>
          <w:rFonts w:cs="Arial"/>
          <w:noProof/>
          <w:lang w:val="fr-FR"/>
        </w:rPr>
        <w:t>ar</w:t>
      </w:r>
      <w:r>
        <w:rPr>
          <w:rFonts w:cs="Arial"/>
          <w:noProof/>
          <w:lang w:val="fr-FR"/>
        </w:rPr>
        <w:t>.</w:t>
      </w:r>
      <w:r w:rsidRPr="00121739">
        <w:rPr>
          <w:rFonts w:cs="Arial"/>
          <w:noProof/>
          <w:lang w:val="fr-FR"/>
        </w:rPr>
        <w:t> 438</w:t>
      </w:r>
      <w:r>
        <w:rPr>
          <w:rFonts w:cs="Arial"/>
          <w:noProof/>
          <w:lang w:val="fr-FR"/>
        </w:rPr>
        <w:t xml:space="preserve"> à </w:t>
      </w:r>
      <w:r w:rsidRPr="00121739">
        <w:rPr>
          <w:rFonts w:cs="Arial"/>
          <w:noProof/>
          <w:lang w:val="fr-FR"/>
        </w:rPr>
        <w:t>443</w:t>
      </w:r>
      <w:r w:rsidRPr="00487473">
        <w:rPr>
          <w:rFonts w:cs="Arial"/>
          <w:lang w:val="fr-CH"/>
        </w:rPr>
        <w:t>.</w:t>
      </w:r>
    </w:p>
  </w:footnote>
  <w:footnote w:id="29">
    <w:p w:rsidR="000A2CB5" w:rsidRPr="0011221A" w:rsidRDefault="000A2CB5" w:rsidP="00247D14">
      <w:pPr>
        <w:pStyle w:val="Notedebasdepage"/>
        <w:rPr>
          <w:rFonts w:cs="Arial"/>
          <w:noProof/>
          <w:lang w:val="fr-FR"/>
        </w:rPr>
      </w:pPr>
      <w:r w:rsidRPr="00487473">
        <w:rPr>
          <w:rFonts w:cs="Arial"/>
          <w:lang w:val="fr-CH"/>
        </w:rPr>
        <w:tab/>
      </w:r>
      <w:r w:rsidRPr="00763D72">
        <w:rPr>
          <w:rStyle w:val="Appelnotedebasdep"/>
        </w:rPr>
        <w:footnoteRef/>
      </w:r>
      <w:r w:rsidRPr="00F57F14">
        <w:rPr>
          <w:rFonts w:cs="Arial"/>
          <w:lang w:val="fr-CH"/>
        </w:rPr>
        <w:tab/>
      </w:r>
      <w:r>
        <w:rPr>
          <w:rFonts w:cs="Arial"/>
          <w:noProof/>
          <w:lang w:val="fr-FR"/>
        </w:rPr>
        <w:t>2005, CRC/C/IRL/2, p</w:t>
      </w:r>
      <w:r w:rsidRPr="0011221A">
        <w:rPr>
          <w:rFonts w:cs="Arial"/>
          <w:noProof/>
          <w:lang w:val="fr-FR"/>
        </w:rPr>
        <w:t>ar</w:t>
      </w:r>
      <w:r>
        <w:rPr>
          <w:rFonts w:cs="Arial"/>
          <w:noProof/>
          <w:lang w:val="fr-FR"/>
        </w:rPr>
        <w:t>.</w:t>
      </w:r>
      <w:r w:rsidRPr="0011221A">
        <w:rPr>
          <w:rFonts w:cs="Arial"/>
          <w:noProof/>
          <w:lang w:val="fr-FR"/>
        </w:rPr>
        <w:t> 465</w:t>
      </w:r>
      <w:r>
        <w:rPr>
          <w:rFonts w:cs="Arial"/>
          <w:noProof/>
          <w:lang w:val="fr-FR"/>
        </w:rPr>
        <w:t xml:space="preserve"> et </w:t>
      </w:r>
      <w:r w:rsidRPr="0011221A">
        <w:rPr>
          <w:rFonts w:cs="Arial"/>
          <w:noProof/>
          <w:lang w:val="fr-FR"/>
        </w:rPr>
        <w:t>466.</w:t>
      </w:r>
    </w:p>
  </w:footnote>
  <w:footnote w:id="30">
    <w:p w:rsidR="000A2CB5" w:rsidRPr="0011221A" w:rsidRDefault="000A2CB5" w:rsidP="00247D14">
      <w:pPr>
        <w:pStyle w:val="Notedebasdepage"/>
        <w:rPr>
          <w:rFonts w:cs="Arial"/>
          <w:noProof/>
          <w:lang w:val="fr-FR"/>
        </w:rPr>
      </w:pPr>
      <w:r w:rsidRPr="0011221A">
        <w:rPr>
          <w:rFonts w:cs="Arial"/>
          <w:noProof/>
          <w:lang w:val="fr-FR"/>
        </w:rPr>
        <w:tab/>
      </w:r>
      <w:r w:rsidRPr="0011221A">
        <w:rPr>
          <w:rStyle w:val="Appelnotedebasdep"/>
          <w:noProof/>
          <w:lang w:val="fr-FR"/>
        </w:rPr>
        <w:footnoteRef/>
      </w:r>
      <w:r w:rsidRPr="0011221A">
        <w:rPr>
          <w:rFonts w:cs="Arial"/>
          <w:noProof/>
          <w:lang w:val="fr-FR"/>
        </w:rPr>
        <w:tab/>
        <w:t xml:space="preserve">2005, CRC/C/IRL/2, </w:t>
      </w:r>
      <w:r>
        <w:rPr>
          <w:rFonts w:cs="Arial"/>
          <w:noProof/>
          <w:lang w:val="fr-FR"/>
        </w:rPr>
        <w:t>p</w:t>
      </w:r>
      <w:r w:rsidRPr="0011221A">
        <w:rPr>
          <w:rFonts w:cs="Arial"/>
          <w:noProof/>
          <w:lang w:val="fr-FR"/>
        </w:rPr>
        <w:t>ar</w:t>
      </w:r>
      <w:r>
        <w:rPr>
          <w:rFonts w:cs="Arial"/>
          <w:noProof/>
          <w:lang w:val="fr-FR"/>
        </w:rPr>
        <w:t>.</w:t>
      </w:r>
      <w:r w:rsidRPr="0011221A">
        <w:rPr>
          <w:rFonts w:cs="Arial"/>
          <w:noProof/>
          <w:lang w:val="fr-FR"/>
        </w:rPr>
        <w:t> 467</w:t>
      </w:r>
      <w:r>
        <w:rPr>
          <w:rFonts w:cs="Arial"/>
          <w:noProof/>
          <w:lang w:val="fr-FR"/>
        </w:rPr>
        <w:t xml:space="preserve"> et </w:t>
      </w:r>
      <w:r w:rsidRPr="0011221A">
        <w:rPr>
          <w:rFonts w:cs="Arial"/>
          <w:noProof/>
          <w:lang w:val="fr-FR"/>
        </w:rPr>
        <w:t>468.</w:t>
      </w:r>
    </w:p>
  </w:footnote>
  <w:footnote w:id="31">
    <w:p w:rsidR="000A2CB5" w:rsidRPr="0011221A" w:rsidRDefault="000A2CB5" w:rsidP="00247D14">
      <w:pPr>
        <w:pStyle w:val="Notedebasdepage"/>
        <w:rPr>
          <w:rFonts w:cs="Arial"/>
          <w:noProof/>
          <w:lang w:val="fr-FR"/>
        </w:rPr>
      </w:pPr>
      <w:r w:rsidRPr="0011221A">
        <w:rPr>
          <w:rFonts w:cs="Arial"/>
          <w:noProof/>
          <w:lang w:val="fr-FR"/>
        </w:rPr>
        <w:tab/>
      </w:r>
      <w:r w:rsidRPr="0011221A">
        <w:rPr>
          <w:rStyle w:val="Appelnotedebasdep"/>
          <w:noProof/>
          <w:lang w:val="fr-FR"/>
        </w:rPr>
        <w:footnoteRef/>
      </w:r>
      <w:r w:rsidRPr="0011221A">
        <w:rPr>
          <w:rFonts w:cs="Arial"/>
          <w:noProof/>
          <w:lang w:val="fr-FR"/>
        </w:rPr>
        <w:tab/>
        <w:t xml:space="preserve">2005, CRC/C/IRL/2, </w:t>
      </w:r>
      <w:r>
        <w:rPr>
          <w:rFonts w:cs="Arial"/>
          <w:noProof/>
          <w:lang w:val="fr-FR"/>
        </w:rPr>
        <w:t>p</w:t>
      </w:r>
      <w:r w:rsidRPr="0011221A">
        <w:rPr>
          <w:rFonts w:cs="Arial"/>
          <w:noProof/>
          <w:lang w:val="fr-FR"/>
        </w:rPr>
        <w:t>ar</w:t>
      </w:r>
      <w:r>
        <w:rPr>
          <w:rFonts w:cs="Arial"/>
          <w:noProof/>
          <w:lang w:val="fr-FR"/>
        </w:rPr>
        <w:t>.</w:t>
      </w:r>
      <w:r w:rsidRPr="0011221A">
        <w:rPr>
          <w:rFonts w:cs="Arial"/>
          <w:noProof/>
          <w:lang w:val="fr-FR"/>
        </w:rPr>
        <w:t> 469</w:t>
      </w:r>
      <w:r>
        <w:rPr>
          <w:rFonts w:cs="Arial"/>
          <w:noProof/>
          <w:lang w:val="fr-FR"/>
        </w:rPr>
        <w:t xml:space="preserve"> et </w:t>
      </w:r>
      <w:r w:rsidRPr="0011221A">
        <w:rPr>
          <w:rFonts w:cs="Arial"/>
          <w:noProof/>
          <w:lang w:val="fr-FR"/>
        </w:rPr>
        <w:t>470.</w:t>
      </w:r>
    </w:p>
  </w:footnote>
  <w:footnote w:id="32">
    <w:p w:rsidR="000A2CB5" w:rsidRPr="00F57F14" w:rsidRDefault="000A2CB5" w:rsidP="00247D14">
      <w:pPr>
        <w:pStyle w:val="Notedebasdepage"/>
        <w:rPr>
          <w:rFonts w:cs="Arial"/>
          <w:lang w:val="fr-CH"/>
        </w:rPr>
      </w:pPr>
      <w:r w:rsidRPr="0011221A">
        <w:rPr>
          <w:rFonts w:cs="Arial"/>
          <w:noProof/>
          <w:lang w:val="fr-FR"/>
        </w:rPr>
        <w:tab/>
      </w:r>
      <w:r w:rsidRPr="0011221A">
        <w:rPr>
          <w:rStyle w:val="Appelnotedebasdep"/>
          <w:noProof/>
          <w:lang w:val="fr-FR"/>
        </w:rPr>
        <w:footnoteRef/>
      </w:r>
      <w:r w:rsidRPr="0011221A">
        <w:rPr>
          <w:rFonts w:cs="Arial"/>
          <w:noProof/>
          <w:lang w:val="fr-FR"/>
        </w:rPr>
        <w:tab/>
        <w:t xml:space="preserve">2005, CRC/C/IRL/2, </w:t>
      </w:r>
      <w:r>
        <w:rPr>
          <w:rFonts w:cs="Arial"/>
          <w:noProof/>
          <w:lang w:val="fr-FR"/>
        </w:rPr>
        <w:t>p</w:t>
      </w:r>
      <w:r w:rsidRPr="0011221A">
        <w:rPr>
          <w:rFonts w:cs="Arial"/>
          <w:noProof/>
          <w:lang w:val="fr-FR"/>
        </w:rPr>
        <w:t>ar</w:t>
      </w:r>
      <w:r>
        <w:rPr>
          <w:rFonts w:cs="Arial"/>
          <w:noProof/>
          <w:lang w:val="fr-FR"/>
        </w:rPr>
        <w:t>.</w:t>
      </w:r>
      <w:r w:rsidRPr="0011221A">
        <w:rPr>
          <w:rFonts w:cs="Arial"/>
          <w:noProof/>
          <w:lang w:val="fr-FR"/>
        </w:rPr>
        <w:t> 471</w:t>
      </w:r>
      <w:r>
        <w:rPr>
          <w:rFonts w:cs="Arial"/>
          <w:noProof/>
          <w:lang w:val="fr-FR"/>
        </w:rPr>
        <w:t xml:space="preserve"> et </w:t>
      </w:r>
      <w:r w:rsidRPr="0011221A">
        <w:rPr>
          <w:rFonts w:cs="Arial"/>
          <w:noProof/>
          <w:lang w:val="fr-FR"/>
        </w:rPr>
        <w:t>472</w:t>
      </w:r>
      <w:r w:rsidRPr="00F57F14">
        <w:rPr>
          <w:rFonts w:cs="Arial"/>
          <w:szCs w:val="24"/>
          <w:lang w:val="fr-CH"/>
        </w:rPr>
        <w:t>.</w:t>
      </w:r>
    </w:p>
  </w:footnote>
  <w:footnote w:id="33">
    <w:p w:rsidR="000A2CB5" w:rsidRPr="00561A6E" w:rsidRDefault="000A2CB5" w:rsidP="0032450D">
      <w:pPr>
        <w:pStyle w:val="Notedebasdepage"/>
        <w:rPr>
          <w:rFonts w:cs="Arial"/>
          <w:noProof/>
          <w:lang w:val="fr-FR"/>
        </w:rPr>
      </w:pPr>
      <w:r w:rsidRPr="00F57F14">
        <w:rPr>
          <w:rFonts w:cs="Arial"/>
          <w:lang w:val="fr-CH"/>
        </w:rPr>
        <w:tab/>
      </w:r>
      <w:r w:rsidRPr="00763D72">
        <w:rPr>
          <w:rStyle w:val="Appelnotedebasdep"/>
        </w:rPr>
        <w:footnoteRef/>
      </w:r>
      <w:r w:rsidRPr="00FD6ABF">
        <w:rPr>
          <w:rFonts w:cs="Arial"/>
          <w:lang w:val="fr-CH"/>
        </w:rPr>
        <w:tab/>
      </w:r>
      <w:r>
        <w:rPr>
          <w:rFonts w:cs="Arial"/>
          <w:noProof/>
          <w:lang w:val="fr-FR"/>
        </w:rPr>
        <w:t>2005, CRC/C/IRL/2, p</w:t>
      </w:r>
      <w:r w:rsidRPr="00561A6E">
        <w:rPr>
          <w:rFonts w:cs="Arial"/>
          <w:noProof/>
          <w:lang w:val="fr-FR"/>
        </w:rPr>
        <w:t>ar</w:t>
      </w:r>
      <w:r>
        <w:rPr>
          <w:rFonts w:cs="Arial"/>
          <w:noProof/>
          <w:lang w:val="fr-FR"/>
        </w:rPr>
        <w:t>.</w:t>
      </w:r>
      <w:r w:rsidRPr="00561A6E">
        <w:rPr>
          <w:rFonts w:cs="Arial"/>
          <w:noProof/>
          <w:lang w:val="fr-FR"/>
        </w:rPr>
        <w:t> 480</w:t>
      </w:r>
      <w:r>
        <w:rPr>
          <w:rFonts w:cs="Arial"/>
          <w:noProof/>
          <w:lang w:val="fr-FR"/>
        </w:rPr>
        <w:t xml:space="preserve"> à </w:t>
      </w:r>
      <w:r w:rsidRPr="00561A6E">
        <w:rPr>
          <w:rFonts w:cs="Arial"/>
          <w:noProof/>
          <w:lang w:val="fr-FR"/>
        </w:rPr>
        <w:t>527.</w:t>
      </w:r>
    </w:p>
  </w:footnote>
  <w:footnote w:id="34">
    <w:p w:rsidR="000A2CB5" w:rsidRPr="00561A6E" w:rsidRDefault="000A2CB5" w:rsidP="0032450D">
      <w:pPr>
        <w:pStyle w:val="Notedebasdepage"/>
        <w:rPr>
          <w:rFonts w:cs="Arial"/>
          <w:noProof/>
          <w:lang w:val="fr-FR"/>
        </w:rPr>
      </w:pPr>
      <w:r w:rsidRPr="00561A6E">
        <w:rPr>
          <w:rFonts w:cs="Arial"/>
          <w:noProof/>
          <w:lang w:val="fr-FR"/>
        </w:rPr>
        <w:tab/>
      </w:r>
      <w:r w:rsidRPr="00561A6E">
        <w:rPr>
          <w:rStyle w:val="Appelnotedebasdep"/>
          <w:noProof/>
          <w:lang w:val="fr-FR"/>
        </w:rPr>
        <w:footnoteRef/>
      </w:r>
      <w:r>
        <w:rPr>
          <w:rFonts w:cs="Arial"/>
          <w:noProof/>
          <w:lang w:val="fr-FR"/>
        </w:rPr>
        <w:tab/>
        <w:t>2005, CRC/C/IRL/2, p</w:t>
      </w:r>
      <w:r w:rsidRPr="00561A6E">
        <w:rPr>
          <w:rFonts w:cs="Arial"/>
          <w:noProof/>
          <w:lang w:val="fr-FR"/>
        </w:rPr>
        <w:t>ar</w:t>
      </w:r>
      <w:r>
        <w:rPr>
          <w:rFonts w:cs="Arial"/>
          <w:noProof/>
          <w:lang w:val="fr-FR"/>
        </w:rPr>
        <w:t>.</w:t>
      </w:r>
      <w:r w:rsidRPr="00561A6E">
        <w:rPr>
          <w:rFonts w:cs="Arial"/>
          <w:noProof/>
          <w:lang w:val="fr-FR"/>
        </w:rPr>
        <w:t> 511</w:t>
      </w:r>
      <w:r>
        <w:rPr>
          <w:rFonts w:cs="Arial"/>
          <w:noProof/>
          <w:lang w:val="fr-FR"/>
        </w:rPr>
        <w:t xml:space="preserve"> et </w:t>
      </w:r>
      <w:r w:rsidRPr="00561A6E">
        <w:rPr>
          <w:rFonts w:cs="Arial"/>
          <w:noProof/>
          <w:lang w:val="fr-FR"/>
        </w:rPr>
        <w:t>512.</w:t>
      </w:r>
    </w:p>
  </w:footnote>
  <w:footnote w:id="35">
    <w:p w:rsidR="000A2CB5" w:rsidRDefault="000A2CB5" w:rsidP="0032450D">
      <w:pPr>
        <w:pStyle w:val="Notedebasdepage"/>
        <w:rPr>
          <w:rFonts w:cs="Arial"/>
        </w:rPr>
      </w:pPr>
      <w:r w:rsidRPr="00561A6E">
        <w:rPr>
          <w:rFonts w:cs="Arial"/>
          <w:noProof/>
          <w:lang w:val="fr-FR"/>
        </w:rPr>
        <w:tab/>
      </w:r>
      <w:r w:rsidRPr="00561A6E">
        <w:rPr>
          <w:rStyle w:val="Appelnotedebasdep"/>
          <w:noProof/>
          <w:lang w:val="fr-FR"/>
        </w:rPr>
        <w:footnoteRef/>
      </w:r>
      <w:r>
        <w:rPr>
          <w:rFonts w:cs="Arial"/>
          <w:noProof/>
          <w:lang w:val="fr-FR"/>
        </w:rPr>
        <w:tab/>
        <w:t>2005, CRC/C/IRL/2, p</w:t>
      </w:r>
      <w:r w:rsidRPr="00561A6E">
        <w:rPr>
          <w:rFonts w:cs="Arial"/>
          <w:noProof/>
          <w:lang w:val="fr-FR"/>
        </w:rPr>
        <w:t>ar</w:t>
      </w:r>
      <w:r>
        <w:rPr>
          <w:rFonts w:cs="Arial"/>
          <w:noProof/>
          <w:lang w:val="fr-FR"/>
        </w:rPr>
        <w:t>.</w:t>
      </w:r>
      <w:r w:rsidRPr="00561A6E">
        <w:rPr>
          <w:rFonts w:cs="Arial"/>
          <w:noProof/>
          <w:lang w:val="fr-FR"/>
        </w:rPr>
        <w:t> 509</w:t>
      </w:r>
      <w:r>
        <w:rPr>
          <w:rFonts w:cs="Arial"/>
          <w:noProof/>
          <w:lang w:val="fr-FR"/>
        </w:rPr>
        <w:t xml:space="preserve"> et </w:t>
      </w:r>
      <w:r w:rsidRPr="00561A6E">
        <w:rPr>
          <w:rFonts w:cs="Arial"/>
          <w:noProof/>
          <w:lang w:val="fr-FR"/>
        </w:rPr>
        <w:t>510</w:t>
      </w:r>
      <w:r>
        <w:rPr>
          <w:rFonts w:cs="Arial"/>
        </w:rPr>
        <w:t>.</w:t>
      </w:r>
    </w:p>
  </w:footnote>
  <w:footnote w:id="36">
    <w:p w:rsidR="000A2CB5" w:rsidRPr="00487473" w:rsidRDefault="000A2CB5" w:rsidP="00865D37">
      <w:pPr>
        <w:pStyle w:val="Notedebasdepage"/>
        <w:rPr>
          <w:rFonts w:cs="Arial"/>
          <w:lang w:val="fr-CH"/>
        </w:rPr>
      </w:pPr>
      <w:r>
        <w:rPr>
          <w:rFonts w:cs="Arial"/>
        </w:rPr>
        <w:tab/>
      </w:r>
      <w:r w:rsidRPr="00763D72">
        <w:rPr>
          <w:rStyle w:val="Appelnotedebasdep"/>
        </w:rPr>
        <w:footnoteRef/>
      </w:r>
      <w:r w:rsidRPr="00487473">
        <w:rPr>
          <w:rFonts w:cs="Arial"/>
          <w:lang w:val="fr-CH"/>
        </w:rPr>
        <w:tab/>
      </w:r>
      <w:r w:rsidRPr="00092DEC">
        <w:rPr>
          <w:rFonts w:cs="Arial"/>
          <w:noProof/>
          <w:lang w:val="fr-FR"/>
        </w:rPr>
        <w:t xml:space="preserve">2005, CRC/C/IRL/2, </w:t>
      </w:r>
      <w:r>
        <w:rPr>
          <w:rFonts w:cs="Arial"/>
          <w:noProof/>
          <w:lang w:val="fr-FR"/>
        </w:rPr>
        <w:t>p</w:t>
      </w:r>
      <w:r w:rsidRPr="00092DEC">
        <w:rPr>
          <w:rFonts w:cs="Arial"/>
          <w:noProof/>
          <w:lang w:val="fr-FR"/>
        </w:rPr>
        <w:t>ar</w:t>
      </w:r>
      <w:r>
        <w:rPr>
          <w:rFonts w:cs="Arial"/>
          <w:noProof/>
          <w:lang w:val="fr-FR"/>
        </w:rPr>
        <w:t>.</w:t>
      </w:r>
      <w:r w:rsidRPr="00092DEC">
        <w:rPr>
          <w:rFonts w:cs="Arial"/>
          <w:noProof/>
          <w:lang w:val="fr-FR"/>
        </w:rPr>
        <w:t> 493</w:t>
      </w:r>
      <w:r>
        <w:rPr>
          <w:rFonts w:cs="Arial"/>
          <w:noProof/>
          <w:lang w:val="fr-FR"/>
        </w:rPr>
        <w:t xml:space="preserve"> à </w:t>
      </w:r>
      <w:r w:rsidRPr="00092DEC">
        <w:rPr>
          <w:rFonts w:cs="Arial"/>
          <w:noProof/>
          <w:lang w:val="fr-FR"/>
        </w:rPr>
        <w:t>495</w:t>
      </w:r>
      <w:r w:rsidRPr="00487473">
        <w:rPr>
          <w:rFonts w:cs="Arial"/>
          <w:lang w:val="fr-CH"/>
        </w:rPr>
        <w:t>.</w:t>
      </w:r>
    </w:p>
  </w:footnote>
  <w:footnote w:id="37">
    <w:p w:rsidR="000A2CB5" w:rsidRPr="00FD6ABF" w:rsidRDefault="000A2CB5" w:rsidP="000A5661">
      <w:pPr>
        <w:pStyle w:val="Notedebasdepage"/>
        <w:rPr>
          <w:rFonts w:cs="Arial"/>
          <w:lang w:val="fr-CH"/>
        </w:rPr>
      </w:pPr>
      <w:r w:rsidRPr="00487473">
        <w:rPr>
          <w:rFonts w:cs="Arial"/>
          <w:lang w:val="fr-CH"/>
        </w:rPr>
        <w:tab/>
      </w:r>
      <w:r w:rsidRPr="00763D72">
        <w:rPr>
          <w:rStyle w:val="Appelnotedebasdep"/>
        </w:rPr>
        <w:footnoteRef/>
      </w:r>
      <w:r w:rsidRPr="00FD6ABF">
        <w:rPr>
          <w:rFonts w:cs="Arial"/>
          <w:lang w:val="fr-CH"/>
        </w:rPr>
        <w:tab/>
      </w:r>
      <w:r w:rsidRPr="00770ED7">
        <w:rPr>
          <w:rFonts w:cs="Arial"/>
          <w:noProof/>
          <w:lang w:val="fr-FR"/>
        </w:rPr>
        <w:t>2005, CRC/C/IRL/2, par</w:t>
      </w:r>
      <w:r>
        <w:rPr>
          <w:rFonts w:cs="Arial"/>
          <w:noProof/>
          <w:lang w:val="fr-FR"/>
        </w:rPr>
        <w:t>.</w:t>
      </w:r>
      <w:r w:rsidRPr="00770ED7">
        <w:rPr>
          <w:rFonts w:cs="Arial"/>
          <w:noProof/>
          <w:lang w:val="fr-FR"/>
        </w:rPr>
        <w:t> 533 à 539</w:t>
      </w:r>
      <w:r w:rsidRPr="00FD6ABF">
        <w:rPr>
          <w:rFonts w:cs="Arial"/>
          <w:lang w:val="fr-CH"/>
        </w:rPr>
        <w:t>.</w:t>
      </w:r>
    </w:p>
  </w:footnote>
  <w:footnote w:id="38">
    <w:p w:rsidR="000A2CB5" w:rsidRPr="00487473" w:rsidRDefault="000A2CB5" w:rsidP="00FB0BA4">
      <w:pPr>
        <w:pStyle w:val="Notedebasdepage"/>
        <w:rPr>
          <w:rFonts w:cs="Arial"/>
          <w:lang w:val="fr-CH"/>
        </w:rPr>
      </w:pPr>
      <w:r w:rsidRPr="00FD6ABF">
        <w:rPr>
          <w:rFonts w:cs="Arial"/>
          <w:lang w:val="fr-CH"/>
        </w:rPr>
        <w:tab/>
      </w:r>
      <w:r w:rsidRPr="00763D72">
        <w:rPr>
          <w:rStyle w:val="Appelnotedebasdep"/>
        </w:rPr>
        <w:footnoteRef/>
      </w:r>
      <w:r w:rsidRPr="00487473">
        <w:rPr>
          <w:rFonts w:cs="Arial"/>
          <w:lang w:val="fr-CH"/>
        </w:rPr>
        <w:tab/>
      </w:r>
      <w:r w:rsidRPr="00743548">
        <w:rPr>
          <w:rFonts w:cs="Arial"/>
          <w:noProof/>
          <w:lang w:val="fr-FR"/>
        </w:rPr>
        <w:t xml:space="preserve">2005, CRC/C/IRL/2, </w:t>
      </w:r>
      <w:r>
        <w:rPr>
          <w:rFonts w:cs="Arial"/>
          <w:noProof/>
          <w:lang w:val="fr-FR"/>
        </w:rPr>
        <w:t>p</w:t>
      </w:r>
      <w:r w:rsidRPr="00743548">
        <w:rPr>
          <w:rFonts w:cs="Arial"/>
          <w:noProof/>
          <w:lang w:val="fr-FR"/>
        </w:rPr>
        <w:t>ar</w:t>
      </w:r>
      <w:r>
        <w:rPr>
          <w:rFonts w:cs="Arial"/>
          <w:noProof/>
          <w:lang w:val="fr-FR"/>
        </w:rPr>
        <w:t>.</w:t>
      </w:r>
      <w:r w:rsidRPr="00743548">
        <w:rPr>
          <w:rFonts w:cs="Arial"/>
          <w:noProof/>
          <w:lang w:val="fr-FR"/>
        </w:rPr>
        <w:t> 575</w:t>
      </w:r>
      <w:r>
        <w:rPr>
          <w:rFonts w:cs="Arial"/>
          <w:noProof/>
          <w:lang w:val="fr-FR"/>
        </w:rPr>
        <w:t xml:space="preserve"> à </w:t>
      </w:r>
      <w:r w:rsidRPr="00743548">
        <w:rPr>
          <w:rFonts w:cs="Arial"/>
          <w:noProof/>
          <w:lang w:val="fr-FR"/>
        </w:rPr>
        <w:t>577</w:t>
      </w:r>
      <w:r w:rsidRPr="00487473">
        <w:rPr>
          <w:rFonts w:cs="Arial"/>
          <w:lang w:val="fr-CH"/>
        </w:rPr>
        <w:t>.</w:t>
      </w:r>
    </w:p>
  </w:footnote>
  <w:footnote w:id="39">
    <w:p w:rsidR="000A2CB5" w:rsidRPr="00487473" w:rsidRDefault="000A2CB5" w:rsidP="00C05BF5">
      <w:pPr>
        <w:pStyle w:val="Notedebasdepage"/>
        <w:rPr>
          <w:rFonts w:cs="Arial"/>
          <w:lang w:val="fr-CH"/>
        </w:rPr>
      </w:pPr>
      <w:r w:rsidRPr="00487473">
        <w:rPr>
          <w:rFonts w:cs="Arial"/>
          <w:lang w:val="fr-CH"/>
        </w:rPr>
        <w:tab/>
      </w:r>
      <w:r w:rsidRPr="00763D72">
        <w:rPr>
          <w:rStyle w:val="Appelnotedebasdep"/>
        </w:rPr>
        <w:footnoteRef/>
      </w:r>
      <w:r w:rsidRPr="00487473">
        <w:rPr>
          <w:rFonts w:cs="Arial"/>
          <w:lang w:val="fr-CH"/>
        </w:rPr>
        <w:tab/>
      </w:r>
      <w:r>
        <w:rPr>
          <w:rFonts w:cs="Arial"/>
          <w:noProof/>
          <w:lang w:val="fr-FR"/>
        </w:rPr>
        <w:t>2005, CRC/C/IRL/2, p</w:t>
      </w:r>
      <w:r w:rsidRPr="0059400E">
        <w:rPr>
          <w:rFonts w:cs="Arial"/>
          <w:noProof/>
          <w:lang w:val="fr-FR"/>
        </w:rPr>
        <w:t>ar 156</w:t>
      </w:r>
      <w:r>
        <w:rPr>
          <w:rFonts w:cs="Arial"/>
          <w:noProof/>
          <w:lang w:val="fr-FR"/>
        </w:rPr>
        <w:t xml:space="preserve"> à </w:t>
      </w:r>
      <w:r w:rsidRPr="0059400E">
        <w:rPr>
          <w:rFonts w:cs="Arial"/>
          <w:noProof/>
          <w:lang w:val="fr-FR"/>
        </w:rPr>
        <w:t>163</w:t>
      </w:r>
      <w:r w:rsidRPr="00487473">
        <w:rPr>
          <w:rFonts w:cs="Arial"/>
          <w:lang w:val="fr-CH"/>
        </w:rPr>
        <w:t>.</w:t>
      </w:r>
    </w:p>
  </w:footnote>
  <w:footnote w:id="40">
    <w:p w:rsidR="000A2CB5" w:rsidRPr="00487473" w:rsidRDefault="000A2CB5" w:rsidP="001B2AC4">
      <w:pPr>
        <w:pStyle w:val="Notedebasdepage"/>
        <w:rPr>
          <w:rFonts w:cs="Arial"/>
          <w:lang w:val="fr-CH"/>
        </w:rPr>
      </w:pPr>
      <w:r w:rsidRPr="00487473">
        <w:rPr>
          <w:rFonts w:cs="Arial"/>
          <w:lang w:val="fr-CH"/>
        </w:rPr>
        <w:tab/>
      </w:r>
      <w:r w:rsidRPr="00763D72">
        <w:rPr>
          <w:rStyle w:val="Appelnotedebasdep"/>
        </w:rPr>
        <w:footnoteRef/>
      </w:r>
      <w:r w:rsidRPr="00487473">
        <w:rPr>
          <w:rFonts w:cs="Arial"/>
          <w:lang w:val="fr-CH"/>
        </w:rPr>
        <w:tab/>
      </w:r>
      <w:r>
        <w:rPr>
          <w:rFonts w:cs="Arial"/>
          <w:noProof/>
          <w:lang w:val="fr-FR"/>
        </w:rPr>
        <w:t>La</w:t>
      </w:r>
      <w:r w:rsidRPr="00A913F2">
        <w:rPr>
          <w:rFonts w:cs="Arial"/>
          <w:noProof/>
          <w:lang w:val="fr-FR"/>
        </w:rPr>
        <w:t xml:space="preserve"> source </w:t>
      </w:r>
      <w:r>
        <w:rPr>
          <w:rFonts w:cs="Arial"/>
          <w:noProof/>
          <w:lang w:val="fr-FR"/>
        </w:rPr>
        <w:t xml:space="preserve">officielle de données sur la pauvreté et les privations, y compris la pauvreté infantile, est l’enquête sur les revenus et les conditions de vie </w:t>
      </w:r>
      <w:r w:rsidRPr="00A913F2">
        <w:rPr>
          <w:rFonts w:cs="Arial"/>
          <w:noProof/>
          <w:lang w:val="fr-FR"/>
        </w:rPr>
        <w:t xml:space="preserve">(SILC) </w:t>
      </w:r>
      <w:r>
        <w:rPr>
          <w:rFonts w:cs="Arial"/>
          <w:noProof/>
          <w:lang w:val="fr-FR"/>
        </w:rPr>
        <w:t>réalisée par le Bureau central de statistique</w:t>
      </w:r>
      <w:r w:rsidRPr="00A913F2">
        <w:rPr>
          <w:rFonts w:cs="Arial"/>
          <w:noProof/>
          <w:lang w:val="fr-FR"/>
        </w:rPr>
        <w:t xml:space="preserve">. </w:t>
      </w:r>
      <w:r>
        <w:rPr>
          <w:rFonts w:cs="Arial"/>
          <w:noProof/>
          <w:lang w:val="fr-FR"/>
        </w:rPr>
        <w:t xml:space="preserve">La SILC est une enquête </w:t>
      </w:r>
      <w:r w:rsidRPr="00A913F2">
        <w:rPr>
          <w:rFonts w:cs="Arial"/>
          <w:noProof/>
          <w:lang w:val="fr-FR"/>
        </w:rPr>
        <w:t>national</w:t>
      </w:r>
      <w:r>
        <w:rPr>
          <w:rFonts w:cs="Arial"/>
          <w:noProof/>
          <w:lang w:val="fr-FR"/>
        </w:rPr>
        <w:t>e périodique menée auprès de quelque 5 000 ménages</w:t>
      </w:r>
      <w:r w:rsidRPr="00A913F2">
        <w:rPr>
          <w:rFonts w:cs="Arial"/>
          <w:noProof/>
          <w:lang w:val="fr-FR"/>
        </w:rPr>
        <w:t xml:space="preserve">. </w:t>
      </w:r>
      <w:r>
        <w:rPr>
          <w:rFonts w:cs="Arial"/>
          <w:noProof/>
          <w:lang w:val="fr-FR"/>
        </w:rPr>
        <w:t xml:space="preserve">Des données analogues sur les revenus et les conditions de vie sont recueillies dans les </w:t>
      </w:r>
      <w:r w:rsidRPr="00A913F2">
        <w:rPr>
          <w:rFonts w:cs="Arial"/>
          <w:noProof/>
          <w:lang w:val="fr-FR"/>
        </w:rPr>
        <w:t xml:space="preserve">27 </w:t>
      </w:r>
      <w:r>
        <w:rPr>
          <w:rFonts w:cs="Arial"/>
          <w:noProof/>
          <w:lang w:val="fr-FR"/>
        </w:rPr>
        <w:t>États membres de l’Union e</w:t>
      </w:r>
      <w:r w:rsidRPr="00A913F2">
        <w:rPr>
          <w:rFonts w:cs="Arial"/>
          <w:noProof/>
          <w:lang w:val="fr-FR"/>
        </w:rPr>
        <w:t>urop</w:t>
      </w:r>
      <w:r>
        <w:rPr>
          <w:rFonts w:cs="Arial"/>
          <w:noProof/>
          <w:lang w:val="fr-FR"/>
        </w:rPr>
        <w:t>éenne</w:t>
      </w:r>
      <w:r w:rsidRPr="00A913F2">
        <w:rPr>
          <w:rFonts w:cs="Arial"/>
          <w:noProof/>
          <w:lang w:val="fr-FR"/>
        </w:rPr>
        <w:t xml:space="preserve">, </w:t>
      </w:r>
      <w:r>
        <w:rPr>
          <w:rFonts w:cs="Arial"/>
          <w:noProof/>
          <w:lang w:val="fr-FR"/>
        </w:rPr>
        <w:t>ce qui facilite la comparaison des données obtenues dans toute l’Union</w:t>
      </w:r>
      <w:r w:rsidRPr="00487473">
        <w:rPr>
          <w:rFonts w:cs="Arial"/>
          <w:lang w:val="fr-CH"/>
        </w:rPr>
        <w:t>.</w:t>
      </w:r>
    </w:p>
  </w:footnote>
  <w:footnote w:id="41">
    <w:p w:rsidR="000A2CB5" w:rsidRPr="00487473" w:rsidRDefault="000A2CB5" w:rsidP="001B2AC4">
      <w:pPr>
        <w:pStyle w:val="Notedebasdepage"/>
        <w:rPr>
          <w:rFonts w:cs="Arial"/>
          <w:lang w:val="fr-CH"/>
        </w:rPr>
      </w:pPr>
      <w:r w:rsidRPr="00487473">
        <w:rPr>
          <w:rFonts w:cs="Arial"/>
          <w:lang w:val="fr-CH"/>
        </w:rPr>
        <w:tab/>
      </w:r>
      <w:r w:rsidRPr="00763D72">
        <w:rPr>
          <w:rStyle w:val="Appelnotedebasdep"/>
        </w:rPr>
        <w:footnoteRef/>
      </w:r>
      <w:r w:rsidRPr="00487473">
        <w:rPr>
          <w:rFonts w:cs="Arial"/>
          <w:lang w:val="fr-CH"/>
        </w:rPr>
        <w:tab/>
      </w:r>
      <w:r>
        <w:rPr>
          <w:noProof/>
          <w:lang w:val="fr-FR"/>
        </w:rPr>
        <w:t xml:space="preserve">L’Irlande se classe beaucoup mieux dans les tableaux relatifs à l’éducation </w:t>
      </w:r>
      <w:r w:rsidRPr="002D44BE">
        <w:rPr>
          <w:noProof/>
          <w:lang w:val="fr-FR"/>
        </w:rPr>
        <w:t>(</w:t>
      </w:r>
      <w:r>
        <w:rPr>
          <w:noProof/>
          <w:lang w:val="fr-FR"/>
        </w:rPr>
        <w:t>deuxième rang</w:t>
      </w:r>
      <w:r w:rsidRPr="002D44BE">
        <w:rPr>
          <w:noProof/>
          <w:lang w:val="fr-FR"/>
        </w:rPr>
        <w:t xml:space="preserve">) </w:t>
      </w:r>
      <w:r>
        <w:rPr>
          <w:noProof/>
          <w:lang w:val="fr-FR"/>
        </w:rPr>
        <w:t xml:space="preserve">et à la santé </w:t>
      </w:r>
      <w:r w:rsidRPr="002D44BE">
        <w:rPr>
          <w:noProof/>
          <w:lang w:val="fr-FR"/>
        </w:rPr>
        <w:t>(</w:t>
      </w:r>
      <w:r>
        <w:rPr>
          <w:noProof/>
          <w:lang w:val="fr-FR"/>
        </w:rPr>
        <w:t>septième rang</w:t>
      </w:r>
      <w:r w:rsidRPr="002D44BE">
        <w:rPr>
          <w:noProof/>
          <w:lang w:val="fr-FR"/>
        </w:rPr>
        <w:t>)</w:t>
      </w:r>
      <w:r w:rsidRPr="00487473">
        <w:rPr>
          <w:rFonts w:cs="Arial"/>
          <w:lang w:val="fr-CH"/>
        </w:rPr>
        <w:t>.</w:t>
      </w:r>
    </w:p>
  </w:footnote>
  <w:footnote w:id="42">
    <w:p w:rsidR="000A2CB5" w:rsidRPr="002D3625" w:rsidRDefault="000A2CB5" w:rsidP="00924B7D">
      <w:pPr>
        <w:pStyle w:val="Notedebasdepage"/>
        <w:rPr>
          <w:rFonts w:cs="Arial"/>
          <w:noProof/>
          <w:lang w:val="fr-FR"/>
        </w:rPr>
      </w:pPr>
      <w:r w:rsidRPr="00487473">
        <w:rPr>
          <w:rFonts w:cs="Arial"/>
          <w:lang w:val="fr-CH"/>
        </w:rPr>
        <w:tab/>
      </w:r>
      <w:r w:rsidRPr="00763D72">
        <w:rPr>
          <w:rStyle w:val="Appelnotedebasdep"/>
        </w:rPr>
        <w:footnoteRef/>
      </w:r>
      <w:r w:rsidRPr="00487473">
        <w:rPr>
          <w:rFonts w:cs="Arial"/>
          <w:lang w:val="fr-CH"/>
        </w:rPr>
        <w:tab/>
      </w:r>
      <w:r>
        <w:rPr>
          <w:rFonts w:cs="Arial"/>
          <w:noProof/>
          <w:lang w:val="fr-FR"/>
        </w:rPr>
        <w:t>2005, CRC/C/IRL/2, p</w:t>
      </w:r>
      <w:r w:rsidRPr="002D3625">
        <w:rPr>
          <w:rFonts w:cs="Arial"/>
          <w:noProof/>
          <w:lang w:val="fr-FR"/>
        </w:rPr>
        <w:t>ar</w:t>
      </w:r>
      <w:r>
        <w:rPr>
          <w:rFonts w:cs="Arial"/>
          <w:noProof/>
          <w:lang w:val="fr-FR"/>
        </w:rPr>
        <w:t>.</w:t>
      </w:r>
      <w:r w:rsidRPr="002D3625">
        <w:rPr>
          <w:rFonts w:cs="Arial"/>
          <w:noProof/>
          <w:lang w:val="fr-FR"/>
        </w:rPr>
        <w:t> 624</w:t>
      </w:r>
      <w:r>
        <w:rPr>
          <w:rFonts w:cs="Arial"/>
          <w:noProof/>
          <w:lang w:val="fr-FR"/>
        </w:rPr>
        <w:t xml:space="preserve"> à </w:t>
      </w:r>
      <w:r w:rsidRPr="002D3625">
        <w:rPr>
          <w:rFonts w:cs="Arial"/>
          <w:noProof/>
          <w:lang w:val="fr-FR"/>
        </w:rPr>
        <w:t>634</w:t>
      </w:r>
      <w:r w:rsidRPr="002D3625">
        <w:rPr>
          <w:rFonts w:cs="Arial"/>
          <w:noProof/>
          <w:szCs w:val="24"/>
          <w:lang w:val="fr-FR"/>
        </w:rPr>
        <w:t>.</w:t>
      </w:r>
    </w:p>
  </w:footnote>
  <w:footnote w:id="43">
    <w:p w:rsidR="000A2CB5" w:rsidRDefault="000A2CB5" w:rsidP="00DD7182">
      <w:pPr>
        <w:pStyle w:val="Notedebasdepage"/>
        <w:rPr>
          <w:rFonts w:cs="Arial"/>
        </w:rPr>
      </w:pPr>
      <w:r w:rsidRPr="002D3625">
        <w:rPr>
          <w:rFonts w:cs="Arial"/>
          <w:noProof/>
          <w:lang w:val="fr-FR"/>
        </w:rPr>
        <w:tab/>
      </w:r>
      <w:r w:rsidRPr="002D3625">
        <w:rPr>
          <w:rStyle w:val="Appelnotedebasdep"/>
          <w:noProof/>
          <w:lang w:val="fr-FR"/>
        </w:rPr>
        <w:footnoteRef/>
      </w:r>
      <w:r w:rsidRPr="002D3625">
        <w:rPr>
          <w:rFonts w:cs="Arial"/>
          <w:noProof/>
          <w:lang w:val="fr-FR"/>
        </w:rPr>
        <w:tab/>
      </w:r>
      <w:r>
        <w:rPr>
          <w:rFonts w:cs="Arial"/>
          <w:noProof/>
          <w:lang w:val="fr-FR"/>
        </w:rPr>
        <w:t>2005, CRC/C/IRL/2, p</w:t>
      </w:r>
      <w:r w:rsidRPr="002D3625">
        <w:rPr>
          <w:rFonts w:cs="Arial"/>
          <w:noProof/>
          <w:lang w:val="fr-FR"/>
        </w:rPr>
        <w:t>ar</w:t>
      </w:r>
      <w:r>
        <w:rPr>
          <w:rFonts w:cs="Arial"/>
          <w:noProof/>
          <w:lang w:val="fr-FR"/>
        </w:rPr>
        <w:t xml:space="preserve">. 681 à </w:t>
      </w:r>
      <w:r w:rsidRPr="002D3625">
        <w:rPr>
          <w:rFonts w:cs="Arial"/>
          <w:noProof/>
          <w:lang w:val="fr-FR"/>
        </w:rPr>
        <w:t>683</w:t>
      </w:r>
      <w:r>
        <w:rPr>
          <w:rFonts w:cs="Arial"/>
        </w:rPr>
        <w:t>.</w:t>
      </w:r>
    </w:p>
  </w:footnote>
  <w:footnote w:id="44">
    <w:p w:rsidR="000A2CB5" w:rsidRPr="00487473" w:rsidRDefault="000A2CB5" w:rsidP="000448E3">
      <w:pPr>
        <w:pStyle w:val="Notedebasdepage"/>
        <w:rPr>
          <w:lang w:val="fr-CH"/>
        </w:rPr>
      </w:pPr>
      <w:r>
        <w:tab/>
      </w:r>
      <w:r w:rsidRPr="00763D72">
        <w:rPr>
          <w:rStyle w:val="Appelnotedebasdep"/>
        </w:rPr>
        <w:footnoteRef/>
      </w:r>
      <w:r w:rsidRPr="00487473">
        <w:rPr>
          <w:lang w:val="fr-CH"/>
        </w:rPr>
        <w:tab/>
      </w:r>
      <w:r w:rsidRPr="00497A9A">
        <w:rPr>
          <w:noProof/>
          <w:lang w:val="fr-FR"/>
        </w:rPr>
        <w:t>Égalité des chances en milieu scolaire.</w:t>
      </w:r>
    </w:p>
  </w:footnote>
  <w:footnote w:id="45">
    <w:p w:rsidR="000A2CB5" w:rsidRPr="00793A0E" w:rsidRDefault="000A2CB5" w:rsidP="000448E3">
      <w:pPr>
        <w:pStyle w:val="Notedebasdepage"/>
        <w:rPr>
          <w:rFonts w:cs="Arial"/>
          <w:noProof/>
          <w:lang w:val="fr-FR"/>
        </w:rPr>
      </w:pPr>
      <w:r w:rsidRPr="00487473">
        <w:rPr>
          <w:rFonts w:cs="Arial"/>
          <w:lang w:val="fr-CH"/>
        </w:rPr>
        <w:tab/>
      </w:r>
      <w:r w:rsidRPr="00763D72">
        <w:rPr>
          <w:rStyle w:val="Appelnotedebasdep"/>
        </w:rPr>
        <w:footnoteRef/>
      </w:r>
      <w:r w:rsidRPr="00FD6ABF">
        <w:rPr>
          <w:rFonts w:cs="Arial"/>
          <w:lang w:val="fr-CH"/>
        </w:rPr>
        <w:tab/>
      </w:r>
      <w:r w:rsidRPr="00793A0E">
        <w:rPr>
          <w:rFonts w:cs="Arial"/>
          <w:noProof/>
          <w:lang w:val="fr-FR"/>
        </w:rPr>
        <w:t xml:space="preserve">2005, CRC/C/IRL/12, </w:t>
      </w:r>
      <w:r>
        <w:rPr>
          <w:rFonts w:cs="Arial"/>
          <w:noProof/>
          <w:lang w:val="fr-FR"/>
        </w:rPr>
        <w:t>p</w:t>
      </w:r>
      <w:r w:rsidRPr="00793A0E">
        <w:rPr>
          <w:rFonts w:cs="Arial"/>
          <w:noProof/>
          <w:lang w:val="fr-FR"/>
        </w:rPr>
        <w:t>ar</w:t>
      </w:r>
      <w:r>
        <w:rPr>
          <w:rFonts w:cs="Arial"/>
          <w:noProof/>
          <w:lang w:val="fr-FR"/>
        </w:rPr>
        <w:t>.</w:t>
      </w:r>
      <w:r w:rsidRPr="00793A0E">
        <w:rPr>
          <w:rFonts w:cs="Arial"/>
          <w:noProof/>
          <w:lang w:val="fr-FR"/>
        </w:rPr>
        <w:t> 637.</w:t>
      </w:r>
    </w:p>
  </w:footnote>
  <w:footnote w:id="46">
    <w:p w:rsidR="000A2CB5" w:rsidRPr="00A62A8D" w:rsidRDefault="000A2CB5" w:rsidP="000448E3">
      <w:pPr>
        <w:pStyle w:val="Notedebasdepage"/>
      </w:pPr>
      <w:r w:rsidRPr="00793A0E">
        <w:rPr>
          <w:rFonts w:ascii="Arial" w:hAnsi="Arial" w:cs="Arial"/>
          <w:noProof/>
          <w:szCs w:val="22"/>
          <w:lang w:val="fr-FR"/>
        </w:rPr>
        <w:tab/>
      </w:r>
      <w:r w:rsidRPr="00793A0E">
        <w:rPr>
          <w:rStyle w:val="Appelnotedebasdep"/>
          <w:noProof/>
          <w:lang w:val="fr-FR"/>
        </w:rPr>
        <w:footnoteRef/>
      </w:r>
      <w:r w:rsidRPr="00793A0E">
        <w:rPr>
          <w:rFonts w:ascii="Arial" w:hAnsi="Arial" w:cs="Arial"/>
          <w:noProof/>
          <w:szCs w:val="22"/>
          <w:lang w:val="fr-FR"/>
        </w:rPr>
        <w:tab/>
      </w:r>
      <w:r>
        <w:rPr>
          <w:noProof/>
          <w:szCs w:val="22"/>
          <w:lang w:val="fr-FR"/>
        </w:rPr>
        <w:t>Les données recueillies au niveau du primaire le sont par groupements de pays, ce qui fait que le nombre de nationalité</w:t>
      </w:r>
      <w:r w:rsidRPr="00793A0E">
        <w:rPr>
          <w:noProof/>
          <w:szCs w:val="22"/>
          <w:lang w:val="fr-FR"/>
        </w:rPr>
        <w:t xml:space="preserve">s </w:t>
      </w:r>
      <w:r>
        <w:rPr>
          <w:noProof/>
          <w:szCs w:val="22"/>
          <w:lang w:val="fr-FR"/>
        </w:rPr>
        <w:t>n’est pas connu</w:t>
      </w:r>
      <w:r w:rsidRPr="000448E3">
        <w:rPr>
          <w:szCs w:val="22"/>
        </w:rPr>
        <w:t>.</w:t>
      </w:r>
    </w:p>
  </w:footnote>
  <w:footnote w:id="47">
    <w:p w:rsidR="000A2CB5" w:rsidRPr="00487473" w:rsidRDefault="000A2CB5" w:rsidP="00E4251B">
      <w:pPr>
        <w:pStyle w:val="Notedebasdepage"/>
        <w:rPr>
          <w:lang w:val="fr-CH"/>
        </w:rPr>
      </w:pPr>
      <w:r>
        <w:tab/>
      </w:r>
      <w:r w:rsidRPr="00763D72">
        <w:rPr>
          <w:rStyle w:val="Appelnotedebasdep"/>
        </w:rPr>
        <w:footnoteRef/>
      </w:r>
      <w:r w:rsidRPr="00487473">
        <w:rPr>
          <w:lang w:val="fr-CH"/>
        </w:rPr>
        <w:tab/>
      </w:r>
      <w:r>
        <w:rPr>
          <w:noProof/>
          <w:lang w:val="fr-FR"/>
        </w:rPr>
        <w:t xml:space="preserve">Pour résumer, le travail avec les jeunes peut être décrit comme étant éducatif et non obligatoire, structuré et </w:t>
      </w:r>
      <w:r w:rsidRPr="00C3203E">
        <w:rPr>
          <w:noProof/>
          <w:lang w:val="fr-FR"/>
        </w:rPr>
        <w:t>syst</w:t>
      </w:r>
      <w:r>
        <w:rPr>
          <w:noProof/>
          <w:lang w:val="fr-FR"/>
        </w:rPr>
        <w:t>é</w:t>
      </w:r>
      <w:r w:rsidRPr="00C3203E">
        <w:rPr>
          <w:noProof/>
          <w:lang w:val="fr-FR"/>
        </w:rPr>
        <w:t>mati</w:t>
      </w:r>
      <w:r>
        <w:rPr>
          <w:noProof/>
          <w:lang w:val="fr-FR"/>
        </w:rPr>
        <w:t>que</w:t>
      </w:r>
      <w:r w:rsidRPr="00C3203E">
        <w:rPr>
          <w:noProof/>
          <w:lang w:val="fr-FR"/>
        </w:rPr>
        <w:t xml:space="preserve">. </w:t>
      </w:r>
      <w:r>
        <w:rPr>
          <w:noProof/>
          <w:lang w:val="fr-FR"/>
        </w:rPr>
        <w:t xml:space="preserve">Il repose sur la </w:t>
      </w:r>
      <w:r w:rsidRPr="00C3203E">
        <w:rPr>
          <w:noProof/>
          <w:lang w:val="fr-FR"/>
        </w:rPr>
        <w:t xml:space="preserve">participation </w:t>
      </w:r>
      <w:r>
        <w:rPr>
          <w:noProof/>
          <w:lang w:val="fr-FR"/>
        </w:rPr>
        <w:t>volontaire des jeunes</w:t>
      </w:r>
      <w:r w:rsidRPr="00C3203E">
        <w:rPr>
          <w:noProof/>
          <w:lang w:val="fr-FR"/>
        </w:rPr>
        <w:t xml:space="preserve">, </w:t>
      </w:r>
      <w:r>
        <w:rPr>
          <w:noProof/>
          <w:lang w:val="fr-FR"/>
        </w:rPr>
        <w:t>est exécuté dans différents cadres allant de l’éducation non formelle à l’éducation informelle, et mobilise les jeunes âgés de 10 à 24 ans, ce qui représente une période importante tant sur le plan du développement qu’en durée</w:t>
      </w:r>
      <w:r w:rsidRPr="00487473">
        <w:rPr>
          <w:lang w:val="fr-CH"/>
        </w:rPr>
        <w:t>.</w:t>
      </w:r>
    </w:p>
  </w:footnote>
  <w:footnote w:id="48">
    <w:p w:rsidR="000A2CB5" w:rsidRPr="00487473" w:rsidRDefault="000A2CB5" w:rsidP="004454EF">
      <w:pPr>
        <w:pStyle w:val="Notedebasdepage"/>
        <w:rPr>
          <w:rFonts w:cs="Arial"/>
          <w:lang w:val="fr-CH"/>
        </w:rPr>
      </w:pPr>
      <w:r w:rsidRPr="00487473">
        <w:rPr>
          <w:rFonts w:cs="Arial"/>
          <w:lang w:val="fr-CH"/>
        </w:rPr>
        <w:tab/>
      </w:r>
      <w:r w:rsidRPr="00763D72">
        <w:rPr>
          <w:rStyle w:val="Appelnotedebasdep"/>
        </w:rPr>
        <w:footnoteRef/>
      </w:r>
      <w:r w:rsidRPr="00487473">
        <w:rPr>
          <w:rFonts w:cs="Arial"/>
          <w:lang w:val="fr-CH"/>
        </w:rPr>
        <w:tab/>
      </w:r>
      <w:r>
        <w:rPr>
          <w:rFonts w:cs="Arial"/>
          <w:noProof/>
          <w:lang w:val="fr-FR"/>
        </w:rPr>
        <w:t>2005, CRC/C/IRL/2, p</w:t>
      </w:r>
      <w:r w:rsidRPr="000847C2">
        <w:rPr>
          <w:rFonts w:cs="Arial"/>
          <w:noProof/>
          <w:lang w:val="fr-FR"/>
        </w:rPr>
        <w:t>ar</w:t>
      </w:r>
      <w:r>
        <w:rPr>
          <w:rFonts w:cs="Arial"/>
          <w:noProof/>
          <w:lang w:val="fr-FR"/>
        </w:rPr>
        <w:t>.</w:t>
      </w:r>
      <w:r w:rsidRPr="000847C2">
        <w:rPr>
          <w:rFonts w:cs="Arial"/>
          <w:noProof/>
          <w:lang w:val="fr-FR"/>
        </w:rPr>
        <w:t> 772</w:t>
      </w:r>
      <w:r>
        <w:rPr>
          <w:rFonts w:cs="Arial"/>
          <w:noProof/>
          <w:lang w:val="fr-FR"/>
        </w:rPr>
        <w:t xml:space="preserve"> à </w:t>
      </w:r>
      <w:r w:rsidRPr="000847C2">
        <w:rPr>
          <w:rFonts w:cs="Arial"/>
          <w:noProof/>
          <w:lang w:val="fr-FR"/>
        </w:rPr>
        <w:t>776</w:t>
      </w:r>
      <w:r w:rsidRPr="00487473">
        <w:rPr>
          <w:rFonts w:cs="Arial"/>
          <w:lang w:val="fr-CH"/>
        </w:rPr>
        <w:t>.</w:t>
      </w:r>
    </w:p>
  </w:footnote>
  <w:footnote w:id="49">
    <w:p w:rsidR="000A2CB5" w:rsidRDefault="000A2CB5" w:rsidP="004454EF">
      <w:pPr>
        <w:pStyle w:val="Notedebasdepage"/>
        <w:rPr>
          <w:rFonts w:cs="Arial"/>
        </w:rPr>
      </w:pPr>
      <w:r w:rsidRPr="00487473">
        <w:rPr>
          <w:rFonts w:cs="Arial"/>
          <w:lang w:val="fr-CH"/>
        </w:rPr>
        <w:tab/>
      </w:r>
      <w:r w:rsidRPr="00763D72">
        <w:rPr>
          <w:rStyle w:val="Appelnotedebasdep"/>
        </w:rPr>
        <w:footnoteRef/>
      </w:r>
      <w:r>
        <w:rPr>
          <w:rFonts w:cs="Arial"/>
        </w:rPr>
        <w:tab/>
      </w:r>
      <w:r w:rsidRPr="00686515">
        <w:rPr>
          <w:rFonts w:cs="Arial"/>
          <w:noProof/>
          <w:lang w:val="fr-FR"/>
        </w:rPr>
        <w:t xml:space="preserve">2005, CRC/C/IRL/2, </w:t>
      </w:r>
      <w:r>
        <w:rPr>
          <w:rFonts w:cs="Arial"/>
          <w:noProof/>
          <w:lang w:val="fr-FR"/>
        </w:rPr>
        <w:t>p</w:t>
      </w:r>
      <w:r w:rsidRPr="00686515">
        <w:rPr>
          <w:rFonts w:cs="Arial"/>
          <w:noProof/>
          <w:lang w:val="fr-FR"/>
        </w:rPr>
        <w:t>ar</w:t>
      </w:r>
      <w:r>
        <w:rPr>
          <w:rFonts w:cs="Arial"/>
          <w:noProof/>
          <w:lang w:val="fr-FR"/>
        </w:rPr>
        <w:t>.</w:t>
      </w:r>
      <w:r w:rsidRPr="00686515">
        <w:rPr>
          <w:rFonts w:cs="Arial"/>
          <w:noProof/>
          <w:lang w:val="fr-FR"/>
        </w:rPr>
        <w:t> 753</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B5" w:rsidRDefault="000A2CB5" w:rsidP="00493E83">
    <w:pPr>
      <w:pStyle w:val="En-tte"/>
    </w:pPr>
    <w:r>
      <w:t>CRC/C/IRL/3-4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B5" w:rsidRDefault="000A2CB5" w:rsidP="00493E83">
    <w:pPr>
      <w:pStyle w:val="En-tte"/>
      <w:jc w:val="right"/>
    </w:pPr>
    <w:r>
      <w:t>CRC/C/IRL/3-4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C00595"/>
    <w:multiLevelType w:val="hybridMultilevel"/>
    <w:tmpl w:val="4AB0CE6C"/>
    <w:lvl w:ilvl="0" w:tplc="B54247A0">
      <w:start w:val="1"/>
      <w:numFmt w:val="decimal"/>
      <w:lvlText w:val="%1."/>
      <w:lvlJc w:val="left"/>
      <w:pPr>
        <w:ind w:left="1854" w:hanging="360"/>
      </w:pPr>
      <w:rPr>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B81501C"/>
    <w:multiLevelType w:val="hybridMultilevel"/>
    <w:tmpl w:val="0B04EA9A"/>
    <w:lvl w:ilvl="0" w:tplc="1BC812DC">
      <w:start w:val="1"/>
      <w:numFmt w:val="bullet"/>
      <w:pStyle w:val="bulletpara1"/>
      <w:lvlText w:val=""/>
      <w:lvlJc w:val="left"/>
      <w:pPr>
        <w:tabs>
          <w:tab w:val="num" w:pos="1627"/>
        </w:tabs>
        <w:ind w:left="1627" w:hanging="360"/>
      </w:pPr>
      <w:rPr>
        <w:rFonts w:ascii="Symbol" w:hAnsi="Symbol" w:hint="default"/>
      </w:rPr>
    </w:lvl>
    <w:lvl w:ilvl="1" w:tplc="04090003">
      <w:start w:val="1"/>
      <w:numFmt w:val="bullet"/>
      <w:lvlText w:val="o"/>
      <w:lvlJc w:val="left"/>
      <w:pPr>
        <w:tabs>
          <w:tab w:val="num" w:pos="2347"/>
        </w:tabs>
        <w:ind w:left="2347" w:hanging="360"/>
      </w:pPr>
      <w:rPr>
        <w:rFonts w:ascii="Courier New" w:hAnsi="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F8"/>
    <w:rsid w:val="000015FE"/>
    <w:rsid w:val="00002706"/>
    <w:rsid w:val="00002D8C"/>
    <w:rsid w:val="00005DFB"/>
    <w:rsid w:val="000068FB"/>
    <w:rsid w:val="00007844"/>
    <w:rsid w:val="000079BD"/>
    <w:rsid w:val="00010840"/>
    <w:rsid w:val="000112C3"/>
    <w:rsid w:val="000131BB"/>
    <w:rsid w:val="00013DEB"/>
    <w:rsid w:val="00014F4F"/>
    <w:rsid w:val="00015640"/>
    <w:rsid w:val="00015909"/>
    <w:rsid w:val="00015E9C"/>
    <w:rsid w:val="00016E10"/>
    <w:rsid w:val="00017511"/>
    <w:rsid w:val="00017F39"/>
    <w:rsid w:val="000212C3"/>
    <w:rsid w:val="000213B3"/>
    <w:rsid w:val="000238C4"/>
    <w:rsid w:val="00023EB0"/>
    <w:rsid w:val="00024914"/>
    <w:rsid w:val="00025B8E"/>
    <w:rsid w:val="00025E41"/>
    <w:rsid w:val="00025E95"/>
    <w:rsid w:val="00026524"/>
    <w:rsid w:val="00026BDD"/>
    <w:rsid w:val="00030284"/>
    <w:rsid w:val="00030707"/>
    <w:rsid w:val="00030F53"/>
    <w:rsid w:val="00031612"/>
    <w:rsid w:val="000319FF"/>
    <w:rsid w:val="0003373C"/>
    <w:rsid w:val="00034BF1"/>
    <w:rsid w:val="00035485"/>
    <w:rsid w:val="00035893"/>
    <w:rsid w:val="00035DE7"/>
    <w:rsid w:val="00035F50"/>
    <w:rsid w:val="0003610D"/>
    <w:rsid w:val="0003615B"/>
    <w:rsid w:val="00036C2A"/>
    <w:rsid w:val="000418D8"/>
    <w:rsid w:val="0004191E"/>
    <w:rsid w:val="00042A71"/>
    <w:rsid w:val="00042B22"/>
    <w:rsid w:val="000446B0"/>
    <w:rsid w:val="000448E3"/>
    <w:rsid w:val="00044DD3"/>
    <w:rsid w:val="00045439"/>
    <w:rsid w:val="0004550B"/>
    <w:rsid w:val="00045D83"/>
    <w:rsid w:val="000475F3"/>
    <w:rsid w:val="000477D5"/>
    <w:rsid w:val="00050297"/>
    <w:rsid w:val="000507C6"/>
    <w:rsid w:val="00050B0A"/>
    <w:rsid w:val="00050E4B"/>
    <w:rsid w:val="00050F6B"/>
    <w:rsid w:val="0005253C"/>
    <w:rsid w:val="00052FDD"/>
    <w:rsid w:val="00053E21"/>
    <w:rsid w:val="0005407D"/>
    <w:rsid w:val="000540AA"/>
    <w:rsid w:val="000540B6"/>
    <w:rsid w:val="00054392"/>
    <w:rsid w:val="00054543"/>
    <w:rsid w:val="0005583C"/>
    <w:rsid w:val="00056202"/>
    <w:rsid w:val="00056F9F"/>
    <w:rsid w:val="0006252E"/>
    <w:rsid w:val="0006309A"/>
    <w:rsid w:val="00063287"/>
    <w:rsid w:val="0006697A"/>
    <w:rsid w:val="00066A18"/>
    <w:rsid w:val="00067B0B"/>
    <w:rsid w:val="00071C28"/>
    <w:rsid w:val="00071D66"/>
    <w:rsid w:val="000729C9"/>
    <w:rsid w:val="00072C8C"/>
    <w:rsid w:val="00072E5F"/>
    <w:rsid w:val="0007340D"/>
    <w:rsid w:val="0007411A"/>
    <w:rsid w:val="00074833"/>
    <w:rsid w:val="000758E7"/>
    <w:rsid w:val="00075AC0"/>
    <w:rsid w:val="00076D4A"/>
    <w:rsid w:val="000770DB"/>
    <w:rsid w:val="0008097D"/>
    <w:rsid w:val="00081495"/>
    <w:rsid w:val="000836D0"/>
    <w:rsid w:val="00084343"/>
    <w:rsid w:val="00084380"/>
    <w:rsid w:val="000847C2"/>
    <w:rsid w:val="00084E5D"/>
    <w:rsid w:val="000858FD"/>
    <w:rsid w:val="0008623E"/>
    <w:rsid w:val="00086785"/>
    <w:rsid w:val="00087F57"/>
    <w:rsid w:val="00090959"/>
    <w:rsid w:val="000910C3"/>
    <w:rsid w:val="00091419"/>
    <w:rsid w:val="00092DEC"/>
    <w:rsid w:val="000931C0"/>
    <w:rsid w:val="0009399C"/>
    <w:rsid w:val="00093E08"/>
    <w:rsid w:val="0009434A"/>
    <w:rsid w:val="00094461"/>
    <w:rsid w:val="00094AE0"/>
    <w:rsid w:val="000956B0"/>
    <w:rsid w:val="00095C6F"/>
    <w:rsid w:val="000964D8"/>
    <w:rsid w:val="00097135"/>
    <w:rsid w:val="000A010E"/>
    <w:rsid w:val="000A290D"/>
    <w:rsid w:val="000A2B7B"/>
    <w:rsid w:val="000A2CB5"/>
    <w:rsid w:val="000A36EE"/>
    <w:rsid w:val="000A4F17"/>
    <w:rsid w:val="000A5661"/>
    <w:rsid w:val="000A5D9F"/>
    <w:rsid w:val="000A6D3A"/>
    <w:rsid w:val="000B0E18"/>
    <w:rsid w:val="000B175B"/>
    <w:rsid w:val="000B2D2D"/>
    <w:rsid w:val="000B3554"/>
    <w:rsid w:val="000B3945"/>
    <w:rsid w:val="000B3A0F"/>
    <w:rsid w:val="000B45CA"/>
    <w:rsid w:val="000B5293"/>
    <w:rsid w:val="000B5D9E"/>
    <w:rsid w:val="000B621B"/>
    <w:rsid w:val="000B6342"/>
    <w:rsid w:val="000B76A5"/>
    <w:rsid w:val="000C030C"/>
    <w:rsid w:val="000C11CF"/>
    <w:rsid w:val="000C14B9"/>
    <w:rsid w:val="000C2409"/>
    <w:rsid w:val="000C2F13"/>
    <w:rsid w:val="000C4C32"/>
    <w:rsid w:val="000C54DD"/>
    <w:rsid w:val="000C5A2F"/>
    <w:rsid w:val="000C6044"/>
    <w:rsid w:val="000C6649"/>
    <w:rsid w:val="000C66E9"/>
    <w:rsid w:val="000C6A84"/>
    <w:rsid w:val="000C6F27"/>
    <w:rsid w:val="000D030A"/>
    <w:rsid w:val="000D03FC"/>
    <w:rsid w:val="000D0A87"/>
    <w:rsid w:val="000D2102"/>
    <w:rsid w:val="000D2AB8"/>
    <w:rsid w:val="000D324A"/>
    <w:rsid w:val="000D32A1"/>
    <w:rsid w:val="000D3F7F"/>
    <w:rsid w:val="000D620B"/>
    <w:rsid w:val="000D6550"/>
    <w:rsid w:val="000D670E"/>
    <w:rsid w:val="000D7730"/>
    <w:rsid w:val="000D7BEC"/>
    <w:rsid w:val="000E0415"/>
    <w:rsid w:val="000E1297"/>
    <w:rsid w:val="000E3348"/>
    <w:rsid w:val="000E36B6"/>
    <w:rsid w:val="000E7252"/>
    <w:rsid w:val="000E77B7"/>
    <w:rsid w:val="000F0E0F"/>
    <w:rsid w:val="000F1667"/>
    <w:rsid w:val="000F2008"/>
    <w:rsid w:val="000F2CEA"/>
    <w:rsid w:val="000F4BD1"/>
    <w:rsid w:val="000F4F3F"/>
    <w:rsid w:val="000F5B1B"/>
    <w:rsid w:val="000F5DEF"/>
    <w:rsid w:val="000F76FD"/>
    <w:rsid w:val="000F7E85"/>
    <w:rsid w:val="00101062"/>
    <w:rsid w:val="00101A9A"/>
    <w:rsid w:val="001028D6"/>
    <w:rsid w:val="00103468"/>
    <w:rsid w:val="00103B63"/>
    <w:rsid w:val="00105672"/>
    <w:rsid w:val="001063B2"/>
    <w:rsid w:val="00107487"/>
    <w:rsid w:val="00107573"/>
    <w:rsid w:val="00107CBF"/>
    <w:rsid w:val="001102D6"/>
    <w:rsid w:val="00110556"/>
    <w:rsid w:val="00111CD9"/>
    <w:rsid w:val="00111EE3"/>
    <w:rsid w:val="0011220B"/>
    <w:rsid w:val="0011221A"/>
    <w:rsid w:val="00112B48"/>
    <w:rsid w:val="00113E72"/>
    <w:rsid w:val="0011416A"/>
    <w:rsid w:val="00120442"/>
    <w:rsid w:val="00121739"/>
    <w:rsid w:val="00121B79"/>
    <w:rsid w:val="00121D1D"/>
    <w:rsid w:val="001226D2"/>
    <w:rsid w:val="00122A45"/>
    <w:rsid w:val="0012415F"/>
    <w:rsid w:val="001242FB"/>
    <w:rsid w:val="0012600A"/>
    <w:rsid w:val="001266C2"/>
    <w:rsid w:val="0012768F"/>
    <w:rsid w:val="001317D8"/>
    <w:rsid w:val="00132DF5"/>
    <w:rsid w:val="00134D6B"/>
    <w:rsid w:val="00135644"/>
    <w:rsid w:val="00135766"/>
    <w:rsid w:val="00135C7E"/>
    <w:rsid w:val="00137469"/>
    <w:rsid w:val="0013782F"/>
    <w:rsid w:val="00140193"/>
    <w:rsid w:val="0014093A"/>
    <w:rsid w:val="00141524"/>
    <w:rsid w:val="0014156D"/>
    <w:rsid w:val="001420B6"/>
    <w:rsid w:val="00143F20"/>
    <w:rsid w:val="001442D2"/>
    <w:rsid w:val="00144813"/>
    <w:rsid w:val="00144C1C"/>
    <w:rsid w:val="00145A33"/>
    <w:rsid w:val="00145C01"/>
    <w:rsid w:val="00146CC6"/>
    <w:rsid w:val="00147C9C"/>
    <w:rsid w:val="00150260"/>
    <w:rsid w:val="00151028"/>
    <w:rsid w:val="001527AA"/>
    <w:rsid w:val="00153DAF"/>
    <w:rsid w:val="00153DFD"/>
    <w:rsid w:val="0015462F"/>
    <w:rsid w:val="00154D10"/>
    <w:rsid w:val="001557FF"/>
    <w:rsid w:val="00155887"/>
    <w:rsid w:val="00155B13"/>
    <w:rsid w:val="00155F2B"/>
    <w:rsid w:val="001567D0"/>
    <w:rsid w:val="00157A93"/>
    <w:rsid w:val="00161BCD"/>
    <w:rsid w:val="00161E71"/>
    <w:rsid w:val="001623C3"/>
    <w:rsid w:val="00162AA9"/>
    <w:rsid w:val="00162AF4"/>
    <w:rsid w:val="00162CEC"/>
    <w:rsid w:val="00163C7C"/>
    <w:rsid w:val="0016409B"/>
    <w:rsid w:val="001644E8"/>
    <w:rsid w:val="00164CF2"/>
    <w:rsid w:val="00165FBA"/>
    <w:rsid w:val="00166A90"/>
    <w:rsid w:val="00167232"/>
    <w:rsid w:val="00167284"/>
    <w:rsid w:val="0017051D"/>
    <w:rsid w:val="001713CB"/>
    <w:rsid w:val="00172208"/>
    <w:rsid w:val="0017264C"/>
    <w:rsid w:val="001729A6"/>
    <w:rsid w:val="00172EF0"/>
    <w:rsid w:val="0017398E"/>
    <w:rsid w:val="00174137"/>
    <w:rsid w:val="001759C7"/>
    <w:rsid w:val="00175AB7"/>
    <w:rsid w:val="00176152"/>
    <w:rsid w:val="0017649D"/>
    <w:rsid w:val="001768ED"/>
    <w:rsid w:val="001776BB"/>
    <w:rsid w:val="001776E0"/>
    <w:rsid w:val="00177758"/>
    <w:rsid w:val="00181094"/>
    <w:rsid w:val="001812EF"/>
    <w:rsid w:val="00181ED1"/>
    <w:rsid w:val="001824B7"/>
    <w:rsid w:val="00183C7E"/>
    <w:rsid w:val="00184732"/>
    <w:rsid w:val="0018494A"/>
    <w:rsid w:val="001849EC"/>
    <w:rsid w:val="00185569"/>
    <w:rsid w:val="001870F0"/>
    <w:rsid w:val="00187235"/>
    <w:rsid w:val="00187677"/>
    <w:rsid w:val="00187A24"/>
    <w:rsid w:val="00187AEB"/>
    <w:rsid w:val="00190874"/>
    <w:rsid w:val="001910CF"/>
    <w:rsid w:val="0019346B"/>
    <w:rsid w:val="00193648"/>
    <w:rsid w:val="00194B6C"/>
    <w:rsid w:val="0019515D"/>
    <w:rsid w:val="001951D9"/>
    <w:rsid w:val="0019547E"/>
    <w:rsid w:val="00195BFE"/>
    <w:rsid w:val="00196A13"/>
    <w:rsid w:val="001A125C"/>
    <w:rsid w:val="001A1724"/>
    <w:rsid w:val="001A19D8"/>
    <w:rsid w:val="001A2420"/>
    <w:rsid w:val="001A35DA"/>
    <w:rsid w:val="001A3C9C"/>
    <w:rsid w:val="001A4F74"/>
    <w:rsid w:val="001A5CA0"/>
    <w:rsid w:val="001A667D"/>
    <w:rsid w:val="001A6BD7"/>
    <w:rsid w:val="001A6F00"/>
    <w:rsid w:val="001A6F50"/>
    <w:rsid w:val="001A7C7A"/>
    <w:rsid w:val="001A7E54"/>
    <w:rsid w:val="001B154A"/>
    <w:rsid w:val="001B2AC3"/>
    <w:rsid w:val="001B2AC4"/>
    <w:rsid w:val="001B2F58"/>
    <w:rsid w:val="001B4A51"/>
    <w:rsid w:val="001B4B04"/>
    <w:rsid w:val="001B5F01"/>
    <w:rsid w:val="001B64D5"/>
    <w:rsid w:val="001B7192"/>
    <w:rsid w:val="001C047F"/>
    <w:rsid w:val="001C0792"/>
    <w:rsid w:val="001C1027"/>
    <w:rsid w:val="001C17CB"/>
    <w:rsid w:val="001C1A05"/>
    <w:rsid w:val="001C2486"/>
    <w:rsid w:val="001C44AA"/>
    <w:rsid w:val="001C45EA"/>
    <w:rsid w:val="001C5407"/>
    <w:rsid w:val="001C5F56"/>
    <w:rsid w:val="001C6544"/>
    <w:rsid w:val="001C6663"/>
    <w:rsid w:val="001C7895"/>
    <w:rsid w:val="001D0022"/>
    <w:rsid w:val="001D0C2A"/>
    <w:rsid w:val="001D0CAD"/>
    <w:rsid w:val="001D1C06"/>
    <w:rsid w:val="001D26BC"/>
    <w:rsid w:val="001D26DF"/>
    <w:rsid w:val="001D2A76"/>
    <w:rsid w:val="001D2F73"/>
    <w:rsid w:val="001D2FDC"/>
    <w:rsid w:val="001D4126"/>
    <w:rsid w:val="001D42AE"/>
    <w:rsid w:val="001D44CC"/>
    <w:rsid w:val="001D4F8F"/>
    <w:rsid w:val="001D53AF"/>
    <w:rsid w:val="001D6F60"/>
    <w:rsid w:val="001D7045"/>
    <w:rsid w:val="001E0875"/>
    <w:rsid w:val="001E0F8C"/>
    <w:rsid w:val="001E16F7"/>
    <w:rsid w:val="001E193E"/>
    <w:rsid w:val="001E1CAD"/>
    <w:rsid w:val="001E3807"/>
    <w:rsid w:val="001E58FE"/>
    <w:rsid w:val="001E76AD"/>
    <w:rsid w:val="001E791B"/>
    <w:rsid w:val="001F161A"/>
    <w:rsid w:val="001F2B82"/>
    <w:rsid w:val="001F3267"/>
    <w:rsid w:val="001F3650"/>
    <w:rsid w:val="001F5DD2"/>
    <w:rsid w:val="00202196"/>
    <w:rsid w:val="0020244B"/>
    <w:rsid w:val="002026BC"/>
    <w:rsid w:val="0020395E"/>
    <w:rsid w:val="002045F8"/>
    <w:rsid w:val="00205166"/>
    <w:rsid w:val="002056A6"/>
    <w:rsid w:val="00205E1C"/>
    <w:rsid w:val="00206054"/>
    <w:rsid w:val="002100C9"/>
    <w:rsid w:val="0021018A"/>
    <w:rsid w:val="00210612"/>
    <w:rsid w:val="002112C5"/>
    <w:rsid w:val="00211703"/>
    <w:rsid w:val="002117E1"/>
    <w:rsid w:val="00211E0B"/>
    <w:rsid w:val="002132ED"/>
    <w:rsid w:val="002133B9"/>
    <w:rsid w:val="002135F8"/>
    <w:rsid w:val="00214D61"/>
    <w:rsid w:val="002156AB"/>
    <w:rsid w:val="00215D17"/>
    <w:rsid w:val="00216602"/>
    <w:rsid w:val="0021720C"/>
    <w:rsid w:val="002205AB"/>
    <w:rsid w:val="00220B9E"/>
    <w:rsid w:val="002219BD"/>
    <w:rsid w:val="00222126"/>
    <w:rsid w:val="00222B1B"/>
    <w:rsid w:val="0022304F"/>
    <w:rsid w:val="00224F08"/>
    <w:rsid w:val="002256E8"/>
    <w:rsid w:val="0022664C"/>
    <w:rsid w:val="002276BA"/>
    <w:rsid w:val="002279B5"/>
    <w:rsid w:val="00230C25"/>
    <w:rsid w:val="00231FA5"/>
    <w:rsid w:val="0023267A"/>
    <w:rsid w:val="00235EC8"/>
    <w:rsid w:val="00235ECD"/>
    <w:rsid w:val="00237785"/>
    <w:rsid w:val="002378C4"/>
    <w:rsid w:val="00237F96"/>
    <w:rsid w:val="002407C0"/>
    <w:rsid w:val="002408C0"/>
    <w:rsid w:val="00240D72"/>
    <w:rsid w:val="00241290"/>
    <w:rsid w:val="00241466"/>
    <w:rsid w:val="0024179B"/>
    <w:rsid w:val="00241BEC"/>
    <w:rsid w:val="00241EBE"/>
    <w:rsid w:val="00242E8F"/>
    <w:rsid w:val="0024448F"/>
    <w:rsid w:val="002447DC"/>
    <w:rsid w:val="00245469"/>
    <w:rsid w:val="00246A34"/>
    <w:rsid w:val="00247D14"/>
    <w:rsid w:val="00250A50"/>
    <w:rsid w:val="00250C42"/>
    <w:rsid w:val="00250FEC"/>
    <w:rsid w:val="0025179F"/>
    <w:rsid w:val="00252163"/>
    <w:rsid w:val="002527D3"/>
    <w:rsid w:val="002527FE"/>
    <w:rsid w:val="00252AD1"/>
    <w:rsid w:val="002546A0"/>
    <w:rsid w:val="00255161"/>
    <w:rsid w:val="0025541B"/>
    <w:rsid w:val="00255441"/>
    <w:rsid w:val="00256019"/>
    <w:rsid w:val="0025631F"/>
    <w:rsid w:val="00256405"/>
    <w:rsid w:val="00257357"/>
    <w:rsid w:val="00260544"/>
    <w:rsid w:val="00260E2C"/>
    <w:rsid w:val="002619B5"/>
    <w:rsid w:val="00262043"/>
    <w:rsid w:val="00262524"/>
    <w:rsid w:val="00266A6E"/>
    <w:rsid w:val="002676F7"/>
    <w:rsid w:val="00270463"/>
    <w:rsid w:val="00270BE3"/>
    <w:rsid w:val="002713B0"/>
    <w:rsid w:val="00272679"/>
    <w:rsid w:val="00272836"/>
    <w:rsid w:val="00272CBB"/>
    <w:rsid w:val="002741DC"/>
    <w:rsid w:val="002747A4"/>
    <w:rsid w:val="00275449"/>
    <w:rsid w:val="002770F1"/>
    <w:rsid w:val="00277DCF"/>
    <w:rsid w:val="002800C9"/>
    <w:rsid w:val="00280125"/>
    <w:rsid w:val="00280D2A"/>
    <w:rsid w:val="0028141B"/>
    <w:rsid w:val="00281706"/>
    <w:rsid w:val="00283ED9"/>
    <w:rsid w:val="00283EE2"/>
    <w:rsid w:val="00284269"/>
    <w:rsid w:val="002854B8"/>
    <w:rsid w:val="00285844"/>
    <w:rsid w:val="002858E9"/>
    <w:rsid w:val="00285933"/>
    <w:rsid w:val="00285E50"/>
    <w:rsid w:val="0028671E"/>
    <w:rsid w:val="00287026"/>
    <w:rsid w:val="00292312"/>
    <w:rsid w:val="00293475"/>
    <w:rsid w:val="00293855"/>
    <w:rsid w:val="0029444B"/>
    <w:rsid w:val="002949CD"/>
    <w:rsid w:val="002949F6"/>
    <w:rsid w:val="00294C67"/>
    <w:rsid w:val="0029525B"/>
    <w:rsid w:val="00295559"/>
    <w:rsid w:val="0029618C"/>
    <w:rsid w:val="002972DC"/>
    <w:rsid w:val="00297781"/>
    <w:rsid w:val="00297DC6"/>
    <w:rsid w:val="002A0F39"/>
    <w:rsid w:val="002A15F5"/>
    <w:rsid w:val="002A1CB1"/>
    <w:rsid w:val="002A5F35"/>
    <w:rsid w:val="002A72A8"/>
    <w:rsid w:val="002A745C"/>
    <w:rsid w:val="002A7DE9"/>
    <w:rsid w:val="002B1395"/>
    <w:rsid w:val="002B2562"/>
    <w:rsid w:val="002B2632"/>
    <w:rsid w:val="002B29DD"/>
    <w:rsid w:val="002B2E19"/>
    <w:rsid w:val="002B31E0"/>
    <w:rsid w:val="002B4D53"/>
    <w:rsid w:val="002B4D9C"/>
    <w:rsid w:val="002B672B"/>
    <w:rsid w:val="002B7127"/>
    <w:rsid w:val="002C0081"/>
    <w:rsid w:val="002C0B56"/>
    <w:rsid w:val="002C0F88"/>
    <w:rsid w:val="002C10E0"/>
    <w:rsid w:val="002C1A26"/>
    <w:rsid w:val="002C22BD"/>
    <w:rsid w:val="002C2731"/>
    <w:rsid w:val="002C5618"/>
    <w:rsid w:val="002C58C8"/>
    <w:rsid w:val="002C6949"/>
    <w:rsid w:val="002C7974"/>
    <w:rsid w:val="002D07AF"/>
    <w:rsid w:val="002D17EA"/>
    <w:rsid w:val="002D17FD"/>
    <w:rsid w:val="002D1CCB"/>
    <w:rsid w:val="002D2CE1"/>
    <w:rsid w:val="002D302A"/>
    <w:rsid w:val="002D3625"/>
    <w:rsid w:val="002D44BE"/>
    <w:rsid w:val="002D497B"/>
    <w:rsid w:val="002D4F78"/>
    <w:rsid w:val="002D4FF5"/>
    <w:rsid w:val="002D526F"/>
    <w:rsid w:val="002D5A2E"/>
    <w:rsid w:val="002D5D72"/>
    <w:rsid w:val="002D6A06"/>
    <w:rsid w:val="002E046F"/>
    <w:rsid w:val="002E1BF6"/>
    <w:rsid w:val="002E3385"/>
    <w:rsid w:val="002E3CBF"/>
    <w:rsid w:val="002E423F"/>
    <w:rsid w:val="002E49FE"/>
    <w:rsid w:val="002E55E3"/>
    <w:rsid w:val="002E566C"/>
    <w:rsid w:val="002E5ADB"/>
    <w:rsid w:val="002E7113"/>
    <w:rsid w:val="002E74CF"/>
    <w:rsid w:val="002E776A"/>
    <w:rsid w:val="002E780C"/>
    <w:rsid w:val="002F04D3"/>
    <w:rsid w:val="002F123D"/>
    <w:rsid w:val="002F1619"/>
    <w:rsid w:val="002F1E7B"/>
    <w:rsid w:val="002F20C7"/>
    <w:rsid w:val="002F6F27"/>
    <w:rsid w:val="002F7A8F"/>
    <w:rsid w:val="003009F7"/>
    <w:rsid w:val="00300A2B"/>
    <w:rsid w:val="00301FD4"/>
    <w:rsid w:val="003024AE"/>
    <w:rsid w:val="0030293A"/>
    <w:rsid w:val="00302AA0"/>
    <w:rsid w:val="0030394E"/>
    <w:rsid w:val="00303B92"/>
    <w:rsid w:val="00304021"/>
    <w:rsid w:val="00305183"/>
    <w:rsid w:val="003051BA"/>
    <w:rsid w:val="003055EA"/>
    <w:rsid w:val="003057E7"/>
    <w:rsid w:val="00305D52"/>
    <w:rsid w:val="0030619F"/>
    <w:rsid w:val="00306BCA"/>
    <w:rsid w:val="003107FA"/>
    <w:rsid w:val="00311B86"/>
    <w:rsid w:val="00312007"/>
    <w:rsid w:val="00312718"/>
    <w:rsid w:val="00313E43"/>
    <w:rsid w:val="00313E99"/>
    <w:rsid w:val="0031545F"/>
    <w:rsid w:val="00315951"/>
    <w:rsid w:val="00315D5B"/>
    <w:rsid w:val="00317376"/>
    <w:rsid w:val="00317764"/>
    <w:rsid w:val="00320B9E"/>
    <w:rsid w:val="00322319"/>
    <w:rsid w:val="003229D8"/>
    <w:rsid w:val="00322F64"/>
    <w:rsid w:val="00323189"/>
    <w:rsid w:val="00323EEF"/>
    <w:rsid w:val="0032450D"/>
    <w:rsid w:val="00324970"/>
    <w:rsid w:val="0032589C"/>
    <w:rsid w:val="003259F6"/>
    <w:rsid w:val="00325A78"/>
    <w:rsid w:val="00327240"/>
    <w:rsid w:val="00330A06"/>
    <w:rsid w:val="00330D6E"/>
    <w:rsid w:val="00330DA0"/>
    <w:rsid w:val="00331115"/>
    <w:rsid w:val="0033157B"/>
    <w:rsid w:val="0033232A"/>
    <w:rsid w:val="00333F22"/>
    <w:rsid w:val="00334296"/>
    <w:rsid w:val="00334475"/>
    <w:rsid w:val="00334678"/>
    <w:rsid w:val="0033487C"/>
    <w:rsid w:val="0033581F"/>
    <w:rsid w:val="00335EF7"/>
    <w:rsid w:val="00336125"/>
    <w:rsid w:val="00337F25"/>
    <w:rsid w:val="00337F42"/>
    <w:rsid w:val="003407DC"/>
    <w:rsid w:val="00340EFD"/>
    <w:rsid w:val="00342217"/>
    <w:rsid w:val="00342DF1"/>
    <w:rsid w:val="00342E83"/>
    <w:rsid w:val="003456C3"/>
    <w:rsid w:val="00345AF3"/>
    <w:rsid w:val="00346C62"/>
    <w:rsid w:val="003470E7"/>
    <w:rsid w:val="00347FFB"/>
    <w:rsid w:val="0035031E"/>
    <w:rsid w:val="00350568"/>
    <w:rsid w:val="003512BE"/>
    <w:rsid w:val="00351372"/>
    <w:rsid w:val="00352749"/>
    <w:rsid w:val="00353C98"/>
    <w:rsid w:val="003544AF"/>
    <w:rsid w:val="00354878"/>
    <w:rsid w:val="00354CB1"/>
    <w:rsid w:val="003553BB"/>
    <w:rsid w:val="00355818"/>
    <w:rsid w:val="00355C90"/>
    <w:rsid w:val="00356C11"/>
    <w:rsid w:val="003577F3"/>
    <w:rsid w:val="00360127"/>
    <w:rsid w:val="003610C4"/>
    <w:rsid w:val="00361C06"/>
    <w:rsid w:val="00362E25"/>
    <w:rsid w:val="00363879"/>
    <w:rsid w:val="00364855"/>
    <w:rsid w:val="0036759E"/>
    <w:rsid w:val="003676CB"/>
    <w:rsid w:val="00367766"/>
    <w:rsid w:val="00370BE8"/>
    <w:rsid w:val="00370F46"/>
    <w:rsid w:val="00371E9B"/>
    <w:rsid w:val="003722FE"/>
    <w:rsid w:val="00373543"/>
    <w:rsid w:val="00373A34"/>
    <w:rsid w:val="003741E4"/>
    <w:rsid w:val="003747DE"/>
    <w:rsid w:val="0037528E"/>
    <w:rsid w:val="0037584E"/>
    <w:rsid w:val="00375B55"/>
    <w:rsid w:val="0037731C"/>
    <w:rsid w:val="00377DC9"/>
    <w:rsid w:val="00377FE4"/>
    <w:rsid w:val="00380978"/>
    <w:rsid w:val="00381576"/>
    <w:rsid w:val="00381A5E"/>
    <w:rsid w:val="00383305"/>
    <w:rsid w:val="00384B3E"/>
    <w:rsid w:val="00386641"/>
    <w:rsid w:val="003869FC"/>
    <w:rsid w:val="00387CB2"/>
    <w:rsid w:val="003902DC"/>
    <w:rsid w:val="0039153A"/>
    <w:rsid w:val="003915B7"/>
    <w:rsid w:val="003926D7"/>
    <w:rsid w:val="0039277A"/>
    <w:rsid w:val="003927CE"/>
    <w:rsid w:val="0039374D"/>
    <w:rsid w:val="00394537"/>
    <w:rsid w:val="00394B22"/>
    <w:rsid w:val="00395F49"/>
    <w:rsid w:val="0039626D"/>
    <w:rsid w:val="00396B1A"/>
    <w:rsid w:val="00396E5C"/>
    <w:rsid w:val="0039720E"/>
    <w:rsid w:val="003972E0"/>
    <w:rsid w:val="00397E84"/>
    <w:rsid w:val="003A016B"/>
    <w:rsid w:val="003A0D42"/>
    <w:rsid w:val="003A14C9"/>
    <w:rsid w:val="003A176F"/>
    <w:rsid w:val="003A1F2E"/>
    <w:rsid w:val="003A25D4"/>
    <w:rsid w:val="003A26F7"/>
    <w:rsid w:val="003A2811"/>
    <w:rsid w:val="003A304C"/>
    <w:rsid w:val="003A5C5B"/>
    <w:rsid w:val="003A6135"/>
    <w:rsid w:val="003A6D77"/>
    <w:rsid w:val="003A761B"/>
    <w:rsid w:val="003A7BA9"/>
    <w:rsid w:val="003B04FF"/>
    <w:rsid w:val="003B1AFF"/>
    <w:rsid w:val="003B2D12"/>
    <w:rsid w:val="003B335E"/>
    <w:rsid w:val="003B381E"/>
    <w:rsid w:val="003B3BB4"/>
    <w:rsid w:val="003B4239"/>
    <w:rsid w:val="003B4D3C"/>
    <w:rsid w:val="003B679E"/>
    <w:rsid w:val="003B6DA2"/>
    <w:rsid w:val="003B700B"/>
    <w:rsid w:val="003B774A"/>
    <w:rsid w:val="003B7E58"/>
    <w:rsid w:val="003C136D"/>
    <w:rsid w:val="003C140D"/>
    <w:rsid w:val="003C2CC4"/>
    <w:rsid w:val="003C2F6F"/>
    <w:rsid w:val="003C3642"/>
    <w:rsid w:val="003C5387"/>
    <w:rsid w:val="003C62DB"/>
    <w:rsid w:val="003C64FF"/>
    <w:rsid w:val="003C6984"/>
    <w:rsid w:val="003D08BC"/>
    <w:rsid w:val="003D0E14"/>
    <w:rsid w:val="003D0F58"/>
    <w:rsid w:val="003D16B3"/>
    <w:rsid w:val="003D16C2"/>
    <w:rsid w:val="003D31E6"/>
    <w:rsid w:val="003D40D7"/>
    <w:rsid w:val="003D491F"/>
    <w:rsid w:val="003D4B23"/>
    <w:rsid w:val="003D4C78"/>
    <w:rsid w:val="003D61B2"/>
    <w:rsid w:val="003D6DB9"/>
    <w:rsid w:val="003D71EE"/>
    <w:rsid w:val="003E09C2"/>
    <w:rsid w:val="003E237D"/>
    <w:rsid w:val="003E3A41"/>
    <w:rsid w:val="003E3B2F"/>
    <w:rsid w:val="003E692F"/>
    <w:rsid w:val="003E6BFC"/>
    <w:rsid w:val="003E6D3F"/>
    <w:rsid w:val="003E78E3"/>
    <w:rsid w:val="003F0659"/>
    <w:rsid w:val="003F13B8"/>
    <w:rsid w:val="003F1ADB"/>
    <w:rsid w:val="003F1E9F"/>
    <w:rsid w:val="003F22EC"/>
    <w:rsid w:val="003F2315"/>
    <w:rsid w:val="003F2412"/>
    <w:rsid w:val="003F2462"/>
    <w:rsid w:val="003F2D80"/>
    <w:rsid w:val="003F36DD"/>
    <w:rsid w:val="003F45CF"/>
    <w:rsid w:val="003F45F8"/>
    <w:rsid w:val="003F489A"/>
    <w:rsid w:val="003F4F51"/>
    <w:rsid w:val="003F52A6"/>
    <w:rsid w:val="003F52BE"/>
    <w:rsid w:val="003F54EE"/>
    <w:rsid w:val="003F726B"/>
    <w:rsid w:val="003F7396"/>
    <w:rsid w:val="003F7503"/>
    <w:rsid w:val="00400678"/>
    <w:rsid w:val="00400830"/>
    <w:rsid w:val="00400F14"/>
    <w:rsid w:val="0040145A"/>
    <w:rsid w:val="00401952"/>
    <w:rsid w:val="00403000"/>
    <w:rsid w:val="004049C8"/>
    <w:rsid w:val="00405A2F"/>
    <w:rsid w:val="00406349"/>
    <w:rsid w:val="00407481"/>
    <w:rsid w:val="00410691"/>
    <w:rsid w:val="00410A30"/>
    <w:rsid w:val="00411388"/>
    <w:rsid w:val="0041158E"/>
    <w:rsid w:val="00411AF5"/>
    <w:rsid w:val="004127FC"/>
    <w:rsid w:val="0041376B"/>
    <w:rsid w:val="00413994"/>
    <w:rsid w:val="00413CF6"/>
    <w:rsid w:val="0041463D"/>
    <w:rsid w:val="00414B4A"/>
    <w:rsid w:val="00414C2A"/>
    <w:rsid w:val="00414C6F"/>
    <w:rsid w:val="00414F34"/>
    <w:rsid w:val="00415517"/>
    <w:rsid w:val="0041559B"/>
    <w:rsid w:val="004168AF"/>
    <w:rsid w:val="004172B4"/>
    <w:rsid w:val="00417F85"/>
    <w:rsid w:val="004209A1"/>
    <w:rsid w:val="00420D49"/>
    <w:rsid w:val="00422761"/>
    <w:rsid w:val="004227E9"/>
    <w:rsid w:val="00422AC1"/>
    <w:rsid w:val="004257CA"/>
    <w:rsid w:val="00430408"/>
    <w:rsid w:val="004306E6"/>
    <w:rsid w:val="00431D66"/>
    <w:rsid w:val="004325CB"/>
    <w:rsid w:val="00432D65"/>
    <w:rsid w:val="00433235"/>
    <w:rsid w:val="00433EB8"/>
    <w:rsid w:val="00434035"/>
    <w:rsid w:val="0043465D"/>
    <w:rsid w:val="004350FD"/>
    <w:rsid w:val="00440302"/>
    <w:rsid w:val="0044064E"/>
    <w:rsid w:val="00440B91"/>
    <w:rsid w:val="00443070"/>
    <w:rsid w:val="00443462"/>
    <w:rsid w:val="00444D6B"/>
    <w:rsid w:val="0044503D"/>
    <w:rsid w:val="004454EF"/>
    <w:rsid w:val="00445D93"/>
    <w:rsid w:val="004465AA"/>
    <w:rsid w:val="00446DE4"/>
    <w:rsid w:val="00451933"/>
    <w:rsid w:val="004521ED"/>
    <w:rsid w:val="004525B5"/>
    <w:rsid w:val="00452EFA"/>
    <w:rsid w:val="00460326"/>
    <w:rsid w:val="004614FA"/>
    <w:rsid w:val="004616EF"/>
    <w:rsid w:val="00461DDC"/>
    <w:rsid w:val="00462BDE"/>
    <w:rsid w:val="004630C5"/>
    <w:rsid w:val="004632F5"/>
    <w:rsid w:val="00463F7B"/>
    <w:rsid w:val="00465102"/>
    <w:rsid w:val="004658CC"/>
    <w:rsid w:val="00465B0C"/>
    <w:rsid w:val="00466F6D"/>
    <w:rsid w:val="004675DE"/>
    <w:rsid w:val="004731FF"/>
    <w:rsid w:val="004735B3"/>
    <w:rsid w:val="00473813"/>
    <w:rsid w:val="00473825"/>
    <w:rsid w:val="00473FA1"/>
    <w:rsid w:val="00473FF8"/>
    <w:rsid w:val="00474009"/>
    <w:rsid w:val="00474565"/>
    <w:rsid w:val="004747E5"/>
    <w:rsid w:val="00474870"/>
    <w:rsid w:val="004749EB"/>
    <w:rsid w:val="00474EF4"/>
    <w:rsid w:val="004750A6"/>
    <w:rsid w:val="0047535F"/>
    <w:rsid w:val="00475648"/>
    <w:rsid w:val="0047770E"/>
    <w:rsid w:val="00477718"/>
    <w:rsid w:val="00480F56"/>
    <w:rsid w:val="0048144A"/>
    <w:rsid w:val="004815F9"/>
    <w:rsid w:val="00481CAE"/>
    <w:rsid w:val="004824E4"/>
    <w:rsid w:val="00482FEF"/>
    <w:rsid w:val="00483DCF"/>
    <w:rsid w:val="00487473"/>
    <w:rsid w:val="00487B36"/>
    <w:rsid w:val="00490606"/>
    <w:rsid w:val="00491537"/>
    <w:rsid w:val="004926F8"/>
    <w:rsid w:val="00492EC4"/>
    <w:rsid w:val="00493E83"/>
    <w:rsid w:val="00494F52"/>
    <w:rsid w:val="004956E3"/>
    <w:rsid w:val="00496BFC"/>
    <w:rsid w:val="00497146"/>
    <w:rsid w:val="004972FD"/>
    <w:rsid w:val="0049785C"/>
    <w:rsid w:val="00497A9A"/>
    <w:rsid w:val="00497F0D"/>
    <w:rsid w:val="004A0A4B"/>
    <w:rsid w:val="004A1FB9"/>
    <w:rsid w:val="004A2073"/>
    <w:rsid w:val="004B1931"/>
    <w:rsid w:val="004B3281"/>
    <w:rsid w:val="004B38CC"/>
    <w:rsid w:val="004B52E4"/>
    <w:rsid w:val="004B5700"/>
    <w:rsid w:val="004B57FC"/>
    <w:rsid w:val="004B59CB"/>
    <w:rsid w:val="004B5F38"/>
    <w:rsid w:val="004B64DE"/>
    <w:rsid w:val="004C51FD"/>
    <w:rsid w:val="004C57BD"/>
    <w:rsid w:val="004C6289"/>
    <w:rsid w:val="004C66C7"/>
    <w:rsid w:val="004C755D"/>
    <w:rsid w:val="004C75EA"/>
    <w:rsid w:val="004C7628"/>
    <w:rsid w:val="004C7931"/>
    <w:rsid w:val="004D0235"/>
    <w:rsid w:val="004D070D"/>
    <w:rsid w:val="004D0E7B"/>
    <w:rsid w:val="004D2C12"/>
    <w:rsid w:val="004D3165"/>
    <w:rsid w:val="004D367F"/>
    <w:rsid w:val="004D43A3"/>
    <w:rsid w:val="004D61D1"/>
    <w:rsid w:val="004D6AB9"/>
    <w:rsid w:val="004D7B50"/>
    <w:rsid w:val="004E1DBA"/>
    <w:rsid w:val="004E2A3A"/>
    <w:rsid w:val="004E3500"/>
    <w:rsid w:val="004E4884"/>
    <w:rsid w:val="004E654D"/>
    <w:rsid w:val="004E7096"/>
    <w:rsid w:val="004E7B6D"/>
    <w:rsid w:val="004E7C43"/>
    <w:rsid w:val="004F217D"/>
    <w:rsid w:val="004F2BAE"/>
    <w:rsid w:val="004F3194"/>
    <w:rsid w:val="004F3DF9"/>
    <w:rsid w:val="004F47FE"/>
    <w:rsid w:val="004F4A50"/>
    <w:rsid w:val="004F626B"/>
    <w:rsid w:val="004F64B7"/>
    <w:rsid w:val="004F6D52"/>
    <w:rsid w:val="00500203"/>
    <w:rsid w:val="00500686"/>
    <w:rsid w:val="0050083C"/>
    <w:rsid w:val="00500FEC"/>
    <w:rsid w:val="00501B6F"/>
    <w:rsid w:val="00502C29"/>
    <w:rsid w:val="00502D8A"/>
    <w:rsid w:val="00504415"/>
    <w:rsid w:val="00504C24"/>
    <w:rsid w:val="00504F24"/>
    <w:rsid w:val="005050AB"/>
    <w:rsid w:val="00507CB2"/>
    <w:rsid w:val="00510086"/>
    <w:rsid w:val="0051013A"/>
    <w:rsid w:val="00510C50"/>
    <w:rsid w:val="0051187E"/>
    <w:rsid w:val="00513349"/>
    <w:rsid w:val="005134A8"/>
    <w:rsid w:val="0051357D"/>
    <w:rsid w:val="00513988"/>
    <w:rsid w:val="00513EAD"/>
    <w:rsid w:val="005158DB"/>
    <w:rsid w:val="005160A2"/>
    <w:rsid w:val="0051662E"/>
    <w:rsid w:val="00517596"/>
    <w:rsid w:val="0051776E"/>
    <w:rsid w:val="00520CB9"/>
    <w:rsid w:val="0052129C"/>
    <w:rsid w:val="0052142F"/>
    <w:rsid w:val="00521807"/>
    <w:rsid w:val="005220A8"/>
    <w:rsid w:val="0052219E"/>
    <w:rsid w:val="0052287E"/>
    <w:rsid w:val="00522CEC"/>
    <w:rsid w:val="00522E7D"/>
    <w:rsid w:val="005237EC"/>
    <w:rsid w:val="00523DB9"/>
    <w:rsid w:val="0052401E"/>
    <w:rsid w:val="00524AD1"/>
    <w:rsid w:val="005254D6"/>
    <w:rsid w:val="00525559"/>
    <w:rsid w:val="00526503"/>
    <w:rsid w:val="00526CD9"/>
    <w:rsid w:val="005276DC"/>
    <w:rsid w:val="00530258"/>
    <w:rsid w:val="00531BD0"/>
    <w:rsid w:val="00531E06"/>
    <w:rsid w:val="00533821"/>
    <w:rsid w:val="0053452C"/>
    <w:rsid w:val="005348AB"/>
    <w:rsid w:val="0053745F"/>
    <w:rsid w:val="00537D19"/>
    <w:rsid w:val="00540938"/>
    <w:rsid w:val="00540C2F"/>
    <w:rsid w:val="005420F2"/>
    <w:rsid w:val="0054495D"/>
    <w:rsid w:val="00546DE6"/>
    <w:rsid w:val="0054762D"/>
    <w:rsid w:val="00547E30"/>
    <w:rsid w:val="00547E87"/>
    <w:rsid w:val="00547FBF"/>
    <w:rsid w:val="00551DD3"/>
    <w:rsid w:val="00552C2B"/>
    <w:rsid w:val="005535CC"/>
    <w:rsid w:val="005551B6"/>
    <w:rsid w:val="00555FEC"/>
    <w:rsid w:val="00556A08"/>
    <w:rsid w:val="0055759A"/>
    <w:rsid w:val="005575A0"/>
    <w:rsid w:val="00560509"/>
    <w:rsid w:val="00560E6F"/>
    <w:rsid w:val="00561A6E"/>
    <w:rsid w:val="0056299A"/>
    <w:rsid w:val="00562B3D"/>
    <w:rsid w:val="005640A3"/>
    <w:rsid w:val="005642DB"/>
    <w:rsid w:val="005649DA"/>
    <w:rsid w:val="0056508A"/>
    <w:rsid w:val="005656AF"/>
    <w:rsid w:val="005662E7"/>
    <w:rsid w:val="00566690"/>
    <w:rsid w:val="00567BDA"/>
    <w:rsid w:val="005701D6"/>
    <w:rsid w:val="00570FA5"/>
    <w:rsid w:val="005723B7"/>
    <w:rsid w:val="005726B0"/>
    <w:rsid w:val="005728A4"/>
    <w:rsid w:val="00572AF6"/>
    <w:rsid w:val="005742D3"/>
    <w:rsid w:val="00577B61"/>
    <w:rsid w:val="00577BE3"/>
    <w:rsid w:val="00577DF2"/>
    <w:rsid w:val="00582F23"/>
    <w:rsid w:val="0058339A"/>
    <w:rsid w:val="00585664"/>
    <w:rsid w:val="00585E06"/>
    <w:rsid w:val="0059095B"/>
    <w:rsid w:val="00590C44"/>
    <w:rsid w:val="005915EC"/>
    <w:rsid w:val="00591C99"/>
    <w:rsid w:val="005920A5"/>
    <w:rsid w:val="00592E6C"/>
    <w:rsid w:val="00593076"/>
    <w:rsid w:val="005938D4"/>
    <w:rsid w:val="00593D49"/>
    <w:rsid w:val="00593F08"/>
    <w:rsid w:val="0059400E"/>
    <w:rsid w:val="0059463E"/>
    <w:rsid w:val="005946B2"/>
    <w:rsid w:val="0059478A"/>
    <w:rsid w:val="005948AF"/>
    <w:rsid w:val="00594C2E"/>
    <w:rsid w:val="00594C56"/>
    <w:rsid w:val="0059552F"/>
    <w:rsid w:val="00595E8D"/>
    <w:rsid w:val="00596E3D"/>
    <w:rsid w:val="005972B9"/>
    <w:rsid w:val="005A088C"/>
    <w:rsid w:val="005A12CC"/>
    <w:rsid w:val="005A274D"/>
    <w:rsid w:val="005A295D"/>
    <w:rsid w:val="005A307E"/>
    <w:rsid w:val="005A36E0"/>
    <w:rsid w:val="005A3F4A"/>
    <w:rsid w:val="005A4F14"/>
    <w:rsid w:val="005A518C"/>
    <w:rsid w:val="005A6325"/>
    <w:rsid w:val="005B07E1"/>
    <w:rsid w:val="005B1D2F"/>
    <w:rsid w:val="005B26F1"/>
    <w:rsid w:val="005B3DB3"/>
    <w:rsid w:val="005B4A98"/>
    <w:rsid w:val="005B4F74"/>
    <w:rsid w:val="005B69F6"/>
    <w:rsid w:val="005B7352"/>
    <w:rsid w:val="005B7E63"/>
    <w:rsid w:val="005C0081"/>
    <w:rsid w:val="005C01EF"/>
    <w:rsid w:val="005C06A3"/>
    <w:rsid w:val="005C2012"/>
    <w:rsid w:val="005C25B3"/>
    <w:rsid w:val="005C2ABE"/>
    <w:rsid w:val="005C50EF"/>
    <w:rsid w:val="005C585F"/>
    <w:rsid w:val="005C65F0"/>
    <w:rsid w:val="005C6759"/>
    <w:rsid w:val="005C73C1"/>
    <w:rsid w:val="005D041E"/>
    <w:rsid w:val="005D2A9B"/>
    <w:rsid w:val="005D3225"/>
    <w:rsid w:val="005D3B70"/>
    <w:rsid w:val="005D4482"/>
    <w:rsid w:val="005D44FC"/>
    <w:rsid w:val="005D4553"/>
    <w:rsid w:val="005D4B56"/>
    <w:rsid w:val="005D5821"/>
    <w:rsid w:val="005D67A0"/>
    <w:rsid w:val="005D68A4"/>
    <w:rsid w:val="005D6D33"/>
    <w:rsid w:val="005D7533"/>
    <w:rsid w:val="005E086A"/>
    <w:rsid w:val="005E0DCD"/>
    <w:rsid w:val="005E201D"/>
    <w:rsid w:val="005E20F2"/>
    <w:rsid w:val="005E3A0A"/>
    <w:rsid w:val="005E3C16"/>
    <w:rsid w:val="005E45E4"/>
    <w:rsid w:val="005E46BB"/>
    <w:rsid w:val="005E4DA7"/>
    <w:rsid w:val="005E5EAA"/>
    <w:rsid w:val="005F003E"/>
    <w:rsid w:val="005F0489"/>
    <w:rsid w:val="005F09FD"/>
    <w:rsid w:val="005F1B79"/>
    <w:rsid w:val="005F2AA5"/>
    <w:rsid w:val="005F2AF7"/>
    <w:rsid w:val="005F2FA6"/>
    <w:rsid w:val="005F31F6"/>
    <w:rsid w:val="005F3C76"/>
    <w:rsid w:val="005F4318"/>
    <w:rsid w:val="005F43C4"/>
    <w:rsid w:val="005F55F9"/>
    <w:rsid w:val="005F5F98"/>
    <w:rsid w:val="005F652E"/>
    <w:rsid w:val="005F6E6E"/>
    <w:rsid w:val="00601384"/>
    <w:rsid w:val="00601E10"/>
    <w:rsid w:val="00602A42"/>
    <w:rsid w:val="00602BDA"/>
    <w:rsid w:val="0060337C"/>
    <w:rsid w:val="006043C7"/>
    <w:rsid w:val="006047DA"/>
    <w:rsid w:val="00605A1F"/>
    <w:rsid w:val="006074D7"/>
    <w:rsid w:val="006078D4"/>
    <w:rsid w:val="00607DD4"/>
    <w:rsid w:val="00607EFB"/>
    <w:rsid w:val="00610E91"/>
    <w:rsid w:val="00610F89"/>
    <w:rsid w:val="00611FC4"/>
    <w:rsid w:val="006139A6"/>
    <w:rsid w:val="0061559D"/>
    <w:rsid w:val="00615EF4"/>
    <w:rsid w:val="00616975"/>
    <w:rsid w:val="00616AC7"/>
    <w:rsid w:val="006176FB"/>
    <w:rsid w:val="006202CB"/>
    <w:rsid w:val="00620587"/>
    <w:rsid w:val="00621B9E"/>
    <w:rsid w:val="0062390F"/>
    <w:rsid w:val="00624FD0"/>
    <w:rsid w:val="00625155"/>
    <w:rsid w:val="00625700"/>
    <w:rsid w:val="0062599C"/>
    <w:rsid w:val="00625A6B"/>
    <w:rsid w:val="00625DFD"/>
    <w:rsid w:val="00626104"/>
    <w:rsid w:val="00626351"/>
    <w:rsid w:val="00626752"/>
    <w:rsid w:val="00627DDE"/>
    <w:rsid w:val="00631191"/>
    <w:rsid w:val="006323D3"/>
    <w:rsid w:val="006332E2"/>
    <w:rsid w:val="0063363A"/>
    <w:rsid w:val="006350DE"/>
    <w:rsid w:val="00635CEA"/>
    <w:rsid w:val="00637303"/>
    <w:rsid w:val="0063793C"/>
    <w:rsid w:val="00637993"/>
    <w:rsid w:val="00637AC9"/>
    <w:rsid w:val="00637C9B"/>
    <w:rsid w:val="00640900"/>
    <w:rsid w:val="00640B26"/>
    <w:rsid w:val="006413AA"/>
    <w:rsid w:val="00641520"/>
    <w:rsid w:val="006421C4"/>
    <w:rsid w:val="00643DA5"/>
    <w:rsid w:val="00644434"/>
    <w:rsid w:val="00645ACB"/>
    <w:rsid w:val="006469A3"/>
    <w:rsid w:val="00650E3A"/>
    <w:rsid w:val="006529A2"/>
    <w:rsid w:val="00653DBE"/>
    <w:rsid w:val="00654291"/>
    <w:rsid w:val="006545B4"/>
    <w:rsid w:val="0065492A"/>
    <w:rsid w:val="00654E30"/>
    <w:rsid w:val="00654ECC"/>
    <w:rsid w:val="00654EEC"/>
    <w:rsid w:val="00656C4A"/>
    <w:rsid w:val="006574C0"/>
    <w:rsid w:val="00657C10"/>
    <w:rsid w:val="00657CE7"/>
    <w:rsid w:val="00657DAE"/>
    <w:rsid w:val="00660134"/>
    <w:rsid w:val="00660A4F"/>
    <w:rsid w:val="00660FC3"/>
    <w:rsid w:val="00662759"/>
    <w:rsid w:val="0066371D"/>
    <w:rsid w:val="00663AB4"/>
    <w:rsid w:val="006640DD"/>
    <w:rsid w:val="00664EA7"/>
    <w:rsid w:val="00664F87"/>
    <w:rsid w:val="00665345"/>
    <w:rsid w:val="006660D1"/>
    <w:rsid w:val="00666A6C"/>
    <w:rsid w:val="0066773B"/>
    <w:rsid w:val="00670B75"/>
    <w:rsid w:val="00671BB8"/>
    <w:rsid w:val="0067229F"/>
    <w:rsid w:val="0067353E"/>
    <w:rsid w:val="00673EDB"/>
    <w:rsid w:val="006758CF"/>
    <w:rsid w:val="006759C5"/>
    <w:rsid w:val="00675D3A"/>
    <w:rsid w:val="00675D6D"/>
    <w:rsid w:val="0067612A"/>
    <w:rsid w:val="00677047"/>
    <w:rsid w:val="006771F9"/>
    <w:rsid w:val="006773E9"/>
    <w:rsid w:val="006804F1"/>
    <w:rsid w:val="00681AFE"/>
    <w:rsid w:val="00681C70"/>
    <w:rsid w:val="006821C1"/>
    <w:rsid w:val="006825FC"/>
    <w:rsid w:val="00682D97"/>
    <w:rsid w:val="00683028"/>
    <w:rsid w:val="006856F5"/>
    <w:rsid w:val="00686515"/>
    <w:rsid w:val="0069358C"/>
    <w:rsid w:val="00693C5D"/>
    <w:rsid w:val="00694AD7"/>
    <w:rsid w:val="006950F1"/>
    <w:rsid w:val="00695F07"/>
    <w:rsid w:val="00696151"/>
    <w:rsid w:val="00696636"/>
    <w:rsid w:val="00696B65"/>
    <w:rsid w:val="00697540"/>
    <w:rsid w:val="00697642"/>
    <w:rsid w:val="006A0192"/>
    <w:rsid w:val="006A1253"/>
    <w:rsid w:val="006A1570"/>
    <w:rsid w:val="006A162E"/>
    <w:rsid w:val="006A3006"/>
    <w:rsid w:val="006A33E2"/>
    <w:rsid w:val="006A4BF3"/>
    <w:rsid w:val="006A531F"/>
    <w:rsid w:val="006A57F2"/>
    <w:rsid w:val="006A5C54"/>
    <w:rsid w:val="006A68A4"/>
    <w:rsid w:val="006A6F91"/>
    <w:rsid w:val="006A7300"/>
    <w:rsid w:val="006A7392"/>
    <w:rsid w:val="006A7A92"/>
    <w:rsid w:val="006B05FB"/>
    <w:rsid w:val="006B33F4"/>
    <w:rsid w:val="006B358F"/>
    <w:rsid w:val="006B4099"/>
    <w:rsid w:val="006B44EA"/>
    <w:rsid w:val="006B452C"/>
    <w:rsid w:val="006B5EEA"/>
    <w:rsid w:val="006B5F2F"/>
    <w:rsid w:val="006B5FF7"/>
    <w:rsid w:val="006B7A31"/>
    <w:rsid w:val="006C0427"/>
    <w:rsid w:val="006C0AE3"/>
    <w:rsid w:val="006C0D34"/>
    <w:rsid w:val="006C317A"/>
    <w:rsid w:val="006C45EA"/>
    <w:rsid w:val="006C4778"/>
    <w:rsid w:val="006C6334"/>
    <w:rsid w:val="006C680F"/>
    <w:rsid w:val="006D191E"/>
    <w:rsid w:val="006D3084"/>
    <w:rsid w:val="006D3092"/>
    <w:rsid w:val="006D3A12"/>
    <w:rsid w:val="006D40D2"/>
    <w:rsid w:val="006D4D27"/>
    <w:rsid w:val="006D616E"/>
    <w:rsid w:val="006E0E0C"/>
    <w:rsid w:val="006E1B87"/>
    <w:rsid w:val="006E1F37"/>
    <w:rsid w:val="006E4070"/>
    <w:rsid w:val="006E564B"/>
    <w:rsid w:val="006E70F9"/>
    <w:rsid w:val="006E767A"/>
    <w:rsid w:val="006F02BB"/>
    <w:rsid w:val="006F0691"/>
    <w:rsid w:val="006F10FC"/>
    <w:rsid w:val="006F1137"/>
    <w:rsid w:val="006F1E17"/>
    <w:rsid w:val="006F2BF2"/>
    <w:rsid w:val="006F3F32"/>
    <w:rsid w:val="006F599B"/>
    <w:rsid w:val="006F61EF"/>
    <w:rsid w:val="006F6240"/>
    <w:rsid w:val="006F784B"/>
    <w:rsid w:val="006F7AE4"/>
    <w:rsid w:val="006F7CE6"/>
    <w:rsid w:val="00700217"/>
    <w:rsid w:val="00700E02"/>
    <w:rsid w:val="0070164B"/>
    <w:rsid w:val="00704C04"/>
    <w:rsid w:val="00705B98"/>
    <w:rsid w:val="00705E2A"/>
    <w:rsid w:val="007060C1"/>
    <w:rsid w:val="00706132"/>
    <w:rsid w:val="00706B1D"/>
    <w:rsid w:val="00706FF6"/>
    <w:rsid w:val="007101D6"/>
    <w:rsid w:val="00710332"/>
    <w:rsid w:val="007112B9"/>
    <w:rsid w:val="00711F30"/>
    <w:rsid w:val="00713BCD"/>
    <w:rsid w:val="00713E5F"/>
    <w:rsid w:val="0071574F"/>
    <w:rsid w:val="00715BC8"/>
    <w:rsid w:val="00716910"/>
    <w:rsid w:val="007171DD"/>
    <w:rsid w:val="007201D2"/>
    <w:rsid w:val="00721343"/>
    <w:rsid w:val="00721F32"/>
    <w:rsid w:val="007221BF"/>
    <w:rsid w:val="0072231E"/>
    <w:rsid w:val="00722B08"/>
    <w:rsid w:val="00722FB5"/>
    <w:rsid w:val="00723CA7"/>
    <w:rsid w:val="00723F77"/>
    <w:rsid w:val="00724CF7"/>
    <w:rsid w:val="0072560A"/>
    <w:rsid w:val="0072632A"/>
    <w:rsid w:val="00726987"/>
    <w:rsid w:val="00727551"/>
    <w:rsid w:val="00727BB3"/>
    <w:rsid w:val="00727E7B"/>
    <w:rsid w:val="00730420"/>
    <w:rsid w:val="00730B98"/>
    <w:rsid w:val="0073384D"/>
    <w:rsid w:val="0073464A"/>
    <w:rsid w:val="00737E66"/>
    <w:rsid w:val="00740C16"/>
    <w:rsid w:val="00741922"/>
    <w:rsid w:val="00741E6F"/>
    <w:rsid w:val="00743548"/>
    <w:rsid w:val="00744C19"/>
    <w:rsid w:val="007450FE"/>
    <w:rsid w:val="00745400"/>
    <w:rsid w:val="00745F56"/>
    <w:rsid w:val="00747451"/>
    <w:rsid w:val="00751BD0"/>
    <w:rsid w:val="00753C8C"/>
    <w:rsid w:val="00754986"/>
    <w:rsid w:val="00755BAA"/>
    <w:rsid w:val="00760D06"/>
    <w:rsid w:val="0076277B"/>
    <w:rsid w:val="00762AAD"/>
    <w:rsid w:val="00762F0F"/>
    <w:rsid w:val="007630C2"/>
    <w:rsid w:val="0076329E"/>
    <w:rsid w:val="00763D72"/>
    <w:rsid w:val="00764355"/>
    <w:rsid w:val="00764404"/>
    <w:rsid w:val="00764CBC"/>
    <w:rsid w:val="007654A1"/>
    <w:rsid w:val="00766107"/>
    <w:rsid w:val="00770E8E"/>
    <w:rsid w:val="00770ED7"/>
    <w:rsid w:val="007720B4"/>
    <w:rsid w:val="00772453"/>
    <w:rsid w:val="00777110"/>
    <w:rsid w:val="0077757A"/>
    <w:rsid w:val="00780219"/>
    <w:rsid w:val="00780AF4"/>
    <w:rsid w:val="0078148B"/>
    <w:rsid w:val="007826DB"/>
    <w:rsid w:val="00783040"/>
    <w:rsid w:val="007833F8"/>
    <w:rsid w:val="00783905"/>
    <w:rsid w:val="007856B6"/>
    <w:rsid w:val="00785717"/>
    <w:rsid w:val="007860F7"/>
    <w:rsid w:val="00786347"/>
    <w:rsid w:val="00786A43"/>
    <w:rsid w:val="007878F0"/>
    <w:rsid w:val="00787E46"/>
    <w:rsid w:val="00790CBE"/>
    <w:rsid w:val="007918F5"/>
    <w:rsid w:val="0079249F"/>
    <w:rsid w:val="007929D4"/>
    <w:rsid w:val="00792FBC"/>
    <w:rsid w:val="007931E5"/>
    <w:rsid w:val="00793A0E"/>
    <w:rsid w:val="00793E63"/>
    <w:rsid w:val="0079415E"/>
    <w:rsid w:val="00796A7C"/>
    <w:rsid w:val="00797580"/>
    <w:rsid w:val="0079776A"/>
    <w:rsid w:val="00797D74"/>
    <w:rsid w:val="007A073A"/>
    <w:rsid w:val="007A114F"/>
    <w:rsid w:val="007A13C2"/>
    <w:rsid w:val="007A1674"/>
    <w:rsid w:val="007A1B89"/>
    <w:rsid w:val="007A250C"/>
    <w:rsid w:val="007A2858"/>
    <w:rsid w:val="007A2AF3"/>
    <w:rsid w:val="007A3F99"/>
    <w:rsid w:val="007B051D"/>
    <w:rsid w:val="007B0926"/>
    <w:rsid w:val="007B1457"/>
    <w:rsid w:val="007B2C8A"/>
    <w:rsid w:val="007B2EA2"/>
    <w:rsid w:val="007B3831"/>
    <w:rsid w:val="007B3894"/>
    <w:rsid w:val="007B3C05"/>
    <w:rsid w:val="007B4041"/>
    <w:rsid w:val="007B4A0B"/>
    <w:rsid w:val="007B4B28"/>
    <w:rsid w:val="007B5070"/>
    <w:rsid w:val="007B6020"/>
    <w:rsid w:val="007B6337"/>
    <w:rsid w:val="007B6BA5"/>
    <w:rsid w:val="007B7341"/>
    <w:rsid w:val="007B73D6"/>
    <w:rsid w:val="007B7863"/>
    <w:rsid w:val="007B7E88"/>
    <w:rsid w:val="007C053E"/>
    <w:rsid w:val="007C0AE6"/>
    <w:rsid w:val="007C153A"/>
    <w:rsid w:val="007C195F"/>
    <w:rsid w:val="007C1EC8"/>
    <w:rsid w:val="007C2279"/>
    <w:rsid w:val="007C2746"/>
    <w:rsid w:val="007C329A"/>
    <w:rsid w:val="007C3390"/>
    <w:rsid w:val="007C46A5"/>
    <w:rsid w:val="007C49DA"/>
    <w:rsid w:val="007C4F4B"/>
    <w:rsid w:val="007C5341"/>
    <w:rsid w:val="007C54AD"/>
    <w:rsid w:val="007C5E10"/>
    <w:rsid w:val="007C60CD"/>
    <w:rsid w:val="007D0A6E"/>
    <w:rsid w:val="007D2CE3"/>
    <w:rsid w:val="007D2F3B"/>
    <w:rsid w:val="007D4707"/>
    <w:rsid w:val="007D4A73"/>
    <w:rsid w:val="007D56D8"/>
    <w:rsid w:val="007D6093"/>
    <w:rsid w:val="007D69C7"/>
    <w:rsid w:val="007D7585"/>
    <w:rsid w:val="007E1443"/>
    <w:rsid w:val="007E2E00"/>
    <w:rsid w:val="007E465A"/>
    <w:rsid w:val="007E531F"/>
    <w:rsid w:val="007E5F45"/>
    <w:rsid w:val="007E6A03"/>
    <w:rsid w:val="007E6DE2"/>
    <w:rsid w:val="007E6F95"/>
    <w:rsid w:val="007F19E4"/>
    <w:rsid w:val="007F2825"/>
    <w:rsid w:val="007F3070"/>
    <w:rsid w:val="007F3120"/>
    <w:rsid w:val="007F3143"/>
    <w:rsid w:val="007F31EC"/>
    <w:rsid w:val="007F4D59"/>
    <w:rsid w:val="007F578D"/>
    <w:rsid w:val="007F59BD"/>
    <w:rsid w:val="007F5D9F"/>
    <w:rsid w:val="007F5F30"/>
    <w:rsid w:val="007F641E"/>
    <w:rsid w:val="007F6611"/>
    <w:rsid w:val="007F712C"/>
    <w:rsid w:val="007F714F"/>
    <w:rsid w:val="00800684"/>
    <w:rsid w:val="0080144A"/>
    <w:rsid w:val="008026B2"/>
    <w:rsid w:val="00802EB9"/>
    <w:rsid w:val="00804778"/>
    <w:rsid w:val="008049DA"/>
    <w:rsid w:val="00805517"/>
    <w:rsid w:val="00806060"/>
    <w:rsid w:val="0080656C"/>
    <w:rsid w:val="00806613"/>
    <w:rsid w:val="008106AF"/>
    <w:rsid w:val="00810755"/>
    <w:rsid w:val="00811BF8"/>
    <w:rsid w:val="00813CEB"/>
    <w:rsid w:val="00815812"/>
    <w:rsid w:val="008173FF"/>
    <w:rsid w:val="008175E9"/>
    <w:rsid w:val="008205B3"/>
    <w:rsid w:val="00821A00"/>
    <w:rsid w:val="008230BC"/>
    <w:rsid w:val="00823EE4"/>
    <w:rsid w:val="008242D7"/>
    <w:rsid w:val="0082625A"/>
    <w:rsid w:val="00826543"/>
    <w:rsid w:val="008302DA"/>
    <w:rsid w:val="008327BD"/>
    <w:rsid w:val="008338E7"/>
    <w:rsid w:val="008342B8"/>
    <w:rsid w:val="0083517B"/>
    <w:rsid w:val="00836DEB"/>
    <w:rsid w:val="00837352"/>
    <w:rsid w:val="00837987"/>
    <w:rsid w:val="00840296"/>
    <w:rsid w:val="00840DB2"/>
    <w:rsid w:val="00840EBC"/>
    <w:rsid w:val="008443BC"/>
    <w:rsid w:val="00844506"/>
    <w:rsid w:val="00844648"/>
    <w:rsid w:val="0084548F"/>
    <w:rsid w:val="0084572B"/>
    <w:rsid w:val="00845ACC"/>
    <w:rsid w:val="0085041B"/>
    <w:rsid w:val="0085128D"/>
    <w:rsid w:val="00851A9C"/>
    <w:rsid w:val="00851B63"/>
    <w:rsid w:val="008524BA"/>
    <w:rsid w:val="00853901"/>
    <w:rsid w:val="00853D2F"/>
    <w:rsid w:val="00854C8F"/>
    <w:rsid w:val="00855A3C"/>
    <w:rsid w:val="008565AB"/>
    <w:rsid w:val="00856A6F"/>
    <w:rsid w:val="00857399"/>
    <w:rsid w:val="00857877"/>
    <w:rsid w:val="00857C94"/>
    <w:rsid w:val="00857FEC"/>
    <w:rsid w:val="00860564"/>
    <w:rsid w:val="008615C7"/>
    <w:rsid w:val="00861D42"/>
    <w:rsid w:val="00862487"/>
    <w:rsid w:val="00862BA9"/>
    <w:rsid w:val="00862CB6"/>
    <w:rsid w:val="00863031"/>
    <w:rsid w:val="00863686"/>
    <w:rsid w:val="00863BCE"/>
    <w:rsid w:val="00863C4A"/>
    <w:rsid w:val="00864FC1"/>
    <w:rsid w:val="00865034"/>
    <w:rsid w:val="008656AC"/>
    <w:rsid w:val="00865D37"/>
    <w:rsid w:val="00865ECD"/>
    <w:rsid w:val="0086735E"/>
    <w:rsid w:val="00870143"/>
    <w:rsid w:val="008713B2"/>
    <w:rsid w:val="0087181D"/>
    <w:rsid w:val="00871EA9"/>
    <w:rsid w:val="00871FD5"/>
    <w:rsid w:val="00872307"/>
    <w:rsid w:val="00872AB5"/>
    <w:rsid w:val="0087469E"/>
    <w:rsid w:val="008749BB"/>
    <w:rsid w:val="00875163"/>
    <w:rsid w:val="0087619E"/>
    <w:rsid w:val="00880009"/>
    <w:rsid w:val="008819AB"/>
    <w:rsid w:val="0088436E"/>
    <w:rsid w:val="0088470C"/>
    <w:rsid w:val="00884BD8"/>
    <w:rsid w:val="0088524F"/>
    <w:rsid w:val="008858AF"/>
    <w:rsid w:val="008859C4"/>
    <w:rsid w:val="0088659E"/>
    <w:rsid w:val="00886C51"/>
    <w:rsid w:val="00886FED"/>
    <w:rsid w:val="0088701D"/>
    <w:rsid w:val="008873BD"/>
    <w:rsid w:val="00887A8E"/>
    <w:rsid w:val="00887DC5"/>
    <w:rsid w:val="00887FDD"/>
    <w:rsid w:val="00890165"/>
    <w:rsid w:val="00890FDC"/>
    <w:rsid w:val="00891853"/>
    <w:rsid w:val="008919CB"/>
    <w:rsid w:val="008920BF"/>
    <w:rsid w:val="00892208"/>
    <w:rsid w:val="008935A1"/>
    <w:rsid w:val="00894D91"/>
    <w:rsid w:val="00894F05"/>
    <w:rsid w:val="00896733"/>
    <w:rsid w:val="008979B1"/>
    <w:rsid w:val="00897C3D"/>
    <w:rsid w:val="008A0ADE"/>
    <w:rsid w:val="008A244B"/>
    <w:rsid w:val="008A2F5C"/>
    <w:rsid w:val="008A45F4"/>
    <w:rsid w:val="008A4788"/>
    <w:rsid w:val="008A56C3"/>
    <w:rsid w:val="008A5703"/>
    <w:rsid w:val="008A65F2"/>
    <w:rsid w:val="008A6B25"/>
    <w:rsid w:val="008A6C4F"/>
    <w:rsid w:val="008A72D9"/>
    <w:rsid w:val="008A76CE"/>
    <w:rsid w:val="008A7755"/>
    <w:rsid w:val="008B07B4"/>
    <w:rsid w:val="008B3D7F"/>
    <w:rsid w:val="008B4C07"/>
    <w:rsid w:val="008B54F4"/>
    <w:rsid w:val="008B644B"/>
    <w:rsid w:val="008B7635"/>
    <w:rsid w:val="008B7C24"/>
    <w:rsid w:val="008C04BA"/>
    <w:rsid w:val="008C1F1C"/>
    <w:rsid w:val="008C2D2C"/>
    <w:rsid w:val="008C2D7E"/>
    <w:rsid w:val="008C30C1"/>
    <w:rsid w:val="008C3EE8"/>
    <w:rsid w:val="008C466E"/>
    <w:rsid w:val="008C4CB2"/>
    <w:rsid w:val="008C6823"/>
    <w:rsid w:val="008C6A89"/>
    <w:rsid w:val="008C6BAE"/>
    <w:rsid w:val="008C6EB1"/>
    <w:rsid w:val="008C7D58"/>
    <w:rsid w:val="008C7E38"/>
    <w:rsid w:val="008D1151"/>
    <w:rsid w:val="008D17C8"/>
    <w:rsid w:val="008D2096"/>
    <w:rsid w:val="008D26B0"/>
    <w:rsid w:val="008D2BA9"/>
    <w:rsid w:val="008D33B8"/>
    <w:rsid w:val="008D35DE"/>
    <w:rsid w:val="008D3BBB"/>
    <w:rsid w:val="008D4388"/>
    <w:rsid w:val="008D449E"/>
    <w:rsid w:val="008D471A"/>
    <w:rsid w:val="008D4B28"/>
    <w:rsid w:val="008D4F8E"/>
    <w:rsid w:val="008D4F9C"/>
    <w:rsid w:val="008D60FE"/>
    <w:rsid w:val="008D7B4D"/>
    <w:rsid w:val="008E0E46"/>
    <w:rsid w:val="008E10DC"/>
    <w:rsid w:val="008E1AF1"/>
    <w:rsid w:val="008E24D4"/>
    <w:rsid w:val="008E24E0"/>
    <w:rsid w:val="008E3AAE"/>
    <w:rsid w:val="008E5835"/>
    <w:rsid w:val="008E6386"/>
    <w:rsid w:val="008E6ED1"/>
    <w:rsid w:val="008E6F9F"/>
    <w:rsid w:val="008E7AA0"/>
    <w:rsid w:val="008E7D37"/>
    <w:rsid w:val="008F0074"/>
    <w:rsid w:val="008F02E0"/>
    <w:rsid w:val="008F057A"/>
    <w:rsid w:val="008F0730"/>
    <w:rsid w:val="008F084C"/>
    <w:rsid w:val="008F4152"/>
    <w:rsid w:val="008F4322"/>
    <w:rsid w:val="008F58EF"/>
    <w:rsid w:val="008F58FE"/>
    <w:rsid w:val="008F6E29"/>
    <w:rsid w:val="00900A56"/>
    <w:rsid w:val="0090164E"/>
    <w:rsid w:val="00901E97"/>
    <w:rsid w:val="0090292B"/>
    <w:rsid w:val="0090441A"/>
    <w:rsid w:val="00904C0D"/>
    <w:rsid w:val="00905485"/>
    <w:rsid w:val="0090566F"/>
    <w:rsid w:val="00905D61"/>
    <w:rsid w:val="0090607A"/>
    <w:rsid w:val="00906422"/>
    <w:rsid w:val="00907583"/>
    <w:rsid w:val="00907CC9"/>
    <w:rsid w:val="00910AB5"/>
    <w:rsid w:val="009112A7"/>
    <w:rsid w:val="00911380"/>
    <w:rsid w:val="00911806"/>
    <w:rsid w:val="00912B48"/>
    <w:rsid w:val="00912C16"/>
    <w:rsid w:val="00912E59"/>
    <w:rsid w:val="00912FD0"/>
    <w:rsid w:val="00913564"/>
    <w:rsid w:val="0091392E"/>
    <w:rsid w:val="00914931"/>
    <w:rsid w:val="00915CC4"/>
    <w:rsid w:val="00916DE1"/>
    <w:rsid w:val="009205D6"/>
    <w:rsid w:val="00920E15"/>
    <w:rsid w:val="009212BB"/>
    <w:rsid w:val="00922780"/>
    <w:rsid w:val="009228EC"/>
    <w:rsid w:val="00924644"/>
    <w:rsid w:val="00924B7D"/>
    <w:rsid w:val="00925875"/>
    <w:rsid w:val="009261C7"/>
    <w:rsid w:val="009270A3"/>
    <w:rsid w:val="009275C6"/>
    <w:rsid w:val="00932B2E"/>
    <w:rsid w:val="009336F4"/>
    <w:rsid w:val="00934231"/>
    <w:rsid w:val="00934D09"/>
    <w:rsid w:val="00934E56"/>
    <w:rsid w:val="00936273"/>
    <w:rsid w:val="00940820"/>
    <w:rsid w:val="009417F7"/>
    <w:rsid w:val="00942A76"/>
    <w:rsid w:val="00942BE3"/>
    <w:rsid w:val="009445EC"/>
    <w:rsid w:val="00944876"/>
    <w:rsid w:val="009452BF"/>
    <w:rsid w:val="009454E2"/>
    <w:rsid w:val="00945C40"/>
    <w:rsid w:val="00945D3E"/>
    <w:rsid w:val="00946D68"/>
    <w:rsid w:val="00946E91"/>
    <w:rsid w:val="00947506"/>
    <w:rsid w:val="00952CC1"/>
    <w:rsid w:val="00953138"/>
    <w:rsid w:val="009545C1"/>
    <w:rsid w:val="00954A1E"/>
    <w:rsid w:val="00954C5E"/>
    <w:rsid w:val="00955D48"/>
    <w:rsid w:val="0095673A"/>
    <w:rsid w:val="0095696F"/>
    <w:rsid w:val="00956C4A"/>
    <w:rsid w:val="009579C6"/>
    <w:rsid w:val="0096001B"/>
    <w:rsid w:val="00960A18"/>
    <w:rsid w:val="00961173"/>
    <w:rsid w:val="00961F74"/>
    <w:rsid w:val="009622D0"/>
    <w:rsid w:val="00962DB0"/>
    <w:rsid w:val="00963086"/>
    <w:rsid w:val="00963C2E"/>
    <w:rsid w:val="00963CBA"/>
    <w:rsid w:val="00964569"/>
    <w:rsid w:val="00964B26"/>
    <w:rsid w:val="00965105"/>
    <w:rsid w:val="0096582A"/>
    <w:rsid w:val="00965DE9"/>
    <w:rsid w:val="0096638F"/>
    <w:rsid w:val="0096661A"/>
    <w:rsid w:val="009666B3"/>
    <w:rsid w:val="00967538"/>
    <w:rsid w:val="00967C71"/>
    <w:rsid w:val="00971A0C"/>
    <w:rsid w:val="0097298C"/>
    <w:rsid w:val="00972E04"/>
    <w:rsid w:val="00973448"/>
    <w:rsid w:val="00973657"/>
    <w:rsid w:val="00974EA2"/>
    <w:rsid w:val="00974EA3"/>
    <w:rsid w:val="009757F5"/>
    <w:rsid w:val="00975917"/>
    <w:rsid w:val="0098192C"/>
    <w:rsid w:val="009819B4"/>
    <w:rsid w:val="00981E41"/>
    <w:rsid w:val="00982E3C"/>
    <w:rsid w:val="00983757"/>
    <w:rsid w:val="0098424C"/>
    <w:rsid w:val="00985259"/>
    <w:rsid w:val="00987DFD"/>
    <w:rsid w:val="00987FC6"/>
    <w:rsid w:val="00990DAE"/>
    <w:rsid w:val="00990DE4"/>
    <w:rsid w:val="00991261"/>
    <w:rsid w:val="0099135B"/>
    <w:rsid w:val="009917EF"/>
    <w:rsid w:val="00991C0B"/>
    <w:rsid w:val="00992275"/>
    <w:rsid w:val="009923BF"/>
    <w:rsid w:val="00992AD6"/>
    <w:rsid w:val="00993E8F"/>
    <w:rsid w:val="00994790"/>
    <w:rsid w:val="00996FD1"/>
    <w:rsid w:val="00997A66"/>
    <w:rsid w:val="00997BAB"/>
    <w:rsid w:val="009A0E58"/>
    <w:rsid w:val="009A1504"/>
    <w:rsid w:val="009A1766"/>
    <w:rsid w:val="009A20D4"/>
    <w:rsid w:val="009A2471"/>
    <w:rsid w:val="009A383E"/>
    <w:rsid w:val="009A4C36"/>
    <w:rsid w:val="009A5E46"/>
    <w:rsid w:val="009A6588"/>
    <w:rsid w:val="009A66BF"/>
    <w:rsid w:val="009A6F1E"/>
    <w:rsid w:val="009B16E8"/>
    <w:rsid w:val="009B315B"/>
    <w:rsid w:val="009B3304"/>
    <w:rsid w:val="009B4021"/>
    <w:rsid w:val="009B4323"/>
    <w:rsid w:val="009B49A6"/>
    <w:rsid w:val="009B4FDC"/>
    <w:rsid w:val="009B5193"/>
    <w:rsid w:val="009B535D"/>
    <w:rsid w:val="009B5576"/>
    <w:rsid w:val="009B6A69"/>
    <w:rsid w:val="009B74E4"/>
    <w:rsid w:val="009B7DF1"/>
    <w:rsid w:val="009B7FB3"/>
    <w:rsid w:val="009C1034"/>
    <w:rsid w:val="009C1F39"/>
    <w:rsid w:val="009C1F66"/>
    <w:rsid w:val="009C2CC4"/>
    <w:rsid w:val="009C6648"/>
    <w:rsid w:val="009C677D"/>
    <w:rsid w:val="009C7EE8"/>
    <w:rsid w:val="009D0028"/>
    <w:rsid w:val="009D0442"/>
    <w:rsid w:val="009D0683"/>
    <w:rsid w:val="009D119F"/>
    <w:rsid w:val="009D15F7"/>
    <w:rsid w:val="009D2532"/>
    <w:rsid w:val="009D2B80"/>
    <w:rsid w:val="009D370F"/>
    <w:rsid w:val="009D3A1B"/>
    <w:rsid w:val="009D6F65"/>
    <w:rsid w:val="009D7068"/>
    <w:rsid w:val="009D7AD5"/>
    <w:rsid w:val="009E0D19"/>
    <w:rsid w:val="009E1208"/>
    <w:rsid w:val="009E122B"/>
    <w:rsid w:val="009E1B80"/>
    <w:rsid w:val="009E353E"/>
    <w:rsid w:val="009E5EB9"/>
    <w:rsid w:val="009E60B9"/>
    <w:rsid w:val="009E6BDD"/>
    <w:rsid w:val="009E6D28"/>
    <w:rsid w:val="009E7F99"/>
    <w:rsid w:val="009F00F6"/>
    <w:rsid w:val="009F18EE"/>
    <w:rsid w:val="009F1F6C"/>
    <w:rsid w:val="009F1F9A"/>
    <w:rsid w:val="009F2049"/>
    <w:rsid w:val="009F2824"/>
    <w:rsid w:val="009F384C"/>
    <w:rsid w:val="009F3E16"/>
    <w:rsid w:val="009F6BB2"/>
    <w:rsid w:val="009F7E52"/>
    <w:rsid w:val="009F7E94"/>
    <w:rsid w:val="00A00880"/>
    <w:rsid w:val="00A011D9"/>
    <w:rsid w:val="00A01AE1"/>
    <w:rsid w:val="00A01CDD"/>
    <w:rsid w:val="00A03462"/>
    <w:rsid w:val="00A038DA"/>
    <w:rsid w:val="00A0437C"/>
    <w:rsid w:val="00A04A46"/>
    <w:rsid w:val="00A066CF"/>
    <w:rsid w:val="00A101A7"/>
    <w:rsid w:val="00A10305"/>
    <w:rsid w:val="00A106A9"/>
    <w:rsid w:val="00A11C97"/>
    <w:rsid w:val="00A11EB3"/>
    <w:rsid w:val="00A12824"/>
    <w:rsid w:val="00A131A9"/>
    <w:rsid w:val="00A13CB5"/>
    <w:rsid w:val="00A13E70"/>
    <w:rsid w:val="00A1427D"/>
    <w:rsid w:val="00A17706"/>
    <w:rsid w:val="00A21D2A"/>
    <w:rsid w:val="00A220A2"/>
    <w:rsid w:val="00A232FB"/>
    <w:rsid w:val="00A23C70"/>
    <w:rsid w:val="00A25CDC"/>
    <w:rsid w:val="00A25F1C"/>
    <w:rsid w:val="00A26380"/>
    <w:rsid w:val="00A26596"/>
    <w:rsid w:val="00A26ABE"/>
    <w:rsid w:val="00A26DC7"/>
    <w:rsid w:val="00A277DC"/>
    <w:rsid w:val="00A3113A"/>
    <w:rsid w:val="00A313A2"/>
    <w:rsid w:val="00A32DDC"/>
    <w:rsid w:val="00A34DA6"/>
    <w:rsid w:val="00A3514F"/>
    <w:rsid w:val="00A36B5E"/>
    <w:rsid w:val="00A36D78"/>
    <w:rsid w:val="00A36F48"/>
    <w:rsid w:val="00A40575"/>
    <w:rsid w:val="00A4218F"/>
    <w:rsid w:val="00A421F6"/>
    <w:rsid w:val="00A43957"/>
    <w:rsid w:val="00A44326"/>
    <w:rsid w:val="00A46B95"/>
    <w:rsid w:val="00A47F42"/>
    <w:rsid w:val="00A5090D"/>
    <w:rsid w:val="00A509BC"/>
    <w:rsid w:val="00A50ED7"/>
    <w:rsid w:val="00A5208C"/>
    <w:rsid w:val="00A52BD9"/>
    <w:rsid w:val="00A53176"/>
    <w:rsid w:val="00A5319B"/>
    <w:rsid w:val="00A5356F"/>
    <w:rsid w:val="00A570B5"/>
    <w:rsid w:val="00A60394"/>
    <w:rsid w:val="00A6075B"/>
    <w:rsid w:val="00A61D44"/>
    <w:rsid w:val="00A622AF"/>
    <w:rsid w:val="00A624D9"/>
    <w:rsid w:val="00A62A8D"/>
    <w:rsid w:val="00A63EA6"/>
    <w:rsid w:val="00A660EE"/>
    <w:rsid w:val="00A672C1"/>
    <w:rsid w:val="00A67506"/>
    <w:rsid w:val="00A7027D"/>
    <w:rsid w:val="00A70A72"/>
    <w:rsid w:val="00A71081"/>
    <w:rsid w:val="00A728F3"/>
    <w:rsid w:val="00A72E5A"/>
    <w:rsid w:val="00A72F22"/>
    <w:rsid w:val="00A730D9"/>
    <w:rsid w:val="00A73669"/>
    <w:rsid w:val="00A73688"/>
    <w:rsid w:val="00A7392C"/>
    <w:rsid w:val="00A73FC5"/>
    <w:rsid w:val="00A74275"/>
    <w:rsid w:val="00A748A6"/>
    <w:rsid w:val="00A7547E"/>
    <w:rsid w:val="00A8045D"/>
    <w:rsid w:val="00A8114F"/>
    <w:rsid w:val="00A82CE3"/>
    <w:rsid w:val="00A83529"/>
    <w:rsid w:val="00A83FF5"/>
    <w:rsid w:val="00A8409B"/>
    <w:rsid w:val="00A844ED"/>
    <w:rsid w:val="00A84810"/>
    <w:rsid w:val="00A855B1"/>
    <w:rsid w:val="00A86150"/>
    <w:rsid w:val="00A87056"/>
    <w:rsid w:val="00A8724A"/>
    <w:rsid w:val="00A8789E"/>
    <w:rsid w:val="00A879A4"/>
    <w:rsid w:val="00A87F68"/>
    <w:rsid w:val="00A90616"/>
    <w:rsid w:val="00A90888"/>
    <w:rsid w:val="00A90C40"/>
    <w:rsid w:val="00A913F2"/>
    <w:rsid w:val="00A917D9"/>
    <w:rsid w:val="00A919EB"/>
    <w:rsid w:val="00A92504"/>
    <w:rsid w:val="00A92FA0"/>
    <w:rsid w:val="00A93A1A"/>
    <w:rsid w:val="00A94505"/>
    <w:rsid w:val="00A95818"/>
    <w:rsid w:val="00A96AD2"/>
    <w:rsid w:val="00A97798"/>
    <w:rsid w:val="00AA2C7F"/>
    <w:rsid w:val="00AA3223"/>
    <w:rsid w:val="00AA3A0A"/>
    <w:rsid w:val="00AA3D4C"/>
    <w:rsid w:val="00AA633B"/>
    <w:rsid w:val="00AA6E4D"/>
    <w:rsid w:val="00AB0E95"/>
    <w:rsid w:val="00AB0FF9"/>
    <w:rsid w:val="00AB19FE"/>
    <w:rsid w:val="00AB1E37"/>
    <w:rsid w:val="00AB1E7E"/>
    <w:rsid w:val="00AB239B"/>
    <w:rsid w:val="00AB23BB"/>
    <w:rsid w:val="00AB3242"/>
    <w:rsid w:val="00AB38B2"/>
    <w:rsid w:val="00AB3C51"/>
    <w:rsid w:val="00AB408C"/>
    <w:rsid w:val="00AB4A45"/>
    <w:rsid w:val="00AB5630"/>
    <w:rsid w:val="00AB5BF4"/>
    <w:rsid w:val="00AB5D2C"/>
    <w:rsid w:val="00AB5D3B"/>
    <w:rsid w:val="00AB698D"/>
    <w:rsid w:val="00AB6A60"/>
    <w:rsid w:val="00AB6CF8"/>
    <w:rsid w:val="00AB6F3A"/>
    <w:rsid w:val="00AC0D1B"/>
    <w:rsid w:val="00AC11C1"/>
    <w:rsid w:val="00AC1230"/>
    <w:rsid w:val="00AC12D2"/>
    <w:rsid w:val="00AC279A"/>
    <w:rsid w:val="00AC488B"/>
    <w:rsid w:val="00AC49D4"/>
    <w:rsid w:val="00AC50A6"/>
    <w:rsid w:val="00AC5657"/>
    <w:rsid w:val="00AC56E9"/>
    <w:rsid w:val="00AC5EA0"/>
    <w:rsid w:val="00AC690D"/>
    <w:rsid w:val="00AC6F1D"/>
    <w:rsid w:val="00AC6FF9"/>
    <w:rsid w:val="00AD21E7"/>
    <w:rsid w:val="00AD42BE"/>
    <w:rsid w:val="00AD4BDF"/>
    <w:rsid w:val="00AD551B"/>
    <w:rsid w:val="00AD6C0F"/>
    <w:rsid w:val="00AD72E1"/>
    <w:rsid w:val="00AE0F30"/>
    <w:rsid w:val="00AE183F"/>
    <w:rsid w:val="00AE1B78"/>
    <w:rsid w:val="00AE1F95"/>
    <w:rsid w:val="00AE23C3"/>
    <w:rsid w:val="00AE2825"/>
    <w:rsid w:val="00AE398D"/>
    <w:rsid w:val="00AE3B49"/>
    <w:rsid w:val="00AF02EA"/>
    <w:rsid w:val="00AF0A8B"/>
    <w:rsid w:val="00AF3137"/>
    <w:rsid w:val="00AF3427"/>
    <w:rsid w:val="00AF36FA"/>
    <w:rsid w:val="00AF3C92"/>
    <w:rsid w:val="00AF6192"/>
    <w:rsid w:val="00AF727A"/>
    <w:rsid w:val="00AF74B6"/>
    <w:rsid w:val="00AF7578"/>
    <w:rsid w:val="00B00FD1"/>
    <w:rsid w:val="00B01680"/>
    <w:rsid w:val="00B0188C"/>
    <w:rsid w:val="00B01B96"/>
    <w:rsid w:val="00B01EE4"/>
    <w:rsid w:val="00B0285D"/>
    <w:rsid w:val="00B0360E"/>
    <w:rsid w:val="00B03A28"/>
    <w:rsid w:val="00B0572C"/>
    <w:rsid w:val="00B06343"/>
    <w:rsid w:val="00B06478"/>
    <w:rsid w:val="00B067B8"/>
    <w:rsid w:val="00B0704F"/>
    <w:rsid w:val="00B11481"/>
    <w:rsid w:val="00B11569"/>
    <w:rsid w:val="00B11AFE"/>
    <w:rsid w:val="00B1223C"/>
    <w:rsid w:val="00B124ED"/>
    <w:rsid w:val="00B1329F"/>
    <w:rsid w:val="00B14616"/>
    <w:rsid w:val="00B14BE0"/>
    <w:rsid w:val="00B15312"/>
    <w:rsid w:val="00B15A2E"/>
    <w:rsid w:val="00B164ED"/>
    <w:rsid w:val="00B16E90"/>
    <w:rsid w:val="00B171B5"/>
    <w:rsid w:val="00B174A4"/>
    <w:rsid w:val="00B1784A"/>
    <w:rsid w:val="00B2082E"/>
    <w:rsid w:val="00B22634"/>
    <w:rsid w:val="00B23AF7"/>
    <w:rsid w:val="00B24474"/>
    <w:rsid w:val="00B2493A"/>
    <w:rsid w:val="00B2676F"/>
    <w:rsid w:val="00B2689F"/>
    <w:rsid w:val="00B269EC"/>
    <w:rsid w:val="00B26D64"/>
    <w:rsid w:val="00B276DE"/>
    <w:rsid w:val="00B27ECB"/>
    <w:rsid w:val="00B30179"/>
    <w:rsid w:val="00B32031"/>
    <w:rsid w:val="00B32747"/>
    <w:rsid w:val="00B32F00"/>
    <w:rsid w:val="00B3317B"/>
    <w:rsid w:val="00B33C05"/>
    <w:rsid w:val="00B340D0"/>
    <w:rsid w:val="00B346F8"/>
    <w:rsid w:val="00B35D93"/>
    <w:rsid w:val="00B36777"/>
    <w:rsid w:val="00B3687D"/>
    <w:rsid w:val="00B37386"/>
    <w:rsid w:val="00B412C7"/>
    <w:rsid w:val="00B41FB5"/>
    <w:rsid w:val="00B4218E"/>
    <w:rsid w:val="00B42253"/>
    <w:rsid w:val="00B42570"/>
    <w:rsid w:val="00B4369B"/>
    <w:rsid w:val="00B4385A"/>
    <w:rsid w:val="00B43A33"/>
    <w:rsid w:val="00B4495A"/>
    <w:rsid w:val="00B45BCB"/>
    <w:rsid w:val="00B469A5"/>
    <w:rsid w:val="00B46C09"/>
    <w:rsid w:val="00B472FB"/>
    <w:rsid w:val="00B47C3C"/>
    <w:rsid w:val="00B508B1"/>
    <w:rsid w:val="00B514B6"/>
    <w:rsid w:val="00B531DA"/>
    <w:rsid w:val="00B53A22"/>
    <w:rsid w:val="00B541CC"/>
    <w:rsid w:val="00B545FB"/>
    <w:rsid w:val="00B54FA6"/>
    <w:rsid w:val="00B57760"/>
    <w:rsid w:val="00B60794"/>
    <w:rsid w:val="00B6089B"/>
    <w:rsid w:val="00B60E78"/>
    <w:rsid w:val="00B61737"/>
    <w:rsid w:val="00B61767"/>
    <w:rsid w:val="00B61C2C"/>
    <w:rsid w:val="00B63094"/>
    <w:rsid w:val="00B6341E"/>
    <w:rsid w:val="00B6374E"/>
    <w:rsid w:val="00B63E84"/>
    <w:rsid w:val="00B64513"/>
    <w:rsid w:val="00B647EA"/>
    <w:rsid w:val="00B67BD3"/>
    <w:rsid w:val="00B715D5"/>
    <w:rsid w:val="00B715F0"/>
    <w:rsid w:val="00B728D4"/>
    <w:rsid w:val="00B72AD0"/>
    <w:rsid w:val="00B73F4C"/>
    <w:rsid w:val="00B7400D"/>
    <w:rsid w:val="00B74D22"/>
    <w:rsid w:val="00B753FD"/>
    <w:rsid w:val="00B756CE"/>
    <w:rsid w:val="00B75D73"/>
    <w:rsid w:val="00B807BD"/>
    <w:rsid w:val="00B81649"/>
    <w:rsid w:val="00B81E12"/>
    <w:rsid w:val="00B81E45"/>
    <w:rsid w:val="00B82FB8"/>
    <w:rsid w:val="00B8555B"/>
    <w:rsid w:val="00B85B7D"/>
    <w:rsid w:val="00B862E6"/>
    <w:rsid w:val="00B86C13"/>
    <w:rsid w:val="00B9090B"/>
    <w:rsid w:val="00B918A9"/>
    <w:rsid w:val="00B93068"/>
    <w:rsid w:val="00B93256"/>
    <w:rsid w:val="00B93734"/>
    <w:rsid w:val="00B93A4D"/>
    <w:rsid w:val="00B93D36"/>
    <w:rsid w:val="00B94834"/>
    <w:rsid w:val="00B95095"/>
    <w:rsid w:val="00B95578"/>
    <w:rsid w:val="00B95BA9"/>
    <w:rsid w:val="00B96551"/>
    <w:rsid w:val="00B9658E"/>
    <w:rsid w:val="00BA0395"/>
    <w:rsid w:val="00BA05AF"/>
    <w:rsid w:val="00BA1A97"/>
    <w:rsid w:val="00BA2CB6"/>
    <w:rsid w:val="00BA34BC"/>
    <w:rsid w:val="00BA4DEB"/>
    <w:rsid w:val="00BA503A"/>
    <w:rsid w:val="00BA6422"/>
    <w:rsid w:val="00BA652E"/>
    <w:rsid w:val="00BB00A8"/>
    <w:rsid w:val="00BB1BEE"/>
    <w:rsid w:val="00BB1E41"/>
    <w:rsid w:val="00BB1E61"/>
    <w:rsid w:val="00BB24A3"/>
    <w:rsid w:val="00BB2909"/>
    <w:rsid w:val="00BB2E74"/>
    <w:rsid w:val="00BB3A9C"/>
    <w:rsid w:val="00BB45F5"/>
    <w:rsid w:val="00BB4667"/>
    <w:rsid w:val="00BB5A27"/>
    <w:rsid w:val="00BB5CA3"/>
    <w:rsid w:val="00BB7B27"/>
    <w:rsid w:val="00BB7D6A"/>
    <w:rsid w:val="00BC09C5"/>
    <w:rsid w:val="00BC0F2C"/>
    <w:rsid w:val="00BC1588"/>
    <w:rsid w:val="00BC18A7"/>
    <w:rsid w:val="00BC2277"/>
    <w:rsid w:val="00BC3815"/>
    <w:rsid w:val="00BC4C61"/>
    <w:rsid w:val="00BC6828"/>
    <w:rsid w:val="00BC74E9"/>
    <w:rsid w:val="00BC75A6"/>
    <w:rsid w:val="00BD0645"/>
    <w:rsid w:val="00BD1BE8"/>
    <w:rsid w:val="00BD2FA3"/>
    <w:rsid w:val="00BD3DA6"/>
    <w:rsid w:val="00BD430A"/>
    <w:rsid w:val="00BD47FC"/>
    <w:rsid w:val="00BD521B"/>
    <w:rsid w:val="00BD5C8E"/>
    <w:rsid w:val="00BD7177"/>
    <w:rsid w:val="00BD751D"/>
    <w:rsid w:val="00BD788A"/>
    <w:rsid w:val="00BE0589"/>
    <w:rsid w:val="00BE0709"/>
    <w:rsid w:val="00BE178F"/>
    <w:rsid w:val="00BE2117"/>
    <w:rsid w:val="00BE2191"/>
    <w:rsid w:val="00BE22FC"/>
    <w:rsid w:val="00BE2CDE"/>
    <w:rsid w:val="00BE31F7"/>
    <w:rsid w:val="00BE3418"/>
    <w:rsid w:val="00BE37DA"/>
    <w:rsid w:val="00BE4237"/>
    <w:rsid w:val="00BE49CF"/>
    <w:rsid w:val="00BE4D7E"/>
    <w:rsid w:val="00BE50F6"/>
    <w:rsid w:val="00BE5B5E"/>
    <w:rsid w:val="00BE5C2E"/>
    <w:rsid w:val="00BE5F45"/>
    <w:rsid w:val="00BE618E"/>
    <w:rsid w:val="00BE7838"/>
    <w:rsid w:val="00BE7CC7"/>
    <w:rsid w:val="00BE7DB0"/>
    <w:rsid w:val="00BF3AE8"/>
    <w:rsid w:val="00BF4627"/>
    <w:rsid w:val="00BF4980"/>
    <w:rsid w:val="00BF5E91"/>
    <w:rsid w:val="00BF671B"/>
    <w:rsid w:val="00BF7295"/>
    <w:rsid w:val="00BF73F6"/>
    <w:rsid w:val="00BF74D2"/>
    <w:rsid w:val="00BF7E66"/>
    <w:rsid w:val="00C01394"/>
    <w:rsid w:val="00C01E72"/>
    <w:rsid w:val="00C030A3"/>
    <w:rsid w:val="00C03190"/>
    <w:rsid w:val="00C05BF5"/>
    <w:rsid w:val="00C0689E"/>
    <w:rsid w:val="00C074CD"/>
    <w:rsid w:val="00C11589"/>
    <w:rsid w:val="00C11D6B"/>
    <w:rsid w:val="00C13363"/>
    <w:rsid w:val="00C139AB"/>
    <w:rsid w:val="00C13F52"/>
    <w:rsid w:val="00C147B2"/>
    <w:rsid w:val="00C14B9A"/>
    <w:rsid w:val="00C150D1"/>
    <w:rsid w:val="00C160C0"/>
    <w:rsid w:val="00C16C98"/>
    <w:rsid w:val="00C178FD"/>
    <w:rsid w:val="00C20018"/>
    <w:rsid w:val="00C21145"/>
    <w:rsid w:val="00C2190D"/>
    <w:rsid w:val="00C220E1"/>
    <w:rsid w:val="00C2325C"/>
    <w:rsid w:val="00C23377"/>
    <w:rsid w:val="00C24EBA"/>
    <w:rsid w:val="00C25F23"/>
    <w:rsid w:val="00C26A49"/>
    <w:rsid w:val="00C26E16"/>
    <w:rsid w:val="00C27224"/>
    <w:rsid w:val="00C27E46"/>
    <w:rsid w:val="00C30FA4"/>
    <w:rsid w:val="00C316CD"/>
    <w:rsid w:val="00C31F32"/>
    <w:rsid w:val="00C3203E"/>
    <w:rsid w:val="00C32912"/>
    <w:rsid w:val="00C3298F"/>
    <w:rsid w:val="00C3370E"/>
    <w:rsid w:val="00C34CBD"/>
    <w:rsid w:val="00C34EBA"/>
    <w:rsid w:val="00C36231"/>
    <w:rsid w:val="00C36BC7"/>
    <w:rsid w:val="00C40435"/>
    <w:rsid w:val="00C405D1"/>
    <w:rsid w:val="00C405FF"/>
    <w:rsid w:val="00C421BC"/>
    <w:rsid w:val="00C42936"/>
    <w:rsid w:val="00C43165"/>
    <w:rsid w:val="00C4355A"/>
    <w:rsid w:val="00C439D5"/>
    <w:rsid w:val="00C44AD5"/>
    <w:rsid w:val="00C44D98"/>
    <w:rsid w:val="00C456CF"/>
    <w:rsid w:val="00C458DD"/>
    <w:rsid w:val="00C463DD"/>
    <w:rsid w:val="00C46428"/>
    <w:rsid w:val="00C4665B"/>
    <w:rsid w:val="00C46B16"/>
    <w:rsid w:val="00C4706D"/>
    <w:rsid w:val="00C50172"/>
    <w:rsid w:val="00C506FA"/>
    <w:rsid w:val="00C50B54"/>
    <w:rsid w:val="00C534B4"/>
    <w:rsid w:val="00C538D2"/>
    <w:rsid w:val="00C53F5A"/>
    <w:rsid w:val="00C54463"/>
    <w:rsid w:val="00C54826"/>
    <w:rsid w:val="00C5498E"/>
    <w:rsid w:val="00C54B6E"/>
    <w:rsid w:val="00C54FDF"/>
    <w:rsid w:val="00C55397"/>
    <w:rsid w:val="00C55FF9"/>
    <w:rsid w:val="00C563D1"/>
    <w:rsid w:val="00C56F42"/>
    <w:rsid w:val="00C57DD9"/>
    <w:rsid w:val="00C60925"/>
    <w:rsid w:val="00C61336"/>
    <w:rsid w:val="00C614B8"/>
    <w:rsid w:val="00C616DD"/>
    <w:rsid w:val="00C626B8"/>
    <w:rsid w:val="00C62B9C"/>
    <w:rsid w:val="00C62BD9"/>
    <w:rsid w:val="00C63707"/>
    <w:rsid w:val="00C649FE"/>
    <w:rsid w:val="00C65078"/>
    <w:rsid w:val="00C65567"/>
    <w:rsid w:val="00C668C8"/>
    <w:rsid w:val="00C70497"/>
    <w:rsid w:val="00C71213"/>
    <w:rsid w:val="00C72E11"/>
    <w:rsid w:val="00C73489"/>
    <w:rsid w:val="00C745C3"/>
    <w:rsid w:val="00C77CB0"/>
    <w:rsid w:val="00C80D23"/>
    <w:rsid w:val="00C82623"/>
    <w:rsid w:val="00C8290A"/>
    <w:rsid w:val="00C82C57"/>
    <w:rsid w:val="00C87AE9"/>
    <w:rsid w:val="00C90004"/>
    <w:rsid w:val="00C91CC0"/>
    <w:rsid w:val="00C92048"/>
    <w:rsid w:val="00C9384D"/>
    <w:rsid w:val="00C942D1"/>
    <w:rsid w:val="00C94D73"/>
    <w:rsid w:val="00C95447"/>
    <w:rsid w:val="00C95BFA"/>
    <w:rsid w:val="00C96365"/>
    <w:rsid w:val="00C96A8D"/>
    <w:rsid w:val="00C975E0"/>
    <w:rsid w:val="00CA0A31"/>
    <w:rsid w:val="00CA30F0"/>
    <w:rsid w:val="00CA33BE"/>
    <w:rsid w:val="00CA3849"/>
    <w:rsid w:val="00CA38E1"/>
    <w:rsid w:val="00CA4188"/>
    <w:rsid w:val="00CA6668"/>
    <w:rsid w:val="00CA6BA5"/>
    <w:rsid w:val="00CA6CCD"/>
    <w:rsid w:val="00CA6D5E"/>
    <w:rsid w:val="00CA7648"/>
    <w:rsid w:val="00CA7657"/>
    <w:rsid w:val="00CB0779"/>
    <w:rsid w:val="00CB131D"/>
    <w:rsid w:val="00CB27A0"/>
    <w:rsid w:val="00CB29F7"/>
    <w:rsid w:val="00CB43AB"/>
    <w:rsid w:val="00CB5702"/>
    <w:rsid w:val="00CB67BD"/>
    <w:rsid w:val="00CB6ABA"/>
    <w:rsid w:val="00CB71E3"/>
    <w:rsid w:val="00CB7CCB"/>
    <w:rsid w:val="00CC05DB"/>
    <w:rsid w:val="00CC1B33"/>
    <w:rsid w:val="00CC1F4B"/>
    <w:rsid w:val="00CC57A3"/>
    <w:rsid w:val="00CC6538"/>
    <w:rsid w:val="00CC78E1"/>
    <w:rsid w:val="00CD027B"/>
    <w:rsid w:val="00CD046A"/>
    <w:rsid w:val="00CD131A"/>
    <w:rsid w:val="00CD1D14"/>
    <w:rsid w:val="00CD333F"/>
    <w:rsid w:val="00CD34E8"/>
    <w:rsid w:val="00CD35A8"/>
    <w:rsid w:val="00CD3E79"/>
    <w:rsid w:val="00CD57C4"/>
    <w:rsid w:val="00CD645E"/>
    <w:rsid w:val="00CD7FCD"/>
    <w:rsid w:val="00CE0855"/>
    <w:rsid w:val="00CE0DAA"/>
    <w:rsid w:val="00CE12AB"/>
    <w:rsid w:val="00CE159B"/>
    <w:rsid w:val="00CE2BCB"/>
    <w:rsid w:val="00CE305C"/>
    <w:rsid w:val="00CE36B2"/>
    <w:rsid w:val="00CE4947"/>
    <w:rsid w:val="00CE4A8F"/>
    <w:rsid w:val="00CE5C7A"/>
    <w:rsid w:val="00CE5CEA"/>
    <w:rsid w:val="00CE75B1"/>
    <w:rsid w:val="00CF0554"/>
    <w:rsid w:val="00CF0BB1"/>
    <w:rsid w:val="00CF1341"/>
    <w:rsid w:val="00CF19B4"/>
    <w:rsid w:val="00CF34B7"/>
    <w:rsid w:val="00CF52B5"/>
    <w:rsid w:val="00CF6087"/>
    <w:rsid w:val="00CF67BD"/>
    <w:rsid w:val="00D001CB"/>
    <w:rsid w:val="00D02391"/>
    <w:rsid w:val="00D030E9"/>
    <w:rsid w:val="00D03139"/>
    <w:rsid w:val="00D03AB3"/>
    <w:rsid w:val="00D03BA6"/>
    <w:rsid w:val="00D03C4E"/>
    <w:rsid w:val="00D03EE1"/>
    <w:rsid w:val="00D049BD"/>
    <w:rsid w:val="00D057A6"/>
    <w:rsid w:val="00D05F72"/>
    <w:rsid w:val="00D0716E"/>
    <w:rsid w:val="00D0752A"/>
    <w:rsid w:val="00D077EE"/>
    <w:rsid w:val="00D07800"/>
    <w:rsid w:val="00D10308"/>
    <w:rsid w:val="00D12A92"/>
    <w:rsid w:val="00D1330A"/>
    <w:rsid w:val="00D14427"/>
    <w:rsid w:val="00D16C76"/>
    <w:rsid w:val="00D17B5D"/>
    <w:rsid w:val="00D2031B"/>
    <w:rsid w:val="00D2088D"/>
    <w:rsid w:val="00D210CD"/>
    <w:rsid w:val="00D234E7"/>
    <w:rsid w:val="00D24806"/>
    <w:rsid w:val="00D24CCE"/>
    <w:rsid w:val="00D24D9E"/>
    <w:rsid w:val="00D25AD5"/>
    <w:rsid w:val="00D25E2D"/>
    <w:rsid w:val="00D25FE2"/>
    <w:rsid w:val="00D2639A"/>
    <w:rsid w:val="00D276A7"/>
    <w:rsid w:val="00D27F1A"/>
    <w:rsid w:val="00D30192"/>
    <w:rsid w:val="00D30C61"/>
    <w:rsid w:val="00D313AE"/>
    <w:rsid w:val="00D31E58"/>
    <w:rsid w:val="00D31FA6"/>
    <w:rsid w:val="00D32038"/>
    <w:rsid w:val="00D33142"/>
    <w:rsid w:val="00D33C48"/>
    <w:rsid w:val="00D33F63"/>
    <w:rsid w:val="00D3657D"/>
    <w:rsid w:val="00D36655"/>
    <w:rsid w:val="00D379EE"/>
    <w:rsid w:val="00D41C5D"/>
    <w:rsid w:val="00D4321B"/>
    <w:rsid w:val="00D43252"/>
    <w:rsid w:val="00D4370C"/>
    <w:rsid w:val="00D44335"/>
    <w:rsid w:val="00D44C77"/>
    <w:rsid w:val="00D45A02"/>
    <w:rsid w:val="00D46262"/>
    <w:rsid w:val="00D47102"/>
    <w:rsid w:val="00D474AD"/>
    <w:rsid w:val="00D478F1"/>
    <w:rsid w:val="00D5095C"/>
    <w:rsid w:val="00D510A1"/>
    <w:rsid w:val="00D51BCC"/>
    <w:rsid w:val="00D5312A"/>
    <w:rsid w:val="00D5352B"/>
    <w:rsid w:val="00D5371E"/>
    <w:rsid w:val="00D55CE4"/>
    <w:rsid w:val="00D57669"/>
    <w:rsid w:val="00D608F3"/>
    <w:rsid w:val="00D6198C"/>
    <w:rsid w:val="00D62008"/>
    <w:rsid w:val="00D62D88"/>
    <w:rsid w:val="00D62EF5"/>
    <w:rsid w:val="00D630B2"/>
    <w:rsid w:val="00D63A1C"/>
    <w:rsid w:val="00D63C63"/>
    <w:rsid w:val="00D63CBA"/>
    <w:rsid w:val="00D65373"/>
    <w:rsid w:val="00D66325"/>
    <w:rsid w:val="00D66C8A"/>
    <w:rsid w:val="00D67C68"/>
    <w:rsid w:val="00D709E8"/>
    <w:rsid w:val="00D72240"/>
    <w:rsid w:val="00D727EB"/>
    <w:rsid w:val="00D72CFE"/>
    <w:rsid w:val="00D73839"/>
    <w:rsid w:val="00D74E51"/>
    <w:rsid w:val="00D765A1"/>
    <w:rsid w:val="00D775C5"/>
    <w:rsid w:val="00D77BAC"/>
    <w:rsid w:val="00D805DB"/>
    <w:rsid w:val="00D8085C"/>
    <w:rsid w:val="00D818A1"/>
    <w:rsid w:val="00D81DD3"/>
    <w:rsid w:val="00D8239B"/>
    <w:rsid w:val="00D83260"/>
    <w:rsid w:val="00D8330C"/>
    <w:rsid w:val="00D8335D"/>
    <w:rsid w:val="00D83724"/>
    <w:rsid w:val="00D8380E"/>
    <w:rsid w:val="00D838C1"/>
    <w:rsid w:val="00D8581E"/>
    <w:rsid w:val="00D85B9B"/>
    <w:rsid w:val="00D85BE2"/>
    <w:rsid w:val="00D87AC3"/>
    <w:rsid w:val="00D90669"/>
    <w:rsid w:val="00D90BAD"/>
    <w:rsid w:val="00D9176C"/>
    <w:rsid w:val="00D91C94"/>
    <w:rsid w:val="00D928A8"/>
    <w:rsid w:val="00D935F9"/>
    <w:rsid w:val="00D944A8"/>
    <w:rsid w:val="00D94DB5"/>
    <w:rsid w:val="00D94EED"/>
    <w:rsid w:val="00D950A7"/>
    <w:rsid w:val="00D950E8"/>
    <w:rsid w:val="00D959A3"/>
    <w:rsid w:val="00D95A75"/>
    <w:rsid w:val="00D97618"/>
    <w:rsid w:val="00D978C6"/>
    <w:rsid w:val="00DA0664"/>
    <w:rsid w:val="00DA0EE7"/>
    <w:rsid w:val="00DA2AFE"/>
    <w:rsid w:val="00DA2BB4"/>
    <w:rsid w:val="00DA41CA"/>
    <w:rsid w:val="00DA4597"/>
    <w:rsid w:val="00DA4BD2"/>
    <w:rsid w:val="00DA5562"/>
    <w:rsid w:val="00DA67AD"/>
    <w:rsid w:val="00DA6968"/>
    <w:rsid w:val="00DA7C20"/>
    <w:rsid w:val="00DB0320"/>
    <w:rsid w:val="00DB0C79"/>
    <w:rsid w:val="00DB17F3"/>
    <w:rsid w:val="00DB3424"/>
    <w:rsid w:val="00DB3928"/>
    <w:rsid w:val="00DB396D"/>
    <w:rsid w:val="00DB3A66"/>
    <w:rsid w:val="00DB4442"/>
    <w:rsid w:val="00DB4DCF"/>
    <w:rsid w:val="00DB58CC"/>
    <w:rsid w:val="00DB6568"/>
    <w:rsid w:val="00DB6788"/>
    <w:rsid w:val="00DB697F"/>
    <w:rsid w:val="00DB76B1"/>
    <w:rsid w:val="00DB7925"/>
    <w:rsid w:val="00DB79DD"/>
    <w:rsid w:val="00DC0775"/>
    <w:rsid w:val="00DC0EEE"/>
    <w:rsid w:val="00DC1410"/>
    <w:rsid w:val="00DC22C2"/>
    <w:rsid w:val="00DC2A33"/>
    <w:rsid w:val="00DC4045"/>
    <w:rsid w:val="00DC46B9"/>
    <w:rsid w:val="00DC4724"/>
    <w:rsid w:val="00DC69C8"/>
    <w:rsid w:val="00DC6DBF"/>
    <w:rsid w:val="00DD03D6"/>
    <w:rsid w:val="00DD1511"/>
    <w:rsid w:val="00DD2661"/>
    <w:rsid w:val="00DD2B11"/>
    <w:rsid w:val="00DD336B"/>
    <w:rsid w:val="00DD4D38"/>
    <w:rsid w:val="00DD7182"/>
    <w:rsid w:val="00DE054F"/>
    <w:rsid w:val="00DE1F22"/>
    <w:rsid w:val="00DE3B13"/>
    <w:rsid w:val="00DE51B5"/>
    <w:rsid w:val="00DE58AF"/>
    <w:rsid w:val="00DE5960"/>
    <w:rsid w:val="00DE6041"/>
    <w:rsid w:val="00DE633F"/>
    <w:rsid w:val="00DE6357"/>
    <w:rsid w:val="00DE77A7"/>
    <w:rsid w:val="00DF02C1"/>
    <w:rsid w:val="00DF0C0E"/>
    <w:rsid w:val="00DF0DBE"/>
    <w:rsid w:val="00DF0F30"/>
    <w:rsid w:val="00DF1693"/>
    <w:rsid w:val="00DF367E"/>
    <w:rsid w:val="00DF40D9"/>
    <w:rsid w:val="00DF45FF"/>
    <w:rsid w:val="00DF6780"/>
    <w:rsid w:val="00DF7EF1"/>
    <w:rsid w:val="00E01796"/>
    <w:rsid w:val="00E01E84"/>
    <w:rsid w:val="00E0261B"/>
    <w:rsid w:val="00E03CFF"/>
    <w:rsid w:val="00E056D2"/>
    <w:rsid w:val="00E07AC9"/>
    <w:rsid w:val="00E07AFA"/>
    <w:rsid w:val="00E10192"/>
    <w:rsid w:val="00E10AD0"/>
    <w:rsid w:val="00E11156"/>
    <w:rsid w:val="00E12AEA"/>
    <w:rsid w:val="00E12D02"/>
    <w:rsid w:val="00E12EA9"/>
    <w:rsid w:val="00E130AB"/>
    <w:rsid w:val="00E1400B"/>
    <w:rsid w:val="00E15D6C"/>
    <w:rsid w:val="00E16916"/>
    <w:rsid w:val="00E16AD8"/>
    <w:rsid w:val="00E20352"/>
    <w:rsid w:val="00E21347"/>
    <w:rsid w:val="00E228E8"/>
    <w:rsid w:val="00E235BD"/>
    <w:rsid w:val="00E2574F"/>
    <w:rsid w:val="00E25785"/>
    <w:rsid w:val="00E26C69"/>
    <w:rsid w:val="00E27A95"/>
    <w:rsid w:val="00E27C4E"/>
    <w:rsid w:val="00E3066E"/>
    <w:rsid w:val="00E30A46"/>
    <w:rsid w:val="00E311B0"/>
    <w:rsid w:val="00E32151"/>
    <w:rsid w:val="00E32333"/>
    <w:rsid w:val="00E32BE1"/>
    <w:rsid w:val="00E32BEF"/>
    <w:rsid w:val="00E32F83"/>
    <w:rsid w:val="00E32F89"/>
    <w:rsid w:val="00E33C82"/>
    <w:rsid w:val="00E346F8"/>
    <w:rsid w:val="00E351B2"/>
    <w:rsid w:val="00E353EA"/>
    <w:rsid w:val="00E35A18"/>
    <w:rsid w:val="00E360A2"/>
    <w:rsid w:val="00E373DE"/>
    <w:rsid w:val="00E3762B"/>
    <w:rsid w:val="00E4251B"/>
    <w:rsid w:val="00E43CC6"/>
    <w:rsid w:val="00E459E3"/>
    <w:rsid w:val="00E46087"/>
    <w:rsid w:val="00E46AC0"/>
    <w:rsid w:val="00E46E3F"/>
    <w:rsid w:val="00E477D2"/>
    <w:rsid w:val="00E508C0"/>
    <w:rsid w:val="00E50EC5"/>
    <w:rsid w:val="00E52686"/>
    <w:rsid w:val="00E555E9"/>
    <w:rsid w:val="00E56202"/>
    <w:rsid w:val="00E5644E"/>
    <w:rsid w:val="00E575D3"/>
    <w:rsid w:val="00E6021F"/>
    <w:rsid w:val="00E61D7B"/>
    <w:rsid w:val="00E627FF"/>
    <w:rsid w:val="00E62D34"/>
    <w:rsid w:val="00E62E0D"/>
    <w:rsid w:val="00E648D7"/>
    <w:rsid w:val="00E64966"/>
    <w:rsid w:val="00E663FE"/>
    <w:rsid w:val="00E667E2"/>
    <w:rsid w:val="00E668F4"/>
    <w:rsid w:val="00E6691D"/>
    <w:rsid w:val="00E6704C"/>
    <w:rsid w:val="00E711A0"/>
    <w:rsid w:val="00E71848"/>
    <w:rsid w:val="00E7260F"/>
    <w:rsid w:val="00E72DE7"/>
    <w:rsid w:val="00E73670"/>
    <w:rsid w:val="00E73AC5"/>
    <w:rsid w:val="00E73B0A"/>
    <w:rsid w:val="00E7430D"/>
    <w:rsid w:val="00E75A94"/>
    <w:rsid w:val="00E75B8A"/>
    <w:rsid w:val="00E75D4B"/>
    <w:rsid w:val="00E75F03"/>
    <w:rsid w:val="00E762D7"/>
    <w:rsid w:val="00E768D8"/>
    <w:rsid w:val="00E769EC"/>
    <w:rsid w:val="00E77276"/>
    <w:rsid w:val="00E77652"/>
    <w:rsid w:val="00E810B2"/>
    <w:rsid w:val="00E81CCA"/>
    <w:rsid w:val="00E83488"/>
    <w:rsid w:val="00E83550"/>
    <w:rsid w:val="00E83779"/>
    <w:rsid w:val="00E83ED8"/>
    <w:rsid w:val="00E843E2"/>
    <w:rsid w:val="00E84690"/>
    <w:rsid w:val="00E85504"/>
    <w:rsid w:val="00E86671"/>
    <w:rsid w:val="00E86B83"/>
    <w:rsid w:val="00E86D55"/>
    <w:rsid w:val="00E87518"/>
    <w:rsid w:val="00E87730"/>
    <w:rsid w:val="00E87ABC"/>
    <w:rsid w:val="00E903F0"/>
    <w:rsid w:val="00E90D55"/>
    <w:rsid w:val="00E92D3C"/>
    <w:rsid w:val="00E932AE"/>
    <w:rsid w:val="00E93E12"/>
    <w:rsid w:val="00E94431"/>
    <w:rsid w:val="00E948B0"/>
    <w:rsid w:val="00E94DEF"/>
    <w:rsid w:val="00E9542B"/>
    <w:rsid w:val="00E9567E"/>
    <w:rsid w:val="00E95E8A"/>
    <w:rsid w:val="00E96630"/>
    <w:rsid w:val="00E96F10"/>
    <w:rsid w:val="00E97D05"/>
    <w:rsid w:val="00EA0007"/>
    <w:rsid w:val="00EA08A3"/>
    <w:rsid w:val="00EA2EFE"/>
    <w:rsid w:val="00EA3919"/>
    <w:rsid w:val="00EA3BD0"/>
    <w:rsid w:val="00EA4385"/>
    <w:rsid w:val="00EA4451"/>
    <w:rsid w:val="00EA65E1"/>
    <w:rsid w:val="00EA6932"/>
    <w:rsid w:val="00EA6BBC"/>
    <w:rsid w:val="00EA7B81"/>
    <w:rsid w:val="00EB02AF"/>
    <w:rsid w:val="00EB1D36"/>
    <w:rsid w:val="00EB3A16"/>
    <w:rsid w:val="00EB3AE4"/>
    <w:rsid w:val="00EB3C1F"/>
    <w:rsid w:val="00EB53E3"/>
    <w:rsid w:val="00EB655C"/>
    <w:rsid w:val="00EB667E"/>
    <w:rsid w:val="00EB6847"/>
    <w:rsid w:val="00EC08D5"/>
    <w:rsid w:val="00EC0C5E"/>
    <w:rsid w:val="00EC15DC"/>
    <w:rsid w:val="00EC24DE"/>
    <w:rsid w:val="00EC3DAB"/>
    <w:rsid w:val="00EC4153"/>
    <w:rsid w:val="00EC6FA0"/>
    <w:rsid w:val="00EC70A5"/>
    <w:rsid w:val="00EC75A0"/>
    <w:rsid w:val="00EC7662"/>
    <w:rsid w:val="00ED002D"/>
    <w:rsid w:val="00ED03FA"/>
    <w:rsid w:val="00ED0B68"/>
    <w:rsid w:val="00ED2AD6"/>
    <w:rsid w:val="00ED3D44"/>
    <w:rsid w:val="00ED4D37"/>
    <w:rsid w:val="00ED59A7"/>
    <w:rsid w:val="00ED5B0F"/>
    <w:rsid w:val="00ED6ACB"/>
    <w:rsid w:val="00ED7A2A"/>
    <w:rsid w:val="00ED7ABF"/>
    <w:rsid w:val="00EE034D"/>
    <w:rsid w:val="00EE1052"/>
    <w:rsid w:val="00EE349E"/>
    <w:rsid w:val="00EE6632"/>
    <w:rsid w:val="00EE756D"/>
    <w:rsid w:val="00EF11F2"/>
    <w:rsid w:val="00EF1D7F"/>
    <w:rsid w:val="00EF1EBE"/>
    <w:rsid w:val="00EF2DB6"/>
    <w:rsid w:val="00EF2E75"/>
    <w:rsid w:val="00EF33C8"/>
    <w:rsid w:val="00EF368B"/>
    <w:rsid w:val="00EF40C6"/>
    <w:rsid w:val="00EF615B"/>
    <w:rsid w:val="00EF70F3"/>
    <w:rsid w:val="00EF74B1"/>
    <w:rsid w:val="00F00325"/>
    <w:rsid w:val="00F00F55"/>
    <w:rsid w:val="00F024BA"/>
    <w:rsid w:val="00F02532"/>
    <w:rsid w:val="00F02686"/>
    <w:rsid w:val="00F04858"/>
    <w:rsid w:val="00F048B1"/>
    <w:rsid w:val="00F04EAD"/>
    <w:rsid w:val="00F067C1"/>
    <w:rsid w:val="00F07BDD"/>
    <w:rsid w:val="00F132DF"/>
    <w:rsid w:val="00F13644"/>
    <w:rsid w:val="00F13B15"/>
    <w:rsid w:val="00F14CC0"/>
    <w:rsid w:val="00F161BB"/>
    <w:rsid w:val="00F16372"/>
    <w:rsid w:val="00F16CE4"/>
    <w:rsid w:val="00F17321"/>
    <w:rsid w:val="00F20028"/>
    <w:rsid w:val="00F2188B"/>
    <w:rsid w:val="00F22892"/>
    <w:rsid w:val="00F23641"/>
    <w:rsid w:val="00F24CC2"/>
    <w:rsid w:val="00F25E66"/>
    <w:rsid w:val="00F26A30"/>
    <w:rsid w:val="00F27D04"/>
    <w:rsid w:val="00F300B2"/>
    <w:rsid w:val="00F301D2"/>
    <w:rsid w:val="00F30295"/>
    <w:rsid w:val="00F3030B"/>
    <w:rsid w:val="00F30A4F"/>
    <w:rsid w:val="00F3134A"/>
    <w:rsid w:val="00F31813"/>
    <w:rsid w:val="00F320D6"/>
    <w:rsid w:val="00F32F05"/>
    <w:rsid w:val="00F33B59"/>
    <w:rsid w:val="00F342EC"/>
    <w:rsid w:val="00F368D7"/>
    <w:rsid w:val="00F36C50"/>
    <w:rsid w:val="00F3768F"/>
    <w:rsid w:val="00F37CB2"/>
    <w:rsid w:val="00F37CBC"/>
    <w:rsid w:val="00F40E75"/>
    <w:rsid w:val="00F418AD"/>
    <w:rsid w:val="00F42198"/>
    <w:rsid w:val="00F449B8"/>
    <w:rsid w:val="00F44AB0"/>
    <w:rsid w:val="00F45928"/>
    <w:rsid w:val="00F459B8"/>
    <w:rsid w:val="00F47A53"/>
    <w:rsid w:val="00F47D85"/>
    <w:rsid w:val="00F50D83"/>
    <w:rsid w:val="00F510A3"/>
    <w:rsid w:val="00F52A98"/>
    <w:rsid w:val="00F536F7"/>
    <w:rsid w:val="00F55099"/>
    <w:rsid w:val="00F55391"/>
    <w:rsid w:val="00F567B7"/>
    <w:rsid w:val="00F5782C"/>
    <w:rsid w:val="00F57F14"/>
    <w:rsid w:val="00F60A1F"/>
    <w:rsid w:val="00F60C2A"/>
    <w:rsid w:val="00F60F92"/>
    <w:rsid w:val="00F61FB2"/>
    <w:rsid w:val="00F6212B"/>
    <w:rsid w:val="00F62BF2"/>
    <w:rsid w:val="00F62ECA"/>
    <w:rsid w:val="00F63103"/>
    <w:rsid w:val="00F638A9"/>
    <w:rsid w:val="00F663D8"/>
    <w:rsid w:val="00F663F6"/>
    <w:rsid w:val="00F66CBC"/>
    <w:rsid w:val="00F700C9"/>
    <w:rsid w:val="00F70473"/>
    <w:rsid w:val="00F70B60"/>
    <w:rsid w:val="00F70C45"/>
    <w:rsid w:val="00F71148"/>
    <w:rsid w:val="00F715D3"/>
    <w:rsid w:val="00F725B1"/>
    <w:rsid w:val="00F73C88"/>
    <w:rsid w:val="00F74470"/>
    <w:rsid w:val="00F769C1"/>
    <w:rsid w:val="00F77A69"/>
    <w:rsid w:val="00F77D0C"/>
    <w:rsid w:val="00F8100B"/>
    <w:rsid w:val="00F81492"/>
    <w:rsid w:val="00F822A2"/>
    <w:rsid w:val="00F82998"/>
    <w:rsid w:val="00F843B5"/>
    <w:rsid w:val="00F84539"/>
    <w:rsid w:val="00F84A3B"/>
    <w:rsid w:val="00F867FD"/>
    <w:rsid w:val="00F879BB"/>
    <w:rsid w:val="00F90C55"/>
    <w:rsid w:val="00F92013"/>
    <w:rsid w:val="00F92E85"/>
    <w:rsid w:val="00F93BE8"/>
    <w:rsid w:val="00F94730"/>
    <w:rsid w:val="00F94CE8"/>
    <w:rsid w:val="00F94D50"/>
    <w:rsid w:val="00F94D9C"/>
    <w:rsid w:val="00F94E0E"/>
    <w:rsid w:val="00F94F91"/>
    <w:rsid w:val="00F958B3"/>
    <w:rsid w:val="00F96F20"/>
    <w:rsid w:val="00F972E9"/>
    <w:rsid w:val="00F97D15"/>
    <w:rsid w:val="00F97F91"/>
    <w:rsid w:val="00FA2F27"/>
    <w:rsid w:val="00FA2F65"/>
    <w:rsid w:val="00FA3D7A"/>
    <w:rsid w:val="00FA5B0F"/>
    <w:rsid w:val="00FA68C7"/>
    <w:rsid w:val="00FA6C98"/>
    <w:rsid w:val="00FB0BA4"/>
    <w:rsid w:val="00FB100E"/>
    <w:rsid w:val="00FB1BB3"/>
    <w:rsid w:val="00FB2056"/>
    <w:rsid w:val="00FB3DAF"/>
    <w:rsid w:val="00FB4C14"/>
    <w:rsid w:val="00FB5CAA"/>
    <w:rsid w:val="00FB65F7"/>
    <w:rsid w:val="00FB6775"/>
    <w:rsid w:val="00FB6E14"/>
    <w:rsid w:val="00FB7786"/>
    <w:rsid w:val="00FC09DA"/>
    <w:rsid w:val="00FC13BE"/>
    <w:rsid w:val="00FC2054"/>
    <w:rsid w:val="00FC22D7"/>
    <w:rsid w:val="00FC2A0A"/>
    <w:rsid w:val="00FC4802"/>
    <w:rsid w:val="00FC5270"/>
    <w:rsid w:val="00FC5ADD"/>
    <w:rsid w:val="00FC61FE"/>
    <w:rsid w:val="00FC67E4"/>
    <w:rsid w:val="00FC68B7"/>
    <w:rsid w:val="00FC6B3C"/>
    <w:rsid w:val="00FC6ED3"/>
    <w:rsid w:val="00FD2518"/>
    <w:rsid w:val="00FD26A7"/>
    <w:rsid w:val="00FD3199"/>
    <w:rsid w:val="00FD3A57"/>
    <w:rsid w:val="00FD44C2"/>
    <w:rsid w:val="00FD4B3A"/>
    <w:rsid w:val="00FD5497"/>
    <w:rsid w:val="00FD5B18"/>
    <w:rsid w:val="00FD6047"/>
    <w:rsid w:val="00FD6071"/>
    <w:rsid w:val="00FD64FD"/>
    <w:rsid w:val="00FD6584"/>
    <w:rsid w:val="00FD6ABF"/>
    <w:rsid w:val="00FD7D50"/>
    <w:rsid w:val="00FE1480"/>
    <w:rsid w:val="00FE2188"/>
    <w:rsid w:val="00FE2D2F"/>
    <w:rsid w:val="00FE4D7A"/>
    <w:rsid w:val="00FE6B88"/>
    <w:rsid w:val="00FF0E94"/>
    <w:rsid w:val="00FF0ECB"/>
    <w:rsid w:val="00FF0F16"/>
    <w:rsid w:val="00FF1DC6"/>
    <w:rsid w:val="00FF2CE5"/>
    <w:rsid w:val="00FF31C2"/>
    <w:rsid w:val="00FF47CB"/>
    <w:rsid w:val="00FF54F6"/>
    <w:rsid w:val="00FF5B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qFormat="1"/>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Titre1">
    <w:name w:val="heading 1"/>
    <w:aliases w:val="Table_G"/>
    <w:basedOn w:val="SingleTxtG"/>
    <w:next w:val="SingleTxtG"/>
    <w:link w:val="Titre1Car"/>
    <w:qFormat/>
    <w:rsid w:val="00B75D73"/>
    <w:pPr>
      <w:spacing w:after="0" w:line="240" w:lineRule="auto"/>
      <w:ind w:right="0"/>
      <w:jc w:val="left"/>
      <w:outlineLvl w:val="0"/>
    </w:pPr>
  </w:style>
  <w:style w:type="paragraph" w:styleId="Titre2">
    <w:name w:val="heading 2"/>
    <w:basedOn w:val="Normal"/>
    <w:next w:val="Normal"/>
    <w:link w:val="Titre2Car"/>
    <w:qFormat/>
    <w:rsid w:val="00B75D73"/>
    <w:pPr>
      <w:spacing w:line="240" w:lineRule="auto"/>
      <w:outlineLvl w:val="1"/>
    </w:pPr>
  </w:style>
  <w:style w:type="paragraph" w:styleId="Titre3">
    <w:name w:val="heading 3"/>
    <w:basedOn w:val="Normal"/>
    <w:next w:val="Normal"/>
    <w:link w:val="Titre3Car"/>
    <w:qFormat/>
    <w:rsid w:val="00B75D73"/>
    <w:pPr>
      <w:spacing w:line="240" w:lineRule="auto"/>
      <w:outlineLvl w:val="2"/>
    </w:pPr>
  </w:style>
  <w:style w:type="paragraph" w:styleId="Titre4">
    <w:name w:val="heading 4"/>
    <w:basedOn w:val="Normal"/>
    <w:next w:val="Normal"/>
    <w:link w:val="Titre4Car"/>
    <w:qFormat/>
    <w:rsid w:val="00B75D73"/>
    <w:pPr>
      <w:spacing w:line="240" w:lineRule="auto"/>
      <w:outlineLvl w:val="3"/>
    </w:pPr>
  </w:style>
  <w:style w:type="paragraph" w:styleId="Titre5">
    <w:name w:val="heading 5"/>
    <w:basedOn w:val="Normal"/>
    <w:next w:val="Normal"/>
    <w:link w:val="Titre5Car"/>
    <w:qFormat/>
    <w:rsid w:val="00B75D73"/>
    <w:pPr>
      <w:spacing w:line="240" w:lineRule="auto"/>
      <w:outlineLvl w:val="4"/>
    </w:pPr>
  </w:style>
  <w:style w:type="paragraph" w:styleId="Titre6">
    <w:name w:val="heading 6"/>
    <w:basedOn w:val="Normal"/>
    <w:next w:val="Normal"/>
    <w:link w:val="Titre6Car"/>
    <w:qFormat/>
    <w:rsid w:val="00B75D73"/>
    <w:pPr>
      <w:spacing w:line="240" w:lineRule="auto"/>
      <w:outlineLvl w:val="5"/>
    </w:pPr>
  </w:style>
  <w:style w:type="paragraph" w:styleId="Titre7">
    <w:name w:val="heading 7"/>
    <w:basedOn w:val="Normal"/>
    <w:next w:val="Normal"/>
    <w:link w:val="Titre7Car"/>
    <w:qFormat/>
    <w:rsid w:val="00B75D73"/>
    <w:pPr>
      <w:spacing w:line="240" w:lineRule="auto"/>
      <w:outlineLvl w:val="6"/>
    </w:pPr>
  </w:style>
  <w:style w:type="paragraph" w:styleId="Titre8">
    <w:name w:val="heading 8"/>
    <w:basedOn w:val="Normal"/>
    <w:next w:val="Normal"/>
    <w:link w:val="Titre8Car"/>
    <w:qFormat/>
    <w:rsid w:val="00B75D73"/>
    <w:pPr>
      <w:spacing w:line="240" w:lineRule="auto"/>
      <w:outlineLvl w:val="7"/>
    </w:pPr>
  </w:style>
  <w:style w:type="paragraph" w:styleId="Titre9">
    <w:name w:val="heading 9"/>
    <w:basedOn w:val="Normal"/>
    <w:next w:val="Normal"/>
    <w:link w:val="Titre9Car"/>
    <w:qFormat/>
    <w:rsid w:val="00B75D73"/>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qFormat/>
    <w:rsid w:val="00763D72"/>
    <w:rPr>
      <w:rFonts w:ascii="Times New Roman" w:hAnsi="Times New Roman"/>
      <w:sz w:val="18"/>
      <w:vertAlign w:val="superscript"/>
    </w:rPr>
  </w:style>
  <w:style w:type="character" w:styleId="Appeldenotedefin">
    <w:name w:val="endnote reference"/>
    <w:aliases w:val="1_G"/>
    <w:rsid w:val="00B75D73"/>
    <w:rPr>
      <w:rFonts w:ascii="Times New Roman" w:hAnsi="Times New Roman"/>
      <w:sz w:val="18"/>
      <w:vertAlign w:val="superscript"/>
    </w:rPr>
  </w:style>
  <w:style w:type="paragraph" w:styleId="En-tte">
    <w:name w:val="header"/>
    <w:aliases w:val="6_G"/>
    <w:basedOn w:val="Normal"/>
    <w:link w:val="En-tteCar"/>
    <w:rsid w:val="00B75D73"/>
    <w:pPr>
      <w:pBdr>
        <w:bottom w:val="single" w:sz="4" w:space="4" w:color="auto"/>
      </w:pBdr>
      <w:spacing w:line="240" w:lineRule="auto"/>
    </w:pPr>
    <w:rPr>
      <w:b/>
      <w:sz w:val="18"/>
    </w:rPr>
  </w:style>
  <w:style w:type="table" w:styleId="Grilledutableau">
    <w:name w:val="Table Grid"/>
    <w:basedOn w:val="Tableau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rsid w:val="00B75D73"/>
    <w:rPr>
      <w:color w:val="auto"/>
      <w:u w:val="none"/>
    </w:rPr>
  </w:style>
  <w:style w:type="character" w:styleId="Lienhypertextesuivivisit">
    <w:name w:val="FollowedHyperlink"/>
    <w:uiPriority w:val="99"/>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qFormat/>
    <w:rsid w:val="00763D7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Notedefin">
    <w:name w:val="endnote text"/>
    <w:aliases w:val="2_G"/>
    <w:basedOn w:val="Notedebasdepage"/>
    <w:rsid w:val="00B75D73"/>
  </w:style>
  <w:style w:type="character" w:styleId="Numrodepage">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Pieddepage">
    <w:name w:val="footer"/>
    <w:aliases w:val="3_G"/>
    <w:basedOn w:val="Normal"/>
    <w:link w:val="PieddepageCar"/>
    <w:qFormat/>
    <w:rsid w:val="009A5E46"/>
    <w:pPr>
      <w:kinsoku w:val="0"/>
      <w:overflowPunct w:val="0"/>
      <w:autoSpaceDE w:val="0"/>
      <w:autoSpaceDN w:val="0"/>
      <w:adjustRightInd w:val="0"/>
      <w:snapToGrid w:val="0"/>
      <w:spacing w:line="240" w:lineRule="auto"/>
    </w:pPr>
    <w:rPr>
      <w:rFonts w:eastAsia="SimSun"/>
      <w:sz w:val="16"/>
      <w:lang w:val="en-US" w:eastAsia="zh-CN"/>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link w:val="Notedebasdepage"/>
    <w:locked/>
    <w:rsid w:val="003F45F8"/>
    <w:rPr>
      <w:rFonts w:eastAsia="SimSun"/>
      <w:sz w:val="18"/>
    </w:rPr>
  </w:style>
  <w:style w:type="paragraph" w:styleId="Paragraphedeliste">
    <w:name w:val="List Paragraph"/>
    <w:basedOn w:val="Normal"/>
    <w:qFormat/>
    <w:rsid w:val="007A3F99"/>
    <w:pPr>
      <w:suppressAutoHyphens w:val="0"/>
      <w:spacing w:line="240" w:lineRule="auto"/>
      <w:ind w:left="720"/>
    </w:pPr>
    <w:rPr>
      <w:sz w:val="24"/>
      <w:szCs w:val="22"/>
      <w:lang w:val="en-IE"/>
    </w:rPr>
  </w:style>
  <w:style w:type="character" w:customStyle="1" w:styleId="En-tteCar">
    <w:name w:val="En-tête Car"/>
    <w:aliases w:val="6_G Car"/>
    <w:link w:val="En-tte"/>
    <w:rsid w:val="007A3F99"/>
    <w:rPr>
      <w:b/>
      <w:sz w:val="18"/>
      <w:lang w:eastAsia="en-US"/>
    </w:rPr>
  </w:style>
  <w:style w:type="paragraph" w:customStyle="1" w:styleId="H2">
    <w:name w:val="H2"/>
    <w:basedOn w:val="Normal"/>
    <w:next w:val="Normal"/>
    <w:rsid w:val="007A3F99"/>
    <w:pPr>
      <w:tabs>
        <w:tab w:val="left" w:pos="547"/>
      </w:tabs>
      <w:suppressAutoHyphens w:val="0"/>
      <w:spacing w:line="240" w:lineRule="auto"/>
      <w:ind w:left="547" w:right="-154" w:hanging="547"/>
    </w:pPr>
    <w:rPr>
      <w:rFonts w:ascii="Arial Bold" w:eastAsia="Calibri" w:hAnsi="Arial Bold" w:cs="Arial"/>
      <w:b/>
      <w:bCs/>
      <w:color w:val="0000FF"/>
      <w:sz w:val="28"/>
      <w:szCs w:val="28"/>
    </w:rPr>
  </w:style>
  <w:style w:type="paragraph" w:customStyle="1" w:styleId="numberedpara">
    <w:name w:val="numberedpara"/>
    <w:next w:val="Normal"/>
    <w:rsid w:val="007A3F99"/>
    <w:pPr>
      <w:tabs>
        <w:tab w:val="left" w:pos="540"/>
      </w:tabs>
      <w:ind w:left="547" w:hanging="547"/>
      <w:jc w:val="both"/>
    </w:pPr>
    <w:rPr>
      <w:rFonts w:eastAsia="Calibri"/>
      <w:sz w:val="24"/>
      <w:szCs w:val="24"/>
      <w:lang w:val="en-GB" w:eastAsia="en-US"/>
    </w:rPr>
  </w:style>
  <w:style w:type="paragraph" w:customStyle="1" w:styleId="abcpara">
    <w:name w:val="abcpara"/>
    <w:basedOn w:val="Normal"/>
    <w:next w:val="Normal"/>
    <w:rsid w:val="007A3F99"/>
    <w:pPr>
      <w:tabs>
        <w:tab w:val="left" w:pos="1267"/>
      </w:tabs>
      <w:suppressAutoHyphens w:val="0"/>
      <w:spacing w:line="240" w:lineRule="auto"/>
      <w:ind w:left="1267" w:hanging="360"/>
    </w:pPr>
    <w:rPr>
      <w:b/>
      <w:bCs/>
      <w:sz w:val="24"/>
      <w:szCs w:val="22"/>
      <w:lang w:val="en-IE"/>
    </w:rPr>
  </w:style>
  <w:style w:type="paragraph" w:customStyle="1" w:styleId="SIDMainText">
    <w:name w:val="SIDMainText"/>
    <w:basedOn w:val="Normal"/>
    <w:rsid w:val="00283ED9"/>
    <w:pPr>
      <w:suppressAutoHyphens w:val="0"/>
      <w:spacing w:line="360" w:lineRule="auto"/>
    </w:pPr>
    <w:rPr>
      <w:rFonts w:ascii="Arial" w:hAnsi="Arial" w:cs="Arial"/>
      <w:sz w:val="24"/>
      <w:szCs w:val="24"/>
      <w:lang w:val="en-IE"/>
    </w:rPr>
  </w:style>
  <w:style w:type="paragraph" w:customStyle="1" w:styleId="SIDFootnote">
    <w:name w:val="SIDFootnote"/>
    <w:basedOn w:val="Normal"/>
    <w:rsid w:val="00283ED9"/>
    <w:pPr>
      <w:keepNext/>
      <w:suppressAutoHyphens w:val="0"/>
      <w:spacing w:line="240" w:lineRule="auto"/>
    </w:pPr>
    <w:rPr>
      <w:rFonts w:ascii="Arial" w:eastAsia="Calibri" w:hAnsi="Arial" w:cs="Arial"/>
      <w:kern w:val="32"/>
      <w:sz w:val="18"/>
      <w:szCs w:val="18"/>
      <w:lang w:val="en-IE" w:eastAsia="en-GB"/>
    </w:rPr>
  </w:style>
  <w:style w:type="paragraph" w:customStyle="1" w:styleId="NormalText">
    <w:name w:val="Normal Text"/>
    <w:basedOn w:val="Normal"/>
    <w:rsid w:val="00283ED9"/>
    <w:pPr>
      <w:suppressAutoHyphens w:val="0"/>
      <w:spacing w:after="240" w:line="480" w:lineRule="auto"/>
    </w:pPr>
    <w:rPr>
      <w:rFonts w:eastAsia="Calibri"/>
      <w:sz w:val="24"/>
      <w:lang w:eastAsia="en-GB"/>
    </w:rPr>
  </w:style>
  <w:style w:type="paragraph" w:customStyle="1" w:styleId="chaptertitle">
    <w:name w:val="chaptertitle"/>
    <w:next w:val="Normal"/>
    <w:rsid w:val="00283ED9"/>
    <w:rPr>
      <w:rFonts w:ascii="Arial Bold" w:eastAsia="Calibri" w:hAnsi="Arial Bold" w:cs="Arial"/>
      <w:b/>
      <w:bCs/>
      <w:color w:val="0000FF"/>
      <w:sz w:val="48"/>
      <w:szCs w:val="28"/>
      <w:lang w:val="en-GB" w:eastAsia="en-US"/>
    </w:rPr>
  </w:style>
  <w:style w:type="paragraph" w:customStyle="1" w:styleId="H1">
    <w:name w:val="H1"/>
    <w:next w:val="Normal"/>
    <w:autoRedefine/>
    <w:rsid w:val="00283ED9"/>
    <w:pPr>
      <w:tabs>
        <w:tab w:val="left" w:pos="547"/>
      </w:tabs>
      <w:ind w:left="547" w:right="-154" w:hanging="547"/>
    </w:pPr>
    <w:rPr>
      <w:rFonts w:ascii="Arial Bold" w:eastAsia="Calibri" w:hAnsi="Arial Bold" w:cs="Arial"/>
      <w:b/>
      <w:color w:val="0000FF"/>
      <w:sz w:val="36"/>
      <w:szCs w:val="28"/>
      <w:lang w:val="en-GB" w:eastAsia="en-US"/>
    </w:rPr>
  </w:style>
  <w:style w:type="paragraph" w:customStyle="1" w:styleId="H3">
    <w:name w:val="H3"/>
    <w:basedOn w:val="H1"/>
    <w:next w:val="Normal"/>
    <w:rsid w:val="00283ED9"/>
    <w:pPr>
      <w:spacing w:before="80" w:after="120"/>
      <w:ind w:left="0" w:firstLine="0"/>
    </w:pPr>
    <w:rPr>
      <w:bCs/>
      <w:color w:val="auto"/>
      <w:sz w:val="24"/>
    </w:rPr>
  </w:style>
  <w:style w:type="paragraph" w:customStyle="1" w:styleId="tabletitle">
    <w:name w:val="tabletitle"/>
    <w:next w:val="Normal"/>
    <w:rsid w:val="00283ED9"/>
    <w:pPr>
      <w:spacing w:after="120"/>
    </w:pPr>
    <w:rPr>
      <w:rFonts w:ascii="Arial" w:eastAsia="Calibri" w:hAnsi="Arial" w:cs="Arial"/>
      <w:b/>
      <w:bCs/>
      <w:lang w:val="en-GB" w:eastAsia="en-US"/>
    </w:rPr>
  </w:style>
  <w:style w:type="paragraph" w:customStyle="1" w:styleId="indentedpara">
    <w:name w:val="indentedpara"/>
    <w:basedOn w:val="Normal"/>
    <w:next w:val="Normal"/>
    <w:rsid w:val="00283ED9"/>
    <w:pPr>
      <w:suppressAutoHyphens w:val="0"/>
      <w:spacing w:line="240" w:lineRule="auto"/>
      <w:ind w:left="540"/>
    </w:pPr>
    <w:rPr>
      <w:sz w:val="24"/>
      <w:szCs w:val="22"/>
      <w:lang w:val="en-IE" w:eastAsia="en-GB"/>
    </w:rPr>
  </w:style>
  <w:style w:type="paragraph" w:customStyle="1" w:styleId="Default">
    <w:name w:val="Default"/>
    <w:rsid w:val="008342B8"/>
    <w:pPr>
      <w:autoSpaceDE w:val="0"/>
      <w:autoSpaceDN w:val="0"/>
      <w:adjustRightInd w:val="0"/>
    </w:pPr>
    <w:rPr>
      <w:color w:val="000000"/>
      <w:sz w:val="24"/>
      <w:szCs w:val="24"/>
      <w:lang w:val="en-IE" w:eastAsia="en-US"/>
    </w:rPr>
  </w:style>
  <w:style w:type="paragraph" w:styleId="Commentaire">
    <w:name w:val="annotation text"/>
    <w:basedOn w:val="Normal"/>
    <w:link w:val="CommentaireCar"/>
    <w:rsid w:val="008342B8"/>
    <w:pPr>
      <w:suppressAutoHyphens w:val="0"/>
      <w:spacing w:line="240" w:lineRule="auto"/>
    </w:pPr>
    <w:rPr>
      <w:lang w:val="en-IE"/>
    </w:rPr>
  </w:style>
  <w:style w:type="character" w:customStyle="1" w:styleId="CommentaireCar">
    <w:name w:val="Commentaire Car"/>
    <w:link w:val="Commentaire"/>
    <w:rsid w:val="008342B8"/>
    <w:rPr>
      <w:lang w:val="en-IE" w:eastAsia="en-US"/>
    </w:rPr>
  </w:style>
  <w:style w:type="paragraph" w:styleId="Objetducommentaire">
    <w:name w:val="annotation subject"/>
    <w:basedOn w:val="Commentaire"/>
    <w:next w:val="Commentaire"/>
    <w:link w:val="ObjetducommentaireCar"/>
    <w:rsid w:val="008342B8"/>
    <w:rPr>
      <w:rFonts w:eastAsia="Calibri"/>
      <w:b/>
      <w:bCs/>
      <w:lang w:eastAsia="en-GB"/>
    </w:rPr>
  </w:style>
  <w:style w:type="character" w:customStyle="1" w:styleId="ObjetducommentaireCar">
    <w:name w:val="Objet du commentaire Car"/>
    <w:link w:val="Objetducommentaire"/>
    <w:rsid w:val="008342B8"/>
    <w:rPr>
      <w:rFonts w:eastAsia="Calibri"/>
      <w:b/>
      <w:bCs/>
      <w:lang w:val="en-IE" w:eastAsia="en-US"/>
    </w:rPr>
  </w:style>
  <w:style w:type="character" w:customStyle="1" w:styleId="smallcaps">
    <w:name w:val="smallcaps"/>
    <w:rsid w:val="008342B8"/>
    <w:rPr>
      <w:rFonts w:cs="Times New Roman"/>
    </w:rPr>
  </w:style>
  <w:style w:type="character" w:customStyle="1" w:styleId="Hyperlink1">
    <w:name w:val="Hyperlink1"/>
    <w:rsid w:val="008342B8"/>
    <w:rPr>
      <w:rFonts w:cs="Times New Roman"/>
      <w:color w:val="auto"/>
      <w:u w:val="none"/>
      <w:effect w:val="none"/>
    </w:rPr>
  </w:style>
  <w:style w:type="character" w:styleId="Accentuation">
    <w:name w:val="Emphasis"/>
    <w:qFormat/>
    <w:rsid w:val="008342B8"/>
    <w:rPr>
      <w:rFonts w:cs="Times New Roman"/>
      <w:i/>
      <w:iCs/>
    </w:rPr>
  </w:style>
  <w:style w:type="paragraph" w:customStyle="1" w:styleId="DefaultParagraphFontCharChar">
    <w:name w:val="Default Paragraph Font Char Char"/>
    <w:aliases w:val="Char Char Char Char Char Char Char Char Char Char Char"/>
    <w:basedOn w:val="Normal"/>
    <w:rsid w:val="008342B8"/>
    <w:pPr>
      <w:suppressAutoHyphens w:val="0"/>
      <w:spacing w:after="160" w:line="240" w:lineRule="exact"/>
    </w:pPr>
    <w:rPr>
      <w:rFonts w:ascii="Tahoma" w:eastAsia="Calibri" w:hAnsi="Tahoma" w:cs="Tahoma"/>
    </w:rPr>
  </w:style>
  <w:style w:type="paragraph" w:customStyle="1" w:styleId="bulletpara1">
    <w:name w:val="bulletpara1"/>
    <w:basedOn w:val="numberedpara"/>
    <w:next w:val="Normal"/>
    <w:rsid w:val="008342B8"/>
    <w:pPr>
      <w:numPr>
        <w:numId w:val="4"/>
      </w:numPr>
      <w:tabs>
        <w:tab w:val="clear" w:pos="540"/>
        <w:tab w:val="clear" w:pos="1627"/>
        <w:tab w:val="left" w:pos="1267"/>
      </w:tabs>
      <w:ind w:left="1267"/>
      <w:jc w:val="left"/>
    </w:pPr>
  </w:style>
  <w:style w:type="character" w:customStyle="1" w:styleId="c5">
    <w:name w:val="c5"/>
    <w:rsid w:val="001B2F58"/>
  </w:style>
  <w:style w:type="character" w:customStyle="1" w:styleId="Titre1Car">
    <w:name w:val="Titre 1 Car"/>
    <w:aliases w:val="Table_G Car"/>
    <w:link w:val="Titre1"/>
    <w:rsid w:val="002D302A"/>
    <w:rPr>
      <w:lang w:eastAsia="en-US"/>
    </w:rPr>
  </w:style>
  <w:style w:type="character" w:customStyle="1" w:styleId="Titre2Car">
    <w:name w:val="Titre 2 Car"/>
    <w:link w:val="Titre2"/>
    <w:rsid w:val="002D302A"/>
    <w:rPr>
      <w:lang w:eastAsia="en-US"/>
    </w:rPr>
  </w:style>
  <w:style w:type="character" w:customStyle="1" w:styleId="Titre3Car">
    <w:name w:val="Titre 3 Car"/>
    <w:link w:val="Titre3"/>
    <w:rsid w:val="002D302A"/>
    <w:rPr>
      <w:lang w:eastAsia="en-US"/>
    </w:rPr>
  </w:style>
  <w:style w:type="character" w:customStyle="1" w:styleId="Titre4Car">
    <w:name w:val="Titre 4 Car"/>
    <w:link w:val="Titre4"/>
    <w:rsid w:val="002D302A"/>
    <w:rPr>
      <w:lang w:eastAsia="en-US"/>
    </w:rPr>
  </w:style>
  <w:style w:type="character" w:customStyle="1" w:styleId="Titre5Car">
    <w:name w:val="Titre 5 Car"/>
    <w:link w:val="Titre5"/>
    <w:rsid w:val="002D302A"/>
    <w:rPr>
      <w:lang w:eastAsia="en-US"/>
    </w:rPr>
  </w:style>
  <w:style w:type="character" w:customStyle="1" w:styleId="Titre6Car">
    <w:name w:val="Titre 6 Car"/>
    <w:link w:val="Titre6"/>
    <w:rsid w:val="002D302A"/>
    <w:rPr>
      <w:lang w:eastAsia="en-US"/>
    </w:rPr>
  </w:style>
  <w:style w:type="character" w:customStyle="1" w:styleId="Titre7Car">
    <w:name w:val="Titre 7 Car"/>
    <w:link w:val="Titre7"/>
    <w:rsid w:val="002D302A"/>
    <w:rPr>
      <w:lang w:eastAsia="en-US"/>
    </w:rPr>
  </w:style>
  <w:style w:type="character" w:customStyle="1" w:styleId="Titre8Car">
    <w:name w:val="Titre 8 Car"/>
    <w:link w:val="Titre8"/>
    <w:rsid w:val="002D302A"/>
    <w:rPr>
      <w:lang w:eastAsia="en-US"/>
    </w:rPr>
  </w:style>
  <w:style w:type="character" w:customStyle="1" w:styleId="Titre9Car">
    <w:name w:val="Titre 9 Car"/>
    <w:link w:val="Titre9"/>
    <w:rsid w:val="002D302A"/>
    <w:rPr>
      <w:lang w:eastAsia="en-US"/>
    </w:rPr>
  </w:style>
  <w:style w:type="paragraph" w:styleId="NormalWeb">
    <w:name w:val="Normal (Web)"/>
    <w:basedOn w:val="Normal"/>
    <w:unhideWhenUsed/>
    <w:rsid w:val="002D302A"/>
    <w:pPr>
      <w:suppressAutoHyphens w:val="0"/>
      <w:spacing w:before="100" w:beforeAutospacing="1" w:after="100" w:afterAutospacing="1" w:line="240" w:lineRule="auto"/>
    </w:pPr>
    <w:rPr>
      <w:rFonts w:eastAsia="Calibri"/>
      <w:sz w:val="24"/>
      <w:szCs w:val="24"/>
      <w:lang w:eastAsia="en-GB"/>
    </w:rPr>
  </w:style>
  <w:style w:type="paragraph" w:styleId="TM1">
    <w:name w:val="toc 1"/>
    <w:basedOn w:val="Normal"/>
    <w:next w:val="Normal"/>
    <w:autoRedefine/>
    <w:unhideWhenUsed/>
    <w:rsid w:val="002D302A"/>
    <w:pPr>
      <w:suppressAutoHyphens w:val="0"/>
      <w:spacing w:line="240" w:lineRule="auto"/>
    </w:pPr>
    <w:rPr>
      <w:rFonts w:eastAsia="MS Mincho"/>
      <w:sz w:val="24"/>
      <w:szCs w:val="24"/>
      <w:lang w:eastAsia="ja-JP"/>
    </w:rPr>
  </w:style>
  <w:style w:type="paragraph" w:styleId="TM2">
    <w:name w:val="toc 2"/>
    <w:basedOn w:val="Normal"/>
    <w:next w:val="Normal"/>
    <w:autoRedefine/>
    <w:unhideWhenUsed/>
    <w:rsid w:val="002D302A"/>
    <w:pPr>
      <w:tabs>
        <w:tab w:val="left" w:pos="720"/>
        <w:tab w:val="right" w:leader="dot" w:pos="8640"/>
      </w:tabs>
      <w:suppressAutoHyphens w:val="0"/>
      <w:spacing w:line="240" w:lineRule="auto"/>
      <w:ind w:left="240" w:right="-334"/>
    </w:pPr>
    <w:rPr>
      <w:rFonts w:ascii="Arial" w:eastAsia="MS Mincho" w:hAnsi="Arial" w:cs="Arial"/>
      <w:noProof/>
      <w:szCs w:val="24"/>
      <w:lang w:eastAsia="ja-JP"/>
    </w:rPr>
  </w:style>
  <w:style w:type="paragraph" w:styleId="TM3">
    <w:name w:val="toc 3"/>
    <w:basedOn w:val="Normal"/>
    <w:next w:val="Normal"/>
    <w:autoRedefine/>
    <w:unhideWhenUsed/>
    <w:rsid w:val="002D302A"/>
    <w:pPr>
      <w:suppressAutoHyphens w:val="0"/>
      <w:spacing w:line="240" w:lineRule="auto"/>
      <w:ind w:left="480"/>
    </w:pPr>
    <w:rPr>
      <w:rFonts w:eastAsia="MS Mincho"/>
      <w:sz w:val="24"/>
      <w:szCs w:val="24"/>
      <w:lang w:eastAsia="ja-JP"/>
    </w:rPr>
  </w:style>
  <w:style w:type="paragraph" w:styleId="TM4">
    <w:name w:val="toc 4"/>
    <w:basedOn w:val="Normal"/>
    <w:next w:val="Normal"/>
    <w:autoRedefine/>
    <w:unhideWhenUsed/>
    <w:rsid w:val="002D302A"/>
    <w:pPr>
      <w:suppressAutoHyphens w:val="0"/>
      <w:spacing w:line="240" w:lineRule="auto"/>
      <w:ind w:left="720"/>
    </w:pPr>
    <w:rPr>
      <w:rFonts w:eastAsia="MS Mincho"/>
      <w:sz w:val="24"/>
      <w:szCs w:val="24"/>
      <w:lang w:eastAsia="ja-JP"/>
    </w:rPr>
  </w:style>
  <w:style w:type="paragraph" w:styleId="TM5">
    <w:name w:val="toc 5"/>
    <w:basedOn w:val="Normal"/>
    <w:next w:val="Normal"/>
    <w:autoRedefine/>
    <w:unhideWhenUsed/>
    <w:rsid w:val="002D302A"/>
    <w:pPr>
      <w:suppressAutoHyphens w:val="0"/>
      <w:spacing w:line="240" w:lineRule="auto"/>
      <w:ind w:left="960"/>
    </w:pPr>
    <w:rPr>
      <w:rFonts w:eastAsia="MS Mincho"/>
      <w:sz w:val="24"/>
      <w:szCs w:val="24"/>
      <w:lang w:eastAsia="ja-JP"/>
    </w:rPr>
  </w:style>
  <w:style w:type="paragraph" w:styleId="TM6">
    <w:name w:val="toc 6"/>
    <w:basedOn w:val="Normal"/>
    <w:next w:val="Normal"/>
    <w:autoRedefine/>
    <w:unhideWhenUsed/>
    <w:rsid w:val="002D302A"/>
    <w:pPr>
      <w:suppressAutoHyphens w:val="0"/>
      <w:spacing w:line="240" w:lineRule="auto"/>
      <w:ind w:left="1200"/>
    </w:pPr>
    <w:rPr>
      <w:rFonts w:eastAsia="MS Mincho"/>
      <w:sz w:val="24"/>
      <w:szCs w:val="24"/>
      <w:lang w:eastAsia="ja-JP"/>
    </w:rPr>
  </w:style>
  <w:style w:type="paragraph" w:styleId="TM7">
    <w:name w:val="toc 7"/>
    <w:basedOn w:val="Normal"/>
    <w:next w:val="Normal"/>
    <w:autoRedefine/>
    <w:unhideWhenUsed/>
    <w:rsid w:val="002D302A"/>
    <w:pPr>
      <w:suppressAutoHyphens w:val="0"/>
      <w:spacing w:line="240" w:lineRule="auto"/>
      <w:ind w:left="1440"/>
    </w:pPr>
    <w:rPr>
      <w:rFonts w:eastAsia="MS Mincho"/>
      <w:sz w:val="24"/>
      <w:szCs w:val="24"/>
      <w:lang w:eastAsia="ja-JP"/>
    </w:rPr>
  </w:style>
  <w:style w:type="paragraph" w:styleId="TM8">
    <w:name w:val="toc 8"/>
    <w:basedOn w:val="Normal"/>
    <w:next w:val="Normal"/>
    <w:autoRedefine/>
    <w:unhideWhenUsed/>
    <w:rsid w:val="002D302A"/>
    <w:pPr>
      <w:suppressAutoHyphens w:val="0"/>
      <w:spacing w:line="240" w:lineRule="auto"/>
      <w:ind w:left="1680"/>
    </w:pPr>
    <w:rPr>
      <w:rFonts w:eastAsia="MS Mincho"/>
      <w:sz w:val="24"/>
      <w:szCs w:val="24"/>
      <w:lang w:eastAsia="ja-JP"/>
    </w:rPr>
  </w:style>
  <w:style w:type="paragraph" w:styleId="TM9">
    <w:name w:val="toc 9"/>
    <w:basedOn w:val="Normal"/>
    <w:next w:val="Normal"/>
    <w:autoRedefine/>
    <w:unhideWhenUsed/>
    <w:rsid w:val="002D302A"/>
    <w:pPr>
      <w:suppressAutoHyphens w:val="0"/>
      <w:spacing w:line="240" w:lineRule="auto"/>
      <w:ind w:left="1920"/>
    </w:pPr>
    <w:rPr>
      <w:rFonts w:eastAsia="MS Mincho"/>
      <w:sz w:val="24"/>
      <w:szCs w:val="24"/>
      <w:lang w:eastAsia="ja-JP"/>
    </w:rPr>
  </w:style>
  <w:style w:type="character" w:customStyle="1" w:styleId="PieddepageCar">
    <w:name w:val="Pied de page Car"/>
    <w:aliases w:val="3_G Car"/>
    <w:link w:val="Pieddepage"/>
    <w:rsid w:val="002D302A"/>
    <w:rPr>
      <w:rFonts w:eastAsia="SimSun"/>
      <w:sz w:val="16"/>
    </w:rPr>
  </w:style>
  <w:style w:type="paragraph" w:styleId="Corpsdetexte">
    <w:name w:val="Body Text"/>
    <w:basedOn w:val="Normal"/>
    <w:link w:val="CorpsdetexteCar"/>
    <w:unhideWhenUsed/>
    <w:rsid w:val="002D302A"/>
    <w:pPr>
      <w:shd w:val="clear" w:color="auto" w:fill="D9D9D9"/>
      <w:suppressAutoHyphens w:val="0"/>
      <w:spacing w:line="240" w:lineRule="auto"/>
    </w:pPr>
    <w:rPr>
      <w:rFonts w:ascii="Century Gothic" w:eastAsia="MS Mincho" w:hAnsi="Century Gothic"/>
      <w:b/>
      <w:sz w:val="32"/>
      <w:szCs w:val="32"/>
      <w:lang w:val="en-IE" w:eastAsia="ja-JP"/>
    </w:rPr>
  </w:style>
  <w:style w:type="character" w:customStyle="1" w:styleId="CorpsdetexteCar">
    <w:name w:val="Corps de texte Car"/>
    <w:link w:val="Corpsdetexte"/>
    <w:rsid w:val="002D302A"/>
    <w:rPr>
      <w:rFonts w:ascii="Century Gothic" w:eastAsia="MS Mincho" w:hAnsi="Century Gothic"/>
      <w:b/>
      <w:sz w:val="32"/>
      <w:szCs w:val="32"/>
      <w:shd w:val="clear" w:color="auto" w:fill="D9D9D9"/>
      <w:lang w:val="en-IE" w:eastAsia="ja-JP"/>
    </w:rPr>
  </w:style>
  <w:style w:type="paragraph" w:styleId="Retraitcorpsdetexte">
    <w:name w:val="Body Text Indent"/>
    <w:basedOn w:val="Normal"/>
    <w:link w:val="RetraitcorpsdetexteCar"/>
    <w:unhideWhenUsed/>
    <w:rsid w:val="002D302A"/>
    <w:pPr>
      <w:suppressAutoHyphens w:val="0"/>
      <w:spacing w:line="240" w:lineRule="auto"/>
      <w:ind w:left="900"/>
      <w:jc w:val="both"/>
    </w:pPr>
    <w:rPr>
      <w:rFonts w:ascii="Century Gothic" w:eastAsia="MS Mincho" w:hAnsi="Century Gothic"/>
      <w:lang w:val="en-IE" w:eastAsia="ja-JP"/>
    </w:rPr>
  </w:style>
  <w:style w:type="character" w:customStyle="1" w:styleId="RetraitcorpsdetexteCar">
    <w:name w:val="Retrait corps de texte Car"/>
    <w:link w:val="Retraitcorpsdetexte"/>
    <w:rsid w:val="002D302A"/>
    <w:rPr>
      <w:rFonts w:ascii="Century Gothic" w:eastAsia="MS Mincho" w:hAnsi="Century Gothic"/>
      <w:lang w:val="en-IE" w:eastAsia="ja-JP"/>
    </w:rPr>
  </w:style>
  <w:style w:type="paragraph" w:styleId="Corpsdetexte2">
    <w:name w:val="Body Text 2"/>
    <w:basedOn w:val="Normal"/>
    <w:link w:val="Corpsdetexte2Car"/>
    <w:unhideWhenUsed/>
    <w:rsid w:val="002D302A"/>
    <w:pPr>
      <w:suppressAutoHyphens w:val="0"/>
      <w:spacing w:line="240" w:lineRule="auto"/>
      <w:ind w:right="-334"/>
    </w:pPr>
    <w:rPr>
      <w:rFonts w:ascii="Arial" w:eastAsia="MS Mincho" w:hAnsi="Arial" w:cs="Arial"/>
      <w:szCs w:val="24"/>
      <w:lang w:eastAsia="ja-JP"/>
    </w:rPr>
  </w:style>
  <w:style w:type="character" w:customStyle="1" w:styleId="Corpsdetexte2Car">
    <w:name w:val="Corps de texte 2 Car"/>
    <w:link w:val="Corpsdetexte2"/>
    <w:rsid w:val="002D302A"/>
    <w:rPr>
      <w:rFonts w:ascii="Arial" w:eastAsia="MS Mincho" w:hAnsi="Arial" w:cs="Arial"/>
      <w:szCs w:val="24"/>
      <w:lang w:eastAsia="ja-JP"/>
    </w:rPr>
  </w:style>
  <w:style w:type="paragraph" w:styleId="Corpsdetexte3">
    <w:name w:val="Body Text 3"/>
    <w:basedOn w:val="Normal"/>
    <w:link w:val="Corpsdetexte3Car"/>
    <w:unhideWhenUsed/>
    <w:rsid w:val="002D302A"/>
    <w:pPr>
      <w:suppressAutoHyphens w:val="0"/>
      <w:spacing w:line="240" w:lineRule="auto"/>
      <w:ind w:right="-334"/>
      <w:jc w:val="both"/>
    </w:pPr>
    <w:rPr>
      <w:rFonts w:ascii="Arial" w:eastAsia="MS Mincho" w:hAnsi="Arial" w:cs="Arial"/>
      <w:color w:val="000000"/>
      <w:sz w:val="18"/>
      <w:szCs w:val="16"/>
      <w:lang w:eastAsia="ja-JP"/>
    </w:rPr>
  </w:style>
  <w:style w:type="character" w:customStyle="1" w:styleId="Corpsdetexte3Car">
    <w:name w:val="Corps de texte 3 Car"/>
    <w:link w:val="Corpsdetexte3"/>
    <w:rsid w:val="002D302A"/>
    <w:rPr>
      <w:rFonts w:ascii="Arial" w:eastAsia="MS Mincho" w:hAnsi="Arial" w:cs="Arial"/>
      <w:color w:val="000000"/>
      <w:sz w:val="18"/>
      <w:szCs w:val="16"/>
      <w:lang w:eastAsia="ja-JP"/>
    </w:rPr>
  </w:style>
  <w:style w:type="paragraph" w:styleId="Retraitcorpsdetexte2">
    <w:name w:val="Body Text Indent 2"/>
    <w:basedOn w:val="Normal"/>
    <w:link w:val="Retraitcorpsdetexte2Car"/>
    <w:unhideWhenUsed/>
    <w:rsid w:val="002D302A"/>
    <w:pPr>
      <w:suppressAutoHyphens w:val="0"/>
      <w:spacing w:line="240" w:lineRule="auto"/>
      <w:ind w:left="720"/>
      <w:jc w:val="both"/>
    </w:pPr>
    <w:rPr>
      <w:rFonts w:ascii="Century Gothic" w:eastAsia="MS Mincho" w:hAnsi="Century Gothic"/>
      <w:lang w:val="en-IE" w:eastAsia="ja-JP"/>
    </w:rPr>
  </w:style>
  <w:style w:type="character" w:customStyle="1" w:styleId="Retraitcorpsdetexte2Car">
    <w:name w:val="Retrait corps de texte 2 Car"/>
    <w:link w:val="Retraitcorpsdetexte2"/>
    <w:rsid w:val="002D302A"/>
    <w:rPr>
      <w:rFonts w:ascii="Century Gothic" w:eastAsia="MS Mincho" w:hAnsi="Century Gothic"/>
      <w:lang w:val="en-IE" w:eastAsia="ja-JP"/>
    </w:rPr>
  </w:style>
  <w:style w:type="paragraph" w:styleId="Retraitcorpsdetexte3">
    <w:name w:val="Body Text Indent 3"/>
    <w:basedOn w:val="Normal"/>
    <w:link w:val="Retraitcorpsdetexte3Car"/>
    <w:unhideWhenUsed/>
    <w:rsid w:val="002D302A"/>
    <w:pPr>
      <w:suppressAutoHyphens w:val="0"/>
      <w:spacing w:line="240" w:lineRule="auto"/>
      <w:ind w:left="360" w:hanging="360"/>
    </w:pPr>
    <w:rPr>
      <w:rFonts w:ascii="Arial" w:eastAsia="MS Mincho" w:hAnsi="Arial" w:cs="Arial"/>
      <w:color w:val="000000"/>
      <w:sz w:val="18"/>
      <w:szCs w:val="16"/>
      <w:lang w:eastAsia="ja-JP"/>
    </w:rPr>
  </w:style>
  <w:style w:type="character" w:customStyle="1" w:styleId="Retraitcorpsdetexte3Car">
    <w:name w:val="Retrait corps de texte 3 Car"/>
    <w:link w:val="Retraitcorpsdetexte3"/>
    <w:rsid w:val="002D302A"/>
    <w:rPr>
      <w:rFonts w:ascii="Arial" w:eastAsia="MS Mincho" w:hAnsi="Arial" w:cs="Arial"/>
      <w:color w:val="000000"/>
      <w:sz w:val="18"/>
      <w:szCs w:val="16"/>
      <w:lang w:eastAsia="ja-JP"/>
    </w:rPr>
  </w:style>
  <w:style w:type="paragraph" w:styleId="Normalcentr">
    <w:name w:val="Block Text"/>
    <w:basedOn w:val="Normal"/>
    <w:unhideWhenUsed/>
    <w:rsid w:val="002D302A"/>
    <w:pPr>
      <w:suppressAutoHyphens w:val="0"/>
      <w:spacing w:line="240" w:lineRule="auto"/>
      <w:ind w:left="720" w:right="-334"/>
      <w:jc w:val="both"/>
    </w:pPr>
    <w:rPr>
      <w:rFonts w:ascii="Arial" w:eastAsia="MS Mincho" w:hAnsi="Arial" w:cs="Arial"/>
      <w:lang w:val="en-IE" w:eastAsia="ja-JP"/>
    </w:rPr>
  </w:style>
  <w:style w:type="paragraph" w:styleId="Textedebulles">
    <w:name w:val="Balloon Text"/>
    <w:basedOn w:val="Normal"/>
    <w:link w:val="TextedebullesCar"/>
    <w:unhideWhenUsed/>
    <w:rsid w:val="002D302A"/>
    <w:pPr>
      <w:suppressAutoHyphens w:val="0"/>
      <w:spacing w:line="240" w:lineRule="auto"/>
    </w:pPr>
    <w:rPr>
      <w:rFonts w:ascii="Tahoma" w:eastAsia="MS Mincho" w:hAnsi="Tahoma" w:cs="Tahoma"/>
      <w:sz w:val="16"/>
      <w:szCs w:val="16"/>
      <w:lang w:eastAsia="ja-JP"/>
    </w:rPr>
  </w:style>
  <w:style w:type="character" w:customStyle="1" w:styleId="TextedebullesCar">
    <w:name w:val="Texte de bulles Car"/>
    <w:link w:val="Textedebulles"/>
    <w:rsid w:val="002D302A"/>
    <w:rPr>
      <w:rFonts w:ascii="Tahoma" w:eastAsia="MS Mincho" w:hAnsi="Tahoma" w:cs="Tahoma"/>
      <w:sz w:val="16"/>
      <w:szCs w:val="16"/>
      <w:lang w:eastAsia="ja-JP"/>
    </w:rPr>
  </w:style>
  <w:style w:type="paragraph" w:customStyle="1" w:styleId="tabletitle0">
    <w:name w:val="table title"/>
    <w:basedOn w:val="Normal"/>
    <w:rsid w:val="002D302A"/>
    <w:pPr>
      <w:suppressAutoHyphens w:val="0"/>
      <w:spacing w:after="80" w:line="240" w:lineRule="auto"/>
    </w:pPr>
    <w:rPr>
      <w:rFonts w:ascii="Arial Bold" w:hAnsi="Arial Bold" w:cs="Arial"/>
      <w:b/>
      <w:sz w:val="18"/>
      <w:szCs w:val="16"/>
    </w:rPr>
  </w:style>
  <w:style w:type="paragraph" w:customStyle="1" w:styleId="DStable">
    <w:name w:val="DS table"/>
    <w:basedOn w:val="Normal"/>
    <w:rsid w:val="002D302A"/>
    <w:pPr>
      <w:tabs>
        <w:tab w:val="left" w:pos="1440"/>
      </w:tabs>
      <w:suppressAutoHyphens w:val="0"/>
      <w:spacing w:before="40" w:after="40" w:line="240" w:lineRule="auto"/>
      <w:ind w:right="688"/>
    </w:pPr>
    <w:rPr>
      <w:rFonts w:ascii="Arial" w:hAnsi="Arial" w:cs="Arial"/>
      <w:noProof/>
      <w:sz w:val="18"/>
      <w:szCs w:val="18"/>
      <w:lang w:val="en-IE" w:eastAsia="en-IE"/>
    </w:rPr>
  </w:style>
  <w:style w:type="paragraph" w:customStyle="1" w:styleId="tableclause">
    <w:name w:val="tableclause"/>
    <w:basedOn w:val="Normal"/>
    <w:rsid w:val="002D302A"/>
    <w:pPr>
      <w:suppressAutoHyphens w:val="0"/>
      <w:spacing w:after="160" w:line="240" w:lineRule="auto"/>
      <w:ind w:left="907" w:right="-331" w:hanging="907"/>
    </w:pPr>
    <w:rPr>
      <w:rFonts w:ascii="Arial Bold" w:eastAsia="MS Mincho" w:hAnsi="Arial Bold" w:cs="Arial"/>
      <w:b/>
      <w:color w:val="3366FF"/>
      <w:lang w:val="en-IE" w:eastAsia="ja-JP"/>
    </w:rPr>
  </w:style>
  <w:style w:type="paragraph" w:customStyle="1" w:styleId="tablemainhead">
    <w:name w:val="tablemainhead"/>
    <w:basedOn w:val="Normal"/>
    <w:rsid w:val="002D302A"/>
    <w:pPr>
      <w:shd w:val="clear" w:color="auto" w:fill="CCCCCC"/>
      <w:tabs>
        <w:tab w:val="left" w:pos="360"/>
      </w:tabs>
      <w:suppressAutoHyphens w:val="0"/>
      <w:spacing w:line="240" w:lineRule="auto"/>
      <w:ind w:left="360" w:right="-331" w:hanging="360"/>
    </w:pPr>
    <w:rPr>
      <w:rFonts w:ascii="Arial Bold" w:eastAsia="MS Mincho" w:hAnsi="Arial Bold" w:cs="Arial"/>
      <w:b/>
      <w:color w:val="0000FF"/>
      <w:sz w:val="24"/>
      <w:szCs w:val="24"/>
      <w:lang w:val="en-IE" w:eastAsia="ja-JP"/>
    </w:rPr>
  </w:style>
  <w:style w:type="character" w:styleId="Marquedecommentaire">
    <w:name w:val="annotation reference"/>
    <w:unhideWhenUsed/>
    <w:rsid w:val="002D302A"/>
    <w:rPr>
      <w:sz w:val="16"/>
      <w:szCs w:val="16"/>
    </w:rPr>
  </w:style>
  <w:style w:type="character" w:customStyle="1" w:styleId="en">
    <w:name w:val="en"/>
    <w:rsid w:val="009D119F"/>
  </w:style>
  <w:style w:type="paragraph" w:styleId="Rvision">
    <w:name w:val="Revision"/>
    <w:hidden/>
    <w:uiPriority w:val="99"/>
    <w:semiHidden/>
    <w:rsid w:val="000213B3"/>
    <w:rPr>
      <w:lang w:val="en-GB" w:eastAsia="en-US"/>
    </w:rPr>
  </w:style>
  <w:style w:type="character" w:customStyle="1" w:styleId="apple-converted-space">
    <w:name w:val="apple-converted-space"/>
    <w:rsid w:val="00801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qFormat="1"/>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Titre1">
    <w:name w:val="heading 1"/>
    <w:aliases w:val="Table_G"/>
    <w:basedOn w:val="SingleTxtG"/>
    <w:next w:val="SingleTxtG"/>
    <w:link w:val="Titre1Car"/>
    <w:qFormat/>
    <w:rsid w:val="00B75D73"/>
    <w:pPr>
      <w:spacing w:after="0" w:line="240" w:lineRule="auto"/>
      <w:ind w:right="0"/>
      <w:jc w:val="left"/>
      <w:outlineLvl w:val="0"/>
    </w:pPr>
  </w:style>
  <w:style w:type="paragraph" w:styleId="Titre2">
    <w:name w:val="heading 2"/>
    <w:basedOn w:val="Normal"/>
    <w:next w:val="Normal"/>
    <w:link w:val="Titre2Car"/>
    <w:qFormat/>
    <w:rsid w:val="00B75D73"/>
    <w:pPr>
      <w:spacing w:line="240" w:lineRule="auto"/>
      <w:outlineLvl w:val="1"/>
    </w:pPr>
  </w:style>
  <w:style w:type="paragraph" w:styleId="Titre3">
    <w:name w:val="heading 3"/>
    <w:basedOn w:val="Normal"/>
    <w:next w:val="Normal"/>
    <w:link w:val="Titre3Car"/>
    <w:qFormat/>
    <w:rsid w:val="00B75D73"/>
    <w:pPr>
      <w:spacing w:line="240" w:lineRule="auto"/>
      <w:outlineLvl w:val="2"/>
    </w:pPr>
  </w:style>
  <w:style w:type="paragraph" w:styleId="Titre4">
    <w:name w:val="heading 4"/>
    <w:basedOn w:val="Normal"/>
    <w:next w:val="Normal"/>
    <w:link w:val="Titre4Car"/>
    <w:qFormat/>
    <w:rsid w:val="00B75D73"/>
    <w:pPr>
      <w:spacing w:line="240" w:lineRule="auto"/>
      <w:outlineLvl w:val="3"/>
    </w:pPr>
  </w:style>
  <w:style w:type="paragraph" w:styleId="Titre5">
    <w:name w:val="heading 5"/>
    <w:basedOn w:val="Normal"/>
    <w:next w:val="Normal"/>
    <w:link w:val="Titre5Car"/>
    <w:qFormat/>
    <w:rsid w:val="00B75D73"/>
    <w:pPr>
      <w:spacing w:line="240" w:lineRule="auto"/>
      <w:outlineLvl w:val="4"/>
    </w:pPr>
  </w:style>
  <w:style w:type="paragraph" w:styleId="Titre6">
    <w:name w:val="heading 6"/>
    <w:basedOn w:val="Normal"/>
    <w:next w:val="Normal"/>
    <w:link w:val="Titre6Car"/>
    <w:qFormat/>
    <w:rsid w:val="00B75D73"/>
    <w:pPr>
      <w:spacing w:line="240" w:lineRule="auto"/>
      <w:outlineLvl w:val="5"/>
    </w:pPr>
  </w:style>
  <w:style w:type="paragraph" w:styleId="Titre7">
    <w:name w:val="heading 7"/>
    <w:basedOn w:val="Normal"/>
    <w:next w:val="Normal"/>
    <w:link w:val="Titre7Car"/>
    <w:qFormat/>
    <w:rsid w:val="00B75D73"/>
    <w:pPr>
      <w:spacing w:line="240" w:lineRule="auto"/>
      <w:outlineLvl w:val="6"/>
    </w:pPr>
  </w:style>
  <w:style w:type="paragraph" w:styleId="Titre8">
    <w:name w:val="heading 8"/>
    <w:basedOn w:val="Normal"/>
    <w:next w:val="Normal"/>
    <w:link w:val="Titre8Car"/>
    <w:qFormat/>
    <w:rsid w:val="00B75D73"/>
    <w:pPr>
      <w:spacing w:line="240" w:lineRule="auto"/>
      <w:outlineLvl w:val="7"/>
    </w:pPr>
  </w:style>
  <w:style w:type="paragraph" w:styleId="Titre9">
    <w:name w:val="heading 9"/>
    <w:basedOn w:val="Normal"/>
    <w:next w:val="Normal"/>
    <w:link w:val="Titre9Car"/>
    <w:qFormat/>
    <w:rsid w:val="00B75D73"/>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qFormat/>
    <w:rsid w:val="00763D72"/>
    <w:rPr>
      <w:rFonts w:ascii="Times New Roman" w:hAnsi="Times New Roman"/>
      <w:sz w:val="18"/>
      <w:vertAlign w:val="superscript"/>
    </w:rPr>
  </w:style>
  <w:style w:type="character" w:styleId="Appeldenotedefin">
    <w:name w:val="endnote reference"/>
    <w:aliases w:val="1_G"/>
    <w:rsid w:val="00B75D73"/>
    <w:rPr>
      <w:rFonts w:ascii="Times New Roman" w:hAnsi="Times New Roman"/>
      <w:sz w:val="18"/>
      <w:vertAlign w:val="superscript"/>
    </w:rPr>
  </w:style>
  <w:style w:type="paragraph" w:styleId="En-tte">
    <w:name w:val="header"/>
    <w:aliases w:val="6_G"/>
    <w:basedOn w:val="Normal"/>
    <w:link w:val="En-tteCar"/>
    <w:rsid w:val="00B75D73"/>
    <w:pPr>
      <w:pBdr>
        <w:bottom w:val="single" w:sz="4" w:space="4" w:color="auto"/>
      </w:pBdr>
      <w:spacing w:line="240" w:lineRule="auto"/>
    </w:pPr>
    <w:rPr>
      <w:b/>
      <w:sz w:val="18"/>
    </w:rPr>
  </w:style>
  <w:style w:type="table" w:styleId="Grilledutableau">
    <w:name w:val="Table Grid"/>
    <w:basedOn w:val="Tableau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rsid w:val="00B75D73"/>
    <w:rPr>
      <w:color w:val="auto"/>
      <w:u w:val="none"/>
    </w:rPr>
  </w:style>
  <w:style w:type="character" w:styleId="Lienhypertextesuivivisit">
    <w:name w:val="FollowedHyperlink"/>
    <w:uiPriority w:val="99"/>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qFormat/>
    <w:rsid w:val="00763D7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Notedefin">
    <w:name w:val="endnote text"/>
    <w:aliases w:val="2_G"/>
    <w:basedOn w:val="Notedebasdepage"/>
    <w:rsid w:val="00B75D73"/>
  </w:style>
  <w:style w:type="character" w:styleId="Numrodepage">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Pieddepage">
    <w:name w:val="footer"/>
    <w:aliases w:val="3_G"/>
    <w:basedOn w:val="Normal"/>
    <w:link w:val="PieddepageCar"/>
    <w:qFormat/>
    <w:rsid w:val="009A5E46"/>
    <w:pPr>
      <w:kinsoku w:val="0"/>
      <w:overflowPunct w:val="0"/>
      <w:autoSpaceDE w:val="0"/>
      <w:autoSpaceDN w:val="0"/>
      <w:adjustRightInd w:val="0"/>
      <w:snapToGrid w:val="0"/>
      <w:spacing w:line="240" w:lineRule="auto"/>
    </w:pPr>
    <w:rPr>
      <w:rFonts w:eastAsia="SimSun"/>
      <w:sz w:val="16"/>
      <w:lang w:val="en-US" w:eastAsia="zh-CN"/>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link w:val="Notedebasdepage"/>
    <w:locked/>
    <w:rsid w:val="003F45F8"/>
    <w:rPr>
      <w:rFonts w:eastAsia="SimSun"/>
      <w:sz w:val="18"/>
    </w:rPr>
  </w:style>
  <w:style w:type="paragraph" w:styleId="Paragraphedeliste">
    <w:name w:val="List Paragraph"/>
    <w:basedOn w:val="Normal"/>
    <w:qFormat/>
    <w:rsid w:val="007A3F99"/>
    <w:pPr>
      <w:suppressAutoHyphens w:val="0"/>
      <w:spacing w:line="240" w:lineRule="auto"/>
      <w:ind w:left="720"/>
    </w:pPr>
    <w:rPr>
      <w:sz w:val="24"/>
      <w:szCs w:val="22"/>
      <w:lang w:val="en-IE"/>
    </w:rPr>
  </w:style>
  <w:style w:type="character" w:customStyle="1" w:styleId="En-tteCar">
    <w:name w:val="En-tête Car"/>
    <w:aliases w:val="6_G Car"/>
    <w:link w:val="En-tte"/>
    <w:rsid w:val="007A3F99"/>
    <w:rPr>
      <w:b/>
      <w:sz w:val="18"/>
      <w:lang w:eastAsia="en-US"/>
    </w:rPr>
  </w:style>
  <w:style w:type="paragraph" w:customStyle="1" w:styleId="H2">
    <w:name w:val="H2"/>
    <w:basedOn w:val="Normal"/>
    <w:next w:val="Normal"/>
    <w:rsid w:val="007A3F99"/>
    <w:pPr>
      <w:tabs>
        <w:tab w:val="left" w:pos="547"/>
      </w:tabs>
      <w:suppressAutoHyphens w:val="0"/>
      <w:spacing w:line="240" w:lineRule="auto"/>
      <w:ind w:left="547" w:right="-154" w:hanging="547"/>
    </w:pPr>
    <w:rPr>
      <w:rFonts w:ascii="Arial Bold" w:eastAsia="Calibri" w:hAnsi="Arial Bold" w:cs="Arial"/>
      <w:b/>
      <w:bCs/>
      <w:color w:val="0000FF"/>
      <w:sz w:val="28"/>
      <w:szCs w:val="28"/>
    </w:rPr>
  </w:style>
  <w:style w:type="paragraph" w:customStyle="1" w:styleId="numberedpara">
    <w:name w:val="numberedpara"/>
    <w:next w:val="Normal"/>
    <w:rsid w:val="007A3F99"/>
    <w:pPr>
      <w:tabs>
        <w:tab w:val="left" w:pos="540"/>
      </w:tabs>
      <w:ind w:left="547" w:hanging="547"/>
      <w:jc w:val="both"/>
    </w:pPr>
    <w:rPr>
      <w:rFonts w:eastAsia="Calibri"/>
      <w:sz w:val="24"/>
      <w:szCs w:val="24"/>
      <w:lang w:val="en-GB" w:eastAsia="en-US"/>
    </w:rPr>
  </w:style>
  <w:style w:type="paragraph" w:customStyle="1" w:styleId="abcpara">
    <w:name w:val="abcpara"/>
    <w:basedOn w:val="Normal"/>
    <w:next w:val="Normal"/>
    <w:rsid w:val="007A3F99"/>
    <w:pPr>
      <w:tabs>
        <w:tab w:val="left" w:pos="1267"/>
      </w:tabs>
      <w:suppressAutoHyphens w:val="0"/>
      <w:spacing w:line="240" w:lineRule="auto"/>
      <w:ind w:left="1267" w:hanging="360"/>
    </w:pPr>
    <w:rPr>
      <w:b/>
      <w:bCs/>
      <w:sz w:val="24"/>
      <w:szCs w:val="22"/>
      <w:lang w:val="en-IE"/>
    </w:rPr>
  </w:style>
  <w:style w:type="paragraph" w:customStyle="1" w:styleId="SIDMainText">
    <w:name w:val="SIDMainText"/>
    <w:basedOn w:val="Normal"/>
    <w:rsid w:val="00283ED9"/>
    <w:pPr>
      <w:suppressAutoHyphens w:val="0"/>
      <w:spacing w:line="360" w:lineRule="auto"/>
    </w:pPr>
    <w:rPr>
      <w:rFonts w:ascii="Arial" w:hAnsi="Arial" w:cs="Arial"/>
      <w:sz w:val="24"/>
      <w:szCs w:val="24"/>
      <w:lang w:val="en-IE"/>
    </w:rPr>
  </w:style>
  <w:style w:type="paragraph" w:customStyle="1" w:styleId="SIDFootnote">
    <w:name w:val="SIDFootnote"/>
    <w:basedOn w:val="Normal"/>
    <w:rsid w:val="00283ED9"/>
    <w:pPr>
      <w:keepNext/>
      <w:suppressAutoHyphens w:val="0"/>
      <w:spacing w:line="240" w:lineRule="auto"/>
    </w:pPr>
    <w:rPr>
      <w:rFonts w:ascii="Arial" w:eastAsia="Calibri" w:hAnsi="Arial" w:cs="Arial"/>
      <w:kern w:val="32"/>
      <w:sz w:val="18"/>
      <w:szCs w:val="18"/>
      <w:lang w:val="en-IE" w:eastAsia="en-GB"/>
    </w:rPr>
  </w:style>
  <w:style w:type="paragraph" w:customStyle="1" w:styleId="NormalText">
    <w:name w:val="Normal Text"/>
    <w:basedOn w:val="Normal"/>
    <w:rsid w:val="00283ED9"/>
    <w:pPr>
      <w:suppressAutoHyphens w:val="0"/>
      <w:spacing w:after="240" w:line="480" w:lineRule="auto"/>
    </w:pPr>
    <w:rPr>
      <w:rFonts w:eastAsia="Calibri"/>
      <w:sz w:val="24"/>
      <w:lang w:eastAsia="en-GB"/>
    </w:rPr>
  </w:style>
  <w:style w:type="paragraph" w:customStyle="1" w:styleId="chaptertitle">
    <w:name w:val="chaptertitle"/>
    <w:next w:val="Normal"/>
    <w:rsid w:val="00283ED9"/>
    <w:rPr>
      <w:rFonts w:ascii="Arial Bold" w:eastAsia="Calibri" w:hAnsi="Arial Bold" w:cs="Arial"/>
      <w:b/>
      <w:bCs/>
      <w:color w:val="0000FF"/>
      <w:sz w:val="48"/>
      <w:szCs w:val="28"/>
      <w:lang w:val="en-GB" w:eastAsia="en-US"/>
    </w:rPr>
  </w:style>
  <w:style w:type="paragraph" w:customStyle="1" w:styleId="H1">
    <w:name w:val="H1"/>
    <w:next w:val="Normal"/>
    <w:autoRedefine/>
    <w:rsid w:val="00283ED9"/>
    <w:pPr>
      <w:tabs>
        <w:tab w:val="left" w:pos="547"/>
      </w:tabs>
      <w:ind w:left="547" w:right="-154" w:hanging="547"/>
    </w:pPr>
    <w:rPr>
      <w:rFonts w:ascii="Arial Bold" w:eastAsia="Calibri" w:hAnsi="Arial Bold" w:cs="Arial"/>
      <w:b/>
      <w:color w:val="0000FF"/>
      <w:sz w:val="36"/>
      <w:szCs w:val="28"/>
      <w:lang w:val="en-GB" w:eastAsia="en-US"/>
    </w:rPr>
  </w:style>
  <w:style w:type="paragraph" w:customStyle="1" w:styleId="H3">
    <w:name w:val="H3"/>
    <w:basedOn w:val="H1"/>
    <w:next w:val="Normal"/>
    <w:rsid w:val="00283ED9"/>
    <w:pPr>
      <w:spacing w:before="80" w:after="120"/>
      <w:ind w:left="0" w:firstLine="0"/>
    </w:pPr>
    <w:rPr>
      <w:bCs/>
      <w:color w:val="auto"/>
      <w:sz w:val="24"/>
    </w:rPr>
  </w:style>
  <w:style w:type="paragraph" w:customStyle="1" w:styleId="tabletitle">
    <w:name w:val="tabletitle"/>
    <w:next w:val="Normal"/>
    <w:rsid w:val="00283ED9"/>
    <w:pPr>
      <w:spacing w:after="120"/>
    </w:pPr>
    <w:rPr>
      <w:rFonts w:ascii="Arial" w:eastAsia="Calibri" w:hAnsi="Arial" w:cs="Arial"/>
      <w:b/>
      <w:bCs/>
      <w:lang w:val="en-GB" w:eastAsia="en-US"/>
    </w:rPr>
  </w:style>
  <w:style w:type="paragraph" w:customStyle="1" w:styleId="indentedpara">
    <w:name w:val="indentedpara"/>
    <w:basedOn w:val="Normal"/>
    <w:next w:val="Normal"/>
    <w:rsid w:val="00283ED9"/>
    <w:pPr>
      <w:suppressAutoHyphens w:val="0"/>
      <w:spacing w:line="240" w:lineRule="auto"/>
      <w:ind w:left="540"/>
    </w:pPr>
    <w:rPr>
      <w:sz w:val="24"/>
      <w:szCs w:val="22"/>
      <w:lang w:val="en-IE" w:eastAsia="en-GB"/>
    </w:rPr>
  </w:style>
  <w:style w:type="paragraph" w:customStyle="1" w:styleId="Default">
    <w:name w:val="Default"/>
    <w:rsid w:val="008342B8"/>
    <w:pPr>
      <w:autoSpaceDE w:val="0"/>
      <w:autoSpaceDN w:val="0"/>
      <w:adjustRightInd w:val="0"/>
    </w:pPr>
    <w:rPr>
      <w:color w:val="000000"/>
      <w:sz w:val="24"/>
      <w:szCs w:val="24"/>
      <w:lang w:val="en-IE" w:eastAsia="en-US"/>
    </w:rPr>
  </w:style>
  <w:style w:type="paragraph" w:styleId="Commentaire">
    <w:name w:val="annotation text"/>
    <w:basedOn w:val="Normal"/>
    <w:link w:val="CommentaireCar"/>
    <w:rsid w:val="008342B8"/>
    <w:pPr>
      <w:suppressAutoHyphens w:val="0"/>
      <w:spacing w:line="240" w:lineRule="auto"/>
    </w:pPr>
    <w:rPr>
      <w:lang w:val="en-IE"/>
    </w:rPr>
  </w:style>
  <w:style w:type="character" w:customStyle="1" w:styleId="CommentaireCar">
    <w:name w:val="Commentaire Car"/>
    <w:link w:val="Commentaire"/>
    <w:rsid w:val="008342B8"/>
    <w:rPr>
      <w:lang w:val="en-IE" w:eastAsia="en-US"/>
    </w:rPr>
  </w:style>
  <w:style w:type="paragraph" w:styleId="Objetducommentaire">
    <w:name w:val="annotation subject"/>
    <w:basedOn w:val="Commentaire"/>
    <w:next w:val="Commentaire"/>
    <w:link w:val="ObjetducommentaireCar"/>
    <w:rsid w:val="008342B8"/>
    <w:rPr>
      <w:rFonts w:eastAsia="Calibri"/>
      <w:b/>
      <w:bCs/>
      <w:lang w:eastAsia="en-GB"/>
    </w:rPr>
  </w:style>
  <w:style w:type="character" w:customStyle="1" w:styleId="ObjetducommentaireCar">
    <w:name w:val="Objet du commentaire Car"/>
    <w:link w:val="Objetducommentaire"/>
    <w:rsid w:val="008342B8"/>
    <w:rPr>
      <w:rFonts w:eastAsia="Calibri"/>
      <w:b/>
      <w:bCs/>
      <w:lang w:val="en-IE" w:eastAsia="en-US"/>
    </w:rPr>
  </w:style>
  <w:style w:type="character" w:customStyle="1" w:styleId="smallcaps">
    <w:name w:val="smallcaps"/>
    <w:rsid w:val="008342B8"/>
    <w:rPr>
      <w:rFonts w:cs="Times New Roman"/>
    </w:rPr>
  </w:style>
  <w:style w:type="character" w:customStyle="1" w:styleId="Hyperlink1">
    <w:name w:val="Hyperlink1"/>
    <w:rsid w:val="008342B8"/>
    <w:rPr>
      <w:rFonts w:cs="Times New Roman"/>
      <w:color w:val="auto"/>
      <w:u w:val="none"/>
      <w:effect w:val="none"/>
    </w:rPr>
  </w:style>
  <w:style w:type="character" w:styleId="Accentuation">
    <w:name w:val="Emphasis"/>
    <w:qFormat/>
    <w:rsid w:val="008342B8"/>
    <w:rPr>
      <w:rFonts w:cs="Times New Roman"/>
      <w:i/>
      <w:iCs/>
    </w:rPr>
  </w:style>
  <w:style w:type="paragraph" w:customStyle="1" w:styleId="DefaultParagraphFontCharChar">
    <w:name w:val="Default Paragraph Font Char Char"/>
    <w:aliases w:val="Char Char Char Char Char Char Char Char Char Char Char"/>
    <w:basedOn w:val="Normal"/>
    <w:rsid w:val="008342B8"/>
    <w:pPr>
      <w:suppressAutoHyphens w:val="0"/>
      <w:spacing w:after="160" w:line="240" w:lineRule="exact"/>
    </w:pPr>
    <w:rPr>
      <w:rFonts w:ascii="Tahoma" w:eastAsia="Calibri" w:hAnsi="Tahoma" w:cs="Tahoma"/>
    </w:rPr>
  </w:style>
  <w:style w:type="paragraph" w:customStyle="1" w:styleId="bulletpara1">
    <w:name w:val="bulletpara1"/>
    <w:basedOn w:val="numberedpara"/>
    <w:next w:val="Normal"/>
    <w:rsid w:val="008342B8"/>
    <w:pPr>
      <w:numPr>
        <w:numId w:val="4"/>
      </w:numPr>
      <w:tabs>
        <w:tab w:val="clear" w:pos="540"/>
        <w:tab w:val="clear" w:pos="1627"/>
        <w:tab w:val="left" w:pos="1267"/>
      </w:tabs>
      <w:ind w:left="1267"/>
      <w:jc w:val="left"/>
    </w:pPr>
  </w:style>
  <w:style w:type="character" w:customStyle="1" w:styleId="c5">
    <w:name w:val="c5"/>
    <w:rsid w:val="001B2F58"/>
  </w:style>
  <w:style w:type="character" w:customStyle="1" w:styleId="Titre1Car">
    <w:name w:val="Titre 1 Car"/>
    <w:aliases w:val="Table_G Car"/>
    <w:link w:val="Titre1"/>
    <w:rsid w:val="002D302A"/>
    <w:rPr>
      <w:lang w:eastAsia="en-US"/>
    </w:rPr>
  </w:style>
  <w:style w:type="character" w:customStyle="1" w:styleId="Titre2Car">
    <w:name w:val="Titre 2 Car"/>
    <w:link w:val="Titre2"/>
    <w:rsid w:val="002D302A"/>
    <w:rPr>
      <w:lang w:eastAsia="en-US"/>
    </w:rPr>
  </w:style>
  <w:style w:type="character" w:customStyle="1" w:styleId="Titre3Car">
    <w:name w:val="Titre 3 Car"/>
    <w:link w:val="Titre3"/>
    <w:rsid w:val="002D302A"/>
    <w:rPr>
      <w:lang w:eastAsia="en-US"/>
    </w:rPr>
  </w:style>
  <w:style w:type="character" w:customStyle="1" w:styleId="Titre4Car">
    <w:name w:val="Titre 4 Car"/>
    <w:link w:val="Titre4"/>
    <w:rsid w:val="002D302A"/>
    <w:rPr>
      <w:lang w:eastAsia="en-US"/>
    </w:rPr>
  </w:style>
  <w:style w:type="character" w:customStyle="1" w:styleId="Titre5Car">
    <w:name w:val="Titre 5 Car"/>
    <w:link w:val="Titre5"/>
    <w:rsid w:val="002D302A"/>
    <w:rPr>
      <w:lang w:eastAsia="en-US"/>
    </w:rPr>
  </w:style>
  <w:style w:type="character" w:customStyle="1" w:styleId="Titre6Car">
    <w:name w:val="Titre 6 Car"/>
    <w:link w:val="Titre6"/>
    <w:rsid w:val="002D302A"/>
    <w:rPr>
      <w:lang w:eastAsia="en-US"/>
    </w:rPr>
  </w:style>
  <w:style w:type="character" w:customStyle="1" w:styleId="Titre7Car">
    <w:name w:val="Titre 7 Car"/>
    <w:link w:val="Titre7"/>
    <w:rsid w:val="002D302A"/>
    <w:rPr>
      <w:lang w:eastAsia="en-US"/>
    </w:rPr>
  </w:style>
  <w:style w:type="character" w:customStyle="1" w:styleId="Titre8Car">
    <w:name w:val="Titre 8 Car"/>
    <w:link w:val="Titre8"/>
    <w:rsid w:val="002D302A"/>
    <w:rPr>
      <w:lang w:eastAsia="en-US"/>
    </w:rPr>
  </w:style>
  <w:style w:type="character" w:customStyle="1" w:styleId="Titre9Car">
    <w:name w:val="Titre 9 Car"/>
    <w:link w:val="Titre9"/>
    <w:rsid w:val="002D302A"/>
    <w:rPr>
      <w:lang w:eastAsia="en-US"/>
    </w:rPr>
  </w:style>
  <w:style w:type="paragraph" w:styleId="NormalWeb">
    <w:name w:val="Normal (Web)"/>
    <w:basedOn w:val="Normal"/>
    <w:unhideWhenUsed/>
    <w:rsid w:val="002D302A"/>
    <w:pPr>
      <w:suppressAutoHyphens w:val="0"/>
      <w:spacing w:before="100" w:beforeAutospacing="1" w:after="100" w:afterAutospacing="1" w:line="240" w:lineRule="auto"/>
    </w:pPr>
    <w:rPr>
      <w:rFonts w:eastAsia="Calibri"/>
      <w:sz w:val="24"/>
      <w:szCs w:val="24"/>
      <w:lang w:eastAsia="en-GB"/>
    </w:rPr>
  </w:style>
  <w:style w:type="paragraph" w:styleId="TM1">
    <w:name w:val="toc 1"/>
    <w:basedOn w:val="Normal"/>
    <w:next w:val="Normal"/>
    <w:autoRedefine/>
    <w:unhideWhenUsed/>
    <w:rsid w:val="002D302A"/>
    <w:pPr>
      <w:suppressAutoHyphens w:val="0"/>
      <w:spacing w:line="240" w:lineRule="auto"/>
    </w:pPr>
    <w:rPr>
      <w:rFonts w:eastAsia="MS Mincho"/>
      <w:sz w:val="24"/>
      <w:szCs w:val="24"/>
      <w:lang w:eastAsia="ja-JP"/>
    </w:rPr>
  </w:style>
  <w:style w:type="paragraph" w:styleId="TM2">
    <w:name w:val="toc 2"/>
    <w:basedOn w:val="Normal"/>
    <w:next w:val="Normal"/>
    <w:autoRedefine/>
    <w:unhideWhenUsed/>
    <w:rsid w:val="002D302A"/>
    <w:pPr>
      <w:tabs>
        <w:tab w:val="left" w:pos="720"/>
        <w:tab w:val="right" w:leader="dot" w:pos="8640"/>
      </w:tabs>
      <w:suppressAutoHyphens w:val="0"/>
      <w:spacing w:line="240" w:lineRule="auto"/>
      <w:ind w:left="240" w:right="-334"/>
    </w:pPr>
    <w:rPr>
      <w:rFonts w:ascii="Arial" w:eastAsia="MS Mincho" w:hAnsi="Arial" w:cs="Arial"/>
      <w:noProof/>
      <w:szCs w:val="24"/>
      <w:lang w:eastAsia="ja-JP"/>
    </w:rPr>
  </w:style>
  <w:style w:type="paragraph" w:styleId="TM3">
    <w:name w:val="toc 3"/>
    <w:basedOn w:val="Normal"/>
    <w:next w:val="Normal"/>
    <w:autoRedefine/>
    <w:unhideWhenUsed/>
    <w:rsid w:val="002D302A"/>
    <w:pPr>
      <w:suppressAutoHyphens w:val="0"/>
      <w:spacing w:line="240" w:lineRule="auto"/>
      <w:ind w:left="480"/>
    </w:pPr>
    <w:rPr>
      <w:rFonts w:eastAsia="MS Mincho"/>
      <w:sz w:val="24"/>
      <w:szCs w:val="24"/>
      <w:lang w:eastAsia="ja-JP"/>
    </w:rPr>
  </w:style>
  <w:style w:type="paragraph" w:styleId="TM4">
    <w:name w:val="toc 4"/>
    <w:basedOn w:val="Normal"/>
    <w:next w:val="Normal"/>
    <w:autoRedefine/>
    <w:unhideWhenUsed/>
    <w:rsid w:val="002D302A"/>
    <w:pPr>
      <w:suppressAutoHyphens w:val="0"/>
      <w:spacing w:line="240" w:lineRule="auto"/>
      <w:ind w:left="720"/>
    </w:pPr>
    <w:rPr>
      <w:rFonts w:eastAsia="MS Mincho"/>
      <w:sz w:val="24"/>
      <w:szCs w:val="24"/>
      <w:lang w:eastAsia="ja-JP"/>
    </w:rPr>
  </w:style>
  <w:style w:type="paragraph" w:styleId="TM5">
    <w:name w:val="toc 5"/>
    <w:basedOn w:val="Normal"/>
    <w:next w:val="Normal"/>
    <w:autoRedefine/>
    <w:unhideWhenUsed/>
    <w:rsid w:val="002D302A"/>
    <w:pPr>
      <w:suppressAutoHyphens w:val="0"/>
      <w:spacing w:line="240" w:lineRule="auto"/>
      <w:ind w:left="960"/>
    </w:pPr>
    <w:rPr>
      <w:rFonts w:eastAsia="MS Mincho"/>
      <w:sz w:val="24"/>
      <w:szCs w:val="24"/>
      <w:lang w:eastAsia="ja-JP"/>
    </w:rPr>
  </w:style>
  <w:style w:type="paragraph" w:styleId="TM6">
    <w:name w:val="toc 6"/>
    <w:basedOn w:val="Normal"/>
    <w:next w:val="Normal"/>
    <w:autoRedefine/>
    <w:unhideWhenUsed/>
    <w:rsid w:val="002D302A"/>
    <w:pPr>
      <w:suppressAutoHyphens w:val="0"/>
      <w:spacing w:line="240" w:lineRule="auto"/>
      <w:ind w:left="1200"/>
    </w:pPr>
    <w:rPr>
      <w:rFonts w:eastAsia="MS Mincho"/>
      <w:sz w:val="24"/>
      <w:szCs w:val="24"/>
      <w:lang w:eastAsia="ja-JP"/>
    </w:rPr>
  </w:style>
  <w:style w:type="paragraph" w:styleId="TM7">
    <w:name w:val="toc 7"/>
    <w:basedOn w:val="Normal"/>
    <w:next w:val="Normal"/>
    <w:autoRedefine/>
    <w:unhideWhenUsed/>
    <w:rsid w:val="002D302A"/>
    <w:pPr>
      <w:suppressAutoHyphens w:val="0"/>
      <w:spacing w:line="240" w:lineRule="auto"/>
      <w:ind w:left="1440"/>
    </w:pPr>
    <w:rPr>
      <w:rFonts w:eastAsia="MS Mincho"/>
      <w:sz w:val="24"/>
      <w:szCs w:val="24"/>
      <w:lang w:eastAsia="ja-JP"/>
    </w:rPr>
  </w:style>
  <w:style w:type="paragraph" w:styleId="TM8">
    <w:name w:val="toc 8"/>
    <w:basedOn w:val="Normal"/>
    <w:next w:val="Normal"/>
    <w:autoRedefine/>
    <w:unhideWhenUsed/>
    <w:rsid w:val="002D302A"/>
    <w:pPr>
      <w:suppressAutoHyphens w:val="0"/>
      <w:spacing w:line="240" w:lineRule="auto"/>
      <w:ind w:left="1680"/>
    </w:pPr>
    <w:rPr>
      <w:rFonts w:eastAsia="MS Mincho"/>
      <w:sz w:val="24"/>
      <w:szCs w:val="24"/>
      <w:lang w:eastAsia="ja-JP"/>
    </w:rPr>
  </w:style>
  <w:style w:type="paragraph" w:styleId="TM9">
    <w:name w:val="toc 9"/>
    <w:basedOn w:val="Normal"/>
    <w:next w:val="Normal"/>
    <w:autoRedefine/>
    <w:unhideWhenUsed/>
    <w:rsid w:val="002D302A"/>
    <w:pPr>
      <w:suppressAutoHyphens w:val="0"/>
      <w:spacing w:line="240" w:lineRule="auto"/>
      <w:ind w:left="1920"/>
    </w:pPr>
    <w:rPr>
      <w:rFonts w:eastAsia="MS Mincho"/>
      <w:sz w:val="24"/>
      <w:szCs w:val="24"/>
      <w:lang w:eastAsia="ja-JP"/>
    </w:rPr>
  </w:style>
  <w:style w:type="character" w:customStyle="1" w:styleId="PieddepageCar">
    <w:name w:val="Pied de page Car"/>
    <w:aliases w:val="3_G Car"/>
    <w:link w:val="Pieddepage"/>
    <w:rsid w:val="002D302A"/>
    <w:rPr>
      <w:rFonts w:eastAsia="SimSun"/>
      <w:sz w:val="16"/>
    </w:rPr>
  </w:style>
  <w:style w:type="paragraph" w:styleId="Corpsdetexte">
    <w:name w:val="Body Text"/>
    <w:basedOn w:val="Normal"/>
    <w:link w:val="CorpsdetexteCar"/>
    <w:unhideWhenUsed/>
    <w:rsid w:val="002D302A"/>
    <w:pPr>
      <w:shd w:val="clear" w:color="auto" w:fill="D9D9D9"/>
      <w:suppressAutoHyphens w:val="0"/>
      <w:spacing w:line="240" w:lineRule="auto"/>
    </w:pPr>
    <w:rPr>
      <w:rFonts w:ascii="Century Gothic" w:eastAsia="MS Mincho" w:hAnsi="Century Gothic"/>
      <w:b/>
      <w:sz w:val="32"/>
      <w:szCs w:val="32"/>
      <w:lang w:val="en-IE" w:eastAsia="ja-JP"/>
    </w:rPr>
  </w:style>
  <w:style w:type="character" w:customStyle="1" w:styleId="CorpsdetexteCar">
    <w:name w:val="Corps de texte Car"/>
    <w:link w:val="Corpsdetexte"/>
    <w:rsid w:val="002D302A"/>
    <w:rPr>
      <w:rFonts w:ascii="Century Gothic" w:eastAsia="MS Mincho" w:hAnsi="Century Gothic"/>
      <w:b/>
      <w:sz w:val="32"/>
      <w:szCs w:val="32"/>
      <w:shd w:val="clear" w:color="auto" w:fill="D9D9D9"/>
      <w:lang w:val="en-IE" w:eastAsia="ja-JP"/>
    </w:rPr>
  </w:style>
  <w:style w:type="paragraph" w:styleId="Retraitcorpsdetexte">
    <w:name w:val="Body Text Indent"/>
    <w:basedOn w:val="Normal"/>
    <w:link w:val="RetraitcorpsdetexteCar"/>
    <w:unhideWhenUsed/>
    <w:rsid w:val="002D302A"/>
    <w:pPr>
      <w:suppressAutoHyphens w:val="0"/>
      <w:spacing w:line="240" w:lineRule="auto"/>
      <w:ind w:left="900"/>
      <w:jc w:val="both"/>
    </w:pPr>
    <w:rPr>
      <w:rFonts w:ascii="Century Gothic" w:eastAsia="MS Mincho" w:hAnsi="Century Gothic"/>
      <w:lang w:val="en-IE" w:eastAsia="ja-JP"/>
    </w:rPr>
  </w:style>
  <w:style w:type="character" w:customStyle="1" w:styleId="RetraitcorpsdetexteCar">
    <w:name w:val="Retrait corps de texte Car"/>
    <w:link w:val="Retraitcorpsdetexte"/>
    <w:rsid w:val="002D302A"/>
    <w:rPr>
      <w:rFonts w:ascii="Century Gothic" w:eastAsia="MS Mincho" w:hAnsi="Century Gothic"/>
      <w:lang w:val="en-IE" w:eastAsia="ja-JP"/>
    </w:rPr>
  </w:style>
  <w:style w:type="paragraph" w:styleId="Corpsdetexte2">
    <w:name w:val="Body Text 2"/>
    <w:basedOn w:val="Normal"/>
    <w:link w:val="Corpsdetexte2Car"/>
    <w:unhideWhenUsed/>
    <w:rsid w:val="002D302A"/>
    <w:pPr>
      <w:suppressAutoHyphens w:val="0"/>
      <w:spacing w:line="240" w:lineRule="auto"/>
      <w:ind w:right="-334"/>
    </w:pPr>
    <w:rPr>
      <w:rFonts w:ascii="Arial" w:eastAsia="MS Mincho" w:hAnsi="Arial" w:cs="Arial"/>
      <w:szCs w:val="24"/>
      <w:lang w:eastAsia="ja-JP"/>
    </w:rPr>
  </w:style>
  <w:style w:type="character" w:customStyle="1" w:styleId="Corpsdetexte2Car">
    <w:name w:val="Corps de texte 2 Car"/>
    <w:link w:val="Corpsdetexte2"/>
    <w:rsid w:val="002D302A"/>
    <w:rPr>
      <w:rFonts w:ascii="Arial" w:eastAsia="MS Mincho" w:hAnsi="Arial" w:cs="Arial"/>
      <w:szCs w:val="24"/>
      <w:lang w:eastAsia="ja-JP"/>
    </w:rPr>
  </w:style>
  <w:style w:type="paragraph" w:styleId="Corpsdetexte3">
    <w:name w:val="Body Text 3"/>
    <w:basedOn w:val="Normal"/>
    <w:link w:val="Corpsdetexte3Car"/>
    <w:unhideWhenUsed/>
    <w:rsid w:val="002D302A"/>
    <w:pPr>
      <w:suppressAutoHyphens w:val="0"/>
      <w:spacing w:line="240" w:lineRule="auto"/>
      <w:ind w:right="-334"/>
      <w:jc w:val="both"/>
    </w:pPr>
    <w:rPr>
      <w:rFonts w:ascii="Arial" w:eastAsia="MS Mincho" w:hAnsi="Arial" w:cs="Arial"/>
      <w:color w:val="000000"/>
      <w:sz w:val="18"/>
      <w:szCs w:val="16"/>
      <w:lang w:eastAsia="ja-JP"/>
    </w:rPr>
  </w:style>
  <w:style w:type="character" w:customStyle="1" w:styleId="Corpsdetexte3Car">
    <w:name w:val="Corps de texte 3 Car"/>
    <w:link w:val="Corpsdetexte3"/>
    <w:rsid w:val="002D302A"/>
    <w:rPr>
      <w:rFonts w:ascii="Arial" w:eastAsia="MS Mincho" w:hAnsi="Arial" w:cs="Arial"/>
      <w:color w:val="000000"/>
      <w:sz w:val="18"/>
      <w:szCs w:val="16"/>
      <w:lang w:eastAsia="ja-JP"/>
    </w:rPr>
  </w:style>
  <w:style w:type="paragraph" w:styleId="Retraitcorpsdetexte2">
    <w:name w:val="Body Text Indent 2"/>
    <w:basedOn w:val="Normal"/>
    <w:link w:val="Retraitcorpsdetexte2Car"/>
    <w:unhideWhenUsed/>
    <w:rsid w:val="002D302A"/>
    <w:pPr>
      <w:suppressAutoHyphens w:val="0"/>
      <w:spacing w:line="240" w:lineRule="auto"/>
      <w:ind w:left="720"/>
      <w:jc w:val="both"/>
    </w:pPr>
    <w:rPr>
      <w:rFonts w:ascii="Century Gothic" w:eastAsia="MS Mincho" w:hAnsi="Century Gothic"/>
      <w:lang w:val="en-IE" w:eastAsia="ja-JP"/>
    </w:rPr>
  </w:style>
  <w:style w:type="character" w:customStyle="1" w:styleId="Retraitcorpsdetexte2Car">
    <w:name w:val="Retrait corps de texte 2 Car"/>
    <w:link w:val="Retraitcorpsdetexte2"/>
    <w:rsid w:val="002D302A"/>
    <w:rPr>
      <w:rFonts w:ascii="Century Gothic" w:eastAsia="MS Mincho" w:hAnsi="Century Gothic"/>
      <w:lang w:val="en-IE" w:eastAsia="ja-JP"/>
    </w:rPr>
  </w:style>
  <w:style w:type="paragraph" w:styleId="Retraitcorpsdetexte3">
    <w:name w:val="Body Text Indent 3"/>
    <w:basedOn w:val="Normal"/>
    <w:link w:val="Retraitcorpsdetexte3Car"/>
    <w:unhideWhenUsed/>
    <w:rsid w:val="002D302A"/>
    <w:pPr>
      <w:suppressAutoHyphens w:val="0"/>
      <w:spacing w:line="240" w:lineRule="auto"/>
      <w:ind w:left="360" w:hanging="360"/>
    </w:pPr>
    <w:rPr>
      <w:rFonts w:ascii="Arial" w:eastAsia="MS Mincho" w:hAnsi="Arial" w:cs="Arial"/>
      <w:color w:val="000000"/>
      <w:sz w:val="18"/>
      <w:szCs w:val="16"/>
      <w:lang w:eastAsia="ja-JP"/>
    </w:rPr>
  </w:style>
  <w:style w:type="character" w:customStyle="1" w:styleId="Retraitcorpsdetexte3Car">
    <w:name w:val="Retrait corps de texte 3 Car"/>
    <w:link w:val="Retraitcorpsdetexte3"/>
    <w:rsid w:val="002D302A"/>
    <w:rPr>
      <w:rFonts w:ascii="Arial" w:eastAsia="MS Mincho" w:hAnsi="Arial" w:cs="Arial"/>
      <w:color w:val="000000"/>
      <w:sz w:val="18"/>
      <w:szCs w:val="16"/>
      <w:lang w:eastAsia="ja-JP"/>
    </w:rPr>
  </w:style>
  <w:style w:type="paragraph" w:styleId="Normalcentr">
    <w:name w:val="Block Text"/>
    <w:basedOn w:val="Normal"/>
    <w:unhideWhenUsed/>
    <w:rsid w:val="002D302A"/>
    <w:pPr>
      <w:suppressAutoHyphens w:val="0"/>
      <w:spacing w:line="240" w:lineRule="auto"/>
      <w:ind w:left="720" w:right="-334"/>
      <w:jc w:val="both"/>
    </w:pPr>
    <w:rPr>
      <w:rFonts w:ascii="Arial" w:eastAsia="MS Mincho" w:hAnsi="Arial" w:cs="Arial"/>
      <w:lang w:val="en-IE" w:eastAsia="ja-JP"/>
    </w:rPr>
  </w:style>
  <w:style w:type="paragraph" w:styleId="Textedebulles">
    <w:name w:val="Balloon Text"/>
    <w:basedOn w:val="Normal"/>
    <w:link w:val="TextedebullesCar"/>
    <w:unhideWhenUsed/>
    <w:rsid w:val="002D302A"/>
    <w:pPr>
      <w:suppressAutoHyphens w:val="0"/>
      <w:spacing w:line="240" w:lineRule="auto"/>
    </w:pPr>
    <w:rPr>
      <w:rFonts w:ascii="Tahoma" w:eastAsia="MS Mincho" w:hAnsi="Tahoma" w:cs="Tahoma"/>
      <w:sz w:val="16"/>
      <w:szCs w:val="16"/>
      <w:lang w:eastAsia="ja-JP"/>
    </w:rPr>
  </w:style>
  <w:style w:type="character" w:customStyle="1" w:styleId="TextedebullesCar">
    <w:name w:val="Texte de bulles Car"/>
    <w:link w:val="Textedebulles"/>
    <w:rsid w:val="002D302A"/>
    <w:rPr>
      <w:rFonts w:ascii="Tahoma" w:eastAsia="MS Mincho" w:hAnsi="Tahoma" w:cs="Tahoma"/>
      <w:sz w:val="16"/>
      <w:szCs w:val="16"/>
      <w:lang w:eastAsia="ja-JP"/>
    </w:rPr>
  </w:style>
  <w:style w:type="paragraph" w:customStyle="1" w:styleId="tabletitle0">
    <w:name w:val="table title"/>
    <w:basedOn w:val="Normal"/>
    <w:rsid w:val="002D302A"/>
    <w:pPr>
      <w:suppressAutoHyphens w:val="0"/>
      <w:spacing w:after="80" w:line="240" w:lineRule="auto"/>
    </w:pPr>
    <w:rPr>
      <w:rFonts w:ascii="Arial Bold" w:hAnsi="Arial Bold" w:cs="Arial"/>
      <w:b/>
      <w:sz w:val="18"/>
      <w:szCs w:val="16"/>
    </w:rPr>
  </w:style>
  <w:style w:type="paragraph" w:customStyle="1" w:styleId="DStable">
    <w:name w:val="DS table"/>
    <w:basedOn w:val="Normal"/>
    <w:rsid w:val="002D302A"/>
    <w:pPr>
      <w:tabs>
        <w:tab w:val="left" w:pos="1440"/>
      </w:tabs>
      <w:suppressAutoHyphens w:val="0"/>
      <w:spacing w:before="40" w:after="40" w:line="240" w:lineRule="auto"/>
      <w:ind w:right="688"/>
    </w:pPr>
    <w:rPr>
      <w:rFonts w:ascii="Arial" w:hAnsi="Arial" w:cs="Arial"/>
      <w:noProof/>
      <w:sz w:val="18"/>
      <w:szCs w:val="18"/>
      <w:lang w:val="en-IE" w:eastAsia="en-IE"/>
    </w:rPr>
  </w:style>
  <w:style w:type="paragraph" w:customStyle="1" w:styleId="tableclause">
    <w:name w:val="tableclause"/>
    <w:basedOn w:val="Normal"/>
    <w:rsid w:val="002D302A"/>
    <w:pPr>
      <w:suppressAutoHyphens w:val="0"/>
      <w:spacing w:after="160" w:line="240" w:lineRule="auto"/>
      <w:ind w:left="907" w:right="-331" w:hanging="907"/>
    </w:pPr>
    <w:rPr>
      <w:rFonts w:ascii="Arial Bold" w:eastAsia="MS Mincho" w:hAnsi="Arial Bold" w:cs="Arial"/>
      <w:b/>
      <w:color w:val="3366FF"/>
      <w:lang w:val="en-IE" w:eastAsia="ja-JP"/>
    </w:rPr>
  </w:style>
  <w:style w:type="paragraph" w:customStyle="1" w:styleId="tablemainhead">
    <w:name w:val="tablemainhead"/>
    <w:basedOn w:val="Normal"/>
    <w:rsid w:val="002D302A"/>
    <w:pPr>
      <w:shd w:val="clear" w:color="auto" w:fill="CCCCCC"/>
      <w:tabs>
        <w:tab w:val="left" w:pos="360"/>
      </w:tabs>
      <w:suppressAutoHyphens w:val="0"/>
      <w:spacing w:line="240" w:lineRule="auto"/>
      <w:ind w:left="360" w:right="-331" w:hanging="360"/>
    </w:pPr>
    <w:rPr>
      <w:rFonts w:ascii="Arial Bold" w:eastAsia="MS Mincho" w:hAnsi="Arial Bold" w:cs="Arial"/>
      <w:b/>
      <w:color w:val="0000FF"/>
      <w:sz w:val="24"/>
      <w:szCs w:val="24"/>
      <w:lang w:val="en-IE" w:eastAsia="ja-JP"/>
    </w:rPr>
  </w:style>
  <w:style w:type="character" w:styleId="Marquedecommentaire">
    <w:name w:val="annotation reference"/>
    <w:unhideWhenUsed/>
    <w:rsid w:val="002D302A"/>
    <w:rPr>
      <w:sz w:val="16"/>
      <w:szCs w:val="16"/>
    </w:rPr>
  </w:style>
  <w:style w:type="character" w:customStyle="1" w:styleId="en">
    <w:name w:val="en"/>
    <w:rsid w:val="009D119F"/>
  </w:style>
  <w:style w:type="paragraph" w:styleId="Rvision">
    <w:name w:val="Revision"/>
    <w:hidden/>
    <w:uiPriority w:val="99"/>
    <w:semiHidden/>
    <w:rsid w:val="000213B3"/>
    <w:rPr>
      <w:lang w:val="en-GB" w:eastAsia="en-US"/>
    </w:rPr>
  </w:style>
  <w:style w:type="character" w:customStyle="1" w:styleId="apple-converted-space">
    <w:name w:val="apple-converted-space"/>
    <w:rsid w:val="0080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1340">
      <w:bodyDiv w:val="1"/>
      <w:marLeft w:val="0"/>
      <w:marRight w:val="0"/>
      <w:marTop w:val="0"/>
      <w:marBottom w:val="0"/>
      <w:divBdr>
        <w:top w:val="none" w:sz="0" w:space="0" w:color="auto"/>
        <w:left w:val="none" w:sz="0" w:space="0" w:color="auto"/>
        <w:bottom w:val="none" w:sz="0" w:space="0" w:color="auto"/>
        <w:right w:val="none" w:sz="0" w:space="0" w:color="auto"/>
      </w:divBdr>
      <w:divsChild>
        <w:div w:id="352608024">
          <w:marLeft w:val="0"/>
          <w:marRight w:val="0"/>
          <w:marTop w:val="0"/>
          <w:marBottom w:val="0"/>
          <w:divBdr>
            <w:top w:val="single" w:sz="12" w:space="0" w:color="D2D2D2"/>
            <w:left w:val="single" w:sz="12" w:space="0" w:color="D2D2D2"/>
            <w:bottom w:val="single" w:sz="12" w:space="0" w:color="D2D2D2"/>
            <w:right w:val="single" w:sz="12" w:space="0" w:color="D2D2D2"/>
          </w:divBdr>
          <w:divsChild>
            <w:div w:id="1896088646">
              <w:marLeft w:val="0"/>
              <w:marRight w:val="0"/>
              <w:marTop w:val="0"/>
              <w:marBottom w:val="0"/>
              <w:divBdr>
                <w:top w:val="none" w:sz="0" w:space="0" w:color="auto"/>
                <w:left w:val="none" w:sz="0" w:space="0" w:color="auto"/>
                <w:bottom w:val="none" w:sz="0" w:space="0" w:color="auto"/>
                <w:right w:val="none" w:sz="0" w:space="0" w:color="auto"/>
              </w:divBdr>
            </w:div>
            <w:div w:id="210148950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084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cya.ie" TargetMode="External"/><Relationship Id="rId18" Type="http://schemas.openxmlformats.org/officeDocument/2006/relationships/hyperlink" Target="http://www.letsomeoneknow.ie" TargetMode="External"/><Relationship Id="rId26" Type="http://schemas.openxmlformats.org/officeDocument/2006/relationships/hyperlink" Target="http://www.ispcc.ie" TargetMode="External"/><Relationship Id="rId39" Type="http://schemas.openxmlformats.org/officeDocument/2006/relationships/hyperlink" Target="http://www.blueblindfold.gov.ie" TargetMode="External"/><Relationship Id="rId3" Type="http://schemas.openxmlformats.org/officeDocument/2006/relationships/styles" Target="styles.xml"/><Relationship Id="rId21" Type="http://schemas.openxmlformats.org/officeDocument/2006/relationships/hyperlink" Target="http://www.bai.ie" TargetMode="External"/><Relationship Id="rId34" Type="http://schemas.openxmlformats.org/officeDocument/2006/relationships/hyperlink" Target="http://www.b4udecide.ie"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lueblindfold.gov.ie" TargetMode="External"/><Relationship Id="rId17" Type="http://schemas.openxmlformats.org/officeDocument/2006/relationships/hyperlink" Target="http://www.inspire.ie" TargetMode="External"/><Relationship Id="rId25" Type="http://schemas.openxmlformats.org/officeDocument/2006/relationships/hyperlink" Target="http://www.webwise.ie" TargetMode="External"/><Relationship Id="rId33" Type="http://schemas.openxmlformats.org/officeDocument/2006/relationships/hyperlink" Target="http://www.getactive.ie" TargetMode="External"/><Relationship Id="rId38" Type="http://schemas.openxmlformats.org/officeDocument/2006/relationships/hyperlink" Target="http://www.blueblindfold.gov.i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easeTalk.ie" TargetMode="External"/><Relationship Id="rId20" Type="http://schemas.openxmlformats.org/officeDocument/2006/relationships/hyperlink" Target="http://www.letsomeoneknow.ie/home/video/" TargetMode="External"/><Relationship Id="rId29" Type="http://schemas.openxmlformats.org/officeDocument/2006/relationships/hyperlink" Target="http://www.hiqa.i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4udecide.ie" TargetMode="External"/><Relationship Id="rId24" Type="http://schemas.openxmlformats.org/officeDocument/2006/relationships/hyperlink" Target="http://www.ncte.ie" TargetMode="External"/><Relationship Id="rId32" Type="http://schemas.openxmlformats.org/officeDocument/2006/relationships/hyperlink" Target="http://www.getactive.ie" TargetMode="External"/><Relationship Id="rId37" Type="http://schemas.openxmlformats.org/officeDocument/2006/relationships/hyperlink" Target="http://www.artscouncil.ie"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punout.ie" TargetMode="External"/><Relationship Id="rId23" Type="http://schemas.openxmlformats.org/officeDocument/2006/relationships/hyperlink" Target="http://www.inhope.org" TargetMode="External"/><Relationship Id="rId28" Type="http://schemas.openxmlformats.org/officeDocument/2006/relationships/hyperlink" Target="http://www.npc.ie" TargetMode="External"/><Relationship Id="rId36" Type="http://schemas.openxmlformats.org/officeDocument/2006/relationships/hyperlink" Target="http://www.liftoffschools.com" TargetMode="External"/><Relationship Id="rId10" Type="http://schemas.openxmlformats.org/officeDocument/2006/relationships/hyperlink" Target="http://www.growingup.ie" TargetMode="External"/><Relationship Id="rId19" Type="http://schemas.openxmlformats.org/officeDocument/2006/relationships/hyperlink" Target="http://www.dcya.ie" TargetMode="External"/><Relationship Id="rId31" Type="http://schemas.openxmlformats.org/officeDocument/2006/relationships/hyperlink" Target="http://www.breastfeeding.ie"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dcya.ie" TargetMode="External"/><Relationship Id="rId22" Type="http://schemas.openxmlformats.org/officeDocument/2006/relationships/hyperlink" Target="http://www.hotline.ie" TargetMode="External"/><Relationship Id="rId27" Type="http://schemas.openxmlformats.org/officeDocument/2006/relationships/hyperlink" Target="http://www.childline.ie" TargetMode="External"/><Relationship Id="rId30" Type="http://schemas.openxmlformats.org/officeDocument/2006/relationships/hyperlink" Target="file:///C:\Users\Aleman\AppData\Documents%20and%20Settings\mcnamaras\Documents%20and%20Settings\mcnamaras\Local%20Settings\Temp\notes284DE6\www.dohc.ie\publications\int_report_sg_reviewMHA.html" TargetMode="External"/><Relationship Id="rId35" Type="http://schemas.openxmlformats.org/officeDocument/2006/relationships/hyperlink" Target="http://www.separatedchildrenservice.ie" TargetMode="External"/><Relationship Id="rId43"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FD39-F5E3-47D5-A916-00507ED9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160</Pages>
  <Words>84070</Words>
  <Characters>479203</Characters>
  <Application>Microsoft Office Word</Application>
  <DocSecurity>0</DocSecurity>
  <Lines>3993</Lines>
  <Paragraphs>1124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CSD</Company>
  <LinksUpToDate>false</LinksUpToDate>
  <CharactersWithSpaces>562149</CharactersWithSpaces>
  <SharedDoc>false</SharedDoc>
  <HLinks>
    <vt:vector size="180" baseType="variant">
      <vt:variant>
        <vt:i4>983131</vt:i4>
      </vt:variant>
      <vt:variant>
        <vt:i4>87</vt:i4>
      </vt:variant>
      <vt:variant>
        <vt:i4>0</vt:i4>
      </vt:variant>
      <vt:variant>
        <vt:i4>5</vt:i4>
      </vt:variant>
      <vt:variant>
        <vt:lpwstr>http://www.blueblindfold.gov.ie/</vt:lpwstr>
      </vt:variant>
      <vt:variant>
        <vt:lpwstr/>
      </vt:variant>
      <vt:variant>
        <vt:i4>983131</vt:i4>
      </vt:variant>
      <vt:variant>
        <vt:i4>84</vt:i4>
      </vt:variant>
      <vt:variant>
        <vt:i4>0</vt:i4>
      </vt:variant>
      <vt:variant>
        <vt:i4>5</vt:i4>
      </vt:variant>
      <vt:variant>
        <vt:lpwstr>http://www.blueblindfold.gov.ie/</vt:lpwstr>
      </vt:variant>
      <vt:variant>
        <vt:lpwstr/>
      </vt:variant>
      <vt:variant>
        <vt:i4>6357106</vt:i4>
      </vt:variant>
      <vt:variant>
        <vt:i4>81</vt:i4>
      </vt:variant>
      <vt:variant>
        <vt:i4>0</vt:i4>
      </vt:variant>
      <vt:variant>
        <vt:i4>5</vt:i4>
      </vt:variant>
      <vt:variant>
        <vt:lpwstr>http://www.artscouncil.ie/</vt:lpwstr>
      </vt:variant>
      <vt:variant>
        <vt:lpwstr/>
      </vt:variant>
      <vt:variant>
        <vt:i4>2490402</vt:i4>
      </vt:variant>
      <vt:variant>
        <vt:i4>78</vt:i4>
      </vt:variant>
      <vt:variant>
        <vt:i4>0</vt:i4>
      </vt:variant>
      <vt:variant>
        <vt:i4>5</vt:i4>
      </vt:variant>
      <vt:variant>
        <vt:lpwstr>http://www.liftoffschools.com/</vt:lpwstr>
      </vt:variant>
      <vt:variant>
        <vt:lpwstr/>
      </vt:variant>
      <vt:variant>
        <vt:i4>6881343</vt:i4>
      </vt:variant>
      <vt:variant>
        <vt:i4>75</vt:i4>
      </vt:variant>
      <vt:variant>
        <vt:i4>0</vt:i4>
      </vt:variant>
      <vt:variant>
        <vt:i4>5</vt:i4>
      </vt:variant>
      <vt:variant>
        <vt:lpwstr>http://www.separatedchildrenservice.ie/</vt:lpwstr>
      </vt:variant>
      <vt:variant>
        <vt:lpwstr/>
      </vt:variant>
      <vt:variant>
        <vt:i4>1245260</vt:i4>
      </vt:variant>
      <vt:variant>
        <vt:i4>72</vt:i4>
      </vt:variant>
      <vt:variant>
        <vt:i4>0</vt:i4>
      </vt:variant>
      <vt:variant>
        <vt:i4>5</vt:i4>
      </vt:variant>
      <vt:variant>
        <vt:lpwstr>http://www.b4udecide.ie/</vt:lpwstr>
      </vt:variant>
      <vt:variant>
        <vt:lpwstr/>
      </vt:variant>
      <vt:variant>
        <vt:i4>1114141</vt:i4>
      </vt:variant>
      <vt:variant>
        <vt:i4>69</vt:i4>
      </vt:variant>
      <vt:variant>
        <vt:i4>0</vt:i4>
      </vt:variant>
      <vt:variant>
        <vt:i4>5</vt:i4>
      </vt:variant>
      <vt:variant>
        <vt:lpwstr>http://www.getactive.ie/</vt:lpwstr>
      </vt:variant>
      <vt:variant>
        <vt:lpwstr/>
      </vt:variant>
      <vt:variant>
        <vt:i4>1114141</vt:i4>
      </vt:variant>
      <vt:variant>
        <vt:i4>66</vt:i4>
      </vt:variant>
      <vt:variant>
        <vt:i4>0</vt:i4>
      </vt:variant>
      <vt:variant>
        <vt:i4>5</vt:i4>
      </vt:variant>
      <vt:variant>
        <vt:lpwstr>http://www.getactive.ie/</vt:lpwstr>
      </vt:variant>
      <vt:variant>
        <vt:lpwstr/>
      </vt:variant>
      <vt:variant>
        <vt:i4>1310739</vt:i4>
      </vt:variant>
      <vt:variant>
        <vt:i4>63</vt:i4>
      </vt:variant>
      <vt:variant>
        <vt:i4>0</vt:i4>
      </vt:variant>
      <vt:variant>
        <vt:i4>5</vt:i4>
      </vt:variant>
      <vt:variant>
        <vt:lpwstr>http://www.breastfeeding.ie/</vt:lpwstr>
      </vt:variant>
      <vt:variant>
        <vt:lpwstr/>
      </vt:variant>
      <vt:variant>
        <vt:i4>1966143</vt:i4>
      </vt:variant>
      <vt:variant>
        <vt:i4>60</vt:i4>
      </vt:variant>
      <vt:variant>
        <vt:i4>0</vt:i4>
      </vt:variant>
      <vt:variant>
        <vt:i4>5</vt:i4>
      </vt:variant>
      <vt:variant>
        <vt:lpwstr>../../../Documents and Settings/mcnamaras/Documents and Settings/mcnamaras/Local Settings/Temp/notes284DE6/www.dohc.ie/publications/int_report_sg_reviewMHA.html</vt:lpwstr>
      </vt:variant>
      <vt:variant>
        <vt:lpwstr/>
      </vt:variant>
      <vt:variant>
        <vt:i4>7929905</vt:i4>
      </vt:variant>
      <vt:variant>
        <vt:i4>57</vt:i4>
      </vt:variant>
      <vt:variant>
        <vt:i4>0</vt:i4>
      </vt:variant>
      <vt:variant>
        <vt:i4>5</vt:i4>
      </vt:variant>
      <vt:variant>
        <vt:lpwstr>http://www.hiqa.ie/</vt:lpwstr>
      </vt:variant>
      <vt:variant>
        <vt:lpwstr/>
      </vt:variant>
      <vt:variant>
        <vt:i4>6291563</vt:i4>
      </vt:variant>
      <vt:variant>
        <vt:i4>54</vt:i4>
      </vt:variant>
      <vt:variant>
        <vt:i4>0</vt:i4>
      </vt:variant>
      <vt:variant>
        <vt:i4>5</vt:i4>
      </vt:variant>
      <vt:variant>
        <vt:lpwstr>http://www.npc.ie/</vt:lpwstr>
      </vt:variant>
      <vt:variant>
        <vt:lpwstr/>
      </vt:variant>
      <vt:variant>
        <vt:i4>983069</vt:i4>
      </vt:variant>
      <vt:variant>
        <vt:i4>51</vt:i4>
      </vt:variant>
      <vt:variant>
        <vt:i4>0</vt:i4>
      </vt:variant>
      <vt:variant>
        <vt:i4>5</vt:i4>
      </vt:variant>
      <vt:variant>
        <vt:lpwstr>http://www.childline.ie/</vt:lpwstr>
      </vt:variant>
      <vt:variant>
        <vt:lpwstr/>
      </vt:variant>
      <vt:variant>
        <vt:i4>1507339</vt:i4>
      </vt:variant>
      <vt:variant>
        <vt:i4>48</vt:i4>
      </vt:variant>
      <vt:variant>
        <vt:i4>0</vt:i4>
      </vt:variant>
      <vt:variant>
        <vt:i4>5</vt:i4>
      </vt:variant>
      <vt:variant>
        <vt:lpwstr>http://www.ispcc.ie/</vt:lpwstr>
      </vt:variant>
      <vt:variant>
        <vt:lpwstr/>
      </vt:variant>
      <vt:variant>
        <vt:i4>7602298</vt:i4>
      </vt:variant>
      <vt:variant>
        <vt:i4>45</vt:i4>
      </vt:variant>
      <vt:variant>
        <vt:i4>0</vt:i4>
      </vt:variant>
      <vt:variant>
        <vt:i4>5</vt:i4>
      </vt:variant>
      <vt:variant>
        <vt:lpwstr>http://www.webwise.ie/</vt:lpwstr>
      </vt:variant>
      <vt:variant>
        <vt:lpwstr/>
      </vt:variant>
      <vt:variant>
        <vt:i4>7995455</vt:i4>
      </vt:variant>
      <vt:variant>
        <vt:i4>42</vt:i4>
      </vt:variant>
      <vt:variant>
        <vt:i4>0</vt:i4>
      </vt:variant>
      <vt:variant>
        <vt:i4>5</vt:i4>
      </vt:variant>
      <vt:variant>
        <vt:lpwstr>http://www.ncte.ie/</vt:lpwstr>
      </vt:variant>
      <vt:variant>
        <vt:lpwstr/>
      </vt:variant>
      <vt:variant>
        <vt:i4>2687036</vt:i4>
      </vt:variant>
      <vt:variant>
        <vt:i4>39</vt:i4>
      </vt:variant>
      <vt:variant>
        <vt:i4>0</vt:i4>
      </vt:variant>
      <vt:variant>
        <vt:i4>5</vt:i4>
      </vt:variant>
      <vt:variant>
        <vt:lpwstr>http://www.inhope.org/</vt:lpwstr>
      </vt:variant>
      <vt:variant>
        <vt:lpwstr/>
      </vt:variant>
      <vt:variant>
        <vt:i4>8192118</vt:i4>
      </vt:variant>
      <vt:variant>
        <vt:i4>36</vt:i4>
      </vt:variant>
      <vt:variant>
        <vt:i4>0</vt:i4>
      </vt:variant>
      <vt:variant>
        <vt:i4>5</vt:i4>
      </vt:variant>
      <vt:variant>
        <vt:lpwstr>http://www.hotline.ie/</vt:lpwstr>
      </vt:variant>
      <vt:variant>
        <vt:lpwstr/>
      </vt:variant>
      <vt:variant>
        <vt:i4>6684794</vt:i4>
      </vt:variant>
      <vt:variant>
        <vt:i4>33</vt:i4>
      </vt:variant>
      <vt:variant>
        <vt:i4>0</vt:i4>
      </vt:variant>
      <vt:variant>
        <vt:i4>5</vt:i4>
      </vt:variant>
      <vt:variant>
        <vt:lpwstr>http://www.bai.ie/</vt:lpwstr>
      </vt:variant>
      <vt:variant>
        <vt:lpwstr/>
      </vt:variant>
      <vt:variant>
        <vt:i4>1114121</vt:i4>
      </vt:variant>
      <vt:variant>
        <vt:i4>30</vt:i4>
      </vt:variant>
      <vt:variant>
        <vt:i4>0</vt:i4>
      </vt:variant>
      <vt:variant>
        <vt:i4>5</vt:i4>
      </vt:variant>
      <vt:variant>
        <vt:lpwstr>http://www.letsomeoneknow.ie/home/video/</vt:lpwstr>
      </vt:variant>
      <vt:variant>
        <vt:lpwstr/>
      </vt:variant>
      <vt:variant>
        <vt:i4>8192059</vt:i4>
      </vt:variant>
      <vt:variant>
        <vt:i4>27</vt:i4>
      </vt:variant>
      <vt:variant>
        <vt:i4>0</vt:i4>
      </vt:variant>
      <vt:variant>
        <vt:i4>5</vt:i4>
      </vt:variant>
      <vt:variant>
        <vt:lpwstr>http://www.dcya.ie/</vt:lpwstr>
      </vt:variant>
      <vt:variant>
        <vt:lpwstr/>
      </vt:variant>
      <vt:variant>
        <vt:i4>1572945</vt:i4>
      </vt:variant>
      <vt:variant>
        <vt:i4>24</vt:i4>
      </vt:variant>
      <vt:variant>
        <vt:i4>0</vt:i4>
      </vt:variant>
      <vt:variant>
        <vt:i4>5</vt:i4>
      </vt:variant>
      <vt:variant>
        <vt:lpwstr>http://www.letsomeoneknow.ie/</vt:lpwstr>
      </vt:variant>
      <vt:variant>
        <vt:lpwstr/>
      </vt:variant>
      <vt:variant>
        <vt:i4>8061047</vt:i4>
      </vt:variant>
      <vt:variant>
        <vt:i4>21</vt:i4>
      </vt:variant>
      <vt:variant>
        <vt:i4>0</vt:i4>
      </vt:variant>
      <vt:variant>
        <vt:i4>5</vt:i4>
      </vt:variant>
      <vt:variant>
        <vt:lpwstr>http://www.inspire.ie/</vt:lpwstr>
      </vt:variant>
      <vt:variant>
        <vt:lpwstr/>
      </vt:variant>
      <vt:variant>
        <vt:i4>1966171</vt:i4>
      </vt:variant>
      <vt:variant>
        <vt:i4>18</vt:i4>
      </vt:variant>
      <vt:variant>
        <vt:i4>0</vt:i4>
      </vt:variant>
      <vt:variant>
        <vt:i4>5</vt:i4>
      </vt:variant>
      <vt:variant>
        <vt:lpwstr>http://www.pleasetalk.ie/</vt:lpwstr>
      </vt:variant>
      <vt:variant>
        <vt:lpwstr/>
      </vt:variant>
      <vt:variant>
        <vt:i4>7340144</vt:i4>
      </vt:variant>
      <vt:variant>
        <vt:i4>15</vt:i4>
      </vt:variant>
      <vt:variant>
        <vt:i4>0</vt:i4>
      </vt:variant>
      <vt:variant>
        <vt:i4>5</vt:i4>
      </vt:variant>
      <vt:variant>
        <vt:lpwstr>http://www.spunout.ie/</vt:lpwstr>
      </vt:variant>
      <vt:variant>
        <vt:lpwstr/>
      </vt:variant>
      <vt:variant>
        <vt:i4>8192059</vt:i4>
      </vt:variant>
      <vt:variant>
        <vt:i4>12</vt:i4>
      </vt:variant>
      <vt:variant>
        <vt:i4>0</vt:i4>
      </vt:variant>
      <vt:variant>
        <vt:i4>5</vt:i4>
      </vt:variant>
      <vt:variant>
        <vt:lpwstr>http://www.dcya.ie/</vt:lpwstr>
      </vt:variant>
      <vt:variant>
        <vt:lpwstr/>
      </vt:variant>
      <vt:variant>
        <vt:i4>8192059</vt:i4>
      </vt:variant>
      <vt:variant>
        <vt:i4>9</vt:i4>
      </vt:variant>
      <vt:variant>
        <vt:i4>0</vt:i4>
      </vt:variant>
      <vt:variant>
        <vt:i4>5</vt:i4>
      </vt:variant>
      <vt:variant>
        <vt:lpwstr>http://www.dcya.ie/</vt:lpwstr>
      </vt:variant>
      <vt:variant>
        <vt:lpwstr/>
      </vt:variant>
      <vt:variant>
        <vt:i4>983131</vt:i4>
      </vt:variant>
      <vt:variant>
        <vt:i4>6</vt:i4>
      </vt:variant>
      <vt:variant>
        <vt:i4>0</vt:i4>
      </vt:variant>
      <vt:variant>
        <vt:i4>5</vt:i4>
      </vt:variant>
      <vt:variant>
        <vt:lpwstr>http://www.blueblindfold.gov.ie/</vt:lpwstr>
      </vt:variant>
      <vt:variant>
        <vt:lpwstr/>
      </vt:variant>
      <vt:variant>
        <vt:i4>1245260</vt:i4>
      </vt:variant>
      <vt:variant>
        <vt:i4>3</vt:i4>
      </vt:variant>
      <vt:variant>
        <vt:i4>0</vt:i4>
      </vt:variant>
      <vt:variant>
        <vt:i4>5</vt:i4>
      </vt:variant>
      <vt:variant>
        <vt:lpwstr>http://www.b4udecide.ie/</vt:lpwstr>
      </vt:variant>
      <vt:variant>
        <vt:lpwstr/>
      </vt:variant>
      <vt:variant>
        <vt:i4>1769477</vt:i4>
      </vt:variant>
      <vt:variant>
        <vt:i4>0</vt:i4>
      </vt:variant>
      <vt:variant>
        <vt:i4>0</vt:i4>
      </vt:variant>
      <vt:variant>
        <vt:i4>5</vt:i4>
      </vt:variant>
      <vt:variant>
        <vt:lpwstr>http://www.growingup.ie/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Ouko</dc:creator>
  <cp:lastModifiedBy>Robert Corinne</cp:lastModifiedBy>
  <cp:revision>2</cp:revision>
  <cp:lastPrinted>2015-06-15T10:02:00Z</cp:lastPrinted>
  <dcterms:created xsi:type="dcterms:W3CDTF">2015-06-15T10:02:00Z</dcterms:created>
  <dcterms:modified xsi:type="dcterms:W3CDTF">2015-06-15T10:02:00Z</dcterms:modified>
</cp:coreProperties>
</file>