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28F01C8C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0A49A1F" w14:textId="77777777" w:rsidR="002D5AAC" w:rsidRDefault="002D5AAC" w:rsidP="001D78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05B97BE5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37D2B17F" w14:textId="7952602A" w:rsidR="002D5AAC" w:rsidRDefault="001D7819" w:rsidP="001D7819">
            <w:pPr>
              <w:jc w:val="right"/>
            </w:pPr>
            <w:r w:rsidRPr="001D7819">
              <w:rPr>
                <w:sz w:val="40"/>
              </w:rPr>
              <w:t>CCPR</w:t>
            </w:r>
            <w:r w:rsidRPr="001D7819">
              <w:t>/C/DEU/CO/7</w:t>
            </w:r>
          </w:p>
        </w:tc>
      </w:tr>
      <w:tr w:rsidR="002D5AAC" w:rsidRPr="006F54A7" w14:paraId="1D024A07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83DE4F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B6418AA" wp14:editId="3A1302E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F4400F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F4ED76C" w14:textId="77777777" w:rsidR="002D5AAC" w:rsidRPr="00295F3B" w:rsidRDefault="001D7819" w:rsidP="00BC3629">
            <w:pPr>
              <w:spacing w:before="240"/>
              <w:rPr>
                <w:lang w:val="en-US"/>
              </w:rPr>
            </w:pPr>
            <w:r w:rsidRPr="00295F3B">
              <w:rPr>
                <w:lang w:val="en-US"/>
              </w:rPr>
              <w:t>Distr.: General</w:t>
            </w:r>
          </w:p>
          <w:p w14:paraId="052BD7D0" w14:textId="77777777" w:rsidR="001D7819" w:rsidRPr="00295F3B" w:rsidRDefault="001D7819" w:rsidP="001D7819">
            <w:pPr>
              <w:spacing w:line="240" w:lineRule="exact"/>
              <w:rPr>
                <w:lang w:val="en-US"/>
              </w:rPr>
            </w:pPr>
            <w:r w:rsidRPr="00295F3B">
              <w:rPr>
                <w:lang w:val="en-US"/>
              </w:rPr>
              <w:t>30 November 2021</w:t>
            </w:r>
          </w:p>
          <w:p w14:paraId="2274A85A" w14:textId="77777777" w:rsidR="001D7819" w:rsidRPr="00295F3B" w:rsidRDefault="001D7819" w:rsidP="001D7819">
            <w:pPr>
              <w:spacing w:line="240" w:lineRule="exact"/>
              <w:rPr>
                <w:lang w:val="en-US"/>
              </w:rPr>
            </w:pPr>
            <w:r w:rsidRPr="00295F3B">
              <w:rPr>
                <w:lang w:val="en-US"/>
              </w:rPr>
              <w:t>Russian</w:t>
            </w:r>
          </w:p>
          <w:p w14:paraId="0C4A649B" w14:textId="5EF48386" w:rsidR="001D7819" w:rsidRPr="00295F3B" w:rsidRDefault="001D7819" w:rsidP="001D7819">
            <w:pPr>
              <w:spacing w:line="240" w:lineRule="exact"/>
              <w:rPr>
                <w:lang w:val="en-US"/>
              </w:rPr>
            </w:pPr>
            <w:r w:rsidRPr="00295F3B">
              <w:rPr>
                <w:lang w:val="en-US"/>
              </w:rPr>
              <w:t>Original: English</w:t>
            </w:r>
          </w:p>
        </w:tc>
      </w:tr>
    </w:tbl>
    <w:p w14:paraId="0886414B" w14:textId="77777777" w:rsidR="001D7819" w:rsidRPr="007211C4" w:rsidRDefault="001D7819" w:rsidP="001D7819">
      <w:pPr>
        <w:spacing w:before="120"/>
        <w:rPr>
          <w:b/>
          <w:sz w:val="24"/>
          <w:szCs w:val="24"/>
        </w:rPr>
      </w:pPr>
      <w:r w:rsidRPr="007211C4">
        <w:rPr>
          <w:b/>
          <w:bCs/>
          <w:sz w:val="24"/>
          <w:szCs w:val="24"/>
        </w:rPr>
        <w:t>Комитет по правам человека</w:t>
      </w:r>
    </w:p>
    <w:p w14:paraId="21838C27" w14:textId="77777777" w:rsidR="001D7819" w:rsidRPr="00584BAE" w:rsidRDefault="001D7819" w:rsidP="001D7819">
      <w:pPr>
        <w:pStyle w:val="HChG"/>
      </w:pPr>
      <w:r>
        <w:tab/>
      </w:r>
      <w:r>
        <w:tab/>
      </w:r>
      <w:r>
        <w:rPr>
          <w:bCs/>
        </w:rPr>
        <w:t>Заключительные замечания по седьмому периодическому докладу Германии</w:t>
      </w:r>
      <w:r w:rsidRPr="007211C4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4EA46698" w14:textId="34D2EDEE" w:rsidR="001D7819" w:rsidRPr="00584BAE" w:rsidRDefault="001D7819" w:rsidP="001D7819">
      <w:pPr>
        <w:pStyle w:val="SingleTxtG"/>
      </w:pPr>
      <w:r>
        <w:t>1.</w:t>
      </w:r>
      <w:r>
        <w:tab/>
        <w:t>Комитет рассмотрел седьмой периодический доклад Германии</w:t>
      </w:r>
      <w:r w:rsidR="007211C4" w:rsidRPr="00682D5F">
        <w:rPr>
          <w:rStyle w:val="aa"/>
        </w:rPr>
        <w:footnoteReference w:id="2"/>
      </w:r>
      <w:r>
        <w:t xml:space="preserve"> на своих </w:t>
      </w:r>
      <w:r w:rsidR="007211C4">
        <w:br/>
      </w:r>
      <w:r>
        <w:t>3801-м и 3802-м</w:t>
      </w:r>
      <w:r w:rsidRPr="00682D5F">
        <w:rPr>
          <w:rStyle w:val="aa"/>
        </w:rPr>
        <w:footnoteReference w:id="3"/>
      </w:r>
      <w:r>
        <w:t xml:space="preserve"> заседаниях, состоявшихся 11 и 12 октября 2021 года, в смешанном формате из-за ограничений, введенных в связи с пандемией коронавирусного заболевания (COVID-19). На своем 3828-м заседании, состоявшемся 1 ноября 2021</w:t>
      </w:r>
      <w:r w:rsidR="007211C4">
        <w:t> </w:t>
      </w:r>
      <w:r>
        <w:t>года, он принял настоящие заключительные замечания.</w:t>
      </w:r>
    </w:p>
    <w:p w14:paraId="1400B86D" w14:textId="69FE7756" w:rsidR="001D7819" w:rsidRPr="00584BAE" w:rsidRDefault="007211C4" w:rsidP="001D7819">
      <w:pPr>
        <w:pStyle w:val="H1G"/>
        <w:rPr>
          <w:rFonts w:eastAsia="SimSun"/>
        </w:rPr>
      </w:pPr>
      <w:r>
        <w:tab/>
      </w:r>
      <w:r w:rsidR="001D7819">
        <w:t>A.</w:t>
      </w:r>
      <w:r w:rsidR="001D7819">
        <w:tab/>
      </w:r>
      <w:r w:rsidR="001D7819">
        <w:rPr>
          <w:bCs/>
        </w:rPr>
        <w:t>Введение</w:t>
      </w:r>
    </w:p>
    <w:p w14:paraId="7AAFF3F4" w14:textId="77777777" w:rsidR="001D7819" w:rsidRPr="00584BAE" w:rsidRDefault="001D7819" w:rsidP="001D7819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</w:rPr>
      </w:pPr>
      <w:r>
        <w:t>2.</w:t>
      </w:r>
      <w:r>
        <w:tab/>
        <w:t>Комитет приветствует представление седьмого периодического доклада Германии и содержащуюся в нем информацию. Он выражает признательность за возможность возобновить конструктивный диалог с делегацией государства-участника по мерам, принятым в течение отчетного периода для выполнения положений Пакта. Комитет благодарит государство-участник за его письменные ответы</w:t>
      </w:r>
      <w:r w:rsidRPr="00682D5F">
        <w:rPr>
          <w:rStyle w:val="aa"/>
          <w:rFonts w:eastAsia="SimSun"/>
        </w:rPr>
        <w:footnoteReference w:id="4"/>
      </w:r>
      <w:r>
        <w:t xml:space="preserve"> на перечень вопросов до представления докладов</w:t>
      </w:r>
      <w:r w:rsidRPr="00682D5F">
        <w:rPr>
          <w:rStyle w:val="aa"/>
          <w:rFonts w:eastAsia="SimSun"/>
        </w:rPr>
        <w:footnoteReference w:id="5"/>
      </w:r>
      <w:r>
        <w:t>, которые были дополнены устными ответами членов делегации, а также за представленную ему в письменном виде дополнительную информацию.</w:t>
      </w:r>
    </w:p>
    <w:p w14:paraId="4B2EC6FC" w14:textId="64611590" w:rsidR="001D7819" w:rsidRPr="00584BAE" w:rsidRDefault="007211C4" w:rsidP="001D7819">
      <w:pPr>
        <w:pStyle w:val="H1G"/>
        <w:rPr>
          <w:rFonts w:eastAsiaTheme="minorEastAsia"/>
        </w:rPr>
      </w:pPr>
      <w:r>
        <w:tab/>
      </w:r>
      <w:r w:rsidR="001D7819">
        <w:t>B.</w:t>
      </w:r>
      <w:r w:rsidR="001D7819">
        <w:tab/>
      </w:r>
      <w:r w:rsidR="001D7819">
        <w:rPr>
          <w:bCs/>
        </w:rPr>
        <w:t>Позитивные аспекты</w:t>
      </w:r>
    </w:p>
    <w:p w14:paraId="5C948863" w14:textId="77777777" w:rsidR="001D7819" w:rsidRPr="00584BAE" w:rsidRDefault="001D7819" w:rsidP="001D7819">
      <w:pPr>
        <w:pStyle w:val="SingleTxtG"/>
      </w:pPr>
      <w:r>
        <w:t>3.</w:t>
      </w:r>
      <w:r>
        <w:tab/>
        <w:t>Комитет приветствует принятие государством-участником следующих законодательных мер:</w:t>
      </w:r>
    </w:p>
    <w:p w14:paraId="49412BCF" w14:textId="7B8524E1" w:rsidR="001D7819" w:rsidRPr="00584BAE" w:rsidRDefault="007211C4" w:rsidP="001D7819">
      <w:pPr>
        <w:pStyle w:val="SingleTxtG"/>
      </w:pPr>
      <w:r>
        <w:tab/>
      </w:r>
      <w:r w:rsidR="001D7819">
        <w:t>a)</w:t>
      </w:r>
      <w:r w:rsidR="001D7819">
        <w:tab/>
        <w:t>принятие Закона об укреплении нефинансовой отчетности компаний в их управленческих и групповых управленческих отчетах в 2017 году и Закона о корпоративной должной осмотрительности в цепочках поставок в 2021 году;</w:t>
      </w:r>
    </w:p>
    <w:p w14:paraId="643A88FA" w14:textId="618D25F3" w:rsidR="001D7819" w:rsidRPr="00584BAE" w:rsidRDefault="007211C4" w:rsidP="001D7819">
      <w:pPr>
        <w:pStyle w:val="SingleTxtG"/>
      </w:pPr>
      <w:r>
        <w:tab/>
      </w:r>
      <w:r w:rsidR="001D7819">
        <w:t>b)</w:t>
      </w:r>
      <w:r w:rsidR="001D7819">
        <w:tab/>
        <w:t>ратификацию Конвенции Совета Европы о предотвращении и борьбе с насилием в отношении женщин и домашним насилием (Стамбульская конвенция) и укрепление национальной правовой базы по вопросам насилия в отношении женщин, в том числе путем принятия Закона об улучшении защиты от преследования в 2017</w:t>
      </w:r>
      <w:r>
        <w:t> </w:t>
      </w:r>
      <w:r w:rsidR="001D7819">
        <w:t>году и Закона о защите от насилия и преследования в 2021 году;</w:t>
      </w:r>
    </w:p>
    <w:p w14:paraId="34A5C46D" w14:textId="5848010C" w:rsidR="001D7819" w:rsidRPr="00584BAE" w:rsidRDefault="007211C4" w:rsidP="001D7819">
      <w:pPr>
        <w:pStyle w:val="SingleTxtG"/>
      </w:pPr>
      <w:r>
        <w:tab/>
      </w:r>
      <w:r w:rsidR="001D7819">
        <w:t>c)</w:t>
      </w:r>
      <w:r w:rsidR="001D7819">
        <w:tab/>
        <w:t>пересмотр статьи 219a Уголовного кодекса, которая запрещала рекламу информации об абортах, путем принятия Закона о расширении доступа к информации об абортах в 2019 году;</w:t>
      </w:r>
    </w:p>
    <w:p w14:paraId="566D48C3" w14:textId="5D5D1182" w:rsidR="001D7819" w:rsidRPr="00584BAE" w:rsidRDefault="007211C4" w:rsidP="001D7819">
      <w:pPr>
        <w:pStyle w:val="SingleTxtG"/>
      </w:pPr>
      <w:r>
        <w:lastRenderedPageBreak/>
        <w:tab/>
      </w:r>
      <w:r w:rsidR="001D7819">
        <w:t>d)</w:t>
      </w:r>
      <w:r w:rsidR="001D7819">
        <w:tab/>
        <w:t>принятие Закона об изменении климата в 2019 году;</w:t>
      </w:r>
    </w:p>
    <w:p w14:paraId="398D3F66" w14:textId="134E910E" w:rsidR="001D7819" w:rsidRPr="00584BAE" w:rsidRDefault="007211C4" w:rsidP="001D7819">
      <w:pPr>
        <w:pStyle w:val="SingleTxtG"/>
      </w:pPr>
      <w:r>
        <w:tab/>
      </w:r>
      <w:r w:rsidR="001D7819">
        <w:t>e)</w:t>
      </w:r>
      <w:r w:rsidR="001D7819">
        <w:tab/>
        <w:t>принятие Закона об укреплении прав лиц, содержащихся под стражей в полиции, в 2018 году, Закона об укреплении процессуальных прав обвиняемых в уголовном процессе и внесении изменений в Закон о судах с непрофессиональными судьями в 2017 году и Закона о реформе Закона, регулирующего обязательное юридическое представительство, в 2019 году;</w:t>
      </w:r>
    </w:p>
    <w:p w14:paraId="7AC60EBB" w14:textId="63CFDFEF" w:rsidR="001D7819" w:rsidRPr="00584BAE" w:rsidRDefault="007211C4" w:rsidP="001D7819">
      <w:pPr>
        <w:pStyle w:val="SingleTxtG"/>
      </w:pPr>
      <w:r>
        <w:tab/>
      </w:r>
      <w:r w:rsidR="001D7819">
        <w:t>f)</w:t>
      </w:r>
      <w:r w:rsidR="001D7819">
        <w:tab/>
        <w:t>принятие Закона о внесении изменений в Закон о федеральных выборах и другие законодательные акты в 2019 году, который снимает ограничения на избирательные права лиц с инвалидность</w:t>
      </w:r>
      <w:r w:rsidR="007A76A4">
        <w:t>ю</w:t>
      </w:r>
      <w:r w:rsidR="001D7819">
        <w:t xml:space="preserve"> и лиц с ограниченной уголовной ответственностью.</w:t>
      </w:r>
    </w:p>
    <w:p w14:paraId="1B30249B" w14:textId="3ECA2A39" w:rsidR="001D7819" w:rsidRPr="00584BAE" w:rsidRDefault="007211C4" w:rsidP="001D7819">
      <w:pPr>
        <w:pStyle w:val="H1G"/>
        <w:rPr>
          <w:rFonts w:eastAsiaTheme="minorEastAsia"/>
        </w:rPr>
      </w:pPr>
      <w:r>
        <w:tab/>
      </w:r>
      <w:r w:rsidR="001D7819">
        <w:t>C.</w:t>
      </w:r>
      <w:r w:rsidR="001D7819">
        <w:tab/>
      </w:r>
      <w:r w:rsidR="001D7819">
        <w:rPr>
          <w:bCs/>
        </w:rPr>
        <w:t>Основные вопросы, вызывающие обеспокоенность, и</w:t>
      </w:r>
      <w:r>
        <w:rPr>
          <w:bCs/>
        </w:rPr>
        <w:t> </w:t>
      </w:r>
      <w:r w:rsidR="001D7819">
        <w:rPr>
          <w:bCs/>
        </w:rPr>
        <w:t>рекомендации</w:t>
      </w:r>
    </w:p>
    <w:p w14:paraId="20F90DC6" w14:textId="77777777" w:rsidR="001D7819" w:rsidRPr="00B3520A" w:rsidRDefault="001D7819" w:rsidP="001D7819">
      <w:pPr>
        <w:pStyle w:val="H23G"/>
      </w:pPr>
      <w:r>
        <w:tab/>
      </w:r>
      <w:r>
        <w:tab/>
      </w:r>
      <w:r>
        <w:rPr>
          <w:bCs/>
        </w:rPr>
        <w:t>Оговорки</w:t>
      </w:r>
    </w:p>
    <w:p w14:paraId="0D923901" w14:textId="61D5EB6A" w:rsidR="001D7819" w:rsidRPr="00584BAE" w:rsidRDefault="001D7819" w:rsidP="001D7819">
      <w:pPr>
        <w:pStyle w:val="SingleTxtG"/>
      </w:pPr>
      <w:r>
        <w:t>4.</w:t>
      </w:r>
      <w:r>
        <w:tab/>
        <w:t>Комитет обеспокоен тем, что государство-участник сохраняет ряд оговорок, в том числе к пункту 1 статьи 15 Пакта и пункту 2 статьи 5 первого Факультативного протокола к нему. Приветствуя сделанное государством-участником в ходе интерактивного диалога заявление о том, что будет дополнительно рассмотрен вопрос о снятии этих оговорок, Комитет</w:t>
      </w:r>
      <w:r w:rsidR="00260A4F">
        <w:t>,</w:t>
      </w:r>
      <w:r>
        <w:t xml:space="preserve"> тем не менее</w:t>
      </w:r>
      <w:r w:rsidR="00260A4F">
        <w:t>,</w:t>
      </w:r>
      <w:r>
        <w:t xml:space="preserve"> обеспокоен отсутствием ясности относительно того, когда могут произойти такие изменения и будут ли сняты все оговорки (статья 2).</w:t>
      </w:r>
    </w:p>
    <w:p w14:paraId="3DA18732" w14:textId="79571A92" w:rsidR="001D7819" w:rsidRPr="00584BAE" w:rsidRDefault="001D7819" w:rsidP="001D7819">
      <w:pPr>
        <w:pStyle w:val="SingleTxtG"/>
        <w:rPr>
          <w:b/>
        </w:rPr>
      </w:pPr>
      <w:r>
        <w:t>5.</w:t>
      </w:r>
      <w:r>
        <w:tab/>
      </w:r>
      <w:r>
        <w:rPr>
          <w:b/>
          <w:bCs/>
        </w:rPr>
        <w:t>Ссылаясь на свою предыдущую рекомендацию</w:t>
      </w:r>
      <w:r w:rsidRPr="00682D5F">
        <w:rPr>
          <w:rStyle w:val="aa"/>
        </w:rPr>
        <w:footnoteReference w:id="6"/>
      </w:r>
      <w:r>
        <w:rPr>
          <w:b/>
          <w:bCs/>
        </w:rPr>
        <w:t>, Комитет рекомендует государству-участнику продолжить рассмотрение вопроса о принятии конкретных мер с целью снятия своих оговорок, в том числе к пункту 1 статьи</w:t>
      </w:r>
      <w:r w:rsidR="00242415">
        <w:rPr>
          <w:b/>
          <w:bCs/>
        </w:rPr>
        <w:t> </w:t>
      </w:r>
      <w:r>
        <w:rPr>
          <w:b/>
          <w:bCs/>
        </w:rPr>
        <w:t>15 Пакта и пункту 2 статьи 5 первого Факультативного протокола к нему.</w:t>
      </w:r>
    </w:p>
    <w:p w14:paraId="78CC6CF7" w14:textId="77777777" w:rsidR="001D7819" w:rsidRPr="00584BAE" w:rsidRDefault="001D7819" w:rsidP="001D7819">
      <w:pPr>
        <w:pStyle w:val="H23G"/>
      </w:pPr>
      <w:r>
        <w:tab/>
      </w:r>
      <w:r>
        <w:tab/>
      </w:r>
      <w:r>
        <w:rPr>
          <w:bCs/>
        </w:rPr>
        <w:t>Предпринимательская деятельность и права человека</w:t>
      </w:r>
    </w:p>
    <w:p w14:paraId="557D3DD5" w14:textId="77777777" w:rsidR="001D7819" w:rsidRPr="00584BAE" w:rsidRDefault="001D7819" w:rsidP="001D7819">
      <w:pPr>
        <w:pStyle w:val="SingleTxtG"/>
      </w:pPr>
      <w:r w:rsidRPr="00B27C27">
        <w:rPr>
          <w:color w:val="000000" w:themeColor="text1"/>
        </w:rPr>
        <w:t>6.</w:t>
      </w:r>
      <w:r w:rsidRPr="00B27C27">
        <w:rPr>
          <w:color w:val="000000" w:themeColor="text1"/>
        </w:rPr>
        <w:tab/>
        <w:t xml:space="preserve">Комитет </w:t>
      </w:r>
      <w:r>
        <w:t>обеспокоен продолжающими поступать сообщениями о нарушениях прав человека</w:t>
      </w:r>
      <w:r w:rsidRPr="00A72F40">
        <w:t xml:space="preserve"> </w:t>
      </w:r>
      <w:r>
        <w:t>находящимися под юрисдикцией Германии корпорациями, действующими за рубежом, и сообщениями о том, что жертвы предполагаемых нарушений сталкиваются с трудностями при получении доступа к средствам правовой защиты (статья 2).</w:t>
      </w:r>
    </w:p>
    <w:p w14:paraId="40BA0931" w14:textId="77777777" w:rsidR="001D7819" w:rsidRPr="00584BAE" w:rsidRDefault="001D7819" w:rsidP="001D7819">
      <w:pPr>
        <w:pStyle w:val="SingleTxtG"/>
      </w:pPr>
      <w:r>
        <w:t>7.</w:t>
      </w:r>
      <w:r>
        <w:tab/>
      </w:r>
      <w:r>
        <w:rPr>
          <w:b/>
          <w:bCs/>
        </w:rPr>
        <w:t>С учетом предыдущей рекомендации</w:t>
      </w:r>
      <w:r w:rsidRPr="00682D5F">
        <w:rPr>
          <w:rStyle w:val="aa"/>
        </w:rPr>
        <w:footnoteReference w:id="7"/>
      </w:r>
      <w:r>
        <w:rPr>
          <w:b/>
          <w:bCs/>
        </w:rPr>
        <w:t xml:space="preserve"> Комитета государству-участнику следует</w:t>
      </w:r>
      <w:r>
        <w:t>:</w:t>
      </w:r>
    </w:p>
    <w:p w14:paraId="3BFF7D75" w14:textId="6CC28FC4" w:rsidR="001D7819" w:rsidRPr="008C099E" w:rsidRDefault="007211C4" w:rsidP="001D7819">
      <w:pPr>
        <w:pStyle w:val="SingleTxtG"/>
        <w:rPr>
          <w:b/>
          <w:bCs/>
        </w:rPr>
      </w:pPr>
      <w:r>
        <w:tab/>
      </w:r>
      <w:r w:rsidR="001D7819" w:rsidRPr="008C099E">
        <w:rPr>
          <w:b/>
          <w:bCs/>
        </w:rPr>
        <w:t>a)</w:t>
      </w:r>
      <w:r w:rsidR="001D7819" w:rsidRPr="008C099E">
        <w:rPr>
          <w:b/>
          <w:bCs/>
        </w:rPr>
        <w:tab/>
        <w:t xml:space="preserve">повысить эффективность существующих механизмов для обеспечения того, чтобы все корпорации, находящиеся под его юрисдикцией, соблюдали стандарты прав человека при осуществлении своей деятельности за рубежом; </w:t>
      </w:r>
    </w:p>
    <w:p w14:paraId="537CD77B" w14:textId="7F1241D8" w:rsidR="001D7819" w:rsidRPr="008C099E" w:rsidRDefault="007211C4" w:rsidP="001D7819">
      <w:pPr>
        <w:pStyle w:val="SingleTxtG"/>
        <w:rPr>
          <w:b/>
          <w:bCs/>
        </w:rPr>
      </w:pPr>
      <w:r w:rsidRPr="008C099E">
        <w:rPr>
          <w:b/>
          <w:bCs/>
        </w:rPr>
        <w:tab/>
      </w:r>
      <w:r w:rsidR="001D7819" w:rsidRPr="008C099E">
        <w:rPr>
          <w:b/>
          <w:bCs/>
        </w:rPr>
        <w:t>b)</w:t>
      </w:r>
      <w:r w:rsidR="001D7819" w:rsidRPr="008C099E">
        <w:rPr>
          <w:b/>
          <w:bCs/>
        </w:rPr>
        <w:tab/>
        <w:t>рассмотреть возможность создания независимого механизма, уполномоченного расследовать нарушения прав человека, совершенные за рубежом;</w:t>
      </w:r>
    </w:p>
    <w:p w14:paraId="77636BB0" w14:textId="7A74EE2E" w:rsidR="001D7819" w:rsidRPr="00584BAE" w:rsidRDefault="007211C4" w:rsidP="001D7819">
      <w:pPr>
        <w:pStyle w:val="SingleTxtG"/>
        <w:rPr>
          <w:b/>
        </w:rPr>
      </w:pPr>
      <w:r w:rsidRPr="008C099E">
        <w:rPr>
          <w:b/>
          <w:bCs/>
        </w:rPr>
        <w:tab/>
      </w:r>
      <w:r w:rsidR="001D7819" w:rsidRPr="008C099E">
        <w:rPr>
          <w:b/>
          <w:bCs/>
        </w:rPr>
        <w:t>c)</w:t>
      </w:r>
      <w:r w:rsidR="001D7819" w:rsidRPr="008C099E">
        <w:rPr>
          <w:b/>
          <w:bCs/>
        </w:rPr>
        <w:tab/>
        <w:t>предпринять</w:t>
      </w:r>
      <w:r w:rsidR="001D7819">
        <w:rPr>
          <w:b/>
          <w:bCs/>
        </w:rPr>
        <w:t xml:space="preserve"> дополнительные шаги для устранения любых препятствий доступу жертв деятельности таких корпораций, действующих за рубежом, к правовым, в том числе судебным, средствам правовой защиты.</w:t>
      </w:r>
    </w:p>
    <w:p w14:paraId="3C272F41" w14:textId="77777777" w:rsidR="001D7819" w:rsidRPr="00584BAE" w:rsidRDefault="001D7819" w:rsidP="00F776A9">
      <w:pPr>
        <w:pStyle w:val="H23G"/>
        <w:pageBreakBefore/>
      </w:pPr>
      <w:r>
        <w:lastRenderedPageBreak/>
        <w:tab/>
      </w:r>
      <w:r>
        <w:tab/>
      </w:r>
      <w:r>
        <w:rPr>
          <w:bCs/>
        </w:rPr>
        <w:t>Недискриминация</w:t>
      </w:r>
    </w:p>
    <w:p w14:paraId="464CB53E" w14:textId="77777777" w:rsidR="001D7819" w:rsidRPr="00584BAE" w:rsidRDefault="001D7819" w:rsidP="001D7819">
      <w:pPr>
        <w:pStyle w:val="SingleTxtG"/>
      </w:pPr>
      <w:r>
        <w:t>8.</w:t>
      </w:r>
      <w:r>
        <w:tab/>
        <w:t>Комитет обеспокоен тем, что Общий закон о равном обращении 2006 года:</w:t>
      </w:r>
    </w:p>
    <w:p w14:paraId="07D1E331" w14:textId="741CA3F5" w:rsidR="001D7819" w:rsidRPr="00584BAE" w:rsidRDefault="007211C4" w:rsidP="001D7819">
      <w:pPr>
        <w:pStyle w:val="SingleTxtG"/>
      </w:pPr>
      <w:r>
        <w:tab/>
      </w:r>
      <w:r w:rsidR="001D7819">
        <w:t>a)</w:t>
      </w:r>
      <w:r w:rsidR="001D7819">
        <w:tab/>
        <w:t xml:space="preserve">не обеспечивает прямую защиту лиц от дискриминации по признаку языка и гражданства; </w:t>
      </w:r>
    </w:p>
    <w:p w14:paraId="1A059636" w14:textId="09CAEF8F" w:rsidR="001D7819" w:rsidRPr="00584BAE" w:rsidRDefault="007211C4" w:rsidP="001D7819">
      <w:pPr>
        <w:pStyle w:val="SingleTxtG"/>
      </w:pPr>
      <w:r>
        <w:tab/>
      </w:r>
      <w:r w:rsidR="001D7819">
        <w:t>b)</w:t>
      </w:r>
      <w:r w:rsidR="001D7819">
        <w:tab/>
        <w:t>не решает эффективно проблему дискриминации по множественным признакам;</w:t>
      </w:r>
    </w:p>
    <w:p w14:paraId="63604D10" w14:textId="49550236" w:rsidR="001D7819" w:rsidRPr="00584BAE" w:rsidRDefault="007211C4" w:rsidP="001D7819">
      <w:pPr>
        <w:pStyle w:val="SingleTxtG"/>
      </w:pPr>
      <w:r>
        <w:tab/>
      </w:r>
      <w:r w:rsidR="001D7819">
        <w:t>c)</w:t>
      </w:r>
      <w:r w:rsidR="001D7819">
        <w:tab/>
        <w:t>предусматривает шестимесячный срок для подачи жалоб на дискриминацию;</w:t>
      </w:r>
    </w:p>
    <w:p w14:paraId="0079488A" w14:textId="5D42B379" w:rsidR="001D7819" w:rsidRPr="00584BAE" w:rsidRDefault="007211C4" w:rsidP="001D7819">
      <w:pPr>
        <w:pStyle w:val="SingleTxtG"/>
      </w:pPr>
      <w:r>
        <w:tab/>
      </w:r>
      <w:r w:rsidR="001D7819">
        <w:t>d)</w:t>
      </w:r>
      <w:r w:rsidR="001D7819">
        <w:tab/>
        <w:t>не обеспечивает основу для подачи групповых исков по признаку дискриминации в суд;</w:t>
      </w:r>
    </w:p>
    <w:p w14:paraId="47E094EC" w14:textId="62EC0B56" w:rsidR="001D7819" w:rsidRPr="00584BAE" w:rsidRDefault="007211C4" w:rsidP="001D7819">
      <w:pPr>
        <w:pStyle w:val="SingleTxtG"/>
      </w:pPr>
      <w:r>
        <w:tab/>
      </w:r>
      <w:r w:rsidR="001D7819">
        <w:t>e)</w:t>
      </w:r>
      <w:r w:rsidR="001D7819">
        <w:tab/>
        <w:t>наделяет Федеральное антидискриминационное агентство ограниченными полномочиями по проведению расследований и не наделяет его компетенцией передавать дела в суд, тем самым потенциально ограничивая доступ жертв к средствам правовой защиты;</w:t>
      </w:r>
    </w:p>
    <w:p w14:paraId="0DBE03D2" w14:textId="27AF61D0" w:rsidR="001D7819" w:rsidRPr="00584BAE" w:rsidRDefault="007211C4" w:rsidP="001D7819">
      <w:pPr>
        <w:pStyle w:val="SingleTxtG"/>
      </w:pPr>
      <w:r>
        <w:tab/>
      </w:r>
      <w:r w:rsidR="001D7819">
        <w:t>f)</w:t>
      </w:r>
      <w:r w:rsidR="001D7819">
        <w:tab/>
        <w:t>ведет, согласно некоторым сообщениям, к дискриминации на рынке жилья (ст</w:t>
      </w:r>
      <w:r w:rsidR="002F0D82">
        <w:t>атьи</w:t>
      </w:r>
      <w:r w:rsidR="001D7819">
        <w:t xml:space="preserve"> 2</w:t>
      </w:r>
      <w:r w:rsidR="00295F3B">
        <w:t>–</w:t>
      </w:r>
      <w:r w:rsidR="001D7819">
        <w:t>3).</w:t>
      </w:r>
    </w:p>
    <w:p w14:paraId="4DA54550" w14:textId="77777777" w:rsidR="001D7819" w:rsidRPr="00584BAE" w:rsidRDefault="001D7819" w:rsidP="001D7819">
      <w:pPr>
        <w:pStyle w:val="SingleTxtG"/>
        <w:rPr>
          <w:b/>
        </w:rPr>
      </w:pPr>
      <w:r>
        <w:t>9.</w:t>
      </w:r>
      <w:r>
        <w:tab/>
      </w:r>
      <w:r>
        <w:rPr>
          <w:b/>
          <w:bCs/>
        </w:rPr>
        <w:t>С учетом предыдущей рекомендации</w:t>
      </w:r>
      <w:r w:rsidRPr="00682D5F">
        <w:rPr>
          <w:rStyle w:val="aa"/>
        </w:rPr>
        <w:footnoteReference w:id="8"/>
      </w:r>
      <w:r>
        <w:rPr>
          <w:b/>
          <w:bCs/>
        </w:rPr>
        <w:t xml:space="preserve"> Комитета государству-участнику следует рассмотреть поправки к Общему закону о равном обращении, с тем чтобы:</w:t>
      </w:r>
    </w:p>
    <w:p w14:paraId="5860E67A" w14:textId="6CC28294" w:rsidR="001D7819" w:rsidRPr="007211C4" w:rsidRDefault="007211C4" w:rsidP="001D7819">
      <w:pPr>
        <w:pStyle w:val="SingleTxtG"/>
        <w:rPr>
          <w:b/>
          <w:bCs/>
        </w:rPr>
      </w:pPr>
      <w:r w:rsidRPr="007211C4">
        <w:rPr>
          <w:b/>
          <w:bCs/>
        </w:rPr>
        <w:tab/>
      </w:r>
      <w:r w:rsidR="001D7819" w:rsidRPr="007211C4">
        <w:rPr>
          <w:b/>
          <w:bCs/>
        </w:rPr>
        <w:t>a)</w:t>
      </w:r>
      <w:r w:rsidR="001D7819" w:rsidRPr="007211C4">
        <w:rPr>
          <w:b/>
          <w:bCs/>
        </w:rPr>
        <w:tab/>
        <w:t>обеспечить прямую защиту от дискриминации по признаку языка и гражданства и решить проблему дискриминации по множественным признакам;</w:t>
      </w:r>
    </w:p>
    <w:p w14:paraId="1876BD0D" w14:textId="7D1860B2" w:rsidR="001D7819" w:rsidRPr="007211C4" w:rsidRDefault="007211C4" w:rsidP="001D7819">
      <w:pPr>
        <w:pStyle w:val="SingleTxtG"/>
        <w:rPr>
          <w:b/>
          <w:bCs/>
        </w:rPr>
      </w:pPr>
      <w:r w:rsidRPr="007211C4">
        <w:rPr>
          <w:b/>
          <w:bCs/>
        </w:rPr>
        <w:tab/>
      </w:r>
      <w:r w:rsidR="001D7819" w:rsidRPr="007211C4">
        <w:rPr>
          <w:b/>
          <w:bCs/>
        </w:rPr>
        <w:t>b)</w:t>
      </w:r>
      <w:r w:rsidR="001D7819" w:rsidRPr="007211C4">
        <w:rPr>
          <w:b/>
          <w:bCs/>
        </w:rPr>
        <w:tab/>
        <w:t>обеспечить, чтобы доступ к правосудию для жертв дискриминации не был затруднен шестимесячным сроком подачи жалоб;</w:t>
      </w:r>
    </w:p>
    <w:p w14:paraId="1E3F5053" w14:textId="2B429376" w:rsidR="001D7819" w:rsidRPr="007211C4" w:rsidRDefault="007211C4" w:rsidP="001D7819">
      <w:pPr>
        <w:pStyle w:val="SingleTxtG"/>
        <w:rPr>
          <w:b/>
          <w:bCs/>
        </w:rPr>
      </w:pPr>
      <w:r w:rsidRPr="007211C4">
        <w:rPr>
          <w:b/>
          <w:bCs/>
        </w:rPr>
        <w:tab/>
      </w:r>
      <w:r w:rsidR="001D7819" w:rsidRPr="007211C4">
        <w:rPr>
          <w:b/>
          <w:bCs/>
        </w:rPr>
        <w:t>c)</w:t>
      </w:r>
      <w:r w:rsidR="001D7819" w:rsidRPr="007211C4">
        <w:rPr>
          <w:b/>
          <w:bCs/>
        </w:rPr>
        <w:tab/>
        <w:t>позволить группам обращаться в суды с исками на дискриминацию;</w:t>
      </w:r>
    </w:p>
    <w:p w14:paraId="7DF94741" w14:textId="341FE704" w:rsidR="001D7819" w:rsidRPr="007211C4" w:rsidRDefault="007211C4" w:rsidP="001D7819">
      <w:pPr>
        <w:pStyle w:val="SingleTxtG"/>
        <w:rPr>
          <w:b/>
          <w:bCs/>
        </w:rPr>
      </w:pPr>
      <w:r w:rsidRPr="007211C4">
        <w:rPr>
          <w:b/>
          <w:bCs/>
        </w:rPr>
        <w:tab/>
      </w:r>
      <w:r w:rsidR="001D7819" w:rsidRPr="007211C4">
        <w:rPr>
          <w:b/>
          <w:bCs/>
        </w:rPr>
        <w:t>d)</w:t>
      </w:r>
      <w:r w:rsidR="001D7819" w:rsidRPr="007211C4">
        <w:rPr>
          <w:b/>
          <w:bCs/>
        </w:rPr>
        <w:tab/>
        <w:t>усилить полномочия Федерального агентства по борьбе с дискриминацией, чтобы способствовать улучшению доступа к правосудию для жертв дискриминации;</w:t>
      </w:r>
    </w:p>
    <w:p w14:paraId="5F2F9746" w14:textId="46EE536D" w:rsidR="001D7819" w:rsidRPr="007211C4" w:rsidRDefault="007211C4" w:rsidP="001D7819">
      <w:pPr>
        <w:pStyle w:val="SingleTxtG"/>
        <w:rPr>
          <w:b/>
          <w:bCs/>
        </w:rPr>
      </w:pPr>
      <w:r w:rsidRPr="007211C4">
        <w:rPr>
          <w:b/>
          <w:bCs/>
        </w:rPr>
        <w:tab/>
      </w:r>
      <w:r w:rsidR="001D7819" w:rsidRPr="007211C4">
        <w:rPr>
          <w:b/>
          <w:bCs/>
        </w:rPr>
        <w:t>e)</w:t>
      </w:r>
      <w:r w:rsidR="001D7819" w:rsidRPr="007211C4">
        <w:rPr>
          <w:b/>
          <w:bCs/>
        </w:rPr>
        <w:tab/>
        <w:t>обеспечить, чтобы применение данного закона не приводило к дискриминации на рынке жилья.</w:t>
      </w:r>
    </w:p>
    <w:p w14:paraId="3FCB52A3" w14:textId="77777777" w:rsidR="001D7819" w:rsidRPr="00584BAE" w:rsidRDefault="001D7819" w:rsidP="001D7819">
      <w:pPr>
        <w:pStyle w:val="H23G"/>
      </w:pPr>
      <w:r>
        <w:tab/>
      </w:r>
      <w:r>
        <w:tab/>
      </w:r>
      <w:r>
        <w:rPr>
          <w:bCs/>
        </w:rPr>
        <w:t>Ненавистнические высказывания и преступления на почве ненависти</w:t>
      </w:r>
    </w:p>
    <w:p w14:paraId="762E1ADE" w14:textId="66B5321F" w:rsidR="001D7819" w:rsidRPr="00584BAE" w:rsidRDefault="001D7819" w:rsidP="001D7819">
      <w:pPr>
        <w:pStyle w:val="SingleTxtG"/>
      </w:pPr>
      <w:r>
        <w:t>10.</w:t>
      </w:r>
      <w:r>
        <w:tab/>
        <w:t>Комитет приветствует представленную государством-участником информацию о политической приверженности на высоком уровне делу борьбы с разжиганием ненависти и преступлениями на почве ненависти, включая формирование комитета кабинета министров по борьбе с правым экстремизмом и расизмом и стратегию федерального правительства по предотвращению экстремизма и продвижению демократии. Тем не менее он по-прежнему обеспокоен продолжающими поступать сообщениями о разжигании ненависти, включая словесные нападки, разжигание ненависти в Интернете и ненавистнические высказывания в контексте политических дискуссий, а также сообщениями о целом ряде преступлений на почве ненависти, включая нападения с применением насилия и осквернение религиозных объектов, совершенных в отношении лиц африканского происхождения, лесбиянок, геев, бисексуалов, трансгендеров и интерсексов, синти и рома, мусульман, лиц иудейского вероисповедания, беженцев и мигрантов. Он также обеспокоен заявлением государства-участника о том, что оно не рассматривает возможность внесения поправок в законодательство с целью исключения критерия нарушения общественного спокойствия из определения подстрекательства к ненависти (статьи 2, 19</w:t>
      </w:r>
      <w:r w:rsidR="007211C4">
        <w:t>–</w:t>
      </w:r>
      <w:r>
        <w:t>20 и 26).</w:t>
      </w:r>
    </w:p>
    <w:p w14:paraId="61C9A6D0" w14:textId="77777777" w:rsidR="001D7819" w:rsidRPr="00584BAE" w:rsidRDefault="001D7819" w:rsidP="001D7819">
      <w:pPr>
        <w:pStyle w:val="SingleTxtG"/>
      </w:pPr>
      <w:r>
        <w:lastRenderedPageBreak/>
        <w:t>11.</w:t>
      </w:r>
      <w:r>
        <w:tab/>
      </w:r>
      <w:r>
        <w:rPr>
          <w:b/>
          <w:bCs/>
        </w:rPr>
        <w:t>С учетом предыдущей рекомендации</w:t>
      </w:r>
      <w:r w:rsidRPr="00682D5F">
        <w:rPr>
          <w:rStyle w:val="aa"/>
        </w:rPr>
        <w:footnoteReference w:id="9"/>
      </w:r>
      <w:r>
        <w:rPr>
          <w:b/>
          <w:bCs/>
        </w:rPr>
        <w:t xml:space="preserve"> Комитета государству-участнику следует:</w:t>
      </w:r>
    </w:p>
    <w:p w14:paraId="1011769F" w14:textId="50173DAA" w:rsidR="001D7819" w:rsidRPr="007211C4" w:rsidRDefault="007211C4" w:rsidP="001D7819">
      <w:pPr>
        <w:pStyle w:val="SingleTxtG"/>
        <w:rPr>
          <w:b/>
          <w:bCs/>
        </w:rPr>
      </w:pPr>
      <w:r w:rsidRPr="007211C4">
        <w:rPr>
          <w:b/>
          <w:bCs/>
        </w:rPr>
        <w:tab/>
      </w:r>
      <w:r w:rsidR="001D7819" w:rsidRPr="007211C4">
        <w:rPr>
          <w:b/>
          <w:bCs/>
        </w:rPr>
        <w:t>a)</w:t>
      </w:r>
      <w:r w:rsidR="001D7819" w:rsidRPr="007211C4">
        <w:rPr>
          <w:b/>
          <w:bCs/>
        </w:rPr>
        <w:tab/>
        <w:t>улучшить сбор данных о ненавистнических высказываниях онлайн и офлайн и принять эффективные меры по предотвращению и наказанию этих явлений;</w:t>
      </w:r>
    </w:p>
    <w:p w14:paraId="09006B4F" w14:textId="26A57A6D" w:rsidR="001D7819" w:rsidRPr="007211C4" w:rsidRDefault="007211C4" w:rsidP="001D7819">
      <w:pPr>
        <w:pStyle w:val="SingleTxtG"/>
        <w:rPr>
          <w:b/>
          <w:bCs/>
        </w:rPr>
      </w:pPr>
      <w:r w:rsidRPr="007211C4">
        <w:rPr>
          <w:b/>
          <w:bCs/>
        </w:rPr>
        <w:tab/>
      </w:r>
      <w:r w:rsidR="001D7819" w:rsidRPr="007211C4">
        <w:rPr>
          <w:b/>
          <w:bCs/>
        </w:rPr>
        <w:t>b)</w:t>
      </w:r>
      <w:r w:rsidR="001D7819" w:rsidRPr="007211C4">
        <w:rPr>
          <w:b/>
          <w:bCs/>
        </w:rPr>
        <w:tab/>
        <w:t>рассмотреть возможность внесения поправок в законодательство, чтобы исключить критерий нарушения общественного спокойствия из определения подстрекательства к ненависти;</w:t>
      </w:r>
    </w:p>
    <w:p w14:paraId="70217C5B" w14:textId="35566F01" w:rsidR="001D7819" w:rsidRPr="007211C4" w:rsidRDefault="007211C4" w:rsidP="001D7819">
      <w:pPr>
        <w:pStyle w:val="SingleTxtG"/>
        <w:rPr>
          <w:b/>
          <w:bCs/>
        </w:rPr>
      </w:pPr>
      <w:r w:rsidRPr="007211C4">
        <w:rPr>
          <w:b/>
          <w:bCs/>
        </w:rPr>
        <w:tab/>
      </w:r>
      <w:r w:rsidR="001D7819" w:rsidRPr="007211C4">
        <w:rPr>
          <w:b/>
          <w:bCs/>
        </w:rPr>
        <w:t>c)</w:t>
      </w:r>
      <w:r w:rsidR="001D7819" w:rsidRPr="007211C4">
        <w:rPr>
          <w:b/>
          <w:bCs/>
        </w:rPr>
        <w:tab/>
        <w:t>активизировать усилия по повышению осведомленности, направленные на поощрение уважения прав человека и терпимости к разнообразию, а также на пересмотр и искоренение стереотипных предрассудков;</w:t>
      </w:r>
    </w:p>
    <w:p w14:paraId="4FAC93E9" w14:textId="4FED572C" w:rsidR="001D7819" w:rsidRPr="007211C4" w:rsidRDefault="007211C4" w:rsidP="001D7819">
      <w:pPr>
        <w:pStyle w:val="SingleTxtG"/>
        <w:rPr>
          <w:b/>
          <w:bCs/>
        </w:rPr>
      </w:pPr>
      <w:r w:rsidRPr="007211C4">
        <w:rPr>
          <w:b/>
          <w:bCs/>
        </w:rPr>
        <w:tab/>
      </w:r>
      <w:r w:rsidR="001D7819" w:rsidRPr="007211C4">
        <w:rPr>
          <w:b/>
          <w:bCs/>
        </w:rPr>
        <w:t>d)</w:t>
      </w:r>
      <w:r w:rsidR="001D7819" w:rsidRPr="007211C4">
        <w:rPr>
          <w:b/>
          <w:bCs/>
        </w:rPr>
        <w:tab/>
        <w:t>поощрять информирование о преступлениях на почве ненависти и обеспечить тщательное расследование таких преступлений, преследование и наказание виновных, а также предоставление жертвам эффективных средств правовой защиты;</w:t>
      </w:r>
    </w:p>
    <w:p w14:paraId="2AB33E5E" w14:textId="5F361CB5" w:rsidR="001D7819" w:rsidRPr="00584BAE" w:rsidRDefault="007211C4" w:rsidP="001D7819">
      <w:pPr>
        <w:pStyle w:val="SingleTxtG"/>
        <w:rPr>
          <w:b/>
        </w:rPr>
      </w:pPr>
      <w:r w:rsidRPr="007211C4">
        <w:rPr>
          <w:b/>
          <w:bCs/>
        </w:rPr>
        <w:tab/>
      </w:r>
      <w:r w:rsidR="001D7819" w:rsidRPr="007211C4">
        <w:rPr>
          <w:b/>
          <w:bCs/>
        </w:rPr>
        <w:t>e)</w:t>
      </w:r>
      <w:r w:rsidR="001D7819" w:rsidRPr="007211C4">
        <w:rPr>
          <w:b/>
          <w:bCs/>
        </w:rPr>
        <w:tab/>
        <w:t>укреплять сотрудничество между соответствующими заинтересованными сторонами, включая гражданское общество, и обеспечить надлежащую подготовку центральных и местных органов власти, сотрудников правоохранительных органов, судей и прокуроров по вопросам борьбы с разжиганием ненависти и преступлениями на почве ненависти, а также подготовку работников СМИ</w:t>
      </w:r>
      <w:r w:rsidR="001D7819">
        <w:rPr>
          <w:b/>
          <w:bCs/>
        </w:rPr>
        <w:t xml:space="preserve"> по вопросам поощрения принятия разнообразия.</w:t>
      </w:r>
    </w:p>
    <w:p w14:paraId="396C6521" w14:textId="77777777" w:rsidR="001D7819" w:rsidRPr="00584BAE" w:rsidRDefault="001D7819" w:rsidP="001D7819">
      <w:pPr>
        <w:pStyle w:val="H23G"/>
      </w:pPr>
      <w:r>
        <w:tab/>
      </w:r>
      <w:r>
        <w:tab/>
      </w:r>
      <w:r>
        <w:rPr>
          <w:bCs/>
        </w:rPr>
        <w:t>Недискриминация в правоохранительной деятельности</w:t>
      </w:r>
    </w:p>
    <w:p w14:paraId="0E7079AF" w14:textId="4B57FB86" w:rsidR="001D7819" w:rsidRPr="00F14523" w:rsidRDefault="001D7819" w:rsidP="001D7819">
      <w:pPr>
        <w:pStyle w:val="SingleTxtG"/>
      </w:pPr>
      <w:r>
        <w:t>12.</w:t>
      </w:r>
      <w:r>
        <w:tab/>
        <w:t>Комитет обеспокоен сообщениями о том, что сотрудники полиции проводят правоохранительные мероприятия во исполнение пункта 1 статьи 22 Федерального закона о полиции в целях иммиграционного контроля без обоснованных подозрений и что это приводит к расовому профилированию (статьи 2</w:t>
      </w:r>
      <w:r w:rsidR="00295F3B">
        <w:t>–</w:t>
      </w:r>
      <w:r>
        <w:t>3 и 12).</w:t>
      </w:r>
    </w:p>
    <w:p w14:paraId="0BF8E81F" w14:textId="17149A9C" w:rsidR="001D7819" w:rsidRPr="00584BAE" w:rsidRDefault="001D7819" w:rsidP="001D7819">
      <w:pPr>
        <w:pStyle w:val="SingleTxtG"/>
        <w:rPr>
          <w:b/>
        </w:rPr>
      </w:pPr>
      <w:r>
        <w:t>13.</w:t>
      </w:r>
      <w:r>
        <w:tab/>
      </w:r>
      <w:r>
        <w:rPr>
          <w:b/>
          <w:bCs/>
        </w:rPr>
        <w:t>Государству-участнику следует продолжить всеобъемлющий обзор политики и правовой базы, регулирующей поведение полиции, включая оценку применения стандарта обоснованного подозрения при осуществлении мероприятий во исполнение пункта 1 статьи 22 Федерального закона о полиции, для обеспечения их соответствия принципам прав человека, включая запрет дискриминации.</w:t>
      </w:r>
      <w:r>
        <w:t xml:space="preserve"> </w:t>
      </w:r>
      <w:r>
        <w:rPr>
          <w:b/>
          <w:bCs/>
        </w:rPr>
        <w:t>Государству-участнику следует также продолжить и активизировать работу по профессиональной подготовке сотрудников правоохранительных органов с целью повышения их осведомленности о понимани</w:t>
      </w:r>
      <w:r w:rsidR="003A4289">
        <w:rPr>
          <w:b/>
          <w:bCs/>
        </w:rPr>
        <w:t>и</w:t>
      </w:r>
      <w:r>
        <w:rPr>
          <w:b/>
          <w:bCs/>
        </w:rPr>
        <w:t xml:space="preserve"> необходимости вести себя таким образом, чтобы это не приводило, даже непреднамеренно, к актам расового профилирования, а также контролировать эффективность такой деятельности путем создания механизма сбора данных об осуществлении сотрудниками правоохранительных органов полномочий по проведению задержаний и досмотров.</w:t>
      </w:r>
      <w:r>
        <w:t xml:space="preserve"> </w:t>
      </w:r>
      <w:r>
        <w:rPr>
          <w:b/>
          <w:bCs/>
        </w:rPr>
        <w:t>Кроме того, ему следует обеспечить доступность информации о процедурах подачи заявлений и средствах правовой защиты от дискриминации в контексте правоохранительной деятельности для всех жертв.</w:t>
      </w:r>
    </w:p>
    <w:p w14:paraId="66EDB3EB" w14:textId="77777777" w:rsidR="001D7819" w:rsidRPr="00584BAE" w:rsidRDefault="001D7819" w:rsidP="001D7819">
      <w:pPr>
        <w:pStyle w:val="H23G"/>
      </w:pPr>
      <w:r>
        <w:tab/>
      </w:r>
      <w:r>
        <w:tab/>
      </w:r>
      <w:r>
        <w:rPr>
          <w:bCs/>
        </w:rPr>
        <w:t>Борьба с терроризмом</w:t>
      </w:r>
    </w:p>
    <w:p w14:paraId="481C2339" w14:textId="77777777" w:rsidR="001D7819" w:rsidRPr="00584BAE" w:rsidRDefault="001D7819" w:rsidP="001D7819">
      <w:pPr>
        <w:pStyle w:val="SingleTxtG"/>
      </w:pPr>
      <w:r>
        <w:t>14.</w:t>
      </w:r>
      <w:r>
        <w:tab/>
        <w:t>Комитет обеспокоен тем, что правовая база, регулирующая борьбу с терроризмом, наделяет сотрудников правоохранительных органов широкими полномочиями, особенно после пересмотра федеральных законов и законов земель в 2017 и 2018 годах. Кроме того, он обеспокоен:</w:t>
      </w:r>
    </w:p>
    <w:p w14:paraId="7A802E46" w14:textId="39F830E8" w:rsidR="001D7819" w:rsidRPr="00584BAE" w:rsidRDefault="007211C4" w:rsidP="001D7819">
      <w:pPr>
        <w:pStyle w:val="SingleTxtG"/>
      </w:pPr>
      <w:r>
        <w:tab/>
      </w:r>
      <w:r w:rsidR="001D7819">
        <w:t>a)</w:t>
      </w:r>
      <w:r w:rsidR="001D7819">
        <w:tab/>
        <w:t xml:space="preserve">наличием мер административного контроля в отношении лиц, считающихся «потенциальными злоумышленниками», включая мониторинг </w:t>
      </w:r>
      <w:r w:rsidR="001D7819">
        <w:lastRenderedPageBreak/>
        <w:t>электронных меток, запреты на общение и социальные контакты, наблюдение за телекоммуникациями;</w:t>
      </w:r>
    </w:p>
    <w:p w14:paraId="227C3B34" w14:textId="0179165E" w:rsidR="001D7819" w:rsidRPr="00584BAE" w:rsidRDefault="007211C4" w:rsidP="001D7819">
      <w:pPr>
        <w:pStyle w:val="SingleTxtG"/>
      </w:pPr>
      <w:r>
        <w:tab/>
      </w:r>
      <w:r w:rsidR="001D7819">
        <w:t>b)</w:t>
      </w:r>
      <w:r w:rsidR="001D7819">
        <w:tab/>
        <w:t>продлением предельных сроков содержания под стражей в полиции;</w:t>
      </w:r>
    </w:p>
    <w:p w14:paraId="12F7F277" w14:textId="72EA3C02" w:rsidR="001D7819" w:rsidRPr="00584BAE" w:rsidRDefault="007211C4" w:rsidP="001D7819">
      <w:pPr>
        <w:pStyle w:val="SingleTxtG"/>
      </w:pPr>
      <w:r>
        <w:tab/>
      </w:r>
      <w:r w:rsidR="001D7819">
        <w:t>c)</w:t>
      </w:r>
      <w:r w:rsidR="001D7819">
        <w:tab/>
        <w:t>расширением применения превентивного содержания под стражей после вынесения приговора в отношении «преступников-экстремистов» и увеличением продолжительности периода, в течение которого лица, считающиеся «потенциальными злоумышленниками», могут содержаться под стражей в административном порядке без предъявления обвинения;</w:t>
      </w:r>
    </w:p>
    <w:p w14:paraId="4D1D7807" w14:textId="1F0D15B6" w:rsidR="001D7819" w:rsidRPr="00584BAE" w:rsidRDefault="007211C4" w:rsidP="001D7819">
      <w:pPr>
        <w:pStyle w:val="SingleTxtG"/>
      </w:pPr>
      <w:r>
        <w:tab/>
      </w:r>
      <w:r w:rsidR="001D7819">
        <w:t>d)</w:t>
      </w:r>
      <w:r w:rsidR="001D7819">
        <w:tab/>
        <w:t>снижением порога для содержания под стражей лиц, представляющих значительную «угрозу безопасности», до их депортации в соответствии с разделом 62 Закона о пребывании иностранных граждан;</w:t>
      </w:r>
    </w:p>
    <w:p w14:paraId="7E92723D" w14:textId="540699B1" w:rsidR="001D7819" w:rsidRPr="00584BAE" w:rsidRDefault="007211C4" w:rsidP="001D7819">
      <w:pPr>
        <w:pStyle w:val="SingleTxtG"/>
      </w:pPr>
      <w:r>
        <w:tab/>
      </w:r>
      <w:r w:rsidR="001D7819">
        <w:t>e)</w:t>
      </w:r>
      <w:r w:rsidR="001D7819">
        <w:tab/>
        <w:t>отсутствием подробной информации о процессуальных гарантиях, обеспечивающих соблюдение принципов законности и соразмерности (статьи 2, 9, 12 и 14).</w:t>
      </w:r>
    </w:p>
    <w:p w14:paraId="53359C39" w14:textId="77777777" w:rsidR="001D7819" w:rsidRPr="00584BAE" w:rsidRDefault="001D7819" w:rsidP="001D7819">
      <w:pPr>
        <w:pStyle w:val="SingleTxtG"/>
      </w:pPr>
      <w:r>
        <w:t>15.</w:t>
      </w:r>
      <w:r>
        <w:tab/>
      </w:r>
      <w:r>
        <w:rPr>
          <w:b/>
          <w:bCs/>
        </w:rPr>
        <w:t>Государству-участнику следует обеспечить, чтобы полномочия, предоставленные сотрудникам правоохранительных органов законодательством о борьбе с терроризмом на федеральном уровне и уровне земель, полностью соответствовали Пакту, а также принципам законности и соразмерности.</w:t>
      </w:r>
      <w:r>
        <w:t xml:space="preserve"> </w:t>
      </w:r>
      <w:r>
        <w:rPr>
          <w:b/>
          <w:bCs/>
        </w:rPr>
        <w:t>Ему также следует обеспечить, чтобы лицам, подозреваемым/обвиняемым в совершении террористических актов или связанных с ними преступлений, в законодательстве и на практике предоставлялись соответствующие процессуальные гарантии в соответствии с Пактом, особенно статьями 9 и 14.</w:t>
      </w:r>
    </w:p>
    <w:p w14:paraId="4AB71F88" w14:textId="77777777" w:rsidR="001D7819" w:rsidRPr="00584BAE" w:rsidRDefault="001D7819" w:rsidP="001D7819">
      <w:pPr>
        <w:pStyle w:val="H23G"/>
      </w:pPr>
      <w:r>
        <w:tab/>
      </w:r>
      <w:r>
        <w:tab/>
      </w:r>
      <w:r>
        <w:rPr>
          <w:bCs/>
        </w:rPr>
        <w:t>Насилие в отношении женщин</w:t>
      </w:r>
    </w:p>
    <w:p w14:paraId="6E4182AA" w14:textId="5050CFB0" w:rsidR="001D7819" w:rsidRPr="00584BAE" w:rsidRDefault="001D7819" w:rsidP="001D7819">
      <w:pPr>
        <w:pStyle w:val="SingleTxtG"/>
      </w:pPr>
      <w:r>
        <w:t>16.</w:t>
      </w:r>
      <w:r>
        <w:tab/>
        <w:t>Комитет высоко оценивает принятие государством-участником мер по борьбе с насилием в отношении женщин, включая домашнее насилие, таких как правовые реформы и значительные финансовые инвестиции в увеличение числа приютов. Тем не менее он по-прежнему обеспокоен сообщениями о:</w:t>
      </w:r>
    </w:p>
    <w:p w14:paraId="623EA0ED" w14:textId="1C430C72" w:rsidR="001D7819" w:rsidRPr="00584BAE" w:rsidRDefault="007211C4" w:rsidP="001D7819">
      <w:pPr>
        <w:pStyle w:val="SingleTxtG"/>
      </w:pPr>
      <w:r>
        <w:tab/>
      </w:r>
      <w:r w:rsidR="001D7819">
        <w:t>a)</w:t>
      </w:r>
      <w:r w:rsidR="001D7819">
        <w:tab/>
        <w:t>занижении числа случаев насилия в отношении женщин;</w:t>
      </w:r>
    </w:p>
    <w:p w14:paraId="17B096F7" w14:textId="53412F87" w:rsidR="001D7819" w:rsidRPr="00584BAE" w:rsidRDefault="007211C4" w:rsidP="001D7819">
      <w:pPr>
        <w:pStyle w:val="SingleTxtG"/>
      </w:pPr>
      <w:r>
        <w:tab/>
      </w:r>
      <w:r w:rsidR="001D7819">
        <w:t>b)</w:t>
      </w:r>
      <w:r w:rsidR="001D7819">
        <w:tab/>
        <w:t>низким числом случаев судебного преследования и осуждения виновных;</w:t>
      </w:r>
    </w:p>
    <w:p w14:paraId="6C9C46A9" w14:textId="06C93E24" w:rsidR="001D7819" w:rsidRPr="00584BAE" w:rsidRDefault="007211C4" w:rsidP="001D7819">
      <w:pPr>
        <w:pStyle w:val="SingleTxtG"/>
      </w:pPr>
      <w:r>
        <w:tab/>
      </w:r>
      <w:r w:rsidR="001D7819">
        <w:t>c)</w:t>
      </w:r>
      <w:r w:rsidR="001D7819">
        <w:tab/>
        <w:t>сохраняющейся нехваткой приютов, несмотря на федеральную инвестиционную программу, и проблемами, ограничивающими доступ некоторых женщин, включая мигрантов, беженцев, просителей убежища и некоторых жертв торговли людьми;</w:t>
      </w:r>
    </w:p>
    <w:p w14:paraId="62C61A09" w14:textId="77777777" w:rsidR="00295F3B" w:rsidRDefault="007211C4" w:rsidP="001D7819">
      <w:pPr>
        <w:pStyle w:val="SingleTxtG"/>
      </w:pPr>
      <w:r>
        <w:tab/>
      </w:r>
      <w:r w:rsidR="001D7819">
        <w:t>d)</w:t>
      </w:r>
      <w:r w:rsidR="001D7819">
        <w:tab/>
        <w:t>ростом домашнего насилия во время пандемии COVID-19 (статьи 2</w:t>
      </w:r>
      <w:r w:rsidR="00295F3B">
        <w:t>–</w:t>
      </w:r>
      <w:r w:rsidR="001D7819">
        <w:t xml:space="preserve">3, </w:t>
      </w:r>
    </w:p>
    <w:p w14:paraId="424FC5CB" w14:textId="41879DD3" w:rsidR="001D7819" w:rsidRPr="00584BAE" w:rsidRDefault="001D7819" w:rsidP="001D7819">
      <w:pPr>
        <w:pStyle w:val="SingleTxtG"/>
      </w:pPr>
      <w:r>
        <w:t>6</w:t>
      </w:r>
      <w:r w:rsidR="00295F3B">
        <w:t>–</w:t>
      </w:r>
      <w:r>
        <w:t>7 и 26).</w:t>
      </w:r>
    </w:p>
    <w:p w14:paraId="0963D517" w14:textId="77777777" w:rsidR="001D7819" w:rsidRPr="00584BAE" w:rsidRDefault="001D7819" w:rsidP="001D7819">
      <w:pPr>
        <w:pStyle w:val="SingleTxtG"/>
      </w:pPr>
      <w:r>
        <w:t>17.</w:t>
      </w:r>
      <w:r>
        <w:tab/>
      </w:r>
      <w:r>
        <w:rPr>
          <w:b/>
          <w:bCs/>
        </w:rPr>
        <w:t>С учетом предыдущей рекомендации</w:t>
      </w:r>
      <w:r w:rsidRPr="00682D5F">
        <w:rPr>
          <w:rStyle w:val="aa"/>
        </w:rPr>
        <w:footnoteReference w:id="10"/>
      </w:r>
      <w:r>
        <w:rPr>
          <w:b/>
          <w:bCs/>
        </w:rPr>
        <w:t xml:space="preserve"> Комитета государству-участнику следует:</w:t>
      </w:r>
    </w:p>
    <w:p w14:paraId="55F28CC0" w14:textId="478590D9" w:rsidR="001D7819" w:rsidRPr="007211C4" w:rsidRDefault="007211C4" w:rsidP="001D7819">
      <w:pPr>
        <w:pStyle w:val="SingleTxtG"/>
        <w:rPr>
          <w:b/>
          <w:bCs/>
        </w:rPr>
      </w:pPr>
      <w:r w:rsidRPr="007211C4">
        <w:rPr>
          <w:b/>
          <w:bCs/>
        </w:rPr>
        <w:tab/>
      </w:r>
      <w:r w:rsidR="001D7819" w:rsidRPr="007211C4">
        <w:rPr>
          <w:b/>
          <w:bCs/>
        </w:rPr>
        <w:t>a)</w:t>
      </w:r>
      <w:r w:rsidR="001D7819" w:rsidRPr="007211C4">
        <w:rPr>
          <w:b/>
          <w:bCs/>
        </w:rPr>
        <w:tab/>
        <w:t>решить проблему занижения числа случаев насилия в отношении женщин, в том числе путем обеспечения того, чтобы все женщины имели доступ к информации об их правах и имеющихся средствах правовой защиты;</w:t>
      </w:r>
    </w:p>
    <w:p w14:paraId="550E80D5" w14:textId="6A129F62" w:rsidR="001D7819" w:rsidRPr="007211C4" w:rsidRDefault="007211C4" w:rsidP="001D7819">
      <w:pPr>
        <w:pStyle w:val="SingleTxtG"/>
        <w:rPr>
          <w:b/>
          <w:bCs/>
        </w:rPr>
      </w:pPr>
      <w:r w:rsidRPr="007211C4">
        <w:rPr>
          <w:b/>
          <w:bCs/>
        </w:rPr>
        <w:tab/>
      </w:r>
      <w:r w:rsidR="001D7819" w:rsidRPr="007211C4">
        <w:rPr>
          <w:b/>
          <w:bCs/>
        </w:rPr>
        <w:t>b)</w:t>
      </w:r>
      <w:r w:rsidR="001D7819" w:rsidRPr="007211C4">
        <w:rPr>
          <w:b/>
          <w:bCs/>
        </w:rPr>
        <w:tab/>
        <w:t>активизировать усилия по судебному преследованию и вынесению обвинительных приговоров лицам, совершившим насилие в отношении женщин и девочек, в том числе путем продолжения и активизации обучения соответствующих государственных служащих, включая судей, адвокатов, прокуроров и сотрудников правоохранительных органов;</w:t>
      </w:r>
    </w:p>
    <w:p w14:paraId="2871587A" w14:textId="67796889" w:rsidR="001D7819" w:rsidRPr="00584BAE" w:rsidRDefault="007211C4" w:rsidP="001D7819">
      <w:pPr>
        <w:pStyle w:val="SingleTxtG"/>
        <w:rPr>
          <w:b/>
        </w:rPr>
      </w:pPr>
      <w:r w:rsidRPr="007211C4">
        <w:rPr>
          <w:b/>
          <w:bCs/>
        </w:rPr>
        <w:tab/>
      </w:r>
      <w:r w:rsidR="001D7819" w:rsidRPr="007211C4">
        <w:rPr>
          <w:b/>
          <w:bCs/>
        </w:rPr>
        <w:t>c)</w:t>
      </w:r>
      <w:r w:rsidR="001D7819" w:rsidRPr="007211C4">
        <w:rPr>
          <w:b/>
          <w:bCs/>
        </w:rPr>
        <w:tab/>
        <w:t>продолжать</w:t>
      </w:r>
      <w:r w:rsidR="001D7819">
        <w:rPr>
          <w:b/>
          <w:bCs/>
        </w:rPr>
        <w:t xml:space="preserve"> и наращивать усилия по расширению доступности приютов и обеспечить, чтобы все женщины, включая мигрантов, беженцев, </w:t>
      </w:r>
      <w:r w:rsidR="001D7819">
        <w:rPr>
          <w:b/>
          <w:bCs/>
        </w:rPr>
        <w:lastRenderedPageBreak/>
        <w:t>просителей убежища, жертв торговли людьми и лиц с неопределенным статусом проживания, могли получить доступ к таким учреждениям, не опасаясь санкций;</w:t>
      </w:r>
    </w:p>
    <w:p w14:paraId="1F5C05C8" w14:textId="37AC4C3A" w:rsidR="001D7819" w:rsidRPr="00584BAE" w:rsidRDefault="007211C4" w:rsidP="001D7819">
      <w:pPr>
        <w:pStyle w:val="SingleTxtG"/>
        <w:rPr>
          <w:b/>
        </w:rPr>
      </w:pPr>
      <w:r w:rsidRPr="007211C4">
        <w:rPr>
          <w:b/>
          <w:bCs/>
        </w:rPr>
        <w:tab/>
      </w:r>
      <w:r w:rsidR="001D7819" w:rsidRPr="007211C4">
        <w:rPr>
          <w:b/>
          <w:bCs/>
        </w:rPr>
        <w:t>d)</w:t>
      </w:r>
      <w:r w:rsidR="001D7819">
        <w:tab/>
      </w:r>
      <w:r w:rsidR="001D7819">
        <w:rPr>
          <w:b/>
          <w:bCs/>
        </w:rPr>
        <w:t>принять целенаправленные меры по защите женщин от домашнего насилия, особенно во время чрезвычайных ситуаций, таких как пандемия COVID-19.</w:t>
      </w:r>
    </w:p>
    <w:p w14:paraId="28568BBF" w14:textId="77777777" w:rsidR="001D7819" w:rsidRPr="00584BAE" w:rsidRDefault="001D7819" w:rsidP="001D7819">
      <w:pPr>
        <w:pStyle w:val="H23G"/>
      </w:pPr>
      <w:r>
        <w:tab/>
      </w:r>
      <w:r>
        <w:tab/>
      </w:r>
      <w:r>
        <w:rPr>
          <w:bCs/>
        </w:rPr>
        <w:t>Добровольное прерывание беременности, сексуальные и репродуктивные права</w:t>
      </w:r>
    </w:p>
    <w:p w14:paraId="1B3BD9CF" w14:textId="473C7984" w:rsidR="001D7819" w:rsidRPr="00584BAE" w:rsidRDefault="001D7819" w:rsidP="001D7819">
      <w:pPr>
        <w:pStyle w:val="SingleTxtG"/>
      </w:pPr>
      <w:r>
        <w:t>18.</w:t>
      </w:r>
      <w:r>
        <w:tab/>
        <w:t xml:space="preserve">Комитет выражает признательность государству-участнику за внесение поправок в статью 219а Уголовного кодекса, разрешающих публикацию информации о добровольном прерывании беременности. Тем не менее он по-прежнему обеспокоен положениями, которые обязывают женщин ждать прерывания беременности и </w:t>
      </w:r>
      <w:r w:rsidR="00295F3B">
        <w:br/>
      </w:r>
      <w:r>
        <w:t>по-прежнему квалифицируют аборт как правонарушение (раздел 218a Уголовного кодекса). Комитет также обеспокоен тем, что, несмотря на усилия государства-участника, женщины, обращающиеся за консультацией по поводу добровольного прерывания беременности, продолжают подвергаться моральному давлению и что сохраняются некоторые препятствия для равного доступа к услугам в области сексуального и репродуктивного здоровья, включая доступные по цене методы контрацепции (статьи 2</w:t>
      </w:r>
      <w:r w:rsidR="00295F3B">
        <w:t>–</w:t>
      </w:r>
      <w:r>
        <w:t>3, 6 и 17).</w:t>
      </w:r>
    </w:p>
    <w:p w14:paraId="621F8F3F" w14:textId="3E252CCC" w:rsidR="001D7819" w:rsidRPr="00584BAE" w:rsidRDefault="001D7819" w:rsidP="001D7819">
      <w:pPr>
        <w:pStyle w:val="SingleTxtG"/>
        <w:rPr>
          <w:b/>
        </w:rPr>
      </w:pPr>
      <w:r>
        <w:t>19.</w:t>
      </w:r>
      <w:r>
        <w:tab/>
      </w:r>
      <w:r>
        <w:rPr>
          <w:b/>
          <w:bCs/>
        </w:rPr>
        <w:t>Государству-участнику следует обеспечить полное и эффективное осуществление поправок к статье 219а Уголовного кодекса, чтобы облегчить доступ женщин к информации о добровольном прерывании беременности, усилить предоставление услуг по охране сексуального и репродуктивного здоровья, включая равный и приемлемый по цене доступ к методам контрацепции, и активизировать меры по защите от морального давления женщин, обращающихся за консультацией.</w:t>
      </w:r>
      <w:r>
        <w:t xml:space="preserve"> </w:t>
      </w:r>
      <w:r>
        <w:rPr>
          <w:b/>
          <w:bCs/>
        </w:rPr>
        <w:t>Кроме того, государству-участнику следует рассмотреть возможность отмены положений, которые могут создать препятствия для женщин, желающих сделать безопасный аборт, например положений, предписывающих обязательные периоды ожидания.</w:t>
      </w:r>
    </w:p>
    <w:p w14:paraId="6FC754CD" w14:textId="77777777" w:rsidR="001D7819" w:rsidRPr="00B241D6" w:rsidRDefault="001D7819" w:rsidP="001D7819">
      <w:pPr>
        <w:pStyle w:val="H23G"/>
      </w:pPr>
      <w:r>
        <w:tab/>
      </w:r>
      <w:r>
        <w:tab/>
      </w:r>
      <w:r>
        <w:rPr>
          <w:bCs/>
        </w:rPr>
        <w:t>Интерсексы</w:t>
      </w:r>
    </w:p>
    <w:p w14:paraId="4D0D3269" w14:textId="6880CE8F" w:rsidR="001D7819" w:rsidRPr="00584BAE" w:rsidRDefault="001D7819" w:rsidP="001D7819">
      <w:pPr>
        <w:pStyle w:val="SingleTxtG"/>
      </w:pPr>
      <w:r>
        <w:t>20.</w:t>
      </w:r>
      <w:r>
        <w:tab/>
        <w:t>Комитет обеспокоен сообщениями о том, что дети-интерсексы иногда подвергаются инвазивным, необоснованным с медицинской точки зрения и необратимым медицинским процедурам, направленным на «корректировку» их пола. Он также обеспокоен тем, что такие действия часто основаны на стереотипном представлении о гендерных ролях, включают унизительные и болезненные процедуры и осуществляются до того, как пострадавшие лица достигли возраста, позволяющего им дать свободное и осознанное согласие. К тому же он обеспокоен тем, что жертвы такой практики сталкиваются со значительными препятствиями в получении доступа к средствам правовой защиты, продолжая страдать в течение длительного времени от физического и психологического ущерба, в том числе из-за того, что сроки давности не позволяют детям-жертвам добиваться возмещения ущерба, когда они становятся взрослыми, из-за трудностей с доступом к медицинской документации и отсутствия компенсации. Комитет высоко оценивает введение государством-участником в действие Закона о защите детей с вариациями в половом развитии в 2021 году. Тем не менее он по-прежнему обеспокоен сообщениями о том, что данный закон не ограничивает конкретно все проблемные виды практики, не устанавливает уголовную ответственность и не устраняет все препятствия для доступа жертв к средствам правовой защиты (статьи 2</w:t>
      </w:r>
      <w:r w:rsidR="007F41AD">
        <w:t>–</w:t>
      </w:r>
      <w:r>
        <w:t>3, 7, 17, 24 и 26).</w:t>
      </w:r>
    </w:p>
    <w:p w14:paraId="0E53BC64" w14:textId="56B18AA2" w:rsidR="001D7819" w:rsidRPr="00584BAE" w:rsidRDefault="001D7819" w:rsidP="001D7819">
      <w:pPr>
        <w:pStyle w:val="SingleTxtG"/>
        <w:rPr>
          <w:b/>
        </w:rPr>
      </w:pPr>
      <w:r>
        <w:t>21.</w:t>
      </w:r>
      <w:r>
        <w:tab/>
      </w:r>
      <w:r>
        <w:rPr>
          <w:b/>
          <w:bCs/>
        </w:rPr>
        <w:t>Государству-участнику следует предпринять все необходимые шаги для обеспечения того, чтобы все действия, связанные с «корректировкой» пола детей-интерсексов, осуществляемые без их свободного и информированного согласия, были конкретно запрещены, за исключением случаев, когда такие вмешательства абсолютно необходимы по медицинским показаниям и когда наилучшие интересы ребенка были должным образом учтены.</w:t>
      </w:r>
      <w:r>
        <w:t xml:space="preserve"> </w:t>
      </w:r>
      <w:r>
        <w:rPr>
          <w:b/>
          <w:bCs/>
        </w:rPr>
        <w:t>Это должно включать рассмотрение поправок к Закону о защите детей с вариациями в половом развитии от 2021 года в течение пятилетнего периода, отведенного на его пересмотр, если это необходимо.</w:t>
      </w:r>
      <w:r>
        <w:t xml:space="preserve"> </w:t>
      </w:r>
      <w:r>
        <w:rPr>
          <w:b/>
          <w:bCs/>
        </w:rPr>
        <w:t xml:space="preserve">Государству-участнику следует также </w:t>
      </w:r>
      <w:r>
        <w:rPr>
          <w:b/>
          <w:bCs/>
        </w:rPr>
        <w:lastRenderedPageBreak/>
        <w:t>обеспечить всем жертвам доступ к средствам правовой защиты, в том числе путем пересмотра применения сроков давности в отношении нарушений в детском возрасте, принятия мер по обеспечению доступа всех жертв к их медицинским картам и рассмотрения вопроса о создании специального компенсационного фонда.</w:t>
      </w:r>
    </w:p>
    <w:p w14:paraId="3D6EFE6D" w14:textId="77777777" w:rsidR="001D7819" w:rsidRPr="00584BAE" w:rsidRDefault="001D7819" w:rsidP="001D7819">
      <w:pPr>
        <w:pStyle w:val="H23G"/>
      </w:pPr>
      <w:r>
        <w:tab/>
      </w:r>
      <w:r>
        <w:tab/>
      </w:r>
      <w:r>
        <w:rPr>
          <w:bCs/>
        </w:rPr>
        <w:t>Целенаправленные убийства с использованием беспилотных летательных аппаратов (дронов)</w:t>
      </w:r>
    </w:p>
    <w:p w14:paraId="66237AFB" w14:textId="77777777" w:rsidR="001D7819" w:rsidRPr="00584BAE" w:rsidRDefault="001D7819" w:rsidP="001D7819">
      <w:pPr>
        <w:pStyle w:val="SingleTxtG"/>
      </w:pPr>
      <w:r>
        <w:t>22.</w:t>
      </w:r>
      <w:r>
        <w:tab/>
        <w:t>Комитет сожалеет о недостаточности представленной информации о результатах шагов, предпринятых государством-участником для обеспечения того, чтобы военная поддержка, включая использование авиабазы Рамштайн и передачу данных в режиме реального времени на территории Германии, не способствовала использованию беспилотных летательных аппаратов (дронов) за пределами признанных зон конфликта, приводящему к жертвам среди гражданского населения (статьи 2 и 6).</w:t>
      </w:r>
    </w:p>
    <w:p w14:paraId="7A31D1C9" w14:textId="77777777" w:rsidR="001D7819" w:rsidRPr="00584BAE" w:rsidRDefault="001D7819" w:rsidP="001D7819">
      <w:pPr>
        <w:pStyle w:val="SingleTxtG"/>
        <w:rPr>
          <w:b/>
        </w:rPr>
      </w:pPr>
      <w:r>
        <w:t>23.</w:t>
      </w:r>
      <w:r>
        <w:tab/>
      </w:r>
      <w:r>
        <w:rPr>
          <w:b/>
          <w:bCs/>
        </w:rPr>
        <w:t>Государству-участнику следует принять все необходимые меры для обеспечения того, чтобы использование оснащенных оружием беспилотных летательных аппаратов, поддерживаемое инфраструктурой на его территории, полностью соответствовало его обязательствам по статье 6 Пакта, включая, в частности, меры по ограничению их использования вне признанных зон конфликтов, которое способного привести к произвольному лишению жизни.</w:t>
      </w:r>
    </w:p>
    <w:p w14:paraId="644A0DB8" w14:textId="77777777" w:rsidR="001D7819" w:rsidRPr="00584BAE" w:rsidRDefault="001D7819" w:rsidP="001D7819">
      <w:pPr>
        <w:pStyle w:val="H23G"/>
      </w:pPr>
      <w:r>
        <w:tab/>
      </w:r>
      <w:r>
        <w:tab/>
      </w:r>
      <w:r>
        <w:rPr>
          <w:bCs/>
        </w:rPr>
        <w:t>Изменение климата и деградация окружающей среды</w:t>
      </w:r>
    </w:p>
    <w:p w14:paraId="07FD35DF" w14:textId="0E2FBCBD" w:rsidR="001D7819" w:rsidRPr="00584BAE" w:rsidRDefault="001D7819" w:rsidP="001D7819">
      <w:pPr>
        <w:pStyle w:val="SingleTxtG"/>
      </w:pPr>
      <w:r>
        <w:t>24.</w:t>
      </w:r>
      <w:r>
        <w:tab/>
        <w:t>Комитет высоко оценивает усилия государства-участника по борьбе с изменением климата и деградацией окружающей среды, включая принятие в 2019 году Закона об изменении климата и Плана действий в области климата на период до 2050</w:t>
      </w:r>
      <w:r w:rsidR="00D65347">
        <w:t> </w:t>
      </w:r>
      <w:r>
        <w:t>года. Он приветствует информацию, представленную государством-участником в ходе интерактивного диалога с Комитетом, об усилиях по продвижению правозащитного подхода к проблеме изменения климата и реализации соответствующих проектов на международном уровне. Комитет также принимает к сведению важные выводы Федерального конституционного суда в его постановлении от 24 марта 2021 года</w:t>
      </w:r>
      <w:r w:rsidRPr="00682D5F">
        <w:rPr>
          <w:rStyle w:val="aa"/>
        </w:rPr>
        <w:footnoteReference w:id="11"/>
      </w:r>
      <w:r>
        <w:t>. Тем не менее Комитет сожалеет об отсутствии конкретной информации о мерах, принятых для разработки механизмов и систем обеспечения устойчивого использования природных ресурсов и принятия основанного на принципе предосторожности подхода для защиты людей, в том числе наиболее уязвимых, от негативных последствий изменения климата и стихийных бедствий, таких как сильные наводнения, с которыми государство-участник столкнулось на своей территории в 2021 году (статья 6).</w:t>
      </w:r>
    </w:p>
    <w:p w14:paraId="18086050" w14:textId="77777777" w:rsidR="001D7819" w:rsidRPr="00584BAE" w:rsidRDefault="001D7819" w:rsidP="001D7819">
      <w:pPr>
        <w:pStyle w:val="SingleTxtG"/>
        <w:rPr>
          <w:b/>
        </w:rPr>
      </w:pPr>
      <w:r>
        <w:t>25.</w:t>
      </w:r>
      <w:r>
        <w:tab/>
      </w:r>
      <w:r>
        <w:rPr>
          <w:b/>
          <w:bCs/>
        </w:rPr>
        <w:t>Государству-участнику следует продолжать и активизировать усилия по укреплению правовой базы в области изменения климата, в том числе путем принятия всех необходимых мер для реализации выводов Федерального конституционного суда в вышеупомянутом постановлении от 24 марта 2021 года.</w:t>
      </w:r>
      <w:r>
        <w:t xml:space="preserve"> </w:t>
      </w:r>
      <w:r>
        <w:rPr>
          <w:b/>
          <w:bCs/>
        </w:rPr>
        <w:t>Государству-участнику также следует предпринять адекватные шаги для разработки механизмов, обеспечивающих устойчивое использование природных ресурсов, и принять основанный на принципе предосторожности подход к защите людей, включая наиболее уязвимых, от негативных последствий изменения климата и стихийных бедствий.</w:t>
      </w:r>
      <w:r>
        <w:t xml:space="preserve"> </w:t>
      </w:r>
      <w:r>
        <w:rPr>
          <w:b/>
          <w:bCs/>
        </w:rPr>
        <w:t>В этой связи Комитет обращает внимание государства-участника на пункт 62 своего замечания общего порядка № 36 (2018) о праве на жизнь.</w:t>
      </w:r>
    </w:p>
    <w:p w14:paraId="1463AEAA" w14:textId="77777777" w:rsidR="001D7819" w:rsidRPr="00033A96" w:rsidRDefault="001D7819" w:rsidP="001D7819">
      <w:pPr>
        <w:pStyle w:val="H23G"/>
      </w:pPr>
      <w:r>
        <w:lastRenderedPageBreak/>
        <w:tab/>
      </w:r>
      <w:r>
        <w:tab/>
      </w:r>
      <w:r>
        <w:rPr>
          <w:bCs/>
        </w:rPr>
        <w:t>Чрезмерное применение силы</w:t>
      </w:r>
    </w:p>
    <w:p w14:paraId="4F305BD1" w14:textId="33345BE3" w:rsidR="001D7819" w:rsidRPr="00584BAE" w:rsidRDefault="001D7819" w:rsidP="001D7819">
      <w:pPr>
        <w:pStyle w:val="SingleTxtG"/>
      </w:pPr>
      <w:r>
        <w:t>26.</w:t>
      </w:r>
      <w:r>
        <w:tab/>
        <w:t>Комитет обеспокоен сообщениями о чрезмерном применении силы сотрудниками правоохранительных органов в государстве-участнике, в том числе в контексте охраны порядка в рамках таких мероприятий, как саммит Группы 20, состоявшийся в Гамбурге в 2017 году. Он также обеспокоен тем, что сотрудники федеральной полиции, а также некоторые сотрудники правоохранительных органов уровня земель не обязаны носить идентификационные жетоны, что затрудняет расследование заявлений о чрезмерном применении силы. К тому же он обеспокоен тем, что значительное число жалоб на жестокое обращение со стороны сотрудников правоохранительных органов не доходит до судов (статьи 6</w:t>
      </w:r>
      <w:r w:rsidR="00295F3B">
        <w:t>–</w:t>
      </w:r>
      <w:r>
        <w:t>7 и 21).</w:t>
      </w:r>
    </w:p>
    <w:p w14:paraId="0D3F3347" w14:textId="77777777" w:rsidR="001D7819" w:rsidRPr="00584BAE" w:rsidRDefault="001D7819" w:rsidP="001D7819">
      <w:pPr>
        <w:pStyle w:val="SingleTxtG"/>
        <w:rPr>
          <w:b/>
        </w:rPr>
      </w:pPr>
      <w:r>
        <w:t>27.</w:t>
      </w:r>
      <w:r>
        <w:tab/>
      </w:r>
      <w:r>
        <w:rPr>
          <w:b/>
          <w:bCs/>
        </w:rPr>
        <w:t>Применение силы сотрудниками правоохранительных органов, в том числе во время мирных собраний, должно быть приведено в соответствие с Пактом, Руководством Организации Объединенных Наций по правам человека о применении оружия нелетального действия в правоохранительной деятельности и Основными принципами применения силы и огнестрельного оружия должностными лицами по поддержанию правопорядка.</w:t>
      </w:r>
      <w:r>
        <w:t xml:space="preserve"> </w:t>
      </w:r>
      <w:r>
        <w:rPr>
          <w:b/>
          <w:bCs/>
        </w:rPr>
        <w:t>Государству-участнику также следует предпринять все необходимые шаги, включая рассмотрение вопроса об обязательном ношении идентификационных жетонов всеми сотрудниками правоохранительных органов, для обеспечения эффективного расследования утверждений о чрезмерном применении силы, а также преследования и наказания виновных.</w:t>
      </w:r>
    </w:p>
    <w:p w14:paraId="4C9ECFCF" w14:textId="77777777" w:rsidR="001D7819" w:rsidRPr="00584BAE" w:rsidRDefault="001D7819" w:rsidP="001D7819">
      <w:pPr>
        <w:pStyle w:val="H23G"/>
      </w:pPr>
      <w:r>
        <w:tab/>
      </w:r>
      <w:r>
        <w:tab/>
      </w:r>
      <w:r>
        <w:rPr>
          <w:bCs/>
        </w:rPr>
        <w:t>Использованием механических средств усмирения в отношении лиц, содержащихся под стражей в полиции</w:t>
      </w:r>
    </w:p>
    <w:p w14:paraId="039707B4" w14:textId="58017CE1" w:rsidR="001D7819" w:rsidRPr="00584BAE" w:rsidRDefault="001D7819" w:rsidP="001D7819">
      <w:pPr>
        <w:pStyle w:val="SingleTxtG"/>
      </w:pPr>
      <w:r>
        <w:t>28.</w:t>
      </w:r>
      <w:r>
        <w:tab/>
        <w:t xml:space="preserve">Комитет приветствует вступление в силу в 2018 году Закона об укреплении прав лиц, содержащихся под стражей, который предусматривает более строгие требования к использованию механических средств усмирения в отношении лиц, содержащихся под стражей в полиции. Однако он отмечает, что государство-участник не уточнило точный материальный охват более строгих требований или их влияние. Комитет также обеспокоен тем, что в некоторых землях по закону и на практике продолжается применение механических средств усмирения сотрудниками полиции (статьи 7 </w:t>
      </w:r>
      <w:r w:rsidR="007211C4">
        <w:br/>
      </w:r>
      <w:r>
        <w:t>и 9</w:t>
      </w:r>
      <w:r w:rsidR="007211C4">
        <w:t>–</w:t>
      </w:r>
      <w:r>
        <w:t>10).</w:t>
      </w:r>
    </w:p>
    <w:p w14:paraId="540F2D27" w14:textId="77777777" w:rsidR="001D7819" w:rsidRPr="00584BAE" w:rsidRDefault="001D7819" w:rsidP="001D7819">
      <w:pPr>
        <w:pStyle w:val="SingleTxtG"/>
        <w:rPr>
          <w:b/>
        </w:rPr>
      </w:pPr>
      <w:r>
        <w:t>29.</w:t>
      </w:r>
      <w:r>
        <w:tab/>
      </w:r>
      <w:r>
        <w:rPr>
          <w:b/>
          <w:bCs/>
        </w:rPr>
        <w:t>Государству-участнику следует продолжать и активизировать усилия по предотвращению использования механических средств усмирения в отношении лиц, содержащихся под стражей в полиции, в том числе путем рассмотрения дальнейших правовых реформ и улучшения координации с различными землями и между ними.</w:t>
      </w:r>
    </w:p>
    <w:p w14:paraId="654403D0" w14:textId="77777777" w:rsidR="001D7819" w:rsidRPr="00584BAE" w:rsidRDefault="001D7819" w:rsidP="001D7819">
      <w:pPr>
        <w:pStyle w:val="H23G"/>
      </w:pPr>
      <w:r>
        <w:tab/>
      </w:r>
      <w:r>
        <w:tab/>
      </w:r>
      <w:r>
        <w:rPr>
          <w:bCs/>
        </w:rPr>
        <w:t>Уход в учреждениях</w:t>
      </w:r>
    </w:p>
    <w:p w14:paraId="7D5329CF" w14:textId="77777777" w:rsidR="001D7819" w:rsidRPr="00584BAE" w:rsidRDefault="001D7819" w:rsidP="001D7819">
      <w:pPr>
        <w:pStyle w:val="SingleTxtG"/>
      </w:pPr>
      <w:r>
        <w:t>30.</w:t>
      </w:r>
      <w:r>
        <w:tab/>
        <w:t>Комитет обеспокоен:</w:t>
      </w:r>
    </w:p>
    <w:p w14:paraId="7A77F5F0" w14:textId="4C20BA93" w:rsidR="001D7819" w:rsidRPr="00584BAE" w:rsidRDefault="007211C4" w:rsidP="001D7819">
      <w:pPr>
        <w:pStyle w:val="SingleTxtG"/>
      </w:pPr>
      <w:r>
        <w:tab/>
      </w:r>
      <w:r w:rsidR="001D7819">
        <w:t>a)</w:t>
      </w:r>
      <w:r w:rsidR="001D7819">
        <w:tab/>
        <w:t>применением механических и химических средств усмирения к лицам с психосоциальными нарушениями и пожилым людям в учреждениях интернатного типа;</w:t>
      </w:r>
    </w:p>
    <w:p w14:paraId="6722EF3F" w14:textId="1EA27664" w:rsidR="001D7819" w:rsidRPr="00584BAE" w:rsidRDefault="007211C4" w:rsidP="001D7819">
      <w:pPr>
        <w:pStyle w:val="SingleTxtG"/>
      </w:pPr>
      <w:r>
        <w:tab/>
      </w:r>
      <w:r w:rsidR="001D7819">
        <w:t>b)</w:t>
      </w:r>
      <w:r w:rsidR="001D7819">
        <w:tab/>
        <w:t>сообщениями о жестоком обращении, включая пренебрежительное отношение, а также о физическом, психологическом и сексуальном насилии в отношении пожилых людей в учреждениях интернатного типа;</w:t>
      </w:r>
    </w:p>
    <w:p w14:paraId="424135DA" w14:textId="59A49DC3" w:rsidR="001D7819" w:rsidRPr="00584BAE" w:rsidRDefault="007211C4" w:rsidP="001D7819">
      <w:pPr>
        <w:pStyle w:val="SingleTxtG"/>
      </w:pPr>
      <w:r>
        <w:tab/>
      </w:r>
      <w:r w:rsidR="001D7819">
        <w:t>c)</w:t>
      </w:r>
      <w:r w:rsidR="001D7819">
        <w:tab/>
        <w:t>различиями в правовых стандартах и практике разных земель в отношении недобровольной госпитализации и принудительной госпитализации лиц с психосоциальными нарушениями;</w:t>
      </w:r>
    </w:p>
    <w:p w14:paraId="5ABBD099" w14:textId="1B452DF7" w:rsidR="001D7819" w:rsidRPr="00584BAE" w:rsidRDefault="007211C4" w:rsidP="001D7819">
      <w:pPr>
        <w:pStyle w:val="SingleTxtG"/>
      </w:pPr>
      <w:r>
        <w:tab/>
      </w:r>
      <w:r w:rsidR="001D7819">
        <w:t>d)</w:t>
      </w:r>
      <w:r w:rsidR="001D7819">
        <w:tab/>
        <w:t>законом, предусматривающим обстоятельства, при которых принудительная стерилизация взрослых людей с ограниченными возможностями остается допустимой;</w:t>
      </w:r>
    </w:p>
    <w:p w14:paraId="723E66B4" w14:textId="48011454" w:rsidR="001D7819" w:rsidRPr="00584BAE" w:rsidRDefault="007211C4" w:rsidP="001D7819">
      <w:pPr>
        <w:pStyle w:val="SingleTxtG"/>
      </w:pPr>
      <w:r>
        <w:tab/>
      </w:r>
      <w:r w:rsidR="001D7819">
        <w:t>e)</w:t>
      </w:r>
      <w:r w:rsidR="001D7819">
        <w:tab/>
        <w:t xml:space="preserve">информацией, свидетельствующей о недостаточности конкретных механизмов подачи жалоб для расследования и содействия государственному </w:t>
      </w:r>
      <w:r w:rsidR="001D7819">
        <w:lastRenderedPageBreak/>
        <w:t>преследованию и наказанию лиц, ответственных за все формы жестокого обращения в учреждениях по уходу;</w:t>
      </w:r>
    </w:p>
    <w:p w14:paraId="5EF70186" w14:textId="5AD421A8" w:rsidR="001D7819" w:rsidRPr="00584BAE" w:rsidRDefault="007211C4" w:rsidP="001D7819">
      <w:pPr>
        <w:pStyle w:val="SingleTxtG"/>
      </w:pPr>
      <w:r>
        <w:tab/>
      </w:r>
      <w:r w:rsidR="001D7819">
        <w:t>f)</w:t>
      </w:r>
      <w:r w:rsidR="001D7819">
        <w:tab/>
        <w:t>информацией, предоставленной государством-участником в ходе интерактивного диалога о воздействии COVID-19 на учреждения по уходу за престарелыми, включая нарушение нормативного надзора (статьи 7 и 9</w:t>
      </w:r>
      <w:r w:rsidR="00295F3B">
        <w:t>–</w:t>
      </w:r>
      <w:r w:rsidR="001D7819">
        <w:t>10).</w:t>
      </w:r>
    </w:p>
    <w:p w14:paraId="45024E84" w14:textId="77777777" w:rsidR="001D7819" w:rsidRPr="00584BAE" w:rsidRDefault="001D7819" w:rsidP="001D7819">
      <w:pPr>
        <w:pStyle w:val="SingleTxtG"/>
        <w:rPr>
          <w:b/>
        </w:rPr>
      </w:pPr>
      <w:r>
        <w:t>31.</w:t>
      </w:r>
      <w:r>
        <w:tab/>
      </w:r>
      <w:r>
        <w:rPr>
          <w:b/>
          <w:bCs/>
        </w:rPr>
        <w:t>С учетом предыдущей рекомендации</w:t>
      </w:r>
      <w:r w:rsidRPr="00682D5F">
        <w:rPr>
          <w:rStyle w:val="aa"/>
        </w:rPr>
        <w:footnoteReference w:id="12"/>
      </w:r>
      <w:r>
        <w:rPr>
          <w:b/>
          <w:bCs/>
        </w:rPr>
        <w:t xml:space="preserve"> Комитета государству-участнику следует:</w:t>
      </w:r>
    </w:p>
    <w:p w14:paraId="048AF9D2" w14:textId="794D2778" w:rsidR="001D7819" w:rsidRPr="007211C4" w:rsidRDefault="007211C4" w:rsidP="001D7819">
      <w:pPr>
        <w:pStyle w:val="SingleTxtG"/>
        <w:rPr>
          <w:b/>
          <w:bCs/>
        </w:rPr>
      </w:pPr>
      <w:r w:rsidRPr="007211C4">
        <w:rPr>
          <w:b/>
          <w:bCs/>
        </w:rPr>
        <w:tab/>
      </w:r>
      <w:r w:rsidR="001D7819" w:rsidRPr="007211C4">
        <w:rPr>
          <w:b/>
          <w:bCs/>
        </w:rPr>
        <w:t>a)</w:t>
      </w:r>
      <w:r w:rsidR="001D7819" w:rsidRPr="007211C4">
        <w:rPr>
          <w:b/>
          <w:bCs/>
        </w:rPr>
        <w:tab/>
        <w:t>продолжать и наращивать усилия по мониторингу, предотвращению и искоренению использования физических и химических средств усмирения в учреждениях по уходу;</w:t>
      </w:r>
    </w:p>
    <w:p w14:paraId="629E94ED" w14:textId="1FF02FCA" w:rsidR="001D7819" w:rsidRPr="007211C4" w:rsidRDefault="007211C4" w:rsidP="001D7819">
      <w:pPr>
        <w:pStyle w:val="SingleTxtG"/>
        <w:rPr>
          <w:b/>
          <w:bCs/>
        </w:rPr>
      </w:pPr>
      <w:r w:rsidRPr="007211C4">
        <w:rPr>
          <w:b/>
          <w:bCs/>
        </w:rPr>
        <w:tab/>
      </w:r>
      <w:r w:rsidR="001D7819" w:rsidRPr="007211C4">
        <w:rPr>
          <w:b/>
          <w:bCs/>
        </w:rPr>
        <w:t>b)</w:t>
      </w:r>
      <w:r w:rsidR="001D7819" w:rsidRPr="007211C4">
        <w:rPr>
          <w:b/>
          <w:bCs/>
        </w:rPr>
        <w:tab/>
        <w:t>активизировать усилия по мониторингу, предотвращению и искоренению всех форм злоупотреблений в отношении пожилых людей и лиц с психосоциальными нарушениями в учреждениях интернатного типа;</w:t>
      </w:r>
    </w:p>
    <w:p w14:paraId="78C4254E" w14:textId="5C662256" w:rsidR="001D7819" w:rsidRPr="007211C4" w:rsidRDefault="007211C4" w:rsidP="001D7819">
      <w:pPr>
        <w:pStyle w:val="SingleTxtG"/>
        <w:rPr>
          <w:b/>
          <w:bCs/>
        </w:rPr>
      </w:pPr>
      <w:r w:rsidRPr="007211C4">
        <w:rPr>
          <w:b/>
          <w:bCs/>
        </w:rPr>
        <w:tab/>
      </w:r>
      <w:r w:rsidR="001D7819" w:rsidRPr="007211C4">
        <w:rPr>
          <w:b/>
          <w:bCs/>
        </w:rPr>
        <w:t>c)</w:t>
      </w:r>
      <w:r w:rsidR="001D7819" w:rsidRPr="007211C4">
        <w:rPr>
          <w:b/>
          <w:bCs/>
        </w:rPr>
        <w:tab/>
        <w:t>рассмотреть возможность дальнейшей гармонизации правовых стандартов различных земель в отношении недобровольной госпитализации и принудительной госпитализации лиц с психосоциальными нарушениями, обеспечив, чтобы все такие стандарты и механизмы судебного надзора учитывали принципы необходимости и соразмерности;</w:t>
      </w:r>
    </w:p>
    <w:p w14:paraId="17D8200B" w14:textId="554021CC" w:rsidR="001D7819" w:rsidRPr="007211C4" w:rsidRDefault="007211C4" w:rsidP="001D7819">
      <w:pPr>
        <w:pStyle w:val="SingleTxtG"/>
        <w:rPr>
          <w:b/>
          <w:bCs/>
        </w:rPr>
      </w:pPr>
      <w:r w:rsidRPr="007211C4">
        <w:rPr>
          <w:b/>
          <w:bCs/>
        </w:rPr>
        <w:tab/>
      </w:r>
      <w:r w:rsidR="001D7819" w:rsidRPr="007211C4">
        <w:rPr>
          <w:b/>
          <w:bCs/>
        </w:rPr>
        <w:t>d)</w:t>
      </w:r>
      <w:r w:rsidR="001D7819" w:rsidRPr="007211C4">
        <w:rPr>
          <w:b/>
          <w:bCs/>
        </w:rPr>
        <w:tab/>
        <w:t>устранить в законе любые исключения из запрета на принудительную стерилизацию взрослых людей с инвалидностью и обеспечить эффективное применение таких норм;</w:t>
      </w:r>
    </w:p>
    <w:p w14:paraId="5951FF77" w14:textId="185D5FCF" w:rsidR="001D7819" w:rsidRPr="007211C4" w:rsidRDefault="007211C4" w:rsidP="001D7819">
      <w:pPr>
        <w:pStyle w:val="SingleTxtG"/>
        <w:rPr>
          <w:b/>
          <w:bCs/>
        </w:rPr>
      </w:pPr>
      <w:r w:rsidRPr="007211C4">
        <w:rPr>
          <w:b/>
          <w:bCs/>
        </w:rPr>
        <w:tab/>
      </w:r>
      <w:r w:rsidR="001D7819" w:rsidRPr="007211C4">
        <w:rPr>
          <w:b/>
          <w:bCs/>
        </w:rPr>
        <w:t>e)</w:t>
      </w:r>
      <w:r w:rsidR="001D7819" w:rsidRPr="007211C4">
        <w:rPr>
          <w:b/>
          <w:bCs/>
        </w:rPr>
        <w:tab/>
        <w:t>рассмотреть возможность расширения доступности специальных механизмов подачи жалоб для расследования и содействия преследованию и наказанию лиц, ответственных за все формы жестокого обращения в учреждениях по уходу;</w:t>
      </w:r>
    </w:p>
    <w:p w14:paraId="39C25E49" w14:textId="513153BA" w:rsidR="001D7819" w:rsidRPr="007211C4" w:rsidRDefault="007211C4" w:rsidP="001D7819">
      <w:pPr>
        <w:pStyle w:val="SingleTxtG"/>
        <w:rPr>
          <w:b/>
          <w:bCs/>
        </w:rPr>
      </w:pPr>
      <w:r w:rsidRPr="007211C4">
        <w:rPr>
          <w:b/>
          <w:bCs/>
        </w:rPr>
        <w:tab/>
      </w:r>
      <w:r w:rsidR="001D7819" w:rsidRPr="007211C4">
        <w:rPr>
          <w:b/>
          <w:bCs/>
        </w:rPr>
        <w:t>f)</w:t>
      </w:r>
      <w:r w:rsidR="001D7819" w:rsidRPr="007211C4">
        <w:rPr>
          <w:b/>
          <w:bCs/>
        </w:rPr>
        <w:tab/>
        <w:t>принять целенаправленные меры по защите пожилых людей от COVID-19 и/или других серьезных чрезвычайных ситуаций в области общественного здравоохранения и как можно скорее восстановить полный нормативный надзор.</w:t>
      </w:r>
    </w:p>
    <w:p w14:paraId="70A7D921" w14:textId="77777777" w:rsidR="001D7819" w:rsidRPr="00584BAE" w:rsidRDefault="001D7819" w:rsidP="001D7819">
      <w:pPr>
        <w:pStyle w:val="H23G"/>
      </w:pPr>
      <w:r>
        <w:tab/>
      </w:r>
      <w:r>
        <w:tab/>
      </w:r>
      <w:r>
        <w:rPr>
          <w:bCs/>
        </w:rPr>
        <w:t>Одиночное заключение и дисциплинарный арест</w:t>
      </w:r>
    </w:p>
    <w:p w14:paraId="7241B32F" w14:textId="1C091609" w:rsidR="001D7819" w:rsidRPr="00584BAE" w:rsidRDefault="001D7819" w:rsidP="001D7819">
      <w:pPr>
        <w:pStyle w:val="SingleTxtG"/>
      </w:pPr>
      <w:r>
        <w:t>32.</w:t>
      </w:r>
      <w:r>
        <w:tab/>
        <w:t>Комитет обеспокоен применением государством-участником одиночного заключения и дисциплинарного ареста. Он отмечает, что такие меры используются в качестве крайней меры и должны быть предусмотрены законом. Тем не менее он обеспокоен информацией, предоставленной государством-участником в ходе интерактивного диалога, которая указывает на то, что одиночное заключение может использоваться в течение неопределенного периода времени, а дисциплинарный арест может длиться четыре недели. Он также обеспокоен тем, что несовершеннолетние иногда подвергаются одиночному заключению и дисциплинарному аресту. Кроме того, понимая, что в соответствии с федеральной системой полномочия по управлению тюрьмами делегированы, Комитет с обеспокоенностью отмечает, что законодательные ограничения на дисциплинарный арест составляют от нуля до четырех недель в зависимости от различных земель (статьи 7, 9</w:t>
      </w:r>
      <w:r w:rsidR="00295F3B">
        <w:t>–</w:t>
      </w:r>
      <w:r>
        <w:t>10 и 24).</w:t>
      </w:r>
    </w:p>
    <w:p w14:paraId="5D83F700" w14:textId="379F0494" w:rsidR="001D7819" w:rsidRPr="00584BAE" w:rsidRDefault="001D7819" w:rsidP="001D7819">
      <w:pPr>
        <w:pStyle w:val="SingleTxtG"/>
        <w:rPr>
          <w:b/>
        </w:rPr>
      </w:pPr>
      <w:r>
        <w:t>33.</w:t>
      </w:r>
      <w:r>
        <w:tab/>
      </w:r>
      <w:r>
        <w:rPr>
          <w:b/>
          <w:bCs/>
        </w:rPr>
        <w:t>Государству-участнику следует привести все свое законодательство и практику в отношении одиночного заключения и дисциплинарного ареста в соответствие с Пактом и международными нормами, отраженными в Минимальных стандартных правилах Организации Объединенных Наций в отношении обращения с заключенными (Правила Нельсона Манделы).</w:t>
      </w:r>
      <w:r>
        <w:t xml:space="preserve"> </w:t>
      </w:r>
      <w:r>
        <w:rPr>
          <w:b/>
          <w:bCs/>
        </w:rPr>
        <w:t>Ему следует сделать это путем отмены содержания несовершеннолетних в одиночных камерах и пересмотра общей продолжительности одиночного заключения и дисциплинарного ареста, даже если эта практика используется в качестве крайней меры.</w:t>
      </w:r>
      <w:r>
        <w:t xml:space="preserve"> </w:t>
      </w:r>
      <w:r>
        <w:rPr>
          <w:b/>
          <w:bCs/>
        </w:rPr>
        <w:t xml:space="preserve">Государству-участнику следует также усилить координацию и </w:t>
      </w:r>
      <w:r>
        <w:rPr>
          <w:b/>
          <w:bCs/>
        </w:rPr>
        <w:lastRenderedPageBreak/>
        <w:t>правовую гармонизацию с различными землями и между ними и регулярно оценивать последствия одиночного заключения и дисциплинарного а</w:t>
      </w:r>
      <w:r w:rsidR="00295F3B">
        <w:rPr>
          <w:b/>
          <w:bCs/>
        </w:rPr>
        <w:t>р</w:t>
      </w:r>
      <w:r>
        <w:rPr>
          <w:b/>
          <w:bCs/>
        </w:rPr>
        <w:t>еста, чтобы продолжать сокращать их использование и разрабатывать альтернативные меры, когда это необходимо.</w:t>
      </w:r>
    </w:p>
    <w:p w14:paraId="2AA7AE9E" w14:textId="77777777" w:rsidR="001D7819" w:rsidRPr="00584BAE" w:rsidRDefault="001D7819" w:rsidP="001D7819">
      <w:pPr>
        <w:pStyle w:val="H23G"/>
      </w:pPr>
      <w:r>
        <w:tab/>
      </w:r>
      <w:r>
        <w:tab/>
      </w:r>
      <w:r>
        <w:rPr>
          <w:bCs/>
        </w:rPr>
        <w:t>Превентивное содержание под стражей после вынесения приговора</w:t>
      </w:r>
    </w:p>
    <w:p w14:paraId="7DE2A149" w14:textId="6A4EA7DB" w:rsidR="001D7819" w:rsidRPr="00584BAE" w:rsidRDefault="001D7819" w:rsidP="001D7819">
      <w:pPr>
        <w:pStyle w:val="SingleTxtG"/>
      </w:pPr>
      <w:r>
        <w:t>34.</w:t>
      </w:r>
      <w:r>
        <w:tab/>
        <w:t>Комитет отмечает представленную государством-участником информацию о реформах правовой базы и улучшении условий содержания под стражей после соответствующих постановлений Европейского суда по правам человека, а также о том, что превентивное содержание под стражей подлежит строгому судебному надзору. Тем не менее Комитет обеспокоен тем, что имплементационный акт по Федеральному закону о требовании в отношении расстояния в праве, регулирующем превентивное содержание под стражей, который был принят в 2013 году, допускает превентивное содержание под стражей после вынесения приговора по ряду оснований, в том числе в отношении лиц, признанных страдающими «психическим расстройством» или поведение которых дает конкретные основания предполагать высокий риск совершения крайне жестоких или сексуальных преступлений, а также в отношении «преступников-экстремистов». Он также обеспокоен отсутствием ясности в отношении того, каким именно образом судебный надзор обеспечивает, чтобы превентивное содержание под стражей использовалось только в качестве крайней меры во всех случаях (статьи 9 и 14</w:t>
      </w:r>
      <w:r w:rsidR="00295F3B">
        <w:t>–</w:t>
      </w:r>
      <w:r>
        <w:t>15).</w:t>
      </w:r>
      <w:bookmarkStart w:id="0" w:name="_Hlk88730022"/>
      <w:bookmarkEnd w:id="0"/>
    </w:p>
    <w:p w14:paraId="7A526F11" w14:textId="77777777" w:rsidR="001D7819" w:rsidRPr="00584BAE" w:rsidRDefault="001D7819" w:rsidP="001D7819">
      <w:pPr>
        <w:pStyle w:val="SingleTxtG"/>
        <w:rPr>
          <w:b/>
        </w:rPr>
      </w:pPr>
      <w:r>
        <w:t>35.</w:t>
      </w:r>
      <w:r>
        <w:tab/>
      </w:r>
      <w:r>
        <w:rPr>
          <w:b/>
          <w:bCs/>
        </w:rPr>
        <w:t>С учетом предыдущей рекомендации</w:t>
      </w:r>
      <w:r w:rsidRPr="00682D5F">
        <w:rPr>
          <w:rStyle w:val="aa"/>
        </w:rPr>
        <w:footnoteReference w:id="13"/>
      </w:r>
      <w:r>
        <w:rPr>
          <w:b/>
          <w:bCs/>
        </w:rPr>
        <w:t xml:space="preserve"> Комитета государству-участнику следует принять дополнительные меры для обеспечения того, чтобы предварительное заключение после вынесения приговора использовалось только в качестве крайней меры.</w:t>
      </w:r>
      <w:r>
        <w:t xml:space="preserve"> </w:t>
      </w:r>
      <w:r>
        <w:rPr>
          <w:b/>
          <w:bCs/>
        </w:rPr>
        <w:t>Ему также следует продолжать и наращивать усилия по обеспечению того, чтобы условия содержания под стражей отличались от условий содержания осужденных заключенных и были направлены на терапевтическое лечение, реабилитацию и реинтеграцию лиц, в отношении которых применяется превентивное содержание под стражей, в общество.</w:t>
      </w:r>
      <w:r>
        <w:t xml:space="preserve"> </w:t>
      </w:r>
      <w:r>
        <w:rPr>
          <w:b/>
          <w:bCs/>
        </w:rPr>
        <w:t>В этой связи Комитет обращает внимание государства-участника на пункт 21 своего замечания общего порядка № 35 (2014).</w:t>
      </w:r>
    </w:p>
    <w:p w14:paraId="477BE1A0" w14:textId="77777777" w:rsidR="001D7819" w:rsidRPr="00584BAE" w:rsidRDefault="001D7819" w:rsidP="001D7819">
      <w:pPr>
        <w:pStyle w:val="H23G"/>
      </w:pPr>
      <w:r>
        <w:tab/>
      </w:r>
      <w:r>
        <w:tab/>
      </w:r>
      <w:r>
        <w:rPr>
          <w:bCs/>
        </w:rPr>
        <w:t>Меры реагирования на COVID-19</w:t>
      </w:r>
    </w:p>
    <w:p w14:paraId="768B9A1A" w14:textId="65E6C4B9" w:rsidR="001D7819" w:rsidRPr="00584BAE" w:rsidRDefault="001D7819" w:rsidP="001D7819">
      <w:pPr>
        <w:pStyle w:val="SingleTxtG"/>
      </w:pPr>
      <w:r>
        <w:t>36.</w:t>
      </w:r>
      <w:r>
        <w:tab/>
        <w:t>Комитет отмечает информацию, предоставленную государством-участником, указывающую на то, что ограничения в отношении некоторых статей Пакта, таких как статьи 12 и 21</w:t>
      </w:r>
      <w:r w:rsidR="00585D1F">
        <w:t>–</w:t>
      </w:r>
      <w:r>
        <w:t>22, были введены для защиты здоровья населения в контексте пандемии COVID-19, и что применение соответствующих мер на уровне земель является объектом федерального судебного надзора. Тем не менее Комитет обеспокоен сообщениями о том, что в контексте мер реагирования государства-участника на пандемию были введены значительные ограничения гражданских и политических прав, которые потребовали пересмотра национальной правовой базы (статьи 4, 12 и 21</w:t>
      </w:r>
      <w:r w:rsidR="00585D1F">
        <w:t>–</w:t>
      </w:r>
      <w:r>
        <w:t>22).</w:t>
      </w:r>
    </w:p>
    <w:p w14:paraId="64A3D59F" w14:textId="0A5D993E" w:rsidR="001D7819" w:rsidRPr="00584BAE" w:rsidRDefault="001D7819" w:rsidP="001D7819">
      <w:pPr>
        <w:pStyle w:val="SingleTxtG"/>
        <w:rPr>
          <w:b/>
        </w:rPr>
      </w:pPr>
      <w:r>
        <w:t>37.</w:t>
      </w:r>
      <w:r>
        <w:tab/>
      </w:r>
      <w:r>
        <w:rPr>
          <w:b/>
          <w:bCs/>
        </w:rPr>
        <w:t>Государству-участнику следует обеспечить, чтобы его национальная правовая база в области чрезвычайных ситуаций, включая е</w:t>
      </w:r>
      <w:r w:rsidR="00585D1F">
        <w:rPr>
          <w:b/>
          <w:bCs/>
        </w:rPr>
        <w:t>е</w:t>
      </w:r>
      <w:r>
        <w:rPr>
          <w:b/>
          <w:bCs/>
        </w:rPr>
        <w:t xml:space="preserve"> положения, которые связаны с охраной здоровья населения, соответствовала всем положениям Пакта.</w:t>
      </w:r>
      <w:r>
        <w:t xml:space="preserve"> </w:t>
      </w:r>
      <w:r>
        <w:rPr>
          <w:b/>
          <w:bCs/>
        </w:rPr>
        <w:t>Государству-участнику также следует обеспечить, чтобы любые ограничения свободы передвижения и свободы собраний и ассоциации строго соответствовали условиям, изложенным в статьях 12 (3), 21 и 22 (2).</w:t>
      </w:r>
      <w:r>
        <w:t xml:space="preserve"> </w:t>
      </w:r>
      <w:r>
        <w:rPr>
          <w:b/>
          <w:bCs/>
        </w:rPr>
        <w:t>Более того, если материальная сфера любого ограничения прав, закрепленных в Пакте, выходит за рамки ограничений, предусмотренных в статьях 12 (3), 21 и 22 (2) и любых других соответствующих статьях, государству-участнику следует воспользоваться правом отступления и немедленно проинформировать об этом другие государства</w:t>
      </w:r>
      <w:r w:rsidR="00585D1F">
        <w:rPr>
          <w:b/>
          <w:bCs/>
        </w:rPr>
        <w:t xml:space="preserve"> — </w:t>
      </w:r>
      <w:r>
        <w:rPr>
          <w:b/>
          <w:bCs/>
        </w:rPr>
        <w:t>участники Пакта при посредничестве Генерального секретаря.</w:t>
      </w:r>
    </w:p>
    <w:p w14:paraId="7C473077" w14:textId="19E29C2B" w:rsidR="001D7819" w:rsidRPr="00584BAE" w:rsidRDefault="001D7819" w:rsidP="001D7819">
      <w:pPr>
        <w:pStyle w:val="H23G"/>
      </w:pPr>
      <w:r>
        <w:lastRenderedPageBreak/>
        <w:tab/>
      </w:r>
      <w:r>
        <w:tab/>
      </w:r>
      <w:r>
        <w:rPr>
          <w:bCs/>
        </w:rPr>
        <w:t>Обращение с иностранцами, включая беженцев, просителей убежища и</w:t>
      </w:r>
      <w:r w:rsidR="00585D1F">
        <w:rPr>
          <w:bCs/>
        </w:rPr>
        <w:t> </w:t>
      </w:r>
      <w:r>
        <w:rPr>
          <w:bCs/>
        </w:rPr>
        <w:t>мигрантов</w:t>
      </w:r>
    </w:p>
    <w:p w14:paraId="521B4129" w14:textId="77777777" w:rsidR="001D7819" w:rsidRPr="00584BAE" w:rsidRDefault="001D7819" w:rsidP="001D7819">
      <w:pPr>
        <w:pStyle w:val="SingleTxtG"/>
      </w:pPr>
      <w:r>
        <w:t>38.</w:t>
      </w:r>
      <w:r>
        <w:tab/>
        <w:t>Комитет выражает признательность государству-участнику за солидарность, проявленную им при приеме беженцев, и за его неизменный подход к защите беженцев, основанный на участии всего общества. Вместе с тем его обеспокоенность вызывают следующие моменты:</w:t>
      </w:r>
    </w:p>
    <w:p w14:paraId="7A9FAC84" w14:textId="6C65E401" w:rsidR="001D7819" w:rsidRPr="00584BAE" w:rsidRDefault="007211C4" w:rsidP="001D7819">
      <w:pPr>
        <w:pStyle w:val="SingleTxtG"/>
      </w:pPr>
      <w:r>
        <w:tab/>
      </w:r>
      <w:r w:rsidR="001D7819">
        <w:t>a)</w:t>
      </w:r>
      <w:r w:rsidR="001D7819">
        <w:tab/>
        <w:t>ограничения на воссоединение семей для лиц, пользующихся вспомогательной защитой, основанные на квотах, а также административные препятствия, с которыми сталкиваются имеющие право претендовать на это просители при получении соответствующих виз;</w:t>
      </w:r>
    </w:p>
    <w:p w14:paraId="5AAA3000" w14:textId="1BE8E79C" w:rsidR="001D7819" w:rsidRPr="00584BAE" w:rsidRDefault="007211C4" w:rsidP="001D7819">
      <w:pPr>
        <w:pStyle w:val="SingleTxtG"/>
      </w:pPr>
      <w:r>
        <w:tab/>
      </w:r>
      <w:r w:rsidR="001D7819">
        <w:t>b)</w:t>
      </w:r>
      <w:r w:rsidR="001D7819">
        <w:tab/>
        <w:t>неоправданные ограничения в определении понятия семьи для целей воссоединения, включая исключение братьев и сестер несопровождаемых детей;</w:t>
      </w:r>
    </w:p>
    <w:p w14:paraId="4E004724" w14:textId="510A1F37" w:rsidR="001D7819" w:rsidRPr="00584BAE" w:rsidRDefault="007211C4" w:rsidP="001D7819">
      <w:pPr>
        <w:pStyle w:val="SingleTxtG"/>
      </w:pPr>
      <w:r>
        <w:tab/>
      </w:r>
      <w:r w:rsidR="001D7819">
        <w:t>c)</w:t>
      </w:r>
      <w:r w:rsidR="001D7819">
        <w:tab/>
        <w:t>подпункт 1 пункта а) статьи 62 Закона о пребывании иностранных граждан не запрещает помещение в тюрьму лиц, подлежащих депортации, на время ожидания депортации;</w:t>
      </w:r>
    </w:p>
    <w:p w14:paraId="7BB6136E" w14:textId="0C5C6F21" w:rsidR="001D7819" w:rsidRPr="00584BAE" w:rsidRDefault="007211C4" w:rsidP="001D7819">
      <w:pPr>
        <w:pStyle w:val="SingleTxtG"/>
      </w:pPr>
      <w:r>
        <w:tab/>
      </w:r>
      <w:r w:rsidR="001D7819">
        <w:t>d)</w:t>
      </w:r>
      <w:r w:rsidR="001D7819">
        <w:tab/>
        <w:t>сообщения о депортациях, проведенных без предоставления процедур индивидуальной оценки, что является потенциальным нарушением принципа невыдворения;</w:t>
      </w:r>
    </w:p>
    <w:p w14:paraId="13145D9F" w14:textId="76869ABB" w:rsidR="001D7819" w:rsidRPr="00584BAE" w:rsidRDefault="007211C4" w:rsidP="001D7819">
      <w:pPr>
        <w:pStyle w:val="SingleTxtG"/>
      </w:pPr>
      <w:r>
        <w:tab/>
      </w:r>
      <w:r w:rsidR="001D7819">
        <w:t>e)</w:t>
      </w:r>
      <w:r w:rsidR="001D7819">
        <w:tab/>
        <w:t>сообщения о плохих условиях в Анкер-центрах (центры прибытия, принятия решения и возвращения), а также о том, что такие центры находятся в географически удаленных районах, что ограничивает доступ к основным у</w:t>
      </w:r>
      <w:r>
        <w:t>с</w:t>
      </w:r>
      <w:r w:rsidR="001D7819">
        <w:t>лугам;</w:t>
      </w:r>
    </w:p>
    <w:p w14:paraId="0F585D94" w14:textId="660D1F26" w:rsidR="001D7819" w:rsidRPr="00584BAE" w:rsidRDefault="007211C4" w:rsidP="001D7819">
      <w:pPr>
        <w:pStyle w:val="SingleTxtG"/>
      </w:pPr>
      <w:r>
        <w:tab/>
      </w:r>
      <w:r w:rsidR="001D7819">
        <w:t>f)</w:t>
      </w:r>
      <w:r w:rsidR="001D7819">
        <w:tab/>
        <w:t>хотя мигранты с неурегулированным статусом имеют</w:t>
      </w:r>
      <w:r w:rsidR="001D7819" w:rsidRPr="004915C7">
        <w:t xml:space="preserve"> </w:t>
      </w:r>
      <w:r w:rsidR="001D7819">
        <w:t>по закону право на получение вакцины COVID-19 в соответствии с разделом 1 (1) Постановления о вакцинации против коронавируса, на практике остаются препятствия для эффективного доступа (статьи 2, 6</w:t>
      </w:r>
      <w:r w:rsidR="00585D1F">
        <w:t>–</w:t>
      </w:r>
      <w:r w:rsidR="001D7819">
        <w:t>7, 9, 13 и 26).</w:t>
      </w:r>
    </w:p>
    <w:p w14:paraId="4C0AAED0" w14:textId="77777777" w:rsidR="001D7819" w:rsidRPr="00584BAE" w:rsidRDefault="001D7819" w:rsidP="001D7819">
      <w:pPr>
        <w:pStyle w:val="SingleTxtG"/>
        <w:rPr>
          <w:b/>
        </w:rPr>
      </w:pPr>
      <w:r>
        <w:t>39.</w:t>
      </w:r>
      <w:r>
        <w:tab/>
      </w:r>
      <w:r>
        <w:rPr>
          <w:b/>
          <w:bCs/>
        </w:rPr>
        <w:t>Государству-участнику следует:</w:t>
      </w:r>
    </w:p>
    <w:p w14:paraId="50E1364E" w14:textId="528B1537" w:rsidR="001D7819" w:rsidRPr="007211C4" w:rsidRDefault="007211C4" w:rsidP="001D7819">
      <w:pPr>
        <w:pStyle w:val="SingleTxtG"/>
        <w:rPr>
          <w:b/>
          <w:bCs/>
        </w:rPr>
      </w:pPr>
      <w:r w:rsidRPr="007211C4">
        <w:rPr>
          <w:b/>
          <w:bCs/>
        </w:rPr>
        <w:tab/>
      </w:r>
      <w:r w:rsidR="001D7819" w:rsidRPr="007211C4">
        <w:rPr>
          <w:b/>
          <w:bCs/>
        </w:rPr>
        <w:t>a)</w:t>
      </w:r>
      <w:r w:rsidR="001D7819" w:rsidRPr="007211C4">
        <w:rPr>
          <w:b/>
          <w:bCs/>
        </w:rPr>
        <w:tab/>
        <w:t>рассмотреть возможность отмены ограничений на воссоединение семей на основе квот и обеспечить право на воссоединение семей путем применения единых критериев, а также устранить административные препятствия для получения виз для этих целей;</w:t>
      </w:r>
    </w:p>
    <w:p w14:paraId="6AED38E2" w14:textId="2070DF5B" w:rsidR="001D7819" w:rsidRPr="007211C4" w:rsidRDefault="007211C4" w:rsidP="001D7819">
      <w:pPr>
        <w:pStyle w:val="SingleTxtG"/>
        <w:rPr>
          <w:b/>
          <w:bCs/>
        </w:rPr>
      </w:pPr>
      <w:r w:rsidRPr="007211C4">
        <w:rPr>
          <w:b/>
          <w:bCs/>
        </w:rPr>
        <w:tab/>
      </w:r>
      <w:r w:rsidR="001D7819" w:rsidRPr="007211C4">
        <w:rPr>
          <w:b/>
          <w:bCs/>
        </w:rPr>
        <w:t>b)</w:t>
      </w:r>
      <w:r w:rsidR="001D7819" w:rsidRPr="007211C4">
        <w:rPr>
          <w:b/>
          <w:bCs/>
        </w:rPr>
        <w:tab/>
        <w:t>рассмотреть возможность пересмотра определения семьи для целей воссоединения, в частности путем включения в него братьев и сестер несопровождаемых несовершеннолетних;</w:t>
      </w:r>
    </w:p>
    <w:p w14:paraId="29AC1B2E" w14:textId="3AAF5093" w:rsidR="001D7819" w:rsidRPr="007211C4" w:rsidRDefault="007211C4" w:rsidP="001D7819">
      <w:pPr>
        <w:pStyle w:val="SingleTxtG"/>
        <w:rPr>
          <w:b/>
          <w:bCs/>
        </w:rPr>
      </w:pPr>
      <w:r w:rsidRPr="007211C4">
        <w:rPr>
          <w:b/>
          <w:bCs/>
        </w:rPr>
        <w:tab/>
      </w:r>
      <w:r w:rsidR="001D7819" w:rsidRPr="007211C4">
        <w:rPr>
          <w:b/>
          <w:bCs/>
        </w:rPr>
        <w:t>c)</w:t>
      </w:r>
      <w:r w:rsidR="001D7819" w:rsidRPr="007211C4">
        <w:rPr>
          <w:b/>
          <w:bCs/>
        </w:rPr>
        <w:tab/>
        <w:t>пересмотреть подпункт 1 пункта а) статьи 62 Закона о пребывании иностранных граждан с целью недопущения помещения в тюрьмы лиц, ожидающих депортации;</w:t>
      </w:r>
    </w:p>
    <w:p w14:paraId="4A9B8EE6" w14:textId="72B2F61C" w:rsidR="001D7819" w:rsidRPr="007211C4" w:rsidRDefault="007211C4" w:rsidP="001D7819">
      <w:pPr>
        <w:pStyle w:val="SingleTxtG"/>
        <w:rPr>
          <w:b/>
          <w:bCs/>
        </w:rPr>
      </w:pPr>
      <w:r w:rsidRPr="007211C4">
        <w:rPr>
          <w:b/>
          <w:bCs/>
        </w:rPr>
        <w:tab/>
      </w:r>
      <w:r w:rsidR="001D7819" w:rsidRPr="007211C4">
        <w:rPr>
          <w:b/>
          <w:bCs/>
        </w:rPr>
        <w:t>d)</w:t>
      </w:r>
      <w:r w:rsidR="001D7819" w:rsidRPr="007211C4">
        <w:rPr>
          <w:b/>
          <w:bCs/>
        </w:rPr>
        <w:tab/>
        <w:t>обеспечить закрепление в законе и строгое соблюдение на практике принципа невыдворения;</w:t>
      </w:r>
    </w:p>
    <w:p w14:paraId="4CC5E991" w14:textId="569880CA" w:rsidR="001D7819" w:rsidRPr="007211C4" w:rsidRDefault="007211C4" w:rsidP="001D7819">
      <w:pPr>
        <w:pStyle w:val="SingleTxtG"/>
        <w:rPr>
          <w:b/>
          <w:bCs/>
        </w:rPr>
      </w:pPr>
      <w:r w:rsidRPr="007211C4">
        <w:rPr>
          <w:b/>
          <w:bCs/>
        </w:rPr>
        <w:tab/>
      </w:r>
      <w:r w:rsidR="001D7819" w:rsidRPr="007211C4">
        <w:rPr>
          <w:b/>
          <w:bCs/>
        </w:rPr>
        <w:t>e)</w:t>
      </w:r>
      <w:r w:rsidR="001D7819" w:rsidRPr="007211C4">
        <w:rPr>
          <w:b/>
          <w:bCs/>
        </w:rPr>
        <w:tab/>
        <w:t>решить вопросы, связанные с расположением Анкер-центров и условиями содержания в них, и рассмотреть альтернативные варианты приема;</w:t>
      </w:r>
    </w:p>
    <w:p w14:paraId="5F9E3B9C" w14:textId="33919F86" w:rsidR="001D7819" w:rsidRPr="00584BAE" w:rsidRDefault="007211C4" w:rsidP="001D7819">
      <w:pPr>
        <w:pStyle w:val="SingleTxtG"/>
        <w:rPr>
          <w:b/>
        </w:rPr>
      </w:pPr>
      <w:r w:rsidRPr="007211C4">
        <w:rPr>
          <w:b/>
          <w:bCs/>
        </w:rPr>
        <w:tab/>
      </w:r>
      <w:r w:rsidR="001D7819" w:rsidRPr="007211C4">
        <w:rPr>
          <w:b/>
          <w:bCs/>
        </w:rPr>
        <w:t>f)</w:t>
      </w:r>
      <w:r w:rsidR="001D7819" w:rsidRPr="007211C4">
        <w:rPr>
          <w:b/>
          <w:bCs/>
        </w:rPr>
        <w:tab/>
        <w:t>обеспечить мигрантам с неурегулированным статусом эффективный доступ</w:t>
      </w:r>
      <w:r w:rsidR="001D7819">
        <w:rPr>
          <w:b/>
          <w:bCs/>
        </w:rPr>
        <w:t xml:space="preserve"> к вакцине COVID-19.</w:t>
      </w:r>
    </w:p>
    <w:p w14:paraId="5461CB01" w14:textId="77777777" w:rsidR="001D7819" w:rsidRPr="00584BAE" w:rsidRDefault="001D7819" w:rsidP="001D7819">
      <w:pPr>
        <w:pStyle w:val="H23G"/>
      </w:pPr>
      <w:r>
        <w:tab/>
      </w:r>
      <w:r>
        <w:tab/>
      </w:r>
      <w:r>
        <w:rPr>
          <w:bCs/>
        </w:rPr>
        <w:t>Независимость судебной системы и органов прокуратуры</w:t>
      </w:r>
    </w:p>
    <w:p w14:paraId="46B5BE74" w14:textId="77777777" w:rsidR="001D7819" w:rsidRPr="00584BAE" w:rsidRDefault="001D7819" w:rsidP="001D7819">
      <w:pPr>
        <w:pStyle w:val="SingleTxtG"/>
      </w:pPr>
      <w:r>
        <w:t>40.</w:t>
      </w:r>
      <w:r>
        <w:tab/>
        <w:t>Принимая к сведению представленную государством-участником информацию о национальной правовой системе, Комитет обеспокоен тем, что независимость органов прокуратуры от исполнительной власти, являющаяся следствием независимости судебных органов, не обеспечена ни в законодательстве, ни на практике (статьи 2 и 14).</w:t>
      </w:r>
    </w:p>
    <w:p w14:paraId="455840DB" w14:textId="77777777" w:rsidR="001D7819" w:rsidRPr="00584BAE" w:rsidRDefault="001D7819" w:rsidP="001D7819">
      <w:pPr>
        <w:pStyle w:val="SingleTxtG"/>
        <w:rPr>
          <w:b/>
        </w:rPr>
      </w:pPr>
      <w:r>
        <w:t>41.</w:t>
      </w:r>
      <w:r>
        <w:tab/>
      </w:r>
      <w:r>
        <w:rPr>
          <w:b/>
          <w:bCs/>
        </w:rPr>
        <w:t xml:space="preserve">Государству-участнику следует рассмотреть возможность проведения правовых реформ для обеспечения независимости прокуроров от </w:t>
      </w:r>
      <w:r>
        <w:rPr>
          <w:b/>
          <w:bCs/>
        </w:rPr>
        <w:lastRenderedPageBreak/>
        <w:t>исполнительной власти как в законодательстве, так и на практике, что будет содействовать укреплению независимости судебных органов.</w:t>
      </w:r>
    </w:p>
    <w:p w14:paraId="65BCEDCB" w14:textId="77777777" w:rsidR="001D7819" w:rsidRPr="00584BAE" w:rsidRDefault="001D7819" w:rsidP="001D7819">
      <w:pPr>
        <w:pStyle w:val="H23G"/>
      </w:pPr>
      <w:r>
        <w:tab/>
      </w:r>
      <w:r>
        <w:tab/>
      </w:r>
      <w:r>
        <w:rPr>
          <w:bCs/>
        </w:rPr>
        <w:t>Право на неприкосновенность частной жизни</w:t>
      </w:r>
    </w:p>
    <w:p w14:paraId="1BFB7597" w14:textId="09F0405B" w:rsidR="001D7819" w:rsidRPr="00584BAE" w:rsidRDefault="001D7819" w:rsidP="001D7819">
      <w:pPr>
        <w:pStyle w:val="SingleTxtG"/>
      </w:pPr>
      <w:r>
        <w:t>42.</w:t>
      </w:r>
      <w:r>
        <w:tab/>
        <w:t>Комитет обеспокоен широкими полномочиями по ведению наблюдения, включая наблюдение в Интернете и взлом зашифрованных коммуникационных данных, в рамках уголовных расследований. Он особенно обеспокоен тем, что Закон о зарубежной радиоэлектронной разведке Федеральной разведывательной службы от 2016 года предусматривает широкое и неизбирательное массовое и целенаправленное наблюдение за экстерриториальными коммуникациями. Приветствуя правовые реформы, включая реформу Закон</w:t>
      </w:r>
      <w:r w:rsidR="002F1FFC">
        <w:t>а</w:t>
      </w:r>
      <w:r>
        <w:t xml:space="preserve"> о Федеральной разведывательной службе, проведенную в 2021 году в соответствии с решением Конституционного суда от мая того же года, Комитет обеспокоен тем, что соответствие правил наблюдения нормативным актам Европейского союза остается неясным. Он также обеспокоен информацией, свидетельствующей о том, что независимый судебный надзор </w:t>
      </w:r>
      <w:r w:rsidR="002F1FFC">
        <w:br/>
      </w:r>
      <w:r>
        <w:t>по-прежнему не осуществляется в полном объеме (статья 17).</w:t>
      </w:r>
    </w:p>
    <w:p w14:paraId="18DAEA77" w14:textId="77777777" w:rsidR="001D7819" w:rsidRPr="00584BAE" w:rsidRDefault="001D7819" w:rsidP="001D7819">
      <w:pPr>
        <w:pStyle w:val="SingleTxtG"/>
        <w:rPr>
          <w:b/>
        </w:rPr>
      </w:pPr>
      <w:r>
        <w:t>43.</w:t>
      </w:r>
      <w:r>
        <w:tab/>
      </w:r>
      <w:r>
        <w:rPr>
          <w:b/>
          <w:bCs/>
        </w:rPr>
        <w:t>Государству-участнику следует обеспечить, чтобы все виды деятельности по наблюдению и вмешательству в частную жизнь полностью соответствовали Пакту, в частности статье 17.</w:t>
      </w:r>
      <w:r>
        <w:t xml:space="preserve"> </w:t>
      </w:r>
      <w:r>
        <w:rPr>
          <w:b/>
          <w:bCs/>
        </w:rPr>
        <w:t>Такая деятельность должна соответствовать принципам законности, соразмерности и необходимости и производиться только с санкции суда.</w:t>
      </w:r>
      <w:r>
        <w:t xml:space="preserve"> </w:t>
      </w:r>
      <w:r>
        <w:rPr>
          <w:b/>
          <w:bCs/>
        </w:rPr>
        <w:t>Государству-участнику следует также обеспечить, чтобы наблюдение являлось объектом эффективных независимых механизмов надзора, а именно судебных механизмов, и обеспечить доступ к эффективным средствам правовой защиты в случаях злоупотреблений.</w:t>
      </w:r>
    </w:p>
    <w:p w14:paraId="21618B15" w14:textId="77777777" w:rsidR="001D7819" w:rsidRPr="00584BAE" w:rsidRDefault="001D7819" w:rsidP="001D7819">
      <w:pPr>
        <w:pStyle w:val="H23G"/>
      </w:pPr>
      <w:r>
        <w:tab/>
      </w:r>
      <w:r>
        <w:tab/>
      </w:r>
      <w:r>
        <w:rPr>
          <w:bCs/>
        </w:rPr>
        <w:t>Свобода совести и религии</w:t>
      </w:r>
    </w:p>
    <w:p w14:paraId="362172C8" w14:textId="77777777" w:rsidR="001D7819" w:rsidRPr="00584BAE" w:rsidRDefault="001D7819" w:rsidP="001D7819">
      <w:pPr>
        <w:pStyle w:val="SingleTxtG"/>
      </w:pPr>
      <w:r>
        <w:t>44.</w:t>
      </w:r>
      <w:r>
        <w:tab/>
        <w:t>Комитет отмечает, что законодательные акты различных земель запрещают ношение головных платков учителями и/или государственными служащими. Комитет также отмечает, что такие запреты, как сообщается, должны быть основаны на том, что ношение головных платков может привести к конкретному нарушению мира или нарушению нейтралитета государства, в соответствии с выводами Конституционного суда. Однако Комитет считает, что эти законы могут нарушать свободу исповедовать свою религию или убеждения и оказывать непропорциональное воздействие на представителей конкретных религий и женщин. Комитет также обеспокоен тем, что эти законы могут способствовать возникновению чувства изоляции и маргинализации (статьи 2, 18 и 26).</w:t>
      </w:r>
    </w:p>
    <w:p w14:paraId="3C3D2771" w14:textId="77777777" w:rsidR="001D7819" w:rsidRPr="00584BAE" w:rsidRDefault="001D7819" w:rsidP="001D7819">
      <w:pPr>
        <w:pStyle w:val="SingleTxtG"/>
        <w:rPr>
          <w:b/>
        </w:rPr>
      </w:pPr>
      <w:r>
        <w:t>45.</w:t>
      </w:r>
      <w:r>
        <w:tab/>
      </w:r>
      <w:r>
        <w:rPr>
          <w:b/>
          <w:bCs/>
        </w:rPr>
        <w:t>Государству-участнику следует рассмотреть возможность пересмотра правовых статутов соответствующих земель в свете своих обязательств по Пакту, в частности статей 18 о свободе совести и религии и статьи 26, устанавливающей принцип равенства.</w:t>
      </w:r>
    </w:p>
    <w:p w14:paraId="111EEA27" w14:textId="77777777" w:rsidR="001D7819" w:rsidRPr="00584BAE" w:rsidRDefault="001D7819" w:rsidP="001D7819">
      <w:pPr>
        <w:pStyle w:val="H23G"/>
      </w:pPr>
      <w:r>
        <w:tab/>
      </w:r>
      <w:r>
        <w:tab/>
      </w:r>
      <w:r>
        <w:rPr>
          <w:bCs/>
        </w:rPr>
        <w:t>Свобода выражения мнений</w:t>
      </w:r>
    </w:p>
    <w:p w14:paraId="6A09944F" w14:textId="77777777" w:rsidR="001D7819" w:rsidRPr="00584BAE" w:rsidRDefault="001D7819" w:rsidP="001D7819">
      <w:pPr>
        <w:pStyle w:val="SingleTxtG"/>
      </w:pPr>
      <w:r>
        <w:t>46.</w:t>
      </w:r>
      <w:r>
        <w:tab/>
        <w:t>Высоко оценивая приверженность государства-участника делу борьбы с ненавистнической риторикой и оскорблениями в Интернете, Комитет обеспокоен широкими полномочиями, предоставленными в 2017 году Законом о правоприменении в сети по удалению онлайн-контента, считающегося незаконным или оскорбительным. Он также с озабоченностью отмечает, что ответственность за удаление такого контента возложена на компании-владельцы социальных сетей и не подлежит судебному надзору, что ограничивает доступ к возмещению ущерба в случаях, когда характер контента оспаривается. Комитет обеспокоен тем, что эти положения и их применение могут отрицательно сказаться на свободе выражения мнений в Интернете (статья 19).</w:t>
      </w:r>
    </w:p>
    <w:p w14:paraId="0C8B991B" w14:textId="4C9A71F0" w:rsidR="001D7819" w:rsidRPr="00584BAE" w:rsidRDefault="001D7819" w:rsidP="001D7819">
      <w:pPr>
        <w:pStyle w:val="SingleTxtG"/>
        <w:rPr>
          <w:b/>
        </w:rPr>
      </w:pPr>
      <w:r>
        <w:t>47.</w:t>
      </w:r>
      <w:r>
        <w:tab/>
      </w:r>
      <w:r>
        <w:rPr>
          <w:b/>
          <w:bCs/>
        </w:rPr>
        <w:t>Государству следует обеспечить, чтобы любые ограничения в отношении свободы выражения мнений в Интернете, предусмотренные в Законе о правоприменении в сети, строго соответствовали требованиям пункта 3 статьи</w:t>
      </w:r>
      <w:r w:rsidR="002F1FFC">
        <w:rPr>
          <w:b/>
          <w:bCs/>
        </w:rPr>
        <w:t> </w:t>
      </w:r>
      <w:r>
        <w:rPr>
          <w:b/>
          <w:bCs/>
        </w:rPr>
        <w:t>19 Пакта.</w:t>
      </w:r>
      <w:r>
        <w:t xml:space="preserve"> </w:t>
      </w:r>
      <w:r>
        <w:rPr>
          <w:b/>
          <w:bCs/>
        </w:rPr>
        <w:t xml:space="preserve">Ему также следует рассмотреть вопрос о пересмотре этого </w:t>
      </w:r>
      <w:r>
        <w:rPr>
          <w:b/>
          <w:bCs/>
        </w:rPr>
        <w:lastRenderedPageBreak/>
        <w:t>закона, чтобы обеспечить судебный надзор и доступ к возмещению ущерба в случаях, когда характер онлайн-контента оспаривается.</w:t>
      </w:r>
    </w:p>
    <w:p w14:paraId="627D64B1" w14:textId="5C11D7BB" w:rsidR="001D7819" w:rsidRPr="00584BAE" w:rsidRDefault="001D7819" w:rsidP="001D7819">
      <w:pPr>
        <w:pStyle w:val="SingleTxtG"/>
      </w:pPr>
      <w:r>
        <w:t>48.</w:t>
      </w:r>
      <w:r>
        <w:tab/>
        <w:t>Комитет с озабоченностью отмечает, что Уголовный кодекс предусматривает уголовную ответственность за диффамацию и что государство-участник не планирует вносить поправки в эти положения, и, более того, рассматривает возможность ужесточения наказания за диффамацию в определенных контекстах. Он также обеспокоен тем, что такие положения могут отрицательно сказаться на свободе слова (статья 19).</w:t>
      </w:r>
    </w:p>
    <w:p w14:paraId="7F8CC9DE" w14:textId="77777777" w:rsidR="001D7819" w:rsidRPr="00584BAE" w:rsidRDefault="001D7819" w:rsidP="001D7819">
      <w:pPr>
        <w:pStyle w:val="SingleTxtG"/>
        <w:rPr>
          <w:b/>
        </w:rPr>
      </w:pPr>
      <w:r>
        <w:t>49.</w:t>
      </w:r>
      <w:r>
        <w:tab/>
      </w:r>
      <w:r>
        <w:rPr>
          <w:b/>
          <w:bCs/>
        </w:rPr>
        <w:t>Государству-участнику следует рассмотреть вопрос о декриминализации диффамации и в любом случае прибегать к уголовному праву только в самых серьезных случаях, памятуя о том, что тюремное заключение никогда не является надлежащим наказанием за диффамацию, как это предусмотрено в замечании общего порядка Комитета № 34 (2011).</w:t>
      </w:r>
    </w:p>
    <w:p w14:paraId="5729353F" w14:textId="77777777" w:rsidR="001D7819" w:rsidRPr="00584BAE" w:rsidRDefault="001D7819" w:rsidP="001D7819">
      <w:pPr>
        <w:pStyle w:val="H23G"/>
      </w:pPr>
      <w:r>
        <w:tab/>
      </w:r>
      <w:r>
        <w:tab/>
      </w:r>
      <w:r>
        <w:rPr>
          <w:bCs/>
        </w:rPr>
        <w:t>Свобода ассоциации</w:t>
      </w:r>
    </w:p>
    <w:p w14:paraId="62EC856E" w14:textId="77777777" w:rsidR="001D7819" w:rsidRPr="00584BAE" w:rsidRDefault="001D7819" w:rsidP="001D7819">
      <w:pPr>
        <w:pStyle w:val="SingleTxtG"/>
        <w:rPr>
          <w:b/>
        </w:rPr>
      </w:pPr>
      <w:r>
        <w:t>50.</w:t>
      </w:r>
      <w:r>
        <w:tab/>
        <w:t>Комитет обеспокоен полным запретом на забастовки работников государственного сектора в государстве-участнике, основанным на выводе, что все такие работники, включая школьных учителей, выполняют жизненно важные функции (статья 22).</w:t>
      </w:r>
    </w:p>
    <w:p w14:paraId="26C7BB1B" w14:textId="4EAEC070" w:rsidR="001D7819" w:rsidRPr="00584BAE" w:rsidRDefault="001D7819" w:rsidP="001D7819">
      <w:pPr>
        <w:pStyle w:val="SingleTxtG"/>
        <w:rPr>
          <w:b/>
          <w:bCs/>
        </w:rPr>
      </w:pPr>
      <w:r>
        <w:t>51.</w:t>
      </w:r>
      <w:r>
        <w:tab/>
      </w:r>
      <w:r>
        <w:rPr>
          <w:b/>
          <w:bCs/>
        </w:rPr>
        <w:t>Комитет повторяет рекомендацию Комитета по экономическим, социальным и культурным правам</w:t>
      </w:r>
      <w:r w:rsidR="006F54A7" w:rsidRPr="00682D5F">
        <w:rPr>
          <w:rStyle w:val="aa"/>
        </w:rPr>
        <w:footnoteReference w:id="14"/>
      </w:r>
      <w:r>
        <w:rPr>
          <w:b/>
          <w:bCs/>
        </w:rPr>
        <w:t xml:space="preserve"> о том, что государству-участнику следует принять меры по пересмотру сферы охвата категории жизненно важных услуг с целью обеспечения того, чтобы все те государственные служащие, чьи услуги не могут обоснованно считаться жизненно важными, имели право на забастовку, также в соответствии со статьей 22 Международного пакта о гражданских и политических правах.</w:t>
      </w:r>
    </w:p>
    <w:p w14:paraId="5761D519" w14:textId="74A19EDC" w:rsidR="001D7819" w:rsidRPr="00584BAE" w:rsidRDefault="007211C4" w:rsidP="001D7819">
      <w:pPr>
        <w:pStyle w:val="H1G"/>
        <w:rPr>
          <w:rFonts w:eastAsiaTheme="minorEastAsia"/>
        </w:rPr>
      </w:pPr>
      <w:r>
        <w:tab/>
      </w:r>
      <w:r w:rsidR="001D7819">
        <w:t>D.</w:t>
      </w:r>
      <w:r w:rsidR="001D7819">
        <w:tab/>
      </w:r>
      <w:r w:rsidR="001D7819">
        <w:rPr>
          <w:bCs/>
        </w:rPr>
        <w:t>Распространение информации и последующая деятельность</w:t>
      </w:r>
    </w:p>
    <w:p w14:paraId="5F38F533" w14:textId="77777777" w:rsidR="001D7819" w:rsidRPr="00584BAE" w:rsidRDefault="001D7819" w:rsidP="001D7819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b/>
          <w:bCs/>
        </w:rPr>
      </w:pPr>
      <w:r>
        <w:t>52.</w:t>
      </w:r>
      <w:r>
        <w:tab/>
      </w:r>
      <w:r>
        <w:rPr>
          <w:b/>
          <w:bCs/>
        </w:rPr>
        <w:t>Государству-участнику следует широко распространить тексты Пакта, своего седьмого периодического доклада и настоящих заключительных замечаний для повышения уровня информированности о закрепленных в Пакте правах среди представителей судебных, законодательных и административных органов власти, гражданского общества, неправительственных организаций, действующих в стране, и широкой общественности.</w:t>
      </w:r>
      <w:r>
        <w:t xml:space="preserve"> </w:t>
      </w:r>
      <w:r>
        <w:rPr>
          <w:b/>
          <w:bCs/>
        </w:rPr>
        <w:t>Государству-участнику следует обеспечить перевод текста доклада и настоящих заключительных замечаний на официальный язык государства-участника.</w:t>
      </w:r>
    </w:p>
    <w:p w14:paraId="27238C8E" w14:textId="6BE54C8D" w:rsidR="001D7819" w:rsidRPr="00584BAE" w:rsidRDefault="001D7819" w:rsidP="001D7819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b/>
          <w:bCs/>
        </w:rPr>
      </w:pPr>
      <w:r>
        <w:t>53.</w:t>
      </w:r>
      <w:r>
        <w:tab/>
      </w:r>
      <w:r>
        <w:rPr>
          <w:b/>
          <w:bCs/>
        </w:rPr>
        <w:t xml:space="preserve">В соответствии с пунктом 1 правила 75 правил процедуры Комитета государству-участнику предлагается представить к 5 ноября 2024 года информацию об осуществлении рекомендаций, вынесенных Комитетом в пунктах 21 </w:t>
      </w:r>
      <w:r w:rsidR="002F1FFC">
        <w:rPr>
          <w:b/>
          <w:bCs/>
        </w:rPr>
        <w:t>(</w:t>
      </w:r>
      <w:r>
        <w:rPr>
          <w:b/>
          <w:bCs/>
        </w:rPr>
        <w:t>интерсексы), 31 (уход в учреждениях) и 43 (право на неприкосновенность частной жизни) выше.</w:t>
      </w:r>
    </w:p>
    <w:p w14:paraId="19D3F410" w14:textId="7390E7CE" w:rsidR="001D7819" w:rsidRPr="00584BAE" w:rsidRDefault="001D7819" w:rsidP="001D7819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b/>
          <w:bCs/>
        </w:rPr>
      </w:pPr>
      <w:r>
        <w:t>54.</w:t>
      </w:r>
      <w:r>
        <w:tab/>
      </w:r>
      <w:r>
        <w:rPr>
          <w:b/>
          <w:bCs/>
        </w:rPr>
        <w:t>В соответствии с прогнозируемым циклом обзора Комитета государство-участник получит в 2027 году перечень вопросов Комитета до представления доклада и должно будет представить в течение одного года свои ответы на перечень вопросов, которые и будут представлять собой его восьмой периодический доклад.</w:t>
      </w:r>
      <w:r>
        <w:t xml:space="preserve"> </w:t>
      </w:r>
      <w:r>
        <w:rPr>
          <w:b/>
          <w:bCs/>
        </w:rPr>
        <w:t>Комитет также просит государство-участник при подготовке своего доклада провести широкие консультации с представителями гражданского общества и действующих в стране неправительственных организаций.</w:t>
      </w:r>
      <w:r>
        <w:t xml:space="preserve"> </w:t>
      </w:r>
      <w:r>
        <w:rPr>
          <w:b/>
          <w:bCs/>
        </w:rPr>
        <w:t>В соответствии с резолюцией 68/268 Генеральной Ассамблеи объем этого доклада не должен превышать 21</w:t>
      </w:r>
      <w:r w:rsidR="002738CA">
        <w:rPr>
          <w:b/>
          <w:bCs/>
        </w:rPr>
        <w:t> </w:t>
      </w:r>
      <w:r>
        <w:rPr>
          <w:b/>
          <w:bCs/>
        </w:rPr>
        <w:t>200 слов.</w:t>
      </w:r>
      <w:r>
        <w:t xml:space="preserve"> </w:t>
      </w:r>
      <w:r>
        <w:rPr>
          <w:b/>
          <w:bCs/>
        </w:rPr>
        <w:t>Следующий конструктивный диалог с государством-участником состоится в 2029 году в Женеве.</w:t>
      </w:r>
    </w:p>
    <w:p w14:paraId="6ECBB8B6" w14:textId="17266DFF" w:rsidR="00381C24" w:rsidRPr="00BC18B2" w:rsidRDefault="001D7819" w:rsidP="001D7819">
      <w:pPr>
        <w:jc w:val="center"/>
      </w:pPr>
      <w:r w:rsidRPr="00584BAE">
        <w:rPr>
          <w:u w:val="single"/>
        </w:rPr>
        <w:tab/>
      </w:r>
      <w:r w:rsidRPr="00584BAE">
        <w:rPr>
          <w:u w:val="single"/>
        </w:rPr>
        <w:tab/>
      </w:r>
      <w:r w:rsidRPr="00584BAE">
        <w:rPr>
          <w:u w:val="single"/>
        </w:rPr>
        <w:tab/>
      </w:r>
    </w:p>
    <w:sectPr w:rsidR="00381C24" w:rsidRPr="00BC18B2" w:rsidSect="001D78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9BC81" w14:textId="77777777" w:rsidR="00E01E42" w:rsidRPr="00A312BC" w:rsidRDefault="00E01E42" w:rsidP="00A312BC"/>
  </w:endnote>
  <w:endnote w:type="continuationSeparator" w:id="0">
    <w:p w14:paraId="4879FCE0" w14:textId="77777777" w:rsidR="00E01E42" w:rsidRPr="00A312BC" w:rsidRDefault="00E01E4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A4070" w14:textId="32A1DE09" w:rsidR="001D7819" w:rsidRPr="001D7819" w:rsidRDefault="001D7819">
    <w:pPr>
      <w:pStyle w:val="a8"/>
    </w:pPr>
    <w:r w:rsidRPr="001D7819">
      <w:rPr>
        <w:b/>
        <w:sz w:val="18"/>
      </w:rPr>
      <w:fldChar w:fldCharType="begin"/>
    </w:r>
    <w:r w:rsidRPr="001D7819">
      <w:rPr>
        <w:b/>
        <w:sz w:val="18"/>
      </w:rPr>
      <w:instrText xml:space="preserve"> PAGE  \* MERGEFORMAT </w:instrText>
    </w:r>
    <w:r w:rsidRPr="001D7819">
      <w:rPr>
        <w:b/>
        <w:sz w:val="18"/>
      </w:rPr>
      <w:fldChar w:fldCharType="separate"/>
    </w:r>
    <w:r w:rsidRPr="001D7819">
      <w:rPr>
        <w:b/>
        <w:noProof/>
        <w:sz w:val="18"/>
      </w:rPr>
      <w:t>2</w:t>
    </w:r>
    <w:r w:rsidRPr="001D7819">
      <w:rPr>
        <w:b/>
        <w:sz w:val="18"/>
      </w:rPr>
      <w:fldChar w:fldCharType="end"/>
    </w:r>
    <w:r>
      <w:rPr>
        <w:b/>
        <w:sz w:val="18"/>
      </w:rPr>
      <w:tab/>
    </w:r>
    <w:r>
      <w:t>GE.21-17614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BDC17" w14:textId="5681D2FB" w:rsidR="001D7819" w:rsidRPr="001D7819" w:rsidRDefault="001D7819" w:rsidP="001D7819">
    <w:pPr>
      <w:pStyle w:val="a8"/>
      <w:tabs>
        <w:tab w:val="clear" w:pos="9639"/>
        <w:tab w:val="right" w:pos="9638"/>
      </w:tabs>
      <w:rPr>
        <w:b/>
        <w:sz w:val="18"/>
      </w:rPr>
    </w:pPr>
    <w:r>
      <w:t>GE.21-17614</w:t>
    </w:r>
    <w:r>
      <w:tab/>
    </w:r>
    <w:r w:rsidRPr="001D7819">
      <w:rPr>
        <w:b/>
        <w:sz w:val="18"/>
      </w:rPr>
      <w:fldChar w:fldCharType="begin"/>
    </w:r>
    <w:r w:rsidRPr="001D7819">
      <w:rPr>
        <w:b/>
        <w:sz w:val="18"/>
      </w:rPr>
      <w:instrText xml:space="preserve"> PAGE  \* MERGEFORMAT </w:instrText>
    </w:r>
    <w:r w:rsidRPr="001D7819">
      <w:rPr>
        <w:b/>
        <w:sz w:val="18"/>
      </w:rPr>
      <w:fldChar w:fldCharType="separate"/>
    </w:r>
    <w:r w:rsidRPr="001D7819">
      <w:rPr>
        <w:b/>
        <w:noProof/>
        <w:sz w:val="18"/>
      </w:rPr>
      <w:t>3</w:t>
    </w:r>
    <w:r w:rsidRPr="001D781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82F3C" w14:textId="47E5A5A8" w:rsidR="00042B72" w:rsidRPr="001D7819" w:rsidRDefault="001D7819" w:rsidP="001D781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BED9DD4" wp14:editId="4B484F7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17614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A247381" wp14:editId="5D59F95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141221  1</w:t>
    </w:r>
    <w:r w:rsidR="00107D97">
      <w:t>6</w:t>
    </w:r>
    <w:r>
      <w:rPr>
        <w:lang w:val="en-US"/>
      </w:rPr>
      <w:t>1221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34D42" w14:textId="77777777" w:rsidR="00E01E42" w:rsidRPr="001075E9" w:rsidRDefault="00E01E4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22A612" w14:textId="77777777" w:rsidR="00E01E42" w:rsidRDefault="00E01E4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C514C1F" w14:textId="5120288A" w:rsidR="001D7819" w:rsidRPr="00584BAE" w:rsidRDefault="001D7819" w:rsidP="001D7819">
      <w:pPr>
        <w:pStyle w:val="ad"/>
      </w:pPr>
      <w:r>
        <w:tab/>
      </w:r>
      <w:r w:rsidRPr="007211C4">
        <w:rPr>
          <w:sz w:val="20"/>
        </w:rPr>
        <w:t>*</w:t>
      </w:r>
      <w:r>
        <w:tab/>
        <w:t xml:space="preserve">Приняты Комитетом на его </w:t>
      </w:r>
      <w:r w:rsidR="007211C4">
        <w:t>сто тридцать третье</w:t>
      </w:r>
      <w:r>
        <w:t xml:space="preserve">й сессии (11 октября </w:t>
      </w:r>
      <w:r w:rsidR="007211C4">
        <w:t>—</w:t>
      </w:r>
      <w:r>
        <w:t xml:space="preserve"> 5 ноября 2021 года).</w:t>
      </w:r>
    </w:p>
  </w:footnote>
  <w:footnote w:id="2">
    <w:p w14:paraId="55AB728E" w14:textId="18462A83" w:rsidR="007211C4" w:rsidRPr="00584BAE" w:rsidRDefault="007211C4" w:rsidP="007211C4">
      <w:pPr>
        <w:pStyle w:val="ad"/>
      </w:pPr>
      <w:r>
        <w:tab/>
      </w:r>
      <w:r w:rsidRPr="00682D5F">
        <w:rPr>
          <w:rStyle w:val="aa"/>
        </w:rPr>
        <w:footnoteRef/>
      </w:r>
      <w:r>
        <w:t xml:space="preserve"> </w:t>
      </w:r>
      <w:r>
        <w:tab/>
      </w:r>
      <w:hyperlink r:id="rId1" w:history="1">
        <w:r w:rsidR="001D1EBB" w:rsidRPr="001D1EBB">
          <w:rPr>
            <w:rStyle w:val="af1"/>
          </w:rPr>
          <w:t>CCPR/C/DEU/7</w:t>
        </w:r>
      </w:hyperlink>
      <w:r>
        <w:t>.</w:t>
      </w:r>
    </w:p>
  </w:footnote>
  <w:footnote w:id="3">
    <w:p w14:paraId="60F3E6A3" w14:textId="29489CEE" w:rsidR="001D7819" w:rsidRPr="00584BAE" w:rsidRDefault="001D7819" w:rsidP="001D7819">
      <w:pPr>
        <w:pStyle w:val="ad"/>
      </w:pPr>
      <w:r>
        <w:tab/>
      </w:r>
      <w:r w:rsidRPr="00682D5F">
        <w:rPr>
          <w:rStyle w:val="aa"/>
        </w:rPr>
        <w:footnoteRef/>
      </w:r>
      <w:r>
        <w:t xml:space="preserve"> </w:t>
      </w:r>
      <w:r>
        <w:tab/>
        <w:t xml:space="preserve">См. </w:t>
      </w:r>
      <w:hyperlink r:id="rId2" w:history="1">
        <w:r w:rsidR="007211C4" w:rsidRPr="0064528D">
          <w:rPr>
            <w:rStyle w:val="af1"/>
          </w:rPr>
          <w:t>CCPR/C/SR.3801</w:t>
        </w:r>
      </w:hyperlink>
      <w:r>
        <w:t xml:space="preserve"> и </w:t>
      </w:r>
      <w:hyperlink r:id="rId3" w:history="1">
        <w:r w:rsidR="001D1EBB" w:rsidRPr="001D1EBB">
          <w:rPr>
            <w:rStyle w:val="af1"/>
          </w:rPr>
          <w:t>CCPR/C/SR.3802</w:t>
        </w:r>
      </w:hyperlink>
      <w:r>
        <w:t>.</w:t>
      </w:r>
    </w:p>
  </w:footnote>
  <w:footnote w:id="4">
    <w:p w14:paraId="07E3D37C" w14:textId="41F27498" w:rsidR="001D7819" w:rsidRPr="00584BAE" w:rsidRDefault="001D7819" w:rsidP="001D7819">
      <w:pPr>
        <w:pStyle w:val="ad"/>
        <w:rPr>
          <w:lang w:val="fr-CH"/>
        </w:rPr>
      </w:pPr>
      <w:r>
        <w:tab/>
      </w:r>
      <w:r w:rsidRPr="00682D5F">
        <w:rPr>
          <w:rStyle w:val="aa"/>
        </w:rPr>
        <w:footnoteRef/>
      </w:r>
      <w:r w:rsidRPr="00584BAE">
        <w:rPr>
          <w:lang w:val="fr-CH"/>
        </w:rPr>
        <w:t xml:space="preserve"> </w:t>
      </w:r>
      <w:r w:rsidRPr="00584BAE">
        <w:rPr>
          <w:lang w:val="fr-CH"/>
        </w:rPr>
        <w:tab/>
      </w:r>
      <w:r w:rsidR="007F6ECB">
        <w:fldChar w:fldCharType="begin"/>
      </w:r>
      <w:r w:rsidR="007F6ECB" w:rsidRPr="006F54A7">
        <w:rPr>
          <w:lang w:val="fr-CH"/>
        </w:rPr>
        <w:instrText xml:space="preserve"> HYPERLINK "http://undocs.org/en/CCPR/C/DEU/7" </w:instrText>
      </w:r>
      <w:r w:rsidR="007F6ECB">
        <w:fldChar w:fldCharType="separate"/>
      </w:r>
      <w:r w:rsidRPr="001D7819">
        <w:rPr>
          <w:rStyle w:val="af1"/>
          <w:lang w:val="fr-CH"/>
        </w:rPr>
        <w:t>CCPR/C/DEU/7</w:t>
      </w:r>
      <w:r w:rsidR="007F6ECB">
        <w:rPr>
          <w:rStyle w:val="af1"/>
          <w:lang w:val="fr-CH"/>
        </w:rPr>
        <w:fldChar w:fldCharType="end"/>
      </w:r>
      <w:r w:rsidRPr="00584BAE">
        <w:rPr>
          <w:lang w:val="fr-CH"/>
        </w:rPr>
        <w:t>.</w:t>
      </w:r>
    </w:p>
  </w:footnote>
  <w:footnote w:id="5">
    <w:p w14:paraId="4A34EE79" w14:textId="7E028C78" w:rsidR="001D7819" w:rsidRPr="00584BAE" w:rsidRDefault="001D7819" w:rsidP="001D7819">
      <w:pPr>
        <w:pStyle w:val="ad"/>
        <w:rPr>
          <w:lang w:val="fr-CH"/>
        </w:rPr>
      </w:pPr>
      <w:r w:rsidRPr="00584BAE">
        <w:rPr>
          <w:lang w:val="fr-CH"/>
        </w:rPr>
        <w:tab/>
      </w:r>
      <w:r w:rsidRPr="00682D5F">
        <w:rPr>
          <w:rStyle w:val="aa"/>
        </w:rPr>
        <w:footnoteRef/>
      </w:r>
      <w:r w:rsidRPr="00584BAE">
        <w:rPr>
          <w:lang w:val="fr-CH"/>
        </w:rPr>
        <w:t xml:space="preserve"> </w:t>
      </w:r>
      <w:r w:rsidRPr="00584BAE">
        <w:rPr>
          <w:lang w:val="fr-CH"/>
        </w:rPr>
        <w:tab/>
      </w:r>
      <w:r w:rsidR="007F6ECB">
        <w:fldChar w:fldCharType="begin"/>
      </w:r>
      <w:r w:rsidR="007F6ECB" w:rsidRPr="006F54A7">
        <w:rPr>
          <w:lang w:val="fr-CH"/>
        </w:rPr>
        <w:instrText xml:space="preserve"> HYPERLINK "http://undocs.org/en/CCPR/C/DEU/QP</w:instrText>
      </w:r>
      <w:r w:rsidR="007F6ECB" w:rsidRPr="006F54A7">
        <w:rPr>
          <w:lang w:val="fr-CH"/>
        </w:rPr>
        <w:instrText xml:space="preserve">R/7" </w:instrText>
      </w:r>
      <w:r w:rsidR="007F6ECB">
        <w:fldChar w:fldCharType="separate"/>
      </w:r>
      <w:r w:rsidRPr="001D7819">
        <w:rPr>
          <w:rStyle w:val="af1"/>
          <w:lang w:val="fr-CH"/>
        </w:rPr>
        <w:t>CCPR/C/DEU/</w:t>
      </w:r>
      <w:r w:rsidRPr="0038359B">
        <w:rPr>
          <w:rStyle w:val="af1"/>
          <w:lang w:val="fr-CH"/>
        </w:rPr>
        <w:t>QPR</w:t>
      </w:r>
      <w:r w:rsidRPr="001D7819">
        <w:rPr>
          <w:rStyle w:val="af1"/>
          <w:lang w:val="fr-CH"/>
        </w:rPr>
        <w:t>/7</w:t>
      </w:r>
      <w:r w:rsidR="007F6ECB">
        <w:rPr>
          <w:rStyle w:val="af1"/>
          <w:lang w:val="fr-CH"/>
        </w:rPr>
        <w:fldChar w:fldCharType="end"/>
      </w:r>
      <w:r w:rsidRPr="00584BAE">
        <w:rPr>
          <w:lang w:val="fr-CH"/>
        </w:rPr>
        <w:t>.</w:t>
      </w:r>
    </w:p>
  </w:footnote>
  <w:footnote w:id="6">
    <w:p w14:paraId="6BAD7B29" w14:textId="658F4668" w:rsidR="001D7819" w:rsidRPr="00584BAE" w:rsidRDefault="001D7819" w:rsidP="001D7819">
      <w:pPr>
        <w:pStyle w:val="ad"/>
        <w:rPr>
          <w:lang w:val="fr-CH"/>
        </w:rPr>
      </w:pPr>
      <w:r w:rsidRPr="00584BAE">
        <w:rPr>
          <w:lang w:val="fr-CH"/>
        </w:rPr>
        <w:tab/>
      </w:r>
      <w:r w:rsidRPr="00682D5F">
        <w:rPr>
          <w:rStyle w:val="aa"/>
        </w:rPr>
        <w:footnoteRef/>
      </w:r>
      <w:r w:rsidRPr="00584BAE">
        <w:rPr>
          <w:lang w:val="fr-CH"/>
        </w:rPr>
        <w:t xml:space="preserve"> </w:t>
      </w:r>
      <w:r w:rsidRPr="00584BAE">
        <w:rPr>
          <w:lang w:val="fr-CH"/>
        </w:rPr>
        <w:tab/>
      </w:r>
      <w:r w:rsidR="007F6ECB">
        <w:fldChar w:fldCharType="begin"/>
      </w:r>
      <w:r w:rsidR="007F6ECB" w:rsidRPr="006F54A7">
        <w:rPr>
          <w:lang w:val="fr-CH"/>
        </w:rPr>
        <w:instrText xml:space="preserve"> HYPERLINK "http://undocs.org/en/CCPR/C/DEU/CO/6" </w:instrText>
      </w:r>
      <w:r w:rsidR="007F6ECB">
        <w:fldChar w:fldCharType="separate"/>
      </w:r>
      <w:r w:rsidRPr="001D7819">
        <w:rPr>
          <w:rStyle w:val="af1"/>
          <w:lang w:val="fr-CH"/>
        </w:rPr>
        <w:t>CCPR/C/DEU/CO/6</w:t>
      </w:r>
      <w:r w:rsidR="007F6ECB">
        <w:rPr>
          <w:rStyle w:val="af1"/>
          <w:lang w:val="fr-CH"/>
        </w:rPr>
        <w:fldChar w:fldCharType="end"/>
      </w:r>
      <w:r w:rsidRPr="00584BAE">
        <w:rPr>
          <w:lang w:val="fr-CH"/>
        </w:rPr>
        <w:t xml:space="preserve">, </w:t>
      </w:r>
      <w:r>
        <w:t>п</w:t>
      </w:r>
      <w:r w:rsidR="00F776A9" w:rsidRPr="00F776A9">
        <w:rPr>
          <w:lang w:val="fr-CH"/>
        </w:rPr>
        <w:t>.</w:t>
      </w:r>
      <w:r w:rsidRPr="00584BAE">
        <w:rPr>
          <w:lang w:val="fr-CH"/>
        </w:rPr>
        <w:t xml:space="preserve"> 5.</w:t>
      </w:r>
    </w:p>
  </w:footnote>
  <w:footnote w:id="7">
    <w:p w14:paraId="795AC09D" w14:textId="77777777" w:rsidR="001D7819" w:rsidRPr="00584BAE" w:rsidRDefault="001D7819" w:rsidP="001D7819">
      <w:pPr>
        <w:pStyle w:val="ad"/>
      </w:pPr>
      <w:r w:rsidRPr="00584BAE">
        <w:rPr>
          <w:lang w:val="fr-CH"/>
        </w:rPr>
        <w:tab/>
      </w:r>
      <w:r w:rsidRPr="00682D5F">
        <w:rPr>
          <w:rStyle w:val="aa"/>
        </w:rPr>
        <w:footnoteRef/>
      </w:r>
      <w:r>
        <w:t xml:space="preserve"> </w:t>
      </w:r>
      <w:r>
        <w:tab/>
        <w:t>Там же, п. 16.</w:t>
      </w:r>
    </w:p>
  </w:footnote>
  <w:footnote w:id="8">
    <w:p w14:paraId="299C3675" w14:textId="77777777" w:rsidR="001D7819" w:rsidRPr="00584BAE" w:rsidRDefault="001D7819" w:rsidP="001D7819">
      <w:pPr>
        <w:pStyle w:val="ad"/>
      </w:pPr>
      <w:r w:rsidRPr="00F30625">
        <w:tab/>
      </w:r>
      <w:r w:rsidRPr="00682D5F">
        <w:rPr>
          <w:rStyle w:val="aa"/>
        </w:rPr>
        <w:footnoteRef/>
      </w:r>
      <w:r>
        <w:t xml:space="preserve"> </w:t>
      </w:r>
      <w:r>
        <w:tab/>
        <w:t>Там же, пп. 6–7 и 17.</w:t>
      </w:r>
    </w:p>
  </w:footnote>
  <w:footnote w:id="9">
    <w:p w14:paraId="68E1DDE0" w14:textId="77777777" w:rsidR="001D7819" w:rsidRPr="00584BAE" w:rsidRDefault="001D7819" w:rsidP="001D7819">
      <w:pPr>
        <w:pStyle w:val="ad"/>
      </w:pPr>
      <w:r w:rsidRPr="00F30625">
        <w:tab/>
      </w:r>
      <w:r w:rsidRPr="00682D5F">
        <w:rPr>
          <w:rStyle w:val="aa"/>
        </w:rPr>
        <w:footnoteRef/>
      </w:r>
      <w:r>
        <w:t xml:space="preserve"> </w:t>
      </w:r>
      <w:r>
        <w:tab/>
        <w:t>Там же, п. 18.</w:t>
      </w:r>
    </w:p>
  </w:footnote>
  <w:footnote w:id="10">
    <w:p w14:paraId="3C09BD22" w14:textId="77777777" w:rsidR="001D7819" w:rsidRPr="00584BAE" w:rsidRDefault="001D7819" w:rsidP="001D7819">
      <w:pPr>
        <w:pStyle w:val="ad"/>
      </w:pPr>
      <w:r w:rsidRPr="00F30625">
        <w:tab/>
      </w:r>
      <w:r w:rsidRPr="00682D5F">
        <w:rPr>
          <w:rStyle w:val="aa"/>
        </w:rPr>
        <w:footnoteRef/>
      </w:r>
      <w:r>
        <w:t xml:space="preserve"> </w:t>
      </w:r>
      <w:r>
        <w:tab/>
        <w:t>Там же, п. 9.</w:t>
      </w:r>
    </w:p>
  </w:footnote>
  <w:footnote w:id="11">
    <w:p w14:paraId="5CA98443" w14:textId="0A7ED807" w:rsidR="001D7819" w:rsidRPr="00584BAE" w:rsidRDefault="001D7819" w:rsidP="001D7819">
      <w:pPr>
        <w:pStyle w:val="ad"/>
      </w:pPr>
      <w:r w:rsidRPr="00F30625">
        <w:tab/>
      </w:r>
      <w:r w:rsidRPr="00682D5F">
        <w:rPr>
          <w:rStyle w:val="aa"/>
        </w:rPr>
        <w:footnoteRef/>
      </w:r>
      <w:r>
        <w:t xml:space="preserve"> </w:t>
      </w:r>
      <w:r>
        <w:tab/>
        <w:t xml:space="preserve">См. </w:t>
      </w:r>
      <w:hyperlink r:id="rId4" w:history="1">
        <w:r w:rsidR="007211C4" w:rsidRPr="00B82D42">
          <w:rPr>
            <w:rStyle w:val="af1"/>
          </w:rPr>
          <w:t>https://www.bundesverfassungsgericht.de/SharedDocs/Entscheidungen/EN/2021/03/rs20210324_1bvr265618en.html</w:t>
        </w:r>
      </w:hyperlink>
      <w:r>
        <w:t>.</w:t>
      </w:r>
      <w:r w:rsidR="007211C4">
        <w:t xml:space="preserve"> </w:t>
      </w:r>
    </w:p>
  </w:footnote>
  <w:footnote w:id="12">
    <w:p w14:paraId="6E43E00B" w14:textId="0CF3E010" w:rsidR="001D7819" w:rsidRPr="00584BAE" w:rsidRDefault="001D7819" w:rsidP="001D7819">
      <w:pPr>
        <w:pStyle w:val="ad"/>
        <w:rPr>
          <w:lang w:val="fr-CH"/>
        </w:rPr>
      </w:pPr>
      <w:r w:rsidRPr="00F30625">
        <w:tab/>
      </w:r>
      <w:r w:rsidRPr="00682D5F">
        <w:rPr>
          <w:rStyle w:val="aa"/>
        </w:rPr>
        <w:footnoteRef/>
      </w:r>
      <w:r w:rsidRPr="00584BAE">
        <w:rPr>
          <w:lang w:val="fr-CH"/>
        </w:rPr>
        <w:t xml:space="preserve"> </w:t>
      </w:r>
      <w:r w:rsidRPr="00584BAE">
        <w:rPr>
          <w:lang w:val="fr-CH"/>
        </w:rPr>
        <w:tab/>
      </w:r>
      <w:r w:rsidR="007F6ECB">
        <w:fldChar w:fldCharType="begin"/>
      </w:r>
      <w:r w:rsidR="007F6ECB" w:rsidRPr="006F54A7">
        <w:rPr>
          <w:lang w:val="fr-CH"/>
        </w:rPr>
        <w:instrText xml:space="preserve"> HYPERLINK "http://und</w:instrText>
      </w:r>
      <w:r w:rsidR="007F6ECB" w:rsidRPr="006F54A7">
        <w:rPr>
          <w:lang w:val="fr-CH"/>
        </w:rPr>
        <w:instrText xml:space="preserve">ocs.org/ru/CCPR/C/DEU/CO/6" </w:instrText>
      </w:r>
      <w:r w:rsidR="007F6ECB">
        <w:fldChar w:fldCharType="separate"/>
      </w:r>
      <w:r w:rsidRPr="001D7819">
        <w:rPr>
          <w:rStyle w:val="af1"/>
          <w:lang w:val="fr-CH"/>
        </w:rPr>
        <w:t>CCPR/C/DEU/CO/6</w:t>
      </w:r>
      <w:r w:rsidR="007F6ECB">
        <w:rPr>
          <w:rStyle w:val="af1"/>
          <w:lang w:val="fr-CH"/>
        </w:rPr>
        <w:fldChar w:fldCharType="end"/>
      </w:r>
      <w:r w:rsidRPr="00584BAE">
        <w:rPr>
          <w:lang w:val="fr-CH"/>
        </w:rPr>
        <w:t xml:space="preserve">, </w:t>
      </w:r>
      <w:r>
        <w:t>п</w:t>
      </w:r>
      <w:r w:rsidR="007820B7">
        <w:rPr>
          <w:lang w:val="fr-CH"/>
        </w:rPr>
        <w:t>.</w:t>
      </w:r>
      <w:r w:rsidRPr="00584BAE">
        <w:rPr>
          <w:lang w:val="fr-CH"/>
        </w:rPr>
        <w:t xml:space="preserve"> 15.</w:t>
      </w:r>
    </w:p>
  </w:footnote>
  <w:footnote w:id="13">
    <w:p w14:paraId="3CF700CE" w14:textId="77777777" w:rsidR="001D7819" w:rsidRPr="00584BAE" w:rsidRDefault="001D7819" w:rsidP="001D7819">
      <w:pPr>
        <w:pStyle w:val="ad"/>
      </w:pPr>
      <w:r w:rsidRPr="00584BAE">
        <w:rPr>
          <w:lang w:val="fr-CH"/>
        </w:rPr>
        <w:tab/>
      </w:r>
      <w:r w:rsidRPr="00682D5F">
        <w:rPr>
          <w:rStyle w:val="aa"/>
        </w:rPr>
        <w:footnoteRef/>
      </w:r>
      <w:r>
        <w:t xml:space="preserve"> </w:t>
      </w:r>
      <w:r>
        <w:tab/>
        <w:t>Там же, п. 14.</w:t>
      </w:r>
    </w:p>
  </w:footnote>
  <w:footnote w:id="14">
    <w:p w14:paraId="21195F28" w14:textId="77777777" w:rsidR="006F54A7" w:rsidRPr="00F776A9" w:rsidRDefault="006F54A7" w:rsidP="006F54A7">
      <w:pPr>
        <w:pStyle w:val="ad"/>
      </w:pPr>
      <w:r>
        <w:tab/>
      </w:r>
      <w:r w:rsidRPr="00682D5F">
        <w:rPr>
          <w:rStyle w:val="aa"/>
        </w:rPr>
        <w:footnoteRef/>
      </w:r>
      <w:r w:rsidRPr="00F776A9">
        <w:t xml:space="preserve"> </w:t>
      </w:r>
      <w:r w:rsidRPr="00F776A9">
        <w:tab/>
      </w:r>
      <w:hyperlink r:id="rId5" w:history="1">
        <w:r w:rsidRPr="001D7819">
          <w:rPr>
            <w:rStyle w:val="af1"/>
            <w:lang w:val="es-ES"/>
          </w:rPr>
          <w:t>E</w:t>
        </w:r>
        <w:r w:rsidRPr="00F776A9">
          <w:rPr>
            <w:rStyle w:val="af1"/>
          </w:rPr>
          <w:t>/</w:t>
        </w:r>
        <w:r w:rsidRPr="001D7819">
          <w:rPr>
            <w:rStyle w:val="af1"/>
            <w:lang w:val="es-ES"/>
          </w:rPr>
          <w:t>C</w:t>
        </w:r>
        <w:r w:rsidRPr="00F776A9">
          <w:rPr>
            <w:rStyle w:val="af1"/>
          </w:rPr>
          <w:t>.12/</w:t>
        </w:r>
        <w:r w:rsidRPr="001D7819">
          <w:rPr>
            <w:rStyle w:val="af1"/>
            <w:lang w:val="es-ES"/>
          </w:rPr>
          <w:t>DEU</w:t>
        </w:r>
        <w:r w:rsidRPr="00F776A9">
          <w:rPr>
            <w:rStyle w:val="af1"/>
          </w:rPr>
          <w:t>/</w:t>
        </w:r>
        <w:r w:rsidRPr="001D7819">
          <w:rPr>
            <w:rStyle w:val="af1"/>
            <w:lang w:val="es-ES"/>
          </w:rPr>
          <w:t>CO</w:t>
        </w:r>
        <w:r w:rsidRPr="00F776A9">
          <w:rPr>
            <w:rStyle w:val="af1"/>
          </w:rPr>
          <w:t>/6</w:t>
        </w:r>
      </w:hyperlink>
      <w:r w:rsidRPr="00F776A9">
        <w:t xml:space="preserve">, </w:t>
      </w:r>
      <w:r>
        <w:t>п</w:t>
      </w:r>
      <w:r w:rsidRPr="00F776A9">
        <w:t>. 45.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6ED3E" w14:textId="28D8908E" w:rsidR="001D7819" w:rsidRPr="001D7819" w:rsidRDefault="007F6EC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CCPR/C/DEU/CO/7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A981" w14:textId="6A04A850" w:rsidR="001D7819" w:rsidRPr="001D7819" w:rsidRDefault="007F6ECB" w:rsidP="001D781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CCPR/C/DEU/CO/7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E7AFD" w14:textId="77777777" w:rsidR="001D7819" w:rsidRDefault="001D7819" w:rsidP="001D781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42"/>
    <w:rsid w:val="00033EE1"/>
    <w:rsid w:val="000358F2"/>
    <w:rsid w:val="00042B72"/>
    <w:rsid w:val="000558BD"/>
    <w:rsid w:val="000B57E7"/>
    <w:rsid w:val="000B6373"/>
    <w:rsid w:val="000F09DF"/>
    <w:rsid w:val="000F61B2"/>
    <w:rsid w:val="001075E9"/>
    <w:rsid w:val="00107D97"/>
    <w:rsid w:val="00180183"/>
    <w:rsid w:val="0018024D"/>
    <w:rsid w:val="0018649F"/>
    <w:rsid w:val="00196389"/>
    <w:rsid w:val="001B3EF6"/>
    <w:rsid w:val="001C7A89"/>
    <w:rsid w:val="001D1EBB"/>
    <w:rsid w:val="001D7819"/>
    <w:rsid w:val="00242415"/>
    <w:rsid w:val="00254812"/>
    <w:rsid w:val="00260A4F"/>
    <w:rsid w:val="002738CA"/>
    <w:rsid w:val="00295F3B"/>
    <w:rsid w:val="002A2EFC"/>
    <w:rsid w:val="002C0E18"/>
    <w:rsid w:val="002C6929"/>
    <w:rsid w:val="002D5AAC"/>
    <w:rsid w:val="002E00F0"/>
    <w:rsid w:val="002E5067"/>
    <w:rsid w:val="002F0D82"/>
    <w:rsid w:val="002F1FFC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8359B"/>
    <w:rsid w:val="00384E84"/>
    <w:rsid w:val="003958D0"/>
    <w:rsid w:val="003A4289"/>
    <w:rsid w:val="003B00E5"/>
    <w:rsid w:val="00407B78"/>
    <w:rsid w:val="00424203"/>
    <w:rsid w:val="00452493"/>
    <w:rsid w:val="00454E07"/>
    <w:rsid w:val="00472C5C"/>
    <w:rsid w:val="00492FE3"/>
    <w:rsid w:val="004969B2"/>
    <w:rsid w:val="0050108D"/>
    <w:rsid w:val="00513081"/>
    <w:rsid w:val="00517901"/>
    <w:rsid w:val="00526683"/>
    <w:rsid w:val="005709E0"/>
    <w:rsid w:val="00572E19"/>
    <w:rsid w:val="00585D1F"/>
    <w:rsid w:val="005961C8"/>
    <w:rsid w:val="005A6E9B"/>
    <w:rsid w:val="005D7914"/>
    <w:rsid w:val="005E2B41"/>
    <w:rsid w:val="005F0B42"/>
    <w:rsid w:val="00625907"/>
    <w:rsid w:val="00666B97"/>
    <w:rsid w:val="00681A10"/>
    <w:rsid w:val="006A1ED8"/>
    <w:rsid w:val="006C2031"/>
    <w:rsid w:val="006D461A"/>
    <w:rsid w:val="006F35EE"/>
    <w:rsid w:val="006F54A7"/>
    <w:rsid w:val="007021FF"/>
    <w:rsid w:val="00712895"/>
    <w:rsid w:val="007211C4"/>
    <w:rsid w:val="0075523D"/>
    <w:rsid w:val="00757357"/>
    <w:rsid w:val="007820B7"/>
    <w:rsid w:val="00787D3A"/>
    <w:rsid w:val="00791B9D"/>
    <w:rsid w:val="007A76A4"/>
    <w:rsid w:val="007F41AD"/>
    <w:rsid w:val="007F6ECB"/>
    <w:rsid w:val="00825F8D"/>
    <w:rsid w:val="00834B71"/>
    <w:rsid w:val="0086445C"/>
    <w:rsid w:val="00894693"/>
    <w:rsid w:val="008A08D7"/>
    <w:rsid w:val="008B6909"/>
    <w:rsid w:val="008C099E"/>
    <w:rsid w:val="00906890"/>
    <w:rsid w:val="00911BE4"/>
    <w:rsid w:val="00931A71"/>
    <w:rsid w:val="00951972"/>
    <w:rsid w:val="009608F3"/>
    <w:rsid w:val="009918E2"/>
    <w:rsid w:val="009A24AC"/>
    <w:rsid w:val="009D21FD"/>
    <w:rsid w:val="009E1C89"/>
    <w:rsid w:val="00A14DA8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27C27"/>
    <w:rsid w:val="00B318A8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1E68"/>
    <w:rsid w:val="00C92939"/>
    <w:rsid w:val="00CA1679"/>
    <w:rsid w:val="00CB151C"/>
    <w:rsid w:val="00CE5A1A"/>
    <w:rsid w:val="00CF55F6"/>
    <w:rsid w:val="00D33D63"/>
    <w:rsid w:val="00D65347"/>
    <w:rsid w:val="00D90028"/>
    <w:rsid w:val="00D90138"/>
    <w:rsid w:val="00D9090B"/>
    <w:rsid w:val="00D9670F"/>
    <w:rsid w:val="00DD78D1"/>
    <w:rsid w:val="00DE32CD"/>
    <w:rsid w:val="00DF71B9"/>
    <w:rsid w:val="00E005F7"/>
    <w:rsid w:val="00E01E42"/>
    <w:rsid w:val="00E06BEE"/>
    <w:rsid w:val="00E368C9"/>
    <w:rsid w:val="00E46656"/>
    <w:rsid w:val="00E73F76"/>
    <w:rsid w:val="00EA2C9F"/>
    <w:rsid w:val="00EA420E"/>
    <w:rsid w:val="00EC0CEC"/>
    <w:rsid w:val="00ED0BDA"/>
    <w:rsid w:val="00EF1360"/>
    <w:rsid w:val="00EF3220"/>
    <w:rsid w:val="00F43903"/>
    <w:rsid w:val="00F776A9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A7A19E"/>
  <w15:docId w15:val="{562A34F3-64AE-4C6D-AC94-FE33B824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1D7819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1D7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docs.org/en/CCPR/C/SR.3802" TargetMode="External"/><Relationship Id="rId2" Type="http://schemas.openxmlformats.org/officeDocument/2006/relationships/hyperlink" Target="http://undocs.org/en/CCPR/C/SR.3801" TargetMode="External"/><Relationship Id="rId1" Type="http://schemas.openxmlformats.org/officeDocument/2006/relationships/hyperlink" Target="https://undocs.org/en/CCPR/C/DEU/7" TargetMode="External"/><Relationship Id="rId5" Type="http://schemas.openxmlformats.org/officeDocument/2006/relationships/hyperlink" Target="http://undocs.org/en/E/C.12/DEU/CO/6" TargetMode="External"/><Relationship Id="rId4" Type="http://schemas.openxmlformats.org/officeDocument/2006/relationships/hyperlink" Target="https://www.bundesverfassungsgericht.de/SharedDocs/Entscheidungen/EN/2021/03/rs20210324_1bvr265618e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13</TotalTime>
  <Pages>13</Pages>
  <Words>4972</Words>
  <Characters>34784</Characters>
  <Application>Microsoft Office Word</Application>
  <DocSecurity>0</DocSecurity>
  <Lines>637</Lines>
  <Paragraphs>153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CCPR/C/DEU/CO/7</vt:lpstr>
      <vt:lpstr>A/</vt:lpstr>
      <vt:lpstr>A/</vt:lpstr>
    </vt:vector>
  </TitlesOfParts>
  <Company>DCM</Company>
  <LinksUpToDate>false</LinksUpToDate>
  <CharactersWithSpaces>39712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CCPR/C/DEU/CO/7</dc:title>
  <dc:subject/>
  <dc:creator>Olga OVTCHINNIKOVA</dc:creator>
  <cp:keywords/>
  <cp:lastModifiedBy>Natalia Shuvalova</cp:lastModifiedBy>
  <cp:revision>3</cp:revision>
  <cp:lastPrinted>2021-12-16T07:50:00Z</cp:lastPrinted>
  <dcterms:created xsi:type="dcterms:W3CDTF">2021-12-16T07:50:00Z</dcterms:created>
  <dcterms:modified xsi:type="dcterms:W3CDTF">2021-12-16T07:50:00Z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