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2715F2">
        <w:trPr>
          <w:trHeight w:hRule="exact" w:val="851"/>
        </w:trPr>
        <w:tc>
          <w:tcPr>
            <w:tcW w:w="1276" w:type="dxa"/>
            <w:tcBorders>
              <w:bottom w:val="single" w:sz="4" w:space="0" w:color="auto"/>
            </w:tcBorders>
            <w:vAlign w:val="bottom"/>
          </w:tcPr>
          <w:p w:rsidR="00B56E9C" w:rsidRPr="002715F2" w:rsidRDefault="00B56E9C" w:rsidP="00B6553F">
            <w:pPr>
              <w:spacing w:after="80"/>
              <w:rPr>
                <w:lang w:val="fr-FR"/>
              </w:rPr>
            </w:pPr>
          </w:p>
        </w:tc>
        <w:tc>
          <w:tcPr>
            <w:tcW w:w="1985" w:type="dxa"/>
            <w:tcBorders>
              <w:bottom w:val="single" w:sz="4" w:space="0" w:color="auto"/>
            </w:tcBorders>
            <w:vAlign w:val="bottom"/>
          </w:tcPr>
          <w:p w:rsidR="00B56E9C" w:rsidRPr="002715F2" w:rsidRDefault="00B56E9C" w:rsidP="00B6553F">
            <w:pPr>
              <w:spacing w:after="80" w:line="300" w:lineRule="exact"/>
              <w:rPr>
                <w:b/>
                <w:sz w:val="24"/>
                <w:szCs w:val="24"/>
                <w:lang w:val="fr-FR"/>
              </w:rPr>
            </w:pPr>
            <w:r w:rsidRPr="002715F2">
              <w:rPr>
                <w:sz w:val="28"/>
                <w:szCs w:val="28"/>
                <w:lang w:val="fr-FR"/>
              </w:rPr>
              <w:t>Nations</w:t>
            </w:r>
            <w:r w:rsidR="00CE76F5" w:rsidRPr="002715F2">
              <w:rPr>
                <w:sz w:val="28"/>
                <w:szCs w:val="28"/>
                <w:lang w:val="fr-FR"/>
              </w:rPr>
              <w:t xml:space="preserve"> Unies</w:t>
            </w:r>
          </w:p>
        </w:tc>
        <w:tc>
          <w:tcPr>
            <w:tcW w:w="6378" w:type="dxa"/>
            <w:gridSpan w:val="2"/>
            <w:tcBorders>
              <w:bottom w:val="single" w:sz="4" w:space="0" w:color="auto"/>
            </w:tcBorders>
            <w:vAlign w:val="bottom"/>
          </w:tcPr>
          <w:p w:rsidR="00B56E9C" w:rsidRPr="002715F2" w:rsidRDefault="007C30CC" w:rsidP="007C30CC">
            <w:pPr>
              <w:jc w:val="right"/>
              <w:rPr>
                <w:lang w:val="fr-FR"/>
              </w:rPr>
            </w:pPr>
            <w:r w:rsidRPr="002715F2">
              <w:rPr>
                <w:sz w:val="40"/>
                <w:lang w:val="fr-FR"/>
              </w:rPr>
              <w:t>CAT</w:t>
            </w:r>
            <w:r w:rsidRPr="002715F2">
              <w:rPr>
                <w:lang w:val="fr-FR"/>
              </w:rPr>
              <w:t>/C/KOR/3-5</w:t>
            </w:r>
          </w:p>
        </w:tc>
      </w:tr>
      <w:tr w:rsidR="00B56E9C" w:rsidRPr="002715F2">
        <w:trPr>
          <w:cantSplit/>
          <w:trHeight w:hRule="exact" w:val="2835"/>
        </w:trPr>
        <w:tc>
          <w:tcPr>
            <w:tcW w:w="1276" w:type="dxa"/>
            <w:tcBorders>
              <w:top w:val="single" w:sz="4" w:space="0" w:color="auto"/>
              <w:bottom w:val="single" w:sz="12" w:space="0" w:color="auto"/>
            </w:tcBorders>
          </w:tcPr>
          <w:p w:rsidR="00B56E9C" w:rsidRPr="002715F2" w:rsidRDefault="0046246B" w:rsidP="00B6553F">
            <w:pPr>
              <w:spacing w:before="120"/>
              <w:rPr>
                <w:lang w:val="fr-FR"/>
              </w:rPr>
            </w:pPr>
            <w:r w:rsidRPr="002715F2">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715F2" w:rsidRDefault="00CE76F5" w:rsidP="002E1CEF">
            <w:pPr>
              <w:spacing w:before="120" w:line="380" w:lineRule="exact"/>
              <w:rPr>
                <w:sz w:val="34"/>
                <w:lang w:val="fr-FR"/>
              </w:rPr>
            </w:pPr>
            <w:r w:rsidRPr="002715F2">
              <w:rPr>
                <w:b/>
                <w:sz w:val="34"/>
                <w:szCs w:val="40"/>
                <w:lang w:val="fr-FR"/>
              </w:rPr>
              <w:t>Convention contre</w:t>
            </w:r>
            <w:r w:rsidR="002E1CEF" w:rsidRPr="002715F2">
              <w:rPr>
                <w:b/>
                <w:sz w:val="34"/>
                <w:szCs w:val="40"/>
                <w:lang w:val="fr-FR"/>
              </w:rPr>
              <w:br/>
            </w:r>
            <w:r w:rsidRPr="002715F2">
              <w:rPr>
                <w:b/>
                <w:sz w:val="34"/>
                <w:szCs w:val="40"/>
                <w:lang w:val="fr-FR"/>
              </w:rPr>
              <w:t>la torture et autres peines</w:t>
            </w:r>
            <w:r w:rsidR="002E1CEF" w:rsidRPr="002715F2">
              <w:rPr>
                <w:b/>
                <w:sz w:val="34"/>
                <w:szCs w:val="40"/>
                <w:lang w:val="fr-FR"/>
              </w:rPr>
              <w:br/>
              <w:t>ou traitements cruels,</w:t>
            </w:r>
            <w:r w:rsidR="002E1CEF" w:rsidRPr="002715F2">
              <w:rPr>
                <w:b/>
                <w:sz w:val="34"/>
                <w:szCs w:val="40"/>
                <w:lang w:val="fr-FR"/>
              </w:rPr>
              <w:br/>
            </w:r>
            <w:r w:rsidRPr="002715F2">
              <w:rPr>
                <w:b/>
                <w:sz w:val="34"/>
                <w:szCs w:val="40"/>
                <w:lang w:val="fr-FR"/>
              </w:rPr>
              <w:t>inhumains ou dégradants</w:t>
            </w:r>
          </w:p>
        </w:tc>
        <w:tc>
          <w:tcPr>
            <w:tcW w:w="2835" w:type="dxa"/>
            <w:tcBorders>
              <w:top w:val="single" w:sz="4" w:space="0" w:color="auto"/>
              <w:bottom w:val="single" w:sz="12" w:space="0" w:color="auto"/>
            </w:tcBorders>
          </w:tcPr>
          <w:p w:rsidR="00B56E9C" w:rsidRPr="002715F2" w:rsidRDefault="008A0D42" w:rsidP="007C30CC">
            <w:pPr>
              <w:spacing w:before="240" w:line="240" w:lineRule="exact"/>
              <w:rPr>
                <w:lang w:val="fr-FR"/>
              </w:rPr>
            </w:pPr>
            <w:r w:rsidRPr="002715F2">
              <w:rPr>
                <w:lang w:val="fr-FR"/>
              </w:rPr>
              <w:t>Distr</w:t>
            </w:r>
            <w:r w:rsidR="007B59A3" w:rsidRPr="002715F2">
              <w:rPr>
                <w:lang w:val="fr-FR"/>
              </w:rPr>
              <w:t xml:space="preserve">. </w:t>
            </w:r>
            <w:r w:rsidR="00CE76F5" w:rsidRPr="002715F2">
              <w:rPr>
                <w:lang w:val="fr-FR"/>
              </w:rPr>
              <w:t>générale</w:t>
            </w:r>
          </w:p>
          <w:p w:rsidR="007C30CC" w:rsidRPr="002715F2" w:rsidRDefault="00E1469B" w:rsidP="007C30CC">
            <w:pPr>
              <w:spacing w:line="240" w:lineRule="exact"/>
              <w:rPr>
                <w:lang w:val="fr-FR"/>
              </w:rPr>
            </w:pPr>
            <w:r w:rsidRPr="002715F2">
              <w:rPr>
                <w:lang w:val="fr-FR"/>
              </w:rPr>
              <w:t xml:space="preserve">11 </w:t>
            </w:r>
            <w:r w:rsidR="00CE76F5" w:rsidRPr="002715F2">
              <w:rPr>
                <w:lang w:val="fr-FR"/>
              </w:rPr>
              <w:t>avril</w:t>
            </w:r>
            <w:r w:rsidR="007C30CC" w:rsidRPr="002715F2">
              <w:rPr>
                <w:lang w:val="fr-FR"/>
              </w:rPr>
              <w:t xml:space="preserve"> 2016</w:t>
            </w:r>
          </w:p>
          <w:p w:rsidR="007C30CC" w:rsidRPr="002715F2" w:rsidRDefault="00DA657F" w:rsidP="007C30CC">
            <w:pPr>
              <w:spacing w:line="240" w:lineRule="exact"/>
              <w:rPr>
                <w:lang w:val="fr-FR"/>
              </w:rPr>
            </w:pPr>
            <w:r w:rsidRPr="002715F2">
              <w:rPr>
                <w:lang w:val="fr-FR"/>
              </w:rPr>
              <w:t>Français</w:t>
            </w:r>
          </w:p>
          <w:p w:rsidR="007C30CC" w:rsidRPr="002715F2" w:rsidRDefault="007C30CC" w:rsidP="007C30CC">
            <w:pPr>
              <w:spacing w:line="240" w:lineRule="exact"/>
              <w:rPr>
                <w:lang w:val="fr-FR"/>
              </w:rPr>
            </w:pPr>
            <w:r w:rsidRPr="002715F2">
              <w:rPr>
                <w:lang w:val="fr-FR"/>
              </w:rPr>
              <w:t>Original</w:t>
            </w:r>
            <w:r w:rsidR="00E97B1A" w:rsidRPr="002715F2">
              <w:rPr>
                <w:lang w:val="fr-FR"/>
              </w:rPr>
              <w:t>:</w:t>
            </w:r>
            <w:r w:rsidRPr="002715F2">
              <w:rPr>
                <w:lang w:val="fr-FR"/>
              </w:rPr>
              <w:t xml:space="preserve"> </w:t>
            </w:r>
            <w:r w:rsidR="00DA657F" w:rsidRPr="002715F2">
              <w:rPr>
                <w:lang w:val="fr-FR"/>
              </w:rPr>
              <w:t>a</w:t>
            </w:r>
            <w:r w:rsidR="00CE76F5" w:rsidRPr="002715F2">
              <w:rPr>
                <w:lang w:val="fr-FR"/>
              </w:rPr>
              <w:t>nglais</w:t>
            </w:r>
          </w:p>
          <w:p w:rsidR="00BE4C31" w:rsidRPr="002715F2" w:rsidRDefault="00CE76F5" w:rsidP="00495B5F">
            <w:pPr>
              <w:spacing w:line="240" w:lineRule="exact"/>
              <w:rPr>
                <w:lang w:val="fr-FR"/>
              </w:rPr>
            </w:pPr>
            <w:r w:rsidRPr="002715F2">
              <w:rPr>
                <w:lang w:val="fr-FR"/>
              </w:rPr>
              <w:t xml:space="preserve">Anglais, </w:t>
            </w:r>
            <w:r w:rsidR="00495B5F" w:rsidRPr="002715F2">
              <w:rPr>
                <w:lang w:val="fr-FR"/>
              </w:rPr>
              <w:t xml:space="preserve">espagnol et </w:t>
            </w:r>
            <w:r w:rsidRPr="002715F2">
              <w:rPr>
                <w:lang w:val="fr-FR"/>
              </w:rPr>
              <w:t>franç</w:t>
            </w:r>
            <w:r w:rsidR="00DA657F" w:rsidRPr="002715F2">
              <w:rPr>
                <w:lang w:val="fr-FR"/>
              </w:rPr>
              <w:t>a</w:t>
            </w:r>
            <w:r w:rsidR="00495B5F" w:rsidRPr="002715F2">
              <w:rPr>
                <w:lang w:val="fr-FR"/>
              </w:rPr>
              <w:t xml:space="preserve">is </w:t>
            </w:r>
            <w:r w:rsidR="008A0D42" w:rsidRPr="002715F2">
              <w:rPr>
                <w:lang w:val="fr-FR"/>
              </w:rPr>
              <w:t>seulement</w:t>
            </w:r>
            <w:r w:rsidR="00BE4C31" w:rsidRPr="002715F2">
              <w:rPr>
                <w:lang w:val="fr-FR"/>
              </w:rPr>
              <w:t xml:space="preserve"> </w:t>
            </w:r>
          </w:p>
        </w:tc>
      </w:tr>
    </w:tbl>
    <w:p w:rsidR="008614D1" w:rsidRPr="002715F2" w:rsidRDefault="008614D1" w:rsidP="008614D1">
      <w:pPr>
        <w:spacing w:line="20" w:lineRule="exact"/>
        <w:rPr>
          <w:b/>
          <w:sz w:val="2"/>
          <w:szCs w:val="24"/>
          <w:lang w:val="fr-FR"/>
        </w:rPr>
      </w:pPr>
    </w:p>
    <w:p w:rsidR="0052505A" w:rsidRPr="002715F2" w:rsidRDefault="00CE76F5" w:rsidP="007026FB">
      <w:pPr>
        <w:spacing w:before="120"/>
        <w:rPr>
          <w:b/>
          <w:sz w:val="24"/>
          <w:szCs w:val="24"/>
          <w:lang w:val="fr-FR"/>
        </w:rPr>
      </w:pPr>
      <w:r w:rsidRPr="002715F2">
        <w:rPr>
          <w:b/>
          <w:sz w:val="24"/>
          <w:szCs w:val="24"/>
          <w:lang w:val="fr-FR"/>
        </w:rPr>
        <w:t>C</w:t>
      </w:r>
      <w:r w:rsidR="002E1CEF" w:rsidRPr="002715F2">
        <w:rPr>
          <w:b/>
          <w:sz w:val="24"/>
          <w:szCs w:val="24"/>
          <w:lang w:val="fr-FR"/>
        </w:rPr>
        <w:t>omité contre la torture</w:t>
      </w:r>
    </w:p>
    <w:p w:rsidR="0052505A" w:rsidRPr="002715F2" w:rsidRDefault="0052505A" w:rsidP="00DA657F">
      <w:pPr>
        <w:pStyle w:val="HMG"/>
        <w:rPr>
          <w:lang w:val="fr-FR"/>
        </w:rPr>
      </w:pPr>
      <w:r w:rsidRPr="002715F2">
        <w:rPr>
          <w:lang w:val="fr-FR"/>
        </w:rPr>
        <w:tab/>
      </w:r>
      <w:r w:rsidRPr="002715F2">
        <w:rPr>
          <w:lang w:val="fr-FR"/>
        </w:rPr>
        <w:tab/>
      </w:r>
      <w:r w:rsidR="008A0D42" w:rsidRPr="002715F2">
        <w:rPr>
          <w:lang w:val="fr-FR"/>
        </w:rPr>
        <w:t xml:space="preserve">Examen des rapports </w:t>
      </w:r>
      <w:r w:rsidR="00BD323C" w:rsidRPr="002715F2">
        <w:rPr>
          <w:lang w:val="fr-FR"/>
        </w:rPr>
        <w:t>soumis</w:t>
      </w:r>
      <w:r w:rsidR="008A0D42" w:rsidRPr="002715F2">
        <w:rPr>
          <w:lang w:val="fr-FR"/>
        </w:rPr>
        <w:t xml:space="preserve"> par les États parties en application de l’article 19</w:t>
      </w:r>
      <w:r w:rsidRPr="002715F2">
        <w:rPr>
          <w:lang w:val="fr-FR"/>
        </w:rPr>
        <w:t xml:space="preserve"> </w:t>
      </w:r>
      <w:r w:rsidR="00DA657F" w:rsidRPr="002715F2">
        <w:rPr>
          <w:lang w:val="fr-FR"/>
        </w:rPr>
        <w:t xml:space="preserve">de la Convention </w:t>
      </w:r>
      <w:r w:rsidR="00BD323C" w:rsidRPr="002715F2">
        <w:rPr>
          <w:lang w:val="fr-FR"/>
        </w:rPr>
        <w:t>selon</w:t>
      </w:r>
      <w:r w:rsidR="008A0D42" w:rsidRPr="002715F2">
        <w:rPr>
          <w:lang w:val="fr-FR"/>
        </w:rPr>
        <w:t xml:space="preserve"> la procédure facultative</w:t>
      </w:r>
      <w:r w:rsidR="00BD323C" w:rsidRPr="002715F2">
        <w:rPr>
          <w:lang w:val="fr-FR"/>
        </w:rPr>
        <w:t xml:space="preserve"> d’établissement des</w:t>
      </w:r>
      <w:r w:rsidR="00E1469B" w:rsidRPr="002715F2">
        <w:rPr>
          <w:lang w:val="fr-FR"/>
        </w:rPr>
        <w:t> </w:t>
      </w:r>
      <w:r w:rsidR="00BD323C" w:rsidRPr="002715F2">
        <w:rPr>
          <w:lang w:val="fr-FR"/>
        </w:rPr>
        <w:t>rapports</w:t>
      </w:r>
    </w:p>
    <w:p w:rsidR="0052505A" w:rsidRPr="002715F2" w:rsidRDefault="0052505A" w:rsidP="007D27E6">
      <w:pPr>
        <w:pStyle w:val="HChG"/>
        <w:rPr>
          <w:lang w:val="fr-FR"/>
        </w:rPr>
      </w:pPr>
      <w:r w:rsidRPr="002715F2">
        <w:rPr>
          <w:lang w:val="fr-FR"/>
        </w:rPr>
        <w:tab/>
      </w:r>
      <w:r w:rsidRPr="002715F2">
        <w:rPr>
          <w:lang w:val="fr-FR"/>
        </w:rPr>
        <w:tab/>
      </w:r>
      <w:bookmarkStart w:id="0" w:name="_Toc321812495"/>
      <w:r w:rsidR="008A0D42" w:rsidRPr="002715F2">
        <w:rPr>
          <w:lang w:val="fr-FR"/>
        </w:rPr>
        <w:t>Troisième</w:t>
      </w:r>
      <w:r w:rsidR="00BD323C" w:rsidRPr="002715F2">
        <w:rPr>
          <w:lang w:val="fr-FR"/>
        </w:rPr>
        <w:t>, quatrième et</w:t>
      </w:r>
      <w:r w:rsidR="008A0D42" w:rsidRPr="002715F2">
        <w:rPr>
          <w:lang w:val="fr-FR"/>
        </w:rPr>
        <w:t xml:space="preserve"> </w:t>
      </w:r>
      <w:r w:rsidR="00E1469B" w:rsidRPr="002715F2">
        <w:rPr>
          <w:lang w:val="fr-FR"/>
        </w:rPr>
        <w:t xml:space="preserve">cinquième </w:t>
      </w:r>
      <w:r w:rsidR="008A0D42" w:rsidRPr="002715F2">
        <w:rPr>
          <w:lang w:val="fr-FR"/>
        </w:rPr>
        <w:t>rapports périodiques des</w:t>
      </w:r>
      <w:r w:rsidR="00E97B1A" w:rsidRPr="002715F2">
        <w:rPr>
          <w:lang w:val="fr-FR"/>
        </w:rPr>
        <w:t> </w:t>
      </w:r>
      <w:r w:rsidR="008A0D42" w:rsidRPr="002715F2">
        <w:rPr>
          <w:lang w:val="fr-FR"/>
        </w:rPr>
        <w:t>États</w:t>
      </w:r>
      <w:r w:rsidR="009B6F59" w:rsidRPr="002715F2">
        <w:rPr>
          <w:lang w:val="fr-FR"/>
        </w:rPr>
        <w:t xml:space="preserve"> </w:t>
      </w:r>
      <w:r w:rsidR="008A0D42" w:rsidRPr="002715F2">
        <w:rPr>
          <w:lang w:val="fr-FR"/>
        </w:rPr>
        <w:t>parties attendus en</w:t>
      </w:r>
      <w:r w:rsidRPr="002715F2">
        <w:rPr>
          <w:lang w:val="fr-FR"/>
        </w:rPr>
        <w:t xml:space="preserve"> 201</w:t>
      </w:r>
      <w:bookmarkEnd w:id="0"/>
      <w:r w:rsidRPr="002715F2">
        <w:rPr>
          <w:lang w:val="fr-FR"/>
        </w:rPr>
        <w:t>2</w:t>
      </w:r>
    </w:p>
    <w:p w:rsidR="0052505A" w:rsidRPr="002715F2" w:rsidRDefault="0052505A" w:rsidP="00E1469B">
      <w:pPr>
        <w:pStyle w:val="HMG"/>
        <w:rPr>
          <w:vertAlign w:val="superscript"/>
          <w:lang w:val="fr-FR"/>
        </w:rPr>
      </w:pPr>
      <w:r w:rsidRPr="002715F2">
        <w:rPr>
          <w:lang w:val="fr-FR"/>
        </w:rPr>
        <w:tab/>
      </w:r>
      <w:r w:rsidRPr="002715F2">
        <w:rPr>
          <w:lang w:val="fr-FR"/>
        </w:rPr>
        <w:tab/>
      </w:r>
      <w:r w:rsidR="007D27E6" w:rsidRPr="002715F2">
        <w:rPr>
          <w:lang w:val="fr-FR"/>
        </w:rPr>
        <w:t>R</w:t>
      </w:r>
      <w:r w:rsidR="008A0D42" w:rsidRPr="002715F2">
        <w:rPr>
          <w:lang w:val="fr-FR"/>
        </w:rPr>
        <w:t>é</w:t>
      </w:r>
      <w:r w:rsidR="007D27E6" w:rsidRPr="002715F2">
        <w:rPr>
          <w:lang w:val="fr-FR"/>
        </w:rPr>
        <w:t>publi</w:t>
      </w:r>
      <w:r w:rsidR="008A0D42" w:rsidRPr="002715F2">
        <w:rPr>
          <w:lang w:val="fr-FR"/>
        </w:rPr>
        <w:t>que de Corée</w:t>
      </w:r>
      <w:r w:rsidRPr="002715F2">
        <w:rPr>
          <w:b w:val="0"/>
          <w:position w:val="6"/>
          <w:sz w:val="20"/>
          <w:lang w:val="fr-FR"/>
        </w:rPr>
        <w:footnoteReference w:customMarkFollows="1" w:id="2"/>
        <w:t>*</w:t>
      </w:r>
      <w:r w:rsidR="007D27E6" w:rsidRPr="002715F2">
        <w:rPr>
          <w:b w:val="0"/>
          <w:position w:val="6"/>
          <w:sz w:val="20"/>
          <w:vertAlign w:val="superscript"/>
          <w:lang w:val="fr-FR"/>
        </w:rPr>
        <w:t>,</w:t>
      </w:r>
      <w:r w:rsidRPr="002715F2">
        <w:rPr>
          <w:b w:val="0"/>
          <w:position w:val="6"/>
          <w:sz w:val="20"/>
          <w:lang w:val="fr-FR"/>
        </w:rPr>
        <w:t xml:space="preserve"> </w:t>
      </w:r>
      <w:r w:rsidRPr="002715F2">
        <w:rPr>
          <w:b w:val="0"/>
          <w:position w:val="6"/>
          <w:sz w:val="20"/>
          <w:lang w:val="fr-FR"/>
        </w:rPr>
        <w:footnoteReference w:customMarkFollows="1" w:id="3"/>
        <w:t>**</w:t>
      </w:r>
      <w:r w:rsidR="007D27E6" w:rsidRPr="002715F2">
        <w:rPr>
          <w:b w:val="0"/>
          <w:position w:val="6"/>
          <w:sz w:val="20"/>
          <w:vertAlign w:val="superscript"/>
          <w:lang w:val="fr-FR"/>
        </w:rPr>
        <w:t>,</w:t>
      </w:r>
      <w:r w:rsidRPr="002715F2">
        <w:rPr>
          <w:b w:val="0"/>
          <w:position w:val="6"/>
          <w:sz w:val="20"/>
          <w:lang w:val="fr-FR"/>
        </w:rPr>
        <w:t xml:space="preserve"> </w:t>
      </w:r>
      <w:r w:rsidRPr="002715F2">
        <w:rPr>
          <w:b w:val="0"/>
          <w:position w:val="6"/>
          <w:sz w:val="20"/>
          <w:lang w:val="fr-FR" w:eastAsia="zh-CN"/>
        </w:rPr>
        <w:footnoteReference w:customMarkFollows="1" w:id="4"/>
        <w:t>***</w:t>
      </w:r>
    </w:p>
    <w:p w:rsidR="0052505A" w:rsidRPr="002715F2" w:rsidRDefault="0052505A" w:rsidP="0052505A">
      <w:pPr>
        <w:spacing w:after="120"/>
        <w:ind w:left="1134" w:right="1134"/>
        <w:jc w:val="right"/>
        <w:rPr>
          <w:lang w:val="fr-FR"/>
        </w:rPr>
      </w:pPr>
      <w:r w:rsidRPr="002715F2">
        <w:rPr>
          <w:lang w:val="fr-FR"/>
        </w:rPr>
        <w:t>[</w:t>
      </w:r>
      <w:r w:rsidR="007D27E6" w:rsidRPr="002715F2">
        <w:rPr>
          <w:lang w:val="fr-FR"/>
        </w:rPr>
        <w:t xml:space="preserve">Date </w:t>
      </w:r>
      <w:r w:rsidR="00DA657F" w:rsidRPr="002715F2">
        <w:rPr>
          <w:lang w:val="fr-FR"/>
        </w:rPr>
        <w:t>de réception</w:t>
      </w:r>
      <w:r w:rsidR="00E97B1A" w:rsidRPr="002715F2">
        <w:rPr>
          <w:lang w:val="fr-FR"/>
        </w:rPr>
        <w:t>:</w:t>
      </w:r>
      <w:r w:rsidR="007D27E6" w:rsidRPr="002715F2">
        <w:rPr>
          <w:lang w:val="fr-FR"/>
        </w:rPr>
        <w:t xml:space="preserve"> </w:t>
      </w:r>
      <w:r w:rsidRPr="002715F2">
        <w:rPr>
          <w:lang w:val="fr-FR"/>
        </w:rPr>
        <w:t>29</w:t>
      </w:r>
      <w:r w:rsidR="008A0D42" w:rsidRPr="002715F2">
        <w:rPr>
          <w:lang w:val="fr-FR"/>
        </w:rPr>
        <w:t> février</w:t>
      </w:r>
      <w:r w:rsidRPr="002715F2">
        <w:rPr>
          <w:lang w:val="fr-FR"/>
        </w:rPr>
        <w:t xml:space="preserve"> 2016]</w:t>
      </w:r>
    </w:p>
    <w:p w:rsidR="000078DA" w:rsidRPr="002715F2" w:rsidRDefault="0052505A" w:rsidP="00F410E3">
      <w:pPr>
        <w:pStyle w:val="HChG"/>
        <w:rPr>
          <w:lang w:val="fr-FR"/>
        </w:rPr>
      </w:pPr>
      <w:r w:rsidRPr="002715F2">
        <w:rPr>
          <w:lang w:val="fr-FR"/>
        </w:rPr>
        <w:br w:type="page"/>
      </w:r>
      <w:r w:rsidR="000078DA" w:rsidRPr="002715F2">
        <w:rPr>
          <w:lang w:val="fr-FR"/>
        </w:rPr>
        <w:tab/>
        <w:t>I.</w:t>
      </w:r>
      <w:r w:rsidR="000078DA" w:rsidRPr="002715F2">
        <w:rPr>
          <w:lang w:val="fr-FR"/>
        </w:rPr>
        <w:tab/>
        <w:t>Introduction</w:t>
      </w:r>
    </w:p>
    <w:p w:rsidR="000078DA" w:rsidRPr="002715F2" w:rsidRDefault="007026FB" w:rsidP="00FB3F5C">
      <w:pPr>
        <w:pStyle w:val="SingleTxtG"/>
        <w:rPr>
          <w:rFonts w:eastAsia="Batang"/>
          <w:lang w:val="fr-FR" w:eastAsia="ko-KR"/>
        </w:rPr>
      </w:pPr>
      <w:r w:rsidRPr="002715F2">
        <w:rPr>
          <w:rFonts w:eastAsia="Batang"/>
          <w:lang w:val="fr-FR" w:eastAsia="ko-KR"/>
        </w:rPr>
        <w:t>1.</w:t>
      </w:r>
      <w:r w:rsidRPr="002715F2">
        <w:rPr>
          <w:rFonts w:eastAsia="Batang"/>
          <w:lang w:val="fr-FR" w:eastAsia="ko-KR"/>
        </w:rPr>
        <w:tab/>
      </w:r>
      <w:r w:rsidR="00482880" w:rsidRPr="002715F2">
        <w:rPr>
          <w:rFonts w:eastAsia="Batang"/>
          <w:lang w:val="fr-FR"/>
        </w:rPr>
        <w:t xml:space="preserve">La République de Corée, en qualité d’État partie à la Convention contre </w:t>
      </w:r>
      <w:r w:rsidR="00FB3F5C" w:rsidRPr="002715F2">
        <w:rPr>
          <w:rFonts w:eastAsia="Batang"/>
          <w:lang w:val="fr-FR"/>
        </w:rPr>
        <w:t>la torture et autres peines ou traitements cruels, inhumains ou dégradants (ci-après</w:t>
      </w:r>
      <w:r w:rsidR="00AD2CD0" w:rsidRPr="002715F2">
        <w:rPr>
          <w:rFonts w:eastAsia="Batang"/>
          <w:lang w:val="fr-FR"/>
        </w:rPr>
        <w:t xml:space="preserve"> </w:t>
      </w:r>
      <w:r w:rsidR="00E97B1A" w:rsidRPr="002715F2">
        <w:rPr>
          <w:rFonts w:eastAsia="Batang"/>
          <w:lang w:val="fr-FR"/>
        </w:rPr>
        <w:t>«</w:t>
      </w:r>
      <w:r w:rsidR="00E1469B" w:rsidRPr="002715F2">
        <w:rPr>
          <w:rFonts w:eastAsia="Batang"/>
          <w:lang w:val="fr-FR"/>
        </w:rPr>
        <w:t xml:space="preserve">la </w:t>
      </w:r>
      <w:r w:rsidR="00FB3F5C" w:rsidRPr="002715F2">
        <w:rPr>
          <w:rFonts w:eastAsia="Batang"/>
          <w:lang w:val="fr-FR"/>
        </w:rPr>
        <w:t>Convention</w:t>
      </w:r>
      <w:r w:rsidR="00E97B1A" w:rsidRPr="002715F2">
        <w:rPr>
          <w:rFonts w:eastAsia="Batang"/>
          <w:lang w:val="fr-FR"/>
        </w:rPr>
        <w:t>»</w:t>
      </w:r>
      <w:r w:rsidR="00482880" w:rsidRPr="002715F2">
        <w:rPr>
          <w:rFonts w:eastAsia="Batang"/>
          <w:lang w:val="fr-FR"/>
        </w:rPr>
        <w:t xml:space="preserve">), présente </w:t>
      </w:r>
      <w:r w:rsidR="00FB3F5C" w:rsidRPr="002715F2">
        <w:rPr>
          <w:rFonts w:eastAsia="Batang"/>
          <w:lang w:val="fr-FR"/>
        </w:rPr>
        <w:t>ici ses</w:t>
      </w:r>
      <w:r w:rsidR="00482880" w:rsidRPr="002715F2">
        <w:rPr>
          <w:rFonts w:eastAsia="Batang"/>
          <w:lang w:val="fr-FR"/>
        </w:rPr>
        <w:t xml:space="preserve"> troisième, quatrième et cinquième rapports</w:t>
      </w:r>
      <w:r w:rsidR="00FB3F5C" w:rsidRPr="002715F2">
        <w:rPr>
          <w:rFonts w:eastAsia="Batang"/>
          <w:lang w:val="fr-FR"/>
        </w:rPr>
        <w:t xml:space="preserve"> périodiques</w:t>
      </w:r>
      <w:r w:rsidR="000078DA" w:rsidRPr="002715F2">
        <w:rPr>
          <w:rStyle w:val="FootnoteReference"/>
          <w:rFonts w:eastAsia="HYHeadLine-Medium"/>
          <w:lang w:val="fr-FR"/>
        </w:rPr>
        <w:footnoteReference w:id="5"/>
      </w:r>
      <w:r w:rsidR="000078DA" w:rsidRPr="002715F2">
        <w:rPr>
          <w:rFonts w:eastAsia="Batang"/>
          <w:lang w:val="fr-FR" w:eastAsia="ko-KR"/>
        </w:rPr>
        <w:t xml:space="preserve"> </w:t>
      </w:r>
      <w:r w:rsidR="00FB3F5C" w:rsidRPr="002715F2">
        <w:rPr>
          <w:rFonts w:eastAsia="Batang"/>
          <w:lang w:val="fr-FR" w:eastAsia="ko-KR"/>
        </w:rPr>
        <w:t>en application de l’a</w:t>
      </w:r>
      <w:r w:rsidR="000078DA" w:rsidRPr="002715F2">
        <w:rPr>
          <w:rFonts w:eastAsia="Batang"/>
          <w:lang w:val="fr-FR" w:eastAsia="ko-KR"/>
        </w:rPr>
        <w:t>rticle</w:t>
      </w:r>
      <w:r w:rsidR="00FB3F5C" w:rsidRPr="002715F2">
        <w:rPr>
          <w:rFonts w:eastAsia="Batang"/>
          <w:lang w:val="fr-FR" w:eastAsia="ko-KR"/>
        </w:rPr>
        <w:t> </w:t>
      </w:r>
      <w:r w:rsidR="000078DA" w:rsidRPr="002715F2">
        <w:rPr>
          <w:rFonts w:eastAsia="Batang"/>
          <w:lang w:val="fr-FR" w:eastAsia="ko-KR"/>
        </w:rPr>
        <w:t xml:space="preserve">19 </w:t>
      </w:r>
      <w:r w:rsidR="00FB3F5C" w:rsidRPr="002715F2">
        <w:rPr>
          <w:rFonts w:eastAsia="Batang"/>
          <w:lang w:val="fr-FR" w:eastAsia="ko-KR"/>
        </w:rPr>
        <w:t xml:space="preserve">de la </w:t>
      </w:r>
      <w:r w:rsidR="000078DA" w:rsidRPr="002715F2">
        <w:rPr>
          <w:rFonts w:eastAsia="Batang"/>
          <w:lang w:val="fr-FR" w:eastAsia="ko-KR"/>
        </w:rPr>
        <w:t xml:space="preserve">Convention. </w:t>
      </w:r>
      <w:r w:rsidR="00FB3F5C" w:rsidRPr="002715F2">
        <w:rPr>
          <w:rFonts w:eastAsia="Batang"/>
          <w:lang w:val="fr-FR" w:eastAsia="ko-KR"/>
        </w:rPr>
        <w:t xml:space="preserve">Le présent rapport </w:t>
      </w:r>
      <w:r w:rsidR="00537ABF" w:rsidRPr="002715F2">
        <w:rPr>
          <w:rFonts w:eastAsia="Batang"/>
          <w:lang w:val="fr-FR" w:eastAsia="ko-KR"/>
        </w:rPr>
        <w:t>rend compte des</w:t>
      </w:r>
      <w:r w:rsidR="00512521" w:rsidRPr="002715F2">
        <w:rPr>
          <w:rFonts w:eastAsia="Batang"/>
          <w:lang w:val="fr-FR" w:eastAsia="ko-KR"/>
        </w:rPr>
        <w:t xml:space="preserve"> </w:t>
      </w:r>
      <w:r w:rsidR="00FB3F5C" w:rsidRPr="002715F2">
        <w:rPr>
          <w:rFonts w:eastAsia="Batang"/>
          <w:lang w:val="fr-FR" w:eastAsia="ko-KR"/>
        </w:rPr>
        <w:t>mesures prises</w:t>
      </w:r>
      <w:r w:rsidR="003017B1" w:rsidRPr="002715F2">
        <w:rPr>
          <w:rFonts w:eastAsia="Batang"/>
          <w:lang w:val="fr-FR" w:eastAsia="ko-KR"/>
        </w:rPr>
        <w:t xml:space="preserve"> entre</w:t>
      </w:r>
      <w:r w:rsidR="00FB3F5C" w:rsidRPr="002715F2">
        <w:rPr>
          <w:rFonts w:eastAsia="Batang"/>
          <w:lang w:val="fr-FR" w:eastAsia="ko-KR"/>
        </w:rPr>
        <w:t xml:space="preserve"> 2006 </w:t>
      </w:r>
      <w:r w:rsidR="003017B1" w:rsidRPr="002715F2">
        <w:rPr>
          <w:rFonts w:eastAsia="Batang"/>
          <w:lang w:val="fr-FR" w:eastAsia="ko-KR"/>
        </w:rPr>
        <w:t>et</w:t>
      </w:r>
      <w:r w:rsidR="00FB3F5C" w:rsidRPr="002715F2">
        <w:rPr>
          <w:rFonts w:eastAsia="Batang"/>
          <w:lang w:val="fr-FR" w:eastAsia="ko-KR"/>
        </w:rPr>
        <w:t xml:space="preserve"> 2015 pour </w:t>
      </w:r>
      <w:r w:rsidR="00183FDF" w:rsidRPr="002715F2">
        <w:rPr>
          <w:lang w:val="fr-FR"/>
        </w:rPr>
        <w:t xml:space="preserve">assurer la mise en œuvre de la Convention et donner suite aux recommandations </w:t>
      </w:r>
      <w:r w:rsidR="00512521" w:rsidRPr="002715F2">
        <w:rPr>
          <w:rFonts w:eastAsia="Batang"/>
          <w:lang w:val="fr-FR" w:eastAsia="ko-KR"/>
        </w:rPr>
        <w:t>précédentes</w:t>
      </w:r>
      <w:r w:rsidR="00FB3F5C" w:rsidRPr="002715F2">
        <w:rPr>
          <w:rFonts w:eastAsia="Batang"/>
          <w:lang w:val="fr-FR" w:eastAsia="ko-KR"/>
        </w:rPr>
        <w:t xml:space="preserve"> </w:t>
      </w:r>
      <w:r w:rsidR="0054753C" w:rsidRPr="002715F2">
        <w:rPr>
          <w:rFonts w:eastAsia="Batang"/>
          <w:lang w:val="fr-FR" w:eastAsia="ko-KR"/>
        </w:rPr>
        <w:t>du</w:t>
      </w:r>
      <w:r w:rsidR="00FB3F5C" w:rsidRPr="002715F2">
        <w:rPr>
          <w:rFonts w:eastAsia="Batang"/>
          <w:lang w:val="fr-FR" w:eastAsia="ko-KR"/>
        </w:rPr>
        <w:t xml:space="preserve"> Comité contre la</w:t>
      </w:r>
      <w:r w:rsidR="00183FDF" w:rsidRPr="002715F2">
        <w:rPr>
          <w:rFonts w:eastAsia="Batang"/>
          <w:lang w:val="fr-FR" w:eastAsia="ko-KR"/>
        </w:rPr>
        <w:t xml:space="preserve"> torture (ci-après </w:t>
      </w:r>
      <w:r w:rsidR="00E97B1A" w:rsidRPr="002715F2">
        <w:rPr>
          <w:rFonts w:eastAsia="Batang"/>
          <w:lang w:val="fr-FR" w:eastAsia="ko-KR"/>
        </w:rPr>
        <w:t>«</w:t>
      </w:r>
      <w:r w:rsidR="00E1469B" w:rsidRPr="002715F2">
        <w:rPr>
          <w:rFonts w:eastAsia="Batang"/>
          <w:lang w:val="fr-FR" w:eastAsia="ko-KR"/>
        </w:rPr>
        <w:t xml:space="preserve">le </w:t>
      </w:r>
      <w:r w:rsidR="00FB3F5C" w:rsidRPr="002715F2">
        <w:rPr>
          <w:rFonts w:eastAsia="Batang"/>
          <w:lang w:val="fr-FR" w:eastAsia="ko-KR"/>
        </w:rPr>
        <w:t>Comité</w:t>
      </w:r>
      <w:r w:rsidR="00E97B1A" w:rsidRPr="002715F2">
        <w:rPr>
          <w:rFonts w:eastAsia="Batang"/>
          <w:lang w:val="fr-FR" w:eastAsia="ko-KR"/>
        </w:rPr>
        <w:t>»</w:t>
      </w:r>
      <w:r w:rsidR="00FB3F5C" w:rsidRPr="002715F2">
        <w:rPr>
          <w:rFonts w:eastAsia="Batang"/>
          <w:lang w:val="fr-FR" w:eastAsia="ko-KR"/>
        </w:rPr>
        <w:t>)</w:t>
      </w:r>
      <w:r w:rsidR="000078DA" w:rsidRPr="002715F2">
        <w:rPr>
          <w:rFonts w:eastAsia="Batang"/>
          <w:lang w:val="fr-FR" w:eastAsia="ko-KR"/>
        </w:rPr>
        <w:t>.</w:t>
      </w:r>
    </w:p>
    <w:p w:rsidR="000078DA" w:rsidRPr="002715F2" w:rsidRDefault="007026FB" w:rsidP="007026FB">
      <w:pPr>
        <w:pStyle w:val="SingleTxtG"/>
        <w:rPr>
          <w:rFonts w:eastAsia="Batang"/>
          <w:lang w:val="fr-FR"/>
        </w:rPr>
      </w:pPr>
      <w:r w:rsidRPr="002715F2">
        <w:rPr>
          <w:rFonts w:eastAsia="Batang"/>
          <w:lang w:val="fr-FR"/>
        </w:rPr>
        <w:t>2.</w:t>
      </w:r>
      <w:r w:rsidRPr="002715F2">
        <w:rPr>
          <w:rFonts w:eastAsia="Batang"/>
          <w:lang w:val="fr-FR"/>
        </w:rPr>
        <w:tab/>
      </w:r>
      <w:r w:rsidR="0054753C" w:rsidRPr="002715F2">
        <w:rPr>
          <w:rFonts w:eastAsia="Batang"/>
          <w:lang w:val="fr-FR"/>
        </w:rPr>
        <w:t xml:space="preserve">Le Gouvernement </w:t>
      </w:r>
      <w:r w:rsidR="0054753C" w:rsidRPr="002715F2">
        <w:rPr>
          <w:rFonts w:eastAsia="MS Mincho"/>
          <w:bCs/>
          <w:lang w:val="fr-FR"/>
        </w:rPr>
        <w:t xml:space="preserve">de la République de Corée </w:t>
      </w:r>
      <w:r w:rsidR="0069680C" w:rsidRPr="002715F2">
        <w:rPr>
          <w:rFonts w:eastAsia="MS Mincho"/>
          <w:bCs/>
          <w:lang w:val="fr-FR"/>
        </w:rPr>
        <w:t>(</w:t>
      </w:r>
      <w:r w:rsidR="004C79EA" w:rsidRPr="002715F2">
        <w:rPr>
          <w:rFonts w:eastAsia="Batang"/>
          <w:lang w:val="fr-FR"/>
        </w:rPr>
        <w:t xml:space="preserve">ci-après </w:t>
      </w:r>
      <w:r w:rsidR="0069680C" w:rsidRPr="002715F2">
        <w:rPr>
          <w:rFonts w:eastAsia="MS Mincho"/>
          <w:bCs/>
          <w:lang w:val="fr-FR"/>
        </w:rPr>
        <w:t>le</w:t>
      </w:r>
      <w:r w:rsidR="00E1469B" w:rsidRPr="002715F2">
        <w:rPr>
          <w:rFonts w:eastAsia="MS Mincho"/>
          <w:bCs/>
          <w:lang w:val="fr-FR"/>
        </w:rPr>
        <w:t xml:space="preserve"> «</w:t>
      </w:r>
      <w:r w:rsidR="0069680C" w:rsidRPr="002715F2">
        <w:rPr>
          <w:rFonts w:eastAsia="MS Mincho"/>
          <w:bCs/>
          <w:lang w:val="fr-FR"/>
        </w:rPr>
        <w:t>Gouvernement</w:t>
      </w:r>
      <w:r w:rsidR="00E97B1A" w:rsidRPr="002715F2">
        <w:rPr>
          <w:rFonts w:eastAsia="MS Mincho"/>
          <w:bCs/>
          <w:lang w:val="fr-FR"/>
        </w:rPr>
        <w:t>»</w:t>
      </w:r>
      <w:r w:rsidR="0069680C" w:rsidRPr="002715F2">
        <w:rPr>
          <w:rFonts w:eastAsia="MS Mincho"/>
          <w:bCs/>
          <w:lang w:val="fr-FR"/>
        </w:rPr>
        <w:t xml:space="preserve">) </w:t>
      </w:r>
      <w:r w:rsidR="0054753C" w:rsidRPr="002715F2">
        <w:rPr>
          <w:rFonts w:eastAsia="Batang"/>
          <w:lang w:val="fr-FR"/>
        </w:rPr>
        <w:t xml:space="preserve">a organisé deux réunions distinctes avec </w:t>
      </w:r>
      <w:r w:rsidR="004F1974" w:rsidRPr="002715F2">
        <w:rPr>
          <w:rFonts w:eastAsia="Batang"/>
          <w:lang w:val="fr-FR"/>
        </w:rPr>
        <w:t>l</w:t>
      </w:r>
      <w:r w:rsidR="0054753C" w:rsidRPr="002715F2">
        <w:rPr>
          <w:rFonts w:eastAsia="Batang"/>
          <w:lang w:val="fr-FR"/>
        </w:rPr>
        <w:t xml:space="preserve">es organisations </w:t>
      </w:r>
      <w:r w:rsidR="004F1974" w:rsidRPr="002715F2">
        <w:rPr>
          <w:rFonts w:eastAsia="Batang"/>
          <w:lang w:val="fr-FR"/>
        </w:rPr>
        <w:t>de la société civile aux fins de la préparation du présent rapport</w:t>
      </w:r>
      <w:r w:rsidR="000078DA" w:rsidRPr="002715F2">
        <w:rPr>
          <w:rFonts w:eastAsia="Batang"/>
          <w:lang w:val="fr-FR"/>
        </w:rPr>
        <w:t xml:space="preserve">. </w:t>
      </w:r>
      <w:r w:rsidR="0054753C" w:rsidRPr="002715F2">
        <w:rPr>
          <w:rFonts w:eastAsia="Batang"/>
          <w:lang w:val="fr-FR"/>
        </w:rPr>
        <w:t>La première</w:t>
      </w:r>
      <w:r w:rsidR="004F1974" w:rsidRPr="002715F2">
        <w:rPr>
          <w:rFonts w:eastAsia="Batang"/>
          <w:lang w:val="fr-FR"/>
        </w:rPr>
        <w:t xml:space="preserve"> réunion</w:t>
      </w:r>
      <w:r w:rsidR="0054753C" w:rsidRPr="002715F2">
        <w:rPr>
          <w:rFonts w:eastAsia="Batang"/>
          <w:lang w:val="fr-FR"/>
        </w:rPr>
        <w:t xml:space="preserve">, qui s’est tenue le 22 mai 2012, </w:t>
      </w:r>
      <w:r w:rsidR="004F1974" w:rsidRPr="002715F2">
        <w:rPr>
          <w:rFonts w:eastAsia="Batang"/>
          <w:lang w:val="fr-FR"/>
        </w:rPr>
        <w:t xml:space="preserve">soit </w:t>
      </w:r>
      <w:r w:rsidR="0054753C" w:rsidRPr="002715F2">
        <w:rPr>
          <w:rFonts w:eastAsia="Batang"/>
          <w:lang w:val="fr-FR"/>
        </w:rPr>
        <w:t xml:space="preserve">avant la rédaction du rapport, a </w:t>
      </w:r>
      <w:r w:rsidR="004F1974" w:rsidRPr="002715F2">
        <w:rPr>
          <w:rFonts w:eastAsia="Batang"/>
          <w:lang w:val="fr-FR"/>
        </w:rPr>
        <w:t>permis aux</w:t>
      </w:r>
      <w:r w:rsidR="0054753C" w:rsidRPr="002715F2">
        <w:rPr>
          <w:rFonts w:eastAsia="Batang"/>
          <w:lang w:val="fr-FR"/>
        </w:rPr>
        <w:t xml:space="preserve"> représentants des ministères</w:t>
      </w:r>
      <w:r w:rsidR="004F1974" w:rsidRPr="002715F2">
        <w:rPr>
          <w:rFonts w:eastAsia="Batang"/>
          <w:lang w:val="fr-FR"/>
        </w:rPr>
        <w:t xml:space="preserve"> concernés</w:t>
      </w:r>
      <w:r w:rsidR="0054753C" w:rsidRPr="002715F2">
        <w:rPr>
          <w:rFonts w:eastAsia="Batang"/>
          <w:lang w:val="fr-FR"/>
        </w:rPr>
        <w:t xml:space="preserve">, </w:t>
      </w:r>
      <w:r w:rsidR="004F1974" w:rsidRPr="002715F2">
        <w:rPr>
          <w:rFonts w:eastAsia="Batang"/>
          <w:lang w:val="fr-FR"/>
        </w:rPr>
        <w:t>à</w:t>
      </w:r>
      <w:r w:rsidR="0054753C" w:rsidRPr="002715F2">
        <w:rPr>
          <w:rFonts w:eastAsia="Batang"/>
          <w:lang w:val="fr-FR"/>
        </w:rPr>
        <w:t xml:space="preserve"> la </w:t>
      </w:r>
      <w:r w:rsidR="0054753C" w:rsidRPr="002715F2">
        <w:rPr>
          <w:bCs/>
          <w:lang w:val="fr-FR"/>
        </w:rPr>
        <w:t>Commission nationale des droits de l’homme de la République de Corée</w:t>
      </w:r>
      <w:r w:rsidR="0054753C" w:rsidRPr="002715F2">
        <w:rPr>
          <w:rFonts w:eastAsia="Batang"/>
          <w:lang w:val="fr-FR"/>
        </w:rPr>
        <w:t xml:space="preserve"> et </w:t>
      </w:r>
      <w:r w:rsidR="004F1974" w:rsidRPr="002715F2">
        <w:rPr>
          <w:rFonts w:eastAsia="Batang"/>
          <w:lang w:val="fr-FR"/>
        </w:rPr>
        <w:t>aux</w:t>
      </w:r>
      <w:r w:rsidR="0054753C" w:rsidRPr="002715F2">
        <w:rPr>
          <w:rFonts w:eastAsia="Batang"/>
          <w:lang w:val="fr-FR"/>
        </w:rPr>
        <w:t xml:space="preserve"> organisations non gouvernementales (ONG) </w:t>
      </w:r>
      <w:r w:rsidR="004F1974" w:rsidRPr="002715F2">
        <w:rPr>
          <w:rFonts w:eastAsia="Batang"/>
          <w:lang w:val="fr-FR"/>
        </w:rPr>
        <w:t>d’é</w:t>
      </w:r>
      <w:r w:rsidR="0054753C" w:rsidRPr="002715F2">
        <w:rPr>
          <w:rFonts w:eastAsia="Batang"/>
          <w:lang w:val="fr-FR"/>
        </w:rPr>
        <w:t>chang</w:t>
      </w:r>
      <w:r w:rsidR="004F1974" w:rsidRPr="002715F2">
        <w:rPr>
          <w:rFonts w:eastAsia="Batang"/>
          <w:lang w:val="fr-FR"/>
        </w:rPr>
        <w:t xml:space="preserve">er </w:t>
      </w:r>
      <w:r w:rsidR="0054753C" w:rsidRPr="002715F2">
        <w:rPr>
          <w:rFonts w:eastAsia="Batang"/>
          <w:lang w:val="fr-FR"/>
        </w:rPr>
        <w:t xml:space="preserve">des idées concernant </w:t>
      </w:r>
      <w:r w:rsidR="00183FDF" w:rsidRPr="002715F2">
        <w:rPr>
          <w:rFonts w:eastAsia="Batang"/>
          <w:lang w:val="fr-FR"/>
        </w:rPr>
        <w:t>la préparation</w:t>
      </w:r>
      <w:r w:rsidR="0054753C" w:rsidRPr="002715F2">
        <w:rPr>
          <w:rFonts w:eastAsia="Batang"/>
          <w:lang w:val="fr-FR"/>
        </w:rPr>
        <w:t xml:space="preserve"> </w:t>
      </w:r>
      <w:r w:rsidR="004C79EA" w:rsidRPr="002715F2">
        <w:rPr>
          <w:rFonts w:eastAsia="Batang"/>
          <w:lang w:val="fr-FR"/>
        </w:rPr>
        <w:t xml:space="preserve">du </w:t>
      </w:r>
      <w:r w:rsidR="0054753C" w:rsidRPr="002715F2">
        <w:rPr>
          <w:rFonts w:eastAsia="Batang"/>
          <w:lang w:val="fr-FR"/>
        </w:rPr>
        <w:t>rapport</w:t>
      </w:r>
      <w:r w:rsidR="000078DA" w:rsidRPr="002715F2">
        <w:rPr>
          <w:rFonts w:eastAsia="Batang"/>
          <w:lang w:val="fr-FR"/>
        </w:rPr>
        <w:t xml:space="preserve">. </w:t>
      </w:r>
      <w:r w:rsidR="0054753C" w:rsidRPr="002715F2">
        <w:rPr>
          <w:rFonts w:eastAsia="Batang"/>
          <w:lang w:val="fr-FR"/>
        </w:rPr>
        <w:t xml:space="preserve">La seconde réunion </w:t>
      </w:r>
      <w:r w:rsidR="005C2167" w:rsidRPr="002715F2">
        <w:rPr>
          <w:rFonts w:eastAsia="Batang"/>
          <w:lang w:val="fr-FR"/>
        </w:rPr>
        <w:t xml:space="preserve">a </w:t>
      </w:r>
      <w:r w:rsidR="004F1974" w:rsidRPr="002715F2">
        <w:rPr>
          <w:rFonts w:eastAsia="Batang"/>
          <w:lang w:val="fr-FR"/>
        </w:rPr>
        <w:t>été organisée</w:t>
      </w:r>
      <w:r w:rsidR="0054753C" w:rsidRPr="002715F2">
        <w:rPr>
          <w:rFonts w:eastAsia="Batang"/>
          <w:lang w:val="fr-FR"/>
        </w:rPr>
        <w:t xml:space="preserve"> le 19 juin 2012 </w:t>
      </w:r>
      <w:r w:rsidR="004F1974" w:rsidRPr="002715F2">
        <w:rPr>
          <w:rFonts w:eastAsia="Batang"/>
          <w:lang w:val="fr-FR"/>
        </w:rPr>
        <w:t>dans le but de</w:t>
      </w:r>
      <w:r w:rsidR="0054753C" w:rsidRPr="002715F2">
        <w:rPr>
          <w:rFonts w:eastAsia="Batang"/>
          <w:lang w:val="fr-FR"/>
        </w:rPr>
        <w:t xml:space="preserve"> recueillir des commentaires détaillés </w:t>
      </w:r>
      <w:r w:rsidR="004C79EA" w:rsidRPr="002715F2">
        <w:rPr>
          <w:rFonts w:eastAsia="Batang"/>
          <w:lang w:val="fr-FR"/>
        </w:rPr>
        <w:t>sur</w:t>
      </w:r>
      <w:r w:rsidR="0054753C" w:rsidRPr="002715F2">
        <w:rPr>
          <w:rFonts w:eastAsia="Batang"/>
          <w:lang w:val="fr-FR"/>
        </w:rPr>
        <w:t xml:space="preserve"> </w:t>
      </w:r>
      <w:r w:rsidR="004F1974" w:rsidRPr="002715F2">
        <w:rPr>
          <w:rFonts w:eastAsia="Batang"/>
          <w:lang w:val="fr-FR"/>
        </w:rPr>
        <w:t>la version initiale du rapport établie</w:t>
      </w:r>
      <w:r w:rsidR="0054753C" w:rsidRPr="002715F2">
        <w:rPr>
          <w:rFonts w:eastAsia="Batang"/>
          <w:lang w:val="fr-FR"/>
        </w:rPr>
        <w:t xml:space="preserve"> par le Gouvernement</w:t>
      </w:r>
      <w:r w:rsidR="004F1974" w:rsidRPr="002715F2">
        <w:rPr>
          <w:rFonts w:eastAsia="Batang"/>
          <w:lang w:val="fr-FR"/>
        </w:rPr>
        <w:t>. L</w:t>
      </w:r>
      <w:r w:rsidR="0054753C" w:rsidRPr="002715F2">
        <w:rPr>
          <w:rFonts w:eastAsia="Batang"/>
          <w:lang w:val="fr-FR"/>
        </w:rPr>
        <w:t>es représentants des ministères</w:t>
      </w:r>
      <w:r w:rsidR="004F1974" w:rsidRPr="002715F2">
        <w:rPr>
          <w:rFonts w:eastAsia="Batang"/>
          <w:lang w:val="fr-FR"/>
        </w:rPr>
        <w:t xml:space="preserve"> et</w:t>
      </w:r>
      <w:r w:rsidR="0054753C" w:rsidRPr="002715F2">
        <w:rPr>
          <w:rFonts w:eastAsia="Batang"/>
          <w:lang w:val="fr-FR"/>
        </w:rPr>
        <w:t xml:space="preserve"> des organisations</w:t>
      </w:r>
      <w:r w:rsidR="004F1974" w:rsidRPr="002715F2">
        <w:rPr>
          <w:rFonts w:eastAsia="Batang"/>
          <w:lang w:val="fr-FR"/>
        </w:rPr>
        <w:t xml:space="preserve"> concernés</w:t>
      </w:r>
      <w:r w:rsidR="0054753C" w:rsidRPr="002715F2">
        <w:rPr>
          <w:rFonts w:eastAsia="Batang"/>
          <w:lang w:val="fr-FR"/>
        </w:rPr>
        <w:t xml:space="preserve">, </w:t>
      </w:r>
      <w:r w:rsidR="004A315C" w:rsidRPr="002715F2">
        <w:rPr>
          <w:rFonts w:eastAsia="Batang"/>
          <w:lang w:val="fr-FR"/>
        </w:rPr>
        <w:t xml:space="preserve">de </w:t>
      </w:r>
      <w:r w:rsidR="0054753C" w:rsidRPr="002715F2">
        <w:rPr>
          <w:rFonts w:eastAsia="Batang"/>
          <w:lang w:val="fr-FR"/>
        </w:rPr>
        <w:t xml:space="preserve">la </w:t>
      </w:r>
      <w:r w:rsidR="0054753C" w:rsidRPr="002715F2">
        <w:rPr>
          <w:bCs/>
          <w:lang w:val="fr-FR"/>
        </w:rPr>
        <w:t>Commission nationale des droits de l’homme</w:t>
      </w:r>
      <w:r w:rsidR="0054753C" w:rsidRPr="002715F2">
        <w:rPr>
          <w:rFonts w:eastAsia="Batang"/>
          <w:lang w:val="fr-FR"/>
        </w:rPr>
        <w:t xml:space="preserve"> et des ONG étaient présents et ont participé </w:t>
      </w:r>
      <w:r w:rsidR="005C2167" w:rsidRPr="002715F2">
        <w:rPr>
          <w:rFonts w:eastAsia="Batang"/>
          <w:lang w:val="fr-FR"/>
        </w:rPr>
        <w:t>à un</w:t>
      </w:r>
      <w:r w:rsidR="004F1974" w:rsidRPr="002715F2">
        <w:rPr>
          <w:rFonts w:eastAsia="Batang"/>
          <w:lang w:val="fr-FR"/>
        </w:rPr>
        <w:t xml:space="preserve"> examen</w:t>
      </w:r>
      <w:r w:rsidR="0054753C" w:rsidRPr="002715F2">
        <w:rPr>
          <w:rFonts w:eastAsia="Batang"/>
          <w:lang w:val="fr-FR"/>
        </w:rPr>
        <w:t xml:space="preserve"> approfondi </w:t>
      </w:r>
      <w:r w:rsidR="004F1974" w:rsidRPr="002715F2">
        <w:rPr>
          <w:rFonts w:eastAsia="Batang"/>
          <w:lang w:val="fr-FR"/>
        </w:rPr>
        <w:t>de ce texte</w:t>
      </w:r>
      <w:r w:rsidR="000078DA" w:rsidRPr="002715F2">
        <w:rPr>
          <w:rFonts w:eastAsia="Batang"/>
          <w:lang w:val="fr-FR"/>
        </w:rPr>
        <w:t>.</w:t>
      </w:r>
      <w:r w:rsidR="00183FDF" w:rsidRPr="002715F2">
        <w:rPr>
          <w:rFonts w:eastAsia="Batang"/>
          <w:lang w:val="fr-FR"/>
        </w:rPr>
        <w:t xml:space="preserve"> En outre</w:t>
      </w:r>
      <w:r w:rsidR="004A315C" w:rsidRPr="002715F2">
        <w:rPr>
          <w:rFonts w:eastAsia="Batang"/>
          <w:lang w:val="fr-FR"/>
        </w:rPr>
        <w:t>,</w:t>
      </w:r>
      <w:r w:rsidR="005C2167" w:rsidRPr="002715F2">
        <w:rPr>
          <w:rFonts w:eastAsia="Batang"/>
          <w:lang w:val="fr-FR"/>
        </w:rPr>
        <w:t xml:space="preserve"> </w:t>
      </w:r>
      <w:r w:rsidR="00183FDF" w:rsidRPr="002715F2">
        <w:rPr>
          <w:rFonts w:eastAsia="Batang"/>
          <w:lang w:val="fr-FR"/>
        </w:rPr>
        <w:t xml:space="preserve">conformément à l’article 21 de la loi sur la Commission nationale des droits de l’homme, </w:t>
      </w:r>
      <w:r w:rsidR="005C2167" w:rsidRPr="002715F2">
        <w:rPr>
          <w:rFonts w:eastAsia="Batang"/>
          <w:lang w:val="fr-FR"/>
        </w:rPr>
        <w:t xml:space="preserve">le Gouvernement a </w:t>
      </w:r>
      <w:r w:rsidR="00183FDF" w:rsidRPr="002715F2">
        <w:rPr>
          <w:rFonts w:eastAsia="Batang"/>
          <w:lang w:val="fr-FR"/>
        </w:rPr>
        <w:t>sollicité l’avis de</w:t>
      </w:r>
      <w:r w:rsidR="005C2167" w:rsidRPr="002715F2">
        <w:rPr>
          <w:rFonts w:eastAsia="Batang"/>
          <w:lang w:val="fr-FR"/>
        </w:rPr>
        <w:t xml:space="preserve"> </w:t>
      </w:r>
      <w:r w:rsidR="004A315C" w:rsidRPr="002715F2">
        <w:rPr>
          <w:rFonts w:eastAsia="Batang"/>
          <w:lang w:val="fr-FR"/>
        </w:rPr>
        <w:t>la</w:t>
      </w:r>
      <w:r w:rsidR="005C2167" w:rsidRPr="002715F2">
        <w:rPr>
          <w:rFonts w:eastAsia="Batang"/>
          <w:lang w:val="fr-FR"/>
        </w:rPr>
        <w:t xml:space="preserve"> Commission </w:t>
      </w:r>
      <w:r w:rsidR="004A315C" w:rsidRPr="002715F2">
        <w:rPr>
          <w:rFonts w:eastAsia="Batang"/>
          <w:lang w:val="fr-FR"/>
        </w:rPr>
        <w:t>sur</w:t>
      </w:r>
      <w:r w:rsidR="005C2167" w:rsidRPr="002715F2">
        <w:rPr>
          <w:rFonts w:eastAsia="Batang"/>
          <w:lang w:val="fr-FR"/>
        </w:rPr>
        <w:t xml:space="preserve"> </w:t>
      </w:r>
      <w:r w:rsidR="00183FDF" w:rsidRPr="002715F2">
        <w:rPr>
          <w:rFonts w:eastAsia="Batang"/>
          <w:lang w:val="fr-FR"/>
        </w:rPr>
        <w:t>la version initiale du rapport</w:t>
      </w:r>
      <w:r w:rsidR="004C79EA" w:rsidRPr="002715F2">
        <w:rPr>
          <w:rFonts w:eastAsia="Batang"/>
          <w:lang w:val="fr-FR"/>
        </w:rPr>
        <w:t>,</w:t>
      </w:r>
      <w:r w:rsidR="004A315C" w:rsidRPr="002715F2">
        <w:rPr>
          <w:rFonts w:eastAsia="Batang"/>
          <w:lang w:val="fr-FR"/>
        </w:rPr>
        <w:t xml:space="preserve"> </w:t>
      </w:r>
      <w:r w:rsidR="00183FDF" w:rsidRPr="002715F2">
        <w:rPr>
          <w:rFonts w:eastAsia="Batang"/>
          <w:lang w:val="fr-FR"/>
        </w:rPr>
        <w:t xml:space="preserve">le 21 juin 2012, et reçu </w:t>
      </w:r>
      <w:r w:rsidR="004C79EA" w:rsidRPr="002715F2">
        <w:rPr>
          <w:rFonts w:eastAsia="Batang"/>
          <w:lang w:val="fr-FR"/>
        </w:rPr>
        <w:t>son</w:t>
      </w:r>
      <w:r w:rsidR="005C2167" w:rsidRPr="002715F2">
        <w:rPr>
          <w:rFonts w:eastAsia="Batang"/>
          <w:lang w:val="fr-FR"/>
        </w:rPr>
        <w:t xml:space="preserve"> </w:t>
      </w:r>
      <w:r w:rsidR="00183FDF" w:rsidRPr="002715F2">
        <w:rPr>
          <w:rFonts w:eastAsia="Batang"/>
          <w:lang w:val="fr-FR"/>
        </w:rPr>
        <w:t>avis</w:t>
      </w:r>
      <w:r w:rsidR="004C79EA" w:rsidRPr="002715F2">
        <w:rPr>
          <w:rFonts w:eastAsia="Batang"/>
          <w:lang w:val="fr-FR"/>
        </w:rPr>
        <w:t>,</w:t>
      </w:r>
      <w:r w:rsidR="00183FDF" w:rsidRPr="002715F2">
        <w:rPr>
          <w:rFonts w:eastAsia="Batang"/>
          <w:lang w:val="fr-FR"/>
        </w:rPr>
        <w:t xml:space="preserve"> </w:t>
      </w:r>
      <w:r w:rsidR="005C2167" w:rsidRPr="002715F2">
        <w:rPr>
          <w:rFonts w:eastAsia="Batang"/>
          <w:lang w:val="fr-FR"/>
        </w:rPr>
        <w:t>le 15 octobre 2012</w:t>
      </w:r>
      <w:r w:rsidR="000078DA" w:rsidRPr="002715F2">
        <w:rPr>
          <w:rFonts w:eastAsia="Batang"/>
          <w:lang w:val="fr-FR"/>
        </w:rPr>
        <w:t xml:space="preserve">. </w:t>
      </w:r>
      <w:r w:rsidR="00183FDF" w:rsidRPr="002715F2">
        <w:rPr>
          <w:rFonts w:eastAsia="Batang"/>
          <w:lang w:val="fr-FR"/>
        </w:rPr>
        <w:t>L</w:t>
      </w:r>
      <w:r w:rsidR="005C2167" w:rsidRPr="002715F2">
        <w:rPr>
          <w:rFonts w:eastAsia="Batang"/>
          <w:lang w:val="fr-FR"/>
        </w:rPr>
        <w:t>e Gouvernement s’est efforcé</w:t>
      </w:r>
      <w:r w:rsidR="00183FDF" w:rsidRPr="002715F2">
        <w:rPr>
          <w:rFonts w:eastAsia="Batang"/>
          <w:lang w:val="fr-FR"/>
        </w:rPr>
        <w:t>, par le biais de consultations tenues en interne,</w:t>
      </w:r>
      <w:r w:rsidR="005C2167" w:rsidRPr="002715F2">
        <w:rPr>
          <w:rFonts w:eastAsia="Batang"/>
          <w:lang w:val="fr-FR"/>
        </w:rPr>
        <w:t xml:space="preserve"> de </w:t>
      </w:r>
      <w:r w:rsidR="00183FDF" w:rsidRPr="002715F2">
        <w:rPr>
          <w:rFonts w:eastAsia="Batang"/>
          <w:lang w:val="fr-FR"/>
        </w:rPr>
        <w:t>refléter</w:t>
      </w:r>
      <w:r w:rsidR="005C2167" w:rsidRPr="002715F2">
        <w:rPr>
          <w:rFonts w:eastAsia="Batang"/>
          <w:lang w:val="fr-FR"/>
        </w:rPr>
        <w:t xml:space="preserve"> autant que </w:t>
      </w:r>
      <w:r w:rsidR="00B923EA" w:rsidRPr="002715F2">
        <w:rPr>
          <w:rFonts w:eastAsia="Batang"/>
          <w:lang w:val="fr-FR"/>
        </w:rPr>
        <w:t>possible</w:t>
      </w:r>
      <w:r w:rsidR="005C2167" w:rsidRPr="002715F2">
        <w:rPr>
          <w:rFonts w:eastAsia="Batang"/>
          <w:lang w:val="fr-FR"/>
        </w:rPr>
        <w:t xml:space="preserve"> dans le </w:t>
      </w:r>
      <w:r w:rsidR="005C6D8E" w:rsidRPr="002715F2">
        <w:rPr>
          <w:rFonts w:eastAsia="Batang"/>
          <w:lang w:val="fr-FR"/>
        </w:rPr>
        <w:t>présent</w:t>
      </w:r>
      <w:r w:rsidR="005C2167" w:rsidRPr="002715F2">
        <w:rPr>
          <w:rFonts w:eastAsia="Batang"/>
          <w:lang w:val="fr-FR"/>
        </w:rPr>
        <w:t xml:space="preserve"> rapport les </w:t>
      </w:r>
      <w:r w:rsidR="004A404B" w:rsidRPr="002715F2">
        <w:rPr>
          <w:rFonts w:eastAsia="Batang"/>
          <w:lang w:val="fr-FR"/>
        </w:rPr>
        <w:t>avis</w:t>
      </w:r>
      <w:r w:rsidR="005C2167" w:rsidRPr="002715F2">
        <w:rPr>
          <w:rFonts w:eastAsia="Batang"/>
          <w:lang w:val="fr-FR"/>
        </w:rPr>
        <w:t xml:space="preserve"> des </w:t>
      </w:r>
      <w:r w:rsidR="004A404B" w:rsidRPr="002715F2">
        <w:rPr>
          <w:rFonts w:eastAsia="Batang"/>
          <w:lang w:val="fr-FR"/>
        </w:rPr>
        <w:t>ONG</w:t>
      </w:r>
      <w:r w:rsidR="005C2167" w:rsidRPr="002715F2">
        <w:rPr>
          <w:rFonts w:eastAsia="Batang"/>
          <w:lang w:val="fr-FR"/>
        </w:rPr>
        <w:t xml:space="preserve"> et de la </w:t>
      </w:r>
      <w:r w:rsidR="005C2167" w:rsidRPr="002715F2">
        <w:rPr>
          <w:bCs/>
          <w:lang w:val="fr-FR"/>
        </w:rPr>
        <w:t>Commission nationale des droits de l’homme</w:t>
      </w:r>
      <w:r w:rsidR="000078DA" w:rsidRPr="002715F2">
        <w:rPr>
          <w:rFonts w:eastAsia="Batang"/>
          <w:lang w:val="fr-FR"/>
        </w:rPr>
        <w:t>.</w:t>
      </w:r>
    </w:p>
    <w:p w:rsidR="000078DA" w:rsidRPr="002715F2" w:rsidRDefault="000078DA">
      <w:pPr>
        <w:pStyle w:val="HChG"/>
        <w:rPr>
          <w:rFonts w:eastAsia="Batang"/>
          <w:lang w:val="fr-FR"/>
        </w:rPr>
      </w:pPr>
      <w:r w:rsidRPr="002715F2">
        <w:rPr>
          <w:rFonts w:eastAsia="Batang"/>
          <w:lang w:val="fr-FR"/>
        </w:rPr>
        <w:tab/>
        <w:t>II.</w:t>
      </w:r>
      <w:r w:rsidRPr="002715F2">
        <w:rPr>
          <w:rFonts w:eastAsia="Batang"/>
          <w:lang w:val="fr-FR"/>
        </w:rPr>
        <w:tab/>
      </w:r>
      <w:r w:rsidR="00D67598" w:rsidRPr="002715F2">
        <w:rPr>
          <w:lang w:val="fr-FR"/>
        </w:rPr>
        <w:t xml:space="preserve">Renseignements concernant </w:t>
      </w:r>
      <w:r w:rsidR="00EF22CB" w:rsidRPr="002715F2">
        <w:rPr>
          <w:lang w:val="fr-FR"/>
        </w:rPr>
        <w:t xml:space="preserve">spécifiquement </w:t>
      </w:r>
      <w:r w:rsidR="00D67598" w:rsidRPr="002715F2">
        <w:rPr>
          <w:lang w:val="fr-FR"/>
        </w:rPr>
        <w:t>la mise en œuvre des articles 1</w:t>
      </w:r>
      <w:r w:rsidR="00D67598" w:rsidRPr="002715F2">
        <w:rPr>
          <w:vertAlign w:val="superscript"/>
          <w:lang w:val="fr-FR"/>
        </w:rPr>
        <w:t>er</w:t>
      </w:r>
      <w:r w:rsidR="00D67598" w:rsidRPr="002715F2">
        <w:rPr>
          <w:lang w:val="fr-FR"/>
        </w:rPr>
        <w:t xml:space="preserve"> à 16 de la Convention, y compris au regard des précédentes recommandations du Comité</w:t>
      </w:r>
      <w:r w:rsidR="00D67598" w:rsidRPr="002715F2">
        <w:rPr>
          <w:rFonts w:eastAsia="Batang"/>
          <w:lang w:val="fr-FR"/>
        </w:rPr>
        <w:t xml:space="preserve"> </w:t>
      </w:r>
    </w:p>
    <w:p w:rsidR="000078DA" w:rsidRPr="002715F2" w:rsidRDefault="00F410E3">
      <w:pPr>
        <w:pStyle w:val="H1G"/>
        <w:rPr>
          <w:rFonts w:eastAsia="Gulim"/>
          <w:lang w:val="fr-FR"/>
        </w:rPr>
      </w:pPr>
      <w:r w:rsidRPr="002715F2">
        <w:rPr>
          <w:rFonts w:eastAsia="Batang"/>
          <w:lang w:val="fr-FR"/>
        </w:rPr>
        <w:tab/>
      </w:r>
      <w:r w:rsidRPr="002715F2">
        <w:rPr>
          <w:rFonts w:eastAsia="Batang"/>
          <w:lang w:val="fr-FR"/>
        </w:rPr>
        <w:tab/>
      </w:r>
      <w:r w:rsidR="0054753C" w:rsidRPr="002715F2">
        <w:rPr>
          <w:rFonts w:eastAsia="Batang"/>
          <w:lang w:val="fr-FR"/>
        </w:rPr>
        <w:t>Articles </w:t>
      </w:r>
      <w:r w:rsidR="00961BE3" w:rsidRPr="002715F2">
        <w:rPr>
          <w:rFonts w:eastAsia="Batang"/>
          <w:lang w:val="fr-FR"/>
        </w:rPr>
        <w:t>1</w:t>
      </w:r>
      <w:r w:rsidR="00D67598" w:rsidRPr="002715F2">
        <w:rPr>
          <w:rFonts w:eastAsia="Batang"/>
          <w:vertAlign w:val="superscript"/>
          <w:lang w:val="fr-FR"/>
        </w:rPr>
        <w:t>er</w:t>
      </w:r>
      <w:r w:rsidR="00D67598" w:rsidRPr="002715F2">
        <w:rPr>
          <w:rFonts w:eastAsia="Batang"/>
          <w:lang w:val="fr-FR"/>
        </w:rPr>
        <w:t xml:space="preserve"> </w:t>
      </w:r>
      <w:r w:rsidR="0054753C" w:rsidRPr="002715F2">
        <w:rPr>
          <w:rFonts w:eastAsia="Batang"/>
          <w:lang w:val="fr-FR"/>
        </w:rPr>
        <w:t>et</w:t>
      </w:r>
      <w:r w:rsidR="00961BE3" w:rsidRPr="002715F2">
        <w:rPr>
          <w:rFonts w:eastAsia="Batang"/>
          <w:lang w:val="fr-FR"/>
        </w:rPr>
        <w:t xml:space="preserve"> 4</w:t>
      </w:r>
    </w:p>
    <w:p w:rsidR="000078DA" w:rsidRPr="002715F2" w:rsidRDefault="00F410E3" w:rsidP="00F410E3">
      <w:pPr>
        <w:pStyle w:val="H23G"/>
        <w:rPr>
          <w:rFonts w:ascii="Gulim" w:eastAsia="Gulim" w:hAnsi="Gulim" w:cs="Gulim"/>
          <w:lang w:val="fr-FR" w:eastAsia="ko-KR"/>
        </w:rPr>
      </w:pPr>
      <w:r w:rsidRPr="002715F2">
        <w:rPr>
          <w:rFonts w:eastAsia="Batang"/>
          <w:lang w:val="fr-FR" w:eastAsia="ko-KR"/>
        </w:rPr>
        <w:tab/>
      </w:r>
      <w:r w:rsidRPr="002715F2">
        <w:rPr>
          <w:rFonts w:eastAsia="Batang"/>
          <w:lang w:val="fr-FR" w:eastAsia="ko-KR"/>
        </w:rPr>
        <w:tab/>
      </w:r>
      <w:r w:rsidR="005C2167" w:rsidRPr="002715F2">
        <w:rPr>
          <w:rFonts w:eastAsia="Batang"/>
          <w:lang w:val="fr-FR" w:eastAsia="ko-KR"/>
        </w:rPr>
        <w:t xml:space="preserve">Réponse aux questions soulevées au paragraphe 1 de la liste des </w:t>
      </w:r>
      <w:r w:rsidR="00513EB6" w:rsidRPr="002715F2">
        <w:rPr>
          <w:rFonts w:eastAsia="Batang"/>
          <w:lang w:val="fr-FR" w:eastAsia="ko-KR"/>
        </w:rPr>
        <w:t>points</w:t>
      </w:r>
      <w:r w:rsidR="005C2167" w:rsidRPr="002715F2">
        <w:rPr>
          <w:rFonts w:eastAsia="Batang"/>
          <w:lang w:val="fr-FR" w:eastAsia="ko-KR"/>
        </w:rPr>
        <w:t xml:space="preserve"> </w:t>
      </w:r>
      <w:r w:rsidR="000078DA" w:rsidRPr="002715F2">
        <w:rPr>
          <w:rFonts w:eastAsia="Batang"/>
          <w:lang w:val="fr-FR"/>
        </w:rPr>
        <w:t>(CAT/C/KOR/Q/3-5)</w:t>
      </w:r>
      <w:r w:rsidR="000078DA" w:rsidRPr="002715F2">
        <w:rPr>
          <w:rStyle w:val="FootnoteReference"/>
          <w:rFonts w:eastAsia="Batang"/>
          <w:b w:val="0"/>
          <w:lang w:val="fr-FR"/>
        </w:rPr>
        <w:footnoteReference w:id="6"/>
      </w:r>
    </w:p>
    <w:p w:rsidR="000078DA" w:rsidRPr="002715F2" w:rsidRDefault="007026FB" w:rsidP="007026FB">
      <w:pPr>
        <w:pStyle w:val="SingleTxtG"/>
        <w:rPr>
          <w:rFonts w:eastAsia="Batang"/>
          <w:lang w:val="fr-FR" w:eastAsia="ko-KR"/>
        </w:rPr>
      </w:pPr>
      <w:r w:rsidRPr="002715F2">
        <w:rPr>
          <w:rFonts w:eastAsia="Batang"/>
          <w:lang w:val="fr-FR" w:eastAsia="ko-KR"/>
        </w:rPr>
        <w:t>3.</w:t>
      </w:r>
      <w:r w:rsidRPr="002715F2">
        <w:rPr>
          <w:rFonts w:eastAsia="Batang"/>
          <w:lang w:val="fr-FR" w:eastAsia="ko-KR"/>
        </w:rPr>
        <w:tab/>
      </w:r>
      <w:r w:rsidR="00694CBF" w:rsidRPr="002715F2">
        <w:rPr>
          <w:rFonts w:eastAsia="Batang"/>
          <w:lang w:val="fr-FR" w:eastAsia="ko-KR"/>
        </w:rPr>
        <w:t>L</w:t>
      </w:r>
      <w:r w:rsidR="00EF22CB" w:rsidRPr="002715F2">
        <w:rPr>
          <w:rFonts w:eastAsia="Batang"/>
          <w:lang w:val="fr-FR" w:eastAsia="ko-KR"/>
        </w:rPr>
        <w:t>e</w:t>
      </w:r>
      <w:r w:rsidR="00694CBF" w:rsidRPr="002715F2">
        <w:rPr>
          <w:rFonts w:eastAsia="Batang"/>
          <w:lang w:val="fr-FR" w:eastAsia="ko-KR"/>
        </w:rPr>
        <w:t xml:space="preserve"> Code pénal n’a pas été modifié </w:t>
      </w:r>
      <w:r w:rsidR="00B520B2" w:rsidRPr="002715F2">
        <w:rPr>
          <w:lang w:val="fr-FR"/>
        </w:rPr>
        <w:t xml:space="preserve">de façon à y </w:t>
      </w:r>
      <w:r w:rsidR="009970B3" w:rsidRPr="002715F2">
        <w:rPr>
          <w:lang w:val="fr-FR"/>
        </w:rPr>
        <w:t>incorporer</w:t>
      </w:r>
      <w:r w:rsidR="00B520B2" w:rsidRPr="002715F2">
        <w:rPr>
          <w:lang w:val="fr-FR"/>
        </w:rPr>
        <w:t xml:space="preserve"> une </w:t>
      </w:r>
      <w:r w:rsidR="00694CBF" w:rsidRPr="002715F2">
        <w:rPr>
          <w:rFonts w:eastAsia="Batang"/>
          <w:lang w:val="fr-FR" w:eastAsia="ko-KR"/>
        </w:rPr>
        <w:t xml:space="preserve">définition </w:t>
      </w:r>
      <w:r w:rsidR="00BD1A84" w:rsidRPr="002715F2">
        <w:rPr>
          <w:rFonts w:eastAsia="Batang"/>
          <w:lang w:val="fr-FR" w:eastAsia="ko-KR"/>
        </w:rPr>
        <w:t xml:space="preserve">expresse </w:t>
      </w:r>
      <w:r w:rsidR="00694CBF" w:rsidRPr="002715F2">
        <w:rPr>
          <w:rFonts w:eastAsia="Batang"/>
          <w:lang w:val="fr-FR" w:eastAsia="ko-KR"/>
        </w:rPr>
        <w:t xml:space="preserve">du crime de torture </w:t>
      </w:r>
      <w:r w:rsidR="00BD1A84" w:rsidRPr="002715F2">
        <w:rPr>
          <w:lang w:val="fr-FR"/>
        </w:rPr>
        <w:t>conforme à celle qu</w:t>
      </w:r>
      <w:r w:rsidR="00D9058F" w:rsidRPr="002715F2">
        <w:rPr>
          <w:lang w:val="fr-FR"/>
        </w:rPr>
        <w:t>i figure à</w:t>
      </w:r>
      <w:r w:rsidR="00BD1A84" w:rsidRPr="002715F2">
        <w:rPr>
          <w:lang w:val="fr-FR"/>
        </w:rPr>
        <w:t xml:space="preserve"> l’article premier </w:t>
      </w:r>
      <w:r w:rsidR="00694CBF" w:rsidRPr="002715F2">
        <w:rPr>
          <w:lang w:val="fr-FR"/>
        </w:rPr>
        <w:t>de la Convention</w:t>
      </w:r>
      <w:r w:rsidR="000078DA" w:rsidRPr="002715F2">
        <w:rPr>
          <w:rFonts w:eastAsia="Batang"/>
          <w:lang w:val="fr-FR" w:eastAsia="ko-KR"/>
        </w:rPr>
        <w:t>.</w:t>
      </w:r>
      <w:r w:rsidR="00694CBF" w:rsidRPr="002715F2">
        <w:rPr>
          <w:rFonts w:eastAsia="Batang"/>
          <w:lang w:val="fr-FR" w:eastAsia="ko-KR"/>
        </w:rPr>
        <w:t xml:space="preserve"> Toutefois, les dispositions du Code pénal</w:t>
      </w:r>
      <w:r w:rsidR="00A17C05" w:rsidRPr="002715F2">
        <w:rPr>
          <w:rFonts w:eastAsia="Batang"/>
          <w:lang w:val="fr-FR" w:eastAsia="ko-KR"/>
        </w:rPr>
        <w:t xml:space="preserve">, y compris ses </w:t>
      </w:r>
      <w:r w:rsidR="00694CBF" w:rsidRPr="002715F2">
        <w:rPr>
          <w:rFonts w:eastAsia="Batang"/>
          <w:lang w:val="fr-FR" w:eastAsia="ko-KR"/>
        </w:rPr>
        <w:t>article</w:t>
      </w:r>
      <w:r w:rsidR="00A17C05" w:rsidRPr="002715F2">
        <w:rPr>
          <w:rFonts w:eastAsia="Batang"/>
          <w:lang w:val="fr-FR" w:eastAsia="ko-KR"/>
        </w:rPr>
        <w:t>s</w:t>
      </w:r>
      <w:r w:rsidR="00694CBF" w:rsidRPr="002715F2">
        <w:rPr>
          <w:rFonts w:eastAsia="Batang"/>
          <w:lang w:val="fr-FR" w:eastAsia="ko-KR"/>
        </w:rPr>
        <w:t> 124 (</w:t>
      </w:r>
      <w:r w:rsidR="00146928" w:rsidRPr="002715F2">
        <w:rPr>
          <w:lang w:val="fr-FR"/>
        </w:rPr>
        <w:t>A</w:t>
      </w:r>
      <w:r w:rsidR="00A17C05" w:rsidRPr="002715F2">
        <w:rPr>
          <w:lang w:val="fr-FR"/>
        </w:rPr>
        <w:t>rrestation et détention arbitraire</w:t>
      </w:r>
      <w:r w:rsidR="00EF22CB" w:rsidRPr="002715F2">
        <w:rPr>
          <w:lang w:val="fr-FR"/>
        </w:rPr>
        <w:t>s</w:t>
      </w:r>
      <w:r w:rsidR="00694CBF" w:rsidRPr="002715F2">
        <w:rPr>
          <w:rFonts w:eastAsia="Batang"/>
          <w:lang w:val="fr-FR" w:eastAsia="ko-KR"/>
        </w:rPr>
        <w:t>) et 125 (</w:t>
      </w:r>
      <w:r w:rsidR="00146928" w:rsidRPr="002715F2">
        <w:rPr>
          <w:rFonts w:eastAsia="Batang"/>
          <w:lang w:val="fr-FR" w:eastAsia="ko-KR"/>
        </w:rPr>
        <w:t xml:space="preserve">Actes </w:t>
      </w:r>
      <w:r w:rsidR="00BD1A84" w:rsidRPr="002715F2">
        <w:rPr>
          <w:rFonts w:eastAsia="Batang"/>
          <w:lang w:val="fr-FR" w:eastAsia="ko-KR"/>
        </w:rPr>
        <w:t>de violence et de cruauté</w:t>
      </w:r>
      <w:r w:rsidR="00694CBF" w:rsidRPr="002715F2">
        <w:rPr>
          <w:rFonts w:eastAsia="Batang"/>
          <w:lang w:val="fr-FR" w:eastAsia="ko-KR"/>
        </w:rPr>
        <w:t>)</w:t>
      </w:r>
      <w:r w:rsidR="00A17C05" w:rsidRPr="002715F2">
        <w:rPr>
          <w:rFonts w:eastAsia="Batang"/>
          <w:lang w:val="fr-FR" w:eastAsia="ko-KR"/>
        </w:rPr>
        <w:t>, ainsi que</w:t>
      </w:r>
      <w:r w:rsidR="00694CBF" w:rsidRPr="002715F2">
        <w:rPr>
          <w:rFonts w:eastAsia="Batang"/>
          <w:lang w:val="fr-FR" w:eastAsia="ko-KR"/>
        </w:rPr>
        <w:t xml:space="preserve"> d’autres lois pénales </w:t>
      </w:r>
      <w:r w:rsidR="00BD1A84" w:rsidRPr="002715F2">
        <w:rPr>
          <w:rFonts w:eastAsia="Batang"/>
          <w:lang w:val="fr-FR" w:eastAsia="ko-KR"/>
        </w:rPr>
        <w:t>spéciales</w:t>
      </w:r>
      <w:r w:rsidR="00A17C05" w:rsidRPr="002715F2">
        <w:rPr>
          <w:rFonts w:eastAsia="Batang"/>
          <w:lang w:val="fr-FR" w:eastAsia="ko-KR"/>
        </w:rPr>
        <w:t>,</w:t>
      </w:r>
      <w:r w:rsidR="00BD1A84" w:rsidRPr="002715F2">
        <w:rPr>
          <w:rFonts w:eastAsia="Batang"/>
          <w:lang w:val="fr-FR" w:eastAsia="ko-KR"/>
        </w:rPr>
        <w:t xml:space="preserve"> </w:t>
      </w:r>
      <w:r w:rsidR="00694CBF" w:rsidRPr="002715F2">
        <w:rPr>
          <w:rFonts w:eastAsia="Batang"/>
          <w:lang w:val="fr-FR" w:eastAsia="ko-KR"/>
        </w:rPr>
        <w:t xml:space="preserve">érigent en infraction pénale et </w:t>
      </w:r>
      <w:r w:rsidR="00D9058F" w:rsidRPr="002715F2">
        <w:rPr>
          <w:rFonts w:eastAsia="Batang"/>
          <w:lang w:val="fr-FR" w:eastAsia="ko-KR"/>
        </w:rPr>
        <w:t>sanctionnent</w:t>
      </w:r>
      <w:r w:rsidR="00694CBF" w:rsidRPr="002715F2">
        <w:rPr>
          <w:rFonts w:eastAsia="Batang"/>
          <w:lang w:val="fr-FR" w:eastAsia="ko-KR"/>
        </w:rPr>
        <w:t xml:space="preserve"> tous les aspects de</w:t>
      </w:r>
      <w:r w:rsidR="001E7167" w:rsidRPr="002715F2">
        <w:rPr>
          <w:rFonts w:eastAsia="Batang"/>
          <w:lang w:val="fr-FR" w:eastAsia="ko-KR"/>
        </w:rPr>
        <w:t xml:space="preserve"> la</w:t>
      </w:r>
      <w:r w:rsidR="00694CBF" w:rsidRPr="002715F2">
        <w:rPr>
          <w:rFonts w:eastAsia="Batang"/>
          <w:lang w:val="fr-FR" w:eastAsia="ko-KR"/>
        </w:rPr>
        <w:t xml:space="preserve"> torture tels que décrits dans les premier et deuxième rapports</w:t>
      </w:r>
      <w:r w:rsidR="00BD1A84" w:rsidRPr="002715F2">
        <w:rPr>
          <w:rFonts w:eastAsia="Batang"/>
          <w:lang w:val="fr-FR" w:eastAsia="ko-KR"/>
        </w:rPr>
        <w:t xml:space="preserve"> </w:t>
      </w:r>
      <w:r w:rsidR="000078DA" w:rsidRPr="002715F2">
        <w:rPr>
          <w:rFonts w:eastAsia="Batang"/>
          <w:lang w:val="fr-FR" w:eastAsia="ko-KR"/>
        </w:rPr>
        <w:t>(CAT/C/32/Add.1</w:t>
      </w:r>
      <w:r w:rsidR="001E7167"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105</w:t>
      </w:r>
      <w:r w:rsidR="00BD1A84" w:rsidRPr="002715F2">
        <w:rPr>
          <w:rFonts w:eastAsia="Batang"/>
          <w:lang w:val="fr-FR" w:eastAsia="ko-KR"/>
        </w:rPr>
        <w:t xml:space="preserve"> à </w:t>
      </w:r>
      <w:r w:rsidR="000078DA" w:rsidRPr="002715F2">
        <w:rPr>
          <w:rFonts w:eastAsia="Batang"/>
          <w:lang w:val="fr-FR" w:eastAsia="ko-KR"/>
        </w:rPr>
        <w:t>111</w:t>
      </w:r>
      <w:r w:rsidR="00E97B1A" w:rsidRPr="002715F2">
        <w:rPr>
          <w:rFonts w:eastAsia="Batang"/>
          <w:lang w:val="fr-FR" w:eastAsia="ko-KR"/>
        </w:rPr>
        <w:t>;</w:t>
      </w:r>
      <w:r w:rsidR="000078DA" w:rsidRPr="002715F2">
        <w:rPr>
          <w:rFonts w:eastAsia="Batang"/>
          <w:lang w:val="fr-FR" w:eastAsia="ko-KR"/>
        </w:rPr>
        <w:t xml:space="preserve"> </w:t>
      </w:r>
      <w:r w:rsidR="000078DA" w:rsidRPr="002715F2">
        <w:rPr>
          <w:rFonts w:eastAsia="휴먼명조"/>
          <w:spacing w:val="-4"/>
          <w:lang w:val="fr-FR" w:eastAsia="ko-KR"/>
        </w:rPr>
        <w:t>CAT/C/53/Add.2</w:t>
      </w:r>
      <w:r w:rsidR="001E7167" w:rsidRPr="002715F2">
        <w:rPr>
          <w:rFonts w:eastAsia="휴먼명조"/>
          <w:spacing w:val="-4"/>
          <w:lang w:val="fr-FR" w:eastAsia="ko-KR"/>
        </w:rPr>
        <w:t>,</w:t>
      </w:r>
      <w:r w:rsidR="000078DA" w:rsidRPr="002715F2">
        <w:rPr>
          <w:rFonts w:eastAsia="휴먼명조"/>
          <w:spacing w:val="-4"/>
          <w:lang w:val="fr-FR" w:eastAsia="ko-KR"/>
        </w:rPr>
        <w:t xml:space="preserve"> </w:t>
      </w:r>
      <w:r w:rsidR="00BD1A84" w:rsidRPr="002715F2">
        <w:rPr>
          <w:rFonts w:eastAsia="휴먼명조"/>
          <w:spacing w:val="-4"/>
          <w:lang w:val="fr-FR" w:eastAsia="ko-KR"/>
        </w:rPr>
        <w:t>par. </w:t>
      </w:r>
      <w:r w:rsidR="000078DA" w:rsidRPr="002715F2">
        <w:rPr>
          <w:rFonts w:eastAsia="휴먼명조"/>
          <w:spacing w:val="-4"/>
          <w:lang w:val="fr-FR" w:eastAsia="ko-KR"/>
        </w:rPr>
        <w:t>28, 100</w:t>
      </w:r>
      <w:r w:rsidR="00BD1A84" w:rsidRPr="002715F2">
        <w:rPr>
          <w:rFonts w:eastAsia="휴먼명조"/>
          <w:spacing w:val="-4"/>
          <w:lang w:val="fr-FR" w:eastAsia="ko-KR"/>
        </w:rPr>
        <w:t xml:space="preserve"> et </w:t>
      </w:r>
      <w:r w:rsidR="000078DA" w:rsidRPr="002715F2">
        <w:rPr>
          <w:rFonts w:eastAsia="휴먼명조"/>
          <w:spacing w:val="-4"/>
          <w:lang w:val="fr-FR" w:eastAsia="ko-KR"/>
        </w:rPr>
        <w:t>101).</w:t>
      </w:r>
    </w:p>
    <w:p w:rsidR="000078DA" w:rsidRPr="002715F2" w:rsidRDefault="007026FB" w:rsidP="007026FB">
      <w:pPr>
        <w:pStyle w:val="SingleTxtG"/>
        <w:rPr>
          <w:rFonts w:eastAsia="Batang"/>
          <w:lang w:val="fr-FR" w:eastAsia="ko-KR"/>
        </w:rPr>
      </w:pPr>
      <w:r w:rsidRPr="002715F2">
        <w:rPr>
          <w:rFonts w:eastAsia="Batang"/>
          <w:lang w:val="fr-FR" w:eastAsia="ko-KR"/>
        </w:rPr>
        <w:t>4.</w:t>
      </w:r>
      <w:r w:rsidRPr="002715F2">
        <w:rPr>
          <w:rFonts w:eastAsia="Batang"/>
          <w:lang w:val="fr-FR" w:eastAsia="ko-KR"/>
        </w:rPr>
        <w:tab/>
      </w:r>
      <w:r w:rsidR="004549D7" w:rsidRPr="002715F2">
        <w:rPr>
          <w:rFonts w:eastAsia="Batang"/>
          <w:lang w:val="fr-FR" w:eastAsia="ko-KR"/>
        </w:rPr>
        <w:t xml:space="preserve">Une disposition </w:t>
      </w:r>
      <w:r w:rsidR="00B520B2" w:rsidRPr="002715F2">
        <w:rPr>
          <w:rFonts w:eastAsia="Batang"/>
          <w:lang w:val="fr-FR" w:eastAsia="ko-KR"/>
        </w:rPr>
        <w:t xml:space="preserve">sanctionnant </w:t>
      </w:r>
      <w:r w:rsidR="00337DFA" w:rsidRPr="002715F2">
        <w:rPr>
          <w:rFonts w:eastAsia="Batang"/>
          <w:lang w:val="fr-FR" w:eastAsia="ko-KR"/>
        </w:rPr>
        <w:t>la</w:t>
      </w:r>
      <w:r w:rsidR="004549D7" w:rsidRPr="002715F2">
        <w:rPr>
          <w:rFonts w:eastAsia="Batang"/>
          <w:lang w:val="fr-FR" w:eastAsia="ko-KR"/>
        </w:rPr>
        <w:t xml:space="preserve"> torture a été inscrite dans la loi sur la répression des </w:t>
      </w:r>
      <w:r w:rsidR="00855A64" w:rsidRPr="002715F2">
        <w:rPr>
          <w:rFonts w:eastAsia="Batang"/>
          <w:lang w:val="fr-FR" w:eastAsia="ko-KR"/>
        </w:rPr>
        <w:t xml:space="preserve">délits </w:t>
      </w:r>
      <w:r w:rsidR="004549D7" w:rsidRPr="002715F2">
        <w:rPr>
          <w:rFonts w:eastAsia="Batang"/>
          <w:lang w:val="fr-FR" w:eastAsia="ko-KR"/>
        </w:rPr>
        <w:t xml:space="preserve">relevant de la compétence de la Cour pénale internationale, </w:t>
      </w:r>
      <w:r w:rsidR="00B520B2" w:rsidRPr="002715F2">
        <w:rPr>
          <w:rFonts w:eastAsia="Batang"/>
          <w:lang w:val="fr-FR" w:eastAsia="ko-KR"/>
        </w:rPr>
        <w:t>promulguée</w:t>
      </w:r>
      <w:r w:rsidR="004549D7" w:rsidRPr="002715F2">
        <w:rPr>
          <w:rFonts w:eastAsia="Batang"/>
          <w:lang w:val="fr-FR" w:eastAsia="ko-KR"/>
        </w:rPr>
        <w:t xml:space="preserve"> le 21 décembre 2007</w:t>
      </w:r>
      <w:r w:rsidR="000078DA" w:rsidRPr="002715F2">
        <w:rPr>
          <w:rFonts w:eastAsia="Batang"/>
          <w:lang w:val="fr-FR" w:eastAsia="ko-KR"/>
        </w:rPr>
        <w:t xml:space="preserve">. </w:t>
      </w:r>
      <w:r w:rsidR="004549D7" w:rsidRPr="002715F2">
        <w:rPr>
          <w:rFonts w:eastAsia="Batang"/>
          <w:lang w:val="fr-FR" w:eastAsia="ko-KR"/>
        </w:rPr>
        <w:t xml:space="preserve">Cette loi a </w:t>
      </w:r>
      <w:r w:rsidR="00855A64" w:rsidRPr="002715F2">
        <w:rPr>
          <w:rFonts w:eastAsia="Batang"/>
          <w:lang w:val="fr-FR" w:eastAsia="ko-KR"/>
        </w:rPr>
        <w:t>pour objet de</w:t>
      </w:r>
      <w:r w:rsidR="004549D7" w:rsidRPr="002715F2">
        <w:rPr>
          <w:rFonts w:eastAsia="Batang"/>
          <w:lang w:val="fr-FR" w:eastAsia="ko-KR"/>
        </w:rPr>
        <w:t xml:space="preserve"> </w:t>
      </w:r>
      <w:r w:rsidR="009966B6" w:rsidRPr="002715F2">
        <w:rPr>
          <w:rFonts w:eastAsia="Batang"/>
          <w:lang w:val="fr-FR" w:eastAsia="ko-KR"/>
        </w:rPr>
        <w:t>mettre</w:t>
      </w:r>
      <w:r w:rsidR="004549D7" w:rsidRPr="002715F2">
        <w:rPr>
          <w:rFonts w:eastAsia="Batang"/>
          <w:lang w:val="fr-FR" w:eastAsia="ko-KR"/>
        </w:rPr>
        <w:t xml:space="preserve"> en œuvre le Statut de Rome de la Cour pénale internationale</w:t>
      </w:r>
      <w:r w:rsidR="000078DA" w:rsidRPr="002715F2">
        <w:rPr>
          <w:rFonts w:eastAsia="Batang"/>
          <w:lang w:val="fr-FR" w:eastAsia="ko-KR"/>
        </w:rPr>
        <w:t xml:space="preserve">. </w:t>
      </w:r>
      <w:r w:rsidR="004549D7" w:rsidRPr="002715F2">
        <w:rPr>
          <w:rFonts w:eastAsia="Batang"/>
          <w:lang w:val="fr-FR" w:eastAsia="ko-KR"/>
        </w:rPr>
        <w:t xml:space="preserve">Étant donné que le Statut de Rome stipule que certains types de torture constituent des </w:t>
      </w:r>
      <w:r w:rsidR="00855A64" w:rsidRPr="002715F2">
        <w:rPr>
          <w:rFonts w:eastAsia="Batang"/>
          <w:lang w:val="fr-FR" w:eastAsia="ko-KR"/>
        </w:rPr>
        <w:t xml:space="preserve">délits </w:t>
      </w:r>
      <w:r w:rsidR="004549D7" w:rsidRPr="002715F2">
        <w:rPr>
          <w:rFonts w:eastAsia="Batang"/>
          <w:lang w:val="fr-FR" w:eastAsia="ko-KR"/>
        </w:rPr>
        <w:t>relevant de la compétence de la Cour pénale internationale, la</w:t>
      </w:r>
      <w:r w:rsidR="00DA29AA" w:rsidRPr="002715F2">
        <w:rPr>
          <w:rFonts w:eastAsia="Batang"/>
          <w:lang w:val="fr-FR" w:eastAsia="ko-KR"/>
        </w:rPr>
        <w:t>dite</w:t>
      </w:r>
      <w:r w:rsidR="004549D7" w:rsidRPr="002715F2">
        <w:rPr>
          <w:rFonts w:eastAsia="Batang"/>
          <w:lang w:val="fr-FR" w:eastAsia="ko-KR"/>
        </w:rPr>
        <w:t xml:space="preserve"> loi érige également ces actes de torture en crime et punit leurs auteurs d’une peine d’emprisonnement à vie ou d’au moins cinq ans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9</w:t>
      </w:r>
      <w:r w:rsidR="00DA29AA"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2</w:t>
      </w:r>
      <w:r w:rsidR="00BD1A84" w:rsidRPr="002715F2">
        <w:rPr>
          <w:rFonts w:eastAsia="Batang"/>
          <w:lang w:val="fr-FR" w:eastAsia="ko-KR"/>
        </w:rPr>
        <w:t> </w:t>
      </w:r>
      <w:r w:rsidR="000078DA" w:rsidRPr="002715F2">
        <w:rPr>
          <w:rFonts w:eastAsia="Batang"/>
          <w:lang w:val="fr-FR" w:eastAsia="ko-KR"/>
        </w:rPr>
        <w:t>5)</w:t>
      </w:r>
      <w:r w:rsidR="00DA29AA" w:rsidRPr="002715F2">
        <w:rPr>
          <w:rFonts w:eastAsia="Batang"/>
          <w:lang w:val="fr-FR" w:eastAsia="ko-KR"/>
        </w:rPr>
        <w:t xml:space="preserve"> et</w:t>
      </w:r>
      <w:r w:rsidR="000078DA" w:rsidRPr="002715F2">
        <w:rPr>
          <w:rFonts w:eastAsia="Batang"/>
          <w:lang w:val="fr-FR" w:eastAsia="ko-KR"/>
        </w:rPr>
        <w:t xml:space="preserve"> </w:t>
      </w:r>
      <w:r w:rsidR="00BD1A84" w:rsidRPr="002715F2">
        <w:rPr>
          <w:rFonts w:eastAsia="Batang"/>
          <w:lang w:val="fr-FR" w:eastAsia="ko-KR"/>
        </w:rPr>
        <w:t>art. </w:t>
      </w:r>
      <w:r w:rsidR="000078DA" w:rsidRPr="002715F2">
        <w:rPr>
          <w:rFonts w:eastAsia="Batang"/>
          <w:lang w:val="fr-FR" w:eastAsia="ko-KR"/>
        </w:rPr>
        <w:t>10</w:t>
      </w:r>
      <w:r w:rsidR="00DA29AA"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2 </w:t>
      </w:r>
      <w:r w:rsidR="000078DA" w:rsidRPr="002715F2">
        <w:rPr>
          <w:rFonts w:eastAsia="Batang"/>
          <w:lang w:val="fr-FR" w:eastAsia="ko-KR"/>
        </w:rPr>
        <w:t>2)).</w:t>
      </w:r>
    </w:p>
    <w:p w:rsidR="000078DA" w:rsidRPr="002715F2" w:rsidRDefault="007026FB" w:rsidP="007026FB">
      <w:pPr>
        <w:pStyle w:val="SingleTxtG"/>
        <w:rPr>
          <w:rFonts w:eastAsia="Malgun Gothic"/>
          <w:kern w:val="2"/>
          <w:szCs w:val="22"/>
          <w:lang w:val="fr-FR" w:eastAsia="ko-KR"/>
        </w:rPr>
      </w:pPr>
      <w:r w:rsidRPr="002715F2">
        <w:rPr>
          <w:rFonts w:eastAsia="Malgun Gothic"/>
          <w:kern w:val="2"/>
          <w:szCs w:val="22"/>
          <w:lang w:val="fr-FR" w:eastAsia="ko-KR"/>
        </w:rPr>
        <w:t>5.</w:t>
      </w:r>
      <w:r w:rsidRPr="002715F2">
        <w:rPr>
          <w:rFonts w:eastAsia="Malgun Gothic"/>
          <w:kern w:val="2"/>
          <w:szCs w:val="22"/>
          <w:lang w:val="fr-FR" w:eastAsia="ko-KR"/>
        </w:rPr>
        <w:tab/>
      </w:r>
      <w:r w:rsidR="00DA29AA" w:rsidRPr="002715F2">
        <w:rPr>
          <w:rFonts w:eastAsia="Malgun Gothic"/>
          <w:kern w:val="2"/>
          <w:szCs w:val="22"/>
          <w:lang w:val="fr-FR" w:eastAsia="ko-KR"/>
        </w:rPr>
        <w:t>En p</w:t>
      </w:r>
      <w:r w:rsidR="005C6D8E" w:rsidRPr="002715F2">
        <w:rPr>
          <w:rFonts w:eastAsia="Malgun Gothic"/>
          <w:kern w:val="2"/>
          <w:szCs w:val="22"/>
          <w:lang w:val="fr-FR" w:eastAsia="ko-KR"/>
        </w:rPr>
        <w:t>arallèle</w:t>
      </w:r>
      <w:r w:rsidR="000078DA" w:rsidRPr="002715F2">
        <w:rPr>
          <w:rFonts w:eastAsia="Malgun Gothic"/>
          <w:kern w:val="2"/>
          <w:szCs w:val="22"/>
          <w:lang w:val="fr-FR" w:eastAsia="ko-KR"/>
        </w:rPr>
        <w:t xml:space="preserve">, </w:t>
      </w:r>
      <w:r w:rsidR="001E473D" w:rsidRPr="002715F2">
        <w:rPr>
          <w:rFonts w:eastAsia="Malgun Gothic"/>
          <w:kern w:val="2"/>
          <w:szCs w:val="22"/>
          <w:lang w:val="fr-FR" w:eastAsia="ko-KR"/>
        </w:rPr>
        <w:t xml:space="preserve">le </w:t>
      </w:r>
      <w:r w:rsidR="009970B3" w:rsidRPr="002715F2">
        <w:rPr>
          <w:rFonts w:eastAsia="Malgun Gothic"/>
          <w:kern w:val="2"/>
          <w:szCs w:val="22"/>
          <w:lang w:val="fr-FR" w:eastAsia="ko-KR"/>
        </w:rPr>
        <w:t>S</w:t>
      </w:r>
      <w:r w:rsidR="001E473D" w:rsidRPr="002715F2">
        <w:rPr>
          <w:rFonts w:eastAsia="Malgun Gothic"/>
          <w:kern w:val="2"/>
          <w:szCs w:val="22"/>
          <w:lang w:val="fr-FR" w:eastAsia="ko-KR"/>
        </w:rPr>
        <w:t>ous-comité spécial sur l</w:t>
      </w:r>
      <w:r w:rsidR="00DA29AA" w:rsidRPr="002715F2">
        <w:rPr>
          <w:rFonts w:eastAsia="Malgun Gothic"/>
          <w:kern w:val="2"/>
          <w:szCs w:val="22"/>
          <w:lang w:val="fr-FR" w:eastAsia="ko-KR"/>
        </w:rPr>
        <w:t>a</w:t>
      </w:r>
      <w:r w:rsidR="001E473D" w:rsidRPr="002715F2">
        <w:rPr>
          <w:rFonts w:eastAsia="Malgun Gothic"/>
          <w:kern w:val="2"/>
          <w:szCs w:val="22"/>
          <w:lang w:val="fr-FR" w:eastAsia="ko-KR"/>
        </w:rPr>
        <w:t xml:space="preserve"> </w:t>
      </w:r>
      <w:r w:rsidR="009970B3" w:rsidRPr="002715F2">
        <w:rPr>
          <w:rFonts w:eastAsia="Malgun Gothic"/>
          <w:kern w:val="2"/>
          <w:szCs w:val="22"/>
          <w:lang w:val="fr-FR" w:eastAsia="ko-KR"/>
        </w:rPr>
        <w:t>révision</w:t>
      </w:r>
      <w:r w:rsidR="00DA29AA" w:rsidRPr="002715F2">
        <w:rPr>
          <w:rFonts w:eastAsia="Malgun Gothic"/>
          <w:kern w:val="2"/>
          <w:szCs w:val="22"/>
          <w:lang w:val="fr-FR" w:eastAsia="ko-KR"/>
        </w:rPr>
        <w:t xml:space="preserve"> </w:t>
      </w:r>
      <w:r w:rsidR="001E473D" w:rsidRPr="002715F2">
        <w:rPr>
          <w:rFonts w:eastAsia="Malgun Gothic"/>
          <w:kern w:val="2"/>
          <w:szCs w:val="22"/>
          <w:lang w:val="fr-FR" w:eastAsia="ko-KR"/>
        </w:rPr>
        <w:t xml:space="preserve">des </w:t>
      </w:r>
      <w:r w:rsidR="00DD41B6" w:rsidRPr="002715F2">
        <w:rPr>
          <w:rFonts w:eastAsia="Malgun Gothic"/>
          <w:kern w:val="2"/>
          <w:szCs w:val="22"/>
          <w:lang w:val="fr-FR" w:eastAsia="ko-KR"/>
        </w:rPr>
        <w:t xml:space="preserve">lois </w:t>
      </w:r>
      <w:r w:rsidR="001E473D" w:rsidRPr="002715F2">
        <w:rPr>
          <w:rFonts w:eastAsia="Malgun Gothic"/>
          <w:kern w:val="2"/>
          <w:szCs w:val="22"/>
          <w:lang w:val="fr-FR" w:eastAsia="ko-KR"/>
        </w:rPr>
        <w:t xml:space="preserve">pénales, organe consultatif </w:t>
      </w:r>
      <w:r w:rsidR="00DA29AA" w:rsidRPr="002715F2">
        <w:rPr>
          <w:rFonts w:eastAsia="Malgun Gothic"/>
          <w:kern w:val="2"/>
          <w:szCs w:val="22"/>
          <w:lang w:val="fr-FR" w:eastAsia="ko-KR"/>
        </w:rPr>
        <w:t>relevant</w:t>
      </w:r>
      <w:r w:rsidR="001E473D" w:rsidRPr="002715F2">
        <w:rPr>
          <w:rFonts w:eastAsia="Malgun Gothic"/>
          <w:kern w:val="2"/>
          <w:szCs w:val="22"/>
          <w:lang w:val="fr-FR" w:eastAsia="ko-KR"/>
        </w:rPr>
        <w:t xml:space="preserve"> du </w:t>
      </w:r>
      <w:r w:rsidR="00DA29AA" w:rsidRPr="002715F2">
        <w:rPr>
          <w:rFonts w:eastAsia="Malgun Gothic"/>
          <w:kern w:val="2"/>
          <w:szCs w:val="22"/>
          <w:lang w:val="fr-FR" w:eastAsia="ko-KR"/>
        </w:rPr>
        <w:t>M</w:t>
      </w:r>
      <w:r w:rsidR="001E473D" w:rsidRPr="002715F2">
        <w:rPr>
          <w:rFonts w:eastAsia="Malgun Gothic"/>
          <w:kern w:val="2"/>
          <w:szCs w:val="22"/>
          <w:lang w:val="fr-FR" w:eastAsia="ko-KR"/>
        </w:rPr>
        <w:t xml:space="preserve">inistre de la justice, a débattu de la </w:t>
      </w:r>
      <w:r w:rsidR="00A52642" w:rsidRPr="002715F2">
        <w:rPr>
          <w:rFonts w:eastAsia="Malgun Gothic"/>
          <w:kern w:val="2"/>
          <w:szCs w:val="22"/>
          <w:lang w:val="fr-FR" w:eastAsia="ko-KR"/>
        </w:rPr>
        <w:t>réforme</w:t>
      </w:r>
      <w:r w:rsidR="001E473D" w:rsidRPr="002715F2">
        <w:rPr>
          <w:rFonts w:eastAsia="Malgun Gothic"/>
          <w:kern w:val="2"/>
          <w:szCs w:val="22"/>
          <w:lang w:val="fr-FR" w:eastAsia="ko-KR"/>
        </w:rPr>
        <w:t xml:space="preserve"> du Code pénal et examinera avec soin la question de savoir si son article 125, disposition </w:t>
      </w:r>
      <w:r w:rsidR="00D9058F" w:rsidRPr="002715F2">
        <w:rPr>
          <w:rFonts w:eastAsia="Malgun Gothic"/>
          <w:kern w:val="2"/>
          <w:szCs w:val="22"/>
          <w:lang w:val="fr-FR" w:eastAsia="ko-KR"/>
        </w:rPr>
        <w:t>emblématique</w:t>
      </w:r>
      <w:r w:rsidR="00AD14CC" w:rsidRPr="002715F2">
        <w:rPr>
          <w:rFonts w:eastAsia="Malgun Gothic"/>
          <w:kern w:val="2"/>
          <w:szCs w:val="22"/>
          <w:lang w:val="fr-FR" w:eastAsia="ko-KR"/>
        </w:rPr>
        <w:t xml:space="preserve"> sanctionn</w:t>
      </w:r>
      <w:r w:rsidR="00D9058F" w:rsidRPr="002715F2">
        <w:rPr>
          <w:rFonts w:eastAsia="Malgun Gothic"/>
          <w:kern w:val="2"/>
          <w:szCs w:val="22"/>
          <w:lang w:val="fr-FR" w:eastAsia="ko-KR"/>
        </w:rPr>
        <w:t>ant</w:t>
      </w:r>
      <w:r w:rsidR="001E473D" w:rsidRPr="002715F2">
        <w:rPr>
          <w:rFonts w:eastAsia="Malgun Gothic"/>
          <w:kern w:val="2"/>
          <w:szCs w:val="22"/>
          <w:lang w:val="fr-FR" w:eastAsia="ko-KR"/>
        </w:rPr>
        <w:t xml:space="preserve"> les actes de violence et de cruauté commis par </w:t>
      </w:r>
      <w:r w:rsidR="00AD14CC" w:rsidRPr="002715F2">
        <w:rPr>
          <w:rFonts w:eastAsia="Malgun Gothic"/>
          <w:kern w:val="2"/>
          <w:szCs w:val="22"/>
          <w:lang w:val="fr-FR" w:eastAsia="ko-KR"/>
        </w:rPr>
        <w:t>l</w:t>
      </w:r>
      <w:r w:rsidR="001E473D" w:rsidRPr="002715F2">
        <w:rPr>
          <w:rFonts w:eastAsia="Malgun Gothic"/>
          <w:kern w:val="2"/>
          <w:szCs w:val="22"/>
          <w:lang w:val="fr-FR" w:eastAsia="ko-KR"/>
        </w:rPr>
        <w:t xml:space="preserve">es </w:t>
      </w:r>
      <w:r w:rsidR="00AD14CC" w:rsidRPr="002715F2">
        <w:rPr>
          <w:lang w:val="fr-FR"/>
        </w:rPr>
        <w:t>fonctionnaires de l’État</w:t>
      </w:r>
      <w:r w:rsidR="001E473D" w:rsidRPr="002715F2">
        <w:rPr>
          <w:rFonts w:eastAsia="Malgun Gothic"/>
          <w:kern w:val="2"/>
          <w:szCs w:val="22"/>
          <w:lang w:val="fr-FR" w:eastAsia="ko-KR"/>
        </w:rPr>
        <w:t xml:space="preserve">, doit être modifié </w:t>
      </w:r>
      <w:r w:rsidR="00AD14CC" w:rsidRPr="002715F2">
        <w:rPr>
          <w:lang w:val="fr-FR"/>
        </w:rPr>
        <w:t xml:space="preserve">de façon à intégrer la définition </w:t>
      </w:r>
      <w:r w:rsidR="001E473D" w:rsidRPr="002715F2">
        <w:rPr>
          <w:rFonts w:eastAsia="Malgun Gothic"/>
          <w:kern w:val="2"/>
          <w:szCs w:val="22"/>
          <w:lang w:val="fr-FR" w:eastAsia="ko-KR"/>
        </w:rPr>
        <w:t xml:space="preserve">de la torture </w:t>
      </w:r>
      <w:r w:rsidR="00AD14CC" w:rsidRPr="002715F2">
        <w:rPr>
          <w:rFonts w:eastAsia="Malgun Gothic"/>
          <w:kern w:val="2"/>
          <w:szCs w:val="22"/>
          <w:lang w:val="fr-FR" w:eastAsia="ko-KR"/>
        </w:rPr>
        <w:t>donnée à</w:t>
      </w:r>
      <w:r w:rsidR="001E473D" w:rsidRPr="002715F2">
        <w:rPr>
          <w:rFonts w:eastAsia="Malgun Gothic"/>
          <w:kern w:val="2"/>
          <w:szCs w:val="22"/>
          <w:lang w:val="fr-FR" w:eastAsia="ko-KR"/>
        </w:rPr>
        <w:t xml:space="preserve"> l’article premier de la Convention</w:t>
      </w:r>
      <w:r w:rsidR="000078DA" w:rsidRPr="002715F2">
        <w:rPr>
          <w:rFonts w:eastAsia="Malgun Gothic"/>
          <w:kern w:val="2"/>
          <w:szCs w:val="22"/>
          <w:lang w:val="fr-FR" w:eastAsia="ko-KR"/>
        </w:rPr>
        <w:t>.</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513EB6"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513EB6" w:rsidRPr="002715F2">
        <w:rPr>
          <w:rFonts w:eastAsia="Batang"/>
          <w:lang w:val="fr-FR" w:eastAsia="ko-KR"/>
        </w:rPr>
        <w:t>2</w:t>
      </w:r>
    </w:p>
    <w:p w:rsidR="000078DA" w:rsidRPr="002715F2" w:rsidRDefault="007026FB" w:rsidP="007026FB">
      <w:pPr>
        <w:pStyle w:val="SingleTxtG"/>
        <w:rPr>
          <w:rFonts w:eastAsia="Batang"/>
          <w:lang w:val="fr-FR" w:eastAsia="ko-KR"/>
        </w:rPr>
      </w:pPr>
      <w:r w:rsidRPr="002715F2">
        <w:rPr>
          <w:rFonts w:eastAsia="Batang"/>
          <w:lang w:val="fr-FR" w:eastAsia="ko-KR"/>
        </w:rPr>
        <w:t>6.</w:t>
      </w:r>
      <w:r w:rsidRPr="002715F2">
        <w:rPr>
          <w:rFonts w:eastAsia="Batang"/>
          <w:lang w:val="fr-FR" w:eastAsia="ko-KR"/>
        </w:rPr>
        <w:tab/>
      </w:r>
      <w:r w:rsidR="00513EB6" w:rsidRPr="002715F2">
        <w:rPr>
          <w:rFonts w:eastAsia="Batang"/>
          <w:lang w:val="fr-FR" w:eastAsia="ko-KR"/>
        </w:rPr>
        <w:t xml:space="preserve">La </w:t>
      </w:r>
      <w:r w:rsidR="005A5495" w:rsidRPr="002715F2">
        <w:rPr>
          <w:rFonts w:eastAsia="Batang"/>
          <w:lang w:val="fr-FR" w:eastAsia="ko-KR"/>
        </w:rPr>
        <w:t>l</w:t>
      </w:r>
      <w:r w:rsidR="00513EB6" w:rsidRPr="002715F2">
        <w:rPr>
          <w:rFonts w:eastAsia="Batang"/>
          <w:lang w:val="fr-FR" w:eastAsia="ko-KR"/>
        </w:rPr>
        <w:t xml:space="preserve">oi sur la sécurité nationale protège la démocratie libérale </w:t>
      </w:r>
      <w:r w:rsidR="00AC623A" w:rsidRPr="002715F2">
        <w:rPr>
          <w:rFonts w:eastAsia="Batang"/>
          <w:lang w:val="fr-FR" w:eastAsia="ko-KR"/>
        </w:rPr>
        <w:t>en</w:t>
      </w:r>
      <w:r w:rsidR="00513EB6" w:rsidRPr="002715F2">
        <w:rPr>
          <w:rFonts w:eastAsia="Batang"/>
          <w:lang w:val="fr-FR" w:eastAsia="ko-KR"/>
        </w:rPr>
        <w:t xml:space="preserve"> République de Corée</w:t>
      </w:r>
      <w:r w:rsidR="00AC623A" w:rsidRPr="002715F2">
        <w:rPr>
          <w:rFonts w:eastAsia="Batang"/>
          <w:lang w:val="fr-FR" w:eastAsia="ko-KR"/>
        </w:rPr>
        <w:t>,</w:t>
      </w:r>
      <w:r w:rsidR="00513EB6" w:rsidRPr="002715F2">
        <w:rPr>
          <w:rFonts w:eastAsia="Batang"/>
          <w:lang w:val="fr-FR" w:eastAsia="ko-KR"/>
        </w:rPr>
        <w:t xml:space="preserve"> </w:t>
      </w:r>
      <w:r w:rsidR="003F251A" w:rsidRPr="002715F2">
        <w:rPr>
          <w:rFonts w:eastAsia="Batang"/>
          <w:lang w:val="fr-FR" w:eastAsia="ko-KR"/>
        </w:rPr>
        <w:t xml:space="preserve">alors </w:t>
      </w:r>
      <w:r w:rsidR="00D9058F" w:rsidRPr="002715F2">
        <w:rPr>
          <w:rFonts w:eastAsia="Batang"/>
          <w:lang w:val="fr-FR" w:eastAsia="ko-KR"/>
        </w:rPr>
        <w:t xml:space="preserve">que </w:t>
      </w:r>
      <w:r w:rsidR="0005129B" w:rsidRPr="002715F2">
        <w:rPr>
          <w:rFonts w:eastAsia="Batang"/>
          <w:lang w:val="fr-FR" w:eastAsia="ko-KR"/>
        </w:rPr>
        <w:t>la péninsule</w:t>
      </w:r>
      <w:r w:rsidR="00D9058F" w:rsidRPr="002715F2">
        <w:rPr>
          <w:rFonts w:eastAsia="Batang"/>
          <w:lang w:val="fr-FR" w:eastAsia="ko-KR"/>
        </w:rPr>
        <w:t xml:space="preserve"> reste</w:t>
      </w:r>
      <w:r w:rsidR="003F251A" w:rsidRPr="002715F2">
        <w:rPr>
          <w:rFonts w:eastAsia="Batang"/>
          <w:lang w:val="fr-FR" w:eastAsia="ko-KR"/>
        </w:rPr>
        <w:t xml:space="preserve"> </w:t>
      </w:r>
      <w:r w:rsidR="0005129B" w:rsidRPr="002715F2">
        <w:rPr>
          <w:rFonts w:eastAsia="Batang"/>
          <w:lang w:val="fr-FR" w:eastAsia="ko-KR"/>
        </w:rPr>
        <w:t>divisée e</w:t>
      </w:r>
      <w:r w:rsidR="003F251A" w:rsidRPr="002715F2">
        <w:rPr>
          <w:rFonts w:eastAsia="Batang"/>
          <w:lang w:val="fr-FR" w:eastAsia="ko-KR"/>
        </w:rPr>
        <w:t xml:space="preserve">t </w:t>
      </w:r>
      <w:r w:rsidR="0005129B" w:rsidRPr="002715F2">
        <w:rPr>
          <w:rFonts w:eastAsia="Batang"/>
          <w:lang w:val="fr-FR" w:eastAsia="ko-KR"/>
        </w:rPr>
        <w:t>que l</w:t>
      </w:r>
      <w:r w:rsidR="00D9058F" w:rsidRPr="002715F2">
        <w:rPr>
          <w:rFonts w:eastAsia="Batang"/>
          <w:lang w:val="fr-FR" w:eastAsia="ko-KR"/>
        </w:rPr>
        <w:t xml:space="preserve">es </w:t>
      </w:r>
      <w:r w:rsidR="003F251A" w:rsidRPr="002715F2">
        <w:rPr>
          <w:rFonts w:eastAsia="Batang"/>
          <w:lang w:val="fr-FR" w:eastAsia="ko-KR"/>
        </w:rPr>
        <w:t>tension</w:t>
      </w:r>
      <w:r w:rsidR="00D9058F" w:rsidRPr="002715F2">
        <w:rPr>
          <w:rFonts w:eastAsia="Batang"/>
          <w:lang w:val="fr-FR" w:eastAsia="ko-KR"/>
        </w:rPr>
        <w:t>s avec</w:t>
      </w:r>
      <w:r w:rsidR="003F251A" w:rsidRPr="002715F2">
        <w:rPr>
          <w:rFonts w:eastAsia="Batang"/>
          <w:lang w:val="fr-FR" w:eastAsia="ko-KR"/>
        </w:rPr>
        <w:t xml:space="preserve"> la République populaire démocratique de Corée (RPDC)</w:t>
      </w:r>
      <w:r w:rsidR="0005129B" w:rsidRPr="002715F2">
        <w:rPr>
          <w:rFonts w:eastAsia="Batang"/>
          <w:lang w:val="fr-FR" w:eastAsia="ko-KR"/>
        </w:rPr>
        <w:t xml:space="preserve"> perdurent</w:t>
      </w:r>
      <w:r w:rsidR="000078DA" w:rsidRPr="002715F2">
        <w:rPr>
          <w:rFonts w:eastAsia="Batang"/>
          <w:lang w:val="fr-FR" w:eastAsia="ko-KR"/>
        </w:rPr>
        <w:t xml:space="preserve">. </w:t>
      </w:r>
      <w:r w:rsidR="0005129B" w:rsidRPr="002715F2">
        <w:rPr>
          <w:rFonts w:eastAsia="Batang"/>
          <w:lang w:val="fr-FR" w:eastAsia="ko-KR"/>
        </w:rPr>
        <w:t>Dans ce contexte, l</w:t>
      </w:r>
      <w:r w:rsidR="00F53BC7" w:rsidRPr="002715F2">
        <w:rPr>
          <w:rFonts w:eastAsia="Batang"/>
          <w:lang w:val="fr-FR" w:eastAsia="ko-KR"/>
        </w:rPr>
        <w:t xml:space="preserve">e Gouvernement </w:t>
      </w:r>
      <w:r w:rsidR="0005129B" w:rsidRPr="002715F2">
        <w:rPr>
          <w:rFonts w:eastAsia="Batang"/>
          <w:lang w:val="fr-FR" w:eastAsia="ko-KR"/>
        </w:rPr>
        <w:t>s’est efforcé d’</w:t>
      </w:r>
      <w:r w:rsidR="00F53BC7" w:rsidRPr="002715F2">
        <w:rPr>
          <w:rFonts w:eastAsia="Batang"/>
          <w:lang w:val="fr-FR" w:eastAsia="ko-KR"/>
        </w:rPr>
        <w:t xml:space="preserve">interpréter strictement et </w:t>
      </w:r>
      <w:r w:rsidR="0005129B" w:rsidRPr="002715F2">
        <w:rPr>
          <w:rFonts w:eastAsia="Batang"/>
          <w:lang w:val="fr-FR" w:eastAsia="ko-KR"/>
        </w:rPr>
        <w:t>d’</w:t>
      </w:r>
      <w:r w:rsidR="00F53BC7" w:rsidRPr="002715F2">
        <w:rPr>
          <w:rFonts w:eastAsia="Batang"/>
          <w:lang w:val="fr-FR" w:eastAsia="ko-KR"/>
        </w:rPr>
        <w:t xml:space="preserve">appliquer judicieusement </w:t>
      </w:r>
      <w:r w:rsidR="0005129B" w:rsidRPr="002715F2">
        <w:rPr>
          <w:rFonts w:eastAsia="Batang"/>
          <w:lang w:val="fr-FR" w:eastAsia="ko-KR"/>
        </w:rPr>
        <w:t xml:space="preserve">cette loi </w:t>
      </w:r>
      <w:r w:rsidR="00F53BC7" w:rsidRPr="002715F2">
        <w:rPr>
          <w:rFonts w:eastAsia="Batang"/>
          <w:lang w:val="fr-FR" w:eastAsia="ko-KR"/>
        </w:rPr>
        <w:t>de manière à prévenir les abus</w:t>
      </w:r>
      <w:r w:rsidR="000078DA" w:rsidRPr="002715F2">
        <w:rPr>
          <w:rFonts w:eastAsia="Batang"/>
          <w:lang w:val="fr-FR" w:eastAsia="ko-KR"/>
        </w:rPr>
        <w:t>.</w:t>
      </w:r>
    </w:p>
    <w:p w:rsidR="000078DA" w:rsidRPr="002715F2" w:rsidRDefault="007026FB" w:rsidP="007026FB">
      <w:pPr>
        <w:pStyle w:val="SingleTxtG"/>
        <w:rPr>
          <w:rFonts w:eastAsia="Malgun Gothic"/>
          <w:kern w:val="2"/>
          <w:szCs w:val="22"/>
          <w:lang w:val="fr-FR" w:eastAsia="ko-KR"/>
        </w:rPr>
      </w:pPr>
      <w:r w:rsidRPr="002715F2">
        <w:rPr>
          <w:rFonts w:eastAsia="Malgun Gothic"/>
          <w:kern w:val="2"/>
          <w:szCs w:val="22"/>
          <w:lang w:val="fr-FR" w:eastAsia="ko-KR"/>
        </w:rPr>
        <w:t>7.</w:t>
      </w:r>
      <w:r w:rsidRPr="002715F2">
        <w:rPr>
          <w:rFonts w:eastAsia="Malgun Gothic"/>
          <w:kern w:val="2"/>
          <w:szCs w:val="22"/>
          <w:lang w:val="fr-FR" w:eastAsia="ko-KR"/>
        </w:rPr>
        <w:tab/>
      </w:r>
      <w:r w:rsidR="004666F5" w:rsidRPr="002715F2">
        <w:rPr>
          <w:rFonts w:eastAsia="Malgun Gothic"/>
          <w:kern w:val="2"/>
          <w:szCs w:val="22"/>
          <w:lang w:val="fr-FR" w:eastAsia="ko-KR"/>
        </w:rPr>
        <w:t xml:space="preserve">La </w:t>
      </w:r>
      <w:r w:rsidR="00206936" w:rsidRPr="002715F2">
        <w:rPr>
          <w:rFonts w:eastAsia="Malgun Gothic"/>
          <w:kern w:val="2"/>
          <w:szCs w:val="22"/>
          <w:lang w:val="fr-FR" w:eastAsia="ko-KR"/>
        </w:rPr>
        <w:t>C</w:t>
      </w:r>
      <w:r w:rsidR="004666F5" w:rsidRPr="002715F2">
        <w:rPr>
          <w:rFonts w:eastAsia="Malgun Gothic"/>
          <w:kern w:val="2"/>
          <w:szCs w:val="22"/>
          <w:lang w:val="fr-FR" w:eastAsia="ko-KR"/>
        </w:rPr>
        <w:t xml:space="preserve">our constitutionnelle et les autres </w:t>
      </w:r>
      <w:r w:rsidR="00337E9D" w:rsidRPr="002715F2">
        <w:rPr>
          <w:rFonts w:eastAsia="Malgun Gothic"/>
          <w:kern w:val="2"/>
          <w:szCs w:val="22"/>
          <w:lang w:val="fr-FR" w:eastAsia="ko-KR"/>
        </w:rPr>
        <w:t>tribunaux</w:t>
      </w:r>
      <w:r w:rsidR="004666F5" w:rsidRPr="002715F2">
        <w:rPr>
          <w:rFonts w:eastAsia="Malgun Gothic"/>
          <w:kern w:val="2"/>
          <w:szCs w:val="22"/>
          <w:lang w:val="fr-FR" w:eastAsia="ko-KR"/>
        </w:rPr>
        <w:t xml:space="preserve"> empêchent toute interprétation arbitraire de la loi sur la sécurité nationale en établissant des règles strictes à son interprétation</w:t>
      </w:r>
      <w:r w:rsidR="000078DA" w:rsidRPr="002715F2">
        <w:rPr>
          <w:rFonts w:eastAsia="Malgun Gothic"/>
          <w:kern w:val="2"/>
          <w:szCs w:val="22"/>
          <w:lang w:val="fr-FR" w:eastAsia="ko-KR"/>
        </w:rPr>
        <w:t>.</w:t>
      </w:r>
      <w:r w:rsidR="004666F5" w:rsidRPr="002715F2">
        <w:rPr>
          <w:rFonts w:eastAsia="Malgun Gothic"/>
          <w:kern w:val="2"/>
          <w:szCs w:val="22"/>
          <w:lang w:val="fr-FR" w:eastAsia="ko-KR"/>
        </w:rPr>
        <w:t xml:space="preserve"> La </w:t>
      </w:r>
      <w:r w:rsidR="00337E9D" w:rsidRPr="002715F2">
        <w:rPr>
          <w:rFonts w:eastAsia="Malgun Gothic"/>
          <w:kern w:val="2"/>
          <w:szCs w:val="22"/>
          <w:lang w:val="fr-FR" w:eastAsia="ko-KR"/>
        </w:rPr>
        <w:t>C</w:t>
      </w:r>
      <w:r w:rsidR="004666F5" w:rsidRPr="002715F2">
        <w:rPr>
          <w:rFonts w:eastAsia="Malgun Gothic"/>
          <w:kern w:val="2"/>
          <w:szCs w:val="22"/>
          <w:lang w:val="fr-FR" w:eastAsia="ko-KR"/>
        </w:rPr>
        <w:t>our constitutionnelle a interprété l’article 7 1) de la loi sur la sécurité nationale comme suit</w:t>
      </w:r>
      <w:r w:rsidR="00E97B1A" w:rsidRPr="002715F2">
        <w:rPr>
          <w:rFonts w:eastAsia="Malgun Gothic"/>
          <w:kern w:val="2"/>
          <w:szCs w:val="22"/>
          <w:lang w:val="fr-FR" w:eastAsia="ko-KR"/>
        </w:rPr>
        <w:t>:</w:t>
      </w:r>
      <w:r w:rsidR="000078DA" w:rsidRPr="002715F2">
        <w:rPr>
          <w:rFonts w:eastAsia="Malgun Gothic"/>
          <w:kern w:val="2"/>
          <w:szCs w:val="22"/>
          <w:lang w:val="fr-FR" w:eastAsia="ko-KR"/>
        </w:rPr>
        <w:t xml:space="preserve"> </w:t>
      </w:r>
      <w:r w:rsidR="00E97B1A" w:rsidRPr="002715F2">
        <w:rPr>
          <w:rFonts w:eastAsia="Malgun Gothic"/>
          <w:kern w:val="2"/>
          <w:szCs w:val="22"/>
          <w:lang w:val="fr-FR" w:eastAsia="ko-KR"/>
        </w:rPr>
        <w:t>«</w:t>
      </w:r>
      <w:r w:rsidR="004666F5" w:rsidRPr="002715F2">
        <w:rPr>
          <w:rFonts w:eastAsia="Malgun Gothic"/>
          <w:kern w:val="2"/>
          <w:szCs w:val="22"/>
          <w:lang w:val="fr-FR" w:eastAsia="ko-KR"/>
        </w:rPr>
        <w:t xml:space="preserve">Cette loi s’applique </w:t>
      </w:r>
      <w:r w:rsidR="00F77224" w:rsidRPr="002715F2">
        <w:rPr>
          <w:rFonts w:eastAsia="Malgun Gothic"/>
          <w:kern w:val="2"/>
          <w:szCs w:val="22"/>
          <w:lang w:val="fr-FR" w:eastAsia="ko-KR"/>
        </w:rPr>
        <w:t>uniquement</w:t>
      </w:r>
      <w:r w:rsidR="004666F5" w:rsidRPr="002715F2">
        <w:rPr>
          <w:rFonts w:eastAsia="Malgun Gothic"/>
          <w:kern w:val="2"/>
          <w:szCs w:val="22"/>
          <w:lang w:val="fr-FR" w:eastAsia="ko-KR"/>
        </w:rPr>
        <w:t xml:space="preserve"> </w:t>
      </w:r>
      <w:r w:rsidR="008E470C" w:rsidRPr="002715F2">
        <w:rPr>
          <w:rFonts w:eastAsia="Malgun Gothic"/>
          <w:kern w:val="2"/>
          <w:szCs w:val="22"/>
          <w:lang w:val="fr-FR" w:eastAsia="ko-KR"/>
        </w:rPr>
        <w:t>en</w:t>
      </w:r>
      <w:r w:rsidR="004666F5" w:rsidRPr="002715F2">
        <w:rPr>
          <w:rFonts w:eastAsia="Malgun Gothic"/>
          <w:kern w:val="2"/>
          <w:szCs w:val="22"/>
          <w:lang w:val="fr-FR" w:eastAsia="ko-KR"/>
        </w:rPr>
        <w:t xml:space="preserve"> cas </w:t>
      </w:r>
      <w:r w:rsidR="008E470C" w:rsidRPr="002715F2">
        <w:rPr>
          <w:rFonts w:eastAsia="Malgun Gothic"/>
          <w:kern w:val="2"/>
          <w:szCs w:val="22"/>
          <w:lang w:val="fr-FR" w:eastAsia="ko-KR"/>
        </w:rPr>
        <w:t>de</w:t>
      </w:r>
      <w:r w:rsidR="004666F5" w:rsidRPr="002715F2">
        <w:rPr>
          <w:rFonts w:eastAsia="Malgun Gothic"/>
          <w:kern w:val="2"/>
          <w:szCs w:val="22"/>
          <w:lang w:val="fr-FR" w:eastAsia="ko-KR"/>
        </w:rPr>
        <w:t xml:space="preserve"> danger manifeste </w:t>
      </w:r>
      <w:r w:rsidR="00404F4E" w:rsidRPr="002715F2">
        <w:rPr>
          <w:rFonts w:eastAsia="Malgun Gothic"/>
          <w:kern w:val="2"/>
          <w:szCs w:val="22"/>
          <w:lang w:val="fr-FR" w:eastAsia="ko-KR"/>
        </w:rPr>
        <w:t>risquant de</w:t>
      </w:r>
      <w:r w:rsidR="004666F5" w:rsidRPr="002715F2">
        <w:rPr>
          <w:rFonts w:eastAsia="Malgun Gothic"/>
          <w:kern w:val="2"/>
          <w:szCs w:val="22"/>
          <w:lang w:val="fr-FR" w:eastAsia="ko-KR"/>
        </w:rPr>
        <w:t xml:space="preserve"> </w:t>
      </w:r>
      <w:r w:rsidR="00C10E2E" w:rsidRPr="002715F2">
        <w:rPr>
          <w:lang w:val="fr-FR"/>
        </w:rPr>
        <w:t>porter atteinte</w:t>
      </w:r>
      <w:r w:rsidR="004666F5" w:rsidRPr="002715F2">
        <w:rPr>
          <w:lang w:val="fr-FR"/>
        </w:rPr>
        <w:t xml:space="preserve"> à l’existence et à la sûreté de l’État ou </w:t>
      </w:r>
      <w:r w:rsidR="00F77224" w:rsidRPr="002715F2">
        <w:rPr>
          <w:lang w:val="fr-FR"/>
        </w:rPr>
        <w:t>à</w:t>
      </w:r>
      <w:r w:rsidR="004666F5" w:rsidRPr="002715F2">
        <w:rPr>
          <w:lang w:val="fr-FR"/>
        </w:rPr>
        <w:t xml:space="preserve"> l’ordre </w:t>
      </w:r>
      <w:r w:rsidR="004666F5" w:rsidRPr="002715F2">
        <w:rPr>
          <w:rFonts w:eastAsia="Malgun Gothic"/>
          <w:kern w:val="2"/>
          <w:szCs w:val="22"/>
          <w:lang w:val="fr-FR" w:eastAsia="ko-KR"/>
        </w:rPr>
        <w:t>fondamental de la démocratie libérale</w:t>
      </w:r>
      <w:r w:rsidR="00E97B1A" w:rsidRPr="002715F2">
        <w:rPr>
          <w:rFonts w:eastAsia="Malgun Gothic"/>
          <w:kern w:val="2"/>
          <w:szCs w:val="22"/>
          <w:lang w:val="fr-FR" w:eastAsia="ko-KR"/>
        </w:rPr>
        <w:t>»</w:t>
      </w:r>
      <w:r w:rsidR="000078DA" w:rsidRPr="002715F2">
        <w:rPr>
          <w:rFonts w:eastAsia="Malgun Gothic"/>
          <w:kern w:val="2"/>
          <w:szCs w:val="22"/>
          <w:lang w:val="fr-FR" w:eastAsia="ko-KR"/>
        </w:rPr>
        <w:t xml:space="preserve"> (2003Hun-Ba85/102). </w:t>
      </w:r>
      <w:r w:rsidR="004666F5" w:rsidRPr="002715F2">
        <w:rPr>
          <w:rFonts w:eastAsia="Gulim"/>
          <w:lang w:val="fr-FR" w:eastAsia="ko-KR"/>
        </w:rPr>
        <w:t xml:space="preserve">Les </w:t>
      </w:r>
      <w:r w:rsidR="00F77224" w:rsidRPr="002715F2">
        <w:rPr>
          <w:rFonts w:eastAsia="Gulim"/>
          <w:lang w:val="fr-FR" w:eastAsia="ko-KR"/>
        </w:rPr>
        <w:t>parquets</w:t>
      </w:r>
      <w:r w:rsidR="004666F5" w:rsidRPr="002715F2">
        <w:rPr>
          <w:rFonts w:eastAsia="Gulim"/>
          <w:lang w:val="fr-FR" w:eastAsia="ko-KR"/>
        </w:rPr>
        <w:t xml:space="preserve">, la police et le </w:t>
      </w:r>
      <w:r w:rsidR="008E470C" w:rsidRPr="002715F2">
        <w:rPr>
          <w:lang w:val="fr-FR"/>
        </w:rPr>
        <w:t>service national de renseignement</w:t>
      </w:r>
      <w:r w:rsidR="00A5306D" w:rsidRPr="002715F2">
        <w:rPr>
          <w:lang w:val="fr-FR"/>
        </w:rPr>
        <w:t>s</w:t>
      </w:r>
      <w:r w:rsidR="004666F5" w:rsidRPr="002715F2">
        <w:rPr>
          <w:rFonts w:eastAsia="Gulim"/>
          <w:lang w:val="fr-FR" w:eastAsia="ko-KR"/>
        </w:rPr>
        <w:t xml:space="preserve"> appliquent judicieusement la loi sur la sécurité nationale conformément aux critères et à l’intention de l’interprétation </w:t>
      </w:r>
      <w:r w:rsidR="003F251A" w:rsidRPr="002715F2">
        <w:rPr>
          <w:rFonts w:eastAsia="Gulim"/>
          <w:lang w:val="fr-FR" w:eastAsia="ko-KR"/>
        </w:rPr>
        <w:t>donnés</w:t>
      </w:r>
      <w:r w:rsidR="004666F5" w:rsidRPr="002715F2">
        <w:rPr>
          <w:rFonts w:eastAsia="Gulim"/>
          <w:lang w:val="fr-FR" w:eastAsia="ko-KR"/>
        </w:rPr>
        <w:t xml:space="preserve"> dans les décisions</w:t>
      </w:r>
      <w:r w:rsidR="0005129B" w:rsidRPr="002715F2">
        <w:rPr>
          <w:rFonts w:eastAsia="Gulim"/>
          <w:lang w:val="fr-FR" w:eastAsia="ko-KR"/>
        </w:rPr>
        <w:t>,</w:t>
      </w:r>
      <w:r w:rsidR="004C79EA" w:rsidRPr="002715F2">
        <w:rPr>
          <w:rFonts w:eastAsia="Gulim"/>
          <w:lang w:val="fr-FR" w:eastAsia="ko-KR"/>
        </w:rPr>
        <w:t xml:space="preserve"> les jugements</w:t>
      </w:r>
      <w:r w:rsidR="004666F5" w:rsidRPr="002715F2">
        <w:rPr>
          <w:rFonts w:eastAsia="Gulim"/>
          <w:lang w:val="fr-FR" w:eastAsia="ko-KR"/>
        </w:rPr>
        <w:t xml:space="preserve"> et les </w:t>
      </w:r>
      <w:r w:rsidR="00B230E9" w:rsidRPr="002715F2">
        <w:rPr>
          <w:rFonts w:eastAsia="Gulim"/>
          <w:lang w:val="fr-FR" w:eastAsia="ko-KR"/>
        </w:rPr>
        <w:t>arrêts</w:t>
      </w:r>
      <w:r w:rsidR="004666F5" w:rsidRPr="002715F2">
        <w:rPr>
          <w:rFonts w:eastAsia="Gulim"/>
          <w:lang w:val="fr-FR" w:eastAsia="ko-KR"/>
        </w:rPr>
        <w:t xml:space="preserve"> rendus par la </w:t>
      </w:r>
      <w:r w:rsidR="00404F4E" w:rsidRPr="002715F2">
        <w:rPr>
          <w:rFonts w:eastAsia="Gulim"/>
          <w:lang w:val="fr-FR" w:eastAsia="ko-KR"/>
        </w:rPr>
        <w:t>C</w:t>
      </w:r>
      <w:r w:rsidR="004666F5" w:rsidRPr="002715F2">
        <w:rPr>
          <w:rFonts w:eastAsia="Gulim"/>
          <w:lang w:val="fr-FR" w:eastAsia="ko-KR"/>
        </w:rPr>
        <w:t xml:space="preserve">our constitutionnelle et les autres </w:t>
      </w:r>
      <w:r w:rsidR="00B230E9" w:rsidRPr="002715F2">
        <w:rPr>
          <w:rFonts w:eastAsia="Malgun Gothic"/>
          <w:kern w:val="2"/>
          <w:szCs w:val="22"/>
          <w:lang w:val="fr-FR" w:eastAsia="ko-KR"/>
        </w:rPr>
        <w:t>tribunaux</w:t>
      </w:r>
      <w:r w:rsidR="004666F5" w:rsidRPr="002715F2">
        <w:rPr>
          <w:rFonts w:eastAsia="Gulim"/>
          <w:lang w:val="fr-FR" w:eastAsia="ko-KR"/>
        </w:rPr>
        <w:t xml:space="preserve">, et déploient des efforts constants pour </w:t>
      </w:r>
      <w:r w:rsidR="00404F4E" w:rsidRPr="002715F2">
        <w:rPr>
          <w:rFonts w:eastAsia="Gulim"/>
          <w:lang w:val="fr-FR" w:eastAsia="ko-KR"/>
        </w:rPr>
        <w:t>garantir le respect des</w:t>
      </w:r>
      <w:r w:rsidR="004666F5" w:rsidRPr="002715F2">
        <w:rPr>
          <w:rFonts w:eastAsia="Gulim"/>
          <w:lang w:val="fr-FR" w:eastAsia="ko-KR"/>
        </w:rPr>
        <w:t xml:space="preserve"> procédure</w:t>
      </w:r>
      <w:r w:rsidR="00404F4E" w:rsidRPr="002715F2">
        <w:rPr>
          <w:rFonts w:eastAsia="Gulim"/>
          <w:lang w:val="fr-FR" w:eastAsia="ko-KR"/>
        </w:rPr>
        <w:t>s</w:t>
      </w:r>
      <w:r w:rsidR="004666F5" w:rsidRPr="002715F2">
        <w:rPr>
          <w:rFonts w:eastAsia="Gulim"/>
          <w:lang w:val="fr-FR" w:eastAsia="ko-KR"/>
        </w:rPr>
        <w:t xml:space="preserve"> régulière</w:t>
      </w:r>
      <w:r w:rsidR="00404F4E" w:rsidRPr="002715F2">
        <w:rPr>
          <w:rFonts w:eastAsia="Gulim"/>
          <w:lang w:val="fr-FR" w:eastAsia="ko-KR"/>
        </w:rPr>
        <w:t>s</w:t>
      </w:r>
      <w:r w:rsidR="004666F5" w:rsidRPr="002715F2">
        <w:rPr>
          <w:rFonts w:eastAsia="Gulim"/>
          <w:lang w:val="fr-FR" w:eastAsia="ko-KR"/>
        </w:rPr>
        <w:t xml:space="preserve"> </w:t>
      </w:r>
      <w:r w:rsidR="00404F4E" w:rsidRPr="002715F2">
        <w:rPr>
          <w:rFonts w:eastAsia="Gulim"/>
          <w:lang w:val="fr-FR" w:eastAsia="ko-KR"/>
        </w:rPr>
        <w:t>et</w:t>
      </w:r>
      <w:r w:rsidR="004666F5" w:rsidRPr="002715F2">
        <w:rPr>
          <w:rFonts w:eastAsia="Gulim"/>
          <w:lang w:val="fr-FR" w:eastAsia="ko-KR"/>
        </w:rPr>
        <w:t xml:space="preserve"> prévenir </w:t>
      </w:r>
      <w:r w:rsidR="00404F4E" w:rsidRPr="002715F2">
        <w:rPr>
          <w:rFonts w:eastAsia="Gulim"/>
          <w:lang w:val="fr-FR" w:eastAsia="ko-KR"/>
        </w:rPr>
        <w:t xml:space="preserve">ainsi </w:t>
      </w:r>
      <w:r w:rsidR="007F207F" w:rsidRPr="002715F2">
        <w:rPr>
          <w:rFonts w:eastAsia="Gulim"/>
          <w:lang w:val="fr-FR" w:eastAsia="ko-KR"/>
        </w:rPr>
        <w:t>toute violation</w:t>
      </w:r>
      <w:r w:rsidR="004666F5" w:rsidRPr="002715F2">
        <w:rPr>
          <w:rFonts w:eastAsia="Gulim"/>
          <w:lang w:val="fr-FR" w:eastAsia="ko-KR"/>
        </w:rPr>
        <w:t xml:space="preserve"> des droits de l’homme au cours des enquêtes</w:t>
      </w:r>
      <w:r w:rsidR="00F60999" w:rsidRPr="002715F2">
        <w:rPr>
          <w:rFonts w:eastAsia="Malgun Gothic"/>
          <w:kern w:val="2"/>
          <w:szCs w:val="22"/>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8.</w:t>
      </w:r>
      <w:r w:rsidRPr="002715F2">
        <w:rPr>
          <w:rFonts w:eastAsia="Batang"/>
          <w:lang w:val="fr-FR" w:eastAsia="ko-KR"/>
        </w:rPr>
        <w:tab/>
      </w:r>
      <w:r w:rsidR="007F207F" w:rsidRPr="002715F2">
        <w:rPr>
          <w:rFonts w:eastAsia="Batang"/>
          <w:lang w:val="fr-FR" w:eastAsia="ko-KR"/>
        </w:rPr>
        <w:t>Les principales décisions de justice rendues</w:t>
      </w:r>
      <w:r w:rsidR="000078DA" w:rsidRPr="002715F2">
        <w:rPr>
          <w:rFonts w:eastAsia="Batang"/>
          <w:lang w:val="fr-FR" w:eastAsia="ko-KR"/>
        </w:rPr>
        <w:t xml:space="preserve"> </w:t>
      </w:r>
      <w:r w:rsidR="00A64B2F" w:rsidRPr="002715F2">
        <w:rPr>
          <w:rFonts w:eastAsia="Batang"/>
          <w:lang w:val="fr-FR" w:eastAsia="ko-KR"/>
        </w:rPr>
        <w:t>depuis 2006 sur la base</w:t>
      </w:r>
      <w:r w:rsidR="007F207F" w:rsidRPr="002715F2">
        <w:rPr>
          <w:rFonts w:eastAsia="Batang"/>
          <w:lang w:val="fr-FR" w:eastAsia="ko-KR"/>
        </w:rPr>
        <w:t xml:space="preserve"> de la loi</w:t>
      </w:r>
      <w:r w:rsidR="000078DA" w:rsidRPr="002715F2">
        <w:rPr>
          <w:rFonts w:eastAsia="Batang"/>
          <w:lang w:val="fr-FR" w:eastAsia="ko-KR"/>
        </w:rPr>
        <w:t xml:space="preserve"> </w:t>
      </w:r>
      <w:r w:rsidR="007F207F" w:rsidRPr="002715F2">
        <w:rPr>
          <w:rFonts w:eastAsia="Batang"/>
          <w:lang w:val="fr-FR" w:eastAsia="ko-KR"/>
        </w:rPr>
        <w:t>sur la sécurité nationale sont les suivantes</w:t>
      </w:r>
      <w:r w:rsidR="00E97B1A" w:rsidRPr="002715F2">
        <w:rPr>
          <w:rFonts w:eastAsia="Batang"/>
          <w:lang w:val="fr-FR" w:eastAsia="ko-KR"/>
        </w:rPr>
        <w:t>:</w:t>
      </w:r>
    </w:p>
    <w:p w:rsidR="000078DA" w:rsidRPr="002715F2" w:rsidRDefault="000078DA" w:rsidP="00975215">
      <w:pPr>
        <w:pStyle w:val="SingleTxtG"/>
        <w:ind w:firstLine="567"/>
        <w:rPr>
          <w:rFonts w:eastAsia="Malgun Gothic"/>
          <w:kern w:val="2"/>
          <w:lang w:val="fr-FR" w:eastAsia="ko-KR"/>
        </w:rPr>
      </w:pPr>
      <w:r w:rsidRPr="002715F2">
        <w:rPr>
          <w:rFonts w:eastAsia="Malgun Gothic"/>
          <w:kern w:val="2"/>
          <w:lang w:val="fr-FR" w:eastAsia="ko-KR"/>
        </w:rPr>
        <w:t>a)</w:t>
      </w:r>
      <w:r w:rsidR="00975215" w:rsidRPr="002715F2">
        <w:rPr>
          <w:rFonts w:eastAsia="Malgun Gothic"/>
          <w:kern w:val="2"/>
          <w:lang w:val="fr-FR" w:eastAsia="ko-KR"/>
        </w:rPr>
        <w:tab/>
      </w:r>
      <w:r w:rsidR="007F207F" w:rsidRPr="002715F2">
        <w:rPr>
          <w:rFonts w:eastAsia="Malgun Gothic"/>
          <w:kern w:val="2"/>
          <w:lang w:val="fr-FR" w:eastAsia="ko-KR"/>
        </w:rPr>
        <w:t xml:space="preserve">La Cour suprême a jugé que, bien que la </w:t>
      </w:r>
      <w:r w:rsidR="007F207F" w:rsidRPr="002715F2">
        <w:rPr>
          <w:rFonts w:eastAsia="Batang"/>
          <w:lang w:val="fr-FR" w:eastAsia="ko-KR"/>
        </w:rPr>
        <w:t xml:space="preserve">République populaire démocratique de Corée </w:t>
      </w:r>
      <w:r w:rsidR="007F207F" w:rsidRPr="002715F2">
        <w:rPr>
          <w:rFonts w:eastAsia="Malgun Gothic"/>
          <w:kern w:val="2"/>
          <w:lang w:val="fr-FR" w:eastAsia="ko-KR"/>
        </w:rPr>
        <w:t xml:space="preserve">soit un partenaire de dialogue et de coopération en vue d’une réunification pacifique, </w:t>
      </w:r>
      <w:r w:rsidR="005F3088" w:rsidRPr="002715F2">
        <w:rPr>
          <w:rFonts w:eastAsia="Malgun Gothic"/>
          <w:kern w:val="2"/>
          <w:lang w:val="fr-FR" w:eastAsia="ko-KR"/>
        </w:rPr>
        <w:t xml:space="preserve">sa nature était </w:t>
      </w:r>
      <w:r w:rsidR="0005129B" w:rsidRPr="002715F2">
        <w:rPr>
          <w:rFonts w:eastAsia="Malgun Gothic"/>
          <w:kern w:val="2"/>
          <w:lang w:val="fr-FR" w:eastAsia="ko-KR"/>
        </w:rPr>
        <w:t xml:space="preserve">également </w:t>
      </w:r>
      <w:r w:rsidR="005F3088" w:rsidRPr="002715F2">
        <w:rPr>
          <w:rFonts w:eastAsia="Malgun Gothic"/>
          <w:kern w:val="2"/>
          <w:lang w:val="fr-FR" w:eastAsia="ko-KR"/>
        </w:rPr>
        <w:t>celle d’</w:t>
      </w:r>
      <w:r w:rsidR="007F207F" w:rsidRPr="002715F2">
        <w:rPr>
          <w:rFonts w:eastAsia="Malgun Gothic"/>
          <w:kern w:val="2"/>
          <w:lang w:val="fr-FR" w:eastAsia="ko-KR"/>
        </w:rPr>
        <w:t>une organisation antigouvernementale intrigant pour renverser la démocratie libérale en République de Corée</w:t>
      </w:r>
      <w:r w:rsidRPr="002715F2">
        <w:rPr>
          <w:rFonts w:eastAsia="Malgun Gothic"/>
          <w:kern w:val="2"/>
          <w:lang w:val="fr-FR" w:eastAsia="ko-KR"/>
        </w:rPr>
        <w:t xml:space="preserve">. </w:t>
      </w:r>
      <w:r w:rsidR="007F207F" w:rsidRPr="002715F2">
        <w:rPr>
          <w:rFonts w:eastAsia="Malgun Gothic"/>
          <w:kern w:val="2"/>
          <w:lang w:val="fr-FR" w:eastAsia="ko-KR"/>
        </w:rPr>
        <w:t>À cet égard, la Cour suprê</w:t>
      </w:r>
      <w:r w:rsidR="00404F4E" w:rsidRPr="002715F2">
        <w:rPr>
          <w:rFonts w:eastAsia="Malgun Gothic"/>
          <w:kern w:val="2"/>
          <w:lang w:val="fr-FR" w:eastAsia="ko-KR"/>
        </w:rPr>
        <w:t xml:space="preserve">me a confirmé l’autorité </w:t>
      </w:r>
      <w:r w:rsidR="007F207F" w:rsidRPr="002715F2">
        <w:rPr>
          <w:rFonts w:eastAsia="Malgun Gothic"/>
          <w:kern w:val="2"/>
          <w:lang w:val="fr-FR" w:eastAsia="ko-KR"/>
        </w:rPr>
        <w:t xml:space="preserve">de la loi sur la sécurité nationale pour réglementer les organisations hostiles au Gouvernement </w:t>
      </w:r>
      <w:r w:rsidR="00F60999" w:rsidRPr="002715F2">
        <w:rPr>
          <w:rFonts w:eastAsia="Malgun Gothic"/>
          <w:kern w:val="2"/>
          <w:lang w:val="fr-FR" w:eastAsia="ko-KR"/>
        </w:rPr>
        <w:t>(2003Do758</w:t>
      </w:r>
      <w:r w:rsidR="00E1469B" w:rsidRPr="002715F2">
        <w:rPr>
          <w:rFonts w:eastAsia="Malgun Gothic"/>
          <w:kern w:val="2"/>
          <w:lang w:val="fr-FR" w:eastAsia="ko-KR"/>
        </w:rPr>
        <w:t>);</w:t>
      </w:r>
    </w:p>
    <w:p w:rsidR="000078DA" w:rsidRPr="002715F2" w:rsidRDefault="000078DA" w:rsidP="00975215">
      <w:pPr>
        <w:pStyle w:val="SingleTxtG"/>
        <w:ind w:firstLine="567"/>
        <w:rPr>
          <w:rFonts w:eastAsia="Batang"/>
          <w:lang w:val="fr-FR" w:eastAsia="ko-KR"/>
        </w:rPr>
      </w:pPr>
      <w:r w:rsidRPr="002715F2">
        <w:rPr>
          <w:rFonts w:eastAsia="Batang"/>
          <w:lang w:val="fr-FR" w:eastAsia="ko-KR"/>
        </w:rPr>
        <w:t>b)</w:t>
      </w:r>
      <w:r w:rsidR="00975215" w:rsidRPr="002715F2">
        <w:rPr>
          <w:rFonts w:eastAsia="Batang"/>
          <w:lang w:val="fr-FR" w:eastAsia="ko-KR"/>
        </w:rPr>
        <w:tab/>
      </w:r>
      <w:r w:rsidR="0005129B" w:rsidRPr="002715F2">
        <w:rPr>
          <w:rFonts w:eastAsia="Batang"/>
          <w:lang w:val="fr-FR" w:eastAsia="ko-KR"/>
        </w:rPr>
        <w:t>S’agissant des matériels</w:t>
      </w:r>
      <w:r w:rsidR="00404F4E" w:rsidRPr="002715F2">
        <w:rPr>
          <w:rFonts w:eastAsia="Batang"/>
          <w:lang w:val="fr-FR" w:eastAsia="ko-KR"/>
        </w:rPr>
        <w:t xml:space="preserve"> exprimant </w:t>
      </w:r>
      <w:r w:rsidR="009A3C66" w:rsidRPr="002715F2">
        <w:rPr>
          <w:rFonts w:eastAsia="Batang"/>
          <w:lang w:val="fr-FR" w:eastAsia="ko-KR"/>
        </w:rPr>
        <w:t>des</w:t>
      </w:r>
      <w:r w:rsidR="00404F4E" w:rsidRPr="002715F2">
        <w:rPr>
          <w:rFonts w:eastAsia="Batang"/>
          <w:lang w:val="fr-FR" w:eastAsia="ko-KR"/>
        </w:rPr>
        <w:t xml:space="preserve"> opinions </w:t>
      </w:r>
      <w:r w:rsidR="009A3C66" w:rsidRPr="002715F2">
        <w:rPr>
          <w:rFonts w:eastAsia="Batang"/>
          <w:lang w:val="fr-FR" w:eastAsia="ko-KR"/>
        </w:rPr>
        <w:t>pro</w:t>
      </w:r>
      <w:r w:rsidR="00404F4E" w:rsidRPr="002715F2">
        <w:rPr>
          <w:rFonts w:eastAsia="Batang"/>
          <w:lang w:val="fr-FR" w:eastAsia="ko-KR"/>
        </w:rPr>
        <w:t xml:space="preserve">ennemi, la Cour suprême a statué que les procureurs </w:t>
      </w:r>
      <w:r w:rsidR="0005129B" w:rsidRPr="002715F2">
        <w:rPr>
          <w:rFonts w:eastAsia="Batang"/>
          <w:lang w:val="fr-FR" w:eastAsia="ko-KR"/>
        </w:rPr>
        <w:t>devaient</w:t>
      </w:r>
      <w:r w:rsidR="009A3C66" w:rsidRPr="002715F2">
        <w:rPr>
          <w:rFonts w:eastAsia="Batang"/>
          <w:lang w:val="fr-FR" w:eastAsia="ko-KR"/>
        </w:rPr>
        <w:t xml:space="preserve"> démontrer</w:t>
      </w:r>
      <w:r w:rsidR="00404F4E" w:rsidRPr="002715F2">
        <w:rPr>
          <w:rFonts w:eastAsia="Batang"/>
          <w:lang w:val="fr-FR" w:eastAsia="ko-KR"/>
        </w:rPr>
        <w:t xml:space="preserve"> </w:t>
      </w:r>
      <w:r w:rsidR="009A3C66" w:rsidRPr="002715F2">
        <w:rPr>
          <w:rFonts w:eastAsia="Batang"/>
          <w:lang w:val="fr-FR" w:eastAsia="ko-KR"/>
        </w:rPr>
        <w:t>que l’accusé avait pour</w:t>
      </w:r>
      <w:r w:rsidR="00404F4E" w:rsidRPr="002715F2">
        <w:rPr>
          <w:rFonts w:eastAsia="Batang"/>
          <w:lang w:val="fr-FR" w:eastAsia="ko-KR"/>
        </w:rPr>
        <w:t xml:space="preserve"> </w:t>
      </w:r>
      <w:r w:rsidR="009A3C66" w:rsidRPr="002715F2">
        <w:rPr>
          <w:rFonts w:eastAsia="Batang"/>
          <w:lang w:val="fr-FR" w:eastAsia="ko-KR"/>
        </w:rPr>
        <w:t>but de</w:t>
      </w:r>
      <w:r w:rsidR="00404F4E" w:rsidRPr="002715F2">
        <w:rPr>
          <w:rFonts w:eastAsia="Batang"/>
          <w:lang w:val="fr-FR" w:eastAsia="ko-KR"/>
        </w:rPr>
        <w:t xml:space="preserve"> commettre des actes favorables </w:t>
      </w:r>
      <w:r w:rsidR="009A3C66" w:rsidRPr="002715F2">
        <w:rPr>
          <w:rFonts w:eastAsia="Batang"/>
          <w:lang w:val="fr-FR" w:eastAsia="ko-KR"/>
        </w:rPr>
        <w:t>à l’ennemi</w:t>
      </w:r>
      <w:r w:rsidR="00404F4E" w:rsidRPr="002715F2">
        <w:rPr>
          <w:rFonts w:eastAsia="Batang"/>
          <w:lang w:val="fr-FR" w:eastAsia="ko-KR"/>
        </w:rPr>
        <w:t xml:space="preserve"> </w:t>
      </w:r>
      <w:r w:rsidR="009A3C66" w:rsidRPr="002715F2">
        <w:rPr>
          <w:rFonts w:eastAsia="Batang"/>
          <w:lang w:val="fr-FR" w:eastAsia="ko-KR"/>
        </w:rPr>
        <w:t>au sens de l’article 7 5)</w:t>
      </w:r>
      <w:r w:rsidR="00404F4E" w:rsidRPr="002715F2">
        <w:rPr>
          <w:rFonts w:eastAsia="Batang"/>
          <w:lang w:val="fr-FR" w:eastAsia="ko-KR"/>
        </w:rPr>
        <w:t xml:space="preserve"> de la </w:t>
      </w:r>
      <w:r w:rsidR="009A3C66" w:rsidRPr="002715F2">
        <w:rPr>
          <w:rFonts w:eastAsia="Batang"/>
          <w:lang w:val="fr-FR" w:eastAsia="ko-KR"/>
        </w:rPr>
        <w:t>l</w:t>
      </w:r>
      <w:r w:rsidR="00404F4E" w:rsidRPr="002715F2">
        <w:rPr>
          <w:rFonts w:eastAsia="Batang"/>
          <w:lang w:val="fr-FR" w:eastAsia="ko-KR"/>
        </w:rPr>
        <w:t>oi sur la sécurité nationale</w:t>
      </w:r>
      <w:r w:rsidR="009A3C66" w:rsidRPr="002715F2">
        <w:rPr>
          <w:rFonts w:eastAsia="Batang"/>
          <w:lang w:val="fr-FR" w:eastAsia="ko-KR"/>
        </w:rPr>
        <w:t xml:space="preserve"> </w:t>
      </w:r>
      <w:r w:rsidRPr="002715F2">
        <w:rPr>
          <w:rFonts w:eastAsia="Batang"/>
          <w:lang w:val="fr-FR" w:eastAsia="ko-KR"/>
        </w:rPr>
        <w:t xml:space="preserve">(2010Do1189). </w:t>
      </w:r>
      <w:r w:rsidR="009A3C66" w:rsidRPr="002715F2">
        <w:rPr>
          <w:rFonts w:eastAsia="Batang"/>
          <w:lang w:val="fr-FR" w:eastAsia="ko-KR"/>
        </w:rPr>
        <w:t xml:space="preserve">Cette </w:t>
      </w:r>
      <w:r w:rsidR="005C6D8E" w:rsidRPr="002715F2">
        <w:rPr>
          <w:rFonts w:eastAsia="Batang"/>
          <w:lang w:val="fr-FR" w:eastAsia="ko-KR"/>
        </w:rPr>
        <w:t>décision</w:t>
      </w:r>
      <w:r w:rsidR="009A3C66" w:rsidRPr="002715F2">
        <w:rPr>
          <w:rFonts w:eastAsia="Batang"/>
          <w:lang w:val="fr-FR" w:eastAsia="ko-KR"/>
        </w:rPr>
        <w:t xml:space="preserve"> a permis d’infirmer la jurisprudence selon laquelle une personne qui</w:t>
      </w:r>
      <w:r w:rsidR="00C10E2E" w:rsidRPr="002715F2">
        <w:rPr>
          <w:rFonts w:eastAsia="Batang"/>
          <w:lang w:val="fr-FR" w:eastAsia="ko-KR"/>
        </w:rPr>
        <w:t xml:space="preserve"> avait acquis, détenu, fabriqué</w:t>
      </w:r>
      <w:r w:rsidR="009A3C66" w:rsidRPr="002715F2">
        <w:rPr>
          <w:rFonts w:eastAsia="Batang"/>
          <w:lang w:val="fr-FR" w:eastAsia="ko-KR"/>
        </w:rPr>
        <w:t xml:space="preserve"> ou distribué des </w:t>
      </w:r>
      <w:r w:rsidR="0005129B" w:rsidRPr="002715F2">
        <w:rPr>
          <w:rFonts w:eastAsia="Batang"/>
          <w:lang w:val="fr-FR" w:eastAsia="ko-KR"/>
        </w:rPr>
        <w:t>matériels</w:t>
      </w:r>
      <w:r w:rsidR="009A3C66" w:rsidRPr="002715F2">
        <w:rPr>
          <w:rFonts w:eastAsia="Batang"/>
          <w:lang w:val="fr-FR" w:eastAsia="ko-KR"/>
        </w:rPr>
        <w:t xml:space="preserve"> en ayant conscience qu’ils exprimaient une opinion proennemi était présumée avoir eu pour but de commettre des actes </w:t>
      </w:r>
      <w:r w:rsidR="00470B16" w:rsidRPr="002715F2">
        <w:rPr>
          <w:rFonts w:eastAsia="Batang"/>
          <w:lang w:val="fr-FR" w:eastAsia="ko-KR"/>
        </w:rPr>
        <w:t>servant</w:t>
      </w:r>
      <w:r w:rsidR="00843ED0" w:rsidRPr="002715F2">
        <w:rPr>
          <w:rFonts w:eastAsia="Batang"/>
          <w:lang w:val="fr-FR" w:eastAsia="ko-KR"/>
        </w:rPr>
        <w:t xml:space="preserve"> cet</w:t>
      </w:r>
      <w:r w:rsidR="009A3C66" w:rsidRPr="002715F2">
        <w:rPr>
          <w:rFonts w:eastAsia="Batang"/>
          <w:lang w:val="fr-FR" w:eastAsia="ko-KR"/>
        </w:rPr>
        <w:t xml:space="preserve"> ennemi</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9.</w:t>
      </w:r>
      <w:r w:rsidRPr="002715F2">
        <w:rPr>
          <w:rFonts w:eastAsia="Batang"/>
          <w:lang w:val="fr-FR" w:eastAsia="ko-KR"/>
        </w:rPr>
        <w:tab/>
      </w:r>
      <w:r w:rsidR="009A3C66" w:rsidRPr="002715F2">
        <w:rPr>
          <w:rFonts w:eastAsia="Batang"/>
          <w:lang w:val="fr-FR" w:eastAsia="ko-KR"/>
        </w:rPr>
        <w:t>La loi sur la sécurité nationale ne prévoit pas de</w:t>
      </w:r>
      <w:r w:rsidR="00524473" w:rsidRPr="002715F2">
        <w:rPr>
          <w:rFonts w:eastAsia="Batang"/>
          <w:lang w:val="fr-FR" w:eastAsia="ko-KR"/>
        </w:rPr>
        <w:t xml:space="preserve"> </w:t>
      </w:r>
      <w:r w:rsidR="001D2B2F" w:rsidRPr="002715F2">
        <w:rPr>
          <w:rFonts w:eastAsia="Batang"/>
          <w:lang w:val="fr-FR" w:eastAsia="ko-KR"/>
        </w:rPr>
        <w:t xml:space="preserve">régime </w:t>
      </w:r>
      <w:r w:rsidR="00524473" w:rsidRPr="002715F2">
        <w:rPr>
          <w:rFonts w:eastAsia="Batang"/>
          <w:lang w:val="fr-FR" w:eastAsia="ko-KR"/>
        </w:rPr>
        <w:t>sépar</w:t>
      </w:r>
      <w:r w:rsidR="001D2B2F" w:rsidRPr="002715F2">
        <w:rPr>
          <w:rFonts w:eastAsia="Batang"/>
          <w:lang w:val="fr-FR" w:eastAsia="ko-KR"/>
        </w:rPr>
        <w:t xml:space="preserve">é pour </w:t>
      </w:r>
      <w:r w:rsidR="00470B16" w:rsidRPr="002715F2">
        <w:rPr>
          <w:rFonts w:eastAsia="Batang"/>
          <w:lang w:val="fr-FR" w:eastAsia="ko-KR"/>
        </w:rPr>
        <w:t>les personnes arrêtées ou détenues</w:t>
      </w:r>
      <w:r w:rsidR="001D2B2F" w:rsidRPr="002715F2">
        <w:rPr>
          <w:rFonts w:eastAsia="Batang"/>
          <w:lang w:val="fr-FR" w:eastAsia="ko-KR"/>
        </w:rPr>
        <w:t xml:space="preserve"> </w:t>
      </w:r>
      <w:r w:rsidR="006E566E" w:rsidRPr="002715F2">
        <w:rPr>
          <w:rFonts w:eastAsia="Batang"/>
          <w:lang w:val="fr-FR" w:eastAsia="ko-KR"/>
        </w:rPr>
        <w:t>dans le cadre de cette loi</w:t>
      </w:r>
      <w:r w:rsidR="000078DA" w:rsidRPr="002715F2">
        <w:rPr>
          <w:rFonts w:eastAsia="Batang"/>
          <w:lang w:val="fr-FR" w:eastAsia="ko-KR"/>
        </w:rPr>
        <w:t xml:space="preserve">. </w:t>
      </w:r>
      <w:r w:rsidR="001D2B2F" w:rsidRPr="002715F2">
        <w:rPr>
          <w:rFonts w:eastAsia="Batang"/>
          <w:lang w:val="fr-FR" w:eastAsia="ko-KR"/>
        </w:rPr>
        <w:t>Tout c</w:t>
      </w:r>
      <w:r w:rsidR="00524473" w:rsidRPr="002715F2">
        <w:rPr>
          <w:rFonts w:eastAsia="Batang"/>
          <w:lang w:val="fr-FR" w:eastAsia="ko-KR"/>
        </w:rPr>
        <w:t xml:space="preserve">omme les autres criminels en général, les personnes </w:t>
      </w:r>
      <w:r w:rsidR="005101DD" w:rsidRPr="002715F2">
        <w:rPr>
          <w:rFonts w:eastAsia="Batang"/>
          <w:lang w:val="fr-FR" w:eastAsia="ko-KR"/>
        </w:rPr>
        <w:t>soup</w:t>
      </w:r>
      <w:r w:rsidR="006E566E" w:rsidRPr="002715F2">
        <w:rPr>
          <w:rFonts w:eastAsia="Batang"/>
          <w:lang w:val="fr-FR" w:eastAsia="ko-KR"/>
        </w:rPr>
        <w:t>ç</w:t>
      </w:r>
      <w:r w:rsidR="005101DD" w:rsidRPr="002715F2">
        <w:rPr>
          <w:rFonts w:eastAsia="Batang"/>
          <w:lang w:val="fr-FR" w:eastAsia="ko-KR"/>
        </w:rPr>
        <w:t>onnées</w:t>
      </w:r>
      <w:r w:rsidR="00524473" w:rsidRPr="002715F2">
        <w:rPr>
          <w:rFonts w:eastAsia="Batang"/>
          <w:lang w:val="fr-FR" w:eastAsia="ko-KR"/>
        </w:rPr>
        <w:t xml:space="preserve"> de menacer la sécurité nationale sont arrêtées, détenues ou jugées selon l</w:t>
      </w:r>
      <w:r w:rsidR="001D2B2F" w:rsidRPr="002715F2">
        <w:rPr>
          <w:rFonts w:eastAsia="Batang"/>
          <w:lang w:val="fr-FR" w:eastAsia="ko-KR"/>
        </w:rPr>
        <w:t>e</w:t>
      </w:r>
      <w:r w:rsidR="00524473" w:rsidRPr="002715F2">
        <w:rPr>
          <w:rFonts w:eastAsia="Batang"/>
          <w:lang w:val="fr-FR" w:eastAsia="ko-KR"/>
        </w:rPr>
        <w:t xml:space="preserve"> Code de procédure pénale et les règles régissant la procédure pénale</w:t>
      </w:r>
      <w:r w:rsidR="000078DA" w:rsidRPr="002715F2">
        <w:rPr>
          <w:rFonts w:eastAsia="Batang"/>
          <w:lang w:val="fr-FR" w:eastAsia="ko-KR"/>
        </w:rPr>
        <w:t xml:space="preserve">. </w:t>
      </w:r>
      <w:r w:rsidR="00524473" w:rsidRPr="002715F2">
        <w:rPr>
          <w:rFonts w:eastAsia="Batang"/>
          <w:lang w:val="fr-FR" w:eastAsia="ko-KR"/>
        </w:rPr>
        <w:t xml:space="preserve">Ces personnes ne sont pas </w:t>
      </w:r>
      <w:r w:rsidR="005C6D8E" w:rsidRPr="002715F2">
        <w:rPr>
          <w:rFonts w:eastAsia="Batang"/>
          <w:lang w:val="fr-FR" w:eastAsia="ko-KR"/>
        </w:rPr>
        <w:t>séparées</w:t>
      </w:r>
      <w:r w:rsidR="00524473" w:rsidRPr="002715F2">
        <w:rPr>
          <w:rFonts w:eastAsia="Batang"/>
          <w:lang w:val="fr-FR" w:eastAsia="ko-KR"/>
        </w:rPr>
        <w:t xml:space="preserve"> des autres criminels, mais détenues avec eux dans </w:t>
      </w:r>
      <w:r w:rsidR="001D2B2F" w:rsidRPr="002715F2">
        <w:rPr>
          <w:rFonts w:eastAsia="Batang"/>
          <w:lang w:val="fr-FR" w:eastAsia="ko-KR"/>
        </w:rPr>
        <w:t>l</w:t>
      </w:r>
      <w:r w:rsidR="00524473" w:rsidRPr="002715F2">
        <w:rPr>
          <w:rFonts w:eastAsia="Batang"/>
          <w:lang w:val="fr-FR" w:eastAsia="ko-KR"/>
        </w:rPr>
        <w:t xml:space="preserve">es centres de détention ou </w:t>
      </w:r>
      <w:r w:rsidR="001D2B2F" w:rsidRPr="002715F2">
        <w:rPr>
          <w:rFonts w:eastAsia="Batang"/>
          <w:lang w:val="fr-FR" w:eastAsia="ko-KR"/>
        </w:rPr>
        <w:t>l</w:t>
      </w:r>
      <w:r w:rsidR="00524473" w:rsidRPr="002715F2">
        <w:rPr>
          <w:rFonts w:eastAsia="Batang"/>
          <w:lang w:val="fr-FR" w:eastAsia="ko-KR"/>
        </w:rPr>
        <w:t>es établissements pénitentiaires</w:t>
      </w:r>
      <w:r w:rsidR="000078DA"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10.</w:t>
      </w:r>
      <w:r w:rsidRPr="002715F2">
        <w:rPr>
          <w:rFonts w:eastAsia="Batang"/>
          <w:lang w:val="fr-FR" w:eastAsia="ko-KR"/>
        </w:rPr>
        <w:tab/>
      </w:r>
      <w:r w:rsidR="00524473" w:rsidRPr="002715F2">
        <w:rPr>
          <w:rFonts w:eastAsia="Batang"/>
          <w:lang w:val="fr-FR" w:eastAsia="ko-KR"/>
        </w:rPr>
        <w:t xml:space="preserve">Le principe </w:t>
      </w:r>
      <w:r w:rsidR="006E566E" w:rsidRPr="002715F2">
        <w:rPr>
          <w:rFonts w:eastAsia="Batang"/>
          <w:lang w:val="fr-FR" w:eastAsia="ko-KR"/>
        </w:rPr>
        <w:t xml:space="preserve">d’instruction sans détention </w:t>
      </w:r>
      <w:r w:rsidR="00524473" w:rsidRPr="002715F2">
        <w:rPr>
          <w:rFonts w:eastAsia="Batang"/>
          <w:lang w:val="fr-FR" w:eastAsia="ko-KR"/>
        </w:rPr>
        <w:t xml:space="preserve">s’applique également </w:t>
      </w:r>
      <w:r w:rsidR="006E566E" w:rsidRPr="002715F2">
        <w:rPr>
          <w:rFonts w:eastAsia="Batang"/>
          <w:lang w:val="fr-FR" w:eastAsia="ko-KR"/>
        </w:rPr>
        <w:t>aux affaires</w:t>
      </w:r>
      <w:r w:rsidR="00524473" w:rsidRPr="002715F2">
        <w:rPr>
          <w:rFonts w:eastAsia="Batang"/>
          <w:lang w:val="fr-FR" w:eastAsia="ko-KR"/>
        </w:rPr>
        <w:t xml:space="preserve"> de violation de la loi sur la sécurité nationale</w:t>
      </w:r>
      <w:r w:rsidR="000078DA" w:rsidRPr="002715F2">
        <w:rPr>
          <w:rFonts w:eastAsia="Batang"/>
          <w:lang w:val="fr-FR" w:eastAsia="ko-KR"/>
        </w:rPr>
        <w:t xml:space="preserve">. </w:t>
      </w:r>
      <w:r w:rsidR="00524473" w:rsidRPr="002715F2">
        <w:rPr>
          <w:rFonts w:eastAsia="Batang"/>
          <w:lang w:val="fr-FR" w:eastAsia="ko-KR"/>
        </w:rPr>
        <w:t xml:space="preserve">Grâce aux efforts déployés pour appliquer judicieusement </w:t>
      </w:r>
      <w:r w:rsidR="000B3303" w:rsidRPr="002715F2">
        <w:rPr>
          <w:rFonts w:eastAsia="Batang"/>
          <w:lang w:val="fr-FR" w:eastAsia="ko-KR"/>
        </w:rPr>
        <w:t>cette</w:t>
      </w:r>
      <w:r w:rsidR="00524473" w:rsidRPr="002715F2">
        <w:rPr>
          <w:rFonts w:eastAsia="Batang"/>
          <w:lang w:val="fr-FR" w:eastAsia="ko-KR"/>
        </w:rPr>
        <w:t xml:space="preserve"> loi dans le respect des </w:t>
      </w:r>
      <w:r w:rsidR="005C6D8E" w:rsidRPr="002715F2">
        <w:rPr>
          <w:rFonts w:eastAsia="Batang"/>
          <w:lang w:val="fr-FR" w:eastAsia="ko-KR"/>
        </w:rPr>
        <w:t>décisions</w:t>
      </w:r>
      <w:r w:rsidR="006E566E" w:rsidRPr="002715F2">
        <w:rPr>
          <w:rFonts w:eastAsia="Batang"/>
          <w:lang w:val="fr-FR" w:eastAsia="ko-KR"/>
        </w:rPr>
        <w:t>, des jugements et des arrêts</w:t>
      </w:r>
      <w:r w:rsidR="004C79EA" w:rsidRPr="002715F2">
        <w:rPr>
          <w:rFonts w:eastAsia="Batang"/>
          <w:lang w:val="fr-FR" w:eastAsia="ko-KR"/>
        </w:rPr>
        <w:t xml:space="preserve"> </w:t>
      </w:r>
      <w:r w:rsidR="00524473" w:rsidRPr="002715F2">
        <w:rPr>
          <w:rFonts w:eastAsia="Batang"/>
          <w:lang w:val="fr-FR" w:eastAsia="ko-KR"/>
        </w:rPr>
        <w:t xml:space="preserve">rendus par la Cour constitutionnelle et les autres juridictions, le nombre de </w:t>
      </w:r>
      <w:r w:rsidR="00524473" w:rsidRPr="002715F2">
        <w:rPr>
          <w:rFonts w:eastAsia="MS Mincho"/>
          <w:bCs/>
          <w:lang w:val="fr-FR"/>
        </w:rPr>
        <w:t xml:space="preserve">suspects arrêtés pour violation de </w:t>
      </w:r>
      <w:r w:rsidR="00A52642" w:rsidRPr="002715F2">
        <w:rPr>
          <w:rFonts w:eastAsia="MS Mincho"/>
          <w:bCs/>
          <w:lang w:val="fr-FR"/>
        </w:rPr>
        <w:t>cette</w:t>
      </w:r>
      <w:r w:rsidR="000B3303" w:rsidRPr="002715F2">
        <w:rPr>
          <w:rFonts w:eastAsia="MS Mincho"/>
          <w:bCs/>
          <w:lang w:val="fr-FR"/>
        </w:rPr>
        <w:t xml:space="preserve"> loi </w:t>
      </w:r>
      <w:r w:rsidR="00524473" w:rsidRPr="002715F2">
        <w:rPr>
          <w:rFonts w:eastAsia="Batang"/>
          <w:lang w:val="fr-FR" w:eastAsia="ko-KR"/>
        </w:rPr>
        <w:t xml:space="preserve">a significativement baissé par rapport au nombre indiqué dans le deuxième rapport </w:t>
      </w:r>
      <w:r w:rsidR="0097212F" w:rsidRPr="002715F2">
        <w:rPr>
          <w:rFonts w:eastAsia="Batang"/>
          <w:lang w:val="fr-FR" w:eastAsia="ko-KR"/>
        </w:rPr>
        <w:t>(CAT/C/53/Add.</w:t>
      </w:r>
      <w:r w:rsidR="000078DA" w:rsidRPr="002715F2">
        <w:rPr>
          <w:rFonts w:eastAsia="Batang"/>
          <w:lang w:val="fr-FR" w:eastAsia="ko-KR"/>
        </w:rPr>
        <w:t>2)</w:t>
      </w:r>
      <w:r w:rsidR="00E97B1A" w:rsidRPr="002715F2">
        <w:rPr>
          <w:rFonts w:eastAsia="Batang"/>
          <w:lang w:val="fr-FR" w:eastAsia="ko-KR"/>
        </w:rPr>
        <w:t>:</w:t>
      </w:r>
      <w:r w:rsidR="000078DA" w:rsidRPr="002715F2">
        <w:rPr>
          <w:rFonts w:eastAsia="Batang"/>
          <w:lang w:val="fr-FR" w:eastAsia="ko-KR"/>
        </w:rPr>
        <w:t xml:space="preserve"> </w:t>
      </w:r>
      <w:r w:rsidR="000B3303" w:rsidRPr="002715F2">
        <w:rPr>
          <w:rFonts w:eastAsia="Batang"/>
          <w:lang w:val="fr-FR" w:eastAsia="ko-KR"/>
        </w:rPr>
        <w:t>ce chiffre</w:t>
      </w:r>
      <w:r w:rsidR="00D42294" w:rsidRPr="002715F2">
        <w:rPr>
          <w:rFonts w:eastAsia="Batang"/>
          <w:lang w:val="fr-FR" w:eastAsia="ko-KR"/>
        </w:rPr>
        <w:t xml:space="preserve">, </w:t>
      </w:r>
      <w:r w:rsidR="000B3303" w:rsidRPr="002715F2">
        <w:rPr>
          <w:rFonts w:eastAsia="Batang"/>
          <w:lang w:val="fr-FR" w:eastAsia="ko-KR"/>
        </w:rPr>
        <w:t>qui s’élevait à 1 797</w:t>
      </w:r>
      <w:r w:rsidR="00A52642" w:rsidRPr="002715F2">
        <w:rPr>
          <w:rFonts w:eastAsia="Batang"/>
          <w:lang w:val="fr-FR" w:eastAsia="ko-KR"/>
        </w:rPr>
        <w:t> personnes</w:t>
      </w:r>
      <w:r w:rsidR="000B3303" w:rsidRPr="002715F2">
        <w:rPr>
          <w:rFonts w:eastAsia="Batang"/>
          <w:lang w:val="fr-FR" w:eastAsia="ko-KR"/>
        </w:rPr>
        <w:t xml:space="preserve"> </w:t>
      </w:r>
      <w:r w:rsidR="00480124" w:rsidRPr="002715F2">
        <w:rPr>
          <w:rFonts w:eastAsia="Batang"/>
          <w:lang w:val="fr-FR" w:eastAsia="ko-KR"/>
        </w:rPr>
        <w:t>entre</w:t>
      </w:r>
      <w:r w:rsidR="00D42294" w:rsidRPr="002715F2">
        <w:rPr>
          <w:rFonts w:eastAsia="Batang"/>
          <w:lang w:val="fr-FR" w:eastAsia="ko-KR"/>
        </w:rPr>
        <w:t xml:space="preserve"> janvier </w:t>
      </w:r>
      <w:r w:rsidR="000078DA" w:rsidRPr="002715F2">
        <w:rPr>
          <w:rFonts w:eastAsia="Batang"/>
          <w:lang w:val="fr-FR" w:eastAsia="ko-KR"/>
        </w:rPr>
        <w:t xml:space="preserve">1997 </w:t>
      </w:r>
      <w:r w:rsidR="00480124" w:rsidRPr="002715F2">
        <w:rPr>
          <w:rFonts w:eastAsia="Batang"/>
          <w:lang w:val="fr-FR" w:eastAsia="ko-KR"/>
        </w:rPr>
        <w:t>et</w:t>
      </w:r>
      <w:r w:rsidR="00D42294" w:rsidRPr="002715F2">
        <w:rPr>
          <w:rFonts w:eastAsia="Batang"/>
          <w:lang w:val="fr-FR" w:eastAsia="ko-KR"/>
        </w:rPr>
        <w:t xml:space="preserve"> novembre </w:t>
      </w:r>
      <w:r w:rsidR="000078DA" w:rsidRPr="002715F2">
        <w:rPr>
          <w:rFonts w:eastAsia="Batang"/>
          <w:lang w:val="fr-FR" w:eastAsia="ko-KR"/>
        </w:rPr>
        <w:t xml:space="preserve">2002, </w:t>
      </w:r>
      <w:r w:rsidR="00A64B2F" w:rsidRPr="002715F2">
        <w:rPr>
          <w:rFonts w:eastAsia="Batang"/>
          <w:lang w:val="fr-FR" w:eastAsia="ko-KR"/>
        </w:rPr>
        <w:t>n’était</w:t>
      </w:r>
      <w:r w:rsidR="00480124" w:rsidRPr="002715F2">
        <w:rPr>
          <w:rFonts w:eastAsia="Batang"/>
          <w:lang w:val="fr-FR" w:eastAsia="ko-KR"/>
        </w:rPr>
        <w:t xml:space="preserve"> que </w:t>
      </w:r>
      <w:r w:rsidR="00A64B2F" w:rsidRPr="002715F2">
        <w:rPr>
          <w:rFonts w:eastAsia="Batang"/>
          <w:lang w:val="fr-FR" w:eastAsia="ko-KR"/>
        </w:rPr>
        <w:t xml:space="preserve">de </w:t>
      </w:r>
      <w:r w:rsidR="000B3303" w:rsidRPr="002715F2">
        <w:rPr>
          <w:rFonts w:eastAsia="Batang"/>
          <w:lang w:val="fr-FR" w:eastAsia="ko-KR"/>
        </w:rPr>
        <w:t>221</w:t>
      </w:r>
      <w:r w:rsidR="00D42294" w:rsidRPr="002715F2">
        <w:rPr>
          <w:rFonts w:eastAsia="Batang"/>
          <w:lang w:val="fr-FR" w:eastAsia="ko-KR"/>
        </w:rPr>
        <w:t xml:space="preserve"> </w:t>
      </w:r>
      <w:r w:rsidR="00A64B2F" w:rsidRPr="002715F2">
        <w:rPr>
          <w:rFonts w:eastAsia="Batang"/>
          <w:lang w:val="fr-FR" w:eastAsia="ko-KR"/>
        </w:rPr>
        <w:t xml:space="preserve">pour la période allant de </w:t>
      </w:r>
      <w:r w:rsidR="000078DA" w:rsidRPr="002715F2">
        <w:rPr>
          <w:rFonts w:eastAsia="Batang"/>
          <w:lang w:val="fr-FR" w:eastAsia="ko-KR"/>
        </w:rPr>
        <w:t xml:space="preserve">2006 </w:t>
      </w:r>
      <w:r w:rsidR="00A64B2F" w:rsidRPr="002715F2">
        <w:rPr>
          <w:rFonts w:eastAsia="Batang"/>
          <w:lang w:val="fr-FR" w:eastAsia="ko-KR"/>
        </w:rPr>
        <w:t xml:space="preserve">à </w:t>
      </w:r>
      <w:r w:rsidR="000078DA" w:rsidRPr="002715F2">
        <w:rPr>
          <w:rFonts w:eastAsia="Batang"/>
          <w:lang w:val="fr-FR" w:eastAsia="ko-KR"/>
        </w:rPr>
        <w:t xml:space="preserve">2015. </w:t>
      </w:r>
      <w:r w:rsidR="00480124" w:rsidRPr="002715F2">
        <w:rPr>
          <w:rFonts w:eastAsia="Batang"/>
          <w:lang w:val="fr-FR" w:eastAsia="ko-KR"/>
        </w:rPr>
        <w:t xml:space="preserve">Sur </w:t>
      </w:r>
      <w:r w:rsidR="00A64B2F" w:rsidRPr="002715F2">
        <w:rPr>
          <w:rFonts w:eastAsia="Batang"/>
          <w:lang w:val="fr-FR" w:eastAsia="ko-KR"/>
        </w:rPr>
        <w:t xml:space="preserve">cette </w:t>
      </w:r>
      <w:r w:rsidR="00480124" w:rsidRPr="002715F2">
        <w:rPr>
          <w:rFonts w:eastAsia="Batang"/>
          <w:lang w:val="fr-FR" w:eastAsia="ko-KR"/>
        </w:rPr>
        <w:t>période</w:t>
      </w:r>
      <w:r w:rsidR="000078DA" w:rsidRPr="002715F2">
        <w:rPr>
          <w:rFonts w:eastAsia="Batang"/>
          <w:lang w:val="fr-FR" w:eastAsia="ko-KR"/>
        </w:rPr>
        <w:t xml:space="preserve">, </w:t>
      </w:r>
      <w:r w:rsidR="00480124" w:rsidRPr="002715F2">
        <w:rPr>
          <w:rFonts w:eastAsia="Batang"/>
          <w:lang w:val="fr-FR" w:eastAsia="ko-KR"/>
        </w:rPr>
        <w:t xml:space="preserve">22 personnes </w:t>
      </w:r>
      <w:r w:rsidR="00480124" w:rsidRPr="002715F2">
        <w:rPr>
          <w:rFonts w:eastAsia="MS Mincho"/>
          <w:bCs/>
          <w:lang w:val="fr-FR"/>
        </w:rPr>
        <w:t>ont été</w:t>
      </w:r>
      <w:r w:rsidR="00D42294" w:rsidRPr="002715F2">
        <w:rPr>
          <w:rFonts w:eastAsia="MS Mincho"/>
          <w:bCs/>
          <w:lang w:val="fr-FR"/>
        </w:rPr>
        <w:t xml:space="preserve"> détenu</w:t>
      </w:r>
      <w:r w:rsidR="00480124" w:rsidRPr="002715F2">
        <w:rPr>
          <w:rFonts w:eastAsia="MS Mincho"/>
          <w:bCs/>
          <w:lang w:val="fr-FR"/>
        </w:rPr>
        <w:t>e</w:t>
      </w:r>
      <w:r w:rsidR="00D42294" w:rsidRPr="002715F2">
        <w:rPr>
          <w:rFonts w:eastAsia="MS Mincho"/>
          <w:bCs/>
          <w:lang w:val="fr-FR"/>
        </w:rPr>
        <w:t xml:space="preserve">s pour violation de </w:t>
      </w:r>
      <w:r w:rsidR="00A64B2F" w:rsidRPr="002715F2">
        <w:rPr>
          <w:rFonts w:eastAsia="MS Mincho"/>
          <w:bCs/>
          <w:lang w:val="fr-FR"/>
        </w:rPr>
        <w:t xml:space="preserve">la </w:t>
      </w:r>
      <w:r w:rsidR="00D42294" w:rsidRPr="002715F2">
        <w:rPr>
          <w:rFonts w:eastAsia="MS Mincho"/>
          <w:bCs/>
          <w:lang w:val="fr-FR"/>
        </w:rPr>
        <w:t xml:space="preserve">loi </w:t>
      </w:r>
      <w:r w:rsidR="00A64B2F" w:rsidRPr="002715F2">
        <w:rPr>
          <w:rFonts w:eastAsia="MS Mincho"/>
          <w:bCs/>
          <w:lang w:val="fr-FR"/>
        </w:rPr>
        <w:t xml:space="preserve">sur la sécurité nationale </w:t>
      </w:r>
      <w:r w:rsidR="00D42294" w:rsidRPr="002715F2">
        <w:rPr>
          <w:rFonts w:eastAsia="Batang"/>
          <w:lang w:val="fr-FR" w:eastAsia="ko-KR"/>
        </w:rPr>
        <w:t>en</w:t>
      </w:r>
      <w:r w:rsidR="000078DA" w:rsidRPr="002715F2">
        <w:rPr>
          <w:rFonts w:eastAsia="Batang"/>
          <w:lang w:val="fr-FR" w:eastAsia="ko-KR"/>
        </w:rPr>
        <w:t xml:space="preserve"> 2006, 17 </w:t>
      </w:r>
      <w:r w:rsidR="00D42294" w:rsidRPr="002715F2">
        <w:rPr>
          <w:rFonts w:eastAsia="Batang"/>
          <w:lang w:val="fr-FR" w:eastAsia="ko-KR"/>
        </w:rPr>
        <w:t>en</w:t>
      </w:r>
      <w:r w:rsidR="000078DA" w:rsidRPr="002715F2">
        <w:rPr>
          <w:rFonts w:eastAsia="Batang"/>
          <w:lang w:val="fr-FR" w:eastAsia="ko-KR"/>
        </w:rPr>
        <w:t xml:space="preserve"> 2007, 16 </w:t>
      </w:r>
      <w:r w:rsidR="00D42294" w:rsidRPr="002715F2">
        <w:rPr>
          <w:rFonts w:eastAsia="Batang"/>
          <w:lang w:val="fr-FR" w:eastAsia="ko-KR"/>
        </w:rPr>
        <w:t>en</w:t>
      </w:r>
      <w:r w:rsidR="000078DA" w:rsidRPr="002715F2">
        <w:rPr>
          <w:rFonts w:eastAsia="Batang"/>
          <w:lang w:val="fr-FR" w:eastAsia="ko-KR"/>
        </w:rPr>
        <w:t xml:space="preserve"> 2008, 18 </w:t>
      </w:r>
      <w:r w:rsidR="00D42294" w:rsidRPr="002715F2">
        <w:rPr>
          <w:rFonts w:eastAsia="Batang"/>
          <w:lang w:val="fr-FR" w:eastAsia="ko-KR"/>
        </w:rPr>
        <w:t>en</w:t>
      </w:r>
      <w:r w:rsidR="000078DA" w:rsidRPr="002715F2">
        <w:rPr>
          <w:rFonts w:eastAsia="Batang"/>
          <w:lang w:val="fr-FR" w:eastAsia="ko-KR"/>
        </w:rPr>
        <w:t xml:space="preserve"> 2009, 32 </w:t>
      </w:r>
      <w:r w:rsidR="00D42294" w:rsidRPr="002715F2">
        <w:rPr>
          <w:rFonts w:eastAsia="Batang"/>
          <w:lang w:val="fr-FR" w:eastAsia="ko-KR"/>
        </w:rPr>
        <w:t>en</w:t>
      </w:r>
      <w:r w:rsidR="000078DA" w:rsidRPr="002715F2">
        <w:rPr>
          <w:rFonts w:eastAsia="Batang"/>
          <w:lang w:val="fr-FR" w:eastAsia="ko-KR"/>
        </w:rPr>
        <w:t xml:space="preserve"> 2010, 19 </w:t>
      </w:r>
      <w:r w:rsidR="00D42294" w:rsidRPr="002715F2">
        <w:rPr>
          <w:rFonts w:eastAsia="Batang"/>
          <w:lang w:val="fr-FR" w:eastAsia="ko-KR"/>
        </w:rPr>
        <w:t>en</w:t>
      </w:r>
      <w:r w:rsidR="000078DA" w:rsidRPr="002715F2">
        <w:rPr>
          <w:rFonts w:eastAsia="Batang"/>
          <w:lang w:val="fr-FR" w:eastAsia="ko-KR"/>
        </w:rPr>
        <w:t xml:space="preserve"> 2011, 26 </w:t>
      </w:r>
      <w:r w:rsidR="00D42294" w:rsidRPr="002715F2">
        <w:rPr>
          <w:rFonts w:eastAsia="Batang"/>
          <w:lang w:val="fr-FR" w:eastAsia="ko-KR"/>
        </w:rPr>
        <w:t>en</w:t>
      </w:r>
      <w:r w:rsidR="000078DA" w:rsidRPr="002715F2">
        <w:rPr>
          <w:rFonts w:eastAsia="Batang"/>
          <w:lang w:val="fr-FR" w:eastAsia="ko-KR"/>
        </w:rPr>
        <w:t xml:space="preserve"> 2012, 38 </w:t>
      </w:r>
      <w:r w:rsidR="00D42294" w:rsidRPr="002715F2">
        <w:rPr>
          <w:rFonts w:eastAsia="Batang"/>
          <w:lang w:val="fr-FR" w:eastAsia="ko-KR"/>
        </w:rPr>
        <w:t>en</w:t>
      </w:r>
      <w:r w:rsidR="000078DA" w:rsidRPr="002715F2">
        <w:rPr>
          <w:rFonts w:eastAsia="Batang"/>
          <w:lang w:val="fr-FR" w:eastAsia="ko-KR"/>
        </w:rPr>
        <w:t xml:space="preserve"> 2013, 7 </w:t>
      </w:r>
      <w:r w:rsidR="00D42294" w:rsidRPr="002715F2">
        <w:rPr>
          <w:rFonts w:eastAsia="Batang"/>
          <w:lang w:val="fr-FR" w:eastAsia="ko-KR"/>
        </w:rPr>
        <w:t>en</w:t>
      </w:r>
      <w:r w:rsidR="000078DA" w:rsidRPr="002715F2">
        <w:rPr>
          <w:rFonts w:eastAsia="Batang"/>
          <w:lang w:val="fr-FR" w:eastAsia="ko-KR"/>
        </w:rPr>
        <w:t xml:space="preserve"> 2014 </w:t>
      </w:r>
      <w:r w:rsidR="00D42294" w:rsidRPr="002715F2">
        <w:rPr>
          <w:rFonts w:eastAsia="Batang"/>
          <w:lang w:val="fr-FR" w:eastAsia="ko-KR"/>
        </w:rPr>
        <w:t>et</w:t>
      </w:r>
      <w:r w:rsidR="000078DA" w:rsidRPr="002715F2">
        <w:rPr>
          <w:rFonts w:eastAsia="Batang"/>
          <w:lang w:val="fr-FR" w:eastAsia="ko-KR"/>
        </w:rPr>
        <w:t xml:space="preserve"> 26 </w:t>
      </w:r>
      <w:r w:rsidR="00D42294" w:rsidRPr="002715F2">
        <w:rPr>
          <w:rFonts w:eastAsia="Batang"/>
          <w:lang w:val="fr-FR" w:eastAsia="ko-KR"/>
        </w:rPr>
        <w:t>en</w:t>
      </w:r>
      <w:r w:rsidR="000078DA" w:rsidRPr="002715F2">
        <w:rPr>
          <w:rFonts w:eastAsia="Batang"/>
          <w:lang w:val="fr-FR" w:eastAsia="ko-KR"/>
        </w:rPr>
        <w:t xml:space="preserve"> 2015. </w:t>
      </w:r>
      <w:r w:rsidR="0097212F" w:rsidRPr="002715F2">
        <w:rPr>
          <w:rFonts w:eastAsia="Batang"/>
          <w:lang w:val="fr-FR" w:eastAsia="ko-KR"/>
        </w:rPr>
        <w:t>Durant</w:t>
      </w:r>
      <w:r w:rsidR="00480124" w:rsidRPr="002715F2">
        <w:rPr>
          <w:rFonts w:eastAsia="Batang"/>
          <w:lang w:val="fr-FR" w:eastAsia="ko-KR"/>
        </w:rPr>
        <w:t xml:space="preserve"> cette</w:t>
      </w:r>
      <w:r w:rsidR="00D42294" w:rsidRPr="002715F2">
        <w:rPr>
          <w:rFonts w:eastAsia="Batang"/>
          <w:lang w:val="fr-FR" w:eastAsia="ko-KR"/>
        </w:rPr>
        <w:t xml:space="preserve"> même période, 417 personnes ont été poursuivies </w:t>
      </w:r>
      <w:r w:rsidR="006E566E" w:rsidRPr="002715F2">
        <w:rPr>
          <w:rFonts w:eastAsia="Batang"/>
          <w:lang w:val="fr-FR" w:eastAsia="ko-KR"/>
        </w:rPr>
        <w:t>au titre</w:t>
      </w:r>
      <w:r w:rsidR="00D42294" w:rsidRPr="002715F2">
        <w:rPr>
          <w:rFonts w:eastAsia="Batang"/>
          <w:lang w:val="fr-FR" w:eastAsia="ko-KR"/>
        </w:rPr>
        <w:t xml:space="preserve"> de la loi sur la sécurité nationale</w:t>
      </w:r>
      <w:r w:rsidR="000078DA" w:rsidRPr="002715F2">
        <w:rPr>
          <w:rFonts w:eastAsia="Batang"/>
          <w:lang w:val="fr-FR" w:eastAsia="ko-KR"/>
        </w:rPr>
        <w:t>.</w:t>
      </w:r>
    </w:p>
    <w:p w:rsidR="000078DA" w:rsidRPr="002715F2" w:rsidRDefault="00F410E3">
      <w:pPr>
        <w:pStyle w:val="H1G"/>
        <w:rPr>
          <w:rFonts w:eastAsia="Batang"/>
          <w:lang w:val="fr-FR"/>
        </w:rPr>
      </w:pPr>
      <w:r w:rsidRPr="002715F2">
        <w:rPr>
          <w:rFonts w:eastAsia="Batang"/>
          <w:lang w:val="fr-FR"/>
        </w:rPr>
        <w:tab/>
      </w:r>
      <w:r w:rsidRPr="002715F2">
        <w:rPr>
          <w:rFonts w:eastAsia="Batang"/>
          <w:lang w:val="fr-FR"/>
        </w:rPr>
        <w:tab/>
      </w:r>
      <w:r w:rsidR="000B3303" w:rsidRPr="002715F2">
        <w:rPr>
          <w:rFonts w:eastAsia="Batang"/>
          <w:lang w:val="fr-FR"/>
        </w:rPr>
        <w:t>Article </w:t>
      </w:r>
      <w:r w:rsidR="000078DA" w:rsidRPr="002715F2">
        <w:rPr>
          <w:rFonts w:eastAsia="Batang"/>
          <w:lang w:val="fr-FR"/>
        </w:rPr>
        <w:t>2</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0B3303"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0B3303" w:rsidRPr="002715F2">
        <w:rPr>
          <w:rFonts w:eastAsia="Batang"/>
          <w:lang w:val="fr-FR" w:eastAsia="ko-KR"/>
        </w:rPr>
        <w:t>3</w:t>
      </w:r>
    </w:p>
    <w:p w:rsidR="000078DA" w:rsidRPr="002715F2" w:rsidRDefault="007026FB" w:rsidP="007026FB">
      <w:pPr>
        <w:pStyle w:val="SingleTxtG"/>
        <w:rPr>
          <w:rFonts w:eastAsia="Gulim" w:cs="Gulim"/>
          <w:spacing w:val="-2"/>
          <w:lang w:val="fr-FR" w:eastAsia="ko-KR"/>
        </w:rPr>
      </w:pPr>
      <w:r w:rsidRPr="002715F2">
        <w:rPr>
          <w:rFonts w:eastAsia="Gulim"/>
          <w:spacing w:val="-2"/>
          <w:lang w:val="fr-FR" w:eastAsia="ko-KR"/>
        </w:rPr>
        <w:t>11.</w:t>
      </w:r>
      <w:r w:rsidRPr="002715F2">
        <w:rPr>
          <w:rFonts w:eastAsia="Gulim"/>
          <w:spacing w:val="-2"/>
          <w:lang w:val="fr-FR" w:eastAsia="ko-KR"/>
        </w:rPr>
        <w:tab/>
      </w:r>
      <w:r w:rsidR="00480124" w:rsidRPr="002715F2">
        <w:rPr>
          <w:rFonts w:eastAsia="Gulim" w:cs="Gulim"/>
          <w:lang w:val="fr-FR" w:eastAsia="ko-KR"/>
        </w:rPr>
        <w:t>Le</w:t>
      </w:r>
      <w:r w:rsidR="0022283E" w:rsidRPr="002715F2">
        <w:rPr>
          <w:rFonts w:eastAsia="Gulim" w:cs="Gulim"/>
          <w:lang w:val="fr-FR" w:eastAsia="ko-KR"/>
        </w:rPr>
        <w:t>s</w:t>
      </w:r>
      <w:r w:rsidR="00480124" w:rsidRPr="002715F2">
        <w:rPr>
          <w:rFonts w:eastAsia="Gulim" w:cs="Gulim"/>
          <w:lang w:val="fr-FR" w:eastAsia="ko-KR"/>
        </w:rPr>
        <w:t xml:space="preserve"> </w:t>
      </w:r>
      <w:r w:rsidR="0022283E" w:rsidRPr="002715F2">
        <w:rPr>
          <w:rFonts w:eastAsia="Gulim" w:cs="Gulim"/>
          <w:lang w:val="fr-FR" w:eastAsia="ko-KR"/>
        </w:rPr>
        <w:t>attributions</w:t>
      </w:r>
      <w:r w:rsidR="00480124" w:rsidRPr="002715F2">
        <w:rPr>
          <w:rFonts w:eastAsia="Gulim" w:cs="Gulim"/>
          <w:lang w:val="fr-FR" w:eastAsia="ko-KR"/>
        </w:rPr>
        <w:t xml:space="preserve"> du centre de permanence téléphonique recevant les plaintes pour violations des droits de l’homme (ci-après </w:t>
      </w:r>
      <w:r w:rsidR="00E97B1A" w:rsidRPr="002715F2">
        <w:rPr>
          <w:rFonts w:eastAsia="Gulim" w:cs="Gulim"/>
          <w:lang w:val="fr-FR" w:eastAsia="ko-KR"/>
        </w:rPr>
        <w:t>«</w:t>
      </w:r>
      <w:r w:rsidR="00480124" w:rsidRPr="002715F2">
        <w:rPr>
          <w:rFonts w:eastAsia="Gulim" w:cs="Gulim"/>
          <w:lang w:val="fr-FR" w:eastAsia="ko-KR"/>
        </w:rPr>
        <w:t>l</w:t>
      </w:r>
      <w:r w:rsidR="00C06296" w:rsidRPr="002715F2">
        <w:rPr>
          <w:rFonts w:eastAsia="Gulim" w:cs="Gulim"/>
          <w:lang w:val="fr-FR" w:eastAsia="ko-KR"/>
        </w:rPr>
        <w:t xml:space="preserve">a </w:t>
      </w:r>
      <w:r w:rsidR="00480124" w:rsidRPr="002715F2">
        <w:rPr>
          <w:rFonts w:eastAsia="Gulim" w:cs="Gulim"/>
          <w:lang w:val="fr-FR" w:eastAsia="ko-KR"/>
        </w:rPr>
        <w:t>permanence téléphonique</w:t>
      </w:r>
      <w:r w:rsidR="00E97B1A" w:rsidRPr="002715F2">
        <w:rPr>
          <w:rFonts w:eastAsia="Gulim" w:cs="Gulim"/>
          <w:lang w:val="fr-FR" w:eastAsia="ko-KR"/>
        </w:rPr>
        <w:t>»</w:t>
      </w:r>
      <w:r w:rsidR="00480124" w:rsidRPr="002715F2">
        <w:rPr>
          <w:rFonts w:eastAsia="Gulim" w:cs="Gulim"/>
          <w:lang w:val="fr-FR" w:eastAsia="ko-KR"/>
        </w:rPr>
        <w:t xml:space="preserve">), mis en place par le Ministère de la justice, </w:t>
      </w:r>
      <w:r w:rsidR="0022283E" w:rsidRPr="002715F2">
        <w:rPr>
          <w:rFonts w:eastAsia="Gulim" w:cs="Gulim"/>
          <w:lang w:val="fr-FR" w:eastAsia="ko-KR"/>
        </w:rPr>
        <w:t>sont</w:t>
      </w:r>
      <w:r w:rsidR="00480124" w:rsidRPr="002715F2">
        <w:rPr>
          <w:rFonts w:eastAsia="Gulim" w:cs="Gulim"/>
          <w:lang w:val="fr-FR" w:eastAsia="ko-KR"/>
        </w:rPr>
        <w:t xml:space="preserve"> décrit</w:t>
      </w:r>
      <w:r w:rsidR="0022283E" w:rsidRPr="002715F2">
        <w:rPr>
          <w:rFonts w:eastAsia="Gulim" w:cs="Gulim"/>
          <w:lang w:val="fr-FR" w:eastAsia="ko-KR"/>
        </w:rPr>
        <w:t>es</w:t>
      </w:r>
      <w:r w:rsidR="00480124" w:rsidRPr="002715F2">
        <w:rPr>
          <w:rFonts w:eastAsia="Gulim" w:cs="Gulim"/>
          <w:lang w:val="fr-FR" w:eastAsia="ko-KR"/>
        </w:rPr>
        <w:t xml:space="preserve"> dans </w:t>
      </w:r>
      <w:r w:rsidR="008A36A5" w:rsidRPr="002715F2">
        <w:rPr>
          <w:rFonts w:eastAsia="Gulim" w:cs="Gulim"/>
          <w:lang w:val="fr-FR" w:eastAsia="ko-KR"/>
        </w:rPr>
        <w:t xml:space="preserve">les réponses </w:t>
      </w:r>
      <w:r w:rsidR="00480124" w:rsidRPr="002715F2">
        <w:rPr>
          <w:rFonts w:eastAsia="Gulim" w:cs="Gulim"/>
          <w:lang w:val="fr-FR" w:eastAsia="ko-KR"/>
        </w:rPr>
        <w:t xml:space="preserve">de l’État partie </w:t>
      </w:r>
      <w:r w:rsidR="008A36A5" w:rsidRPr="002715F2">
        <w:rPr>
          <w:rFonts w:eastAsia="Gulim" w:cs="Gulim"/>
          <w:lang w:val="fr-FR" w:eastAsia="ko-KR"/>
        </w:rPr>
        <w:t>aux observations finales concernant son</w:t>
      </w:r>
      <w:r w:rsidR="00480124" w:rsidRPr="002715F2">
        <w:rPr>
          <w:rFonts w:eastAsia="Gulim" w:cs="Gulim"/>
          <w:lang w:val="fr-FR" w:eastAsia="ko-KR"/>
        </w:rPr>
        <w:t xml:space="preserve"> </w:t>
      </w:r>
      <w:r w:rsidR="00224967" w:rsidRPr="002715F2">
        <w:rPr>
          <w:rFonts w:eastAsia="Gulim" w:cs="Gulim"/>
          <w:lang w:val="fr-FR" w:eastAsia="ko-KR"/>
        </w:rPr>
        <w:t xml:space="preserve">deuxième </w:t>
      </w:r>
      <w:r w:rsidR="00480124" w:rsidRPr="002715F2">
        <w:rPr>
          <w:rFonts w:eastAsia="Gulim" w:cs="Gulim"/>
          <w:lang w:val="fr-FR" w:eastAsia="ko-KR"/>
        </w:rPr>
        <w:t xml:space="preserve">rapport périodique et </w:t>
      </w:r>
      <w:r w:rsidR="00387EDC" w:rsidRPr="002715F2">
        <w:rPr>
          <w:rFonts w:eastAsia="Gulim" w:cs="Gulim"/>
          <w:lang w:val="fr-FR" w:eastAsia="ko-KR"/>
        </w:rPr>
        <w:t>dans le</w:t>
      </w:r>
      <w:r w:rsidR="00480124" w:rsidRPr="002715F2">
        <w:rPr>
          <w:rFonts w:eastAsia="Gulim" w:cs="Gulim"/>
          <w:lang w:val="fr-FR" w:eastAsia="ko-KR"/>
        </w:rPr>
        <w:t xml:space="preserve"> </w:t>
      </w:r>
      <w:r w:rsidR="00224967" w:rsidRPr="002715F2">
        <w:rPr>
          <w:rFonts w:eastAsia="Gulim" w:cs="Gulim"/>
          <w:lang w:val="fr-FR" w:eastAsia="ko-KR"/>
        </w:rPr>
        <w:t xml:space="preserve">quatrième </w:t>
      </w:r>
      <w:r w:rsidR="00387EDC" w:rsidRPr="002715F2">
        <w:rPr>
          <w:rFonts w:eastAsia="Gulim" w:cs="Gulim"/>
          <w:lang w:val="fr-FR" w:eastAsia="ko-KR"/>
        </w:rPr>
        <w:t>rapport présenté</w:t>
      </w:r>
      <w:r w:rsidR="00FB35A3" w:rsidRPr="002715F2">
        <w:rPr>
          <w:rFonts w:eastAsia="Gulim" w:cs="Gulim"/>
          <w:lang w:val="fr-FR" w:eastAsia="ko-KR"/>
        </w:rPr>
        <w:t xml:space="preserve"> </w:t>
      </w:r>
      <w:r w:rsidR="008A36A5" w:rsidRPr="002715F2">
        <w:rPr>
          <w:rFonts w:eastAsia="Gulim" w:cs="Gulim"/>
          <w:lang w:val="fr-FR" w:eastAsia="ko-KR"/>
        </w:rPr>
        <w:t>en application du</w:t>
      </w:r>
      <w:r w:rsidR="00387EDC" w:rsidRPr="002715F2">
        <w:rPr>
          <w:rFonts w:eastAsia="Gulim" w:cs="Gulim"/>
          <w:lang w:val="fr-FR" w:eastAsia="ko-KR"/>
        </w:rPr>
        <w:t xml:space="preserve"> Pacte international relatif aux droits civils et politiques </w:t>
      </w:r>
      <w:r w:rsidR="000078DA" w:rsidRPr="002715F2">
        <w:rPr>
          <w:rFonts w:eastAsia="Batang" w:cs="Gulim"/>
          <w:spacing w:val="-2"/>
          <w:lang w:val="fr-FR" w:eastAsia="ko-KR"/>
        </w:rPr>
        <w:t>(CAT/C/KOR/</w:t>
      </w:r>
      <w:r w:rsidR="00975215" w:rsidRPr="002715F2">
        <w:rPr>
          <w:rFonts w:eastAsia="Batang" w:cs="Gulim"/>
          <w:spacing w:val="-2"/>
          <w:lang w:val="fr-FR" w:eastAsia="ko-KR"/>
        </w:rPr>
        <w:t xml:space="preserve"> </w:t>
      </w:r>
      <w:r w:rsidR="000078DA" w:rsidRPr="002715F2">
        <w:rPr>
          <w:rFonts w:eastAsia="Batang" w:cs="Gulim"/>
          <w:spacing w:val="-2"/>
          <w:lang w:val="fr-FR" w:eastAsia="ko-KR"/>
        </w:rPr>
        <w:t>CO/2/Add.2</w:t>
      </w:r>
      <w:r w:rsidR="00387EDC" w:rsidRPr="002715F2">
        <w:rPr>
          <w:rFonts w:eastAsia="Batang" w:cs="Gulim"/>
          <w:spacing w:val="-2"/>
          <w:lang w:val="fr-FR" w:eastAsia="ko-KR"/>
        </w:rPr>
        <w:t>,</w:t>
      </w:r>
      <w:r w:rsidR="000078DA" w:rsidRPr="002715F2">
        <w:rPr>
          <w:rFonts w:eastAsia="Batang" w:cs="Gulim"/>
          <w:spacing w:val="-2"/>
          <w:lang w:val="fr-FR" w:eastAsia="ko-KR"/>
        </w:rPr>
        <w:t xml:space="preserve"> </w:t>
      </w:r>
      <w:r w:rsidR="00480124" w:rsidRPr="002715F2">
        <w:rPr>
          <w:rFonts w:eastAsia="Batang" w:cs="Gulim"/>
          <w:spacing w:val="-2"/>
          <w:lang w:val="fr-FR" w:eastAsia="ko-KR"/>
        </w:rPr>
        <w:t>par. </w:t>
      </w:r>
      <w:r w:rsidR="000078DA" w:rsidRPr="002715F2">
        <w:rPr>
          <w:rFonts w:eastAsia="Batang" w:cs="Gulim"/>
          <w:spacing w:val="-2"/>
          <w:lang w:val="fr-FR" w:eastAsia="ko-KR"/>
        </w:rPr>
        <w:t>2</w:t>
      </w:r>
      <w:r w:rsidR="00480124" w:rsidRPr="002715F2">
        <w:rPr>
          <w:rFonts w:eastAsia="Batang" w:cs="Gulim"/>
          <w:spacing w:val="-2"/>
          <w:lang w:val="fr-FR" w:eastAsia="ko-KR"/>
        </w:rPr>
        <w:t xml:space="preserve"> à </w:t>
      </w:r>
      <w:r w:rsidR="000078DA" w:rsidRPr="002715F2">
        <w:rPr>
          <w:rFonts w:eastAsia="Batang" w:cs="Gulim"/>
          <w:spacing w:val="-2"/>
          <w:lang w:val="fr-FR" w:eastAsia="ko-KR"/>
        </w:rPr>
        <w:t>6</w:t>
      </w:r>
      <w:r w:rsidR="00E97B1A" w:rsidRPr="002715F2">
        <w:rPr>
          <w:rFonts w:eastAsia="Batang" w:cs="Gulim"/>
          <w:spacing w:val="-2"/>
          <w:lang w:val="fr-FR" w:eastAsia="ko-KR"/>
        </w:rPr>
        <w:t>;</w:t>
      </w:r>
      <w:r w:rsidR="000078DA" w:rsidRPr="002715F2">
        <w:rPr>
          <w:rFonts w:eastAsia="Batang" w:cs="Gulim"/>
          <w:spacing w:val="-2"/>
          <w:lang w:val="fr-FR" w:eastAsia="ko-KR"/>
        </w:rPr>
        <w:t xml:space="preserve"> CCPR/</w:t>
      </w:r>
      <w:r w:rsidR="000078DA" w:rsidRPr="002715F2">
        <w:rPr>
          <w:rFonts w:eastAsia="휴먼명조"/>
          <w:spacing w:val="-2"/>
          <w:lang w:val="fr-FR" w:eastAsia="ko-KR"/>
        </w:rPr>
        <w:t>C/KOR/4</w:t>
      </w:r>
      <w:r w:rsidR="00387EDC" w:rsidRPr="002715F2">
        <w:rPr>
          <w:rFonts w:eastAsia="휴먼명조"/>
          <w:spacing w:val="-2"/>
          <w:lang w:val="fr-FR" w:eastAsia="ko-KR"/>
        </w:rPr>
        <w:t>,</w:t>
      </w:r>
      <w:r w:rsidR="000078DA" w:rsidRPr="002715F2">
        <w:rPr>
          <w:rFonts w:eastAsia="휴먼명조"/>
          <w:spacing w:val="-2"/>
          <w:lang w:val="fr-FR" w:eastAsia="ko-KR"/>
        </w:rPr>
        <w:t xml:space="preserve"> </w:t>
      </w:r>
      <w:r w:rsidR="00480124" w:rsidRPr="002715F2">
        <w:rPr>
          <w:rFonts w:eastAsia="휴먼명조"/>
          <w:spacing w:val="-2"/>
          <w:lang w:val="fr-FR" w:eastAsia="ko-KR"/>
        </w:rPr>
        <w:t>par. </w:t>
      </w:r>
      <w:r w:rsidR="000078DA" w:rsidRPr="002715F2">
        <w:rPr>
          <w:rFonts w:eastAsia="휴먼명조"/>
          <w:spacing w:val="-2"/>
          <w:lang w:val="fr-FR" w:eastAsia="ko-KR"/>
        </w:rPr>
        <w:t>124</w:t>
      </w:r>
      <w:r w:rsidR="00480124" w:rsidRPr="002715F2">
        <w:rPr>
          <w:rFonts w:eastAsia="휴먼명조"/>
          <w:spacing w:val="-2"/>
          <w:lang w:val="fr-FR" w:eastAsia="ko-KR"/>
        </w:rPr>
        <w:t xml:space="preserve"> et </w:t>
      </w:r>
      <w:r w:rsidR="000078DA" w:rsidRPr="002715F2">
        <w:rPr>
          <w:rFonts w:eastAsia="휴먼명조"/>
          <w:spacing w:val="-2"/>
          <w:lang w:val="fr-FR" w:eastAsia="ko-KR"/>
        </w:rPr>
        <w:t>125).</w:t>
      </w:r>
    </w:p>
    <w:p w:rsidR="000078DA" w:rsidRPr="002715F2" w:rsidRDefault="007026FB" w:rsidP="007026FB">
      <w:pPr>
        <w:pStyle w:val="SingleTxtG"/>
        <w:rPr>
          <w:rFonts w:eastAsia="Gulim"/>
          <w:lang w:val="fr-FR" w:eastAsia="ko-KR"/>
        </w:rPr>
      </w:pPr>
      <w:r w:rsidRPr="002715F2">
        <w:rPr>
          <w:rFonts w:eastAsia="Gulim"/>
          <w:lang w:val="fr-FR" w:eastAsia="ko-KR"/>
        </w:rPr>
        <w:t>12.</w:t>
      </w:r>
      <w:r w:rsidRPr="002715F2">
        <w:rPr>
          <w:rFonts w:eastAsia="Gulim"/>
          <w:lang w:val="fr-FR" w:eastAsia="ko-KR"/>
        </w:rPr>
        <w:tab/>
      </w:r>
      <w:r w:rsidR="004E25D9" w:rsidRPr="002715F2">
        <w:rPr>
          <w:rFonts w:eastAsia="Gulim"/>
          <w:kern w:val="2"/>
          <w:lang w:val="fr-FR" w:eastAsia="ko-KR"/>
        </w:rPr>
        <w:t xml:space="preserve">Entre </w:t>
      </w:r>
      <w:r w:rsidR="00224967" w:rsidRPr="002715F2">
        <w:rPr>
          <w:rFonts w:eastAsia="Gulim"/>
          <w:kern w:val="2"/>
          <w:lang w:val="fr-FR" w:eastAsia="ko-KR"/>
        </w:rPr>
        <w:t xml:space="preserve">mai </w:t>
      </w:r>
      <w:r w:rsidR="004E25D9" w:rsidRPr="002715F2">
        <w:rPr>
          <w:rFonts w:eastAsia="Gulim"/>
          <w:kern w:val="2"/>
          <w:lang w:val="fr-FR" w:eastAsia="ko-KR"/>
        </w:rPr>
        <w:t xml:space="preserve">2006 et </w:t>
      </w:r>
      <w:r w:rsidR="00224967" w:rsidRPr="002715F2">
        <w:rPr>
          <w:rFonts w:eastAsia="Gulim"/>
          <w:kern w:val="2"/>
          <w:lang w:val="fr-FR" w:eastAsia="ko-KR"/>
        </w:rPr>
        <w:t xml:space="preserve">décembre </w:t>
      </w:r>
      <w:r w:rsidR="004E25D9" w:rsidRPr="002715F2">
        <w:rPr>
          <w:rFonts w:eastAsia="Gulim"/>
          <w:kern w:val="2"/>
          <w:lang w:val="fr-FR" w:eastAsia="ko-KR"/>
        </w:rPr>
        <w:t xml:space="preserve">2015, </w:t>
      </w:r>
      <w:r w:rsidR="004E25D9" w:rsidRPr="002715F2">
        <w:rPr>
          <w:rFonts w:eastAsia="휴먼명조"/>
          <w:spacing w:val="2"/>
          <w:kern w:val="2"/>
          <w:lang w:val="fr-FR" w:eastAsia="ko-KR"/>
        </w:rPr>
        <w:t>12 </w:t>
      </w:r>
      <w:r w:rsidR="000078DA" w:rsidRPr="002715F2">
        <w:rPr>
          <w:rFonts w:eastAsia="휴먼명조"/>
          <w:spacing w:val="2"/>
          <w:kern w:val="2"/>
          <w:lang w:val="fr-FR" w:eastAsia="ko-KR"/>
        </w:rPr>
        <w:t>282</w:t>
      </w:r>
      <w:r w:rsidR="004E25D9" w:rsidRPr="002715F2">
        <w:rPr>
          <w:rFonts w:eastAsia="휴먼명조"/>
          <w:spacing w:val="2"/>
          <w:kern w:val="2"/>
          <w:lang w:val="fr-FR" w:eastAsia="ko-KR"/>
        </w:rPr>
        <w:t> </w:t>
      </w:r>
      <w:r w:rsidR="000078DA" w:rsidRPr="002715F2">
        <w:rPr>
          <w:rFonts w:eastAsia="Gulim"/>
          <w:kern w:val="2"/>
          <w:lang w:val="fr-FR" w:eastAsia="ko-KR"/>
        </w:rPr>
        <w:t>cas</w:t>
      </w:r>
      <w:r w:rsidR="004E25D9" w:rsidRPr="002715F2">
        <w:rPr>
          <w:rFonts w:eastAsia="Gulim"/>
          <w:kern w:val="2"/>
          <w:lang w:val="fr-FR" w:eastAsia="ko-KR"/>
        </w:rPr>
        <w:t xml:space="preserve"> présumés de violations des droits fondamentaux ont été signalés</w:t>
      </w:r>
      <w:r w:rsidR="0022283E" w:rsidRPr="002715F2">
        <w:rPr>
          <w:rFonts w:eastAsia="Gulim"/>
          <w:kern w:val="2"/>
          <w:lang w:val="fr-FR" w:eastAsia="ko-KR"/>
        </w:rPr>
        <w:t xml:space="preserve"> à la</w:t>
      </w:r>
      <w:r w:rsidR="0022283E" w:rsidRPr="002715F2">
        <w:rPr>
          <w:rFonts w:eastAsia="Gulim" w:cs="Gulim"/>
          <w:lang w:val="fr-FR" w:eastAsia="ko-KR"/>
        </w:rPr>
        <w:t xml:space="preserve"> permanence téléphonique. Sur les</w:t>
      </w:r>
      <w:r w:rsidR="004E25D9" w:rsidRPr="002715F2">
        <w:rPr>
          <w:rFonts w:eastAsia="Gulim"/>
          <w:kern w:val="2"/>
          <w:lang w:val="fr-FR" w:eastAsia="ko-KR"/>
        </w:rPr>
        <w:t xml:space="preserve"> </w:t>
      </w:r>
      <w:r w:rsidR="004E25D9" w:rsidRPr="002715F2">
        <w:rPr>
          <w:rFonts w:eastAsia="휴먼명조"/>
          <w:spacing w:val="2"/>
          <w:kern w:val="2"/>
          <w:lang w:val="fr-FR" w:eastAsia="ko-KR"/>
        </w:rPr>
        <w:t>11 </w:t>
      </w:r>
      <w:r w:rsidR="000078DA" w:rsidRPr="002715F2">
        <w:rPr>
          <w:rFonts w:eastAsia="휴먼명조"/>
          <w:spacing w:val="2"/>
          <w:kern w:val="2"/>
          <w:lang w:val="fr-FR" w:eastAsia="ko-KR"/>
        </w:rPr>
        <w:t>344</w:t>
      </w:r>
      <w:r w:rsidR="004E25D9" w:rsidRPr="002715F2">
        <w:rPr>
          <w:rFonts w:eastAsia="휴먼명조"/>
          <w:spacing w:val="2"/>
          <w:kern w:val="2"/>
          <w:lang w:val="fr-FR" w:eastAsia="ko-KR"/>
        </w:rPr>
        <w:t xml:space="preserve"> plaintes </w:t>
      </w:r>
      <w:r w:rsidR="0022283E" w:rsidRPr="002715F2">
        <w:rPr>
          <w:rFonts w:eastAsia="휴먼명조"/>
          <w:spacing w:val="2"/>
          <w:kern w:val="2"/>
          <w:lang w:val="fr-FR" w:eastAsia="ko-KR"/>
        </w:rPr>
        <w:t xml:space="preserve">reçues, </w:t>
      </w:r>
      <w:r w:rsidR="000078DA" w:rsidRPr="002715F2">
        <w:rPr>
          <w:rFonts w:eastAsia="휴먼명조"/>
          <w:spacing w:val="2"/>
          <w:kern w:val="2"/>
          <w:lang w:val="fr-FR" w:eastAsia="ko-KR"/>
        </w:rPr>
        <w:t>737</w:t>
      </w:r>
      <w:r w:rsidR="000078DA" w:rsidRPr="002715F2">
        <w:rPr>
          <w:rFonts w:eastAsia="Gulim"/>
          <w:kern w:val="2"/>
          <w:lang w:val="fr-FR" w:eastAsia="ko-KR"/>
        </w:rPr>
        <w:t xml:space="preserve"> (</w:t>
      </w:r>
      <w:r w:rsidR="000078DA" w:rsidRPr="002715F2">
        <w:rPr>
          <w:rFonts w:eastAsia="휴먼명조"/>
          <w:spacing w:val="-4"/>
          <w:kern w:val="2"/>
          <w:lang w:val="fr-FR" w:eastAsia="ko-KR"/>
        </w:rPr>
        <w:t>6</w:t>
      </w:r>
      <w:r w:rsidR="004E25D9" w:rsidRPr="002715F2">
        <w:rPr>
          <w:rFonts w:eastAsia="휴먼명조"/>
          <w:spacing w:val="-4"/>
          <w:kern w:val="2"/>
          <w:lang w:val="fr-FR" w:eastAsia="ko-KR"/>
        </w:rPr>
        <w:t>,</w:t>
      </w:r>
      <w:r w:rsidR="000078DA" w:rsidRPr="002715F2">
        <w:rPr>
          <w:rFonts w:eastAsia="휴먼명조"/>
          <w:spacing w:val="-4"/>
          <w:kern w:val="2"/>
          <w:lang w:val="fr-FR" w:eastAsia="ko-KR"/>
        </w:rPr>
        <w:t>5</w:t>
      </w:r>
      <w:r w:rsidR="004E25D9" w:rsidRPr="002715F2">
        <w:rPr>
          <w:rFonts w:eastAsia="휴먼명조"/>
          <w:spacing w:val="-4"/>
          <w:kern w:val="2"/>
          <w:lang w:val="fr-FR" w:eastAsia="ko-KR"/>
        </w:rPr>
        <w:t> </w:t>
      </w:r>
      <w:r w:rsidR="000078DA" w:rsidRPr="002715F2">
        <w:rPr>
          <w:rFonts w:eastAsia="Gulim"/>
          <w:kern w:val="2"/>
          <w:lang w:val="fr-FR" w:eastAsia="ko-KR"/>
        </w:rPr>
        <w:t xml:space="preserve">%) </w:t>
      </w:r>
      <w:r w:rsidR="004E25D9" w:rsidRPr="002715F2">
        <w:rPr>
          <w:rFonts w:eastAsia="Gulim"/>
          <w:kern w:val="2"/>
          <w:lang w:val="fr-FR" w:eastAsia="ko-KR"/>
        </w:rPr>
        <w:t xml:space="preserve">ont été reconnues </w:t>
      </w:r>
      <w:r w:rsidR="0022283E" w:rsidRPr="002715F2">
        <w:rPr>
          <w:rFonts w:eastAsia="Gulim"/>
          <w:kern w:val="2"/>
          <w:lang w:val="fr-FR" w:eastAsia="ko-KR"/>
        </w:rPr>
        <w:t xml:space="preserve">comme </w:t>
      </w:r>
      <w:r w:rsidR="004E25D9" w:rsidRPr="002715F2">
        <w:rPr>
          <w:rFonts w:eastAsia="Gulim"/>
          <w:kern w:val="2"/>
          <w:lang w:val="fr-FR" w:eastAsia="ko-KR"/>
        </w:rPr>
        <w:t xml:space="preserve">fondées et ont donné lieu à </w:t>
      </w:r>
      <w:r w:rsidR="0022283E" w:rsidRPr="002715F2">
        <w:rPr>
          <w:rFonts w:eastAsia="Gulim"/>
          <w:kern w:val="2"/>
          <w:lang w:val="fr-FR" w:eastAsia="ko-KR"/>
        </w:rPr>
        <w:t xml:space="preserve">des réparations </w:t>
      </w:r>
      <w:r w:rsidR="000078DA" w:rsidRPr="002715F2">
        <w:rPr>
          <w:rFonts w:eastAsia="Gulim"/>
          <w:kern w:val="2"/>
          <w:lang w:val="fr-FR" w:eastAsia="ko-KR"/>
        </w:rPr>
        <w:t>(</w:t>
      </w:r>
      <w:r w:rsidR="004E25D9" w:rsidRPr="002715F2">
        <w:rPr>
          <w:rFonts w:eastAsia="Gulim"/>
          <w:kern w:val="2"/>
          <w:lang w:val="fr-FR" w:eastAsia="ko-KR"/>
        </w:rPr>
        <w:t>voir</w:t>
      </w:r>
      <w:r w:rsidR="000078DA" w:rsidRPr="002715F2">
        <w:rPr>
          <w:rFonts w:eastAsia="Gulim"/>
          <w:kern w:val="2"/>
          <w:lang w:val="fr-FR" w:eastAsia="ko-KR"/>
        </w:rPr>
        <w:t xml:space="preserve"> </w:t>
      </w:r>
      <w:r w:rsidR="004E25D9" w:rsidRPr="002715F2">
        <w:rPr>
          <w:rFonts w:eastAsia="Gulim"/>
          <w:kern w:val="2"/>
          <w:lang w:val="fr-FR" w:eastAsia="ko-KR"/>
        </w:rPr>
        <w:t xml:space="preserve">le </w:t>
      </w:r>
      <w:r w:rsidR="000078DA" w:rsidRPr="002715F2">
        <w:rPr>
          <w:rFonts w:eastAsia="Gulim"/>
          <w:kern w:val="2"/>
          <w:lang w:val="fr-FR" w:eastAsia="ko-KR"/>
        </w:rPr>
        <w:t>table</w:t>
      </w:r>
      <w:r w:rsidR="004E25D9" w:rsidRPr="002715F2">
        <w:rPr>
          <w:rFonts w:eastAsia="Gulim"/>
          <w:kern w:val="2"/>
          <w:lang w:val="fr-FR" w:eastAsia="ko-KR"/>
        </w:rPr>
        <w:t>au</w:t>
      </w:r>
      <w:r w:rsidR="0022283E" w:rsidRPr="002715F2">
        <w:rPr>
          <w:rFonts w:eastAsia="Gulim"/>
          <w:kern w:val="2"/>
          <w:lang w:val="fr-FR" w:eastAsia="ko-KR"/>
        </w:rPr>
        <w:t> 1</w:t>
      </w:r>
      <w:r w:rsidR="000078DA" w:rsidRPr="002715F2">
        <w:rPr>
          <w:rFonts w:eastAsia="Gulim"/>
          <w:kern w:val="2"/>
          <w:lang w:val="fr-FR" w:eastAsia="ko-KR"/>
        </w:rPr>
        <w:t xml:space="preserve">). </w:t>
      </w:r>
      <w:r w:rsidR="004E25D9" w:rsidRPr="002715F2">
        <w:rPr>
          <w:rFonts w:eastAsia="Gulim"/>
          <w:lang w:val="fr-FR" w:eastAsia="ko-KR"/>
        </w:rPr>
        <w:t>Dans un cas, en</w:t>
      </w:r>
      <w:r w:rsidR="000078DA" w:rsidRPr="002715F2">
        <w:rPr>
          <w:rFonts w:eastAsia="Gulim"/>
          <w:lang w:val="fr-FR" w:eastAsia="ko-KR"/>
        </w:rPr>
        <w:t xml:space="preserve"> 2007, </w:t>
      </w:r>
      <w:r w:rsidR="0022283E" w:rsidRPr="002715F2">
        <w:rPr>
          <w:rFonts w:eastAsia="Gulim" w:cs="Gulim"/>
          <w:lang w:val="fr-FR" w:eastAsia="ko-KR"/>
        </w:rPr>
        <w:t xml:space="preserve">la </w:t>
      </w:r>
      <w:r w:rsidR="004E25D9" w:rsidRPr="002715F2">
        <w:rPr>
          <w:rFonts w:eastAsia="Gulim" w:cs="Gulim"/>
          <w:lang w:val="fr-FR" w:eastAsia="ko-KR"/>
        </w:rPr>
        <w:t>permanence téléphonique</w:t>
      </w:r>
      <w:r w:rsidR="004E25D9" w:rsidRPr="002715F2">
        <w:rPr>
          <w:rFonts w:eastAsia="Gulim"/>
          <w:lang w:val="fr-FR" w:eastAsia="ko-KR"/>
        </w:rPr>
        <w:t xml:space="preserve"> a recommandé des sanctions disciplinaires à l’organisation concernée</w:t>
      </w:r>
      <w:r w:rsidR="000078DA" w:rsidRPr="002715F2">
        <w:rPr>
          <w:rFonts w:eastAsia="Gulim"/>
          <w:lang w:val="fr-FR" w:eastAsia="ko-KR"/>
        </w:rPr>
        <w:t>.</w:t>
      </w:r>
      <w:r w:rsidR="004E25D9" w:rsidRPr="002715F2">
        <w:rPr>
          <w:rFonts w:eastAsia="Gulim"/>
          <w:lang w:val="fr-FR" w:eastAsia="ko-KR"/>
        </w:rPr>
        <w:t xml:space="preserve"> </w:t>
      </w:r>
      <w:r w:rsidR="0023355D" w:rsidRPr="002715F2">
        <w:rPr>
          <w:rFonts w:eastAsia="Gulim"/>
          <w:lang w:val="fr-FR" w:eastAsia="ko-KR"/>
        </w:rPr>
        <w:t>Par ailleurs</w:t>
      </w:r>
      <w:r w:rsidR="004E25D9" w:rsidRPr="002715F2">
        <w:rPr>
          <w:rFonts w:eastAsia="Gulim"/>
          <w:lang w:val="fr-FR" w:eastAsia="ko-KR"/>
        </w:rPr>
        <w:t xml:space="preserve">, </w:t>
      </w:r>
      <w:r w:rsidR="009D0750" w:rsidRPr="002715F2">
        <w:rPr>
          <w:rFonts w:eastAsia="Gulim"/>
          <w:lang w:val="fr-FR" w:eastAsia="ko-KR"/>
        </w:rPr>
        <w:t xml:space="preserve">les </w:t>
      </w:r>
      <w:r w:rsidR="0023355D" w:rsidRPr="002715F2">
        <w:rPr>
          <w:rFonts w:eastAsia="Gulim"/>
          <w:lang w:val="fr-FR" w:eastAsia="ko-KR"/>
        </w:rPr>
        <w:t xml:space="preserve">requêtes liées aux </w:t>
      </w:r>
      <w:r w:rsidR="004E25D9" w:rsidRPr="002715F2">
        <w:rPr>
          <w:rFonts w:eastAsia="Gulim"/>
          <w:lang w:val="fr-FR" w:eastAsia="ko-KR"/>
        </w:rPr>
        <w:t>traitement</w:t>
      </w:r>
      <w:r w:rsidR="009D0750" w:rsidRPr="002715F2">
        <w:rPr>
          <w:rFonts w:eastAsia="Gulim"/>
          <w:lang w:val="fr-FR" w:eastAsia="ko-KR"/>
        </w:rPr>
        <w:t xml:space="preserve">s médicaux et </w:t>
      </w:r>
      <w:r w:rsidR="0023355D" w:rsidRPr="002715F2">
        <w:rPr>
          <w:rFonts w:eastAsia="Gulim"/>
          <w:lang w:val="fr-FR" w:eastAsia="ko-KR"/>
        </w:rPr>
        <w:t>aux</w:t>
      </w:r>
      <w:r w:rsidR="004E25D9" w:rsidRPr="002715F2">
        <w:rPr>
          <w:rFonts w:eastAsia="Gulim"/>
          <w:lang w:val="fr-FR" w:eastAsia="ko-KR"/>
        </w:rPr>
        <w:t xml:space="preserve"> changement</w:t>
      </w:r>
      <w:r w:rsidR="009D0750" w:rsidRPr="002715F2">
        <w:rPr>
          <w:rFonts w:eastAsia="Gulim"/>
          <w:lang w:val="fr-FR" w:eastAsia="ko-KR"/>
        </w:rPr>
        <w:t>s</w:t>
      </w:r>
      <w:r w:rsidR="004E25D9" w:rsidRPr="002715F2">
        <w:rPr>
          <w:rFonts w:eastAsia="Gulim"/>
          <w:lang w:val="fr-FR" w:eastAsia="ko-KR"/>
        </w:rPr>
        <w:t xml:space="preserve"> de lieu</w:t>
      </w:r>
      <w:r w:rsidR="009D0750" w:rsidRPr="002715F2">
        <w:rPr>
          <w:rFonts w:eastAsia="Gulim"/>
          <w:lang w:val="fr-FR" w:eastAsia="ko-KR"/>
        </w:rPr>
        <w:t>x</w:t>
      </w:r>
      <w:r w:rsidR="004E25D9" w:rsidRPr="002715F2">
        <w:rPr>
          <w:rFonts w:eastAsia="Gulim"/>
          <w:lang w:val="fr-FR" w:eastAsia="ko-KR"/>
        </w:rPr>
        <w:t xml:space="preserve"> de </w:t>
      </w:r>
      <w:r w:rsidR="005C6D8E" w:rsidRPr="002715F2">
        <w:rPr>
          <w:rFonts w:eastAsia="Gulim"/>
          <w:lang w:val="fr-FR" w:eastAsia="ko-KR"/>
        </w:rPr>
        <w:t>détention</w:t>
      </w:r>
      <w:r w:rsidR="0023355D" w:rsidRPr="002715F2">
        <w:rPr>
          <w:rFonts w:eastAsia="Gulim"/>
          <w:lang w:val="fr-FR" w:eastAsia="ko-KR"/>
        </w:rPr>
        <w:t>, par exemple,</w:t>
      </w:r>
      <w:r w:rsidR="004E25D9" w:rsidRPr="002715F2">
        <w:rPr>
          <w:rFonts w:eastAsia="Gulim"/>
          <w:lang w:val="fr-FR" w:eastAsia="ko-KR"/>
        </w:rPr>
        <w:t xml:space="preserve"> ont été acceptées et </w:t>
      </w:r>
      <w:r w:rsidR="008E27B9" w:rsidRPr="002715F2">
        <w:rPr>
          <w:rFonts w:eastAsia="Gulim"/>
          <w:lang w:val="fr-FR" w:eastAsia="ko-KR"/>
        </w:rPr>
        <w:t xml:space="preserve">des </w:t>
      </w:r>
      <w:r w:rsidR="005C6D8E" w:rsidRPr="002715F2">
        <w:rPr>
          <w:rFonts w:eastAsia="Gulim"/>
          <w:lang w:val="fr-FR" w:eastAsia="ko-KR"/>
        </w:rPr>
        <w:t>progrès</w:t>
      </w:r>
      <w:r w:rsidR="008E27B9" w:rsidRPr="002715F2">
        <w:rPr>
          <w:rFonts w:eastAsia="Gulim"/>
          <w:lang w:val="fr-FR" w:eastAsia="ko-KR"/>
        </w:rPr>
        <w:t xml:space="preserve"> ont été </w:t>
      </w:r>
      <w:r w:rsidR="005C6D8E" w:rsidRPr="002715F2">
        <w:rPr>
          <w:rFonts w:eastAsia="Gulim"/>
          <w:lang w:val="fr-FR" w:eastAsia="ko-KR"/>
        </w:rPr>
        <w:t>accomplis</w:t>
      </w:r>
      <w:r w:rsidR="008E27B9" w:rsidRPr="002715F2">
        <w:rPr>
          <w:rFonts w:eastAsia="Gulim"/>
          <w:lang w:val="fr-FR" w:eastAsia="ko-KR"/>
        </w:rPr>
        <w:t xml:space="preserve"> dans </w:t>
      </w:r>
      <w:r w:rsidR="009D0750" w:rsidRPr="002715F2">
        <w:rPr>
          <w:rFonts w:eastAsia="Gulim"/>
          <w:lang w:val="fr-FR" w:eastAsia="ko-KR"/>
        </w:rPr>
        <w:t xml:space="preserve">les </w:t>
      </w:r>
      <w:r w:rsidR="004E25D9" w:rsidRPr="002715F2">
        <w:rPr>
          <w:rFonts w:eastAsia="Gulim"/>
          <w:lang w:val="fr-FR" w:eastAsia="ko-KR"/>
        </w:rPr>
        <w:t xml:space="preserve">institutions ou </w:t>
      </w:r>
      <w:r w:rsidR="009D0750" w:rsidRPr="002715F2">
        <w:rPr>
          <w:rFonts w:eastAsia="Gulim"/>
          <w:lang w:val="fr-FR" w:eastAsia="ko-KR"/>
        </w:rPr>
        <w:t xml:space="preserve">les </w:t>
      </w:r>
      <w:r w:rsidR="004E25D9" w:rsidRPr="002715F2">
        <w:rPr>
          <w:rFonts w:eastAsia="Gulim"/>
          <w:lang w:val="fr-FR" w:eastAsia="ko-KR"/>
        </w:rPr>
        <w:t xml:space="preserve">établissements </w:t>
      </w:r>
      <w:r w:rsidR="0023355D" w:rsidRPr="002715F2">
        <w:rPr>
          <w:rFonts w:eastAsia="Gulim"/>
          <w:lang w:val="fr-FR" w:eastAsia="ko-KR"/>
        </w:rPr>
        <w:t>au sein d</w:t>
      </w:r>
      <w:r w:rsidR="009D0750" w:rsidRPr="002715F2">
        <w:rPr>
          <w:rFonts w:eastAsia="Gulim"/>
          <w:lang w:val="fr-FR" w:eastAsia="ko-KR"/>
        </w:rPr>
        <w:t>esquels des</w:t>
      </w:r>
      <w:r w:rsidR="004E25D9" w:rsidRPr="002715F2">
        <w:rPr>
          <w:rFonts w:eastAsia="Gulim"/>
          <w:lang w:val="fr-FR" w:eastAsia="ko-KR"/>
        </w:rPr>
        <w:t xml:space="preserve"> violations</w:t>
      </w:r>
      <w:r w:rsidR="009D0750" w:rsidRPr="002715F2">
        <w:rPr>
          <w:rFonts w:eastAsia="Gulim"/>
          <w:lang w:val="fr-FR" w:eastAsia="ko-KR"/>
        </w:rPr>
        <w:t xml:space="preserve"> des droits de l’</w:t>
      </w:r>
      <w:r w:rsidR="004E25D9" w:rsidRPr="002715F2">
        <w:rPr>
          <w:rFonts w:eastAsia="Gulim"/>
          <w:lang w:val="fr-FR" w:eastAsia="ko-KR"/>
        </w:rPr>
        <w:t xml:space="preserve">homme </w:t>
      </w:r>
      <w:r w:rsidR="009D0750" w:rsidRPr="002715F2">
        <w:rPr>
          <w:rFonts w:eastAsia="Gulim"/>
          <w:lang w:val="fr-FR" w:eastAsia="ko-KR"/>
        </w:rPr>
        <w:t>avaient été commises</w:t>
      </w:r>
      <w:r w:rsidR="000078DA" w:rsidRPr="002715F2">
        <w:rPr>
          <w:rFonts w:eastAsia="Gulim"/>
          <w:lang w:val="fr-FR" w:eastAsia="ko-KR"/>
        </w:rPr>
        <w:t>.</w:t>
      </w:r>
    </w:p>
    <w:p w:rsidR="000078DA" w:rsidRPr="002715F2" w:rsidRDefault="007026FB" w:rsidP="007026FB">
      <w:pPr>
        <w:pStyle w:val="SingleTxtG"/>
        <w:rPr>
          <w:rFonts w:eastAsia="Gulim"/>
          <w:spacing w:val="-6"/>
          <w:lang w:val="fr-FR" w:eastAsia="ko-KR"/>
        </w:rPr>
      </w:pPr>
      <w:r w:rsidRPr="002715F2">
        <w:rPr>
          <w:rFonts w:eastAsia="Gulim"/>
          <w:spacing w:val="-6"/>
          <w:lang w:val="fr-FR" w:eastAsia="ko-KR"/>
        </w:rPr>
        <w:t>13.</w:t>
      </w:r>
      <w:r w:rsidRPr="002715F2">
        <w:rPr>
          <w:rFonts w:eastAsia="Gulim"/>
          <w:spacing w:val="-6"/>
          <w:lang w:val="fr-FR" w:eastAsia="ko-KR"/>
        </w:rPr>
        <w:tab/>
      </w:r>
      <w:r w:rsidR="009D0750" w:rsidRPr="002715F2">
        <w:rPr>
          <w:rFonts w:eastAsia="Gulim"/>
          <w:lang w:val="fr-FR" w:eastAsia="ko-KR"/>
        </w:rPr>
        <w:t xml:space="preserve">Des </w:t>
      </w:r>
      <w:r w:rsidR="0023355D" w:rsidRPr="002715F2">
        <w:rPr>
          <w:rFonts w:eastAsia="Gulim"/>
          <w:lang w:val="fr-FR" w:eastAsia="ko-KR"/>
        </w:rPr>
        <w:t xml:space="preserve">départements </w:t>
      </w:r>
      <w:r w:rsidR="00431A18" w:rsidRPr="002715F2">
        <w:rPr>
          <w:rFonts w:eastAsia="Gulim"/>
          <w:lang w:val="fr-FR" w:eastAsia="ko-KR"/>
        </w:rPr>
        <w:t>de</w:t>
      </w:r>
      <w:r w:rsidR="009D0750" w:rsidRPr="002715F2">
        <w:rPr>
          <w:rFonts w:eastAsia="Gulim"/>
          <w:lang w:val="fr-FR" w:eastAsia="ko-KR"/>
        </w:rPr>
        <w:t xml:space="preserve">s droits de l’homme ont été </w:t>
      </w:r>
      <w:r w:rsidR="0023355D" w:rsidRPr="002715F2">
        <w:rPr>
          <w:rFonts w:eastAsia="Gulim"/>
          <w:lang w:val="fr-FR" w:eastAsia="ko-KR"/>
        </w:rPr>
        <w:t>créés</w:t>
      </w:r>
      <w:r w:rsidR="009D0750" w:rsidRPr="002715F2">
        <w:rPr>
          <w:rFonts w:eastAsia="Gulim"/>
          <w:lang w:val="fr-FR" w:eastAsia="ko-KR"/>
        </w:rPr>
        <w:t xml:space="preserve"> au Ministère de la défense nationale en </w:t>
      </w:r>
      <w:r w:rsidR="00224967" w:rsidRPr="002715F2">
        <w:rPr>
          <w:rFonts w:eastAsia="Gulim"/>
          <w:lang w:val="fr-FR" w:eastAsia="ko-KR"/>
        </w:rPr>
        <w:t xml:space="preserve">janvier </w:t>
      </w:r>
      <w:r w:rsidR="009D0750" w:rsidRPr="002715F2">
        <w:rPr>
          <w:rFonts w:eastAsia="Gulim"/>
          <w:lang w:val="fr-FR" w:eastAsia="ko-KR"/>
        </w:rPr>
        <w:t>2006</w:t>
      </w:r>
      <w:r w:rsidR="0023355D" w:rsidRPr="002715F2">
        <w:rPr>
          <w:rFonts w:eastAsia="Gulim"/>
          <w:lang w:val="fr-FR" w:eastAsia="ko-KR"/>
        </w:rPr>
        <w:t>,</w:t>
      </w:r>
      <w:r w:rsidR="009D0750" w:rsidRPr="002715F2">
        <w:rPr>
          <w:rFonts w:eastAsia="Gulim"/>
          <w:lang w:val="fr-FR" w:eastAsia="ko-KR"/>
        </w:rPr>
        <w:t xml:space="preserve"> et au sein de</w:t>
      </w:r>
      <w:r w:rsidR="00D0207E" w:rsidRPr="002715F2">
        <w:rPr>
          <w:rFonts w:eastAsia="Gulim"/>
          <w:lang w:val="fr-FR" w:eastAsia="ko-KR"/>
        </w:rPr>
        <w:t>s forces terrestres</w:t>
      </w:r>
      <w:r w:rsidR="009D0750" w:rsidRPr="002715F2">
        <w:rPr>
          <w:rFonts w:eastAsia="Gulim"/>
          <w:lang w:val="fr-FR" w:eastAsia="ko-KR"/>
        </w:rPr>
        <w:t xml:space="preserve">, </w:t>
      </w:r>
      <w:r w:rsidR="00D0207E" w:rsidRPr="002715F2">
        <w:rPr>
          <w:rFonts w:eastAsia="Gulim"/>
          <w:lang w:val="fr-FR" w:eastAsia="ko-KR"/>
        </w:rPr>
        <w:t>navales et</w:t>
      </w:r>
      <w:r w:rsidR="009D0750" w:rsidRPr="002715F2">
        <w:rPr>
          <w:rFonts w:eastAsia="Gulim"/>
          <w:lang w:val="fr-FR" w:eastAsia="ko-KR"/>
        </w:rPr>
        <w:t xml:space="preserve"> aériennes en 2007</w:t>
      </w:r>
      <w:r w:rsidR="006627A4" w:rsidRPr="002715F2">
        <w:rPr>
          <w:rFonts w:eastAsia="Gulim"/>
          <w:lang w:val="fr-FR" w:eastAsia="ko-KR"/>
        </w:rPr>
        <w:t>,</w:t>
      </w:r>
      <w:r w:rsidR="009D0750" w:rsidRPr="002715F2">
        <w:rPr>
          <w:rFonts w:eastAsia="Gulim"/>
          <w:lang w:val="fr-FR" w:eastAsia="ko-KR"/>
        </w:rPr>
        <w:t xml:space="preserve"> afin de prévenir </w:t>
      </w:r>
      <w:r w:rsidR="0023355D" w:rsidRPr="002715F2">
        <w:rPr>
          <w:rFonts w:eastAsia="Gulim"/>
          <w:lang w:val="fr-FR" w:eastAsia="ko-KR"/>
        </w:rPr>
        <w:t>le recours à la</w:t>
      </w:r>
      <w:r w:rsidR="009D0750" w:rsidRPr="002715F2">
        <w:rPr>
          <w:rFonts w:eastAsia="Gulim"/>
          <w:lang w:val="fr-FR" w:eastAsia="ko-KR"/>
        </w:rPr>
        <w:t xml:space="preserve"> torture et </w:t>
      </w:r>
      <w:r w:rsidR="0023355D" w:rsidRPr="002715F2">
        <w:rPr>
          <w:rFonts w:eastAsia="Gulim"/>
          <w:lang w:val="fr-FR" w:eastAsia="ko-KR"/>
        </w:rPr>
        <w:t xml:space="preserve">aux </w:t>
      </w:r>
      <w:r w:rsidR="009D0750" w:rsidRPr="002715F2">
        <w:rPr>
          <w:rFonts w:eastAsia="Gulim"/>
          <w:lang w:val="fr-FR" w:eastAsia="ko-KR"/>
        </w:rPr>
        <w:t>autres formes de mauvais traitements par les forces armées dans le cadre de l’application de la loi</w:t>
      </w:r>
      <w:r w:rsidR="000078DA" w:rsidRPr="002715F2">
        <w:rPr>
          <w:rFonts w:eastAsia="Gulim"/>
          <w:lang w:val="fr-FR" w:eastAsia="ko-KR"/>
        </w:rPr>
        <w:t xml:space="preserve">. </w:t>
      </w:r>
      <w:r w:rsidR="00B3206C" w:rsidRPr="002715F2">
        <w:rPr>
          <w:rFonts w:eastAsia="Gulim"/>
          <w:lang w:val="fr-FR" w:eastAsia="ko-KR"/>
        </w:rPr>
        <w:t xml:space="preserve">La </w:t>
      </w:r>
      <w:r w:rsidR="0012241B" w:rsidRPr="002715F2">
        <w:rPr>
          <w:rFonts w:eastAsia="Gulim"/>
          <w:lang w:val="fr-FR" w:eastAsia="ko-KR"/>
        </w:rPr>
        <w:t>Directive relative aux droits de l’homme dans les affaire militaires</w:t>
      </w:r>
      <w:r w:rsidR="0023355D" w:rsidRPr="002715F2">
        <w:rPr>
          <w:rFonts w:eastAsia="Gulim"/>
          <w:lang w:val="fr-FR" w:eastAsia="ko-KR"/>
        </w:rPr>
        <w:t xml:space="preserve"> </w:t>
      </w:r>
      <w:r w:rsidR="00B3206C" w:rsidRPr="002715F2">
        <w:rPr>
          <w:rFonts w:eastAsia="Gulim"/>
          <w:lang w:val="fr-FR" w:eastAsia="ko-KR"/>
        </w:rPr>
        <w:t xml:space="preserve">a été émise afin de </w:t>
      </w:r>
      <w:r w:rsidR="0012241B" w:rsidRPr="002715F2">
        <w:rPr>
          <w:rFonts w:eastAsia="Gulim"/>
          <w:lang w:val="fr-FR" w:eastAsia="ko-KR"/>
        </w:rPr>
        <w:t>préciser le cadre juridique régissant la formation du personnel militaire (</w:t>
      </w:r>
      <w:r w:rsidR="009966B6" w:rsidRPr="002715F2">
        <w:rPr>
          <w:rFonts w:eastAsia="Gulim"/>
          <w:lang w:val="fr-FR" w:eastAsia="ko-KR"/>
        </w:rPr>
        <w:t>notamment</w:t>
      </w:r>
      <w:r w:rsidR="0012241B" w:rsidRPr="002715F2">
        <w:rPr>
          <w:rFonts w:eastAsia="Gulim"/>
          <w:lang w:val="fr-FR" w:eastAsia="ko-KR"/>
        </w:rPr>
        <w:t xml:space="preserve"> d</w:t>
      </w:r>
      <w:r w:rsidR="00B3206C" w:rsidRPr="002715F2">
        <w:rPr>
          <w:rFonts w:eastAsia="Gulim"/>
          <w:lang w:val="fr-FR" w:eastAsia="ko-KR"/>
        </w:rPr>
        <w:t xml:space="preserve">es enquêteurs militaires et </w:t>
      </w:r>
      <w:r w:rsidR="00022B1E" w:rsidRPr="002715F2">
        <w:rPr>
          <w:rFonts w:eastAsia="Gulim"/>
          <w:lang w:val="fr-FR" w:eastAsia="ko-KR"/>
        </w:rPr>
        <w:t xml:space="preserve">du personnel des </w:t>
      </w:r>
      <w:r w:rsidR="00022B1E" w:rsidRPr="002715F2">
        <w:rPr>
          <w:rFonts w:eastAsia="Batang"/>
          <w:color w:val="000000"/>
          <w:lang w:val="fr-FR" w:eastAsia="ko-KR"/>
        </w:rPr>
        <w:t xml:space="preserve">établissements </w:t>
      </w:r>
      <w:r w:rsidR="00AD696F" w:rsidRPr="002715F2">
        <w:rPr>
          <w:rFonts w:eastAsia="Batang"/>
          <w:lang w:val="fr-FR"/>
        </w:rPr>
        <w:t xml:space="preserve">pénitentiaires </w:t>
      </w:r>
      <w:r w:rsidR="00AD696F" w:rsidRPr="002715F2">
        <w:rPr>
          <w:rFonts w:eastAsia="Gulim"/>
          <w:lang w:val="fr-FR" w:eastAsia="ko-KR"/>
        </w:rPr>
        <w:t>militaires</w:t>
      </w:r>
      <w:r w:rsidR="0012241B" w:rsidRPr="002715F2">
        <w:rPr>
          <w:rFonts w:eastAsia="Gulim"/>
          <w:lang w:val="fr-FR" w:eastAsia="ko-KR"/>
        </w:rPr>
        <w:t>)</w:t>
      </w:r>
      <w:r w:rsidR="00B3206C" w:rsidRPr="002715F2">
        <w:rPr>
          <w:rFonts w:eastAsia="Gulim"/>
          <w:lang w:val="fr-FR" w:eastAsia="ko-KR"/>
        </w:rPr>
        <w:t xml:space="preserve"> </w:t>
      </w:r>
      <w:r w:rsidR="0012241B" w:rsidRPr="002715F2">
        <w:rPr>
          <w:rFonts w:eastAsia="Gulim"/>
          <w:lang w:val="fr-FR" w:eastAsia="ko-KR"/>
        </w:rPr>
        <w:t>en matière de</w:t>
      </w:r>
      <w:r w:rsidR="00B3206C" w:rsidRPr="002715F2">
        <w:rPr>
          <w:rFonts w:eastAsia="Gulim"/>
          <w:lang w:val="fr-FR" w:eastAsia="ko-KR"/>
        </w:rPr>
        <w:t xml:space="preserve"> protection des droits de l’homme</w:t>
      </w:r>
      <w:r w:rsidR="0012241B" w:rsidRPr="002715F2">
        <w:rPr>
          <w:rFonts w:eastAsia="Gulim"/>
          <w:lang w:val="fr-FR" w:eastAsia="ko-KR"/>
        </w:rPr>
        <w:t>,</w:t>
      </w:r>
      <w:r w:rsidR="00B3206C" w:rsidRPr="002715F2">
        <w:rPr>
          <w:rFonts w:eastAsia="Gulim"/>
          <w:lang w:val="fr-FR" w:eastAsia="ko-KR"/>
        </w:rPr>
        <w:t xml:space="preserve"> </w:t>
      </w:r>
      <w:r w:rsidR="0012241B" w:rsidRPr="002715F2">
        <w:rPr>
          <w:rFonts w:eastAsia="Gulim"/>
          <w:lang w:val="fr-FR" w:eastAsia="ko-KR"/>
        </w:rPr>
        <w:t xml:space="preserve">et de réglementer </w:t>
      </w:r>
      <w:r w:rsidR="00B3206C" w:rsidRPr="002715F2">
        <w:rPr>
          <w:rFonts w:eastAsia="Gulim"/>
          <w:lang w:val="fr-FR" w:eastAsia="ko-KR"/>
        </w:rPr>
        <w:t>le</w:t>
      </w:r>
      <w:r w:rsidR="00431A18" w:rsidRPr="002715F2">
        <w:rPr>
          <w:rFonts w:eastAsia="Gulim"/>
          <w:lang w:val="fr-FR" w:eastAsia="ko-KR"/>
        </w:rPr>
        <w:t xml:space="preserve"> déroulement de</w:t>
      </w:r>
      <w:r w:rsidR="00B3206C" w:rsidRPr="002715F2">
        <w:rPr>
          <w:rFonts w:eastAsia="Gulim"/>
          <w:lang w:val="fr-FR" w:eastAsia="ko-KR"/>
        </w:rPr>
        <w:t xml:space="preserve">s enquêtes </w:t>
      </w:r>
      <w:r w:rsidR="00431A18" w:rsidRPr="002715F2">
        <w:rPr>
          <w:rFonts w:eastAsia="Gulim"/>
          <w:lang w:val="fr-FR" w:eastAsia="ko-KR"/>
        </w:rPr>
        <w:t xml:space="preserve">sur les cas </w:t>
      </w:r>
      <w:r w:rsidR="00B3206C" w:rsidRPr="002715F2">
        <w:rPr>
          <w:rFonts w:eastAsia="Gulim"/>
          <w:lang w:val="fr-FR" w:eastAsia="ko-KR"/>
        </w:rPr>
        <w:t>de violation</w:t>
      </w:r>
      <w:r w:rsidR="0012241B" w:rsidRPr="002715F2">
        <w:rPr>
          <w:rFonts w:eastAsia="Gulim"/>
          <w:lang w:val="fr-FR" w:eastAsia="ko-KR"/>
        </w:rPr>
        <w:t>s</w:t>
      </w:r>
      <w:r w:rsidR="00B3206C" w:rsidRPr="002715F2">
        <w:rPr>
          <w:rFonts w:eastAsia="Gulim"/>
          <w:lang w:val="fr-FR" w:eastAsia="ko-KR"/>
        </w:rPr>
        <w:t xml:space="preserve"> des droits de l’homme au sein de l’armée</w:t>
      </w:r>
      <w:r w:rsidR="00431A18" w:rsidRPr="002715F2">
        <w:rPr>
          <w:rFonts w:eastAsia="Gulim"/>
          <w:lang w:val="fr-FR" w:eastAsia="ko-KR"/>
        </w:rPr>
        <w:t xml:space="preserve"> et la gestion de ces cas</w:t>
      </w:r>
      <w:r w:rsidR="00022B1E" w:rsidRPr="002715F2">
        <w:rPr>
          <w:rFonts w:eastAsia="Gulim"/>
          <w:lang w:val="fr-FR" w:eastAsia="ko-KR"/>
        </w:rPr>
        <w:t xml:space="preserve">. Cette directive garantit en outre </w:t>
      </w:r>
      <w:r w:rsidR="00B3206C" w:rsidRPr="002715F2">
        <w:rPr>
          <w:rFonts w:eastAsia="Gulim"/>
          <w:lang w:val="fr-FR" w:eastAsia="ko-KR"/>
        </w:rPr>
        <w:t xml:space="preserve">des voies de recours aux détenus militaires </w:t>
      </w:r>
      <w:r w:rsidR="00D0207E" w:rsidRPr="002715F2">
        <w:rPr>
          <w:rFonts w:eastAsia="Gulim"/>
          <w:lang w:val="fr-FR" w:eastAsia="ko-KR"/>
        </w:rPr>
        <w:t>dont les droits fondamentaux ont été enfreints</w:t>
      </w:r>
      <w:r w:rsidR="00022B1E" w:rsidRPr="002715F2">
        <w:rPr>
          <w:rFonts w:eastAsia="Gulim"/>
          <w:lang w:val="fr-FR" w:eastAsia="ko-KR"/>
        </w:rPr>
        <w:t xml:space="preserve"> </w:t>
      </w:r>
      <w:r w:rsidR="000078DA" w:rsidRPr="002715F2">
        <w:rPr>
          <w:rFonts w:eastAsia="Gulim"/>
          <w:spacing w:val="-6"/>
          <w:lang w:val="fr-FR" w:eastAsia="ko-KR"/>
        </w:rPr>
        <w:t>(</w:t>
      </w:r>
      <w:r w:rsidR="00BD1A84" w:rsidRPr="002715F2">
        <w:rPr>
          <w:rFonts w:eastAsia="Gulim"/>
          <w:spacing w:val="-6"/>
          <w:lang w:val="fr-FR" w:eastAsia="ko-KR"/>
        </w:rPr>
        <w:t>art. </w:t>
      </w:r>
      <w:r w:rsidR="000078DA" w:rsidRPr="002715F2">
        <w:rPr>
          <w:rFonts w:eastAsia="Gulim"/>
          <w:spacing w:val="-6"/>
          <w:lang w:val="fr-FR" w:eastAsia="ko-KR"/>
        </w:rPr>
        <w:t xml:space="preserve">44). </w:t>
      </w:r>
      <w:r w:rsidR="00431A18" w:rsidRPr="002715F2">
        <w:rPr>
          <w:rFonts w:eastAsia="Gulim"/>
          <w:lang w:val="fr-FR" w:eastAsia="ko-KR"/>
        </w:rPr>
        <w:t xml:space="preserve">La loi fondamentale sur le statut et les services du personnel militaire, qui </w:t>
      </w:r>
      <w:r w:rsidR="00022B1E" w:rsidRPr="002715F2">
        <w:rPr>
          <w:rFonts w:eastAsia="Gulim"/>
          <w:lang w:val="fr-FR" w:eastAsia="ko-KR"/>
        </w:rPr>
        <w:t>régit</w:t>
      </w:r>
      <w:r w:rsidR="00431A18" w:rsidRPr="002715F2">
        <w:rPr>
          <w:rFonts w:eastAsia="Gulim"/>
          <w:lang w:val="fr-FR" w:eastAsia="ko-KR"/>
        </w:rPr>
        <w:t xml:space="preserve"> les devoirs et les droits </w:t>
      </w:r>
      <w:r w:rsidR="00022B1E" w:rsidRPr="002715F2">
        <w:rPr>
          <w:rFonts w:eastAsia="Gulim"/>
          <w:lang w:val="fr-FR" w:eastAsia="ko-KR"/>
        </w:rPr>
        <w:t>de ce personnel</w:t>
      </w:r>
      <w:r w:rsidR="00431A18" w:rsidRPr="002715F2">
        <w:rPr>
          <w:rFonts w:eastAsia="Gulim"/>
          <w:lang w:val="fr-FR" w:eastAsia="ko-KR"/>
        </w:rPr>
        <w:t xml:space="preserve">, la vie de caserne et les voies de recours pour </w:t>
      </w:r>
      <w:r w:rsidR="006E566E" w:rsidRPr="002715F2">
        <w:rPr>
          <w:rFonts w:eastAsia="Gulim"/>
          <w:lang w:val="fr-FR" w:eastAsia="ko-KR"/>
        </w:rPr>
        <w:t xml:space="preserve">faire valoir </w:t>
      </w:r>
      <w:r w:rsidR="00431A18" w:rsidRPr="002715F2">
        <w:rPr>
          <w:rFonts w:eastAsia="Gulim"/>
          <w:lang w:val="fr-FR" w:eastAsia="ko-KR"/>
        </w:rPr>
        <w:t xml:space="preserve">leurs droits, a été promulguée le 29 décembre 2015 </w:t>
      </w:r>
      <w:r w:rsidR="00022B1E" w:rsidRPr="002715F2">
        <w:rPr>
          <w:rFonts w:eastAsia="Gulim"/>
          <w:lang w:val="fr-FR" w:eastAsia="ko-KR"/>
        </w:rPr>
        <w:t>afin de</w:t>
      </w:r>
      <w:r w:rsidR="00431A18" w:rsidRPr="002715F2">
        <w:rPr>
          <w:rFonts w:eastAsia="Gulim"/>
          <w:lang w:val="fr-FR" w:eastAsia="ko-KR"/>
        </w:rPr>
        <w:t xml:space="preserve"> renforcer la protection des droits de l’homme au sein des forces armées</w:t>
      </w:r>
      <w:r w:rsidR="000078DA" w:rsidRPr="002715F2">
        <w:rPr>
          <w:rFonts w:eastAsia="Gulim"/>
          <w:spacing w:val="-6"/>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14.</w:t>
      </w:r>
      <w:r w:rsidRPr="002715F2">
        <w:rPr>
          <w:rFonts w:eastAsia="Batang"/>
          <w:lang w:val="fr-FR" w:eastAsia="ko-KR"/>
        </w:rPr>
        <w:tab/>
      </w:r>
      <w:r w:rsidR="00431A18" w:rsidRPr="002715F2">
        <w:rPr>
          <w:rFonts w:eastAsia="Batang"/>
          <w:lang w:val="fr-FR" w:eastAsia="ko-KR"/>
        </w:rPr>
        <w:t>L</w:t>
      </w:r>
      <w:r w:rsidR="0023355D" w:rsidRPr="002715F2">
        <w:rPr>
          <w:rFonts w:eastAsia="Batang"/>
          <w:lang w:val="fr-FR" w:eastAsia="ko-KR"/>
        </w:rPr>
        <w:t>e département</w:t>
      </w:r>
      <w:r w:rsidR="00431A18" w:rsidRPr="002715F2">
        <w:rPr>
          <w:rFonts w:eastAsia="Batang"/>
          <w:lang w:val="fr-FR" w:eastAsia="ko-KR"/>
        </w:rPr>
        <w:t xml:space="preserve"> de</w:t>
      </w:r>
      <w:r w:rsidR="00127DA6" w:rsidRPr="002715F2">
        <w:rPr>
          <w:rFonts w:eastAsia="Batang"/>
          <w:lang w:val="fr-FR" w:eastAsia="ko-KR"/>
        </w:rPr>
        <w:t xml:space="preserve"> protection de</w:t>
      </w:r>
      <w:r w:rsidR="00431A18" w:rsidRPr="002715F2">
        <w:rPr>
          <w:rFonts w:eastAsia="Batang"/>
          <w:lang w:val="fr-FR" w:eastAsia="ko-KR"/>
        </w:rPr>
        <w:t>s droits de l’homme de la P</w:t>
      </w:r>
      <w:r w:rsidR="0012241B" w:rsidRPr="002715F2">
        <w:rPr>
          <w:rFonts w:eastAsia="Batang"/>
          <w:lang w:val="fr-FR" w:eastAsia="ko-KR"/>
        </w:rPr>
        <w:t>olice nationale, qui relevait du Bureau des enquêtes, a été transféré</w:t>
      </w:r>
      <w:r w:rsidR="00431A18" w:rsidRPr="002715F2">
        <w:rPr>
          <w:rFonts w:eastAsia="Batang"/>
          <w:lang w:val="fr-FR" w:eastAsia="ko-KR"/>
        </w:rPr>
        <w:t xml:space="preserve"> au Bureau de </w:t>
      </w:r>
      <w:r w:rsidR="008D0A20" w:rsidRPr="002715F2">
        <w:rPr>
          <w:rFonts w:eastAsia="Batang"/>
          <w:lang w:val="fr-FR" w:eastAsia="ko-KR"/>
        </w:rPr>
        <w:t>l’inspection</w:t>
      </w:r>
      <w:r w:rsidR="00431A18" w:rsidRPr="002715F2">
        <w:rPr>
          <w:rFonts w:eastAsia="Batang"/>
          <w:lang w:val="fr-FR" w:eastAsia="ko-KR"/>
        </w:rPr>
        <w:t xml:space="preserve"> le 22 octobre 2010</w:t>
      </w:r>
      <w:r w:rsidR="000078DA" w:rsidRPr="002715F2">
        <w:rPr>
          <w:rFonts w:eastAsia="Batang"/>
          <w:lang w:val="fr-FR" w:eastAsia="ko-KR"/>
        </w:rPr>
        <w:t>,</w:t>
      </w:r>
      <w:r w:rsidR="00182F1C" w:rsidRPr="002715F2">
        <w:rPr>
          <w:rFonts w:eastAsia="Batang"/>
          <w:lang w:val="fr-FR" w:eastAsia="ko-KR"/>
        </w:rPr>
        <w:t xml:space="preserve"> renforçant ainsi son rôle de véritable tour de contrôle pour la protection des droits de l’homme au sein de la police</w:t>
      </w:r>
      <w:r w:rsidR="000078DA" w:rsidRPr="002715F2">
        <w:rPr>
          <w:rFonts w:eastAsia="Batang"/>
          <w:lang w:val="fr-FR" w:eastAsia="ko-KR"/>
        </w:rPr>
        <w:t xml:space="preserve">. </w:t>
      </w:r>
      <w:r w:rsidR="00182F1C" w:rsidRPr="002715F2">
        <w:rPr>
          <w:rFonts w:eastAsia="Batang"/>
          <w:lang w:val="fr-FR" w:eastAsia="ko-KR"/>
        </w:rPr>
        <w:t>De surcroît,</w:t>
      </w:r>
      <w:r w:rsidR="000078DA" w:rsidRPr="002715F2">
        <w:rPr>
          <w:rFonts w:eastAsia="Batang"/>
          <w:lang w:val="fr-FR" w:eastAsia="ko-KR"/>
        </w:rPr>
        <w:t xml:space="preserve"> </w:t>
      </w:r>
      <w:r w:rsidR="00182F1C" w:rsidRPr="002715F2">
        <w:rPr>
          <w:rFonts w:eastAsia="Batang"/>
          <w:lang w:val="fr-FR" w:eastAsia="ko-KR"/>
        </w:rPr>
        <w:t>conformément au</w:t>
      </w:r>
      <w:r w:rsidR="000078DA" w:rsidRPr="002715F2">
        <w:rPr>
          <w:rFonts w:eastAsia="Batang"/>
          <w:lang w:val="fr-FR" w:eastAsia="ko-KR"/>
        </w:rPr>
        <w:t xml:space="preserve"> </w:t>
      </w:r>
      <w:r w:rsidR="00384F60" w:rsidRPr="002715F2">
        <w:rPr>
          <w:lang w:val="fr-FR"/>
        </w:rPr>
        <w:t xml:space="preserve">règlement intérieur de la police en matière de protection des droits de l’homme </w:t>
      </w:r>
      <w:r w:rsidR="000078DA" w:rsidRPr="002715F2">
        <w:rPr>
          <w:rFonts w:eastAsia="Batang"/>
          <w:lang w:val="fr-FR" w:eastAsia="ko-KR"/>
        </w:rPr>
        <w:t>(</w:t>
      </w:r>
      <w:r w:rsidR="00182F1C" w:rsidRPr="002715F2">
        <w:rPr>
          <w:rFonts w:eastAsia="Batang"/>
          <w:lang w:val="fr-FR" w:eastAsia="ko-KR"/>
        </w:rPr>
        <w:t>d</w:t>
      </w:r>
      <w:r w:rsidR="000078DA" w:rsidRPr="002715F2">
        <w:rPr>
          <w:rFonts w:eastAsia="Batang"/>
          <w:lang w:val="fr-FR" w:eastAsia="ko-KR"/>
        </w:rPr>
        <w:t xml:space="preserve">irective </w:t>
      </w:r>
      <w:r w:rsidR="00182F1C" w:rsidRPr="002715F2">
        <w:rPr>
          <w:rFonts w:eastAsia="Batang"/>
          <w:lang w:val="fr-FR" w:eastAsia="ko-KR"/>
        </w:rPr>
        <w:t xml:space="preserve">de </w:t>
      </w:r>
      <w:r w:rsidR="0067220D" w:rsidRPr="002715F2">
        <w:rPr>
          <w:rFonts w:eastAsia="Batang"/>
          <w:lang w:val="fr-FR" w:eastAsia="ko-KR"/>
        </w:rPr>
        <w:t>la P</w:t>
      </w:r>
      <w:r w:rsidR="002F08A5" w:rsidRPr="002715F2">
        <w:rPr>
          <w:rFonts w:eastAsia="Batang"/>
          <w:lang w:val="fr-FR" w:eastAsia="ko-KR"/>
        </w:rPr>
        <w:t>olice nationale</w:t>
      </w:r>
      <w:r w:rsidR="000078DA" w:rsidRPr="002715F2">
        <w:rPr>
          <w:rFonts w:eastAsia="Batang"/>
          <w:lang w:val="fr-FR" w:eastAsia="ko-KR"/>
        </w:rPr>
        <w:t xml:space="preserve">), </w:t>
      </w:r>
      <w:r w:rsidR="00B74185" w:rsidRPr="002715F2">
        <w:rPr>
          <w:rFonts w:eastAsia="Batang"/>
          <w:lang w:val="fr-FR" w:eastAsia="ko-KR"/>
        </w:rPr>
        <w:t xml:space="preserve">le Commissaire général de la </w:t>
      </w:r>
      <w:r w:rsidR="00F84D51" w:rsidRPr="002715F2">
        <w:rPr>
          <w:rFonts w:eastAsia="Batang"/>
          <w:lang w:val="fr-FR" w:eastAsia="ko-KR"/>
        </w:rPr>
        <w:t>P</w:t>
      </w:r>
      <w:r w:rsidR="00B74185" w:rsidRPr="002715F2">
        <w:rPr>
          <w:rFonts w:eastAsia="Batang"/>
          <w:lang w:val="fr-FR" w:eastAsia="ko-KR"/>
        </w:rPr>
        <w:t xml:space="preserve">olice nationale et les chefs des agences subordonnées doivent </w:t>
      </w:r>
      <w:r w:rsidR="00BB2898" w:rsidRPr="002715F2">
        <w:rPr>
          <w:rFonts w:eastAsia="Batang"/>
          <w:lang w:val="fr-FR" w:eastAsia="ko-KR"/>
        </w:rPr>
        <w:t>exiger des</w:t>
      </w:r>
      <w:r w:rsidR="00384F60" w:rsidRPr="002715F2">
        <w:rPr>
          <w:rFonts w:eastAsia="Batang"/>
          <w:lang w:val="fr-FR" w:eastAsia="ko-KR"/>
        </w:rPr>
        <w:t xml:space="preserve"> </w:t>
      </w:r>
      <w:r w:rsidR="00BB2898" w:rsidRPr="002715F2">
        <w:rPr>
          <w:rFonts w:eastAsia="Batang"/>
          <w:lang w:val="fr-FR" w:eastAsia="ko-KR"/>
        </w:rPr>
        <w:t xml:space="preserve">mesures ou des </w:t>
      </w:r>
      <w:r w:rsidR="00384F60" w:rsidRPr="002715F2">
        <w:rPr>
          <w:rFonts w:eastAsia="Batang"/>
          <w:lang w:val="fr-FR" w:eastAsia="ko-KR"/>
        </w:rPr>
        <w:t xml:space="preserve">sanctions </w:t>
      </w:r>
      <w:r w:rsidR="00B74185" w:rsidRPr="002715F2">
        <w:rPr>
          <w:rFonts w:eastAsia="Batang"/>
          <w:lang w:val="fr-FR" w:eastAsia="ko-KR"/>
        </w:rPr>
        <w:t xml:space="preserve">disciplinaires </w:t>
      </w:r>
      <w:r w:rsidR="00BB2898" w:rsidRPr="002715F2">
        <w:rPr>
          <w:rFonts w:eastAsia="Batang"/>
          <w:lang w:val="fr-FR" w:eastAsia="ko-KR"/>
        </w:rPr>
        <w:t xml:space="preserve">s’ils concluent que l’éducation </w:t>
      </w:r>
      <w:r w:rsidR="00B74185" w:rsidRPr="002715F2">
        <w:rPr>
          <w:rFonts w:eastAsia="Batang"/>
          <w:lang w:val="fr-FR" w:eastAsia="ko-KR"/>
        </w:rPr>
        <w:t xml:space="preserve">aux droits de l’homme </w:t>
      </w:r>
      <w:r w:rsidR="00CF1A7E" w:rsidRPr="002715F2">
        <w:rPr>
          <w:rFonts w:eastAsia="Batang"/>
          <w:lang w:val="fr-FR" w:eastAsia="ko-KR"/>
        </w:rPr>
        <w:t>ne peut pas</w:t>
      </w:r>
      <w:r w:rsidR="00B74185" w:rsidRPr="002715F2">
        <w:rPr>
          <w:rFonts w:eastAsia="Batang"/>
          <w:lang w:val="fr-FR" w:eastAsia="ko-KR"/>
        </w:rPr>
        <w:t xml:space="preserve"> empêcher</w:t>
      </w:r>
      <w:r w:rsidR="00BB2898" w:rsidRPr="002715F2">
        <w:rPr>
          <w:rFonts w:eastAsia="Batang"/>
          <w:lang w:val="fr-FR" w:eastAsia="ko-KR"/>
        </w:rPr>
        <w:t xml:space="preserve"> à elle seule</w:t>
      </w:r>
      <w:r w:rsidR="00B74185" w:rsidRPr="002715F2">
        <w:rPr>
          <w:rFonts w:eastAsia="Batang"/>
          <w:lang w:val="fr-FR" w:eastAsia="ko-KR"/>
        </w:rPr>
        <w:t xml:space="preserve"> de nouvelles violations de </w:t>
      </w:r>
      <w:r w:rsidR="00124DD2" w:rsidRPr="002715F2">
        <w:rPr>
          <w:rFonts w:eastAsia="Batang"/>
          <w:lang w:val="fr-FR" w:eastAsia="ko-KR"/>
        </w:rPr>
        <w:t xml:space="preserve">ces droits </w:t>
      </w:r>
      <w:r w:rsidR="00B74185" w:rsidRPr="002715F2">
        <w:rPr>
          <w:rFonts w:eastAsia="Batang"/>
          <w:lang w:val="fr-FR" w:eastAsia="ko-KR"/>
        </w:rPr>
        <w:t>en raison notamment de la gravité de</w:t>
      </w:r>
      <w:r w:rsidR="00384F60" w:rsidRPr="002715F2">
        <w:rPr>
          <w:rFonts w:eastAsia="Batang"/>
          <w:lang w:val="fr-FR" w:eastAsia="ko-KR"/>
        </w:rPr>
        <w:t>s</w:t>
      </w:r>
      <w:r w:rsidR="00B74185" w:rsidRPr="002715F2">
        <w:rPr>
          <w:rFonts w:eastAsia="Batang"/>
          <w:lang w:val="fr-FR" w:eastAsia="ko-KR"/>
        </w:rPr>
        <w:t xml:space="preserve"> violations </w:t>
      </w:r>
      <w:r w:rsidR="00384F60" w:rsidRPr="002715F2">
        <w:rPr>
          <w:rFonts w:eastAsia="Batang"/>
          <w:lang w:val="fr-FR" w:eastAsia="ko-KR"/>
        </w:rPr>
        <w:t xml:space="preserve">concernées </w:t>
      </w:r>
      <w:r w:rsidR="00B74185" w:rsidRPr="002715F2">
        <w:rPr>
          <w:rFonts w:eastAsia="Batang"/>
          <w:lang w:val="fr-FR" w:eastAsia="ko-KR"/>
        </w:rPr>
        <w:t xml:space="preserve">ou de leur caractère répétitif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118</w:t>
      </w:r>
      <w:r w:rsidR="00B74185"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2).</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431A18" w:rsidRPr="002715F2">
        <w:rPr>
          <w:rFonts w:eastAsia="Batang"/>
          <w:lang w:val="fr-FR" w:eastAsia="ko-KR"/>
        </w:rPr>
        <w:t xml:space="preserve">Réponse aux questions soulevées au </w:t>
      </w:r>
      <w:r w:rsidR="00B466DC" w:rsidRPr="002715F2">
        <w:rPr>
          <w:rFonts w:eastAsia="Batang"/>
          <w:lang w:val="fr-FR" w:eastAsia="ko-KR"/>
        </w:rPr>
        <w:t xml:space="preserve">paragraphe </w:t>
      </w:r>
      <w:r w:rsidR="00431A18" w:rsidRPr="002715F2">
        <w:rPr>
          <w:rFonts w:eastAsia="Batang"/>
          <w:lang w:val="fr-FR" w:eastAsia="ko-KR"/>
        </w:rPr>
        <w:t>4</w:t>
      </w:r>
    </w:p>
    <w:p w:rsidR="000078DA" w:rsidRPr="002715F2" w:rsidRDefault="007026FB" w:rsidP="007026FB">
      <w:pPr>
        <w:pStyle w:val="SingleTxtG"/>
        <w:rPr>
          <w:rFonts w:eastAsia="Batang"/>
          <w:color w:val="000000"/>
          <w:lang w:val="fr-FR" w:eastAsia="ko-KR"/>
        </w:rPr>
      </w:pPr>
      <w:r w:rsidRPr="002715F2">
        <w:rPr>
          <w:rFonts w:eastAsia="Batang"/>
          <w:color w:val="000000"/>
          <w:lang w:val="fr-FR" w:eastAsia="ko-KR"/>
        </w:rPr>
        <w:t>15.</w:t>
      </w:r>
      <w:r w:rsidRPr="002715F2">
        <w:rPr>
          <w:rFonts w:eastAsia="Batang"/>
          <w:color w:val="000000"/>
          <w:lang w:val="fr-FR" w:eastAsia="ko-KR"/>
        </w:rPr>
        <w:tab/>
      </w:r>
      <w:r w:rsidR="0022283E" w:rsidRPr="002715F2">
        <w:rPr>
          <w:rFonts w:eastAsia="Batang"/>
          <w:lang w:val="fr-FR"/>
        </w:rPr>
        <w:t xml:space="preserve">La </w:t>
      </w:r>
      <w:r w:rsidR="00124DD2" w:rsidRPr="002715F2">
        <w:rPr>
          <w:rFonts w:eastAsia="Gulim" w:cs="Gulim"/>
          <w:lang w:val="fr-FR" w:eastAsia="ko-KR"/>
        </w:rPr>
        <w:t xml:space="preserve">permanence téléphonique </w:t>
      </w:r>
      <w:r w:rsidR="00BD113C" w:rsidRPr="002715F2">
        <w:rPr>
          <w:rFonts w:eastAsia="Gulim" w:cs="Gulim"/>
          <w:lang w:val="fr-FR" w:eastAsia="ko-KR"/>
        </w:rPr>
        <w:t>couvre le fonctionnement interne</w:t>
      </w:r>
      <w:r w:rsidR="00124DD2" w:rsidRPr="002715F2">
        <w:rPr>
          <w:rFonts w:eastAsia="Gulim" w:cs="Gulim"/>
          <w:lang w:val="fr-FR" w:eastAsia="ko-KR"/>
        </w:rPr>
        <w:t xml:space="preserve"> du Ministère de la justice</w:t>
      </w:r>
      <w:r w:rsidR="000078DA" w:rsidRPr="002715F2">
        <w:rPr>
          <w:rFonts w:eastAsia="Batang"/>
          <w:lang w:val="fr-FR" w:eastAsia="ko-KR"/>
        </w:rPr>
        <w:t xml:space="preserve">. </w:t>
      </w:r>
      <w:r w:rsidR="00BD113C" w:rsidRPr="002715F2">
        <w:rPr>
          <w:rFonts w:eastAsia="Batang"/>
          <w:lang w:val="fr-FR" w:eastAsia="ko-KR"/>
        </w:rPr>
        <w:t>Elle</w:t>
      </w:r>
      <w:r w:rsidR="00124DD2" w:rsidRPr="002715F2">
        <w:rPr>
          <w:rFonts w:eastAsia="Batang"/>
          <w:lang w:val="fr-FR" w:eastAsia="ko-KR"/>
        </w:rPr>
        <w:t xml:space="preserve"> </w:t>
      </w:r>
      <w:r w:rsidR="00BD113C" w:rsidRPr="002715F2">
        <w:rPr>
          <w:rFonts w:eastAsia="Batang"/>
          <w:lang w:val="fr-FR" w:eastAsia="ko-KR"/>
        </w:rPr>
        <w:t>est chargée de</w:t>
      </w:r>
      <w:r w:rsidR="006627A4" w:rsidRPr="002715F2">
        <w:rPr>
          <w:rFonts w:eastAsia="Batang"/>
          <w:lang w:val="fr-FR" w:eastAsia="ko-KR"/>
        </w:rPr>
        <w:t xml:space="preserve"> traiter</w:t>
      </w:r>
      <w:r w:rsidR="00124DD2" w:rsidRPr="002715F2">
        <w:rPr>
          <w:rFonts w:eastAsia="Batang"/>
          <w:lang w:val="fr-FR" w:eastAsia="ko-KR"/>
        </w:rPr>
        <w:t xml:space="preserve"> les violations des droits de l’homme </w:t>
      </w:r>
      <w:r w:rsidR="00BD113C" w:rsidRPr="002715F2">
        <w:rPr>
          <w:rFonts w:eastAsia="Batang"/>
          <w:lang w:val="fr-FR" w:eastAsia="ko-KR"/>
        </w:rPr>
        <w:t xml:space="preserve">susceptibles d’être </w:t>
      </w:r>
      <w:r w:rsidR="00CF1A7E" w:rsidRPr="002715F2">
        <w:rPr>
          <w:rFonts w:eastAsia="Batang"/>
          <w:lang w:val="fr-FR" w:eastAsia="ko-KR"/>
        </w:rPr>
        <w:t>commises</w:t>
      </w:r>
      <w:r w:rsidR="00124DD2" w:rsidRPr="002715F2">
        <w:rPr>
          <w:rFonts w:eastAsia="Batang"/>
          <w:lang w:val="fr-FR" w:eastAsia="ko-KR"/>
        </w:rPr>
        <w:t xml:space="preserve"> </w:t>
      </w:r>
      <w:r w:rsidR="00CF1A7E" w:rsidRPr="002715F2">
        <w:rPr>
          <w:rFonts w:eastAsia="Batang"/>
          <w:lang w:val="fr-FR" w:eastAsia="ko-KR"/>
        </w:rPr>
        <w:t>par l</w:t>
      </w:r>
      <w:r w:rsidR="00124DD2" w:rsidRPr="002715F2">
        <w:rPr>
          <w:rFonts w:eastAsia="Batang"/>
          <w:lang w:val="fr-FR" w:eastAsia="ko-KR"/>
        </w:rPr>
        <w:t xml:space="preserve">es fonctionnaires du Ministère de la justice, </w:t>
      </w:r>
      <w:r w:rsidR="00BD113C" w:rsidRPr="002715F2">
        <w:rPr>
          <w:rFonts w:eastAsia="Batang"/>
          <w:lang w:val="fr-FR" w:eastAsia="ko-KR"/>
        </w:rPr>
        <w:t>l</w:t>
      </w:r>
      <w:r w:rsidR="00CF1A7E" w:rsidRPr="002715F2">
        <w:rPr>
          <w:rFonts w:eastAsia="Batang"/>
          <w:lang w:val="fr-FR" w:eastAsia="ko-KR"/>
        </w:rPr>
        <w:t>es</w:t>
      </w:r>
      <w:r w:rsidR="00124DD2" w:rsidRPr="002715F2">
        <w:rPr>
          <w:rFonts w:eastAsia="Batang"/>
          <w:lang w:val="fr-FR" w:eastAsia="ko-KR"/>
        </w:rPr>
        <w:t xml:space="preserve"> </w:t>
      </w:r>
      <w:r w:rsidR="00CF1A7E" w:rsidRPr="002715F2">
        <w:rPr>
          <w:rFonts w:eastAsia="Batang"/>
          <w:lang w:val="fr-FR" w:eastAsia="ko-KR"/>
        </w:rPr>
        <w:t xml:space="preserve">administrations </w:t>
      </w:r>
      <w:r w:rsidR="00BD113C" w:rsidRPr="002715F2">
        <w:rPr>
          <w:rFonts w:eastAsia="Batang"/>
          <w:lang w:val="fr-FR" w:eastAsia="ko-KR"/>
        </w:rPr>
        <w:t xml:space="preserve">de ce ministère </w:t>
      </w:r>
      <w:r w:rsidR="00124DD2" w:rsidRPr="002715F2">
        <w:rPr>
          <w:rFonts w:eastAsia="Batang"/>
          <w:lang w:val="fr-FR" w:eastAsia="ko-KR"/>
        </w:rPr>
        <w:t xml:space="preserve">et </w:t>
      </w:r>
      <w:r w:rsidR="00BD113C" w:rsidRPr="002715F2">
        <w:rPr>
          <w:rFonts w:eastAsia="Batang"/>
          <w:lang w:val="fr-FR" w:eastAsia="ko-KR"/>
        </w:rPr>
        <w:t>l</w:t>
      </w:r>
      <w:r w:rsidR="00124DD2" w:rsidRPr="002715F2">
        <w:rPr>
          <w:rFonts w:eastAsia="Batang"/>
          <w:lang w:val="fr-FR" w:eastAsia="ko-KR"/>
        </w:rPr>
        <w:t xml:space="preserve">es </w:t>
      </w:r>
      <w:r w:rsidR="00CF1A7E" w:rsidRPr="002715F2">
        <w:rPr>
          <w:rFonts w:eastAsia="Batang"/>
          <w:lang w:val="fr-FR" w:eastAsia="ko-KR"/>
        </w:rPr>
        <w:t>parquets dans l’exercice de leurs fonctions</w:t>
      </w:r>
      <w:r w:rsidR="000078DA" w:rsidRPr="002715F2">
        <w:rPr>
          <w:rFonts w:eastAsia="Batang"/>
          <w:lang w:val="fr-FR" w:eastAsia="ko-KR"/>
        </w:rPr>
        <w:t xml:space="preserve">. </w:t>
      </w:r>
      <w:r w:rsidR="00BD113C" w:rsidRPr="002715F2">
        <w:rPr>
          <w:rFonts w:eastAsia="Batang"/>
          <w:lang w:val="fr-FR" w:eastAsia="ko-KR"/>
        </w:rPr>
        <w:t>En parallèle</w:t>
      </w:r>
      <w:r w:rsidR="000078DA" w:rsidRPr="002715F2">
        <w:rPr>
          <w:rFonts w:eastAsia="Batang"/>
          <w:lang w:val="fr-FR" w:eastAsia="ko-KR"/>
        </w:rPr>
        <w:t xml:space="preserve">, </w:t>
      </w:r>
      <w:r w:rsidR="00124DD2" w:rsidRPr="002715F2">
        <w:rPr>
          <w:rFonts w:eastAsia="Batang"/>
          <w:lang w:val="fr-FR" w:eastAsia="ko-KR"/>
        </w:rPr>
        <w:t>chaque bureau et service du Ministère de la justice a comp</w:t>
      </w:r>
      <w:r w:rsidR="003C05CA" w:rsidRPr="002715F2">
        <w:rPr>
          <w:rFonts w:eastAsia="Batang"/>
          <w:lang w:val="fr-FR" w:eastAsia="ko-KR"/>
        </w:rPr>
        <w:t>é</w:t>
      </w:r>
      <w:r w:rsidR="00124DD2" w:rsidRPr="002715F2">
        <w:rPr>
          <w:rFonts w:eastAsia="Batang"/>
          <w:lang w:val="fr-FR" w:eastAsia="ko-KR"/>
        </w:rPr>
        <w:t xml:space="preserve">tence pour enquêter </w:t>
      </w:r>
      <w:r w:rsidR="00C92985" w:rsidRPr="002715F2">
        <w:rPr>
          <w:rFonts w:eastAsia="Batang"/>
          <w:lang w:val="fr-FR" w:eastAsia="ko-KR"/>
        </w:rPr>
        <w:t>sur les</w:t>
      </w:r>
      <w:r w:rsidR="00124DD2" w:rsidRPr="002715F2">
        <w:rPr>
          <w:rFonts w:eastAsia="Batang"/>
          <w:lang w:val="fr-FR" w:eastAsia="ko-KR"/>
        </w:rPr>
        <w:t xml:space="preserve"> violations commises par ses fonctionnaires</w:t>
      </w:r>
      <w:r w:rsidR="00C92985" w:rsidRPr="002715F2">
        <w:rPr>
          <w:rFonts w:eastAsia="Batang"/>
          <w:lang w:val="fr-FR" w:eastAsia="ko-KR"/>
        </w:rPr>
        <w:t xml:space="preserve"> et </w:t>
      </w:r>
      <w:r w:rsidR="00BD113C" w:rsidRPr="002715F2">
        <w:rPr>
          <w:rFonts w:eastAsia="Batang"/>
          <w:lang w:val="fr-FR" w:eastAsia="ko-KR"/>
        </w:rPr>
        <w:t xml:space="preserve">pour </w:t>
      </w:r>
      <w:r w:rsidR="00C92985" w:rsidRPr="002715F2">
        <w:rPr>
          <w:rFonts w:eastAsia="Batang"/>
          <w:lang w:val="fr-FR" w:eastAsia="ko-KR"/>
        </w:rPr>
        <w:t>prendre des mesures correctives</w:t>
      </w:r>
      <w:r w:rsidR="000078DA" w:rsidRPr="002715F2">
        <w:rPr>
          <w:rFonts w:eastAsia="Batang"/>
          <w:lang w:val="fr-FR" w:eastAsia="ko-KR"/>
        </w:rPr>
        <w:t xml:space="preserve">. </w:t>
      </w:r>
      <w:r w:rsidR="0022283E" w:rsidRPr="002715F2">
        <w:rPr>
          <w:rFonts w:eastAsia="Batang"/>
          <w:color w:val="000000"/>
          <w:lang w:val="fr-FR" w:eastAsia="ko-KR"/>
        </w:rPr>
        <w:t xml:space="preserve">La </w:t>
      </w:r>
      <w:r w:rsidR="0071458C" w:rsidRPr="002715F2">
        <w:rPr>
          <w:rFonts w:eastAsia="Gulim" w:cs="Gulim"/>
          <w:lang w:val="fr-FR" w:eastAsia="ko-KR"/>
        </w:rPr>
        <w:t>p</w:t>
      </w:r>
      <w:r w:rsidR="003C05CA" w:rsidRPr="002715F2">
        <w:rPr>
          <w:rFonts w:eastAsia="Gulim" w:cs="Gulim"/>
          <w:lang w:val="fr-FR" w:eastAsia="ko-KR"/>
        </w:rPr>
        <w:t xml:space="preserve">ermanence </w:t>
      </w:r>
      <w:r w:rsidR="0071458C" w:rsidRPr="002715F2">
        <w:rPr>
          <w:rFonts w:eastAsia="Batang"/>
          <w:color w:val="000000"/>
          <w:lang w:val="fr-FR" w:eastAsia="ko-KR"/>
        </w:rPr>
        <w:t xml:space="preserve">peut contrôler </w:t>
      </w:r>
      <w:r w:rsidR="003C05CA" w:rsidRPr="002715F2">
        <w:rPr>
          <w:rFonts w:eastAsia="Batang"/>
          <w:color w:val="000000"/>
          <w:lang w:val="fr-FR" w:eastAsia="ko-KR"/>
        </w:rPr>
        <w:t>toutes les tâches effectuées par chaque bureau et service du M</w:t>
      </w:r>
      <w:r w:rsidR="0005349C" w:rsidRPr="002715F2">
        <w:rPr>
          <w:rFonts w:eastAsia="Batang"/>
          <w:color w:val="000000"/>
          <w:lang w:val="fr-FR" w:eastAsia="ko-KR"/>
        </w:rPr>
        <w:t>inistère de la justice</w:t>
      </w:r>
      <w:r w:rsidR="000078DA" w:rsidRPr="002715F2">
        <w:rPr>
          <w:rFonts w:eastAsia="Batang"/>
          <w:color w:val="000000"/>
          <w:lang w:val="fr-FR" w:eastAsia="ko-KR"/>
        </w:rPr>
        <w:t xml:space="preserve">, </w:t>
      </w:r>
      <w:r w:rsidR="0071458C" w:rsidRPr="002715F2">
        <w:rPr>
          <w:rFonts w:eastAsia="Batang"/>
          <w:color w:val="000000"/>
          <w:lang w:val="fr-FR" w:eastAsia="ko-KR"/>
        </w:rPr>
        <w:t>quelle</w:t>
      </w:r>
      <w:r w:rsidR="00355F17" w:rsidRPr="002715F2">
        <w:rPr>
          <w:rFonts w:eastAsia="Batang"/>
          <w:color w:val="000000"/>
          <w:lang w:val="fr-FR" w:eastAsia="ko-KR"/>
        </w:rPr>
        <w:t>s</w:t>
      </w:r>
      <w:r w:rsidR="0071458C" w:rsidRPr="002715F2">
        <w:rPr>
          <w:rFonts w:eastAsia="Batang"/>
          <w:color w:val="000000"/>
          <w:lang w:val="fr-FR" w:eastAsia="ko-KR"/>
        </w:rPr>
        <w:t xml:space="preserve"> que soi</w:t>
      </w:r>
      <w:r w:rsidR="00355F17" w:rsidRPr="002715F2">
        <w:rPr>
          <w:rFonts w:eastAsia="Batang"/>
          <w:color w:val="000000"/>
          <w:lang w:val="fr-FR" w:eastAsia="ko-KR"/>
        </w:rPr>
        <w:t>en</w:t>
      </w:r>
      <w:r w:rsidR="0071458C" w:rsidRPr="002715F2">
        <w:rPr>
          <w:rFonts w:eastAsia="Batang"/>
          <w:color w:val="000000"/>
          <w:lang w:val="fr-FR" w:eastAsia="ko-KR"/>
        </w:rPr>
        <w:t>t</w:t>
      </w:r>
      <w:r w:rsidR="00D726FA" w:rsidRPr="002715F2">
        <w:rPr>
          <w:rFonts w:eastAsia="Batang"/>
          <w:color w:val="000000"/>
          <w:lang w:val="fr-FR" w:eastAsia="ko-KR"/>
        </w:rPr>
        <w:t xml:space="preserve"> l</w:t>
      </w:r>
      <w:r w:rsidR="0071458C" w:rsidRPr="002715F2">
        <w:rPr>
          <w:rFonts w:eastAsia="Batang"/>
          <w:color w:val="000000"/>
          <w:lang w:val="fr-FR" w:eastAsia="ko-KR"/>
        </w:rPr>
        <w:t>es</w:t>
      </w:r>
      <w:r w:rsidR="00D726FA" w:rsidRPr="002715F2">
        <w:rPr>
          <w:rFonts w:eastAsia="Batang"/>
          <w:color w:val="000000"/>
          <w:lang w:val="fr-FR" w:eastAsia="ko-KR"/>
        </w:rPr>
        <w:t xml:space="preserve"> </w:t>
      </w:r>
      <w:r w:rsidR="005C6D8E" w:rsidRPr="002715F2">
        <w:rPr>
          <w:rFonts w:eastAsia="Batang"/>
          <w:color w:val="000000"/>
          <w:lang w:val="fr-FR" w:eastAsia="ko-KR"/>
        </w:rPr>
        <w:t>compétence</w:t>
      </w:r>
      <w:r w:rsidR="0071458C" w:rsidRPr="002715F2">
        <w:rPr>
          <w:rFonts w:eastAsia="Batang"/>
          <w:color w:val="000000"/>
          <w:lang w:val="fr-FR" w:eastAsia="ko-KR"/>
        </w:rPr>
        <w:t>s</w:t>
      </w:r>
      <w:r w:rsidR="00D726FA" w:rsidRPr="002715F2">
        <w:rPr>
          <w:rFonts w:eastAsia="Batang"/>
          <w:color w:val="000000"/>
          <w:lang w:val="fr-FR" w:eastAsia="ko-KR"/>
        </w:rPr>
        <w:t xml:space="preserve"> de</w:t>
      </w:r>
      <w:r w:rsidR="0071458C" w:rsidRPr="002715F2">
        <w:rPr>
          <w:rFonts w:eastAsia="Batang"/>
          <w:color w:val="000000"/>
          <w:lang w:val="fr-FR" w:eastAsia="ko-KR"/>
        </w:rPr>
        <w:t xml:space="preserve"> ces </w:t>
      </w:r>
      <w:r w:rsidR="00D726FA" w:rsidRPr="002715F2">
        <w:rPr>
          <w:rFonts w:eastAsia="Batang"/>
          <w:color w:val="000000"/>
          <w:lang w:val="fr-FR" w:eastAsia="ko-KR"/>
        </w:rPr>
        <w:t>bureau</w:t>
      </w:r>
      <w:r w:rsidR="0071458C" w:rsidRPr="002715F2">
        <w:rPr>
          <w:rFonts w:eastAsia="Batang"/>
          <w:color w:val="000000"/>
          <w:lang w:val="fr-FR" w:eastAsia="ko-KR"/>
        </w:rPr>
        <w:t>x</w:t>
      </w:r>
      <w:r w:rsidR="00D726FA" w:rsidRPr="002715F2">
        <w:rPr>
          <w:rFonts w:eastAsia="Batang"/>
          <w:color w:val="000000"/>
          <w:lang w:val="fr-FR" w:eastAsia="ko-KR"/>
        </w:rPr>
        <w:t xml:space="preserve"> et service</w:t>
      </w:r>
      <w:r w:rsidR="0071458C" w:rsidRPr="002715F2">
        <w:rPr>
          <w:rFonts w:eastAsia="Batang"/>
          <w:color w:val="000000"/>
          <w:lang w:val="fr-FR" w:eastAsia="ko-KR"/>
        </w:rPr>
        <w:t>s</w:t>
      </w:r>
      <w:r w:rsidR="00D726FA" w:rsidRPr="002715F2">
        <w:rPr>
          <w:rFonts w:eastAsia="Batang"/>
          <w:color w:val="000000"/>
          <w:lang w:val="fr-FR" w:eastAsia="ko-KR"/>
        </w:rPr>
        <w:t xml:space="preserve"> </w:t>
      </w:r>
      <w:r w:rsidR="0071458C" w:rsidRPr="002715F2">
        <w:rPr>
          <w:rFonts w:eastAsia="Batang"/>
          <w:color w:val="000000"/>
          <w:lang w:val="fr-FR" w:eastAsia="ko-KR"/>
        </w:rPr>
        <w:t>en matière d’enquête</w:t>
      </w:r>
      <w:r w:rsidR="00D726FA" w:rsidRPr="002715F2">
        <w:rPr>
          <w:rFonts w:eastAsia="Batang"/>
          <w:color w:val="000000"/>
          <w:lang w:val="fr-FR" w:eastAsia="ko-KR"/>
        </w:rPr>
        <w:t xml:space="preserve"> et en toute indépendance de </w:t>
      </w:r>
      <w:r w:rsidR="0071458C" w:rsidRPr="002715F2">
        <w:rPr>
          <w:rFonts w:eastAsia="Batang"/>
          <w:color w:val="000000"/>
          <w:lang w:val="fr-FR" w:eastAsia="ko-KR"/>
        </w:rPr>
        <w:t>ces derniers</w:t>
      </w:r>
      <w:r w:rsidR="000078DA" w:rsidRPr="002715F2">
        <w:rPr>
          <w:rFonts w:eastAsia="Batang"/>
          <w:color w:val="000000"/>
          <w:lang w:val="fr-FR" w:eastAsia="ko-KR"/>
        </w:rPr>
        <w:t xml:space="preserve">. </w:t>
      </w:r>
      <w:r w:rsidR="00D726FA" w:rsidRPr="002715F2">
        <w:rPr>
          <w:rFonts w:eastAsia="Batang"/>
          <w:color w:val="000000"/>
          <w:lang w:val="fr-FR" w:eastAsia="ko-KR"/>
        </w:rPr>
        <w:t>Lorsque cela s’avère nécessaire, l</w:t>
      </w:r>
      <w:r w:rsidR="0071458C" w:rsidRPr="002715F2">
        <w:rPr>
          <w:rFonts w:eastAsia="Batang"/>
          <w:color w:val="000000"/>
          <w:lang w:val="fr-FR" w:eastAsia="ko-KR"/>
        </w:rPr>
        <w:t>a</w:t>
      </w:r>
      <w:r w:rsidR="00D726FA" w:rsidRPr="002715F2">
        <w:rPr>
          <w:rFonts w:eastAsia="Batang"/>
          <w:color w:val="000000"/>
          <w:lang w:val="fr-FR" w:eastAsia="ko-KR"/>
        </w:rPr>
        <w:t xml:space="preserve"> </w:t>
      </w:r>
      <w:r w:rsidR="0071458C" w:rsidRPr="002715F2">
        <w:rPr>
          <w:rFonts w:eastAsia="Batang"/>
          <w:color w:val="000000"/>
          <w:lang w:val="fr-FR" w:eastAsia="ko-KR"/>
        </w:rPr>
        <w:t>permanence</w:t>
      </w:r>
      <w:r w:rsidR="00D726FA" w:rsidRPr="002715F2">
        <w:rPr>
          <w:rFonts w:eastAsia="Batang"/>
          <w:color w:val="000000"/>
          <w:lang w:val="fr-FR" w:eastAsia="ko-KR"/>
        </w:rPr>
        <w:t xml:space="preserve"> </w:t>
      </w:r>
      <w:r w:rsidR="0071458C" w:rsidRPr="002715F2">
        <w:rPr>
          <w:rFonts w:eastAsia="Batang"/>
          <w:color w:val="000000"/>
          <w:lang w:val="fr-FR" w:eastAsia="ko-KR"/>
        </w:rPr>
        <w:t>confie ou transfère</w:t>
      </w:r>
      <w:r w:rsidR="00D726FA" w:rsidRPr="002715F2">
        <w:rPr>
          <w:rFonts w:eastAsia="Batang"/>
          <w:color w:val="000000"/>
          <w:lang w:val="fr-FR" w:eastAsia="ko-KR"/>
        </w:rPr>
        <w:t xml:space="preserve"> certaines de ses affaires aux bureaux et services </w:t>
      </w:r>
      <w:r w:rsidR="0071458C" w:rsidRPr="002715F2">
        <w:rPr>
          <w:rFonts w:eastAsia="Batang"/>
          <w:color w:val="000000"/>
          <w:lang w:val="fr-FR" w:eastAsia="ko-KR"/>
        </w:rPr>
        <w:t>compétents</w:t>
      </w:r>
      <w:r w:rsidR="000078DA" w:rsidRPr="002715F2">
        <w:rPr>
          <w:rFonts w:eastAsia="Batang"/>
          <w:color w:val="000000"/>
          <w:lang w:val="fr-FR" w:eastAsia="ko-KR"/>
        </w:rPr>
        <w:t xml:space="preserve">. </w:t>
      </w:r>
      <w:r w:rsidR="0071458C" w:rsidRPr="002715F2">
        <w:rPr>
          <w:rFonts w:eastAsia="Batang"/>
          <w:color w:val="000000"/>
          <w:lang w:val="fr-FR" w:eastAsia="ko-KR"/>
        </w:rPr>
        <w:t>Elle</w:t>
      </w:r>
      <w:r w:rsidR="00D726FA" w:rsidRPr="002715F2">
        <w:rPr>
          <w:rFonts w:eastAsia="Batang"/>
          <w:color w:val="000000"/>
          <w:lang w:val="fr-FR" w:eastAsia="ko-KR"/>
        </w:rPr>
        <w:t xml:space="preserve"> </w:t>
      </w:r>
      <w:r w:rsidR="00124002" w:rsidRPr="002715F2">
        <w:rPr>
          <w:rFonts w:eastAsia="Batang"/>
          <w:color w:val="000000"/>
          <w:lang w:val="fr-FR" w:eastAsia="ko-KR"/>
        </w:rPr>
        <w:t>prend</w:t>
      </w:r>
      <w:r w:rsidR="00D726FA" w:rsidRPr="002715F2">
        <w:rPr>
          <w:rFonts w:eastAsia="Batang"/>
          <w:color w:val="000000"/>
          <w:lang w:val="fr-FR" w:eastAsia="ko-KR"/>
        </w:rPr>
        <w:t xml:space="preserve"> directement</w:t>
      </w:r>
      <w:r w:rsidR="00124002" w:rsidRPr="002715F2">
        <w:rPr>
          <w:rFonts w:eastAsia="Batang"/>
          <w:color w:val="000000"/>
          <w:lang w:val="fr-FR" w:eastAsia="ko-KR"/>
        </w:rPr>
        <w:t xml:space="preserve"> en charge</w:t>
      </w:r>
      <w:r w:rsidR="00D726FA" w:rsidRPr="002715F2">
        <w:rPr>
          <w:rFonts w:eastAsia="Batang"/>
          <w:color w:val="000000"/>
          <w:lang w:val="fr-FR" w:eastAsia="ko-KR"/>
        </w:rPr>
        <w:t xml:space="preserve"> les cas graves ou nécessitant une aide d’urgence, tels que les actes de cruauté ou les </w:t>
      </w:r>
      <w:r w:rsidR="00124002" w:rsidRPr="002715F2">
        <w:rPr>
          <w:rFonts w:eastAsia="Batang"/>
          <w:color w:val="000000"/>
          <w:lang w:val="fr-FR" w:eastAsia="ko-KR"/>
        </w:rPr>
        <w:t>affaires</w:t>
      </w:r>
      <w:r w:rsidR="00D726FA" w:rsidRPr="002715F2">
        <w:rPr>
          <w:rFonts w:eastAsia="Batang"/>
          <w:color w:val="000000"/>
          <w:lang w:val="fr-FR" w:eastAsia="ko-KR"/>
        </w:rPr>
        <w:t xml:space="preserve"> </w:t>
      </w:r>
      <w:r w:rsidR="006627A4" w:rsidRPr="002715F2">
        <w:rPr>
          <w:rFonts w:eastAsia="Batang"/>
          <w:color w:val="000000"/>
          <w:lang w:val="fr-FR" w:eastAsia="ko-KR"/>
        </w:rPr>
        <w:t>de violation</w:t>
      </w:r>
      <w:r w:rsidR="0071458C" w:rsidRPr="002715F2">
        <w:rPr>
          <w:rFonts w:eastAsia="Batang"/>
          <w:color w:val="000000"/>
          <w:lang w:val="fr-FR" w:eastAsia="ko-KR"/>
        </w:rPr>
        <w:t>s</w:t>
      </w:r>
      <w:r w:rsidR="006627A4" w:rsidRPr="002715F2">
        <w:rPr>
          <w:rFonts w:eastAsia="Batang"/>
          <w:color w:val="000000"/>
          <w:lang w:val="fr-FR" w:eastAsia="ko-KR"/>
        </w:rPr>
        <w:t xml:space="preserve"> des</w:t>
      </w:r>
      <w:r w:rsidR="00D726FA" w:rsidRPr="002715F2">
        <w:rPr>
          <w:rFonts w:eastAsia="Batang"/>
          <w:color w:val="000000"/>
          <w:lang w:val="fr-FR" w:eastAsia="ko-KR"/>
        </w:rPr>
        <w:t xml:space="preserve"> besoins fondamentaux</w:t>
      </w:r>
      <w:r w:rsidR="000078DA" w:rsidRPr="002715F2">
        <w:rPr>
          <w:rFonts w:eastAsia="Batang"/>
          <w:color w:val="000000"/>
          <w:lang w:val="fr-FR" w:eastAsia="ko-KR"/>
        </w:rPr>
        <w:t xml:space="preserve">. </w:t>
      </w:r>
      <w:r w:rsidR="00124002" w:rsidRPr="002715F2">
        <w:rPr>
          <w:rFonts w:eastAsia="Batang"/>
          <w:color w:val="000000"/>
          <w:lang w:val="fr-FR" w:eastAsia="ko-KR"/>
        </w:rPr>
        <w:t xml:space="preserve">Entre </w:t>
      </w:r>
      <w:r w:rsidR="00B466DC" w:rsidRPr="002715F2">
        <w:rPr>
          <w:rFonts w:eastAsia="Batang"/>
          <w:color w:val="000000"/>
          <w:lang w:val="fr-FR" w:eastAsia="ko-KR"/>
        </w:rPr>
        <w:t xml:space="preserve">mai </w:t>
      </w:r>
      <w:r w:rsidR="00124002" w:rsidRPr="002715F2">
        <w:rPr>
          <w:rFonts w:eastAsia="Batang"/>
          <w:color w:val="000000"/>
          <w:lang w:val="fr-FR" w:eastAsia="ko-KR"/>
        </w:rPr>
        <w:t xml:space="preserve">2006 et </w:t>
      </w:r>
      <w:r w:rsidR="00B466DC" w:rsidRPr="002715F2">
        <w:rPr>
          <w:rFonts w:eastAsia="Batang"/>
          <w:color w:val="000000"/>
          <w:lang w:val="fr-FR" w:eastAsia="ko-KR"/>
        </w:rPr>
        <w:t xml:space="preserve">décembre </w:t>
      </w:r>
      <w:r w:rsidR="00124002" w:rsidRPr="002715F2">
        <w:rPr>
          <w:rFonts w:eastAsia="Batang"/>
          <w:color w:val="000000"/>
          <w:lang w:val="fr-FR" w:eastAsia="ko-KR"/>
        </w:rPr>
        <w:t xml:space="preserve">2015, </w:t>
      </w:r>
      <w:r w:rsidR="00D726FA" w:rsidRPr="002715F2">
        <w:rPr>
          <w:rFonts w:eastAsia="Batang"/>
          <w:color w:val="000000"/>
          <w:lang w:val="fr-FR" w:eastAsia="ko-KR"/>
        </w:rPr>
        <w:t xml:space="preserve">12 282 </w:t>
      </w:r>
      <w:r w:rsidR="00124002" w:rsidRPr="002715F2">
        <w:rPr>
          <w:rFonts w:eastAsia="Batang"/>
          <w:color w:val="000000"/>
          <w:lang w:val="fr-FR" w:eastAsia="ko-KR"/>
        </w:rPr>
        <w:t xml:space="preserve">cas présumés de violations des droits de l’homme ont été signalés </w:t>
      </w:r>
      <w:r w:rsidR="0022283E" w:rsidRPr="002715F2">
        <w:rPr>
          <w:rFonts w:eastAsia="Batang"/>
          <w:color w:val="000000"/>
          <w:lang w:val="fr-FR" w:eastAsia="ko-KR"/>
        </w:rPr>
        <w:t>à la</w:t>
      </w:r>
      <w:r w:rsidR="00124002" w:rsidRPr="002715F2">
        <w:rPr>
          <w:rFonts w:eastAsia="Gulim" w:cs="Gulim"/>
          <w:lang w:val="fr-FR" w:eastAsia="ko-KR"/>
        </w:rPr>
        <w:t xml:space="preserve"> permanence téléphoni</w:t>
      </w:r>
      <w:r w:rsidR="0071458C" w:rsidRPr="002715F2">
        <w:rPr>
          <w:rFonts w:eastAsia="Gulim" w:cs="Gulim"/>
          <w:lang w:val="fr-FR" w:eastAsia="ko-KR"/>
        </w:rPr>
        <w:t>que. S</w:t>
      </w:r>
      <w:r w:rsidR="00124002" w:rsidRPr="002715F2">
        <w:rPr>
          <w:rFonts w:eastAsia="Gulim" w:cs="Gulim"/>
          <w:lang w:val="fr-FR" w:eastAsia="ko-KR"/>
        </w:rPr>
        <w:t xml:space="preserve">ur les </w:t>
      </w:r>
      <w:r w:rsidR="00124002" w:rsidRPr="002715F2">
        <w:rPr>
          <w:rFonts w:eastAsia="Batang"/>
          <w:color w:val="000000"/>
          <w:lang w:val="fr-FR" w:eastAsia="ko-KR"/>
        </w:rPr>
        <w:t xml:space="preserve">11 344 plaintes reçues, </w:t>
      </w:r>
      <w:r w:rsidR="00D726FA" w:rsidRPr="002715F2">
        <w:rPr>
          <w:rFonts w:eastAsia="Batang"/>
          <w:color w:val="000000"/>
          <w:lang w:val="fr-FR" w:eastAsia="ko-KR"/>
        </w:rPr>
        <w:t>2</w:t>
      </w:r>
      <w:r w:rsidR="00124002" w:rsidRPr="002715F2">
        <w:rPr>
          <w:rFonts w:eastAsia="Batang"/>
          <w:color w:val="000000"/>
          <w:lang w:val="fr-FR" w:eastAsia="ko-KR"/>
        </w:rPr>
        <w:t> 499 (41,42 </w:t>
      </w:r>
      <w:r w:rsidR="00D726FA" w:rsidRPr="002715F2">
        <w:rPr>
          <w:rFonts w:eastAsia="Batang"/>
          <w:color w:val="000000"/>
          <w:lang w:val="fr-FR" w:eastAsia="ko-KR"/>
        </w:rPr>
        <w:t xml:space="preserve">%) ont </w:t>
      </w:r>
      <w:r w:rsidR="00124002" w:rsidRPr="002715F2">
        <w:rPr>
          <w:rFonts w:eastAsia="Batang"/>
          <w:color w:val="000000"/>
          <w:lang w:val="fr-FR" w:eastAsia="ko-KR"/>
        </w:rPr>
        <w:t xml:space="preserve">fait directement l’objet d’une enquête </w:t>
      </w:r>
      <w:r w:rsidR="0071458C" w:rsidRPr="002715F2">
        <w:rPr>
          <w:rFonts w:eastAsia="Batang"/>
          <w:color w:val="000000"/>
          <w:lang w:val="fr-FR" w:eastAsia="ko-KR"/>
        </w:rPr>
        <w:t xml:space="preserve">de la part de la permanence </w:t>
      </w:r>
      <w:r w:rsidR="00124002" w:rsidRPr="002715F2">
        <w:rPr>
          <w:rFonts w:eastAsia="Batang"/>
          <w:color w:val="000000"/>
          <w:lang w:val="fr-FR" w:eastAsia="ko-KR"/>
        </w:rPr>
        <w:t>et 4 </w:t>
      </w:r>
      <w:r w:rsidR="00D726FA" w:rsidRPr="002715F2">
        <w:rPr>
          <w:rFonts w:eastAsia="Batang"/>
          <w:color w:val="000000"/>
          <w:lang w:val="fr-FR" w:eastAsia="ko-KR"/>
        </w:rPr>
        <w:t>121 ont été transféré</w:t>
      </w:r>
      <w:r w:rsidR="00124002" w:rsidRPr="002715F2">
        <w:rPr>
          <w:rFonts w:eastAsia="Batang"/>
          <w:color w:val="000000"/>
          <w:lang w:val="fr-FR" w:eastAsia="ko-KR"/>
        </w:rPr>
        <w:t>e</w:t>
      </w:r>
      <w:r w:rsidR="00D726FA" w:rsidRPr="002715F2">
        <w:rPr>
          <w:rFonts w:eastAsia="Batang"/>
          <w:color w:val="000000"/>
          <w:lang w:val="fr-FR" w:eastAsia="ko-KR"/>
        </w:rPr>
        <w:t>s</w:t>
      </w:r>
      <w:r w:rsidR="000078DA" w:rsidRPr="002715F2">
        <w:rPr>
          <w:rFonts w:eastAsia="Batang"/>
          <w:color w:val="000000"/>
          <w:lang w:val="fr-FR" w:eastAsia="ko-KR"/>
        </w:rPr>
        <w:t xml:space="preserve">. </w:t>
      </w:r>
      <w:r w:rsidR="0071458C" w:rsidRPr="002715F2">
        <w:rPr>
          <w:rFonts w:eastAsia="Batang"/>
          <w:color w:val="000000"/>
          <w:lang w:val="fr-FR" w:eastAsia="ko-KR"/>
        </w:rPr>
        <w:t>Au 31 décembre 2015, la permanence</w:t>
      </w:r>
      <w:r w:rsidR="00124002" w:rsidRPr="002715F2">
        <w:rPr>
          <w:rFonts w:eastAsia="Batang"/>
          <w:color w:val="000000"/>
          <w:lang w:val="fr-FR" w:eastAsia="ko-KR"/>
        </w:rPr>
        <w:t xml:space="preserve"> a</w:t>
      </w:r>
      <w:r w:rsidR="0071458C" w:rsidRPr="002715F2">
        <w:rPr>
          <w:rFonts w:eastAsia="Batang"/>
          <w:color w:val="000000"/>
          <w:lang w:val="fr-FR" w:eastAsia="ko-KR"/>
        </w:rPr>
        <w:t>vait</w:t>
      </w:r>
      <w:r w:rsidR="00124002" w:rsidRPr="002715F2">
        <w:rPr>
          <w:rFonts w:eastAsia="Batang"/>
          <w:color w:val="000000"/>
          <w:lang w:val="fr-FR" w:eastAsia="ko-KR"/>
        </w:rPr>
        <w:t xml:space="preserve"> installé des systèmes d’enquête vidéo dans 21</w:t>
      </w:r>
      <w:r w:rsidR="0071458C" w:rsidRPr="002715F2">
        <w:rPr>
          <w:rFonts w:eastAsia="Batang"/>
          <w:color w:val="000000"/>
          <w:lang w:val="fr-FR" w:eastAsia="ko-KR"/>
        </w:rPr>
        <w:t> </w:t>
      </w:r>
      <w:r w:rsidR="00124002" w:rsidRPr="002715F2">
        <w:rPr>
          <w:rFonts w:eastAsia="Batang"/>
          <w:color w:val="000000"/>
          <w:lang w:val="fr-FR" w:eastAsia="ko-KR"/>
        </w:rPr>
        <w:t xml:space="preserve">établissements </w:t>
      </w:r>
      <w:r w:rsidR="00730B36" w:rsidRPr="002715F2">
        <w:rPr>
          <w:rFonts w:eastAsia="Batang"/>
          <w:color w:val="000000"/>
          <w:lang w:val="fr-FR" w:eastAsia="ko-KR"/>
        </w:rPr>
        <w:t>pénitentiaires</w:t>
      </w:r>
      <w:r w:rsidR="00355F17" w:rsidRPr="002715F2">
        <w:rPr>
          <w:rFonts w:eastAsia="Batang"/>
          <w:color w:val="000000"/>
          <w:lang w:val="fr-FR" w:eastAsia="ko-KR"/>
        </w:rPr>
        <w:t>. E</w:t>
      </w:r>
      <w:r w:rsidR="0071458C" w:rsidRPr="002715F2">
        <w:rPr>
          <w:rFonts w:eastAsia="Batang"/>
          <w:color w:val="000000"/>
          <w:lang w:val="fr-FR" w:eastAsia="ko-KR"/>
        </w:rPr>
        <w:t xml:space="preserve">lle </w:t>
      </w:r>
      <w:r w:rsidR="00124002" w:rsidRPr="002715F2">
        <w:rPr>
          <w:rFonts w:eastAsia="Batang"/>
          <w:color w:val="000000"/>
          <w:lang w:val="fr-FR" w:eastAsia="ko-KR"/>
        </w:rPr>
        <w:t>envisage d’en installer davantage pour faciliter les enquêtes directes</w:t>
      </w:r>
      <w:r w:rsidR="00F60999" w:rsidRPr="002715F2">
        <w:rPr>
          <w:rFonts w:eastAsia="Batang"/>
          <w:color w:val="000000"/>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16.</w:t>
      </w:r>
      <w:r w:rsidRPr="002715F2">
        <w:rPr>
          <w:rFonts w:eastAsia="Gulim"/>
          <w:lang w:val="fr-FR" w:eastAsia="ko-KR"/>
        </w:rPr>
        <w:tab/>
      </w:r>
      <w:r w:rsidR="00124002" w:rsidRPr="002715F2">
        <w:rPr>
          <w:rFonts w:eastAsia="Gulim"/>
          <w:lang w:val="fr-FR" w:eastAsia="ko-KR"/>
        </w:rPr>
        <w:t xml:space="preserve">La </w:t>
      </w:r>
      <w:r w:rsidR="00124002" w:rsidRPr="002715F2">
        <w:rPr>
          <w:bCs/>
          <w:lang w:val="fr-FR"/>
        </w:rPr>
        <w:t xml:space="preserve">Commission nationale des droits de l’homme </w:t>
      </w:r>
      <w:r w:rsidR="00124002" w:rsidRPr="002715F2">
        <w:rPr>
          <w:rFonts w:eastAsia="Gulim"/>
          <w:lang w:val="fr-FR" w:eastAsia="ko-KR"/>
        </w:rPr>
        <w:t xml:space="preserve">est une organisation représentative </w:t>
      </w:r>
      <w:r w:rsidR="00FD18A5" w:rsidRPr="002715F2">
        <w:rPr>
          <w:rFonts w:eastAsia="Gulim"/>
          <w:lang w:val="fr-FR" w:eastAsia="ko-KR"/>
        </w:rPr>
        <w:t xml:space="preserve">habilitée à </w:t>
      </w:r>
      <w:r w:rsidR="00124002" w:rsidRPr="002715F2">
        <w:rPr>
          <w:rFonts w:eastAsia="Gulim"/>
          <w:lang w:val="fr-FR" w:eastAsia="ko-KR"/>
        </w:rPr>
        <w:t xml:space="preserve">enquêter sur les cas qui </w:t>
      </w:r>
      <w:r w:rsidR="00FD18A5" w:rsidRPr="002715F2">
        <w:rPr>
          <w:rFonts w:eastAsia="Gulim"/>
          <w:lang w:val="fr-FR" w:eastAsia="ko-KR"/>
        </w:rPr>
        <w:t>ne relèvent pas de</w:t>
      </w:r>
      <w:r w:rsidR="00124002" w:rsidRPr="002715F2">
        <w:rPr>
          <w:rFonts w:eastAsia="Gulim"/>
          <w:lang w:val="fr-FR" w:eastAsia="ko-KR"/>
        </w:rPr>
        <w:t xml:space="preserve"> la compétence de </w:t>
      </w:r>
      <w:r w:rsidR="0022283E" w:rsidRPr="002715F2">
        <w:rPr>
          <w:rFonts w:eastAsia="Gulim"/>
          <w:lang w:val="fr-FR" w:eastAsia="ko-KR"/>
        </w:rPr>
        <w:t xml:space="preserve">la </w:t>
      </w:r>
      <w:r w:rsidR="00124002" w:rsidRPr="002715F2">
        <w:rPr>
          <w:rFonts w:eastAsia="Gulim"/>
          <w:lang w:val="fr-FR" w:eastAsia="ko-KR"/>
        </w:rPr>
        <w:t>permanence téléphonique</w:t>
      </w:r>
      <w:r w:rsidR="000078DA" w:rsidRPr="002715F2">
        <w:rPr>
          <w:rFonts w:eastAsia="Gulim"/>
          <w:lang w:val="fr-FR" w:eastAsia="ko-KR"/>
        </w:rPr>
        <w:t xml:space="preserve">. </w:t>
      </w:r>
      <w:r w:rsidR="00E62FCC" w:rsidRPr="002715F2">
        <w:rPr>
          <w:rFonts w:eastAsia="Gulim"/>
          <w:lang w:val="fr-FR" w:eastAsia="ko-KR"/>
        </w:rPr>
        <w:t xml:space="preserve">Des </w:t>
      </w:r>
      <w:r w:rsidR="00B403FB" w:rsidRPr="002715F2">
        <w:rPr>
          <w:rFonts w:eastAsia="Gulim"/>
          <w:lang w:val="fr-FR" w:eastAsia="ko-KR"/>
        </w:rPr>
        <w:t>renseignements complémentaires sont fourni</w:t>
      </w:r>
      <w:r w:rsidR="00E62FCC" w:rsidRPr="002715F2">
        <w:rPr>
          <w:rFonts w:eastAsia="Gulim"/>
          <w:lang w:val="fr-FR" w:eastAsia="ko-KR"/>
        </w:rPr>
        <w:t>s aux p</w:t>
      </w:r>
      <w:r w:rsidR="000078DA" w:rsidRPr="002715F2">
        <w:rPr>
          <w:rFonts w:eastAsia="Gulim"/>
          <w:lang w:val="fr-FR" w:eastAsia="ko-KR"/>
        </w:rPr>
        <w:t>aragraph</w:t>
      </w:r>
      <w:r w:rsidR="00E62FCC" w:rsidRPr="002715F2">
        <w:rPr>
          <w:rFonts w:eastAsia="Gulim"/>
          <w:lang w:val="fr-FR" w:eastAsia="ko-KR"/>
        </w:rPr>
        <w:t>e</w:t>
      </w:r>
      <w:r w:rsidR="000078DA" w:rsidRPr="002715F2">
        <w:rPr>
          <w:rFonts w:eastAsia="Gulim"/>
          <w:lang w:val="fr-FR" w:eastAsia="ko-KR"/>
        </w:rPr>
        <w:t>s</w:t>
      </w:r>
      <w:r w:rsidR="00E62FCC" w:rsidRPr="002715F2">
        <w:rPr>
          <w:rFonts w:eastAsia="Gulim"/>
          <w:lang w:val="fr-FR" w:eastAsia="ko-KR"/>
        </w:rPr>
        <w:t> </w:t>
      </w:r>
      <w:r w:rsidR="000078DA" w:rsidRPr="002715F2">
        <w:rPr>
          <w:rFonts w:eastAsia="Gulim"/>
          <w:lang w:val="fr-FR" w:eastAsia="ko-KR"/>
        </w:rPr>
        <w:t>142</w:t>
      </w:r>
      <w:r w:rsidR="00E62FCC" w:rsidRPr="002715F2">
        <w:rPr>
          <w:rFonts w:eastAsia="Gulim"/>
          <w:lang w:val="fr-FR" w:eastAsia="ko-KR"/>
        </w:rPr>
        <w:t xml:space="preserve"> à </w:t>
      </w:r>
      <w:r w:rsidR="000078DA" w:rsidRPr="002715F2">
        <w:rPr>
          <w:rFonts w:eastAsia="Gulim"/>
          <w:lang w:val="fr-FR" w:eastAsia="ko-KR"/>
        </w:rPr>
        <w:t xml:space="preserve">145 </w:t>
      </w:r>
      <w:r w:rsidR="00E62FCC" w:rsidRPr="002715F2">
        <w:rPr>
          <w:rFonts w:eastAsia="Gulim"/>
          <w:lang w:val="fr-FR" w:eastAsia="ko-KR"/>
        </w:rPr>
        <w:t xml:space="preserve">du </w:t>
      </w:r>
      <w:r w:rsidR="005C6D8E" w:rsidRPr="002715F2">
        <w:rPr>
          <w:rFonts w:eastAsia="Gulim"/>
          <w:lang w:val="fr-FR" w:eastAsia="ko-KR"/>
        </w:rPr>
        <w:t>présent</w:t>
      </w:r>
      <w:r w:rsidR="00E62FCC" w:rsidRPr="002715F2">
        <w:rPr>
          <w:rFonts w:eastAsia="Gulim"/>
          <w:lang w:val="fr-FR" w:eastAsia="ko-KR"/>
        </w:rPr>
        <w:t xml:space="preserve"> rapport</w:t>
      </w:r>
      <w:r w:rsidR="000078DA" w:rsidRPr="002715F2">
        <w:rPr>
          <w:rFonts w:eastAsia="Gulim"/>
          <w:lang w:val="fr-FR" w:eastAsia="ko-KR"/>
        </w:rPr>
        <w:t>.</w:t>
      </w:r>
    </w:p>
    <w:p w:rsidR="000078DA" w:rsidRPr="002715F2" w:rsidRDefault="007026FB" w:rsidP="007026FB">
      <w:pPr>
        <w:pStyle w:val="SingleTxtG"/>
        <w:rPr>
          <w:rFonts w:eastAsia="Malgun Gothic"/>
          <w:kern w:val="2"/>
          <w:lang w:val="fr-FR" w:eastAsia="ko-KR"/>
        </w:rPr>
      </w:pPr>
      <w:r w:rsidRPr="002715F2">
        <w:rPr>
          <w:rFonts w:eastAsia="Malgun Gothic"/>
          <w:kern w:val="2"/>
          <w:lang w:val="fr-FR" w:eastAsia="ko-KR"/>
        </w:rPr>
        <w:t>17.</w:t>
      </w:r>
      <w:r w:rsidRPr="002715F2">
        <w:rPr>
          <w:rFonts w:eastAsia="Malgun Gothic"/>
          <w:kern w:val="2"/>
          <w:lang w:val="fr-FR" w:eastAsia="ko-KR"/>
        </w:rPr>
        <w:tab/>
      </w:r>
      <w:r w:rsidR="000A5339" w:rsidRPr="002715F2">
        <w:rPr>
          <w:rFonts w:eastAsia="Malgun Gothic"/>
          <w:kern w:val="2"/>
          <w:szCs w:val="22"/>
          <w:lang w:val="fr-FR" w:eastAsia="ko-KR"/>
        </w:rPr>
        <w:t>En ce qui concerne les 42 </w:t>
      </w:r>
      <w:r w:rsidR="006627A4" w:rsidRPr="002715F2">
        <w:rPr>
          <w:rFonts w:eastAsia="Malgun Gothic"/>
          <w:kern w:val="2"/>
          <w:szCs w:val="22"/>
          <w:lang w:val="fr-FR" w:eastAsia="ko-KR"/>
        </w:rPr>
        <w:t xml:space="preserve">affaires </w:t>
      </w:r>
      <w:r w:rsidR="00B403FB" w:rsidRPr="002715F2">
        <w:rPr>
          <w:rFonts w:eastAsia="Malgun Gothic"/>
          <w:kern w:val="2"/>
          <w:szCs w:val="22"/>
          <w:lang w:val="fr-FR" w:eastAsia="ko-KR"/>
        </w:rPr>
        <w:t>en 2007</w:t>
      </w:r>
      <w:r w:rsidR="002C255C" w:rsidRPr="002715F2">
        <w:rPr>
          <w:rFonts w:eastAsia="Malgun Gothic"/>
          <w:kern w:val="2"/>
          <w:szCs w:val="22"/>
          <w:lang w:val="fr-FR" w:eastAsia="ko-KR"/>
        </w:rPr>
        <w:t xml:space="preserve"> et les 81 affaires en 2008 </w:t>
      </w:r>
      <w:r w:rsidR="006627A4" w:rsidRPr="002715F2">
        <w:rPr>
          <w:rFonts w:eastAsia="Malgun Gothic"/>
          <w:kern w:val="2"/>
          <w:szCs w:val="22"/>
          <w:lang w:val="fr-FR" w:eastAsia="ko-KR"/>
        </w:rPr>
        <w:t xml:space="preserve">dans lesquelles des </w:t>
      </w:r>
      <w:r w:rsidR="006627A4" w:rsidRPr="002715F2">
        <w:rPr>
          <w:lang w:val="fr-FR"/>
        </w:rPr>
        <w:t>réparations ont été décidées</w:t>
      </w:r>
      <w:r w:rsidR="000078DA" w:rsidRPr="002715F2">
        <w:rPr>
          <w:rStyle w:val="FootnoteReference"/>
          <w:rFonts w:eastAsia="Malgun Gothic"/>
          <w:lang w:val="fr-FR"/>
        </w:rPr>
        <w:footnoteReference w:id="7"/>
      </w:r>
      <w:r w:rsidR="006627A4" w:rsidRPr="002715F2">
        <w:rPr>
          <w:rFonts w:eastAsia="Malgun Gothic"/>
          <w:kern w:val="2"/>
          <w:szCs w:val="22"/>
          <w:lang w:val="fr-FR" w:eastAsia="ko-KR"/>
        </w:rPr>
        <w:t>,</w:t>
      </w:r>
      <w:r w:rsidR="000078DA" w:rsidRPr="002715F2">
        <w:rPr>
          <w:rFonts w:eastAsia="Malgun Gothic"/>
          <w:kern w:val="2"/>
          <w:szCs w:val="22"/>
          <w:lang w:val="fr-FR" w:eastAsia="ko-KR"/>
        </w:rPr>
        <w:t xml:space="preserve"> </w:t>
      </w:r>
      <w:r w:rsidR="006627A4" w:rsidRPr="002715F2">
        <w:rPr>
          <w:rFonts w:eastAsia="Malgun Gothic"/>
          <w:kern w:val="2"/>
          <w:szCs w:val="22"/>
          <w:lang w:val="fr-FR" w:eastAsia="ko-KR"/>
        </w:rPr>
        <w:t xml:space="preserve">les </w:t>
      </w:r>
      <w:r w:rsidR="005C6D8E" w:rsidRPr="002715F2">
        <w:rPr>
          <w:rFonts w:eastAsia="Malgun Gothic"/>
          <w:kern w:val="2"/>
          <w:szCs w:val="22"/>
          <w:lang w:val="fr-FR" w:eastAsia="ko-KR"/>
        </w:rPr>
        <w:t>précisions</w:t>
      </w:r>
      <w:r w:rsidR="006627A4" w:rsidRPr="002715F2">
        <w:rPr>
          <w:rFonts w:eastAsia="Malgun Gothic"/>
          <w:kern w:val="2"/>
          <w:szCs w:val="22"/>
          <w:lang w:val="fr-FR" w:eastAsia="ko-KR"/>
        </w:rPr>
        <w:t xml:space="preserve"> demandées sont les </w:t>
      </w:r>
      <w:r w:rsidR="00B403FB" w:rsidRPr="002715F2">
        <w:rPr>
          <w:rFonts w:eastAsia="Malgun Gothic"/>
          <w:kern w:val="2"/>
          <w:szCs w:val="22"/>
          <w:lang w:val="fr-FR" w:eastAsia="ko-KR"/>
        </w:rPr>
        <w:t>suivantes.</w:t>
      </w:r>
      <w:r w:rsidR="0044413E" w:rsidRPr="002715F2">
        <w:rPr>
          <w:rFonts w:eastAsia="Malgun Gothic"/>
          <w:kern w:val="2"/>
          <w:lang w:val="fr-FR" w:eastAsia="ko-KR"/>
        </w:rPr>
        <w:t xml:space="preserve"> </w:t>
      </w:r>
      <w:r w:rsidR="00B403FB" w:rsidRPr="002715F2">
        <w:rPr>
          <w:rFonts w:eastAsia="Malgun Gothic"/>
          <w:kern w:val="2"/>
          <w:lang w:val="fr-FR" w:eastAsia="ko-KR"/>
        </w:rPr>
        <w:t>E</w:t>
      </w:r>
      <w:r w:rsidR="006627A4" w:rsidRPr="002715F2">
        <w:rPr>
          <w:rFonts w:eastAsia="Malgun Gothic"/>
          <w:kern w:val="2"/>
          <w:lang w:val="fr-FR" w:eastAsia="ko-KR"/>
        </w:rPr>
        <w:t>n</w:t>
      </w:r>
      <w:r w:rsidR="000078DA" w:rsidRPr="002715F2">
        <w:rPr>
          <w:rFonts w:eastAsia="Malgun Gothic"/>
          <w:kern w:val="2"/>
          <w:lang w:val="fr-FR" w:eastAsia="ko-KR"/>
        </w:rPr>
        <w:t xml:space="preserve"> 2007, </w:t>
      </w:r>
      <w:r w:rsidR="00B403FB" w:rsidRPr="002715F2">
        <w:rPr>
          <w:rFonts w:eastAsia="Malgun Gothic"/>
          <w:kern w:val="2"/>
          <w:lang w:val="fr-FR" w:eastAsia="ko-KR"/>
        </w:rPr>
        <w:t xml:space="preserve">nous avons </w:t>
      </w:r>
      <w:r w:rsidR="0044413E" w:rsidRPr="002715F2">
        <w:rPr>
          <w:rFonts w:eastAsia="Malgun Gothic"/>
          <w:kern w:val="2"/>
          <w:lang w:val="fr-FR" w:eastAsia="ko-KR"/>
        </w:rPr>
        <w:t>dénombr</w:t>
      </w:r>
      <w:r w:rsidR="00B403FB" w:rsidRPr="002715F2">
        <w:rPr>
          <w:rFonts w:eastAsia="Malgun Gothic"/>
          <w:kern w:val="2"/>
          <w:lang w:val="fr-FR" w:eastAsia="ko-KR"/>
        </w:rPr>
        <w:t>é</w:t>
      </w:r>
      <w:r w:rsidR="0044413E" w:rsidRPr="002715F2">
        <w:rPr>
          <w:rFonts w:eastAsia="Malgun Gothic"/>
          <w:kern w:val="2"/>
          <w:lang w:val="fr-FR" w:eastAsia="ko-KR"/>
        </w:rPr>
        <w:t xml:space="preserve"> </w:t>
      </w:r>
      <w:r w:rsidR="000078DA" w:rsidRPr="002715F2">
        <w:rPr>
          <w:rFonts w:eastAsia="Malgun Gothic"/>
          <w:kern w:val="2"/>
          <w:lang w:val="fr-FR" w:eastAsia="ko-KR"/>
        </w:rPr>
        <w:t>11</w:t>
      </w:r>
      <w:r w:rsidR="0044413E" w:rsidRPr="002715F2">
        <w:rPr>
          <w:rFonts w:eastAsia="Malgun Gothic"/>
          <w:kern w:val="2"/>
          <w:lang w:val="fr-FR" w:eastAsia="ko-KR"/>
        </w:rPr>
        <w:t xml:space="preserve"> affaires </w:t>
      </w:r>
      <w:r w:rsidR="00FD18A5" w:rsidRPr="002715F2">
        <w:rPr>
          <w:rFonts w:eastAsia="Malgun Gothic"/>
          <w:kern w:val="2"/>
          <w:lang w:val="fr-FR" w:eastAsia="ko-KR"/>
        </w:rPr>
        <w:t>relatives à</w:t>
      </w:r>
      <w:r w:rsidR="0044413E" w:rsidRPr="002715F2">
        <w:rPr>
          <w:rFonts w:eastAsia="Malgun Gothic"/>
          <w:kern w:val="2"/>
          <w:lang w:val="fr-FR" w:eastAsia="ko-KR"/>
        </w:rPr>
        <w:t xml:space="preserve"> des traitements médicaux</w:t>
      </w:r>
      <w:r w:rsidR="000078DA" w:rsidRPr="002715F2">
        <w:rPr>
          <w:rFonts w:eastAsia="Malgun Gothic"/>
          <w:kern w:val="2"/>
          <w:lang w:val="fr-FR" w:eastAsia="ko-KR"/>
        </w:rPr>
        <w:t xml:space="preserve">, 6 </w:t>
      </w:r>
      <w:r w:rsidR="00B403FB" w:rsidRPr="002715F2">
        <w:rPr>
          <w:rFonts w:eastAsia="Malgun Gothic"/>
          <w:kern w:val="2"/>
          <w:lang w:val="fr-FR" w:eastAsia="ko-KR"/>
        </w:rPr>
        <w:t xml:space="preserve">liées à </w:t>
      </w:r>
      <w:r w:rsidR="0044413E" w:rsidRPr="002715F2">
        <w:rPr>
          <w:rFonts w:eastAsia="Malgun Gothic"/>
          <w:kern w:val="2"/>
          <w:lang w:val="fr-FR" w:eastAsia="ko-KR"/>
        </w:rPr>
        <w:t xml:space="preserve">des changements de lieu de </w:t>
      </w:r>
      <w:r w:rsidR="005C6D8E" w:rsidRPr="002715F2">
        <w:rPr>
          <w:rFonts w:eastAsia="Malgun Gothic"/>
          <w:kern w:val="2"/>
          <w:lang w:val="fr-FR" w:eastAsia="ko-KR"/>
        </w:rPr>
        <w:t>détention</w:t>
      </w:r>
      <w:r w:rsidR="00B403FB" w:rsidRPr="002715F2">
        <w:rPr>
          <w:rFonts w:eastAsia="Malgun Gothic"/>
          <w:kern w:val="2"/>
          <w:lang w:val="fr-FR" w:eastAsia="ko-KR"/>
        </w:rPr>
        <w:t>, 1 cas de suspension de</w:t>
      </w:r>
      <w:r w:rsidR="0044413E" w:rsidRPr="002715F2">
        <w:rPr>
          <w:rFonts w:eastAsia="Malgun Gothic"/>
          <w:kern w:val="2"/>
          <w:lang w:val="fr-FR" w:eastAsia="ko-KR"/>
        </w:rPr>
        <w:t xml:space="preserve"> mesures administratives injustes</w:t>
      </w:r>
      <w:r w:rsidR="000078DA" w:rsidRPr="002715F2">
        <w:rPr>
          <w:rFonts w:eastAsia="Malgun Gothic"/>
          <w:kern w:val="2"/>
          <w:lang w:val="fr-FR" w:eastAsia="ko-KR"/>
        </w:rPr>
        <w:t>, 9</w:t>
      </w:r>
      <w:r w:rsidR="0044413E" w:rsidRPr="002715F2">
        <w:rPr>
          <w:rFonts w:eastAsia="Malgun Gothic"/>
          <w:kern w:val="2"/>
          <w:lang w:val="fr-FR" w:eastAsia="ko-KR"/>
        </w:rPr>
        <w:t xml:space="preserve"> cas de mesures touchant le personnel et 15 cas </w:t>
      </w:r>
      <w:r w:rsidR="00FD18A5" w:rsidRPr="002715F2">
        <w:rPr>
          <w:rFonts w:eastAsia="Malgun Gothic"/>
          <w:kern w:val="2"/>
          <w:lang w:val="fr-FR" w:eastAsia="ko-KR"/>
        </w:rPr>
        <w:t>concernant</w:t>
      </w:r>
      <w:r w:rsidR="0044413E" w:rsidRPr="002715F2">
        <w:rPr>
          <w:rFonts w:eastAsia="Malgun Gothic"/>
          <w:kern w:val="2"/>
          <w:lang w:val="fr-FR" w:eastAsia="ko-KR"/>
        </w:rPr>
        <w:t xml:space="preserve"> d’a</w:t>
      </w:r>
      <w:r w:rsidR="00B403FB" w:rsidRPr="002715F2">
        <w:rPr>
          <w:rFonts w:eastAsia="Malgun Gothic"/>
          <w:kern w:val="2"/>
          <w:lang w:val="fr-FR" w:eastAsia="ko-KR"/>
        </w:rPr>
        <w:t>utres mesures.</w:t>
      </w:r>
      <w:r w:rsidR="000078DA" w:rsidRPr="002715F2">
        <w:rPr>
          <w:rFonts w:eastAsia="Malgun Gothic"/>
          <w:kern w:val="2"/>
          <w:lang w:val="fr-FR" w:eastAsia="ko-KR"/>
        </w:rPr>
        <w:t xml:space="preserve"> </w:t>
      </w:r>
      <w:r w:rsidR="00B403FB" w:rsidRPr="002715F2">
        <w:rPr>
          <w:rFonts w:eastAsia="Malgun Gothic"/>
          <w:kern w:val="2"/>
          <w:lang w:val="fr-FR" w:eastAsia="ko-KR"/>
        </w:rPr>
        <w:t>E</w:t>
      </w:r>
      <w:r w:rsidR="000078DA" w:rsidRPr="002715F2">
        <w:rPr>
          <w:rFonts w:eastAsia="Malgun Gothic"/>
          <w:kern w:val="2"/>
          <w:lang w:val="fr-FR" w:eastAsia="ko-KR"/>
        </w:rPr>
        <w:t xml:space="preserve">n 2008, </w:t>
      </w:r>
      <w:r w:rsidR="00B403FB" w:rsidRPr="002715F2">
        <w:rPr>
          <w:rFonts w:eastAsia="Malgun Gothic"/>
          <w:kern w:val="2"/>
          <w:lang w:val="fr-FR" w:eastAsia="ko-KR"/>
        </w:rPr>
        <w:t xml:space="preserve">nous avons dénombré </w:t>
      </w:r>
      <w:r w:rsidR="000078DA" w:rsidRPr="002715F2">
        <w:rPr>
          <w:rFonts w:eastAsia="Malgun Gothic"/>
          <w:kern w:val="2"/>
          <w:lang w:val="fr-FR" w:eastAsia="ko-KR"/>
        </w:rPr>
        <w:t>15</w:t>
      </w:r>
      <w:r w:rsidR="0044413E" w:rsidRPr="002715F2">
        <w:rPr>
          <w:rFonts w:eastAsia="Malgun Gothic"/>
          <w:kern w:val="2"/>
          <w:lang w:val="fr-FR" w:eastAsia="ko-KR"/>
        </w:rPr>
        <w:t xml:space="preserve"> affaires </w:t>
      </w:r>
      <w:r w:rsidR="00FD18A5" w:rsidRPr="002715F2">
        <w:rPr>
          <w:rFonts w:eastAsia="Malgun Gothic"/>
          <w:kern w:val="2"/>
          <w:lang w:val="fr-FR" w:eastAsia="ko-KR"/>
        </w:rPr>
        <w:t xml:space="preserve">relatives à des </w:t>
      </w:r>
      <w:r w:rsidR="0044413E" w:rsidRPr="002715F2">
        <w:rPr>
          <w:rFonts w:eastAsia="Malgun Gothic"/>
          <w:kern w:val="2"/>
          <w:lang w:val="fr-FR" w:eastAsia="ko-KR"/>
        </w:rPr>
        <w:t>traitements médicaux</w:t>
      </w:r>
      <w:r w:rsidR="000078DA" w:rsidRPr="002715F2">
        <w:rPr>
          <w:rFonts w:eastAsia="Malgun Gothic"/>
          <w:kern w:val="2"/>
          <w:lang w:val="fr-FR" w:eastAsia="ko-KR"/>
        </w:rPr>
        <w:t>, 9</w:t>
      </w:r>
      <w:r w:rsidR="0044413E" w:rsidRPr="002715F2">
        <w:rPr>
          <w:rFonts w:eastAsia="Malgun Gothic"/>
          <w:kern w:val="2"/>
          <w:lang w:val="fr-FR" w:eastAsia="ko-KR"/>
        </w:rPr>
        <w:t> </w:t>
      </w:r>
      <w:r w:rsidR="00B403FB" w:rsidRPr="002715F2">
        <w:rPr>
          <w:rFonts w:eastAsia="Malgun Gothic"/>
          <w:kern w:val="2"/>
          <w:lang w:val="fr-FR" w:eastAsia="ko-KR"/>
        </w:rPr>
        <w:t xml:space="preserve">liées à </w:t>
      </w:r>
      <w:r w:rsidR="0044413E" w:rsidRPr="002715F2">
        <w:rPr>
          <w:rFonts w:eastAsia="Malgun Gothic"/>
          <w:kern w:val="2"/>
          <w:lang w:val="fr-FR" w:eastAsia="ko-KR"/>
        </w:rPr>
        <w:t xml:space="preserve">des changements de lieux de </w:t>
      </w:r>
      <w:r w:rsidR="005C6D8E" w:rsidRPr="002715F2">
        <w:rPr>
          <w:rFonts w:eastAsia="Malgun Gothic"/>
          <w:kern w:val="2"/>
          <w:lang w:val="fr-FR" w:eastAsia="ko-KR"/>
        </w:rPr>
        <w:t>détention</w:t>
      </w:r>
      <w:r w:rsidR="000078DA" w:rsidRPr="002715F2">
        <w:rPr>
          <w:rFonts w:eastAsia="Malgun Gothic"/>
          <w:kern w:val="2"/>
          <w:lang w:val="fr-FR" w:eastAsia="ko-KR"/>
        </w:rPr>
        <w:t xml:space="preserve">, </w:t>
      </w:r>
      <w:r w:rsidR="0044413E" w:rsidRPr="002715F2">
        <w:rPr>
          <w:rFonts w:eastAsia="Malgun Gothic"/>
          <w:kern w:val="2"/>
          <w:lang w:val="fr-FR" w:eastAsia="ko-KR"/>
        </w:rPr>
        <w:t>8 cas de règlement de différends entre détenus</w:t>
      </w:r>
      <w:r w:rsidR="000078DA" w:rsidRPr="002715F2">
        <w:rPr>
          <w:rFonts w:eastAsia="Malgun Gothic"/>
          <w:kern w:val="2"/>
          <w:lang w:val="fr-FR" w:eastAsia="ko-KR"/>
        </w:rPr>
        <w:t>, 6</w:t>
      </w:r>
      <w:r w:rsidR="00B403FB" w:rsidRPr="002715F2">
        <w:rPr>
          <w:rFonts w:eastAsia="Malgun Gothic"/>
          <w:kern w:val="2"/>
          <w:lang w:val="fr-FR" w:eastAsia="ko-KR"/>
        </w:rPr>
        <w:t> cas de suspension de</w:t>
      </w:r>
      <w:r w:rsidR="0044413E" w:rsidRPr="002715F2">
        <w:rPr>
          <w:rFonts w:eastAsia="Malgun Gothic"/>
          <w:kern w:val="2"/>
          <w:lang w:val="fr-FR" w:eastAsia="ko-KR"/>
        </w:rPr>
        <w:t xml:space="preserve"> mesures administratives injustes</w:t>
      </w:r>
      <w:r w:rsidR="000078DA" w:rsidRPr="002715F2">
        <w:rPr>
          <w:rFonts w:eastAsia="Malgun Gothic"/>
          <w:kern w:val="2"/>
          <w:lang w:val="fr-FR" w:eastAsia="ko-KR"/>
        </w:rPr>
        <w:t>, 4</w:t>
      </w:r>
      <w:r w:rsidR="0044413E" w:rsidRPr="002715F2">
        <w:rPr>
          <w:rFonts w:eastAsia="Malgun Gothic"/>
          <w:kern w:val="2"/>
          <w:lang w:val="fr-FR" w:eastAsia="ko-KR"/>
        </w:rPr>
        <w:t> cas de mesures touchant le personnel</w:t>
      </w:r>
      <w:r w:rsidR="000078DA" w:rsidRPr="002715F2">
        <w:rPr>
          <w:rFonts w:eastAsia="Malgun Gothic"/>
          <w:kern w:val="2"/>
          <w:lang w:val="fr-FR" w:eastAsia="ko-KR"/>
        </w:rPr>
        <w:t>, 4</w:t>
      </w:r>
      <w:r w:rsidR="0044413E" w:rsidRPr="002715F2">
        <w:rPr>
          <w:rFonts w:eastAsia="Malgun Gothic"/>
          <w:kern w:val="2"/>
          <w:lang w:val="fr-FR" w:eastAsia="ko-KR"/>
        </w:rPr>
        <w:t> cas</w:t>
      </w:r>
      <w:r w:rsidR="000078DA" w:rsidRPr="002715F2">
        <w:rPr>
          <w:rFonts w:eastAsia="Malgun Gothic"/>
          <w:kern w:val="2"/>
          <w:lang w:val="fr-FR" w:eastAsia="ko-KR"/>
        </w:rPr>
        <w:t xml:space="preserve"> </w:t>
      </w:r>
      <w:r w:rsidR="0044413E" w:rsidRPr="002715F2">
        <w:rPr>
          <w:rFonts w:eastAsia="Malgun Gothic"/>
          <w:kern w:val="2"/>
          <w:lang w:val="fr-FR" w:eastAsia="ko-KR"/>
        </w:rPr>
        <w:t>d’accompagnement psychologique</w:t>
      </w:r>
      <w:r w:rsidR="000078DA" w:rsidRPr="002715F2">
        <w:rPr>
          <w:rFonts w:eastAsia="Malgun Gothic"/>
          <w:kern w:val="2"/>
          <w:lang w:val="fr-FR" w:eastAsia="ko-KR"/>
        </w:rPr>
        <w:t>, 4</w:t>
      </w:r>
      <w:r w:rsidR="0044413E" w:rsidRPr="002715F2">
        <w:rPr>
          <w:rFonts w:eastAsia="Malgun Gothic"/>
          <w:kern w:val="2"/>
          <w:lang w:val="fr-FR" w:eastAsia="ko-KR"/>
        </w:rPr>
        <w:t> cas d’amélioration des installations et équipements</w:t>
      </w:r>
      <w:r w:rsidR="000078DA" w:rsidRPr="002715F2">
        <w:rPr>
          <w:rFonts w:eastAsia="Malgun Gothic"/>
          <w:kern w:val="2"/>
          <w:lang w:val="fr-FR" w:eastAsia="ko-KR"/>
        </w:rPr>
        <w:t xml:space="preserve">, </w:t>
      </w:r>
      <w:r w:rsidR="009B567E" w:rsidRPr="002715F2">
        <w:rPr>
          <w:rFonts w:eastAsia="Malgun Gothic"/>
          <w:kern w:val="2"/>
          <w:lang w:val="fr-FR" w:eastAsia="ko-KR"/>
        </w:rPr>
        <w:t xml:space="preserve">3 </w:t>
      </w:r>
      <w:r w:rsidR="00F606DC" w:rsidRPr="002715F2">
        <w:rPr>
          <w:rFonts w:eastAsia="Malgun Gothic"/>
          <w:kern w:val="2"/>
          <w:lang w:val="fr-FR" w:eastAsia="ko-KR"/>
        </w:rPr>
        <w:t>cas d’aide rapide en matière d’</w:t>
      </w:r>
      <w:r w:rsidR="005C6D8E" w:rsidRPr="002715F2">
        <w:rPr>
          <w:rFonts w:eastAsia="Malgun Gothic"/>
          <w:kern w:val="2"/>
          <w:lang w:val="fr-FR" w:eastAsia="ko-KR"/>
        </w:rPr>
        <w:t>immigration</w:t>
      </w:r>
      <w:r w:rsidR="000078DA" w:rsidRPr="002715F2">
        <w:rPr>
          <w:rFonts w:eastAsia="Malgun Gothic"/>
          <w:kern w:val="2"/>
          <w:lang w:val="fr-FR" w:eastAsia="ko-KR"/>
        </w:rPr>
        <w:t xml:space="preserve"> (</w:t>
      </w:r>
      <w:r w:rsidR="00F606DC" w:rsidRPr="002715F2">
        <w:rPr>
          <w:rFonts w:eastAsia="Malgun Gothic"/>
          <w:kern w:val="2"/>
          <w:lang w:val="fr-FR" w:eastAsia="ko-KR"/>
        </w:rPr>
        <w:t>voir le tableau</w:t>
      </w:r>
      <w:r w:rsidR="00B403FB" w:rsidRPr="002715F2">
        <w:rPr>
          <w:rFonts w:eastAsia="Malgun Gothic"/>
          <w:kern w:val="2"/>
          <w:lang w:val="fr-FR" w:eastAsia="ko-KR"/>
        </w:rPr>
        <w:t> 2</w:t>
      </w:r>
      <w:r w:rsidR="00F60999" w:rsidRPr="002715F2">
        <w:rPr>
          <w:rFonts w:eastAsia="Malgun Gothic"/>
          <w:kern w:val="2"/>
          <w:lang w:val="fr-FR" w:eastAsia="ko-KR"/>
        </w:rPr>
        <w:t>).</w:t>
      </w:r>
    </w:p>
    <w:p w:rsidR="000078DA" w:rsidRPr="002715F2" w:rsidRDefault="00F410E3" w:rsidP="00F410E3">
      <w:pPr>
        <w:pStyle w:val="H23G"/>
        <w:rPr>
          <w:rFonts w:eastAsia="Batang" w:cs="Gulim"/>
          <w:lang w:val="fr-FR" w:eastAsia="ko-KR"/>
        </w:rPr>
      </w:pPr>
      <w:r w:rsidRPr="002715F2">
        <w:rPr>
          <w:rFonts w:eastAsia="Batang"/>
          <w:lang w:val="fr-FR" w:eastAsia="ko-KR"/>
        </w:rPr>
        <w:tab/>
      </w:r>
      <w:r w:rsidRPr="002715F2">
        <w:rPr>
          <w:rFonts w:eastAsia="Batang"/>
          <w:lang w:val="fr-FR" w:eastAsia="ko-KR"/>
        </w:rPr>
        <w:tab/>
      </w:r>
      <w:r w:rsidR="000A5339" w:rsidRPr="002715F2">
        <w:rPr>
          <w:rFonts w:eastAsia="Batang" w:cs="Gulim"/>
          <w:lang w:val="fr-FR" w:eastAsia="ko-KR"/>
        </w:rPr>
        <w:t xml:space="preserve">Réponse aux questions soulevées au </w:t>
      </w:r>
      <w:r w:rsidR="00675A3D" w:rsidRPr="002715F2">
        <w:rPr>
          <w:rFonts w:eastAsia="Batang" w:cs="Gulim"/>
          <w:lang w:val="fr-FR" w:eastAsia="ko-KR"/>
        </w:rPr>
        <w:t xml:space="preserve">paragraphe </w:t>
      </w:r>
      <w:r w:rsidR="000A5339" w:rsidRPr="002715F2">
        <w:rPr>
          <w:rFonts w:eastAsia="Batang" w:cs="Gulim"/>
          <w:lang w:val="fr-FR" w:eastAsia="ko-KR"/>
        </w:rPr>
        <w:t>5</w:t>
      </w:r>
    </w:p>
    <w:p w:rsidR="000078DA" w:rsidRPr="002715F2" w:rsidRDefault="00F410E3" w:rsidP="007026FB">
      <w:pPr>
        <w:pStyle w:val="H4G"/>
        <w:rPr>
          <w:rFonts w:ascii="Gulim" w:eastAsia="Gulim" w:hAnsi="Gulim"/>
          <w:lang w:val="fr-FR" w:eastAsia="ko-KR"/>
        </w:rPr>
      </w:pPr>
      <w:r w:rsidRPr="002715F2">
        <w:rPr>
          <w:rFonts w:eastAsia="Batang"/>
          <w:lang w:val="fr-FR" w:eastAsia="ko-KR"/>
        </w:rPr>
        <w:tab/>
      </w:r>
      <w:r w:rsidRPr="002715F2">
        <w:rPr>
          <w:rFonts w:eastAsia="Batang"/>
          <w:lang w:val="fr-FR" w:eastAsia="ko-KR"/>
        </w:rPr>
        <w:tab/>
      </w:r>
      <w:r w:rsidR="00BA5CE7" w:rsidRPr="002715F2">
        <w:rPr>
          <w:rFonts w:eastAsia="Batang"/>
          <w:lang w:val="fr-FR" w:eastAsia="ko-KR"/>
        </w:rPr>
        <w:t>Garanties juridiques pour les personnes arrêtées ou détenues</w:t>
      </w:r>
    </w:p>
    <w:p w:rsidR="000078DA" w:rsidRPr="002715F2" w:rsidRDefault="007026FB" w:rsidP="007026FB">
      <w:pPr>
        <w:pStyle w:val="SingleTxtG"/>
        <w:rPr>
          <w:rFonts w:eastAsia="휴먼명조"/>
          <w:szCs w:val="24"/>
          <w:lang w:val="fr-FR" w:eastAsia="ko-KR"/>
        </w:rPr>
      </w:pPr>
      <w:r w:rsidRPr="002715F2">
        <w:rPr>
          <w:rFonts w:eastAsia="휴먼명조"/>
          <w:szCs w:val="24"/>
          <w:lang w:val="fr-FR" w:eastAsia="ko-KR"/>
        </w:rPr>
        <w:t>18.</w:t>
      </w:r>
      <w:r w:rsidRPr="002715F2">
        <w:rPr>
          <w:rFonts w:eastAsia="휴먼명조"/>
          <w:szCs w:val="24"/>
          <w:lang w:val="fr-FR" w:eastAsia="ko-KR"/>
        </w:rPr>
        <w:tab/>
      </w:r>
      <w:r w:rsidR="005859A3" w:rsidRPr="002715F2">
        <w:rPr>
          <w:rFonts w:eastAsia="Batang"/>
          <w:szCs w:val="24"/>
          <w:lang w:val="fr-FR" w:eastAsia="ko-KR"/>
        </w:rPr>
        <w:t xml:space="preserve">Les </w:t>
      </w:r>
      <w:r w:rsidR="007D22EE" w:rsidRPr="002715F2">
        <w:rPr>
          <w:rFonts w:eastAsia="Batang"/>
          <w:szCs w:val="24"/>
          <w:lang w:val="fr-FR" w:eastAsia="ko-KR"/>
        </w:rPr>
        <w:t>renseignements</w:t>
      </w:r>
      <w:r w:rsidR="005859A3" w:rsidRPr="002715F2">
        <w:rPr>
          <w:rFonts w:eastAsia="Batang"/>
          <w:szCs w:val="24"/>
          <w:lang w:val="fr-FR" w:eastAsia="ko-KR"/>
        </w:rPr>
        <w:t xml:space="preserve"> relati</w:t>
      </w:r>
      <w:r w:rsidR="007D22EE" w:rsidRPr="002715F2">
        <w:rPr>
          <w:rFonts w:eastAsia="Batang"/>
          <w:szCs w:val="24"/>
          <w:lang w:val="fr-FR" w:eastAsia="ko-KR"/>
        </w:rPr>
        <w:t>f</w:t>
      </w:r>
      <w:r w:rsidR="00453494" w:rsidRPr="002715F2">
        <w:rPr>
          <w:rFonts w:eastAsia="Batang"/>
          <w:szCs w:val="24"/>
          <w:lang w:val="fr-FR" w:eastAsia="ko-KR"/>
        </w:rPr>
        <w:t>s au devoir d’informer toute</w:t>
      </w:r>
      <w:r w:rsidR="005859A3" w:rsidRPr="002715F2">
        <w:rPr>
          <w:rFonts w:eastAsia="Batang"/>
          <w:szCs w:val="24"/>
          <w:lang w:val="fr-FR" w:eastAsia="ko-KR"/>
        </w:rPr>
        <w:t xml:space="preserve"> personne de </w:t>
      </w:r>
      <w:r w:rsidR="00453494" w:rsidRPr="002715F2">
        <w:rPr>
          <w:rFonts w:eastAsia="Batang"/>
          <w:szCs w:val="24"/>
          <w:lang w:val="fr-FR" w:eastAsia="ko-KR"/>
        </w:rPr>
        <w:t>ses</w:t>
      </w:r>
      <w:r w:rsidR="005859A3" w:rsidRPr="002715F2">
        <w:rPr>
          <w:rFonts w:eastAsia="Batang"/>
          <w:szCs w:val="24"/>
          <w:lang w:val="fr-FR" w:eastAsia="ko-KR"/>
        </w:rPr>
        <w:t xml:space="preserve"> droits</w:t>
      </w:r>
      <w:r w:rsidR="006813A8" w:rsidRPr="002715F2">
        <w:rPr>
          <w:rFonts w:eastAsia="Batang"/>
          <w:szCs w:val="24"/>
          <w:lang w:val="fr-FR" w:eastAsia="ko-KR"/>
        </w:rPr>
        <w:t xml:space="preserve"> (</w:t>
      </w:r>
      <w:r w:rsidR="006813A8" w:rsidRPr="002715F2">
        <w:rPr>
          <w:lang w:val="fr-FR"/>
        </w:rPr>
        <w:t xml:space="preserve">règle </w:t>
      </w:r>
      <w:r w:rsidR="00E97B1A" w:rsidRPr="002715F2">
        <w:rPr>
          <w:lang w:val="fr-FR"/>
        </w:rPr>
        <w:t>«</w:t>
      </w:r>
      <w:r w:rsidR="006813A8" w:rsidRPr="002715F2">
        <w:rPr>
          <w:lang w:val="fr-FR"/>
        </w:rPr>
        <w:t>Miranda</w:t>
      </w:r>
      <w:r w:rsidR="00E97B1A" w:rsidRPr="002715F2">
        <w:rPr>
          <w:lang w:val="fr-FR"/>
        </w:rPr>
        <w:t>»</w:t>
      </w:r>
      <w:r w:rsidR="006813A8" w:rsidRPr="002715F2">
        <w:rPr>
          <w:lang w:val="fr-FR"/>
        </w:rPr>
        <w:t>)</w:t>
      </w:r>
      <w:r w:rsidR="00453494" w:rsidRPr="002715F2">
        <w:rPr>
          <w:rFonts w:eastAsia="Batang"/>
          <w:szCs w:val="24"/>
          <w:lang w:val="fr-FR" w:eastAsia="ko-KR"/>
        </w:rPr>
        <w:t xml:space="preserve"> et de notifier</w:t>
      </w:r>
      <w:r w:rsidR="005859A3" w:rsidRPr="002715F2">
        <w:rPr>
          <w:rFonts w:eastAsia="Batang"/>
          <w:szCs w:val="24"/>
          <w:lang w:val="fr-FR" w:eastAsia="ko-KR"/>
        </w:rPr>
        <w:t xml:space="preserve"> </w:t>
      </w:r>
      <w:r w:rsidR="00453494" w:rsidRPr="002715F2">
        <w:rPr>
          <w:rFonts w:eastAsia="Batang"/>
          <w:szCs w:val="24"/>
          <w:lang w:val="fr-FR" w:eastAsia="ko-KR"/>
        </w:rPr>
        <w:t>son</w:t>
      </w:r>
      <w:r w:rsidR="005859A3" w:rsidRPr="002715F2">
        <w:rPr>
          <w:rFonts w:eastAsia="Batang"/>
          <w:szCs w:val="24"/>
          <w:lang w:val="fr-FR" w:eastAsia="ko-KR"/>
        </w:rPr>
        <w:t xml:space="preserve"> </w:t>
      </w:r>
      <w:r w:rsidR="006813A8" w:rsidRPr="002715F2">
        <w:rPr>
          <w:rFonts w:eastAsia="Batang"/>
          <w:szCs w:val="24"/>
          <w:lang w:val="fr-FR" w:eastAsia="ko-KR"/>
        </w:rPr>
        <w:t>avocat</w:t>
      </w:r>
      <w:r w:rsidR="005859A3" w:rsidRPr="002715F2">
        <w:rPr>
          <w:rFonts w:eastAsia="Batang"/>
          <w:szCs w:val="24"/>
          <w:lang w:val="fr-FR" w:eastAsia="ko-KR"/>
        </w:rPr>
        <w:t xml:space="preserve"> ou un </w:t>
      </w:r>
      <w:r w:rsidR="007D22EE" w:rsidRPr="002715F2">
        <w:rPr>
          <w:rFonts w:eastAsia="Batang"/>
          <w:szCs w:val="24"/>
          <w:lang w:val="fr-FR" w:eastAsia="ko-KR"/>
        </w:rPr>
        <w:t>parent</w:t>
      </w:r>
      <w:r w:rsidR="00453494" w:rsidRPr="002715F2">
        <w:rPr>
          <w:rFonts w:eastAsia="Batang"/>
          <w:szCs w:val="24"/>
          <w:lang w:val="fr-FR" w:eastAsia="ko-KR"/>
        </w:rPr>
        <w:t xml:space="preserve"> au moment</w:t>
      </w:r>
      <w:r w:rsidR="005859A3" w:rsidRPr="002715F2">
        <w:rPr>
          <w:rFonts w:eastAsia="Batang"/>
          <w:szCs w:val="24"/>
          <w:lang w:val="fr-FR" w:eastAsia="ko-KR"/>
        </w:rPr>
        <w:t xml:space="preserve"> </w:t>
      </w:r>
      <w:r w:rsidR="00355F17" w:rsidRPr="002715F2">
        <w:rPr>
          <w:rFonts w:eastAsia="Batang"/>
          <w:szCs w:val="24"/>
          <w:lang w:val="fr-FR" w:eastAsia="ko-KR"/>
        </w:rPr>
        <w:t xml:space="preserve">où </w:t>
      </w:r>
      <w:r w:rsidR="00133A0C" w:rsidRPr="002715F2">
        <w:rPr>
          <w:rFonts w:eastAsia="Batang"/>
          <w:szCs w:val="24"/>
          <w:lang w:val="fr-FR" w:eastAsia="ko-KR"/>
        </w:rPr>
        <w:t>c</w:t>
      </w:r>
      <w:r w:rsidR="00453494" w:rsidRPr="002715F2">
        <w:rPr>
          <w:rFonts w:eastAsia="Batang"/>
          <w:szCs w:val="24"/>
          <w:lang w:val="fr-FR" w:eastAsia="ko-KR"/>
        </w:rPr>
        <w:t>elle</w:t>
      </w:r>
      <w:r w:rsidR="00133A0C" w:rsidRPr="002715F2">
        <w:rPr>
          <w:rFonts w:eastAsia="Batang"/>
          <w:szCs w:val="24"/>
          <w:lang w:val="fr-FR" w:eastAsia="ko-KR"/>
        </w:rPr>
        <w:t>-ci</w:t>
      </w:r>
      <w:r w:rsidR="00453494" w:rsidRPr="002715F2">
        <w:rPr>
          <w:rFonts w:eastAsia="Batang"/>
          <w:szCs w:val="24"/>
          <w:lang w:val="fr-FR" w:eastAsia="ko-KR"/>
        </w:rPr>
        <w:t xml:space="preserve"> est </w:t>
      </w:r>
      <w:r w:rsidR="00453494" w:rsidRPr="002715F2">
        <w:rPr>
          <w:lang w:val="fr-FR"/>
        </w:rPr>
        <w:t xml:space="preserve">placée en état d’arrestation ou en détention </w:t>
      </w:r>
      <w:r w:rsidR="005859A3" w:rsidRPr="002715F2">
        <w:rPr>
          <w:rFonts w:eastAsia="Batang"/>
          <w:szCs w:val="24"/>
          <w:lang w:val="fr-FR" w:eastAsia="ko-KR"/>
        </w:rPr>
        <w:t xml:space="preserve">sont </w:t>
      </w:r>
      <w:r w:rsidR="00453494" w:rsidRPr="002715F2">
        <w:rPr>
          <w:rFonts w:eastAsia="Batang"/>
          <w:szCs w:val="24"/>
          <w:lang w:val="fr-FR" w:eastAsia="ko-KR"/>
        </w:rPr>
        <w:t>décrits</w:t>
      </w:r>
      <w:r w:rsidR="005859A3" w:rsidRPr="002715F2">
        <w:rPr>
          <w:rFonts w:eastAsia="Batang"/>
          <w:szCs w:val="24"/>
          <w:lang w:val="fr-FR" w:eastAsia="ko-KR"/>
        </w:rPr>
        <w:t xml:space="preserve"> dans le deuxième</w:t>
      </w:r>
      <w:r w:rsidR="000273C5" w:rsidRPr="002715F2">
        <w:rPr>
          <w:rFonts w:eastAsia="Batang"/>
          <w:szCs w:val="24"/>
          <w:lang w:val="fr-FR" w:eastAsia="ko-KR"/>
        </w:rPr>
        <w:t xml:space="preserve"> rapport</w:t>
      </w:r>
      <w:r w:rsidR="005859A3" w:rsidRPr="002715F2">
        <w:rPr>
          <w:rFonts w:eastAsia="Batang"/>
          <w:szCs w:val="24"/>
          <w:lang w:val="fr-FR" w:eastAsia="ko-KR"/>
        </w:rPr>
        <w:t xml:space="preserve"> </w:t>
      </w:r>
      <w:r w:rsidR="000078DA" w:rsidRPr="002715F2">
        <w:rPr>
          <w:rFonts w:eastAsia="Batang"/>
          <w:lang w:val="fr-FR" w:eastAsia="ko-KR"/>
        </w:rPr>
        <w:t>(</w:t>
      </w:r>
      <w:r w:rsidR="000078DA" w:rsidRPr="002715F2">
        <w:rPr>
          <w:rFonts w:eastAsia="휴먼명조"/>
          <w:szCs w:val="24"/>
          <w:lang w:val="fr-FR" w:eastAsia="ko-KR"/>
        </w:rPr>
        <w:t>CAT/C/53/Add.2</w:t>
      </w:r>
      <w:r w:rsidR="005859A3" w:rsidRPr="002715F2">
        <w:rPr>
          <w:rFonts w:eastAsia="휴먼명조"/>
          <w:szCs w:val="24"/>
          <w:lang w:val="fr-FR" w:eastAsia="ko-KR"/>
        </w:rPr>
        <w:t>,</w:t>
      </w:r>
      <w:r w:rsidR="000078DA" w:rsidRPr="002715F2">
        <w:rPr>
          <w:rFonts w:eastAsia="휴먼명조"/>
          <w:szCs w:val="24"/>
          <w:lang w:val="fr-FR" w:eastAsia="ko-KR"/>
        </w:rPr>
        <w:t xml:space="preserve"> </w:t>
      </w:r>
      <w:r w:rsidR="00480124" w:rsidRPr="002715F2">
        <w:rPr>
          <w:rFonts w:eastAsia="휴먼명조"/>
          <w:szCs w:val="24"/>
          <w:lang w:val="fr-FR" w:eastAsia="ko-KR"/>
        </w:rPr>
        <w:t>par. </w:t>
      </w:r>
      <w:r w:rsidR="000078DA" w:rsidRPr="002715F2">
        <w:rPr>
          <w:rFonts w:eastAsia="휴먼명조"/>
          <w:szCs w:val="24"/>
          <w:lang w:val="fr-FR" w:eastAsia="ko-KR"/>
        </w:rPr>
        <w:t>90</w:t>
      </w:r>
      <w:r w:rsidR="005859A3" w:rsidRPr="002715F2">
        <w:rPr>
          <w:rFonts w:eastAsia="휴먼명조"/>
          <w:szCs w:val="24"/>
          <w:lang w:val="fr-FR" w:eastAsia="ko-KR"/>
        </w:rPr>
        <w:t xml:space="preserve"> et</w:t>
      </w:r>
      <w:r w:rsidR="000078DA" w:rsidRPr="002715F2">
        <w:rPr>
          <w:rFonts w:eastAsia="휴먼명조"/>
          <w:szCs w:val="24"/>
          <w:lang w:val="fr-FR" w:eastAsia="ko-KR"/>
        </w:rPr>
        <w:t xml:space="preserve"> 118).</w:t>
      </w:r>
    </w:p>
    <w:p w:rsidR="000078DA" w:rsidRPr="002715F2" w:rsidRDefault="007026FB" w:rsidP="007026FB">
      <w:pPr>
        <w:pStyle w:val="SingleTxtG"/>
        <w:rPr>
          <w:rFonts w:eastAsia="Gulim"/>
          <w:szCs w:val="24"/>
          <w:lang w:val="fr-FR" w:eastAsia="ko-KR"/>
        </w:rPr>
      </w:pPr>
      <w:r w:rsidRPr="002715F2">
        <w:rPr>
          <w:rFonts w:eastAsia="Gulim"/>
          <w:szCs w:val="24"/>
          <w:lang w:val="fr-FR" w:eastAsia="ko-KR"/>
        </w:rPr>
        <w:t>19.</w:t>
      </w:r>
      <w:r w:rsidRPr="002715F2">
        <w:rPr>
          <w:rFonts w:eastAsia="Gulim"/>
          <w:szCs w:val="24"/>
          <w:lang w:val="fr-FR" w:eastAsia="ko-KR"/>
        </w:rPr>
        <w:tab/>
      </w:r>
      <w:r w:rsidR="000273C5" w:rsidRPr="002715F2">
        <w:rPr>
          <w:rFonts w:eastAsia="Gulim"/>
          <w:szCs w:val="24"/>
          <w:lang w:val="fr-FR" w:eastAsia="ko-KR"/>
        </w:rPr>
        <w:t xml:space="preserve">Un suspect arrêté ou détenu peut demander au directeur </w:t>
      </w:r>
      <w:r w:rsidR="00133A0C" w:rsidRPr="002715F2">
        <w:rPr>
          <w:rFonts w:eastAsia="Gulim"/>
          <w:szCs w:val="24"/>
          <w:lang w:val="fr-FR" w:eastAsia="ko-KR"/>
        </w:rPr>
        <w:t>de la prison</w:t>
      </w:r>
      <w:r w:rsidR="000273C5" w:rsidRPr="002715F2">
        <w:rPr>
          <w:rFonts w:eastAsia="Gulim"/>
          <w:szCs w:val="24"/>
          <w:lang w:val="fr-FR" w:eastAsia="ko-KR"/>
        </w:rPr>
        <w:t xml:space="preserve"> ou </w:t>
      </w:r>
      <w:r w:rsidR="00133A0C" w:rsidRPr="002715F2">
        <w:rPr>
          <w:rFonts w:eastAsia="Gulim"/>
          <w:szCs w:val="24"/>
          <w:lang w:val="fr-FR" w:eastAsia="ko-KR"/>
        </w:rPr>
        <w:t>du</w:t>
      </w:r>
      <w:r w:rsidR="000273C5" w:rsidRPr="002715F2">
        <w:rPr>
          <w:rFonts w:eastAsia="Gulim"/>
          <w:szCs w:val="24"/>
          <w:lang w:val="fr-FR" w:eastAsia="ko-KR"/>
        </w:rPr>
        <w:t xml:space="preserve"> centre de détention </w:t>
      </w:r>
      <w:r w:rsidR="00EC5D5F" w:rsidRPr="002715F2">
        <w:rPr>
          <w:rFonts w:eastAsia="Gulim"/>
          <w:szCs w:val="24"/>
          <w:lang w:val="fr-FR" w:eastAsia="ko-KR"/>
        </w:rPr>
        <w:t>la nomination d’un</w:t>
      </w:r>
      <w:r w:rsidR="000273C5" w:rsidRPr="002715F2">
        <w:rPr>
          <w:rFonts w:eastAsia="Gulim"/>
          <w:szCs w:val="24"/>
          <w:lang w:val="fr-FR" w:eastAsia="ko-KR"/>
        </w:rPr>
        <w:t xml:space="preserve"> </w:t>
      </w:r>
      <w:r w:rsidR="00EC5D5F" w:rsidRPr="002715F2">
        <w:rPr>
          <w:rFonts w:eastAsia="Gulim"/>
          <w:szCs w:val="24"/>
          <w:lang w:val="fr-FR" w:eastAsia="ko-KR"/>
        </w:rPr>
        <w:t>avocat</w:t>
      </w:r>
      <w:r w:rsidR="000273C5" w:rsidRPr="002715F2">
        <w:rPr>
          <w:rFonts w:eastAsia="Gulim"/>
          <w:szCs w:val="24"/>
          <w:lang w:val="fr-FR" w:eastAsia="ko-KR"/>
        </w:rPr>
        <w:t xml:space="preserve"> désigné par le suspect</w:t>
      </w:r>
      <w:r w:rsidR="000078DA" w:rsidRPr="002715F2">
        <w:rPr>
          <w:rFonts w:eastAsia="Gulim"/>
          <w:szCs w:val="24"/>
          <w:lang w:val="fr-FR" w:eastAsia="ko-KR"/>
        </w:rPr>
        <w:t xml:space="preserve">. </w:t>
      </w:r>
      <w:r w:rsidR="00EC5D5F" w:rsidRPr="002715F2">
        <w:rPr>
          <w:rFonts w:eastAsia="Gulim"/>
          <w:szCs w:val="24"/>
          <w:lang w:val="fr-FR" w:eastAsia="ko-KR"/>
        </w:rPr>
        <w:t xml:space="preserve">Dès réception de cette demande, le directeur de </w:t>
      </w:r>
      <w:r w:rsidR="00133A0C" w:rsidRPr="002715F2">
        <w:rPr>
          <w:rFonts w:eastAsia="Gulim"/>
          <w:szCs w:val="24"/>
          <w:lang w:val="fr-FR" w:eastAsia="ko-KR"/>
        </w:rPr>
        <w:t>la prison</w:t>
      </w:r>
      <w:r w:rsidR="00EC5D5F" w:rsidRPr="002715F2">
        <w:rPr>
          <w:rFonts w:eastAsia="Gulim"/>
          <w:szCs w:val="24"/>
          <w:lang w:val="fr-FR" w:eastAsia="ko-KR"/>
        </w:rPr>
        <w:t xml:space="preserve"> ou du centre concerné doit en aviser immédiatement l’avocat désigné par le suspect </w:t>
      </w:r>
      <w:r w:rsidR="000078DA" w:rsidRPr="002715F2">
        <w:rPr>
          <w:rFonts w:eastAsia="Gulim"/>
          <w:szCs w:val="24"/>
          <w:lang w:val="fr-FR" w:eastAsia="ko-KR"/>
        </w:rPr>
        <w:t>(</w:t>
      </w:r>
      <w:r w:rsidR="000273C5" w:rsidRPr="002715F2">
        <w:rPr>
          <w:rFonts w:eastAsia="Gulim"/>
          <w:szCs w:val="24"/>
          <w:lang w:val="fr-FR" w:eastAsia="ko-KR"/>
        </w:rPr>
        <w:t xml:space="preserve">Code de </w:t>
      </w:r>
      <w:r w:rsidR="005C6D8E" w:rsidRPr="002715F2">
        <w:rPr>
          <w:rFonts w:eastAsia="Gulim"/>
          <w:szCs w:val="24"/>
          <w:lang w:val="fr-FR" w:eastAsia="ko-KR"/>
        </w:rPr>
        <w:t>procédure</w:t>
      </w:r>
      <w:r w:rsidR="000273C5" w:rsidRPr="002715F2">
        <w:rPr>
          <w:rFonts w:eastAsia="Gulim"/>
          <w:szCs w:val="24"/>
          <w:lang w:val="fr-FR" w:eastAsia="ko-KR"/>
        </w:rPr>
        <w:t xml:space="preserve"> pénale, art</w:t>
      </w:r>
      <w:r w:rsidR="00E1469B" w:rsidRPr="002715F2">
        <w:rPr>
          <w:rFonts w:eastAsia="Gulim"/>
          <w:szCs w:val="24"/>
          <w:lang w:val="fr-FR" w:eastAsia="ko-KR"/>
        </w:rPr>
        <w:t xml:space="preserve">. </w:t>
      </w:r>
      <w:r w:rsidR="000078DA" w:rsidRPr="002715F2">
        <w:rPr>
          <w:rFonts w:eastAsia="Gulim"/>
          <w:szCs w:val="24"/>
          <w:lang w:val="fr-FR" w:eastAsia="ko-KR"/>
        </w:rPr>
        <w:t>200-6, 209, 213-2</w:t>
      </w:r>
      <w:r w:rsidR="000273C5" w:rsidRPr="002715F2">
        <w:rPr>
          <w:rFonts w:eastAsia="Gulim"/>
          <w:szCs w:val="24"/>
          <w:lang w:val="fr-FR" w:eastAsia="ko-KR"/>
        </w:rPr>
        <w:t xml:space="preserve"> et</w:t>
      </w:r>
      <w:r w:rsidR="000078DA" w:rsidRPr="002715F2">
        <w:rPr>
          <w:rFonts w:eastAsia="Gulim"/>
          <w:szCs w:val="24"/>
          <w:lang w:val="fr-FR" w:eastAsia="ko-KR"/>
        </w:rPr>
        <w:t xml:space="preserve"> 90).</w:t>
      </w:r>
    </w:p>
    <w:p w:rsidR="000078DA" w:rsidRPr="002715F2" w:rsidRDefault="007026FB" w:rsidP="007026FB">
      <w:pPr>
        <w:pStyle w:val="SingleTxtG"/>
        <w:rPr>
          <w:rFonts w:eastAsia="Gulim"/>
          <w:lang w:val="fr-FR" w:eastAsia="ko-KR"/>
        </w:rPr>
      </w:pPr>
      <w:r w:rsidRPr="002715F2">
        <w:rPr>
          <w:rFonts w:eastAsia="Gulim"/>
          <w:lang w:val="fr-FR" w:eastAsia="ko-KR"/>
        </w:rPr>
        <w:t>20.</w:t>
      </w:r>
      <w:r w:rsidRPr="002715F2">
        <w:rPr>
          <w:rFonts w:eastAsia="Gulim"/>
          <w:lang w:val="fr-FR" w:eastAsia="ko-KR"/>
        </w:rPr>
        <w:tab/>
      </w:r>
      <w:r w:rsidR="00EC5D5F" w:rsidRPr="002715F2">
        <w:rPr>
          <w:rFonts w:eastAsia="Gulim"/>
          <w:lang w:val="fr-FR" w:eastAsia="ko-KR"/>
        </w:rPr>
        <w:t xml:space="preserve">Le </w:t>
      </w:r>
      <w:r w:rsidR="00EC5D5F" w:rsidRPr="002715F2">
        <w:rPr>
          <w:rFonts w:eastAsia="Gulim"/>
          <w:szCs w:val="24"/>
          <w:lang w:val="fr-FR" w:eastAsia="ko-KR"/>
        </w:rPr>
        <w:t xml:space="preserve">Code de </w:t>
      </w:r>
      <w:r w:rsidR="005C6D8E" w:rsidRPr="002715F2">
        <w:rPr>
          <w:rFonts w:eastAsia="Gulim"/>
          <w:szCs w:val="24"/>
          <w:lang w:val="fr-FR" w:eastAsia="ko-KR"/>
        </w:rPr>
        <w:t>procédure</w:t>
      </w:r>
      <w:r w:rsidR="00EC5D5F" w:rsidRPr="002715F2">
        <w:rPr>
          <w:rFonts w:eastAsia="Gulim"/>
          <w:szCs w:val="24"/>
          <w:lang w:val="fr-FR" w:eastAsia="ko-KR"/>
        </w:rPr>
        <w:t xml:space="preserve"> pénale </w:t>
      </w:r>
      <w:r w:rsidR="00EC5D5F" w:rsidRPr="002715F2">
        <w:rPr>
          <w:rFonts w:eastAsia="Gulim"/>
          <w:lang w:val="fr-FR" w:eastAsia="ko-KR"/>
        </w:rPr>
        <w:t xml:space="preserve">garantit </w:t>
      </w:r>
      <w:r w:rsidR="00133A0C" w:rsidRPr="002715F2">
        <w:rPr>
          <w:rFonts w:eastAsia="Gulim"/>
          <w:lang w:val="fr-FR" w:eastAsia="ko-KR"/>
        </w:rPr>
        <w:t>aux</w:t>
      </w:r>
      <w:r w:rsidR="00EC5D5F" w:rsidRPr="002715F2">
        <w:rPr>
          <w:rFonts w:eastAsia="Gulim"/>
          <w:lang w:val="fr-FR" w:eastAsia="ko-KR"/>
        </w:rPr>
        <w:t xml:space="preserve"> suspect</w:t>
      </w:r>
      <w:r w:rsidR="00133A0C" w:rsidRPr="002715F2">
        <w:rPr>
          <w:rFonts w:eastAsia="Gulim"/>
          <w:lang w:val="fr-FR" w:eastAsia="ko-KR"/>
        </w:rPr>
        <w:t>s</w:t>
      </w:r>
      <w:r w:rsidR="00EC5D5F" w:rsidRPr="002715F2">
        <w:rPr>
          <w:rFonts w:eastAsia="Gulim"/>
          <w:lang w:val="fr-FR" w:eastAsia="ko-KR"/>
        </w:rPr>
        <w:t xml:space="preserve"> </w:t>
      </w:r>
      <w:r w:rsidR="00EC5D5F" w:rsidRPr="002715F2">
        <w:rPr>
          <w:rFonts w:eastAsia="Gulim"/>
          <w:szCs w:val="24"/>
          <w:lang w:val="fr-FR" w:eastAsia="ko-KR"/>
        </w:rPr>
        <w:t>arrêté</w:t>
      </w:r>
      <w:r w:rsidR="00133A0C" w:rsidRPr="002715F2">
        <w:rPr>
          <w:rFonts w:eastAsia="Gulim"/>
          <w:szCs w:val="24"/>
          <w:lang w:val="fr-FR" w:eastAsia="ko-KR"/>
        </w:rPr>
        <w:t>s</w:t>
      </w:r>
      <w:r w:rsidR="00EC5D5F" w:rsidRPr="002715F2">
        <w:rPr>
          <w:rFonts w:eastAsia="Gulim"/>
          <w:szCs w:val="24"/>
          <w:lang w:val="fr-FR" w:eastAsia="ko-KR"/>
        </w:rPr>
        <w:t xml:space="preserve"> ou détenu</w:t>
      </w:r>
      <w:r w:rsidR="00133A0C" w:rsidRPr="002715F2">
        <w:rPr>
          <w:rFonts w:eastAsia="Gulim"/>
          <w:szCs w:val="24"/>
          <w:lang w:val="fr-FR" w:eastAsia="ko-KR"/>
        </w:rPr>
        <w:t>s</w:t>
      </w:r>
      <w:r w:rsidR="00EC5D5F" w:rsidRPr="002715F2">
        <w:rPr>
          <w:rFonts w:eastAsia="Gulim"/>
          <w:szCs w:val="24"/>
          <w:lang w:val="fr-FR" w:eastAsia="ko-KR"/>
        </w:rPr>
        <w:t xml:space="preserve"> </w:t>
      </w:r>
      <w:r w:rsidR="00133A0C" w:rsidRPr="002715F2">
        <w:rPr>
          <w:rFonts w:eastAsia="Gulim"/>
          <w:lang w:val="fr-FR" w:eastAsia="ko-KR"/>
        </w:rPr>
        <w:t xml:space="preserve">le droit </w:t>
      </w:r>
      <w:r w:rsidR="00A37D60" w:rsidRPr="002715F2">
        <w:rPr>
          <w:rFonts w:eastAsia="Gulim"/>
          <w:lang w:val="fr-FR" w:eastAsia="ko-KR"/>
        </w:rPr>
        <w:t>d’avoir une entrevue</w:t>
      </w:r>
      <w:r w:rsidR="00EC5D5F" w:rsidRPr="002715F2">
        <w:rPr>
          <w:lang w:val="fr-FR"/>
        </w:rPr>
        <w:t xml:space="preserve"> </w:t>
      </w:r>
      <w:r w:rsidR="00133A0C" w:rsidRPr="002715F2">
        <w:rPr>
          <w:lang w:val="fr-FR"/>
        </w:rPr>
        <w:t xml:space="preserve">et de communiquer </w:t>
      </w:r>
      <w:r w:rsidR="00EC5D5F" w:rsidRPr="002715F2">
        <w:rPr>
          <w:lang w:val="fr-FR"/>
        </w:rPr>
        <w:t xml:space="preserve">avec un avocat </w:t>
      </w:r>
      <w:r w:rsidR="00EC5D5F" w:rsidRPr="002715F2">
        <w:rPr>
          <w:rFonts w:eastAsia="Gulim"/>
          <w:lang w:val="fr-FR" w:eastAsia="ko-KR"/>
        </w:rPr>
        <w:t xml:space="preserve">ou toute autre personne, </w:t>
      </w:r>
      <w:r w:rsidR="00133A0C" w:rsidRPr="002715F2">
        <w:rPr>
          <w:rFonts w:eastAsia="Gulim"/>
          <w:lang w:val="fr-FR" w:eastAsia="ko-KR"/>
        </w:rPr>
        <w:t>notamment u</w:t>
      </w:r>
      <w:r w:rsidR="00EC5D5F" w:rsidRPr="002715F2">
        <w:rPr>
          <w:rFonts w:eastAsia="Gulim"/>
          <w:lang w:val="fr-FR" w:eastAsia="ko-KR"/>
        </w:rPr>
        <w:t xml:space="preserve">n </w:t>
      </w:r>
      <w:r w:rsidR="005C6D8E" w:rsidRPr="002715F2">
        <w:rPr>
          <w:rFonts w:eastAsia="Gulim"/>
          <w:lang w:val="fr-FR" w:eastAsia="ko-KR"/>
        </w:rPr>
        <w:t>membre</w:t>
      </w:r>
      <w:r w:rsidR="00EC5D5F" w:rsidRPr="002715F2">
        <w:rPr>
          <w:rFonts w:eastAsia="Gulim"/>
          <w:lang w:val="fr-FR" w:eastAsia="ko-KR"/>
        </w:rPr>
        <w:t xml:space="preserve"> de </w:t>
      </w:r>
      <w:r w:rsidR="00133A0C" w:rsidRPr="002715F2">
        <w:rPr>
          <w:rFonts w:eastAsia="Gulim"/>
          <w:lang w:val="fr-FR" w:eastAsia="ko-KR"/>
        </w:rPr>
        <w:t>leur</w:t>
      </w:r>
      <w:r w:rsidR="00EC5D5F" w:rsidRPr="002715F2">
        <w:rPr>
          <w:rFonts w:eastAsia="Gulim"/>
          <w:lang w:val="fr-FR" w:eastAsia="ko-KR"/>
        </w:rPr>
        <w:t xml:space="preserve"> famille</w:t>
      </w:r>
      <w:r w:rsidR="000078DA" w:rsidRPr="002715F2">
        <w:rPr>
          <w:rFonts w:eastAsia="Gulim"/>
          <w:lang w:val="fr-FR" w:eastAsia="ko-KR"/>
        </w:rPr>
        <w:t xml:space="preserve">. </w:t>
      </w:r>
      <w:r w:rsidR="00756B69" w:rsidRPr="002715F2">
        <w:rPr>
          <w:rFonts w:eastAsia="Gulim"/>
          <w:lang w:val="fr-FR" w:eastAsia="ko-KR"/>
        </w:rPr>
        <w:t>Un avocat peut obtenir une entrevue avec un suspect</w:t>
      </w:r>
      <w:r w:rsidR="00A37D60" w:rsidRPr="002715F2">
        <w:rPr>
          <w:rFonts w:eastAsia="Gulim"/>
          <w:lang w:val="fr-FR" w:eastAsia="ko-KR"/>
        </w:rPr>
        <w:t xml:space="preserve"> placé sous contrainte physique,</w:t>
      </w:r>
      <w:r w:rsidR="00756B69" w:rsidRPr="002715F2">
        <w:rPr>
          <w:rFonts w:eastAsia="Gulim"/>
          <w:lang w:val="fr-FR" w:eastAsia="ko-KR"/>
        </w:rPr>
        <w:t xml:space="preserve"> transmettre ou recevoir des documents ou </w:t>
      </w:r>
      <w:r w:rsidR="00A37D60" w:rsidRPr="002715F2">
        <w:rPr>
          <w:rFonts w:eastAsia="Gulim"/>
          <w:lang w:val="fr-FR" w:eastAsia="ko-KR"/>
        </w:rPr>
        <w:t xml:space="preserve">des </w:t>
      </w:r>
      <w:r w:rsidR="00756B69" w:rsidRPr="002715F2">
        <w:rPr>
          <w:rFonts w:eastAsia="Gulim"/>
          <w:lang w:val="fr-FR" w:eastAsia="ko-KR"/>
        </w:rPr>
        <w:t>objets</w:t>
      </w:r>
      <w:r w:rsidR="00A37D60" w:rsidRPr="002715F2">
        <w:rPr>
          <w:rFonts w:eastAsia="Gulim"/>
          <w:lang w:val="fr-FR" w:eastAsia="ko-KR"/>
        </w:rPr>
        <w:t xml:space="preserve">, et </w:t>
      </w:r>
      <w:r w:rsidR="00756B69" w:rsidRPr="002715F2">
        <w:rPr>
          <w:rFonts w:eastAsia="Gulim"/>
          <w:lang w:val="fr-FR" w:eastAsia="ko-KR"/>
        </w:rPr>
        <w:t xml:space="preserve">demander à </w:t>
      </w:r>
      <w:r w:rsidR="00CC7D69" w:rsidRPr="002715F2">
        <w:rPr>
          <w:rFonts w:eastAsia="Gulim"/>
          <w:lang w:val="fr-FR" w:eastAsia="ko-KR"/>
        </w:rPr>
        <w:t>tout</w:t>
      </w:r>
      <w:r w:rsidR="00756B69" w:rsidRPr="002715F2">
        <w:rPr>
          <w:rFonts w:eastAsia="Gulim"/>
          <w:lang w:val="fr-FR" w:eastAsia="ko-KR"/>
        </w:rPr>
        <w:t xml:space="preserve"> médecin d’examiner le suspect et de lui prodiguer des soins</w:t>
      </w:r>
      <w:r w:rsidR="000078DA" w:rsidRPr="002715F2">
        <w:rPr>
          <w:rFonts w:eastAsia="Gulim"/>
          <w:lang w:val="fr-FR" w:eastAsia="ko-KR"/>
        </w:rPr>
        <w:t xml:space="preserve"> (</w:t>
      </w:r>
      <w:r w:rsidR="00BD1A84" w:rsidRPr="002715F2">
        <w:rPr>
          <w:rFonts w:eastAsia="Gulim"/>
          <w:lang w:val="fr-FR" w:eastAsia="ko-KR"/>
        </w:rPr>
        <w:t>art. </w:t>
      </w:r>
      <w:r w:rsidR="000078DA" w:rsidRPr="002715F2">
        <w:rPr>
          <w:rFonts w:eastAsia="Gulim"/>
          <w:lang w:val="fr-FR" w:eastAsia="ko-KR"/>
        </w:rPr>
        <w:t xml:space="preserve">34). </w:t>
      </w:r>
      <w:r w:rsidR="00756B69" w:rsidRPr="002715F2">
        <w:rPr>
          <w:rFonts w:eastAsia="Gulim"/>
          <w:lang w:val="fr-FR" w:eastAsia="ko-KR"/>
        </w:rPr>
        <w:t xml:space="preserve">Un suspect peut, </w:t>
      </w:r>
      <w:r w:rsidR="007C5014" w:rsidRPr="002715F2">
        <w:rPr>
          <w:rFonts w:eastAsia="Gulim"/>
          <w:lang w:val="fr-FR" w:eastAsia="ko-KR"/>
        </w:rPr>
        <w:t>pour autant que les lois</w:t>
      </w:r>
      <w:r w:rsidR="00756B69" w:rsidRPr="002715F2">
        <w:rPr>
          <w:rFonts w:eastAsia="Gulim"/>
          <w:lang w:val="fr-FR" w:eastAsia="ko-KR"/>
        </w:rPr>
        <w:t xml:space="preserve"> le permettent, obtenir une entrevue avec d’autres personnes, transmettre ou recevoir des documents ou des </w:t>
      </w:r>
      <w:r w:rsidR="007C5014" w:rsidRPr="002715F2">
        <w:rPr>
          <w:rFonts w:eastAsia="Gulim"/>
          <w:lang w:val="fr-FR" w:eastAsia="ko-KR"/>
        </w:rPr>
        <w:t xml:space="preserve">objets, </w:t>
      </w:r>
      <w:r w:rsidR="00F60D54" w:rsidRPr="002715F2">
        <w:rPr>
          <w:rFonts w:eastAsia="Gulim"/>
          <w:lang w:val="fr-FR" w:eastAsia="ko-KR"/>
        </w:rPr>
        <w:t>être examiné</w:t>
      </w:r>
      <w:r w:rsidR="007C5014" w:rsidRPr="002715F2">
        <w:rPr>
          <w:rFonts w:eastAsia="Gulim"/>
          <w:lang w:val="fr-FR" w:eastAsia="ko-KR"/>
        </w:rPr>
        <w:t xml:space="preserve"> </w:t>
      </w:r>
      <w:r w:rsidR="00756B69" w:rsidRPr="002715F2">
        <w:rPr>
          <w:rFonts w:eastAsia="Gulim"/>
          <w:lang w:val="fr-FR" w:eastAsia="ko-KR"/>
        </w:rPr>
        <w:t xml:space="preserve">et </w:t>
      </w:r>
      <w:r w:rsidR="007C5014" w:rsidRPr="002715F2">
        <w:rPr>
          <w:rFonts w:eastAsia="Gulim"/>
          <w:lang w:val="fr-FR" w:eastAsia="ko-KR"/>
        </w:rPr>
        <w:t xml:space="preserve">suivre un traitement </w:t>
      </w:r>
      <w:r w:rsidR="005C6D8E" w:rsidRPr="002715F2">
        <w:rPr>
          <w:rFonts w:eastAsia="Gulim"/>
          <w:lang w:val="fr-FR" w:eastAsia="ko-KR"/>
        </w:rPr>
        <w:t>prescrit</w:t>
      </w:r>
      <w:r w:rsidR="007C5014" w:rsidRPr="002715F2">
        <w:rPr>
          <w:rFonts w:eastAsia="Gulim"/>
          <w:lang w:val="fr-FR" w:eastAsia="ko-KR"/>
        </w:rPr>
        <w:t xml:space="preserve"> par </w:t>
      </w:r>
      <w:r w:rsidR="00756B69" w:rsidRPr="002715F2">
        <w:rPr>
          <w:rFonts w:eastAsia="Gulim"/>
          <w:lang w:val="fr-FR" w:eastAsia="ko-KR"/>
        </w:rPr>
        <w:t xml:space="preserve">un médecin </w:t>
      </w:r>
      <w:r w:rsidR="000078DA" w:rsidRPr="002715F2">
        <w:rPr>
          <w:rFonts w:eastAsia="Gulim"/>
          <w:lang w:val="fr-FR" w:eastAsia="ko-KR"/>
        </w:rPr>
        <w:t>(</w:t>
      </w:r>
      <w:r w:rsidR="00756B69" w:rsidRPr="002715F2">
        <w:rPr>
          <w:rFonts w:eastAsia="Gulim"/>
          <w:lang w:val="fr-FR" w:eastAsia="ko-KR"/>
        </w:rPr>
        <w:t>art</w:t>
      </w:r>
      <w:r w:rsidR="000078DA" w:rsidRPr="002715F2">
        <w:rPr>
          <w:rFonts w:eastAsia="Gulim"/>
          <w:lang w:val="fr-FR" w:eastAsia="ko-KR"/>
        </w:rPr>
        <w:t>.</w:t>
      </w:r>
      <w:r w:rsidR="00756B69" w:rsidRPr="002715F2">
        <w:rPr>
          <w:rFonts w:eastAsia="Gulim"/>
          <w:lang w:val="fr-FR" w:eastAsia="ko-KR"/>
        </w:rPr>
        <w:t> </w:t>
      </w:r>
      <w:r w:rsidR="000078DA" w:rsidRPr="002715F2">
        <w:rPr>
          <w:rFonts w:eastAsia="Gulim"/>
          <w:lang w:val="fr-FR" w:eastAsia="ko-KR"/>
        </w:rPr>
        <w:t>200-6, 209, 213-2</w:t>
      </w:r>
      <w:r w:rsidR="00756B69" w:rsidRPr="002715F2">
        <w:rPr>
          <w:rFonts w:eastAsia="Gulim"/>
          <w:lang w:val="fr-FR" w:eastAsia="ko-KR"/>
        </w:rPr>
        <w:t xml:space="preserve"> et</w:t>
      </w:r>
      <w:r w:rsidR="000078DA" w:rsidRPr="002715F2">
        <w:rPr>
          <w:rFonts w:eastAsia="Gulim"/>
          <w:lang w:val="fr-FR" w:eastAsia="ko-KR"/>
        </w:rPr>
        <w:t xml:space="preserve"> 89). </w:t>
      </w:r>
      <w:r w:rsidR="007C5014" w:rsidRPr="002715F2">
        <w:rPr>
          <w:rFonts w:eastAsia="Gulim"/>
          <w:lang w:val="fr-FR" w:eastAsia="ko-KR"/>
        </w:rPr>
        <w:t xml:space="preserve">Le droit </w:t>
      </w:r>
      <w:r w:rsidR="00A37D60" w:rsidRPr="002715F2">
        <w:rPr>
          <w:rFonts w:eastAsia="Gulim"/>
          <w:lang w:val="fr-FR" w:eastAsia="ko-KR"/>
        </w:rPr>
        <w:t xml:space="preserve">pour le suspect </w:t>
      </w:r>
      <w:r w:rsidR="007C5014" w:rsidRPr="002715F2">
        <w:rPr>
          <w:rFonts w:eastAsia="Gulim"/>
          <w:lang w:val="fr-FR" w:eastAsia="ko-KR"/>
        </w:rPr>
        <w:t>d’avoir une entrevue et de communi</w:t>
      </w:r>
      <w:r w:rsidR="00A37D60" w:rsidRPr="002715F2">
        <w:rPr>
          <w:rFonts w:eastAsia="Gulim"/>
          <w:lang w:val="fr-FR" w:eastAsia="ko-KR"/>
        </w:rPr>
        <w:t xml:space="preserve">quer avec des personnes autres que son </w:t>
      </w:r>
      <w:r w:rsidR="007C5014" w:rsidRPr="002715F2">
        <w:rPr>
          <w:rFonts w:eastAsia="Gulim"/>
          <w:lang w:val="fr-FR" w:eastAsia="ko-KR"/>
        </w:rPr>
        <w:t xml:space="preserve">avocat peut être </w:t>
      </w:r>
      <w:r w:rsidR="00133A0C" w:rsidRPr="002715F2">
        <w:rPr>
          <w:rFonts w:eastAsia="Gulim"/>
          <w:lang w:val="fr-FR" w:eastAsia="ko-KR"/>
        </w:rPr>
        <w:t>limité</w:t>
      </w:r>
      <w:r w:rsidR="007C5014" w:rsidRPr="002715F2">
        <w:rPr>
          <w:rFonts w:eastAsia="Gulim"/>
          <w:lang w:val="fr-FR" w:eastAsia="ko-KR"/>
        </w:rPr>
        <w:t xml:space="preserve"> s’il existe des motifs raisonnables de </w:t>
      </w:r>
      <w:r w:rsidR="00C87106" w:rsidRPr="002715F2">
        <w:rPr>
          <w:lang w:val="fr-FR"/>
        </w:rPr>
        <w:t>croire</w:t>
      </w:r>
      <w:r w:rsidR="00CC7D69" w:rsidRPr="002715F2">
        <w:rPr>
          <w:lang w:val="fr-FR"/>
        </w:rPr>
        <w:t xml:space="preserve"> </w:t>
      </w:r>
      <w:r w:rsidR="00133A0C" w:rsidRPr="002715F2">
        <w:rPr>
          <w:rFonts w:eastAsia="Gulim"/>
          <w:lang w:val="fr-FR" w:eastAsia="ko-KR"/>
        </w:rPr>
        <w:t>qu’il</w:t>
      </w:r>
      <w:r w:rsidR="007C5014" w:rsidRPr="002715F2">
        <w:rPr>
          <w:rFonts w:eastAsia="Gulim"/>
          <w:lang w:val="fr-FR" w:eastAsia="ko-KR"/>
        </w:rPr>
        <w:t xml:space="preserve"> risque de s’enfuir ou de détruire des éléments de preuve </w:t>
      </w:r>
      <w:r w:rsidR="000078DA" w:rsidRPr="002715F2">
        <w:rPr>
          <w:rFonts w:eastAsia="Gulim"/>
          <w:lang w:val="fr-FR" w:eastAsia="ko-KR"/>
        </w:rPr>
        <w:t>(</w:t>
      </w:r>
      <w:r w:rsidR="00A37D60" w:rsidRPr="002715F2">
        <w:rPr>
          <w:rFonts w:eastAsia="Gulim"/>
          <w:lang w:val="fr-FR" w:eastAsia="ko-KR"/>
        </w:rPr>
        <w:t>art. 200-6 et</w:t>
      </w:r>
      <w:r w:rsidR="000078DA" w:rsidRPr="002715F2">
        <w:rPr>
          <w:rFonts w:eastAsia="Gulim"/>
          <w:lang w:val="fr-FR" w:eastAsia="ko-KR"/>
        </w:rPr>
        <w:t xml:space="preserve"> 209</w:t>
      </w:r>
      <w:r w:rsidR="00A37D60" w:rsidRPr="002715F2">
        <w:rPr>
          <w:rFonts w:eastAsia="Gulim"/>
          <w:lang w:val="fr-FR" w:eastAsia="ko-KR"/>
        </w:rPr>
        <w:t>, et</w:t>
      </w:r>
      <w:r w:rsidR="000078DA" w:rsidRPr="002715F2">
        <w:rPr>
          <w:rFonts w:eastAsia="Gulim"/>
          <w:lang w:val="fr-FR" w:eastAsia="ko-KR"/>
        </w:rPr>
        <w:t xml:space="preserve"> </w:t>
      </w:r>
      <w:r w:rsidR="007C5014" w:rsidRPr="002715F2">
        <w:rPr>
          <w:rFonts w:eastAsia="Gulim"/>
          <w:lang w:val="fr-FR" w:eastAsia="ko-KR"/>
        </w:rPr>
        <w:t>clause principale de l’article</w:t>
      </w:r>
      <w:r w:rsidR="00BD1A84" w:rsidRPr="002715F2">
        <w:rPr>
          <w:rFonts w:eastAsia="Gulim"/>
          <w:lang w:val="fr-FR" w:eastAsia="ko-KR"/>
        </w:rPr>
        <w:t> </w:t>
      </w:r>
      <w:r w:rsidR="000078DA" w:rsidRPr="002715F2">
        <w:rPr>
          <w:rFonts w:eastAsia="Gulim"/>
          <w:lang w:val="fr-FR" w:eastAsia="ko-KR"/>
        </w:rPr>
        <w:t>91).</w:t>
      </w:r>
      <w:r w:rsidR="007C5014" w:rsidRPr="002715F2">
        <w:rPr>
          <w:rFonts w:eastAsia="Gulim"/>
          <w:lang w:val="fr-FR" w:eastAsia="ko-KR"/>
        </w:rPr>
        <w:t xml:space="preserve"> Toutefois, même en pareil cas, la réception et la livraison de vêtements, </w:t>
      </w:r>
      <w:r w:rsidR="00133A0C" w:rsidRPr="002715F2">
        <w:rPr>
          <w:rFonts w:eastAsia="Gulim"/>
          <w:lang w:val="fr-FR" w:eastAsia="ko-KR"/>
        </w:rPr>
        <w:t xml:space="preserve">de </w:t>
      </w:r>
      <w:r w:rsidR="007C5014" w:rsidRPr="002715F2">
        <w:rPr>
          <w:rFonts w:eastAsia="Gulim"/>
          <w:lang w:val="fr-FR" w:eastAsia="ko-KR"/>
        </w:rPr>
        <w:t xml:space="preserve">nourriture ou </w:t>
      </w:r>
      <w:r w:rsidR="00133A0C" w:rsidRPr="002715F2">
        <w:rPr>
          <w:rFonts w:eastAsia="Gulim"/>
          <w:lang w:val="fr-FR" w:eastAsia="ko-KR"/>
        </w:rPr>
        <w:t xml:space="preserve">de </w:t>
      </w:r>
      <w:r w:rsidR="007C5014" w:rsidRPr="002715F2">
        <w:rPr>
          <w:rFonts w:eastAsia="Gulim"/>
          <w:lang w:val="fr-FR" w:eastAsia="ko-KR"/>
        </w:rPr>
        <w:t xml:space="preserve">fournitures médicales ne </w:t>
      </w:r>
      <w:r w:rsidR="00C87106" w:rsidRPr="002715F2">
        <w:rPr>
          <w:rFonts w:eastAsia="Gulim"/>
          <w:lang w:val="fr-FR" w:eastAsia="ko-KR"/>
        </w:rPr>
        <w:t>peuvent</w:t>
      </w:r>
      <w:r w:rsidR="007C5014" w:rsidRPr="002715F2">
        <w:rPr>
          <w:rFonts w:eastAsia="Gulim"/>
          <w:lang w:val="fr-FR" w:eastAsia="ko-KR"/>
        </w:rPr>
        <w:t xml:space="preserve"> être </w:t>
      </w:r>
      <w:r w:rsidR="00C87106" w:rsidRPr="002715F2">
        <w:rPr>
          <w:rFonts w:eastAsia="Gulim"/>
          <w:lang w:val="fr-FR" w:eastAsia="ko-KR"/>
        </w:rPr>
        <w:t xml:space="preserve">ni </w:t>
      </w:r>
      <w:r w:rsidR="007C5014" w:rsidRPr="002715F2">
        <w:rPr>
          <w:rFonts w:eastAsia="Gulim"/>
          <w:lang w:val="fr-FR" w:eastAsia="ko-KR"/>
        </w:rPr>
        <w:t xml:space="preserve">interdites ni saisies </w:t>
      </w:r>
      <w:r w:rsidR="000078DA" w:rsidRPr="002715F2">
        <w:rPr>
          <w:rFonts w:eastAsia="Gulim"/>
          <w:lang w:val="fr-FR" w:eastAsia="ko-KR"/>
        </w:rPr>
        <w:t>(</w:t>
      </w:r>
      <w:r w:rsidR="00BD1A84" w:rsidRPr="002715F2">
        <w:rPr>
          <w:rFonts w:eastAsia="Gulim"/>
          <w:lang w:val="fr-FR" w:eastAsia="ko-KR"/>
        </w:rPr>
        <w:t>art. </w:t>
      </w:r>
      <w:r w:rsidR="000078DA" w:rsidRPr="002715F2">
        <w:rPr>
          <w:rFonts w:eastAsia="Gulim"/>
          <w:lang w:val="fr-FR" w:eastAsia="ko-KR"/>
        </w:rPr>
        <w:t>91).</w:t>
      </w:r>
      <w:r w:rsidR="007C5014" w:rsidRPr="002715F2">
        <w:rPr>
          <w:rFonts w:eastAsia="Gulim"/>
          <w:lang w:val="fr-FR" w:eastAsia="ko-KR"/>
        </w:rPr>
        <w:t xml:space="preserve"> En particulier, </w:t>
      </w:r>
      <w:r w:rsidR="00F5626D" w:rsidRPr="002715F2">
        <w:rPr>
          <w:rFonts w:eastAsia="Gulim"/>
          <w:lang w:val="fr-FR" w:eastAsia="ko-KR"/>
        </w:rPr>
        <w:t>conformément à</w:t>
      </w:r>
      <w:r w:rsidR="007C5014" w:rsidRPr="002715F2">
        <w:rPr>
          <w:rFonts w:eastAsia="Gulim"/>
          <w:lang w:val="fr-FR" w:eastAsia="ko-KR"/>
        </w:rPr>
        <w:t xml:space="preserve"> la loi sur le service</w:t>
      </w:r>
      <w:r w:rsidR="00A5306D" w:rsidRPr="002715F2">
        <w:rPr>
          <w:rFonts w:eastAsia="Gulim"/>
          <w:lang w:val="fr-FR" w:eastAsia="ko-KR"/>
        </w:rPr>
        <w:t xml:space="preserve"> national</w:t>
      </w:r>
      <w:r w:rsidR="007C5014" w:rsidRPr="002715F2">
        <w:rPr>
          <w:rFonts w:eastAsia="Gulim"/>
          <w:lang w:val="fr-FR" w:eastAsia="ko-KR"/>
        </w:rPr>
        <w:t xml:space="preserve"> de renseignement</w:t>
      </w:r>
      <w:r w:rsidR="00A5306D" w:rsidRPr="002715F2">
        <w:rPr>
          <w:rFonts w:eastAsia="Gulim"/>
          <w:lang w:val="fr-FR" w:eastAsia="ko-KR"/>
        </w:rPr>
        <w:t>s</w:t>
      </w:r>
      <w:r w:rsidR="007C5014" w:rsidRPr="002715F2">
        <w:rPr>
          <w:rFonts w:eastAsia="Gulim"/>
          <w:lang w:val="fr-FR" w:eastAsia="ko-KR"/>
        </w:rPr>
        <w:t xml:space="preserve">, tout membre </w:t>
      </w:r>
      <w:r w:rsidR="00A5306D" w:rsidRPr="002715F2">
        <w:rPr>
          <w:rFonts w:eastAsia="Gulim"/>
          <w:lang w:val="fr-FR" w:eastAsia="ko-KR"/>
        </w:rPr>
        <w:t>de ce</w:t>
      </w:r>
      <w:r w:rsidR="00F5626D" w:rsidRPr="002715F2">
        <w:rPr>
          <w:rFonts w:eastAsia="Gulim"/>
          <w:lang w:val="fr-FR" w:eastAsia="ko-KR"/>
        </w:rPr>
        <w:t xml:space="preserve"> service </w:t>
      </w:r>
      <w:r w:rsidR="007C5014" w:rsidRPr="002715F2">
        <w:rPr>
          <w:rFonts w:eastAsia="Gulim"/>
          <w:lang w:val="fr-FR" w:eastAsia="ko-KR"/>
        </w:rPr>
        <w:t xml:space="preserve">qui </w:t>
      </w:r>
      <w:r w:rsidR="00F5626D" w:rsidRPr="002715F2">
        <w:rPr>
          <w:rFonts w:eastAsia="Gulim"/>
          <w:lang w:val="fr-FR" w:eastAsia="ko-KR"/>
        </w:rPr>
        <w:t>portera atteinte au</w:t>
      </w:r>
      <w:r w:rsidR="007C5014" w:rsidRPr="002715F2">
        <w:rPr>
          <w:rFonts w:eastAsia="Gulim"/>
          <w:lang w:val="fr-FR" w:eastAsia="ko-KR"/>
        </w:rPr>
        <w:t xml:space="preserve"> droit d</w:t>
      </w:r>
      <w:r w:rsidR="00F5626D" w:rsidRPr="002715F2">
        <w:rPr>
          <w:rFonts w:eastAsia="Gulim"/>
          <w:lang w:val="fr-FR" w:eastAsia="ko-KR"/>
        </w:rPr>
        <w:t>’</w:t>
      </w:r>
      <w:r w:rsidR="007C5014" w:rsidRPr="002715F2">
        <w:rPr>
          <w:rFonts w:eastAsia="Gulim"/>
          <w:lang w:val="fr-FR" w:eastAsia="ko-KR"/>
        </w:rPr>
        <w:t xml:space="preserve">un suspect </w:t>
      </w:r>
      <w:r w:rsidR="00F5626D" w:rsidRPr="002715F2">
        <w:rPr>
          <w:rFonts w:eastAsia="Gulim"/>
          <w:lang w:val="fr-FR" w:eastAsia="ko-KR"/>
        </w:rPr>
        <w:t>d’</w:t>
      </w:r>
      <w:r w:rsidR="007C5014" w:rsidRPr="002715F2">
        <w:rPr>
          <w:rFonts w:eastAsia="Gulim"/>
          <w:lang w:val="fr-FR" w:eastAsia="ko-KR"/>
        </w:rPr>
        <w:t xml:space="preserve">avoir une entrevue et de communiquer avec un avocat ou toute autre personne </w:t>
      </w:r>
      <w:r w:rsidR="00F5626D" w:rsidRPr="002715F2">
        <w:rPr>
          <w:rFonts w:eastAsia="Gulim"/>
          <w:lang w:val="fr-FR" w:eastAsia="ko-KR"/>
        </w:rPr>
        <w:t xml:space="preserve">sera passible d’une peine d’emprisonnement </w:t>
      </w:r>
      <w:r w:rsidR="009B567E" w:rsidRPr="002715F2">
        <w:rPr>
          <w:rFonts w:eastAsia="Gulim"/>
          <w:lang w:val="fr-FR" w:eastAsia="ko-KR"/>
        </w:rPr>
        <w:t xml:space="preserve">d’un </w:t>
      </w:r>
      <w:r w:rsidR="00F5626D" w:rsidRPr="002715F2">
        <w:rPr>
          <w:rFonts w:eastAsia="Gulim"/>
          <w:lang w:val="fr-FR" w:eastAsia="ko-KR"/>
        </w:rPr>
        <w:t>an</w:t>
      </w:r>
      <w:r w:rsidR="007C5014" w:rsidRPr="002715F2">
        <w:rPr>
          <w:rFonts w:eastAsia="Gulim"/>
          <w:lang w:val="fr-FR" w:eastAsia="ko-KR"/>
        </w:rPr>
        <w:t xml:space="preserve"> </w:t>
      </w:r>
      <w:r w:rsidR="00F5626D" w:rsidRPr="002715F2">
        <w:rPr>
          <w:rFonts w:eastAsia="Gulim"/>
          <w:lang w:val="fr-FR" w:eastAsia="ko-KR"/>
        </w:rPr>
        <w:t xml:space="preserve">maximum </w:t>
      </w:r>
      <w:r w:rsidR="007C5014" w:rsidRPr="002715F2">
        <w:rPr>
          <w:rFonts w:eastAsia="Gulim"/>
          <w:lang w:val="fr-FR" w:eastAsia="ko-KR"/>
        </w:rPr>
        <w:t xml:space="preserve">ou </w:t>
      </w:r>
      <w:r w:rsidR="00F5626D" w:rsidRPr="002715F2">
        <w:rPr>
          <w:rFonts w:eastAsia="Gulim"/>
          <w:lang w:val="fr-FR" w:eastAsia="ko-KR"/>
        </w:rPr>
        <w:t>d’</w:t>
      </w:r>
      <w:r w:rsidR="007C5014" w:rsidRPr="002715F2">
        <w:rPr>
          <w:rFonts w:eastAsia="Gulim"/>
          <w:lang w:val="fr-FR" w:eastAsia="ko-KR"/>
        </w:rPr>
        <w:t xml:space="preserve">une amende </w:t>
      </w:r>
      <w:r w:rsidR="00F5626D" w:rsidRPr="002715F2">
        <w:rPr>
          <w:rFonts w:eastAsia="Gulim"/>
          <w:lang w:val="fr-FR" w:eastAsia="ko-KR"/>
        </w:rPr>
        <w:t>ne pouvant excéder 10 </w:t>
      </w:r>
      <w:r w:rsidR="007C5014" w:rsidRPr="002715F2">
        <w:rPr>
          <w:rFonts w:eastAsia="Gulim"/>
          <w:lang w:val="fr-FR" w:eastAsia="ko-KR"/>
        </w:rPr>
        <w:t xml:space="preserve">millions de </w:t>
      </w:r>
      <w:r w:rsidR="00F5626D" w:rsidRPr="002715F2">
        <w:rPr>
          <w:rFonts w:eastAsia="Gulim"/>
          <w:lang w:val="fr-FR" w:eastAsia="ko-KR"/>
        </w:rPr>
        <w:t xml:space="preserve">won </w:t>
      </w:r>
      <w:r w:rsidR="000078DA" w:rsidRPr="002715F2">
        <w:rPr>
          <w:rFonts w:eastAsia="Gulim"/>
          <w:lang w:val="fr-FR" w:eastAsia="ko-KR"/>
        </w:rPr>
        <w:t>(</w:t>
      </w:r>
      <w:r w:rsidR="00BD1A84" w:rsidRPr="002715F2">
        <w:rPr>
          <w:rFonts w:eastAsia="Gulim"/>
          <w:lang w:val="fr-FR" w:eastAsia="ko-KR"/>
        </w:rPr>
        <w:t>art. </w:t>
      </w:r>
      <w:r w:rsidR="000078DA" w:rsidRPr="002715F2">
        <w:rPr>
          <w:rFonts w:eastAsia="Gulim"/>
          <w:lang w:val="fr-FR" w:eastAsia="ko-KR"/>
        </w:rPr>
        <w:t>19</w:t>
      </w:r>
      <w:r w:rsidR="00756B69" w:rsidRPr="002715F2">
        <w:rPr>
          <w:rFonts w:eastAsia="Gulim"/>
          <w:lang w:val="fr-FR" w:eastAsia="ko-KR"/>
        </w:rPr>
        <w:t>,</w:t>
      </w:r>
      <w:r w:rsidR="000078DA" w:rsidRPr="002715F2">
        <w:rPr>
          <w:rFonts w:eastAsia="Gulim"/>
          <w:lang w:val="fr-FR" w:eastAsia="ko-KR"/>
        </w:rPr>
        <w:t xml:space="preserve"> </w:t>
      </w:r>
      <w:r w:rsidR="00BD1A84" w:rsidRPr="002715F2">
        <w:rPr>
          <w:rFonts w:eastAsia="Gulim"/>
          <w:lang w:val="fr-FR" w:eastAsia="ko-KR"/>
        </w:rPr>
        <w:t>par. </w:t>
      </w:r>
      <w:r w:rsidR="000078DA" w:rsidRPr="002715F2">
        <w:rPr>
          <w:rFonts w:eastAsia="Gulim"/>
          <w:lang w:val="fr-FR" w:eastAsia="ko-KR"/>
        </w:rPr>
        <w:t>2).</w:t>
      </w:r>
    </w:p>
    <w:p w:rsidR="000078DA" w:rsidRPr="002715F2" w:rsidRDefault="007026FB" w:rsidP="007026FB">
      <w:pPr>
        <w:pStyle w:val="SingleTxtG"/>
        <w:rPr>
          <w:rFonts w:eastAsia="Gulim"/>
          <w:lang w:val="fr-FR" w:eastAsia="ko-KR"/>
        </w:rPr>
      </w:pPr>
      <w:r w:rsidRPr="002715F2">
        <w:rPr>
          <w:rFonts w:eastAsia="Gulim"/>
          <w:lang w:val="fr-FR" w:eastAsia="ko-KR"/>
        </w:rPr>
        <w:t>21.</w:t>
      </w:r>
      <w:r w:rsidRPr="002715F2">
        <w:rPr>
          <w:rFonts w:eastAsia="Gulim"/>
          <w:lang w:val="fr-FR" w:eastAsia="ko-KR"/>
        </w:rPr>
        <w:tab/>
      </w:r>
      <w:r w:rsidR="00F5626D" w:rsidRPr="002715F2">
        <w:rPr>
          <w:rFonts w:eastAsia="Gulim"/>
          <w:lang w:val="fr-FR" w:eastAsia="ko-KR"/>
        </w:rPr>
        <w:t xml:space="preserve">Les procureurs doivent </w:t>
      </w:r>
      <w:r w:rsidR="00FB09C4" w:rsidRPr="002715F2">
        <w:rPr>
          <w:lang w:val="fr-FR"/>
        </w:rPr>
        <w:t>inspecter les locaux de</w:t>
      </w:r>
      <w:r w:rsidR="00D44692" w:rsidRPr="002715F2">
        <w:rPr>
          <w:lang w:val="fr-FR"/>
        </w:rPr>
        <w:t xml:space="preserve"> garde à vue ou de</w:t>
      </w:r>
      <w:r w:rsidR="00FB09C4" w:rsidRPr="002715F2">
        <w:rPr>
          <w:lang w:val="fr-FR"/>
        </w:rPr>
        <w:t xml:space="preserve"> détention </w:t>
      </w:r>
      <w:r w:rsidR="00D44692" w:rsidRPr="002715F2">
        <w:rPr>
          <w:lang w:val="fr-FR"/>
        </w:rPr>
        <w:t>dans les</w:t>
      </w:r>
      <w:r w:rsidR="00FB09C4" w:rsidRPr="002715F2">
        <w:rPr>
          <w:lang w:val="fr-FR"/>
        </w:rPr>
        <w:t xml:space="preserve"> postes de police</w:t>
      </w:r>
      <w:r w:rsidR="000078DA" w:rsidRPr="002715F2">
        <w:rPr>
          <w:rFonts w:eastAsia="Gulim"/>
          <w:lang w:val="fr-FR" w:eastAsia="ko-KR"/>
        </w:rPr>
        <w:t xml:space="preserve"> </w:t>
      </w:r>
      <w:r w:rsidR="00FB09C4" w:rsidRPr="002715F2">
        <w:rPr>
          <w:rFonts w:eastAsia="Gulim"/>
          <w:lang w:val="fr-FR" w:eastAsia="ko-KR"/>
        </w:rPr>
        <w:t xml:space="preserve">au moins une fois </w:t>
      </w:r>
      <w:r w:rsidR="00A54EB7" w:rsidRPr="002715F2">
        <w:rPr>
          <w:rFonts w:eastAsia="Gulim"/>
          <w:lang w:val="fr-FR" w:eastAsia="ko-KR"/>
        </w:rPr>
        <w:t>par</w:t>
      </w:r>
      <w:r w:rsidR="00FB09C4" w:rsidRPr="002715F2">
        <w:rPr>
          <w:rFonts w:eastAsia="Gulim"/>
          <w:lang w:val="fr-FR" w:eastAsia="ko-KR"/>
        </w:rPr>
        <w:t xml:space="preserve"> mois </w:t>
      </w:r>
      <w:r w:rsidR="00FB09C4" w:rsidRPr="002715F2">
        <w:rPr>
          <w:lang w:val="fr-FR"/>
        </w:rPr>
        <w:t xml:space="preserve">en vue de prévenir </w:t>
      </w:r>
      <w:r w:rsidR="00D44692" w:rsidRPr="002715F2">
        <w:rPr>
          <w:lang w:val="fr-FR"/>
        </w:rPr>
        <w:t>les</w:t>
      </w:r>
      <w:r w:rsidR="00FB09C4" w:rsidRPr="002715F2">
        <w:rPr>
          <w:lang w:val="fr-FR"/>
        </w:rPr>
        <w:t xml:space="preserve"> violation</w:t>
      </w:r>
      <w:r w:rsidR="00D44692" w:rsidRPr="002715F2">
        <w:rPr>
          <w:lang w:val="fr-FR"/>
        </w:rPr>
        <w:t>s</w:t>
      </w:r>
      <w:r w:rsidR="00FB09C4" w:rsidRPr="002715F2">
        <w:rPr>
          <w:lang w:val="fr-FR"/>
        </w:rPr>
        <w:t xml:space="preserve"> des droits de l’homme telle</w:t>
      </w:r>
      <w:r w:rsidR="00D44692" w:rsidRPr="002715F2">
        <w:rPr>
          <w:lang w:val="fr-FR"/>
        </w:rPr>
        <w:t>s</w:t>
      </w:r>
      <w:r w:rsidR="00FB09C4" w:rsidRPr="002715F2">
        <w:rPr>
          <w:lang w:val="fr-FR"/>
        </w:rPr>
        <w:t xml:space="preserve"> que l</w:t>
      </w:r>
      <w:r w:rsidR="00D44692" w:rsidRPr="002715F2">
        <w:rPr>
          <w:lang w:val="fr-FR"/>
        </w:rPr>
        <w:t>es</w:t>
      </w:r>
      <w:r w:rsidR="00FB09C4" w:rsidRPr="002715F2">
        <w:rPr>
          <w:lang w:val="fr-FR"/>
        </w:rPr>
        <w:t xml:space="preserve"> détention</w:t>
      </w:r>
      <w:r w:rsidR="00D44692" w:rsidRPr="002715F2">
        <w:rPr>
          <w:lang w:val="fr-FR"/>
        </w:rPr>
        <w:t>s</w:t>
      </w:r>
      <w:r w:rsidR="00FB09C4" w:rsidRPr="002715F2">
        <w:rPr>
          <w:lang w:val="fr-FR"/>
        </w:rPr>
        <w:t xml:space="preserve"> </w:t>
      </w:r>
      <w:r w:rsidR="00A17C05" w:rsidRPr="002715F2">
        <w:rPr>
          <w:lang w:val="fr-FR"/>
        </w:rPr>
        <w:t>arbitraire</w:t>
      </w:r>
      <w:r w:rsidR="00D44692" w:rsidRPr="002715F2">
        <w:rPr>
          <w:lang w:val="fr-FR"/>
        </w:rPr>
        <w:t>s</w:t>
      </w:r>
      <w:r w:rsidR="00FB09C4" w:rsidRPr="002715F2">
        <w:rPr>
          <w:lang w:val="fr-FR"/>
        </w:rPr>
        <w:t xml:space="preserve"> et les actes de torture </w:t>
      </w:r>
      <w:r w:rsidR="000078DA" w:rsidRPr="002715F2">
        <w:rPr>
          <w:rFonts w:eastAsia="Gulim"/>
          <w:lang w:val="fr-FR" w:eastAsia="ko-KR"/>
        </w:rPr>
        <w:t>(</w:t>
      </w:r>
      <w:r w:rsidR="00F5626D" w:rsidRPr="002715F2">
        <w:rPr>
          <w:rFonts w:eastAsia="Gulim"/>
          <w:lang w:val="fr-FR" w:eastAsia="ko-KR"/>
        </w:rPr>
        <w:t xml:space="preserve">Code de </w:t>
      </w:r>
      <w:r w:rsidR="005C6D8E" w:rsidRPr="002715F2">
        <w:rPr>
          <w:rFonts w:eastAsia="Gulim"/>
          <w:lang w:val="fr-FR" w:eastAsia="ko-KR"/>
        </w:rPr>
        <w:t>procédure</w:t>
      </w:r>
      <w:r w:rsidR="00F5626D" w:rsidRPr="002715F2">
        <w:rPr>
          <w:rFonts w:eastAsia="Gulim"/>
          <w:lang w:val="fr-FR" w:eastAsia="ko-KR"/>
        </w:rPr>
        <w:t xml:space="preserve"> pénale,</w:t>
      </w:r>
      <w:r w:rsidR="000078DA" w:rsidRPr="002715F2">
        <w:rPr>
          <w:rFonts w:eastAsia="Gulim"/>
          <w:lang w:val="fr-FR" w:eastAsia="ko-KR"/>
        </w:rPr>
        <w:t xml:space="preserve"> </w:t>
      </w:r>
      <w:r w:rsidR="00BD1A84" w:rsidRPr="002715F2">
        <w:rPr>
          <w:rFonts w:eastAsia="Gulim"/>
          <w:lang w:val="fr-FR" w:eastAsia="ko-KR"/>
        </w:rPr>
        <w:t>art. </w:t>
      </w:r>
      <w:r w:rsidR="000078DA" w:rsidRPr="002715F2">
        <w:rPr>
          <w:rFonts w:eastAsia="Gulim"/>
          <w:lang w:val="fr-FR" w:eastAsia="ko-KR"/>
        </w:rPr>
        <w:t>198-2</w:t>
      </w:r>
      <w:r w:rsidR="00CC7D69" w:rsidRPr="002715F2">
        <w:rPr>
          <w:rFonts w:eastAsia="Gulim"/>
          <w:lang w:val="fr-FR" w:eastAsia="ko-KR"/>
        </w:rPr>
        <w:t>,</w:t>
      </w:r>
      <w:r w:rsidR="000078DA" w:rsidRPr="002715F2">
        <w:rPr>
          <w:rFonts w:eastAsia="Gulim"/>
          <w:lang w:val="fr-FR" w:eastAsia="ko-KR"/>
        </w:rPr>
        <w:t xml:space="preserve"> </w:t>
      </w:r>
      <w:r w:rsidR="00BD1A84" w:rsidRPr="002715F2">
        <w:rPr>
          <w:rFonts w:eastAsia="Gulim"/>
          <w:lang w:val="fr-FR" w:eastAsia="ko-KR"/>
        </w:rPr>
        <w:t>par. </w:t>
      </w:r>
      <w:r w:rsidR="000078DA" w:rsidRPr="002715F2">
        <w:rPr>
          <w:rFonts w:eastAsia="Gulim"/>
          <w:lang w:val="fr-FR" w:eastAsia="ko-KR"/>
        </w:rPr>
        <w:t xml:space="preserve">1). </w:t>
      </w:r>
      <w:r w:rsidR="00F5626D" w:rsidRPr="002715F2">
        <w:rPr>
          <w:rFonts w:eastAsia="Gulim"/>
          <w:lang w:val="fr-FR" w:eastAsia="ko-KR"/>
        </w:rPr>
        <w:t>Au</w:t>
      </w:r>
      <w:r w:rsidR="000078DA" w:rsidRPr="002715F2">
        <w:rPr>
          <w:rFonts w:eastAsia="Gulim"/>
          <w:lang w:val="fr-FR" w:eastAsia="ko-KR"/>
        </w:rPr>
        <w:t xml:space="preserve"> total</w:t>
      </w:r>
      <w:r w:rsidR="00F5626D" w:rsidRPr="002715F2">
        <w:rPr>
          <w:rFonts w:eastAsia="Gulim"/>
          <w:lang w:val="fr-FR" w:eastAsia="ko-KR"/>
        </w:rPr>
        <w:t>,</w:t>
      </w:r>
      <w:r w:rsidR="000078DA" w:rsidRPr="002715F2">
        <w:rPr>
          <w:rFonts w:eastAsia="Gulim"/>
          <w:lang w:val="fr-FR" w:eastAsia="ko-KR"/>
        </w:rPr>
        <w:t xml:space="preserve"> 2</w:t>
      </w:r>
      <w:r w:rsidR="00F5626D" w:rsidRPr="002715F2">
        <w:rPr>
          <w:rFonts w:eastAsia="Gulim"/>
          <w:lang w:val="fr-FR" w:eastAsia="ko-KR"/>
        </w:rPr>
        <w:t> </w:t>
      </w:r>
      <w:r w:rsidR="000078DA" w:rsidRPr="002715F2">
        <w:rPr>
          <w:rFonts w:eastAsia="Gulim"/>
          <w:lang w:val="fr-FR" w:eastAsia="ko-KR"/>
        </w:rPr>
        <w:t>971</w:t>
      </w:r>
      <w:r w:rsidR="00F5626D" w:rsidRPr="002715F2">
        <w:rPr>
          <w:rFonts w:eastAsia="Gulim"/>
          <w:lang w:val="fr-FR" w:eastAsia="ko-KR"/>
        </w:rPr>
        <w:t> </w:t>
      </w:r>
      <w:r w:rsidR="000078DA" w:rsidRPr="002715F2">
        <w:rPr>
          <w:rFonts w:eastAsia="Gulim"/>
          <w:lang w:val="fr-FR" w:eastAsia="ko-KR"/>
        </w:rPr>
        <w:t xml:space="preserve">inspections </w:t>
      </w:r>
      <w:r w:rsidR="00F5626D" w:rsidRPr="002715F2">
        <w:rPr>
          <w:rFonts w:eastAsia="Gulim"/>
          <w:lang w:val="fr-FR" w:eastAsia="ko-KR"/>
        </w:rPr>
        <w:t>ont été réalisées en 2006, 2 839 en 2007, 2 996 e</w:t>
      </w:r>
      <w:r w:rsidR="000078DA" w:rsidRPr="002715F2">
        <w:rPr>
          <w:rFonts w:eastAsia="Gulim"/>
          <w:lang w:val="fr-FR" w:eastAsia="ko-KR"/>
        </w:rPr>
        <w:t>n 2008, 3</w:t>
      </w:r>
      <w:r w:rsidR="00F5626D" w:rsidRPr="002715F2">
        <w:rPr>
          <w:rFonts w:eastAsia="Gulim"/>
          <w:lang w:val="fr-FR" w:eastAsia="ko-KR"/>
        </w:rPr>
        <w:t> </w:t>
      </w:r>
      <w:r w:rsidR="000078DA" w:rsidRPr="002715F2">
        <w:rPr>
          <w:rFonts w:eastAsia="Gulim"/>
          <w:lang w:val="fr-FR" w:eastAsia="ko-KR"/>
        </w:rPr>
        <w:t xml:space="preserve">112 </w:t>
      </w:r>
      <w:r w:rsidR="00F5626D" w:rsidRPr="002715F2">
        <w:rPr>
          <w:rFonts w:eastAsia="Gulim"/>
          <w:lang w:val="fr-FR" w:eastAsia="ko-KR"/>
        </w:rPr>
        <w:t>en 2009, 3 161 e</w:t>
      </w:r>
      <w:r w:rsidR="000078DA" w:rsidRPr="002715F2">
        <w:rPr>
          <w:rFonts w:eastAsia="Gulim"/>
          <w:lang w:val="fr-FR" w:eastAsia="ko-KR"/>
        </w:rPr>
        <w:t>n 2010, 3</w:t>
      </w:r>
      <w:r w:rsidR="00F5626D" w:rsidRPr="002715F2">
        <w:rPr>
          <w:rFonts w:eastAsia="Gulim"/>
          <w:lang w:val="fr-FR" w:eastAsia="ko-KR"/>
        </w:rPr>
        <w:t> </w:t>
      </w:r>
      <w:r w:rsidR="000078DA" w:rsidRPr="002715F2">
        <w:rPr>
          <w:rFonts w:eastAsia="Gulim"/>
          <w:lang w:val="fr-FR" w:eastAsia="ko-KR"/>
        </w:rPr>
        <w:t xml:space="preserve">065 </w:t>
      </w:r>
      <w:r w:rsidR="00F5626D" w:rsidRPr="002715F2">
        <w:rPr>
          <w:rFonts w:eastAsia="Gulim"/>
          <w:lang w:val="fr-FR" w:eastAsia="ko-KR"/>
        </w:rPr>
        <w:t>en</w:t>
      </w:r>
      <w:r w:rsidR="000078DA" w:rsidRPr="002715F2">
        <w:rPr>
          <w:rFonts w:eastAsia="Gulim"/>
          <w:lang w:val="fr-FR" w:eastAsia="ko-KR"/>
        </w:rPr>
        <w:t xml:space="preserve"> 2011, </w:t>
      </w:r>
      <w:r w:rsidR="00F5626D" w:rsidRPr="002715F2">
        <w:rPr>
          <w:rFonts w:eastAsia="휴먼명조"/>
          <w:lang w:val="fr-FR" w:eastAsia="ko-KR"/>
        </w:rPr>
        <w:t>3 </w:t>
      </w:r>
      <w:r w:rsidR="000078DA" w:rsidRPr="002715F2">
        <w:rPr>
          <w:rFonts w:eastAsia="휴먼명조"/>
          <w:lang w:val="fr-FR" w:eastAsia="ko-KR"/>
        </w:rPr>
        <w:t xml:space="preserve">017 </w:t>
      </w:r>
      <w:r w:rsidR="00F5626D" w:rsidRPr="002715F2">
        <w:rPr>
          <w:rFonts w:eastAsia="휴먼명조"/>
          <w:lang w:val="fr-FR" w:eastAsia="ko-KR"/>
        </w:rPr>
        <w:t>en</w:t>
      </w:r>
      <w:r w:rsidR="000078DA" w:rsidRPr="002715F2">
        <w:rPr>
          <w:rFonts w:eastAsia="휴먼명조"/>
          <w:lang w:val="fr-FR" w:eastAsia="ko-KR"/>
        </w:rPr>
        <w:t xml:space="preserve"> 2012, 3</w:t>
      </w:r>
      <w:r w:rsidR="00F5626D" w:rsidRPr="002715F2">
        <w:rPr>
          <w:rFonts w:eastAsia="휴먼명조"/>
          <w:lang w:val="fr-FR" w:eastAsia="ko-KR"/>
        </w:rPr>
        <w:t> </w:t>
      </w:r>
      <w:r w:rsidR="000078DA" w:rsidRPr="002715F2">
        <w:rPr>
          <w:rFonts w:eastAsia="휴먼명조"/>
          <w:lang w:val="fr-FR" w:eastAsia="ko-KR"/>
        </w:rPr>
        <w:t xml:space="preserve">199 </w:t>
      </w:r>
      <w:r w:rsidR="00F5626D" w:rsidRPr="002715F2">
        <w:rPr>
          <w:rFonts w:eastAsia="Gulim"/>
          <w:lang w:val="fr-FR" w:eastAsia="ko-KR"/>
        </w:rPr>
        <w:t xml:space="preserve">en </w:t>
      </w:r>
      <w:r w:rsidR="000078DA" w:rsidRPr="002715F2">
        <w:rPr>
          <w:rFonts w:eastAsia="휴먼명조"/>
          <w:lang w:val="fr-FR" w:eastAsia="ko-KR"/>
        </w:rPr>
        <w:t>2013, 3</w:t>
      </w:r>
      <w:r w:rsidR="00F5626D" w:rsidRPr="002715F2">
        <w:rPr>
          <w:rFonts w:eastAsia="휴먼명조"/>
          <w:lang w:val="fr-FR" w:eastAsia="ko-KR"/>
        </w:rPr>
        <w:t> </w:t>
      </w:r>
      <w:r w:rsidR="000078DA" w:rsidRPr="002715F2">
        <w:rPr>
          <w:rFonts w:eastAsia="휴먼명조"/>
          <w:lang w:val="fr-FR" w:eastAsia="ko-KR"/>
        </w:rPr>
        <w:t xml:space="preserve">256 </w:t>
      </w:r>
      <w:r w:rsidR="00F5626D" w:rsidRPr="002715F2">
        <w:rPr>
          <w:rFonts w:eastAsia="Gulim"/>
          <w:lang w:val="fr-FR" w:eastAsia="ko-KR"/>
        </w:rPr>
        <w:t xml:space="preserve">en </w:t>
      </w:r>
      <w:r w:rsidR="000078DA" w:rsidRPr="002715F2">
        <w:rPr>
          <w:rFonts w:eastAsia="휴먼명조"/>
          <w:lang w:val="fr-FR" w:eastAsia="ko-KR"/>
        </w:rPr>
        <w:t xml:space="preserve">2014 </w:t>
      </w:r>
      <w:r w:rsidR="00F5626D" w:rsidRPr="002715F2">
        <w:rPr>
          <w:rFonts w:eastAsia="휴먼명조"/>
          <w:lang w:val="fr-FR" w:eastAsia="ko-KR"/>
        </w:rPr>
        <w:t>et</w:t>
      </w:r>
      <w:r w:rsidR="000078DA" w:rsidRPr="002715F2">
        <w:rPr>
          <w:rFonts w:eastAsia="휴먼명조"/>
          <w:lang w:val="fr-FR" w:eastAsia="ko-KR"/>
        </w:rPr>
        <w:t xml:space="preserve"> 3</w:t>
      </w:r>
      <w:r w:rsidR="00F5626D" w:rsidRPr="002715F2">
        <w:rPr>
          <w:rFonts w:eastAsia="휴먼명조"/>
          <w:lang w:val="fr-FR" w:eastAsia="ko-KR"/>
        </w:rPr>
        <w:t> </w:t>
      </w:r>
      <w:r w:rsidR="000078DA" w:rsidRPr="002715F2">
        <w:rPr>
          <w:rFonts w:eastAsia="휴먼명조"/>
          <w:lang w:val="fr-FR" w:eastAsia="ko-KR"/>
        </w:rPr>
        <w:t xml:space="preserve">193 </w:t>
      </w:r>
      <w:r w:rsidR="00F5626D" w:rsidRPr="002715F2">
        <w:rPr>
          <w:rFonts w:eastAsia="Gulim"/>
          <w:lang w:val="fr-FR" w:eastAsia="ko-KR"/>
        </w:rPr>
        <w:t xml:space="preserve">en </w:t>
      </w:r>
      <w:r w:rsidR="000078DA" w:rsidRPr="002715F2">
        <w:rPr>
          <w:rFonts w:eastAsia="휴먼명조"/>
          <w:lang w:val="fr-FR" w:eastAsia="ko-KR"/>
        </w:rPr>
        <w:t>2015.</w:t>
      </w:r>
    </w:p>
    <w:p w:rsidR="000078DA" w:rsidRPr="002715F2" w:rsidRDefault="007026FB" w:rsidP="007026FB">
      <w:pPr>
        <w:pStyle w:val="SingleTxtG"/>
        <w:rPr>
          <w:rFonts w:eastAsia="Gulim"/>
          <w:lang w:val="fr-FR" w:eastAsia="ko-KR"/>
        </w:rPr>
      </w:pPr>
      <w:r w:rsidRPr="002715F2">
        <w:rPr>
          <w:rFonts w:eastAsia="Gulim"/>
          <w:lang w:val="fr-FR" w:eastAsia="ko-KR"/>
        </w:rPr>
        <w:t>22.</w:t>
      </w:r>
      <w:r w:rsidRPr="002715F2">
        <w:rPr>
          <w:rFonts w:eastAsia="Gulim"/>
          <w:lang w:val="fr-FR" w:eastAsia="ko-KR"/>
        </w:rPr>
        <w:tab/>
      </w:r>
      <w:r w:rsidR="00A54EB7" w:rsidRPr="002715F2">
        <w:rPr>
          <w:rFonts w:eastAsia="Gulim"/>
          <w:lang w:val="fr-FR" w:eastAsia="ko-KR"/>
        </w:rPr>
        <w:t xml:space="preserve">Le Code de </w:t>
      </w:r>
      <w:r w:rsidR="005C6D8E" w:rsidRPr="002715F2">
        <w:rPr>
          <w:rFonts w:eastAsia="Gulim"/>
          <w:lang w:val="fr-FR" w:eastAsia="ko-KR"/>
        </w:rPr>
        <w:t>procédure</w:t>
      </w:r>
      <w:r w:rsidR="00A54EB7" w:rsidRPr="002715F2">
        <w:rPr>
          <w:rFonts w:eastAsia="Gulim"/>
          <w:lang w:val="fr-FR" w:eastAsia="ko-KR"/>
        </w:rPr>
        <w:t xml:space="preserve"> pénale a été </w:t>
      </w:r>
      <w:r w:rsidR="00EF56C6" w:rsidRPr="002715F2">
        <w:rPr>
          <w:rFonts w:eastAsia="Gulim"/>
          <w:lang w:val="fr-FR" w:eastAsia="ko-KR"/>
        </w:rPr>
        <w:t>modifié</w:t>
      </w:r>
      <w:r w:rsidR="00A54EB7" w:rsidRPr="002715F2">
        <w:rPr>
          <w:rFonts w:eastAsia="Gulim"/>
          <w:lang w:val="fr-FR" w:eastAsia="ko-KR"/>
        </w:rPr>
        <w:t xml:space="preserve"> le 19 juillet 2006 afin </w:t>
      </w:r>
      <w:r w:rsidR="00877F0E" w:rsidRPr="002715F2">
        <w:rPr>
          <w:rFonts w:eastAsia="Gulim"/>
          <w:lang w:val="fr-FR" w:eastAsia="ko-KR"/>
        </w:rPr>
        <w:t>d’élargir le</w:t>
      </w:r>
      <w:r w:rsidR="00F60D54" w:rsidRPr="002715F2">
        <w:rPr>
          <w:rFonts w:eastAsia="Gulim"/>
          <w:lang w:val="fr-FR" w:eastAsia="ko-KR"/>
        </w:rPr>
        <w:t>s</w:t>
      </w:r>
      <w:r w:rsidR="00877F0E" w:rsidRPr="002715F2">
        <w:rPr>
          <w:rFonts w:eastAsia="Gulim"/>
          <w:lang w:val="fr-FR" w:eastAsia="ko-KR"/>
        </w:rPr>
        <w:t xml:space="preserve"> </w:t>
      </w:r>
      <w:r w:rsidR="00F60D54" w:rsidRPr="002715F2">
        <w:rPr>
          <w:rFonts w:eastAsia="Gulim"/>
          <w:lang w:val="fr-FR" w:eastAsia="ko-KR"/>
        </w:rPr>
        <w:t>catégories</w:t>
      </w:r>
      <w:r w:rsidR="00877F0E" w:rsidRPr="002715F2">
        <w:rPr>
          <w:rFonts w:eastAsia="Gulim"/>
          <w:lang w:val="fr-FR" w:eastAsia="ko-KR"/>
        </w:rPr>
        <w:t xml:space="preserve"> d’affaires </w:t>
      </w:r>
      <w:r w:rsidR="00A54EB7" w:rsidRPr="002715F2">
        <w:rPr>
          <w:rFonts w:eastAsia="Gulim"/>
          <w:lang w:val="fr-FR" w:eastAsia="ko-KR"/>
        </w:rPr>
        <w:t>dans lesque</w:t>
      </w:r>
      <w:r w:rsidR="00877F0E" w:rsidRPr="002715F2">
        <w:rPr>
          <w:rFonts w:eastAsia="Gulim"/>
          <w:lang w:val="fr-FR" w:eastAsia="ko-KR"/>
        </w:rPr>
        <w:t>l</w:t>
      </w:r>
      <w:r w:rsidR="00A54EB7" w:rsidRPr="002715F2">
        <w:rPr>
          <w:rFonts w:eastAsia="Gulim"/>
          <w:lang w:val="fr-FR" w:eastAsia="ko-KR"/>
        </w:rPr>
        <w:t>l</w:t>
      </w:r>
      <w:r w:rsidR="00877F0E" w:rsidRPr="002715F2">
        <w:rPr>
          <w:rFonts w:eastAsia="Gulim"/>
          <w:lang w:val="fr-FR" w:eastAsia="ko-KR"/>
        </w:rPr>
        <w:t>es d</w:t>
      </w:r>
      <w:r w:rsidR="00A54EB7" w:rsidRPr="002715F2">
        <w:rPr>
          <w:rFonts w:eastAsia="Gulim"/>
          <w:lang w:val="fr-FR" w:eastAsia="ko-KR"/>
        </w:rPr>
        <w:t xml:space="preserve">es </w:t>
      </w:r>
      <w:r w:rsidR="00877F0E" w:rsidRPr="002715F2">
        <w:rPr>
          <w:rFonts w:eastAsia="Gulim"/>
          <w:lang w:val="fr-FR" w:eastAsia="ko-KR"/>
        </w:rPr>
        <w:t>avocats</w:t>
      </w:r>
      <w:r w:rsidR="00A54EB7" w:rsidRPr="002715F2">
        <w:rPr>
          <w:rFonts w:eastAsia="Gulim"/>
          <w:lang w:val="fr-FR" w:eastAsia="ko-KR"/>
        </w:rPr>
        <w:t xml:space="preserve"> </w:t>
      </w:r>
      <w:r w:rsidR="00877F0E" w:rsidRPr="002715F2">
        <w:rPr>
          <w:rFonts w:eastAsia="Gulim"/>
          <w:lang w:val="fr-FR" w:eastAsia="ko-KR"/>
        </w:rPr>
        <w:t>peuvent être</w:t>
      </w:r>
      <w:r w:rsidR="00A54EB7" w:rsidRPr="002715F2">
        <w:rPr>
          <w:rFonts w:eastAsia="Gulim"/>
          <w:lang w:val="fr-FR" w:eastAsia="ko-KR"/>
        </w:rPr>
        <w:t xml:space="preserve"> </w:t>
      </w:r>
      <w:r w:rsidR="00877F0E" w:rsidRPr="002715F2">
        <w:rPr>
          <w:rFonts w:eastAsia="Gulim"/>
          <w:lang w:val="fr-FR" w:eastAsia="ko-KR"/>
        </w:rPr>
        <w:t>commis d’office</w:t>
      </w:r>
      <w:r w:rsidR="000078DA" w:rsidRPr="002715F2">
        <w:rPr>
          <w:rFonts w:eastAsia="Gulim"/>
          <w:lang w:val="fr-FR" w:eastAsia="ko-KR"/>
        </w:rPr>
        <w:t xml:space="preserve">. </w:t>
      </w:r>
      <w:r w:rsidR="00877F0E" w:rsidRPr="002715F2">
        <w:rPr>
          <w:rFonts w:eastAsia="Gulim"/>
          <w:lang w:val="fr-FR" w:eastAsia="ko-KR"/>
        </w:rPr>
        <w:t xml:space="preserve">Cette </w:t>
      </w:r>
      <w:r w:rsidR="008F18FE" w:rsidRPr="002715F2">
        <w:rPr>
          <w:rFonts w:eastAsia="Gulim"/>
          <w:lang w:val="fr-FR" w:eastAsia="ko-KR"/>
        </w:rPr>
        <w:t>modification renforce le</w:t>
      </w:r>
      <w:r w:rsidR="00877F0E" w:rsidRPr="002715F2">
        <w:rPr>
          <w:rFonts w:eastAsia="Gulim"/>
          <w:lang w:val="fr-FR" w:eastAsia="ko-KR"/>
        </w:rPr>
        <w:t xml:space="preserve"> droit des suspects et des accusés à être assistés d’un conseil</w:t>
      </w:r>
      <w:r w:rsidR="000078DA" w:rsidRPr="002715F2">
        <w:rPr>
          <w:rFonts w:eastAsia="Gulim"/>
          <w:lang w:val="fr-FR" w:eastAsia="ko-KR"/>
        </w:rPr>
        <w:t xml:space="preserve">. </w:t>
      </w:r>
      <w:r w:rsidR="00F60D54" w:rsidRPr="002715F2">
        <w:rPr>
          <w:rFonts w:eastAsia="Gulim"/>
          <w:lang w:val="fr-FR" w:eastAsia="ko-KR"/>
        </w:rPr>
        <w:t xml:space="preserve">Le tribunal </w:t>
      </w:r>
      <w:r w:rsidR="005C6D8E" w:rsidRPr="002715F2">
        <w:rPr>
          <w:rFonts w:eastAsia="Gulim"/>
          <w:lang w:val="fr-FR" w:eastAsia="ko-KR"/>
        </w:rPr>
        <w:t>comp</w:t>
      </w:r>
      <w:r w:rsidR="00355F17" w:rsidRPr="002715F2">
        <w:rPr>
          <w:rFonts w:eastAsia="Gulim"/>
          <w:lang w:val="fr-FR" w:eastAsia="ko-KR"/>
        </w:rPr>
        <w:t>é</w:t>
      </w:r>
      <w:r w:rsidR="005C6D8E" w:rsidRPr="002715F2">
        <w:rPr>
          <w:rFonts w:eastAsia="Gulim"/>
          <w:lang w:val="fr-FR" w:eastAsia="ko-KR"/>
        </w:rPr>
        <w:t>t</w:t>
      </w:r>
      <w:r w:rsidR="00355F17" w:rsidRPr="002715F2">
        <w:rPr>
          <w:rFonts w:eastAsia="Gulim"/>
          <w:lang w:val="fr-FR" w:eastAsia="ko-KR"/>
        </w:rPr>
        <w:t>e</w:t>
      </w:r>
      <w:r w:rsidR="005C6D8E" w:rsidRPr="002715F2">
        <w:rPr>
          <w:rFonts w:eastAsia="Gulim"/>
          <w:lang w:val="fr-FR" w:eastAsia="ko-KR"/>
        </w:rPr>
        <w:t>nt</w:t>
      </w:r>
      <w:r w:rsidR="007A3B0B" w:rsidRPr="002715F2">
        <w:rPr>
          <w:rFonts w:eastAsia="Gulim"/>
          <w:lang w:val="fr-FR" w:eastAsia="ko-KR"/>
        </w:rPr>
        <w:t xml:space="preserve"> </w:t>
      </w:r>
      <w:r w:rsidR="00F60D54" w:rsidRPr="002715F2">
        <w:rPr>
          <w:rFonts w:eastAsia="Malgun Gothic"/>
          <w:kern w:val="2"/>
          <w:lang w:val="fr-FR" w:eastAsia="ko-KR"/>
        </w:rPr>
        <w:t xml:space="preserve">doit procéder à la </w:t>
      </w:r>
      <w:r w:rsidR="005C6D8E" w:rsidRPr="002715F2">
        <w:rPr>
          <w:rFonts w:eastAsia="Malgun Gothic"/>
          <w:kern w:val="2"/>
          <w:lang w:val="fr-FR" w:eastAsia="ko-KR"/>
        </w:rPr>
        <w:t>désignation</w:t>
      </w:r>
      <w:r w:rsidR="00F60D54" w:rsidRPr="002715F2">
        <w:rPr>
          <w:rFonts w:eastAsia="Malgun Gothic"/>
          <w:kern w:val="2"/>
          <w:lang w:val="fr-FR" w:eastAsia="ko-KR"/>
        </w:rPr>
        <w:t xml:space="preserve"> d’un avocat commis d’office</w:t>
      </w:r>
      <w:r w:rsidR="00F60D54" w:rsidRPr="002715F2">
        <w:rPr>
          <w:rFonts w:eastAsia="Gulim"/>
          <w:lang w:val="fr-FR" w:eastAsia="ko-KR"/>
        </w:rPr>
        <w:t xml:space="preserve"> </w:t>
      </w:r>
      <w:r w:rsidR="008F18FE" w:rsidRPr="002715F2">
        <w:rPr>
          <w:rFonts w:eastAsia="Gulim"/>
          <w:lang w:val="fr-FR" w:eastAsia="ko-KR"/>
        </w:rPr>
        <w:t xml:space="preserve">si </w:t>
      </w:r>
      <w:r w:rsidR="00877F0E" w:rsidRPr="002715F2">
        <w:rPr>
          <w:rFonts w:eastAsia="Gulim"/>
          <w:lang w:val="fr-FR" w:eastAsia="ko-KR"/>
        </w:rPr>
        <w:t>un accusé placé en détention</w:t>
      </w:r>
      <w:r w:rsidR="000078DA" w:rsidRPr="002715F2">
        <w:rPr>
          <w:rFonts w:eastAsia="Gulim"/>
          <w:lang w:val="fr-FR" w:eastAsia="ko-KR"/>
        </w:rPr>
        <w:t xml:space="preserve"> (</w:t>
      </w:r>
      <w:r w:rsidR="00BD1A84" w:rsidRPr="002715F2">
        <w:rPr>
          <w:rFonts w:eastAsia="Gulim"/>
          <w:lang w:val="fr-FR" w:eastAsia="ko-KR"/>
        </w:rPr>
        <w:t>art. </w:t>
      </w:r>
      <w:r w:rsidR="000078DA" w:rsidRPr="002715F2">
        <w:rPr>
          <w:rFonts w:eastAsia="Gulim"/>
          <w:lang w:val="fr-FR" w:eastAsia="ko-KR"/>
        </w:rPr>
        <w:t>33</w:t>
      </w:r>
      <w:r w:rsidR="00877F0E" w:rsidRPr="002715F2">
        <w:rPr>
          <w:rFonts w:eastAsia="Gulim"/>
          <w:lang w:val="fr-FR" w:eastAsia="ko-KR"/>
        </w:rPr>
        <w:t>,</w:t>
      </w:r>
      <w:r w:rsidR="000078DA" w:rsidRPr="002715F2">
        <w:rPr>
          <w:rFonts w:eastAsia="Gulim"/>
          <w:lang w:val="fr-FR" w:eastAsia="ko-KR"/>
        </w:rPr>
        <w:t xml:space="preserve"> </w:t>
      </w:r>
      <w:r w:rsidR="00BD1A84" w:rsidRPr="002715F2">
        <w:rPr>
          <w:rFonts w:eastAsia="Gulim"/>
          <w:lang w:val="fr-FR" w:eastAsia="ko-KR"/>
        </w:rPr>
        <w:t>par. </w:t>
      </w:r>
      <w:r w:rsidR="00877F0E" w:rsidRPr="002715F2">
        <w:rPr>
          <w:rFonts w:eastAsia="Gulim"/>
          <w:lang w:val="fr-FR" w:eastAsia="ko-KR"/>
        </w:rPr>
        <w:t>1 </w:t>
      </w:r>
      <w:r w:rsidR="000078DA" w:rsidRPr="002715F2">
        <w:rPr>
          <w:rFonts w:eastAsia="Gulim"/>
          <w:lang w:val="fr-FR" w:eastAsia="ko-KR"/>
        </w:rPr>
        <w:t xml:space="preserve">1)) </w:t>
      </w:r>
      <w:r w:rsidR="00877F0E" w:rsidRPr="002715F2">
        <w:rPr>
          <w:rFonts w:eastAsia="Gulim"/>
          <w:lang w:val="fr-FR" w:eastAsia="ko-KR"/>
        </w:rPr>
        <w:t>ou</w:t>
      </w:r>
      <w:r w:rsidR="000078DA" w:rsidRPr="002715F2">
        <w:rPr>
          <w:rFonts w:eastAsia="Gulim"/>
          <w:lang w:val="fr-FR" w:eastAsia="ko-KR"/>
        </w:rPr>
        <w:t xml:space="preserve"> </w:t>
      </w:r>
      <w:r w:rsidR="00877F0E" w:rsidRPr="002715F2">
        <w:rPr>
          <w:rFonts w:eastAsia="Gulim"/>
          <w:lang w:val="fr-FR" w:eastAsia="ko-KR"/>
        </w:rPr>
        <w:t>un suspect présenté à</w:t>
      </w:r>
      <w:r w:rsidR="00F60D54" w:rsidRPr="002715F2">
        <w:rPr>
          <w:rFonts w:eastAsia="Gulim"/>
          <w:lang w:val="fr-FR" w:eastAsia="ko-KR"/>
        </w:rPr>
        <w:t xml:space="preserve"> un juge avant la délivrance d’</w:t>
      </w:r>
      <w:r w:rsidR="00877F0E" w:rsidRPr="002715F2">
        <w:rPr>
          <w:rFonts w:eastAsia="Gulim"/>
          <w:lang w:val="fr-FR" w:eastAsia="ko-KR"/>
        </w:rPr>
        <w:t xml:space="preserve">un mandat de dépôt </w:t>
      </w:r>
      <w:r w:rsidR="000078DA" w:rsidRPr="002715F2">
        <w:rPr>
          <w:rFonts w:eastAsia="Gulim"/>
          <w:lang w:val="fr-FR" w:eastAsia="ko-KR"/>
        </w:rPr>
        <w:t>(</w:t>
      </w:r>
      <w:r w:rsidR="00BD1A84" w:rsidRPr="002715F2">
        <w:rPr>
          <w:rFonts w:eastAsia="Gulim"/>
          <w:lang w:val="fr-FR" w:eastAsia="ko-KR"/>
        </w:rPr>
        <w:t>art. </w:t>
      </w:r>
      <w:r w:rsidR="000078DA" w:rsidRPr="002715F2">
        <w:rPr>
          <w:rFonts w:eastAsia="Gulim"/>
          <w:lang w:val="fr-FR" w:eastAsia="ko-KR"/>
        </w:rPr>
        <w:t>201-2</w:t>
      </w:r>
      <w:r w:rsidR="00877F0E" w:rsidRPr="002715F2">
        <w:rPr>
          <w:rFonts w:eastAsia="Gulim"/>
          <w:lang w:val="fr-FR" w:eastAsia="ko-KR"/>
        </w:rPr>
        <w:t>,</w:t>
      </w:r>
      <w:r w:rsidR="000078DA" w:rsidRPr="002715F2">
        <w:rPr>
          <w:rFonts w:eastAsia="Gulim"/>
          <w:lang w:val="fr-FR" w:eastAsia="ko-KR"/>
        </w:rPr>
        <w:t xml:space="preserve"> </w:t>
      </w:r>
      <w:r w:rsidR="00BD1A84" w:rsidRPr="002715F2">
        <w:rPr>
          <w:rFonts w:eastAsia="Gulim"/>
          <w:lang w:val="fr-FR" w:eastAsia="ko-KR"/>
        </w:rPr>
        <w:t>par. </w:t>
      </w:r>
      <w:r w:rsidR="000078DA" w:rsidRPr="002715F2">
        <w:rPr>
          <w:rFonts w:eastAsia="Gulim"/>
          <w:lang w:val="fr-FR" w:eastAsia="ko-KR"/>
        </w:rPr>
        <w:t xml:space="preserve">8) </w:t>
      </w:r>
      <w:r w:rsidR="00F60D54" w:rsidRPr="002715F2">
        <w:rPr>
          <w:rFonts w:eastAsia="Gulim"/>
          <w:lang w:val="fr-FR" w:eastAsia="ko-KR"/>
        </w:rPr>
        <w:t xml:space="preserve">ne dispose pas de l’aide d’un </w:t>
      </w:r>
      <w:r w:rsidR="008F18FE" w:rsidRPr="002715F2">
        <w:rPr>
          <w:rFonts w:eastAsia="Batang"/>
          <w:szCs w:val="24"/>
          <w:lang w:val="fr-FR" w:eastAsia="ko-KR"/>
        </w:rPr>
        <w:t>conseil</w:t>
      </w:r>
      <w:r w:rsidR="00F60999" w:rsidRPr="002715F2">
        <w:rPr>
          <w:rFonts w:eastAsia="Gulim"/>
          <w:lang w:val="fr-FR" w:eastAsia="ko-KR"/>
        </w:rPr>
        <w:t>.</w:t>
      </w:r>
    </w:p>
    <w:p w:rsidR="000078DA" w:rsidRPr="002715F2" w:rsidRDefault="007026FB" w:rsidP="001F3F2F">
      <w:pPr>
        <w:pStyle w:val="SingleTxtG"/>
        <w:rPr>
          <w:rFonts w:eastAsia="Malgun Gothic"/>
          <w:kern w:val="2"/>
          <w:lang w:val="fr-FR" w:eastAsia="ko-KR"/>
        </w:rPr>
      </w:pPr>
      <w:r w:rsidRPr="002715F2">
        <w:rPr>
          <w:rFonts w:eastAsia="Malgun Gothic"/>
          <w:kern w:val="2"/>
          <w:lang w:val="fr-FR" w:eastAsia="ko-KR"/>
        </w:rPr>
        <w:t>23.</w:t>
      </w:r>
      <w:r w:rsidRPr="002715F2">
        <w:rPr>
          <w:rFonts w:eastAsia="Malgun Gothic"/>
          <w:kern w:val="2"/>
          <w:lang w:val="fr-FR" w:eastAsia="ko-KR"/>
        </w:rPr>
        <w:tab/>
      </w:r>
      <w:r w:rsidR="00F60D54" w:rsidRPr="002715F2">
        <w:rPr>
          <w:lang w:val="fr-FR"/>
        </w:rPr>
        <w:t xml:space="preserve">Au vu </w:t>
      </w:r>
      <w:r w:rsidR="006D644F" w:rsidRPr="002715F2">
        <w:rPr>
          <w:lang w:val="fr-FR"/>
        </w:rPr>
        <w:t>du paragraphe 9 des précédentes observations du Comité</w:t>
      </w:r>
      <w:r w:rsidR="006D644F" w:rsidRPr="002715F2">
        <w:rPr>
          <w:rFonts w:eastAsia="Malgun Gothic"/>
          <w:spacing w:val="-2"/>
          <w:kern w:val="2"/>
          <w:lang w:val="fr-FR" w:eastAsia="ko-KR"/>
        </w:rPr>
        <w:t xml:space="preserve"> </w:t>
      </w:r>
      <w:r w:rsidR="000078DA" w:rsidRPr="002715F2">
        <w:rPr>
          <w:rFonts w:eastAsia="Malgun Gothic"/>
          <w:spacing w:val="-2"/>
          <w:kern w:val="2"/>
          <w:lang w:val="fr-FR" w:eastAsia="ko-KR"/>
        </w:rPr>
        <w:t>(CAT/C/KOR/</w:t>
      </w:r>
      <w:r w:rsidR="009B567E" w:rsidRPr="002715F2">
        <w:rPr>
          <w:rFonts w:eastAsia="Malgun Gothic"/>
          <w:spacing w:val="-2"/>
          <w:kern w:val="2"/>
          <w:lang w:val="fr-FR" w:eastAsia="ko-KR"/>
        </w:rPr>
        <w:t xml:space="preserve"> </w:t>
      </w:r>
      <w:r w:rsidR="000078DA" w:rsidRPr="002715F2">
        <w:rPr>
          <w:rFonts w:eastAsia="Malgun Gothic"/>
          <w:spacing w:val="-2"/>
          <w:kern w:val="2"/>
          <w:lang w:val="fr-FR" w:eastAsia="ko-KR"/>
        </w:rPr>
        <w:t>CO/2),</w:t>
      </w:r>
      <w:r w:rsidR="000078DA" w:rsidRPr="002715F2">
        <w:rPr>
          <w:rFonts w:eastAsia="Malgun Gothic"/>
          <w:kern w:val="2"/>
          <w:lang w:val="fr-FR" w:eastAsia="ko-KR"/>
        </w:rPr>
        <w:t xml:space="preserve"> </w:t>
      </w:r>
      <w:r w:rsidR="00F60D54" w:rsidRPr="002715F2">
        <w:rPr>
          <w:rFonts w:eastAsia="Malgun Gothic"/>
          <w:kern w:val="2"/>
          <w:szCs w:val="22"/>
          <w:lang w:val="fr-FR" w:eastAsia="ko-KR"/>
        </w:rPr>
        <w:t xml:space="preserve">le Code de procédure pénale a été </w:t>
      </w:r>
      <w:r w:rsidR="009970B3" w:rsidRPr="002715F2">
        <w:rPr>
          <w:rFonts w:eastAsia="Gulim"/>
          <w:lang w:val="fr-FR" w:eastAsia="ko-KR"/>
        </w:rPr>
        <w:t>remanié</w:t>
      </w:r>
      <w:r w:rsidR="008F18FE" w:rsidRPr="002715F2">
        <w:rPr>
          <w:rFonts w:eastAsia="Gulim"/>
          <w:lang w:val="fr-FR" w:eastAsia="ko-KR"/>
        </w:rPr>
        <w:t xml:space="preserve"> </w:t>
      </w:r>
      <w:r w:rsidR="00F60D54" w:rsidRPr="002715F2">
        <w:rPr>
          <w:rFonts w:eastAsia="Malgun Gothic"/>
          <w:kern w:val="2"/>
          <w:szCs w:val="22"/>
          <w:lang w:val="fr-FR" w:eastAsia="ko-KR"/>
        </w:rPr>
        <w:t>le 1</w:t>
      </w:r>
      <w:r w:rsidR="00F60D54" w:rsidRPr="002715F2">
        <w:rPr>
          <w:rFonts w:eastAsia="Malgun Gothic"/>
          <w:kern w:val="2"/>
          <w:szCs w:val="22"/>
          <w:vertAlign w:val="superscript"/>
          <w:lang w:val="fr-FR" w:eastAsia="ko-KR"/>
        </w:rPr>
        <w:t>er </w:t>
      </w:r>
      <w:r w:rsidR="00F60D54" w:rsidRPr="002715F2">
        <w:rPr>
          <w:rFonts w:eastAsia="Malgun Gothic"/>
          <w:kern w:val="2"/>
          <w:szCs w:val="22"/>
          <w:lang w:val="fr-FR" w:eastAsia="ko-KR"/>
        </w:rPr>
        <w:t xml:space="preserve">juin 2007 afin de prévoir </w:t>
      </w:r>
      <w:r w:rsidR="009966B6" w:rsidRPr="002715F2">
        <w:rPr>
          <w:rFonts w:eastAsia="Malgun Gothic"/>
          <w:kern w:val="2"/>
          <w:szCs w:val="22"/>
          <w:lang w:val="fr-FR" w:eastAsia="ko-KR"/>
        </w:rPr>
        <w:t>expressément</w:t>
      </w:r>
      <w:r w:rsidR="00F60D54" w:rsidRPr="002715F2">
        <w:rPr>
          <w:rFonts w:eastAsia="Malgun Gothic"/>
          <w:kern w:val="2"/>
          <w:szCs w:val="22"/>
          <w:lang w:val="fr-FR" w:eastAsia="ko-KR"/>
        </w:rPr>
        <w:t xml:space="preserve"> la présence </w:t>
      </w:r>
      <w:r w:rsidR="00F60D54" w:rsidRPr="002715F2">
        <w:rPr>
          <w:lang w:val="fr-FR"/>
        </w:rPr>
        <w:t>d’un avocat lors de l’interrogatoire d’un</w:t>
      </w:r>
      <w:r w:rsidR="00F60D54" w:rsidRPr="002715F2">
        <w:rPr>
          <w:rFonts w:eastAsia="Malgun Gothic"/>
          <w:kern w:val="2"/>
          <w:szCs w:val="22"/>
          <w:lang w:val="fr-FR" w:eastAsia="ko-KR"/>
        </w:rPr>
        <w:t xml:space="preserve"> suspect, ce qui était précédemment autorisé conformément aux directives internes du parquet suprême et de </w:t>
      </w:r>
      <w:r w:rsidR="006E4470" w:rsidRPr="002715F2">
        <w:rPr>
          <w:rFonts w:eastAsia="Batang"/>
          <w:lang w:val="fr-FR" w:eastAsia="ko-KR"/>
        </w:rPr>
        <w:t>la P</w:t>
      </w:r>
      <w:r w:rsidR="002F08A5" w:rsidRPr="002715F2">
        <w:rPr>
          <w:rFonts w:eastAsia="Batang"/>
          <w:lang w:val="fr-FR" w:eastAsia="ko-KR"/>
        </w:rPr>
        <w:t>olice nationale</w:t>
      </w:r>
      <w:r w:rsidR="000078DA" w:rsidRPr="002715F2">
        <w:rPr>
          <w:rFonts w:eastAsia="Malgun Gothic"/>
          <w:kern w:val="2"/>
          <w:lang w:val="fr-FR" w:eastAsia="ko-KR"/>
        </w:rPr>
        <w:t xml:space="preserve">. </w:t>
      </w:r>
      <w:r w:rsidR="001F3F2F" w:rsidRPr="002715F2">
        <w:rPr>
          <w:rFonts w:eastAsia="Malgun Gothic"/>
          <w:kern w:val="2"/>
          <w:lang w:val="fr-FR" w:eastAsia="ko-KR"/>
        </w:rPr>
        <w:t xml:space="preserve">Des précisions sur la présence des avocats lors des interrogatoires des suspects et sur les motifs pour lesquels leur présence peut être limitée sont données dans </w:t>
      </w:r>
      <w:r w:rsidR="006E4470" w:rsidRPr="002715F2">
        <w:rPr>
          <w:rFonts w:eastAsia="Malgun Gothic"/>
          <w:kern w:val="2"/>
          <w:lang w:val="fr-FR" w:eastAsia="ko-KR"/>
        </w:rPr>
        <w:t>le rapport</w:t>
      </w:r>
      <w:r w:rsidR="001F3F2F" w:rsidRPr="002715F2">
        <w:rPr>
          <w:rFonts w:eastAsia="Malgun Gothic"/>
          <w:kern w:val="2"/>
          <w:lang w:val="fr-FR" w:eastAsia="ko-KR"/>
        </w:rPr>
        <w:t xml:space="preserve"> de suivi soumis par l’État partie après examen du deuxième rapport périodique </w:t>
      </w:r>
      <w:r w:rsidR="000078DA" w:rsidRPr="002715F2">
        <w:rPr>
          <w:rFonts w:eastAsia="Malgun Gothic"/>
          <w:kern w:val="2"/>
          <w:lang w:val="fr-FR" w:eastAsia="ko-KR"/>
        </w:rPr>
        <w:t>(CAT/C/KOR/CO/2/Add.2</w:t>
      </w:r>
      <w:r w:rsidR="001F3F2F" w:rsidRPr="002715F2">
        <w:rPr>
          <w:rFonts w:eastAsia="Malgun Gothic"/>
          <w:kern w:val="2"/>
          <w:lang w:val="fr-FR" w:eastAsia="ko-KR"/>
        </w:rPr>
        <w:t>,</w:t>
      </w:r>
      <w:r w:rsidR="000078DA" w:rsidRPr="002715F2">
        <w:rPr>
          <w:rFonts w:eastAsia="Malgun Gothic"/>
          <w:kern w:val="2"/>
          <w:lang w:val="fr-FR" w:eastAsia="ko-KR"/>
        </w:rPr>
        <w:t xml:space="preserve"> </w:t>
      </w:r>
      <w:r w:rsidR="00480124" w:rsidRPr="002715F2">
        <w:rPr>
          <w:rFonts w:eastAsia="Malgun Gothic"/>
          <w:kern w:val="2"/>
          <w:lang w:val="fr-FR" w:eastAsia="ko-KR"/>
        </w:rPr>
        <w:t>par. </w:t>
      </w:r>
      <w:r w:rsidR="000078DA" w:rsidRPr="002715F2">
        <w:rPr>
          <w:rFonts w:eastAsia="Malgun Gothic"/>
          <w:kern w:val="2"/>
          <w:lang w:val="fr-FR" w:eastAsia="ko-KR"/>
        </w:rPr>
        <w:t>15</w:t>
      </w:r>
      <w:r w:rsidR="001F3F2F" w:rsidRPr="002715F2">
        <w:rPr>
          <w:rFonts w:eastAsia="Malgun Gothic"/>
          <w:kern w:val="2"/>
          <w:lang w:val="fr-FR" w:eastAsia="ko-KR"/>
        </w:rPr>
        <w:t xml:space="preserve"> à </w:t>
      </w:r>
      <w:r w:rsidR="000078DA" w:rsidRPr="002715F2">
        <w:rPr>
          <w:rFonts w:eastAsia="Malgun Gothic"/>
          <w:kern w:val="2"/>
          <w:lang w:val="fr-FR" w:eastAsia="ko-KR"/>
        </w:rPr>
        <w:t xml:space="preserve">17). </w:t>
      </w:r>
      <w:r w:rsidR="001F3F2F" w:rsidRPr="002715F2">
        <w:rPr>
          <w:rFonts w:eastAsia="Malgun Gothic"/>
          <w:kern w:val="2"/>
          <w:lang w:val="fr-FR" w:eastAsia="ko-KR"/>
        </w:rPr>
        <w:t xml:space="preserve">En principe, </w:t>
      </w:r>
      <w:r w:rsidR="00460777" w:rsidRPr="002715F2">
        <w:rPr>
          <w:rFonts w:eastAsia="Malgun Gothic"/>
          <w:kern w:val="2"/>
          <w:lang w:val="fr-FR" w:eastAsia="ko-KR"/>
        </w:rPr>
        <w:t>l’</w:t>
      </w:r>
      <w:r w:rsidR="001F3F2F" w:rsidRPr="002715F2">
        <w:rPr>
          <w:rFonts w:eastAsia="Malgun Gothic"/>
          <w:kern w:val="2"/>
          <w:lang w:val="fr-FR" w:eastAsia="ko-KR"/>
        </w:rPr>
        <w:t xml:space="preserve">avocat </w:t>
      </w:r>
      <w:r w:rsidR="005C6D8E" w:rsidRPr="002715F2">
        <w:rPr>
          <w:rFonts w:eastAsia="Malgun Gothic"/>
          <w:kern w:val="2"/>
          <w:lang w:val="fr-FR" w:eastAsia="ko-KR"/>
        </w:rPr>
        <w:t>présent</w:t>
      </w:r>
      <w:r w:rsidR="001F3F2F" w:rsidRPr="002715F2">
        <w:rPr>
          <w:rFonts w:eastAsia="Malgun Gothic"/>
          <w:kern w:val="2"/>
          <w:lang w:val="fr-FR" w:eastAsia="ko-KR"/>
        </w:rPr>
        <w:t xml:space="preserve"> lors de l’interrogatoire d’un suspect </w:t>
      </w:r>
      <w:r w:rsidR="006E4470" w:rsidRPr="002715F2">
        <w:rPr>
          <w:rFonts w:ascii="TimesNewRomanPSMT" w:hAnsi="TimesNewRomanPSMT" w:cs="TimesNewRomanPSMT"/>
          <w:lang w:val="fr-FR" w:eastAsia="en-GB"/>
        </w:rPr>
        <w:t>peut au terme de celui-ci exprimer son avis sur la façon dont il a été mené</w:t>
      </w:r>
      <w:r w:rsidR="00E97B1A" w:rsidRPr="002715F2">
        <w:rPr>
          <w:rFonts w:eastAsia="Malgun Gothic"/>
          <w:kern w:val="2"/>
          <w:lang w:val="fr-FR" w:eastAsia="ko-KR"/>
        </w:rPr>
        <w:t>;</w:t>
      </w:r>
      <w:r w:rsidR="006E4470" w:rsidRPr="002715F2">
        <w:rPr>
          <w:rFonts w:eastAsia="Malgun Gothic"/>
          <w:kern w:val="2"/>
          <w:lang w:val="fr-FR" w:eastAsia="ko-KR"/>
        </w:rPr>
        <w:t xml:space="preserve"> il</w:t>
      </w:r>
      <w:r w:rsidR="001F3F2F" w:rsidRPr="002715F2">
        <w:rPr>
          <w:rFonts w:eastAsia="Malgun Gothic"/>
          <w:kern w:val="2"/>
          <w:lang w:val="fr-FR" w:eastAsia="ko-KR"/>
        </w:rPr>
        <w:t xml:space="preserve"> </w:t>
      </w:r>
      <w:r w:rsidR="006E4470" w:rsidRPr="002715F2">
        <w:rPr>
          <w:rFonts w:eastAsia="Malgun Gothic"/>
          <w:kern w:val="2"/>
          <w:lang w:val="fr-FR" w:eastAsia="ko-KR"/>
        </w:rPr>
        <w:t xml:space="preserve">est également </w:t>
      </w:r>
      <w:r w:rsidR="006E4470" w:rsidRPr="002715F2">
        <w:rPr>
          <w:rFonts w:ascii="TimesNewRomanPSMT" w:hAnsi="TimesNewRomanPSMT" w:cs="TimesNewRomanPSMT"/>
          <w:lang w:val="fr-FR" w:eastAsia="en-GB"/>
        </w:rPr>
        <w:t>habilité</w:t>
      </w:r>
      <w:r w:rsidR="007152FF" w:rsidRPr="002715F2">
        <w:rPr>
          <w:rFonts w:ascii="TimesNewRomanPSMT" w:hAnsi="TimesNewRomanPSMT" w:cs="TimesNewRomanPSMT"/>
          <w:lang w:val="fr-FR" w:eastAsia="en-GB"/>
        </w:rPr>
        <w:t xml:space="preserve"> </w:t>
      </w:r>
      <w:r w:rsidR="006E4470" w:rsidRPr="002715F2">
        <w:rPr>
          <w:rFonts w:ascii="TimesNewRomanPSMT" w:hAnsi="TimesNewRomanPSMT" w:cs="TimesNewRomanPSMT"/>
          <w:lang w:val="fr-FR" w:eastAsia="en-GB"/>
        </w:rPr>
        <w:t>à soulever des objections</w:t>
      </w:r>
      <w:r w:rsidR="006E4470" w:rsidRPr="002715F2">
        <w:rPr>
          <w:rFonts w:eastAsia="Malgun Gothic"/>
          <w:kern w:val="2"/>
          <w:lang w:val="fr-FR" w:eastAsia="ko-KR"/>
        </w:rPr>
        <w:t xml:space="preserve"> </w:t>
      </w:r>
      <w:r w:rsidR="006E4470" w:rsidRPr="002715F2">
        <w:rPr>
          <w:rFonts w:ascii="TimesNewRomanPSMT" w:hAnsi="TimesNewRomanPSMT" w:cs="TimesNewRomanPSMT"/>
          <w:lang w:val="fr-FR" w:eastAsia="en-GB"/>
        </w:rPr>
        <w:t xml:space="preserve">concernant l’irrégularité des méthodes </w:t>
      </w:r>
      <w:r w:rsidR="007152FF" w:rsidRPr="002715F2">
        <w:rPr>
          <w:rFonts w:ascii="TimesNewRomanPSMT" w:hAnsi="TimesNewRomanPSMT" w:cs="TimesNewRomanPSMT"/>
          <w:lang w:val="fr-FR" w:eastAsia="en-GB"/>
        </w:rPr>
        <w:t>d’enquêtes employées, et ce</w:t>
      </w:r>
      <w:r w:rsidR="00355F17" w:rsidRPr="002715F2">
        <w:rPr>
          <w:rFonts w:ascii="TimesNewRomanPSMT" w:hAnsi="TimesNewRomanPSMT" w:cs="TimesNewRomanPSMT"/>
          <w:lang w:val="fr-FR" w:eastAsia="en-GB"/>
        </w:rPr>
        <w:t>,</w:t>
      </w:r>
      <w:r w:rsidR="007152FF" w:rsidRPr="002715F2">
        <w:rPr>
          <w:rFonts w:ascii="TimesNewRomanPSMT" w:hAnsi="TimesNewRomanPSMT" w:cs="TimesNewRomanPSMT"/>
          <w:lang w:val="fr-FR" w:eastAsia="en-GB"/>
        </w:rPr>
        <w:t xml:space="preserve"> même au cours de l’interrogatoire</w:t>
      </w:r>
      <w:r w:rsidR="006E4470" w:rsidRPr="002715F2">
        <w:rPr>
          <w:rFonts w:ascii="TimesNewRomanPSMT" w:hAnsi="TimesNewRomanPSMT" w:cs="TimesNewRomanPSMT"/>
          <w:lang w:val="fr-FR" w:eastAsia="en-GB"/>
        </w:rPr>
        <w:t xml:space="preserve"> </w:t>
      </w:r>
      <w:r w:rsidR="000078DA" w:rsidRPr="002715F2">
        <w:rPr>
          <w:rFonts w:eastAsia="Malgun Gothic"/>
          <w:kern w:val="2"/>
          <w:lang w:val="fr-FR" w:eastAsia="ko-KR"/>
        </w:rPr>
        <w:t>(</w:t>
      </w:r>
      <w:r w:rsidR="00BD1A84" w:rsidRPr="002715F2">
        <w:rPr>
          <w:rFonts w:eastAsia="Malgun Gothic"/>
          <w:kern w:val="2"/>
          <w:lang w:val="fr-FR" w:eastAsia="ko-KR"/>
        </w:rPr>
        <w:t>art. </w:t>
      </w:r>
      <w:r w:rsidR="000078DA" w:rsidRPr="002715F2">
        <w:rPr>
          <w:rFonts w:eastAsia="Malgun Gothic"/>
          <w:kern w:val="2"/>
          <w:lang w:val="fr-FR" w:eastAsia="ko-KR"/>
        </w:rPr>
        <w:t>243-2</w:t>
      </w:r>
      <w:r w:rsidR="001F3F2F" w:rsidRPr="002715F2">
        <w:rPr>
          <w:rFonts w:eastAsia="Malgun Gothic"/>
          <w:kern w:val="2"/>
          <w:lang w:val="fr-FR" w:eastAsia="ko-KR"/>
        </w:rPr>
        <w:t>,</w:t>
      </w:r>
      <w:r w:rsidR="000078DA" w:rsidRPr="002715F2">
        <w:rPr>
          <w:rFonts w:eastAsia="Malgun Gothic"/>
          <w:kern w:val="2"/>
          <w:lang w:val="fr-FR" w:eastAsia="ko-KR"/>
        </w:rPr>
        <w:t xml:space="preserve"> </w:t>
      </w:r>
      <w:r w:rsidR="00BD1A84" w:rsidRPr="002715F2">
        <w:rPr>
          <w:rFonts w:eastAsia="Malgun Gothic"/>
          <w:kern w:val="2"/>
          <w:lang w:val="fr-FR" w:eastAsia="ko-KR"/>
        </w:rPr>
        <w:t>par. </w:t>
      </w:r>
      <w:r w:rsidR="000078DA" w:rsidRPr="002715F2">
        <w:rPr>
          <w:rFonts w:eastAsia="Malgun Gothic"/>
          <w:kern w:val="2"/>
          <w:lang w:val="fr-FR" w:eastAsia="ko-KR"/>
        </w:rPr>
        <w:t>3).</w:t>
      </w:r>
      <w:r w:rsidR="00460777" w:rsidRPr="002715F2">
        <w:rPr>
          <w:rFonts w:eastAsia="Malgun Gothic"/>
          <w:kern w:val="2"/>
          <w:lang w:val="fr-FR" w:eastAsia="ko-KR"/>
        </w:rPr>
        <w:t xml:space="preserve"> Par ailleurs, toute personne non satisfaite </w:t>
      </w:r>
      <w:r w:rsidR="00D94E90" w:rsidRPr="002715F2">
        <w:rPr>
          <w:rFonts w:eastAsia="Malgun Gothic"/>
          <w:kern w:val="2"/>
          <w:lang w:val="fr-FR" w:eastAsia="ko-KR"/>
        </w:rPr>
        <w:t>d’une</w:t>
      </w:r>
      <w:r w:rsidR="00460777" w:rsidRPr="002715F2">
        <w:rPr>
          <w:rFonts w:eastAsia="Malgun Gothic"/>
          <w:kern w:val="2"/>
          <w:lang w:val="fr-FR" w:eastAsia="ko-KR"/>
        </w:rPr>
        <w:t xml:space="preserve"> </w:t>
      </w:r>
      <w:r w:rsidR="00D94E90" w:rsidRPr="002715F2">
        <w:rPr>
          <w:rFonts w:eastAsia="Malgun Gothic"/>
          <w:kern w:val="2"/>
          <w:lang w:val="fr-FR" w:eastAsia="ko-KR"/>
        </w:rPr>
        <w:t xml:space="preserve">décision prise par un </w:t>
      </w:r>
      <w:r w:rsidR="006D644F" w:rsidRPr="002715F2">
        <w:rPr>
          <w:rFonts w:eastAsia="Malgun Gothic"/>
          <w:kern w:val="2"/>
          <w:lang w:val="fr-FR" w:eastAsia="ko-KR"/>
        </w:rPr>
        <w:t>organe</w:t>
      </w:r>
      <w:r w:rsidR="006D644F" w:rsidRPr="002715F2">
        <w:rPr>
          <w:lang w:val="fr-FR"/>
        </w:rPr>
        <w:t xml:space="preserve"> d’enquête</w:t>
      </w:r>
      <w:r w:rsidR="00460777" w:rsidRPr="002715F2">
        <w:rPr>
          <w:lang w:val="fr-FR"/>
        </w:rPr>
        <w:t xml:space="preserve"> </w:t>
      </w:r>
      <w:r w:rsidR="006D644F" w:rsidRPr="002715F2">
        <w:rPr>
          <w:rFonts w:eastAsia="Malgun Gothic"/>
          <w:kern w:val="2"/>
          <w:lang w:val="fr-FR" w:eastAsia="ko-KR"/>
        </w:rPr>
        <w:t>concernant</w:t>
      </w:r>
      <w:r w:rsidR="00460777" w:rsidRPr="002715F2">
        <w:rPr>
          <w:rFonts w:eastAsia="Malgun Gothic"/>
          <w:kern w:val="2"/>
          <w:lang w:val="fr-FR" w:eastAsia="ko-KR"/>
        </w:rPr>
        <w:t xml:space="preserve"> la présence d’un avocat peut déposer une requête en annulation ou modification de cette </w:t>
      </w:r>
      <w:r w:rsidR="006D644F" w:rsidRPr="002715F2">
        <w:rPr>
          <w:rFonts w:eastAsia="Malgun Gothic"/>
          <w:kern w:val="2"/>
          <w:lang w:val="fr-FR" w:eastAsia="ko-KR"/>
        </w:rPr>
        <w:t xml:space="preserve">décision </w:t>
      </w:r>
      <w:r w:rsidR="00460777" w:rsidRPr="002715F2">
        <w:rPr>
          <w:rFonts w:eastAsia="Malgun Gothic"/>
          <w:kern w:val="2"/>
          <w:lang w:val="fr-FR" w:eastAsia="ko-KR"/>
        </w:rPr>
        <w:t xml:space="preserve">auprès du tribunal </w:t>
      </w:r>
      <w:r w:rsidR="000078DA" w:rsidRPr="002715F2">
        <w:rPr>
          <w:rFonts w:eastAsia="Malgun Gothic"/>
          <w:kern w:val="2"/>
          <w:lang w:val="fr-FR" w:eastAsia="ko-KR"/>
        </w:rPr>
        <w:t>(</w:t>
      </w:r>
      <w:r w:rsidR="00BD1A84" w:rsidRPr="002715F2">
        <w:rPr>
          <w:rFonts w:eastAsia="Malgun Gothic"/>
          <w:kern w:val="2"/>
          <w:lang w:val="fr-FR" w:eastAsia="ko-KR"/>
        </w:rPr>
        <w:t>art. </w:t>
      </w:r>
      <w:r w:rsidR="000078DA" w:rsidRPr="002715F2">
        <w:rPr>
          <w:rFonts w:eastAsia="Malgun Gothic"/>
          <w:kern w:val="2"/>
          <w:lang w:val="fr-FR" w:eastAsia="ko-KR"/>
        </w:rPr>
        <w:t xml:space="preserve">417). </w:t>
      </w:r>
      <w:r w:rsidR="00460777" w:rsidRPr="002715F2">
        <w:rPr>
          <w:rFonts w:eastAsia="Malgun Gothic"/>
          <w:kern w:val="2"/>
          <w:lang w:val="fr-FR" w:eastAsia="ko-KR"/>
        </w:rPr>
        <w:t xml:space="preserve">Dans la pratique, les avocats qui demandent à être </w:t>
      </w:r>
      <w:r w:rsidR="00460777" w:rsidRPr="002715F2">
        <w:rPr>
          <w:lang w:val="fr-FR"/>
        </w:rPr>
        <w:t>autorisés à assister aux interrogatoires</w:t>
      </w:r>
      <w:r w:rsidR="00460777" w:rsidRPr="002715F2">
        <w:rPr>
          <w:rFonts w:eastAsia="Malgun Gothic"/>
          <w:kern w:val="2"/>
          <w:lang w:val="fr-FR" w:eastAsia="ko-KR"/>
        </w:rPr>
        <w:t xml:space="preserve"> des suspects y sont </w:t>
      </w:r>
      <w:r w:rsidR="005C6D8E" w:rsidRPr="002715F2">
        <w:rPr>
          <w:rFonts w:eastAsia="Malgun Gothic"/>
          <w:kern w:val="2"/>
          <w:lang w:val="fr-FR" w:eastAsia="ko-KR"/>
        </w:rPr>
        <w:t>général</w:t>
      </w:r>
      <w:r w:rsidR="006D644F" w:rsidRPr="002715F2">
        <w:rPr>
          <w:rFonts w:eastAsia="Malgun Gothic"/>
          <w:kern w:val="2"/>
          <w:lang w:val="fr-FR" w:eastAsia="ko-KR"/>
        </w:rPr>
        <w:t>ement</w:t>
      </w:r>
      <w:r w:rsidR="00460777" w:rsidRPr="002715F2">
        <w:rPr>
          <w:rFonts w:eastAsia="Malgun Gothic"/>
          <w:kern w:val="2"/>
          <w:lang w:val="fr-FR" w:eastAsia="ko-KR"/>
        </w:rPr>
        <w:t xml:space="preserve"> autorisés</w:t>
      </w:r>
      <w:r w:rsidR="000078DA" w:rsidRPr="002715F2">
        <w:rPr>
          <w:rFonts w:eastAsia="Malgun Gothic"/>
          <w:kern w:val="2"/>
          <w:lang w:val="fr-FR" w:eastAsia="ko-KR"/>
        </w:rPr>
        <w:t>.</w:t>
      </w:r>
      <w:r w:rsidR="00460777" w:rsidRPr="002715F2">
        <w:rPr>
          <w:rFonts w:eastAsia="Malgun Gothic"/>
          <w:kern w:val="2"/>
          <w:lang w:val="fr-FR" w:eastAsia="ko-KR"/>
        </w:rPr>
        <w:t xml:space="preserve"> Toutefois, </w:t>
      </w:r>
      <w:r w:rsidR="006D644F" w:rsidRPr="002715F2">
        <w:rPr>
          <w:rFonts w:eastAsia="Batang"/>
          <w:lang w:val="fr-FR" w:eastAsia="ko-KR"/>
        </w:rPr>
        <w:t xml:space="preserve">le Gouvernement ne possède pas de données statistiques distinctes sur le </w:t>
      </w:r>
      <w:r w:rsidR="00460777" w:rsidRPr="002715F2">
        <w:rPr>
          <w:rFonts w:eastAsia="Malgun Gothic"/>
          <w:kern w:val="2"/>
          <w:lang w:val="fr-FR" w:eastAsia="ko-KR"/>
        </w:rPr>
        <w:t xml:space="preserve">nombre </w:t>
      </w:r>
      <w:r w:rsidR="00460777" w:rsidRPr="002715F2">
        <w:rPr>
          <w:lang w:val="fr-FR"/>
        </w:rPr>
        <w:t xml:space="preserve">de cas où la présence de l’avocat lors d’un interrogatoire a pu être limitée, </w:t>
      </w:r>
      <w:r w:rsidR="006D644F" w:rsidRPr="002715F2">
        <w:rPr>
          <w:lang w:val="fr-FR"/>
        </w:rPr>
        <w:t xml:space="preserve">ni sur </w:t>
      </w:r>
      <w:r w:rsidR="00460777" w:rsidRPr="002715F2">
        <w:rPr>
          <w:rFonts w:eastAsia="Malgun Gothic"/>
          <w:kern w:val="2"/>
          <w:lang w:val="fr-FR" w:eastAsia="ko-KR"/>
        </w:rPr>
        <w:t xml:space="preserve">les motifs </w:t>
      </w:r>
      <w:r w:rsidR="00460777" w:rsidRPr="002715F2">
        <w:rPr>
          <w:lang w:val="fr-FR"/>
        </w:rPr>
        <w:t xml:space="preserve">de cette limitation </w:t>
      </w:r>
      <w:r w:rsidR="006D644F" w:rsidRPr="002715F2">
        <w:rPr>
          <w:lang w:val="fr-FR"/>
        </w:rPr>
        <w:t>ou sur</w:t>
      </w:r>
      <w:r w:rsidR="00460777" w:rsidRPr="002715F2">
        <w:rPr>
          <w:lang w:val="fr-FR"/>
        </w:rPr>
        <w:t xml:space="preserve"> les plaintes ou allégations </w:t>
      </w:r>
      <w:r w:rsidR="00D45701" w:rsidRPr="002715F2">
        <w:rPr>
          <w:lang w:val="fr-FR"/>
        </w:rPr>
        <w:t xml:space="preserve">reçues </w:t>
      </w:r>
      <w:r w:rsidR="006D644F" w:rsidRPr="002715F2">
        <w:rPr>
          <w:lang w:val="fr-FR"/>
        </w:rPr>
        <w:t xml:space="preserve">au sujet d’actes de violence subis </w:t>
      </w:r>
      <w:r w:rsidR="00460777" w:rsidRPr="002715F2">
        <w:rPr>
          <w:lang w:val="fr-FR"/>
        </w:rPr>
        <w:t>lorsque la présence de l’avocat n’a plus été admise</w:t>
      </w:r>
      <w:r w:rsidR="00F60999" w:rsidRPr="002715F2">
        <w:rPr>
          <w:rFonts w:eastAsia="Malgun Gothic"/>
          <w:kern w:val="2"/>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24.</w:t>
      </w:r>
      <w:r w:rsidRPr="002715F2">
        <w:rPr>
          <w:rFonts w:eastAsia="Batang"/>
          <w:lang w:val="fr-FR" w:eastAsia="ko-KR"/>
        </w:rPr>
        <w:tab/>
      </w:r>
      <w:r w:rsidR="007A3B0B" w:rsidRPr="002715F2">
        <w:rPr>
          <w:rFonts w:eastAsia="Batang"/>
          <w:lang w:val="fr-FR" w:eastAsia="ko-KR"/>
        </w:rPr>
        <w:t>La Cour suprême a statué qu’i</w:t>
      </w:r>
      <w:r w:rsidR="004C2082" w:rsidRPr="002715F2">
        <w:rPr>
          <w:rFonts w:eastAsia="Batang"/>
          <w:lang w:val="fr-FR" w:eastAsia="ko-KR"/>
        </w:rPr>
        <w:t>l était inacceptable d’ordonner</w:t>
      </w:r>
      <w:r w:rsidR="007A3B0B" w:rsidRPr="002715F2">
        <w:rPr>
          <w:rFonts w:eastAsia="Batang"/>
          <w:lang w:val="fr-FR" w:eastAsia="ko-KR"/>
        </w:rPr>
        <w:t xml:space="preserve"> sans motif raisonnable à un avocat de s’asseoir loin </w:t>
      </w:r>
      <w:r w:rsidR="000C3E1C" w:rsidRPr="002715F2">
        <w:rPr>
          <w:rFonts w:eastAsia="Batang"/>
          <w:lang w:val="fr-FR" w:eastAsia="ko-KR"/>
        </w:rPr>
        <w:t>de son client</w:t>
      </w:r>
      <w:r w:rsidR="007A3B0B" w:rsidRPr="002715F2">
        <w:rPr>
          <w:rFonts w:eastAsia="Batang"/>
          <w:lang w:val="fr-FR" w:eastAsia="ko-KR"/>
        </w:rPr>
        <w:t xml:space="preserve"> </w:t>
      </w:r>
      <w:r w:rsidR="000C3E1C" w:rsidRPr="002715F2">
        <w:rPr>
          <w:rFonts w:eastAsia="Batang"/>
          <w:lang w:val="fr-FR" w:eastAsia="ko-KR"/>
        </w:rPr>
        <w:t>pendant</w:t>
      </w:r>
      <w:r w:rsidR="007A3B0B" w:rsidRPr="002715F2">
        <w:rPr>
          <w:rFonts w:eastAsia="Batang"/>
          <w:lang w:val="fr-FR" w:eastAsia="ko-KR"/>
        </w:rPr>
        <w:t xml:space="preserve"> l’interrogatoire et de limiter sa prés</w:t>
      </w:r>
      <w:r w:rsidR="00E83686" w:rsidRPr="002715F2">
        <w:rPr>
          <w:rFonts w:eastAsia="Batang"/>
          <w:lang w:val="fr-FR" w:eastAsia="ko-KR"/>
        </w:rPr>
        <w:t>ence pour avoir désobéi à ce</w:t>
      </w:r>
      <w:r w:rsidR="000C3E1C" w:rsidRPr="002715F2">
        <w:rPr>
          <w:rFonts w:eastAsia="Batang"/>
          <w:lang w:val="fr-FR" w:eastAsia="ko-KR"/>
        </w:rPr>
        <w:t>t</w:t>
      </w:r>
      <w:r w:rsidR="00E83686" w:rsidRPr="002715F2">
        <w:rPr>
          <w:rFonts w:eastAsia="Batang"/>
          <w:lang w:val="fr-FR" w:eastAsia="ko-KR"/>
        </w:rPr>
        <w:t xml:space="preserve"> ordre </w:t>
      </w:r>
      <w:r w:rsidR="000078DA" w:rsidRPr="002715F2">
        <w:rPr>
          <w:rFonts w:eastAsia="Batang"/>
          <w:lang w:val="fr-FR" w:eastAsia="ko-KR"/>
        </w:rPr>
        <w:t>(</w:t>
      </w:r>
      <w:r w:rsidR="005C6D8E" w:rsidRPr="002715F2">
        <w:rPr>
          <w:rFonts w:eastAsia="Batang"/>
          <w:lang w:val="fr-FR" w:eastAsia="ko-KR"/>
        </w:rPr>
        <w:t>décision</w:t>
      </w:r>
      <w:r w:rsidR="007A3B0B" w:rsidRPr="002715F2">
        <w:rPr>
          <w:rFonts w:eastAsia="Batang"/>
          <w:lang w:val="fr-FR" w:eastAsia="ko-KR"/>
        </w:rPr>
        <w:t xml:space="preserve"> de la Cour suprême</w:t>
      </w:r>
      <w:r w:rsidR="00F60999" w:rsidRPr="002715F2">
        <w:rPr>
          <w:rFonts w:eastAsia="Batang"/>
          <w:lang w:val="fr-FR" w:eastAsia="ko-KR"/>
        </w:rPr>
        <w:t>).</w:t>
      </w:r>
    </w:p>
    <w:p w:rsidR="000078DA" w:rsidRPr="002715F2" w:rsidRDefault="007026FB" w:rsidP="007026FB">
      <w:pPr>
        <w:pStyle w:val="SingleTxtG"/>
        <w:rPr>
          <w:rFonts w:eastAsia="Batang"/>
          <w:strike/>
          <w:lang w:val="fr-FR" w:eastAsia="ko-KR"/>
        </w:rPr>
      </w:pPr>
      <w:r w:rsidRPr="002715F2">
        <w:rPr>
          <w:rFonts w:eastAsia="Batang"/>
          <w:lang w:val="fr-FR" w:eastAsia="ko-KR"/>
        </w:rPr>
        <w:t>25.</w:t>
      </w:r>
      <w:r w:rsidRPr="002715F2">
        <w:rPr>
          <w:rFonts w:eastAsia="Batang"/>
          <w:lang w:val="fr-FR" w:eastAsia="ko-KR"/>
        </w:rPr>
        <w:tab/>
      </w:r>
      <w:r w:rsidR="007A3B0B" w:rsidRPr="002715F2">
        <w:rPr>
          <w:rFonts w:eastAsia="Batang"/>
          <w:lang w:val="fr-FR" w:eastAsia="ko-KR"/>
        </w:rPr>
        <w:t xml:space="preserve">Les </w:t>
      </w:r>
      <w:r w:rsidR="00B57E0B" w:rsidRPr="002715F2">
        <w:rPr>
          <w:rFonts w:eastAsia="Malgun Gothic"/>
          <w:kern w:val="2"/>
          <w:lang w:val="fr-FR" w:eastAsia="ko-KR"/>
        </w:rPr>
        <w:t>précisions</w:t>
      </w:r>
      <w:r w:rsidR="007A3B0B" w:rsidRPr="002715F2">
        <w:rPr>
          <w:rFonts w:eastAsia="Malgun Gothic"/>
          <w:kern w:val="2"/>
          <w:lang w:val="fr-FR" w:eastAsia="ko-KR"/>
        </w:rPr>
        <w:t xml:space="preserve"> relati</w:t>
      </w:r>
      <w:r w:rsidR="00B57E0B" w:rsidRPr="002715F2">
        <w:rPr>
          <w:rFonts w:eastAsia="Malgun Gothic"/>
          <w:kern w:val="2"/>
          <w:lang w:val="fr-FR" w:eastAsia="ko-KR"/>
        </w:rPr>
        <w:t>ves</w:t>
      </w:r>
      <w:r w:rsidR="007A3B0B" w:rsidRPr="002715F2">
        <w:rPr>
          <w:rFonts w:eastAsia="Malgun Gothic"/>
          <w:kern w:val="2"/>
          <w:lang w:val="fr-FR" w:eastAsia="ko-KR"/>
        </w:rPr>
        <w:t xml:space="preserve"> </w:t>
      </w:r>
      <w:r w:rsidR="00B57E0B" w:rsidRPr="002715F2">
        <w:rPr>
          <w:rFonts w:eastAsia="Malgun Gothic"/>
          <w:kern w:val="2"/>
          <w:lang w:val="fr-FR" w:eastAsia="ko-KR"/>
        </w:rPr>
        <w:t>à</w:t>
      </w:r>
      <w:r w:rsidR="000078DA" w:rsidRPr="002715F2">
        <w:rPr>
          <w:rFonts w:eastAsia="Batang"/>
          <w:lang w:val="fr-FR" w:eastAsia="ko-KR"/>
        </w:rPr>
        <w:t xml:space="preserve"> </w:t>
      </w:r>
      <w:r w:rsidR="007A3B0B" w:rsidRPr="002715F2">
        <w:rPr>
          <w:rFonts w:eastAsia="Batang"/>
          <w:lang w:val="fr-FR" w:eastAsia="ko-KR"/>
        </w:rPr>
        <w:t xml:space="preserve">l’interrogatoire des suspects avant </w:t>
      </w:r>
      <w:r w:rsidR="00991442" w:rsidRPr="002715F2">
        <w:rPr>
          <w:rFonts w:eastAsia="Batang"/>
          <w:lang w:val="fr-FR" w:eastAsia="ko-KR"/>
        </w:rPr>
        <w:t>leur</w:t>
      </w:r>
      <w:r w:rsidR="007A3B0B" w:rsidRPr="002715F2">
        <w:rPr>
          <w:rFonts w:eastAsia="Batang"/>
          <w:lang w:val="fr-FR" w:eastAsia="ko-KR"/>
        </w:rPr>
        <w:t xml:space="preserve"> </w:t>
      </w:r>
      <w:r w:rsidR="000C3E1C" w:rsidRPr="002715F2">
        <w:rPr>
          <w:rFonts w:eastAsia="Batang"/>
          <w:lang w:val="fr-FR" w:eastAsia="ko-KR"/>
        </w:rPr>
        <w:t xml:space="preserve">placement en </w:t>
      </w:r>
      <w:r w:rsidR="007A3B0B" w:rsidRPr="002715F2">
        <w:rPr>
          <w:rFonts w:eastAsia="Batang"/>
          <w:lang w:val="fr-FR" w:eastAsia="ko-KR"/>
        </w:rPr>
        <w:t>détention sont données dans le premier et le deuxième rapport</w:t>
      </w:r>
      <w:r w:rsidR="000078DA" w:rsidRPr="002715F2">
        <w:rPr>
          <w:rFonts w:eastAsia="Batang"/>
          <w:lang w:val="fr-FR" w:eastAsia="ko-KR"/>
        </w:rPr>
        <w:t xml:space="preserve"> (CAT/C/32/Add.1</w:t>
      </w:r>
      <w:r w:rsidR="007A3B0B"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83</w:t>
      </w:r>
      <w:r w:rsidR="00E97B1A" w:rsidRPr="002715F2">
        <w:rPr>
          <w:rFonts w:eastAsia="Batang"/>
          <w:lang w:val="fr-FR" w:eastAsia="ko-KR"/>
        </w:rPr>
        <w:t>;</w:t>
      </w:r>
      <w:r w:rsidR="000078DA" w:rsidRPr="002715F2">
        <w:rPr>
          <w:rFonts w:eastAsia="Batang"/>
          <w:lang w:val="fr-FR" w:eastAsia="ko-KR"/>
        </w:rPr>
        <w:t xml:space="preserve"> CAT/C/53/Add.2</w:t>
      </w:r>
      <w:r w:rsidR="007A3B0B" w:rsidRPr="002715F2">
        <w:rPr>
          <w:rFonts w:eastAsia="Batang"/>
          <w:lang w:val="fr-FR" w:eastAsia="ko-KR"/>
        </w:rPr>
        <w:t>,</w:t>
      </w:r>
      <w:r w:rsidR="000078DA" w:rsidRPr="002715F2">
        <w:rPr>
          <w:rFonts w:eastAsia="Batang"/>
          <w:lang w:val="fr-FR" w:eastAsia="ko-KR"/>
        </w:rPr>
        <w:t xml:space="preserve"> </w:t>
      </w:r>
      <w:r w:rsidR="00480124" w:rsidRPr="002715F2">
        <w:rPr>
          <w:rFonts w:eastAsia="Batang"/>
          <w:lang w:val="fr-FR" w:eastAsia="ko-KR"/>
        </w:rPr>
        <w:t>par. </w:t>
      </w:r>
      <w:r w:rsidR="000078DA" w:rsidRPr="002715F2">
        <w:rPr>
          <w:rFonts w:eastAsia="Batang"/>
          <w:lang w:val="fr-FR" w:eastAsia="ko-KR"/>
        </w:rPr>
        <w:t>22</w:t>
      </w:r>
      <w:r w:rsidR="007A3B0B" w:rsidRPr="002715F2">
        <w:rPr>
          <w:rFonts w:eastAsia="Batang"/>
          <w:lang w:val="fr-FR" w:eastAsia="ko-KR"/>
        </w:rPr>
        <w:t xml:space="preserve"> à </w:t>
      </w:r>
      <w:r w:rsidR="000078DA" w:rsidRPr="002715F2">
        <w:rPr>
          <w:rFonts w:eastAsia="Batang"/>
          <w:lang w:val="fr-FR" w:eastAsia="ko-KR"/>
        </w:rPr>
        <w:t xml:space="preserve">25). </w:t>
      </w:r>
      <w:r w:rsidR="00B57E0B" w:rsidRPr="002715F2">
        <w:rPr>
          <w:rFonts w:eastAsia="Batang"/>
          <w:lang w:val="fr-FR" w:eastAsia="ko-KR"/>
        </w:rPr>
        <w:t>L</w:t>
      </w:r>
      <w:r w:rsidR="009970B3" w:rsidRPr="002715F2">
        <w:rPr>
          <w:rFonts w:eastAsia="Batang"/>
          <w:lang w:val="fr-FR" w:eastAsia="ko-KR"/>
        </w:rPr>
        <w:t>a</w:t>
      </w:r>
      <w:r w:rsidR="00B57E0B" w:rsidRPr="002715F2">
        <w:rPr>
          <w:rFonts w:eastAsia="Batang"/>
          <w:lang w:val="fr-FR" w:eastAsia="ko-KR"/>
        </w:rPr>
        <w:t xml:space="preserve"> </w:t>
      </w:r>
      <w:r w:rsidR="009966B6" w:rsidRPr="002715F2">
        <w:rPr>
          <w:rFonts w:eastAsia="Batang"/>
          <w:lang w:val="fr-FR"/>
        </w:rPr>
        <w:t>révision</w:t>
      </w:r>
      <w:r w:rsidR="009970B3" w:rsidRPr="002715F2">
        <w:rPr>
          <w:rFonts w:eastAsia="Batang"/>
          <w:lang w:val="fr-FR"/>
        </w:rPr>
        <w:t xml:space="preserve"> </w:t>
      </w:r>
      <w:r w:rsidR="00B57E0B" w:rsidRPr="002715F2">
        <w:rPr>
          <w:rFonts w:eastAsia="Batang"/>
          <w:lang w:val="fr-FR" w:eastAsia="ko-KR"/>
        </w:rPr>
        <w:t xml:space="preserve">du Code de procédure pénale </w:t>
      </w:r>
      <w:r w:rsidR="000C3E1C" w:rsidRPr="002715F2">
        <w:rPr>
          <w:rFonts w:eastAsia="Batang"/>
          <w:lang w:val="fr-FR" w:eastAsia="ko-KR"/>
        </w:rPr>
        <w:t xml:space="preserve">adoptée en 2007 </w:t>
      </w:r>
      <w:r w:rsidR="00B57E0B" w:rsidRPr="002715F2">
        <w:rPr>
          <w:rFonts w:eastAsia="Batang"/>
          <w:lang w:val="fr-FR" w:eastAsia="ko-KR"/>
        </w:rPr>
        <w:t>impose</w:t>
      </w:r>
      <w:r w:rsidR="009970B3" w:rsidRPr="002715F2">
        <w:rPr>
          <w:rFonts w:eastAsia="Batang"/>
          <w:lang w:val="fr-FR" w:eastAsia="ko-KR"/>
        </w:rPr>
        <w:t xml:space="preserve"> </w:t>
      </w:r>
      <w:r w:rsidR="00B57E0B" w:rsidRPr="002715F2">
        <w:rPr>
          <w:rFonts w:eastAsia="Batang"/>
          <w:lang w:val="fr-FR" w:eastAsia="ko-KR"/>
        </w:rPr>
        <w:t xml:space="preserve">au tribunal d’examiner </w:t>
      </w:r>
      <w:r w:rsidR="002D77B6" w:rsidRPr="002715F2">
        <w:rPr>
          <w:lang w:val="fr-FR"/>
        </w:rPr>
        <w:t>le cas de chaque suspect avant son placement en détention</w:t>
      </w:r>
      <w:r w:rsidR="00991442" w:rsidRPr="002715F2">
        <w:rPr>
          <w:rFonts w:eastAsia="Batang"/>
          <w:lang w:val="fr-FR" w:eastAsia="ko-KR"/>
        </w:rPr>
        <w:t xml:space="preserve"> </w:t>
      </w:r>
      <w:r w:rsidR="00B57E0B" w:rsidRPr="002715F2">
        <w:rPr>
          <w:rFonts w:eastAsia="Batang"/>
          <w:lang w:val="fr-FR" w:eastAsia="ko-KR"/>
        </w:rPr>
        <w:t xml:space="preserve">afin </w:t>
      </w:r>
      <w:r w:rsidR="000C3E1C" w:rsidRPr="002715F2">
        <w:rPr>
          <w:rFonts w:eastAsia="Batang"/>
          <w:lang w:val="fr-FR" w:eastAsia="ko-KR"/>
        </w:rPr>
        <w:t xml:space="preserve">de prévenir </w:t>
      </w:r>
      <w:r w:rsidR="002D77B6" w:rsidRPr="002715F2">
        <w:rPr>
          <w:rFonts w:eastAsia="Batang"/>
          <w:lang w:val="fr-FR" w:eastAsia="ko-KR"/>
        </w:rPr>
        <w:t>les</w:t>
      </w:r>
      <w:r w:rsidR="000C3E1C" w:rsidRPr="002715F2">
        <w:rPr>
          <w:rFonts w:eastAsia="Batang"/>
          <w:lang w:val="fr-FR" w:eastAsia="ko-KR"/>
        </w:rPr>
        <w:t xml:space="preserve"> acte</w:t>
      </w:r>
      <w:r w:rsidR="00244C3A" w:rsidRPr="002715F2">
        <w:rPr>
          <w:rFonts w:eastAsia="Batang"/>
          <w:lang w:val="fr-FR" w:eastAsia="ko-KR"/>
        </w:rPr>
        <w:t>s</w:t>
      </w:r>
      <w:r w:rsidR="000C3E1C" w:rsidRPr="002715F2">
        <w:rPr>
          <w:rFonts w:eastAsia="Batang"/>
          <w:lang w:val="fr-FR" w:eastAsia="ko-KR"/>
        </w:rPr>
        <w:t xml:space="preserve"> de torture ou</w:t>
      </w:r>
      <w:r w:rsidR="002D77B6" w:rsidRPr="002715F2">
        <w:rPr>
          <w:rFonts w:eastAsia="Batang"/>
          <w:lang w:val="fr-FR" w:eastAsia="ko-KR"/>
        </w:rPr>
        <w:t xml:space="preserve"> les</w:t>
      </w:r>
      <w:r w:rsidR="000C3E1C" w:rsidRPr="002715F2">
        <w:rPr>
          <w:rFonts w:eastAsia="Batang"/>
          <w:lang w:val="fr-FR" w:eastAsia="ko-KR"/>
        </w:rPr>
        <w:t xml:space="preserve"> mauvais traitement</w:t>
      </w:r>
      <w:r w:rsidR="002D77B6" w:rsidRPr="002715F2">
        <w:rPr>
          <w:rFonts w:eastAsia="Batang"/>
          <w:lang w:val="fr-FR" w:eastAsia="ko-KR"/>
        </w:rPr>
        <w:t>s</w:t>
      </w:r>
      <w:r w:rsidR="000C3E1C" w:rsidRPr="002715F2">
        <w:rPr>
          <w:rFonts w:eastAsia="Batang"/>
          <w:lang w:val="fr-FR" w:eastAsia="ko-KR"/>
        </w:rPr>
        <w:t xml:space="preserve"> de la part d</w:t>
      </w:r>
      <w:r w:rsidR="00B57E0B" w:rsidRPr="002715F2">
        <w:rPr>
          <w:rFonts w:eastAsia="Batang"/>
          <w:lang w:val="fr-FR" w:eastAsia="ko-KR"/>
        </w:rPr>
        <w:t xml:space="preserve">es enquêteurs, </w:t>
      </w:r>
      <w:r w:rsidR="000C3E1C" w:rsidRPr="002715F2">
        <w:rPr>
          <w:rFonts w:eastAsia="Batang"/>
          <w:lang w:val="fr-FR" w:eastAsia="ko-KR"/>
        </w:rPr>
        <w:t>en</w:t>
      </w:r>
      <w:r w:rsidR="00B57E0B" w:rsidRPr="002715F2">
        <w:rPr>
          <w:rFonts w:eastAsia="Batang"/>
          <w:lang w:val="fr-FR" w:eastAsia="ko-KR"/>
        </w:rPr>
        <w:t xml:space="preserve"> garanti</w:t>
      </w:r>
      <w:r w:rsidR="000C3E1C" w:rsidRPr="002715F2">
        <w:rPr>
          <w:rFonts w:eastAsia="Batang"/>
          <w:lang w:val="fr-FR" w:eastAsia="ko-KR"/>
        </w:rPr>
        <w:t>ssant</w:t>
      </w:r>
      <w:r w:rsidR="00B57E0B" w:rsidRPr="002715F2">
        <w:rPr>
          <w:rFonts w:eastAsia="Batang"/>
          <w:lang w:val="fr-FR" w:eastAsia="ko-KR"/>
        </w:rPr>
        <w:t xml:space="preserve"> </w:t>
      </w:r>
      <w:r w:rsidR="002D77B6" w:rsidRPr="002715F2">
        <w:rPr>
          <w:rFonts w:eastAsia="Batang"/>
          <w:lang w:val="fr-FR" w:eastAsia="ko-KR"/>
        </w:rPr>
        <w:t>son</w:t>
      </w:r>
      <w:r w:rsidR="00B57E0B" w:rsidRPr="002715F2">
        <w:rPr>
          <w:rFonts w:eastAsia="Batang"/>
          <w:lang w:val="fr-FR" w:eastAsia="ko-KR"/>
        </w:rPr>
        <w:t xml:space="preserve"> droit </w:t>
      </w:r>
      <w:r w:rsidR="000C3E1C" w:rsidRPr="002715F2">
        <w:rPr>
          <w:rFonts w:eastAsia="Batang"/>
          <w:lang w:val="fr-FR" w:eastAsia="ko-KR"/>
        </w:rPr>
        <w:t>d’</w:t>
      </w:r>
      <w:r w:rsidR="00B57E0B" w:rsidRPr="002715F2">
        <w:rPr>
          <w:rFonts w:eastAsia="Batang"/>
          <w:lang w:val="fr-FR" w:eastAsia="ko-KR"/>
        </w:rPr>
        <w:t xml:space="preserve">être </w:t>
      </w:r>
      <w:r w:rsidR="000C3E1C" w:rsidRPr="002715F2">
        <w:rPr>
          <w:rFonts w:eastAsia="Batang"/>
          <w:lang w:val="fr-FR" w:eastAsia="ko-KR"/>
        </w:rPr>
        <w:t>présenté à</w:t>
      </w:r>
      <w:r w:rsidR="00B57E0B" w:rsidRPr="002715F2">
        <w:rPr>
          <w:rFonts w:eastAsia="Batang"/>
          <w:lang w:val="fr-FR" w:eastAsia="ko-KR"/>
        </w:rPr>
        <w:t xml:space="preserve"> un juge</w:t>
      </w:r>
      <w:r w:rsidR="00F60999" w:rsidRPr="002715F2">
        <w:rPr>
          <w:rFonts w:eastAsia="Batang"/>
          <w:lang w:val="fr-FR" w:eastAsia="ko-KR"/>
        </w:rPr>
        <w:t>.</w:t>
      </w:r>
    </w:p>
    <w:p w:rsidR="000078DA" w:rsidRPr="002715F2" w:rsidRDefault="007026FB" w:rsidP="007026FB">
      <w:pPr>
        <w:pStyle w:val="SingleTxtG"/>
        <w:rPr>
          <w:rFonts w:eastAsia="Batang"/>
          <w:spacing w:val="-1"/>
          <w:lang w:val="fr-FR" w:eastAsia="ko-KR"/>
        </w:rPr>
      </w:pPr>
      <w:r w:rsidRPr="002715F2">
        <w:rPr>
          <w:rFonts w:eastAsia="Batang"/>
          <w:spacing w:val="-1"/>
          <w:lang w:val="fr-FR" w:eastAsia="ko-KR"/>
        </w:rPr>
        <w:t>26.</w:t>
      </w:r>
      <w:r w:rsidRPr="002715F2">
        <w:rPr>
          <w:rFonts w:eastAsia="Batang"/>
          <w:spacing w:val="-1"/>
          <w:lang w:val="fr-FR" w:eastAsia="ko-KR"/>
        </w:rPr>
        <w:tab/>
      </w:r>
      <w:r w:rsidR="00991442" w:rsidRPr="002715F2">
        <w:rPr>
          <w:rFonts w:eastAsia="Batang"/>
          <w:lang w:val="fr-FR" w:eastAsia="ko-KR"/>
        </w:rPr>
        <w:t xml:space="preserve">Les </w:t>
      </w:r>
      <w:r w:rsidR="00991442" w:rsidRPr="002715F2">
        <w:rPr>
          <w:rFonts w:eastAsia="Malgun Gothic"/>
          <w:kern w:val="2"/>
          <w:lang w:val="fr-FR" w:eastAsia="ko-KR"/>
        </w:rPr>
        <w:t>précisions relatives à</w:t>
      </w:r>
      <w:r w:rsidR="00991442" w:rsidRPr="002715F2">
        <w:rPr>
          <w:rFonts w:eastAsia="Batang"/>
          <w:lang w:val="fr-FR" w:eastAsia="ko-KR"/>
        </w:rPr>
        <w:t xml:space="preserve"> l’examen de la légalité de l’arrestation ou </w:t>
      </w:r>
      <w:r w:rsidR="00244C3A" w:rsidRPr="002715F2">
        <w:rPr>
          <w:rFonts w:eastAsia="Batang"/>
          <w:lang w:val="fr-FR" w:eastAsia="ko-KR"/>
        </w:rPr>
        <w:t>du placement</w:t>
      </w:r>
      <w:r w:rsidR="00991442" w:rsidRPr="002715F2">
        <w:rPr>
          <w:rFonts w:eastAsia="Batang"/>
          <w:lang w:val="fr-FR" w:eastAsia="ko-KR"/>
        </w:rPr>
        <w:t xml:space="preserve"> en détention </w:t>
      </w:r>
      <w:r w:rsidR="002D77B6" w:rsidRPr="002715F2">
        <w:rPr>
          <w:rFonts w:eastAsia="Batang"/>
          <w:lang w:val="fr-FR" w:eastAsia="ko-KR"/>
        </w:rPr>
        <w:t xml:space="preserve">des suspects </w:t>
      </w:r>
      <w:r w:rsidR="00991442" w:rsidRPr="002715F2">
        <w:rPr>
          <w:rFonts w:eastAsia="Batang"/>
          <w:lang w:val="fr-FR" w:eastAsia="ko-KR"/>
        </w:rPr>
        <w:t>sont données dans le premier</w:t>
      </w:r>
      <w:r w:rsidR="000078DA" w:rsidRPr="002715F2">
        <w:rPr>
          <w:rFonts w:eastAsia="Batang"/>
          <w:lang w:val="fr-FR" w:eastAsia="ko-KR"/>
        </w:rPr>
        <w:t xml:space="preserve"> </w:t>
      </w:r>
      <w:r w:rsidR="00991442" w:rsidRPr="002715F2">
        <w:rPr>
          <w:rFonts w:eastAsia="Batang"/>
          <w:lang w:val="fr-FR" w:eastAsia="ko-KR"/>
        </w:rPr>
        <w:t xml:space="preserve">rapport </w:t>
      </w:r>
      <w:r w:rsidR="000078DA" w:rsidRPr="002715F2">
        <w:rPr>
          <w:rFonts w:eastAsia="Batang"/>
          <w:lang w:val="fr-FR" w:eastAsia="ko-KR"/>
        </w:rPr>
        <w:t>(CAT/C/32/Add.1</w:t>
      </w:r>
      <w:r w:rsidR="00991442"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82). </w:t>
      </w:r>
      <w:r w:rsidR="00857390" w:rsidRPr="002715F2">
        <w:rPr>
          <w:rFonts w:eastAsia="Batang"/>
          <w:lang w:val="fr-FR" w:eastAsia="ko-KR"/>
        </w:rPr>
        <w:t xml:space="preserve">Avant </w:t>
      </w:r>
      <w:r w:rsidR="009970B3" w:rsidRPr="002715F2">
        <w:rPr>
          <w:rFonts w:eastAsia="Batang"/>
          <w:lang w:val="fr-FR" w:eastAsia="ko-KR"/>
        </w:rPr>
        <w:t xml:space="preserve">la </w:t>
      </w:r>
      <w:r w:rsidR="009966B6" w:rsidRPr="002715F2">
        <w:rPr>
          <w:rFonts w:eastAsia="Batang"/>
          <w:lang w:val="fr-FR"/>
        </w:rPr>
        <w:t>révision</w:t>
      </w:r>
      <w:r w:rsidR="00857390" w:rsidRPr="002715F2">
        <w:rPr>
          <w:rFonts w:eastAsia="Batang"/>
          <w:lang w:val="fr-FR" w:eastAsia="ko-KR"/>
        </w:rPr>
        <w:t xml:space="preserve"> de 2007, seuls les suspects arrêtés ou placés en détention </w:t>
      </w:r>
      <w:r w:rsidR="00E97B1A" w:rsidRPr="002715F2">
        <w:rPr>
          <w:rFonts w:eastAsia="Batang"/>
          <w:lang w:val="fr-FR" w:eastAsia="ko-KR"/>
        </w:rPr>
        <w:t>«</w:t>
      </w:r>
      <w:r w:rsidR="00857390" w:rsidRPr="002715F2">
        <w:rPr>
          <w:rFonts w:eastAsia="Batang"/>
          <w:lang w:val="fr-FR" w:eastAsia="ko-KR"/>
        </w:rPr>
        <w:t xml:space="preserve">en </w:t>
      </w:r>
      <w:r w:rsidR="005C6D8E" w:rsidRPr="002715F2">
        <w:rPr>
          <w:rFonts w:eastAsia="Batang"/>
          <w:lang w:val="fr-FR" w:eastAsia="ko-KR"/>
        </w:rPr>
        <w:t>exécution</w:t>
      </w:r>
      <w:r w:rsidR="00857390" w:rsidRPr="002715F2">
        <w:rPr>
          <w:rFonts w:eastAsia="Batang"/>
          <w:lang w:val="fr-FR" w:eastAsia="ko-KR"/>
        </w:rPr>
        <w:t xml:space="preserve"> d’un mandat d’arrêt ou de </w:t>
      </w:r>
      <w:r w:rsidR="005C6D8E" w:rsidRPr="002715F2">
        <w:rPr>
          <w:rFonts w:eastAsia="Batang"/>
          <w:lang w:val="fr-FR" w:eastAsia="ko-KR"/>
        </w:rPr>
        <w:t>dépôt</w:t>
      </w:r>
      <w:r w:rsidR="00E97B1A" w:rsidRPr="002715F2">
        <w:rPr>
          <w:rFonts w:eastAsia="Batang"/>
          <w:lang w:val="fr-FR" w:eastAsia="ko-KR"/>
        </w:rPr>
        <w:t>»</w:t>
      </w:r>
      <w:r w:rsidR="00857390" w:rsidRPr="002715F2">
        <w:rPr>
          <w:rFonts w:eastAsia="Batang"/>
          <w:lang w:val="fr-FR" w:eastAsia="ko-KR"/>
        </w:rPr>
        <w:t xml:space="preserve"> </w:t>
      </w:r>
      <w:r w:rsidR="008F03FA" w:rsidRPr="002715F2">
        <w:rPr>
          <w:rFonts w:eastAsia="Batang"/>
          <w:lang w:val="fr-FR" w:eastAsia="ko-KR"/>
        </w:rPr>
        <w:t>avaient la possibilité</w:t>
      </w:r>
      <w:r w:rsidR="00857390" w:rsidRPr="002715F2">
        <w:rPr>
          <w:rFonts w:eastAsia="Batang"/>
          <w:lang w:val="fr-FR" w:eastAsia="ko-KR"/>
        </w:rPr>
        <w:t xml:space="preserve"> de demander </w:t>
      </w:r>
      <w:r w:rsidR="008F03FA" w:rsidRPr="002715F2">
        <w:rPr>
          <w:rFonts w:eastAsia="Batang"/>
          <w:lang w:val="fr-FR" w:eastAsia="ko-KR"/>
        </w:rPr>
        <w:t xml:space="preserve">au tribunal d’examiner </w:t>
      </w:r>
      <w:r w:rsidR="00857390" w:rsidRPr="002715F2">
        <w:rPr>
          <w:rFonts w:eastAsia="Batang"/>
          <w:lang w:val="fr-FR" w:eastAsia="ko-KR"/>
        </w:rPr>
        <w:t xml:space="preserve">la légalité de leur arrestation ou </w:t>
      </w:r>
      <w:r w:rsidR="005C6D8E" w:rsidRPr="002715F2">
        <w:rPr>
          <w:rFonts w:eastAsia="Batang"/>
          <w:lang w:val="fr-FR" w:eastAsia="ko-KR"/>
        </w:rPr>
        <w:t>détention</w:t>
      </w:r>
      <w:r w:rsidR="000078DA" w:rsidRPr="002715F2">
        <w:rPr>
          <w:rFonts w:eastAsia="Batang"/>
          <w:lang w:val="fr-FR" w:eastAsia="ko-KR"/>
        </w:rPr>
        <w:t xml:space="preserve">. </w:t>
      </w:r>
      <w:r w:rsidR="008F03FA" w:rsidRPr="002715F2">
        <w:rPr>
          <w:rFonts w:eastAsia="Batang"/>
          <w:lang w:val="fr-FR" w:eastAsia="ko-KR"/>
        </w:rPr>
        <w:t xml:space="preserve">Depuis </w:t>
      </w:r>
      <w:r w:rsidR="009970B3" w:rsidRPr="002715F2">
        <w:rPr>
          <w:rFonts w:eastAsia="Batang"/>
          <w:lang w:val="fr-FR" w:eastAsia="ko-KR"/>
        </w:rPr>
        <w:t xml:space="preserve">la </w:t>
      </w:r>
      <w:r w:rsidR="009966B6" w:rsidRPr="002715F2">
        <w:rPr>
          <w:rFonts w:eastAsia="Batang"/>
          <w:lang w:val="fr-FR"/>
        </w:rPr>
        <w:t>révision</w:t>
      </w:r>
      <w:r w:rsidR="009970B3" w:rsidRPr="002715F2">
        <w:rPr>
          <w:rFonts w:eastAsia="Batang"/>
          <w:lang w:val="fr-FR" w:eastAsia="ko-KR"/>
        </w:rPr>
        <w:t xml:space="preserve"> </w:t>
      </w:r>
      <w:r w:rsidR="008F03FA" w:rsidRPr="002715F2">
        <w:rPr>
          <w:rFonts w:eastAsia="Batang"/>
          <w:lang w:val="fr-FR" w:eastAsia="ko-KR"/>
        </w:rPr>
        <w:t>de</w:t>
      </w:r>
      <w:r w:rsidR="00857390" w:rsidRPr="002715F2">
        <w:rPr>
          <w:rFonts w:eastAsia="Batang"/>
          <w:lang w:val="fr-FR" w:eastAsia="ko-KR"/>
        </w:rPr>
        <w:t xml:space="preserve"> 2007</w:t>
      </w:r>
      <w:r w:rsidR="008F03FA" w:rsidRPr="002715F2">
        <w:rPr>
          <w:rFonts w:eastAsia="Batang"/>
          <w:lang w:val="fr-FR" w:eastAsia="ko-KR"/>
        </w:rPr>
        <w:t>,</w:t>
      </w:r>
      <w:r w:rsidR="00857390" w:rsidRPr="002715F2">
        <w:rPr>
          <w:rFonts w:eastAsia="Batang"/>
          <w:lang w:val="fr-FR" w:eastAsia="ko-KR"/>
        </w:rPr>
        <w:t xml:space="preserve"> </w:t>
      </w:r>
      <w:r w:rsidR="008F03FA" w:rsidRPr="002715F2">
        <w:rPr>
          <w:rFonts w:eastAsia="Batang"/>
          <w:lang w:val="fr-FR" w:eastAsia="ko-KR"/>
        </w:rPr>
        <w:t>les</w:t>
      </w:r>
      <w:r w:rsidR="00857390" w:rsidRPr="002715F2">
        <w:rPr>
          <w:rFonts w:eastAsia="Batang"/>
          <w:lang w:val="fr-FR" w:eastAsia="ko-KR"/>
        </w:rPr>
        <w:t xml:space="preserve"> </w:t>
      </w:r>
      <w:r w:rsidR="002D77B6" w:rsidRPr="002715F2">
        <w:rPr>
          <w:rFonts w:eastAsia="Batang"/>
          <w:lang w:val="fr-FR" w:eastAsia="ko-KR"/>
        </w:rPr>
        <w:t xml:space="preserve">personnes </w:t>
      </w:r>
      <w:r w:rsidR="002D77B6" w:rsidRPr="002715F2">
        <w:rPr>
          <w:lang w:val="fr-FR"/>
        </w:rPr>
        <w:t xml:space="preserve">interpellées en </w:t>
      </w:r>
      <w:r w:rsidR="002D77B6" w:rsidRPr="002715F2">
        <w:rPr>
          <w:rFonts w:eastAsia="Batang"/>
          <w:lang w:val="fr-FR" w:eastAsia="ko-KR"/>
        </w:rPr>
        <w:t xml:space="preserve">flagrant délit ou </w:t>
      </w:r>
      <w:r w:rsidR="002D77B6" w:rsidRPr="002715F2">
        <w:rPr>
          <w:lang w:val="fr-FR"/>
        </w:rPr>
        <w:t xml:space="preserve">dans le cadre d’une procédure d’arrestation urgente </w:t>
      </w:r>
      <w:r w:rsidR="008F03FA" w:rsidRPr="002715F2">
        <w:rPr>
          <w:rFonts w:eastAsia="Batang"/>
          <w:lang w:val="fr-FR" w:eastAsia="ko-KR"/>
        </w:rPr>
        <w:t xml:space="preserve">peuvent également </w:t>
      </w:r>
      <w:r w:rsidR="00857390" w:rsidRPr="002715F2">
        <w:rPr>
          <w:rFonts w:eastAsia="Batang"/>
          <w:lang w:val="fr-FR" w:eastAsia="ko-KR"/>
        </w:rPr>
        <w:t xml:space="preserve">demander cet examen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214-2</w:t>
      </w:r>
      <w:r w:rsidR="00857390"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1). </w:t>
      </w:r>
      <w:r w:rsidR="0021506A" w:rsidRPr="002715F2">
        <w:rPr>
          <w:rFonts w:eastAsia="Batang"/>
          <w:lang w:val="fr-FR" w:eastAsia="ko-KR"/>
        </w:rPr>
        <w:t>U</w:t>
      </w:r>
      <w:r w:rsidR="00E87ECC" w:rsidRPr="002715F2">
        <w:rPr>
          <w:rFonts w:eastAsia="Batang"/>
          <w:lang w:val="fr-FR" w:eastAsia="ko-KR"/>
        </w:rPr>
        <w:t xml:space="preserve">ne nouvelle disposition prévoit </w:t>
      </w:r>
      <w:r w:rsidR="0021506A" w:rsidRPr="002715F2">
        <w:rPr>
          <w:rFonts w:eastAsia="Batang"/>
          <w:lang w:val="fr-FR" w:eastAsia="ko-KR"/>
        </w:rPr>
        <w:t xml:space="preserve">en outre </w:t>
      </w:r>
      <w:r w:rsidR="00E87ECC" w:rsidRPr="002715F2">
        <w:rPr>
          <w:rFonts w:eastAsia="Batang"/>
          <w:lang w:val="fr-FR" w:eastAsia="ko-KR"/>
        </w:rPr>
        <w:t>que le</w:t>
      </w:r>
      <w:r w:rsidR="00857390" w:rsidRPr="002715F2">
        <w:rPr>
          <w:rFonts w:eastAsia="Batang"/>
          <w:lang w:val="fr-FR" w:eastAsia="ko-KR"/>
        </w:rPr>
        <w:t xml:space="preserve"> procureur ou </w:t>
      </w:r>
      <w:r w:rsidR="00E87ECC" w:rsidRPr="002715F2">
        <w:rPr>
          <w:rFonts w:eastAsia="Batang"/>
          <w:lang w:val="fr-FR" w:eastAsia="ko-KR"/>
        </w:rPr>
        <w:t>l’</w:t>
      </w:r>
      <w:r w:rsidR="00857390" w:rsidRPr="002715F2">
        <w:rPr>
          <w:rFonts w:eastAsia="Batang"/>
          <w:lang w:val="fr-FR" w:eastAsia="ko-KR"/>
        </w:rPr>
        <w:t xml:space="preserve">officier de police judiciaire qui a arrêté ou placé en détention un suspect </w:t>
      </w:r>
      <w:r w:rsidR="00CC11B4" w:rsidRPr="002715F2">
        <w:rPr>
          <w:rFonts w:eastAsia="Batang"/>
          <w:lang w:val="fr-FR" w:eastAsia="ko-KR"/>
        </w:rPr>
        <w:t>d</w:t>
      </w:r>
      <w:r w:rsidR="00E87ECC" w:rsidRPr="002715F2">
        <w:rPr>
          <w:rFonts w:eastAsia="Batang"/>
          <w:lang w:val="fr-FR" w:eastAsia="ko-KR"/>
        </w:rPr>
        <w:t xml:space="preserve">oit </w:t>
      </w:r>
      <w:r w:rsidR="00CC11B4" w:rsidRPr="002715F2">
        <w:rPr>
          <w:rFonts w:eastAsia="Batang"/>
          <w:lang w:val="fr-FR" w:eastAsia="ko-KR"/>
        </w:rPr>
        <w:t>informer ce dernier qu’il a le</w:t>
      </w:r>
      <w:r w:rsidR="00857390" w:rsidRPr="002715F2">
        <w:rPr>
          <w:rFonts w:eastAsia="Batang"/>
          <w:lang w:val="fr-FR" w:eastAsia="ko-KR"/>
        </w:rPr>
        <w:t xml:space="preserve"> droit de demander un </w:t>
      </w:r>
      <w:r w:rsidR="00CC11B4" w:rsidRPr="002715F2">
        <w:rPr>
          <w:rFonts w:eastAsia="Batang"/>
          <w:lang w:val="fr-FR" w:eastAsia="ko-KR"/>
        </w:rPr>
        <w:t>examen de</w:t>
      </w:r>
      <w:r w:rsidR="00857390" w:rsidRPr="002715F2">
        <w:rPr>
          <w:rFonts w:eastAsia="Batang"/>
          <w:lang w:val="fr-FR" w:eastAsia="ko-KR"/>
        </w:rPr>
        <w:t xml:space="preserve"> la légalité de </w:t>
      </w:r>
      <w:r w:rsidR="00CC11B4" w:rsidRPr="002715F2">
        <w:rPr>
          <w:rFonts w:eastAsia="Batang"/>
          <w:lang w:val="fr-FR" w:eastAsia="ko-KR"/>
        </w:rPr>
        <w:t xml:space="preserve">son </w:t>
      </w:r>
      <w:r w:rsidR="00857390" w:rsidRPr="002715F2">
        <w:rPr>
          <w:rFonts w:eastAsia="Batang"/>
          <w:lang w:val="fr-FR" w:eastAsia="ko-KR"/>
        </w:rPr>
        <w:t xml:space="preserve">arrestation ou </w:t>
      </w:r>
      <w:r w:rsidR="005C6D8E" w:rsidRPr="002715F2">
        <w:rPr>
          <w:rFonts w:eastAsia="Batang"/>
          <w:lang w:val="fr-FR" w:eastAsia="ko-KR"/>
        </w:rPr>
        <w:t>détention</w:t>
      </w:r>
      <w:r w:rsidR="00CC11B4" w:rsidRPr="002715F2">
        <w:rPr>
          <w:rFonts w:eastAsia="Batang"/>
          <w:lang w:val="fr-FR" w:eastAsia="ko-KR"/>
        </w:rPr>
        <w:t>, et ce, afin de faciliter l’</w:t>
      </w:r>
      <w:r w:rsidR="00857390" w:rsidRPr="002715F2">
        <w:rPr>
          <w:rFonts w:eastAsia="Batang"/>
          <w:lang w:val="fr-FR" w:eastAsia="ko-KR"/>
        </w:rPr>
        <w:t xml:space="preserve">utilisation </w:t>
      </w:r>
      <w:r w:rsidR="00CC11B4" w:rsidRPr="002715F2">
        <w:rPr>
          <w:rFonts w:eastAsia="Batang"/>
          <w:lang w:val="fr-FR" w:eastAsia="ko-KR"/>
        </w:rPr>
        <w:t>dudit</w:t>
      </w:r>
      <w:r w:rsidR="00857390" w:rsidRPr="002715F2">
        <w:rPr>
          <w:rFonts w:eastAsia="Batang"/>
          <w:lang w:val="fr-FR" w:eastAsia="ko-KR"/>
        </w:rPr>
        <w:t xml:space="preserve"> examen</w:t>
      </w:r>
      <w:r w:rsidR="00CC11B4" w:rsidRPr="002715F2">
        <w:rPr>
          <w:rFonts w:eastAsia="Batang"/>
          <w:lang w:val="fr-FR" w:eastAsia="ko-KR"/>
        </w:rPr>
        <w:t xml:space="preserve"> </w:t>
      </w:r>
      <w:r w:rsidR="000078DA" w:rsidRPr="002715F2">
        <w:rPr>
          <w:rFonts w:eastAsia="Batang"/>
          <w:lang w:val="fr-FR" w:eastAsia="ko-KR"/>
        </w:rPr>
        <w:t>(</w:t>
      </w:r>
      <w:r w:rsidR="00BD1A84" w:rsidRPr="002715F2">
        <w:rPr>
          <w:rFonts w:eastAsia="Batang"/>
          <w:lang w:val="fr-FR" w:eastAsia="ko-KR"/>
        </w:rPr>
        <w:t>par. </w:t>
      </w:r>
      <w:r w:rsidR="000078DA" w:rsidRPr="002715F2">
        <w:rPr>
          <w:rFonts w:eastAsia="Batang"/>
          <w:lang w:val="fr-FR" w:eastAsia="ko-KR"/>
        </w:rPr>
        <w:t>2).</w:t>
      </w:r>
      <w:r w:rsidR="00CC11B4" w:rsidRPr="002715F2">
        <w:rPr>
          <w:rFonts w:eastAsia="Batang"/>
          <w:lang w:val="fr-FR" w:eastAsia="ko-KR"/>
        </w:rPr>
        <w:t xml:space="preserve"> </w:t>
      </w:r>
      <w:r w:rsidR="008F03FA" w:rsidRPr="002715F2">
        <w:rPr>
          <w:rFonts w:eastAsia="Batang"/>
          <w:lang w:val="fr-FR" w:eastAsia="ko-KR"/>
        </w:rPr>
        <w:t>Enfin</w:t>
      </w:r>
      <w:r w:rsidR="002D77B6" w:rsidRPr="002715F2">
        <w:rPr>
          <w:rFonts w:eastAsia="Batang"/>
          <w:lang w:val="fr-FR" w:eastAsia="ko-KR"/>
        </w:rPr>
        <w:t>,</w:t>
      </w:r>
      <w:r w:rsidR="00CC11B4" w:rsidRPr="002715F2">
        <w:rPr>
          <w:rFonts w:eastAsia="Batang"/>
          <w:lang w:val="fr-FR" w:eastAsia="ko-KR"/>
        </w:rPr>
        <w:t xml:space="preserve"> </w:t>
      </w:r>
      <w:r w:rsidR="0021506A" w:rsidRPr="002715F2">
        <w:rPr>
          <w:rFonts w:eastAsia="Batang"/>
          <w:lang w:val="fr-FR" w:eastAsia="ko-KR"/>
        </w:rPr>
        <w:t>cette</w:t>
      </w:r>
      <w:r w:rsidR="00CC11B4" w:rsidRPr="002715F2">
        <w:rPr>
          <w:rFonts w:eastAsia="Batang"/>
          <w:lang w:val="fr-FR" w:eastAsia="ko-KR"/>
        </w:rPr>
        <w:t xml:space="preserve"> </w:t>
      </w:r>
      <w:r w:rsidR="0021506A" w:rsidRPr="002715F2">
        <w:rPr>
          <w:rFonts w:eastAsia="Batang"/>
          <w:lang w:val="fr-FR" w:eastAsia="ko-KR"/>
        </w:rPr>
        <w:t xml:space="preserve">révision </w:t>
      </w:r>
      <w:r w:rsidR="00CC11B4" w:rsidRPr="002715F2">
        <w:rPr>
          <w:rFonts w:eastAsia="Batang"/>
          <w:lang w:val="fr-FR" w:eastAsia="ko-KR"/>
        </w:rPr>
        <w:t xml:space="preserve">limite expressément le laps de temps </w:t>
      </w:r>
      <w:r w:rsidR="008F03FA" w:rsidRPr="002715F2">
        <w:rPr>
          <w:rFonts w:eastAsia="Batang"/>
          <w:lang w:val="fr-FR" w:eastAsia="ko-KR"/>
        </w:rPr>
        <w:t>qui peut</w:t>
      </w:r>
      <w:r w:rsidR="00CC11B4" w:rsidRPr="002715F2">
        <w:rPr>
          <w:rFonts w:eastAsia="Batang"/>
          <w:lang w:val="fr-FR" w:eastAsia="ko-KR"/>
        </w:rPr>
        <w:t xml:space="preserve"> s’écouler avant qu’il </w:t>
      </w:r>
      <w:r w:rsidR="00A20519" w:rsidRPr="002715F2">
        <w:rPr>
          <w:rFonts w:eastAsia="Batang"/>
          <w:lang w:val="fr-FR" w:eastAsia="ko-KR"/>
        </w:rPr>
        <w:t xml:space="preserve">ne </w:t>
      </w:r>
      <w:r w:rsidR="00CC11B4" w:rsidRPr="002715F2">
        <w:rPr>
          <w:rFonts w:eastAsia="Batang"/>
          <w:lang w:val="fr-FR" w:eastAsia="ko-KR"/>
        </w:rPr>
        <w:t xml:space="preserve">soit procédé à l’examen de la légalité de l’arrestation ou </w:t>
      </w:r>
      <w:r w:rsidR="008F03FA" w:rsidRPr="002715F2">
        <w:rPr>
          <w:rFonts w:eastAsia="Batang"/>
          <w:lang w:val="fr-FR" w:eastAsia="ko-KR"/>
        </w:rPr>
        <w:t xml:space="preserve">de la </w:t>
      </w:r>
      <w:r w:rsidR="00CC11B4" w:rsidRPr="002715F2">
        <w:rPr>
          <w:rFonts w:eastAsia="Batang"/>
          <w:lang w:val="fr-FR" w:eastAsia="ko-KR"/>
        </w:rPr>
        <w:t>détention d’un suspect</w:t>
      </w:r>
      <w:r w:rsidR="00E97B1A" w:rsidRPr="002715F2">
        <w:rPr>
          <w:rFonts w:eastAsia="Batang"/>
          <w:lang w:val="fr-FR" w:eastAsia="ko-KR"/>
        </w:rPr>
        <w:t>;</w:t>
      </w:r>
      <w:r w:rsidR="00CC11B4" w:rsidRPr="002715F2">
        <w:rPr>
          <w:rFonts w:eastAsia="Batang"/>
          <w:lang w:val="fr-FR" w:eastAsia="ko-KR"/>
        </w:rPr>
        <w:t xml:space="preserve"> </w:t>
      </w:r>
      <w:r w:rsidR="002D77B6" w:rsidRPr="002715F2">
        <w:rPr>
          <w:rFonts w:eastAsia="Batang"/>
          <w:lang w:val="fr-FR" w:eastAsia="ko-KR"/>
        </w:rPr>
        <w:t>cette durée</w:t>
      </w:r>
      <w:r w:rsidR="00A20519" w:rsidRPr="002715F2">
        <w:rPr>
          <w:rFonts w:eastAsia="Batang"/>
          <w:lang w:val="fr-FR" w:eastAsia="ko-KR"/>
        </w:rPr>
        <w:t xml:space="preserve"> </w:t>
      </w:r>
      <w:r w:rsidR="00CC11B4" w:rsidRPr="002715F2">
        <w:rPr>
          <w:rFonts w:eastAsia="Batang"/>
          <w:lang w:val="fr-FR" w:eastAsia="ko-KR"/>
        </w:rPr>
        <w:t>pass</w:t>
      </w:r>
      <w:r w:rsidR="008F03FA" w:rsidRPr="002715F2">
        <w:rPr>
          <w:rFonts w:eastAsia="Batang"/>
          <w:lang w:val="fr-FR" w:eastAsia="ko-KR"/>
        </w:rPr>
        <w:t>e</w:t>
      </w:r>
      <w:r w:rsidR="00A20519" w:rsidRPr="002715F2">
        <w:rPr>
          <w:rFonts w:eastAsia="Batang"/>
          <w:lang w:val="fr-FR" w:eastAsia="ko-KR"/>
        </w:rPr>
        <w:t xml:space="preserve"> </w:t>
      </w:r>
      <w:r w:rsidR="00CC11B4" w:rsidRPr="002715F2">
        <w:rPr>
          <w:rFonts w:eastAsia="Batang"/>
          <w:lang w:val="fr-FR" w:eastAsia="ko-KR"/>
        </w:rPr>
        <w:t xml:space="preserve">ainsi de </w:t>
      </w:r>
      <w:r w:rsidR="00E97B1A" w:rsidRPr="002715F2">
        <w:rPr>
          <w:rFonts w:eastAsia="Batang"/>
          <w:lang w:val="fr-FR" w:eastAsia="ko-KR"/>
        </w:rPr>
        <w:t>«</w:t>
      </w:r>
      <w:r w:rsidR="00A20519" w:rsidRPr="002715F2">
        <w:rPr>
          <w:lang w:val="fr-FR"/>
        </w:rPr>
        <w:t>dans les plus brefs délais</w:t>
      </w:r>
      <w:r w:rsidR="00E97B1A" w:rsidRPr="002715F2">
        <w:rPr>
          <w:rFonts w:eastAsia="Batang"/>
          <w:lang w:val="fr-FR" w:eastAsia="ko-KR"/>
        </w:rPr>
        <w:t>»</w:t>
      </w:r>
      <w:r w:rsidR="00CC11B4" w:rsidRPr="002715F2">
        <w:rPr>
          <w:rFonts w:eastAsia="Batang"/>
          <w:lang w:val="fr-FR" w:eastAsia="ko-KR"/>
        </w:rPr>
        <w:t xml:space="preserve"> à </w:t>
      </w:r>
      <w:r w:rsidR="00E97B1A" w:rsidRPr="002715F2">
        <w:rPr>
          <w:rFonts w:eastAsia="Batang"/>
          <w:lang w:val="fr-FR" w:eastAsia="ko-KR"/>
        </w:rPr>
        <w:t>«</w:t>
      </w:r>
      <w:r w:rsidR="00CC11B4" w:rsidRPr="002715F2">
        <w:rPr>
          <w:rFonts w:eastAsia="Batang"/>
          <w:lang w:val="fr-FR" w:eastAsia="ko-KR"/>
        </w:rPr>
        <w:t xml:space="preserve">dans les </w:t>
      </w:r>
      <w:r w:rsidR="00E1469B" w:rsidRPr="002715F2">
        <w:rPr>
          <w:rFonts w:eastAsia="Batang"/>
          <w:lang w:val="fr-FR" w:eastAsia="ko-KR"/>
        </w:rPr>
        <w:t>quarante-huit </w:t>
      </w:r>
      <w:r w:rsidR="00CC11B4" w:rsidRPr="002715F2">
        <w:rPr>
          <w:rFonts w:eastAsia="Batang"/>
          <w:lang w:val="fr-FR" w:eastAsia="ko-KR"/>
        </w:rPr>
        <w:t>heures suiv</w:t>
      </w:r>
      <w:r w:rsidR="008F03FA" w:rsidRPr="002715F2">
        <w:rPr>
          <w:rFonts w:eastAsia="Batang"/>
          <w:lang w:val="fr-FR" w:eastAsia="ko-KR"/>
        </w:rPr>
        <w:t>a</w:t>
      </w:r>
      <w:r w:rsidR="00CC11B4" w:rsidRPr="002715F2">
        <w:rPr>
          <w:rFonts w:eastAsia="Batang"/>
          <w:lang w:val="fr-FR" w:eastAsia="ko-KR"/>
        </w:rPr>
        <w:t>nt la réception de cette demande</w:t>
      </w:r>
      <w:r w:rsidR="00E97B1A" w:rsidRPr="002715F2">
        <w:rPr>
          <w:rFonts w:eastAsia="Batang"/>
          <w:lang w:val="fr-FR" w:eastAsia="ko-KR"/>
        </w:rPr>
        <w:t>»</w:t>
      </w:r>
      <w:r w:rsidR="00CC11B4" w:rsidRPr="002715F2">
        <w:rPr>
          <w:rFonts w:eastAsia="Batang"/>
          <w:lang w:val="fr-FR" w:eastAsia="ko-KR"/>
        </w:rPr>
        <w:t xml:space="preserve"> </w:t>
      </w:r>
      <w:r w:rsidR="00F60999" w:rsidRPr="002715F2">
        <w:rPr>
          <w:rFonts w:eastAsia="Batang"/>
          <w:spacing w:val="-1"/>
          <w:lang w:val="fr-FR" w:eastAsia="ko-KR"/>
        </w:rPr>
        <w:t>(</w:t>
      </w:r>
      <w:r w:rsidR="00BD1A84" w:rsidRPr="002715F2">
        <w:rPr>
          <w:rFonts w:eastAsia="Batang"/>
          <w:spacing w:val="-1"/>
          <w:lang w:val="fr-FR" w:eastAsia="ko-KR"/>
        </w:rPr>
        <w:t>par. </w:t>
      </w:r>
      <w:r w:rsidR="00F60999" w:rsidRPr="002715F2">
        <w:rPr>
          <w:rFonts w:eastAsia="Batang"/>
          <w:spacing w:val="-1"/>
          <w:lang w:val="fr-FR" w:eastAsia="ko-KR"/>
        </w:rPr>
        <w:t>4).</w:t>
      </w:r>
    </w:p>
    <w:p w:rsidR="000078DA" w:rsidRPr="002715F2" w:rsidRDefault="00F410E3" w:rsidP="007026FB">
      <w:pPr>
        <w:pStyle w:val="H4G"/>
        <w:rPr>
          <w:rFonts w:ascii="Gulim" w:eastAsia="Gulim" w:hAnsi="Gulim"/>
          <w:color w:val="000000"/>
          <w:lang w:val="fr-FR" w:eastAsia="ko-KR"/>
        </w:rPr>
      </w:pPr>
      <w:r w:rsidRPr="002715F2">
        <w:rPr>
          <w:rFonts w:eastAsia="Batang"/>
          <w:lang w:val="fr-FR" w:eastAsia="ko-KR"/>
        </w:rPr>
        <w:tab/>
      </w:r>
      <w:r w:rsidRPr="002715F2">
        <w:rPr>
          <w:rFonts w:eastAsia="Batang"/>
          <w:lang w:val="fr-FR" w:eastAsia="ko-KR"/>
        </w:rPr>
        <w:tab/>
      </w:r>
      <w:r w:rsidR="00A20519" w:rsidRPr="002715F2">
        <w:rPr>
          <w:rFonts w:eastAsia="Batang"/>
          <w:lang w:val="fr-FR" w:eastAsia="ko-KR"/>
        </w:rPr>
        <w:t xml:space="preserve">Enregistrement des arrestations ou des </w:t>
      </w:r>
      <w:r w:rsidR="002D77B6" w:rsidRPr="002715F2">
        <w:rPr>
          <w:rFonts w:eastAsia="Batang"/>
          <w:lang w:val="fr-FR" w:eastAsia="ko-KR"/>
        </w:rPr>
        <w:t>placements</w:t>
      </w:r>
      <w:r w:rsidR="00A20519" w:rsidRPr="002715F2">
        <w:rPr>
          <w:rFonts w:eastAsia="Batang"/>
          <w:lang w:val="fr-FR" w:eastAsia="ko-KR"/>
        </w:rPr>
        <w:t xml:space="preserve"> en détention</w:t>
      </w:r>
    </w:p>
    <w:p w:rsidR="000078DA" w:rsidRPr="002715F2" w:rsidRDefault="007026FB" w:rsidP="007026FB">
      <w:pPr>
        <w:pStyle w:val="SingleTxtG"/>
        <w:rPr>
          <w:rFonts w:eastAsia="Batang"/>
          <w:lang w:val="fr-FR" w:eastAsia="ko-KR"/>
        </w:rPr>
      </w:pPr>
      <w:r w:rsidRPr="002715F2">
        <w:rPr>
          <w:rFonts w:eastAsia="Batang"/>
          <w:lang w:val="fr-FR" w:eastAsia="ko-KR"/>
        </w:rPr>
        <w:t>27.</w:t>
      </w:r>
      <w:r w:rsidRPr="002715F2">
        <w:rPr>
          <w:rFonts w:eastAsia="Batang"/>
          <w:lang w:val="fr-FR" w:eastAsia="ko-KR"/>
        </w:rPr>
        <w:tab/>
      </w:r>
      <w:r w:rsidR="00A20519" w:rsidRPr="002715F2">
        <w:rPr>
          <w:rFonts w:eastAsia="Batang"/>
          <w:lang w:val="fr-FR" w:eastAsia="ko-KR"/>
        </w:rPr>
        <w:t>Les personnes arrêtées ou détenues</w:t>
      </w:r>
      <w:r w:rsidR="000078DA" w:rsidRPr="002715F2">
        <w:rPr>
          <w:rFonts w:eastAsia="Batang"/>
          <w:lang w:val="fr-FR" w:eastAsia="ko-KR"/>
        </w:rPr>
        <w:t xml:space="preserve"> </w:t>
      </w:r>
      <w:r w:rsidR="00A20519" w:rsidRPr="002715F2">
        <w:rPr>
          <w:rFonts w:eastAsia="Batang"/>
          <w:lang w:val="fr-FR" w:eastAsia="ko-KR"/>
        </w:rPr>
        <w:t xml:space="preserve">sont officiellement inscrites sur </w:t>
      </w:r>
      <w:r w:rsidR="008C0F23" w:rsidRPr="002715F2">
        <w:rPr>
          <w:rFonts w:eastAsia="Batang"/>
          <w:lang w:val="fr-FR" w:eastAsia="ko-KR"/>
        </w:rPr>
        <w:t>le</w:t>
      </w:r>
      <w:r w:rsidR="00A20519" w:rsidRPr="002715F2">
        <w:rPr>
          <w:rFonts w:eastAsia="Batang"/>
          <w:lang w:val="fr-FR" w:eastAsia="ko-KR"/>
        </w:rPr>
        <w:t xml:space="preserve"> </w:t>
      </w:r>
      <w:r w:rsidR="005C6D8E" w:rsidRPr="002715F2">
        <w:rPr>
          <w:rFonts w:eastAsia="Batang"/>
          <w:lang w:val="fr-FR" w:eastAsia="ko-KR"/>
        </w:rPr>
        <w:t>registre</w:t>
      </w:r>
      <w:r w:rsidR="00A20519" w:rsidRPr="002715F2">
        <w:rPr>
          <w:rFonts w:eastAsia="Batang"/>
          <w:lang w:val="fr-FR" w:eastAsia="ko-KR"/>
        </w:rPr>
        <w:t xml:space="preserve"> </w:t>
      </w:r>
      <w:r w:rsidR="008C0F23" w:rsidRPr="002715F2">
        <w:rPr>
          <w:rFonts w:eastAsia="Batang"/>
          <w:lang w:val="fr-FR" w:eastAsia="ko-KR"/>
        </w:rPr>
        <w:t xml:space="preserve">national </w:t>
      </w:r>
      <w:r w:rsidR="00A20519" w:rsidRPr="002715F2">
        <w:rPr>
          <w:rFonts w:eastAsia="Batang"/>
          <w:lang w:val="fr-FR" w:eastAsia="ko-KR"/>
        </w:rPr>
        <w:t>de</w:t>
      </w:r>
      <w:r w:rsidR="008C0F23" w:rsidRPr="002715F2">
        <w:rPr>
          <w:rFonts w:eastAsia="Batang"/>
          <w:lang w:val="fr-FR" w:eastAsia="ko-KR"/>
        </w:rPr>
        <w:t>s services de</w:t>
      </w:r>
      <w:r w:rsidR="00A20519" w:rsidRPr="002715F2">
        <w:rPr>
          <w:rFonts w:eastAsia="Batang"/>
          <w:lang w:val="fr-FR" w:eastAsia="ko-KR"/>
        </w:rPr>
        <w:t xml:space="preserve"> justice pénale</w:t>
      </w:r>
      <w:r w:rsidR="000078DA" w:rsidRPr="002715F2">
        <w:rPr>
          <w:rFonts w:eastAsia="Batang"/>
          <w:lang w:val="fr-FR" w:eastAsia="ko-KR"/>
        </w:rPr>
        <w:t xml:space="preserve">. </w:t>
      </w:r>
      <w:r w:rsidR="00A20519" w:rsidRPr="002715F2">
        <w:rPr>
          <w:rFonts w:eastAsia="Batang"/>
          <w:lang w:val="fr-FR" w:eastAsia="ko-KR"/>
        </w:rPr>
        <w:t xml:space="preserve">Avant la mise en place de ce </w:t>
      </w:r>
      <w:r w:rsidR="008C0F23" w:rsidRPr="002715F2">
        <w:rPr>
          <w:rFonts w:eastAsia="Batang"/>
          <w:lang w:val="fr-FR" w:eastAsia="ko-KR"/>
        </w:rPr>
        <w:t>registre</w:t>
      </w:r>
      <w:r w:rsidR="000078DA" w:rsidRPr="002715F2">
        <w:rPr>
          <w:rFonts w:eastAsia="Batang"/>
          <w:lang w:val="fr-FR" w:eastAsia="ko-KR"/>
        </w:rPr>
        <w:t xml:space="preserve">, </w:t>
      </w:r>
      <w:r w:rsidR="00A20519" w:rsidRPr="002715F2">
        <w:rPr>
          <w:rFonts w:eastAsia="Batang"/>
          <w:lang w:val="fr-FR" w:eastAsia="ko-KR"/>
        </w:rPr>
        <w:t xml:space="preserve">les </w:t>
      </w:r>
      <w:r w:rsidR="00244C3A" w:rsidRPr="002715F2">
        <w:rPr>
          <w:rFonts w:eastAsia="Batang"/>
          <w:lang w:val="fr-FR" w:eastAsia="ko-KR"/>
        </w:rPr>
        <w:t xml:space="preserve">données relatives aux </w:t>
      </w:r>
      <w:r w:rsidR="00A20519" w:rsidRPr="002715F2">
        <w:rPr>
          <w:rFonts w:eastAsia="Batang"/>
          <w:lang w:val="fr-FR" w:eastAsia="ko-KR"/>
        </w:rPr>
        <w:t xml:space="preserve">arrestations et </w:t>
      </w:r>
      <w:r w:rsidR="005C6D8E" w:rsidRPr="002715F2">
        <w:rPr>
          <w:rFonts w:eastAsia="Batang"/>
          <w:lang w:val="fr-FR" w:eastAsia="ko-KR"/>
        </w:rPr>
        <w:t>détentions</w:t>
      </w:r>
      <w:r w:rsidR="00A20519" w:rsidRPr="002715F2">
        <w:rPr>
          <w:rFonts w:eastAsia="Batang"/>
          <w:lang w:val="fr-FR" w:eastAsia="ko-KR"/>
        </w:rPr>
        <w:t xml:space="preserve"> étaient gérées séparément par la police et les parquets respectivement</w:t>
      </w:r>
      <w:r w:rsidR="000078DA" w:rsidRPr="002715F2">
        <w:rPr>
          <w:rFonts w:eastAsia="Batang"/>
          <w:lang w:val="fr-FR" w:eastAsia="ko-KR"/>
        </w:rPr>
        <w:t>.</w:t>
      </w:r>
      <w:r w:rsidR="00A20519" w:rsidRPr="002715F2">
        <w:rPr>
          <w:rFonts w:eastAsia="Batang"/>
          <w:lang w:val="fr-FR" w:eastAsia="ko-KR"/>
        </w:rPr>
        <w:t xml:space="preserve"> </w:t>
      </w:r>
      <w:r w:rsidR="008C0F23" w:rsidRPr="002715F2">
        <w:rPr>
          <w:rFonts w:eastAsia="Batang"/>
          <w:lang w:val="fr-FR" w:eastAsia="ko-KR"/>
        </w:rPr>
        <w:t>L</w:t>
      </w:r>
      <w:r w:rsidR="00A20519" w:rsidRPr="002715F2">
        <w:rPr>
          <w:rFonts w:eastAsia="Batang"/>
          <w:lang w:val="fr-FR" w:eastAsia="ko-KR"/>
        </w:rPr>
        <w:t xml:space="preserve">a gestion intégrée des informations de la justice pénale a </w:t>
      </w:r>
      <w:r w:rsidR="008C0F23" w:rsidRPr="002715F2">
        <w:rPr>
          <w:rFonts w:eastAsia="Batang"/>
          <w:lang w:val="fr-FR" w:eastAsia="ko-KR"/>
        </w:rPr>
        <w:t xml:space="preserve">toutefois </w:t>
      </w:r>
      <w:r w:rsidR="00A20519" w:rsidRPr="002715F2">
        <w:rPr>
          <w:rFonts w:eastAsia="Batang"/>
          <w:lang w:val="fr-FR" w:eastAsia="ko-KR"/>
        </w:rPr>
        <w:t xml:space="preserve">été rendue possible avec le lancement de ce </w:t>
      </w:r>
      <w:r w:rsidR="008C0F23" w:rsidRPr="002715F2">
        <w:rPr>
          <w:rFonts w:eastAsia="Batang"/>
          <w:lang w:val="fr-FR" w:eastAsia="ko-KR"/>
        </w:rPr>
        <w:t xml:space="preserve">registre </w:t>
      </w:r>
      <w:r w:rsidR="00A20519" w:rsidRPr="002715F2">
        <w:rPr>
          <w:rFonts w:eastAsia="Batang"/>
          <w:lang w:val="fr-FR" w:eastAsia="ko-KR"/>
        </w:rPr>
        <w:t>en juillet</w:t>
      </w:r>
      <w:r w:rsidR="00E1469B" w:rsidRPr="002715F2">
        <w:rPr>
          <w:rFonts w:eastAsia="Batang"/>
          <w:lang w:val="fr-FR" w:eastAsia="ko-KR"/>
        </w:rPr>
        <w:t xml:space="preserve"> </w:t>
      </w:r>
      <w:r w:rsidR="00A20519" w:rsidRPr="002715F2">
        <w:rPr>
          <w:rFonts w:eastAsia="Batang"/>
          <w:lang w:val="fr-FR" w:eastAsia="ko-KR"/>
        </w:rPr>
        <w:t>2010</w:t>
      </w:r>
      <w:r w:rsidR="000078DA" w:rsidRPr="002715F2">
        <w:rPr>
          <w:rFonts w:eastAsia="Batang"/>
          <w:lang w:val="fr-FR" w:eastAsia="ko-KR"/>
        </w:rPr>
        <w:t xml:space="preserve">. </w:t>
      </w:r>
      <w:r w:rsidR="00C85F87" w:rsidRPr="002715F2">
        <w:rPr>
          <w:rFonts w:eastAsia="Batang"/>
          <w:lang w:val="fr-FR" w:eastAsia="ko-KR"/>
        </w:rPr>
        <w:t xml:space="preserve">Toutes les affaires pénales sont recensées et mises à jour dans </w:t>
      </w:r>
      <w:r w:rsidR="008C0F23" w:rsidRPr="002715F2">
        <w:rPr>
          <w:rFonts w:eastAsia="Batang"/>
          <w:lang w:val="fr-FR" w:eastAsia="ko-KR"/>
        </w:rPr>
        <w:t>ce</w:t>
      </w:r>
      <w:r w:rsidR="00C85F87" w:rsidRPr="002715F2">
        <w:rPr>
          <w:rFonts w:eastAsia="Batang"/>
          <w:lang w:val="fr-FR" w:eastAsia="ko-KR"/>
        </w:rPr>
        <w:t xml:space="preserve"> </w:t>
      </w:r>
      <w:r w:rsidR="008C0F23" w:rsidRPr="002715F2">
        <w:rPr>
          <w:rFonts w:eastAsia="Batang"/>
          <w:lang w:val="fr-FR" w:eastAsia="ko-KR"/>
        </w:rPr>
        <w:t>registre, auquel</w:t>
      </w:r>
      <w:r w:rsidR="00C85F87" w:rsidRPr="002715F2">
        <w:rPr>
          <w:rFonts w:eastAsia="Batang"/>
          <w:lang w:val="fr-FR" w:eastAsia="ko-KR"/>
        </w:rPr>
        <w:t xml:space="preserve"> la police, les parquets et les tribunaux</w:t>
      </w:r>
      <w:r w:rsidR="008C0F23" w:rsidRPr="002715F2">
        <w:rPr>
          <w:rFonts w:eastAsia="Batang"/>
          <w:lang w:val="fr-FR" w:eastAsia="ko-KR"/>
        </w:rPr>
        <w:t xml:space="preserve"> peuvent accéder</w:t>
      </w:r>
      <w:r w:rsidR="000078DA" w:rsidRPr="002715F2">
        <w:rPr>
          <w:rFonts w:eastAsia="Batang"/>
          <w:lang w:val="fr-FR" w:eastAsia="ko-KR"/>
        </w:rPr>
        <w:t xml:space="preserve">. </w:t>
      </w:r>
      <w:r w:rsidR="00A20519" w:rsidRPr="002715F2">
        <w:rPr>
          <w:rFonts w:eastAsia="Batang"/>
          <w:lang w:val="fr-FR" w:eastAsia="ko-KR"/>
        </w:rPr>
        <w:t xml:space="preserve">Les renseignements personnels </w:t>
      </w:r>
      <w:r w:rsidR="00D557E0" w:rsidRPr="002715F2">
        <w:rPr>
          <w:rFonts w:eastAsia="Batang"/>
          <w:lang w:val="fr-FR" w:eastAsia="ko-KR"/>
        </w:rPr>
        <w:t xml:space="preserve">concernant le </w:t>
      </w:r>
      <w:r w:rsidR="00A20519" w:rsidRPr="002715F2">
        <w:rPr>
          <w:rFonts w:eastAsia="Batang"/>
          <w:lang w:val="fr-FR" w:eastAsia="ko-KR"/>
        </w:rPr>
        <w:t xml:space="preserve">suspect, l’heure et le lieu de </w:t>
      </w:r>
      <w:r w:rsidR="00D557E0" w:rsidRPr="002715F2">
        <w:rPr>
          <w:rFonts w:eastAsia="Batang"/>
          <w:lang w:val="fr-FR" w:eastAsia="ko-KR"/>
        </w:rPr>
        <w:t>l’</w:t>
      </w:r>
      <w:r w:rsidR="00A20519" w:rsidRPr="002715F2">
        <w:rPr>
          <w:rFonts w:eastAsia="Batang"/>
          <w:lang w:val="fr-FR" w:eastAsia="ko-KR"/>
        </w:rPr>
        <w:t xml:space="preserve">arrestation ou </w:t>
      </w:r>
      <w:r w:rsidR="00D557E0" w:rsidRPr="002715F2">
        <w:rPr>
          <w:rFonts w:eastAsia="Batang"/>
          <w:lang w:val="fr-FR" w:eastAsia="ko-KR"/>
        </w:rPr>
        <w:t>du</w:t>
      </w:r>
      <w:r w:rsidR="008C0F23" w:rsidRPr="002715F2">
        <w:rPr>
          <w:rFonts w:eastAsia="Batang"/>
          <w:lang w:val="fr-FR" w:eastAsia="ko-KR"/>
        </w:rPr>
        <w:t xml:space="preserve"> placement</w:t>
      </w:r>
      <w:r w:rsidR="00C85F87" w:rsidRPr="002715F2">
        <w:rPr>
          <w:rFonts w:eastAsia="Batang"/>
          <w:lang w:val="fr-FR" w:eastAsia="ko-KR"/>
        </w:rPr>
        <w:t xml:space="preserve"> en </w:t>
      </w:r>
      <w:r w:rsidR="00A20519" w:rsidRPr="002715F2">
        <w:rPr>
          <w:rFonts w:eastAsia="Batang"/>
          <w:lang w:val="fr-FR" w:eastAsia="ko-KR"/>
        </w:rPr>
        <w:t>détention, le résumé des charges retenues</w:t>
      </w:r>
      <w:r w:rsidR="00C85F87" w:rsidRPr="002715F2">
        <w:rPr>
          <w:rFonts w:eastAsia="Batang"/>
          <w:lang w:val="fr-FR" w:eastAsia="ko-KR"/>
        </w:rPr>
        <w:t>, ainsi que</w:t>
      </w:r>
      <w:r w:rsidR="00A20519" w:rsidRPr="002715F2">
        <w:rPr>
          <w:rFonts w:eastAsia="Batang"/>
          <w:lang w:val="fr-FR" w:eastAsia="ko-KR"/>
        </w:rPr>
        <w:t xml:space="preserve"> </w:t>
      </w:r>
      <w:r w:rsidR="00C85F87" w:rsidRPr="002715F2">
        <w:rPr>
          <w:rFonts w:eastAsia="Batang"/>
          <w:lang w:val="fr-FR" w:eastAsia="ko-KR"/>
        </w:rPr>
        <w:t>le</w:t>
      </w:r>
      <w:r w:rsidR="00A20519" w:rsidRPr="002715F2">
        <w:rPr>
          <w:rFonts w:eastAsia="Batang"/>
          <w:lang w:val="fr-FR" w:eastAsia="ko-KR"/>
        </w:rPr>
        <w:t xml:space="preserve"> nom </w:t>
      </w:r>
      <w:r w:rsidR="00B4144F" w:rsidRPr="002715F2">
        <w:rPr>
          <w:rFonts w:eastAsia="Batang"/>
          <w:lang w:val="fr-FR" w:eastAsia="ko-KR"/>
        </w:rPr>
        <w:t>et la fonction de l’agent responsable</w:t>
      </w:r>
      <w:r w:rsidR="00C85F87" w:rsidRPr="002715F2">
        <w:rPr>
          <w:rFonts w:eastAsia="Batang"/>
          <w:lang w:val="fr-FR" w:eastAsia="ko-KR"/>
        </w:rPr>
        <w:t>,</w:t>
      </w:r>
      <w:r w:rsidR="00A20519" w:rsidRPr="002715F2">
        <w:rPr>
          <w:rFonts w:eastAsia="Batang"/>
          <w:lang w:val="fr-FR" w:eastAsia="ko-KR"/>
        </w:rPr>
        <w:t xml:space="preserve"> sont entrés dans le </w:t>
      </w:r>
      <w:r w:rsidR="008C0F23" w:rsidRPr="002715F2">
        <w:rPr>
          <w:rFonts w:eastAsia="Batang"/>
          <w:lang w:val="fr-FR" w:eastAsia="ko-KR"/>
        </w:rPr>
        <w:t xml:space="preserve">registre </w:t>
      </w:r>
      <w:r w:rsidR="00A20519" w:rsidRPr="002715F2">
        <w:rPr>
          <w:rFonts w:eastAsia="Batang"/>
          <w:lang w:val="fr-FR" w:eastAsia="ko-KR"/>
        </w:rPr>
        <w:t xml:space="preserve">immédiatement après </w:t>
      </w:r>
      <w:r w:rsidR="00D557E0" w:rsidRPr="002715F2">
        <w:rPr>
          <w:rFonts w:eastAsia="Batang"/>
          <w:lang w:val="fr-FR" w:eastAsia="ko-KR"/>
        </w:rPr>
        <w:t>l’</w:t>
      </w:r>
      <w:r w:rsidR="00A20519" w:rsidRPr="002715F2">
        <w:rPr>
          <w:rFonts w:eastAsia="Batang"/>
          <w:lang w:val="fr-FR" w:eastAsia="ko-KR"/>
        </w:rPr>
        <w:t xml:space="preserve">arrestation ou </w:t>
      </w:r>
      <w:r w:rsidR="00D557E0" w:rsidRPr="002715F2">
        <w:rPr>
          <w:rFonts w:eastAsia="Batang"/>
          <w:lang w:val="fr-FR" w:eastAsia="ko-KR"/>
        </w:rPr>
        <w:t xml:space="preserve">le </w:t>
      </w:r>
      <w:r w:rsidR="00EA2D48" w:rsidRPr="002715F2">
        <w:rPr>
          <w:rFonts w:eastAsia="Batang"/>
          <w:lang w:val="fr-FR" w:eastAsia="ko-KR"/>
        </w:rPr>
        <w:t>placement</w:t>
      </w:r>
      <w:r w:rsidR="0020435E" w:rsidRPr="002715F2">
        <w:rPr>
          <w:rFonts w:eastAsia="Batang"/>
          <w:lang w:val="fr-FR" w:eastAsia="ko-KR"/>
        </w:rPr>
        <w:t xml:space="preserve"> en</w:t>
      </w:r>
      <w:r w:rsidR="00A20519" w:rsidRPr="002715F2">
        <w:rPr>
          <w:rFonts w:eastAsia="Batang"/>
          <w:lang w:val="fr-FR" w:eastAsia="ko-KR"/>
        </w:rPr>
        <w:t xml:space="preserve"> </w:t>
      </w:r>
      <w:r w:rsidR="005C6D8E" w:rsidRPr="002715F2">
        <w:rPr>
          <w:rFonts w:eastAsia="Batang"/>
          <w:lang w:val="fr-FR" w:eastAsia="ko-KR"/>
        </w:rPr>
        <w:t>détention</w:t>
      </w:r>
      <w:r w:rsidR="000078DA" w:rsidRPr="002715F2">
        <w:rPr>
          <w:rFonts w:eastAsia="Batang"/>
          <w:lang w:val="fr-FR" w:eastAsia="ko-KR"/>
        </w:rPr>
        <w:t xml:space="preserve">. </w:t>
      </w:r>
      <w:r w:rsidR="008C0F23" w:rsidRPr="002715F2">
        <w:rPr>
          <w:rFonts w:eastAsia="Batang"/>
          <w:lang w:val="fr-FR" w:eastAsia="ko-KR"/>
        </w:rPr>
        <w:t>Par ailleurs, c</w:t>
      </w:r>
      <w:r w:rsidR="00A20519" w:rsidRPr="002715F2">
        <w:rPr>
          <w:rFonts w:eastAsia="Batang"/>
          <w:lang w:val="fr-FR" w:eastAsia="ko-KR"/>
        </w:rPr>
        <w:t xml:space="preserve">e </w:t>
      </w:r>
      <w:r w:rsidR="008C0F23" w:rsidRPr="002715F2">
        <w:rPr>
          <w:rFonts w:eastAsia="Batang"/>
          <w:lang w:val="fr-FR" w:eastAsia="ko-KR"/>
        </w:rPr>
        <w:t xml:space="preserve">registre </w:t>
      </w:r>
      <w:r w:rsidR="00A20519" w:rsidRPr="002715F2">
        <w:rPr>
          <w:rFonts w:eastAsia="Batang"/>
          <w:lang w:val="fr-FR" w:eastAsia="ko-KR"/>
        </w:rPr>
        <w:t xml:space="preserve">est régulièrement vérifié </w:t>
      </w:r>
      <w:r w:rsidR="00EA2D48" w:rsidRPr="002715F2">
        <w:rPr>
          <w:rFonts w:eastAsia="Batang"/>
          <w:lang w:val="fr-FR" w:eastAsia="ko-KR"/>
        </w:rPr>
        <w:t>afin de</w:t>
      </w:r>
      <w:r w:rsidR="00A20519" w:rsidRPr="002715F2">
        <w:rPr>
          <w:rFonts w:eastAsia="Batang"/>
          <w:lang w:val="fr-FR" w:eastAsia="ko-KR"/>
        </w:rPr>
        <w:t xml:space="preserve"> s’assurer que toutes les affaires ont bien été enregistrées</w:t>
      </w:r>
      <w:r w:rsidR="00F60999" w:rsidRPr="002715F2">
        <w:rPr>
          <w:rFonts w:eastAsia="Batang"/>
          <w:lang w:val="fr-FR" w:eastAsia="ko-KR"/>
        </w:rPr>
        <w:t>.</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877F0E"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877F0E" w:rsidRPr="002715F2">
        <w:rPr>
          <w:rFonts w:eastAsia="Batang"/>
          <w:lang w:val="fr-FR" w:eastAsia="ko-KR"/>
        </w:rPr>
        <w:t>6</w:t>
      </w:r>
    </w:p>
    <w:p w:rsidR="000078DA" w:rsidRPr="002715F2" w:rsidRDefault="007026FB" w:rsidP="007026FB">
      <w:pPr>
        <w:pStyle w:val="SingleTxtG"/>
        <w:rPr>
          <w:rFonts w:eastAsia="Batang"/>
          <w:lang w:val="fr-FR" w:eastAsia="ko-KR"/>
        </w:rPr>
      </w:pPr>
      <w:r w:rsidRPr="002715F2">
        <w:rPr>
          <w:rFonts w:eastAsia="Batang"/>
          <w:lang w:val="fr-FR" w:eastAsia="ko-KR"/>
        </w:rPr>
        <w:t>28.</w:t>
      </w:r>
      <w:r w:rsidRPr="002715F2">
        <w:rPr>
          <w:rFonts w:eastAsia="Batang"/>
          <w:lang w:val="fr-FR" w:eastAsia="ko-KR"/>
        </w:rPr>
        <w:tab/>
      </w:r>
      <w:r w:rsidR="00C85F87" w:rsidRPr="002715F2">
        <w:rPr>
          <w:rFonts w:eastAsia="Batang"/>
          <w:lang w:val="fr-FR" w:eastAsia="ko-KR"/>
        </w:rPr>
        <w:t xml:space="preserve">Les garanties </w:t>
      </w:r>
      <w:r w:rsidR="005C6D8E" w:rsidRPr="002715F2">
        <w:rPr>
          <w:rFonts w:eastAsia="Batang"/>
          <w:lang w:val="fr-FR" w:eastAsia="ko-KR"/>
        </w:rPr>
        <w:t>relatives</w:t>
      </w:r>
      <w:r w:rsidR="00C85F87" w:rsidRPr="002715F2">
        <w:rPr>
          <w:rFonts w:eastAsia="Batang"/>
          <w:lang w:val="fr-FR" w:eastAsia="ko-KR"/>
        </w:rPr>
        <w:t xml:space="preserve"> au mandat des juges et à leur indépendance sont décrites dans le troisième rapport sur le Pacte</w:t>
      </w:r>
      <w:r w:rsidR="000078DA" w:rsidRPr="002715F2">
        <w:rPr>
          <w:rFonts w:eastAsia="Batang"/>
          <w:lang w:val="fr-FR" w:eastAsia="ko-KR"/>
        </w:rPr>
        <w:t xml:space="preserve"> </w:t>
      </w:r>
      <w:r w:rsidR="008A36A5" w:rsidRPr="002715F2">
        <w:rPr>
          <w:lang w:val="fr-FR"/>
        </w:rPr>
        <w:t xml:space="preserve">international relatif aux droits civils et politiques </w:t>
      </w:r>
      <w:r w:rsidR="000078DA" w:rsidRPr="002715F2">
        <w:rPr>
          <w:rFonts w:eastAsia="Batang"/>
          <w:lang w:val="fr-FR" w:eastAsia="ko-KR"/>
        </w:rPr>
        <w:t>(CCPR/C/KOR/2005/3</w:t>
      </w:r>
      <w:r w:rsidR="00857390" w:rsidRPr="002715F2">
        <w:rPr>
          <w:rFonts w:eastAsia="Batang"/>
          <w:lang w:val="fr-FR" w:eastAsia="ko-KR"/>
        </w:rPr>
        <w:t>,</w:t>
      </w:r>
      <w:r w:rsidR="000078DA" w:rsidRPr="002715F2">
        <w:rPr>
          <w:rFonts w:eastAsia="Batang"/>
          <w:lang w:val="fr-FR" w:eastAsia="ko-KR"/>
        </w:rPr>
        <w:t xml:space="preserve"> </w:t>
      </w:r>
      <w:r w:rsidR="00480124" w:rsidRPr="002715F2">
        <w:rPr>
          <w:rFonts w:eastAsia="Batang"/>
          <w:lang w:val="fr-FR" w:eastAsia="ko-KR"/>
        </w:rPr>
        <w:t>par. </w:t>
      </w:r>
      <w:r w:rsidR="00857390" w:rsidRPr="002715F2">
        <w:rPr>
          <w:rFonts w:eastAsia="Batang"/>
          <w:lang w:val="fr-FR" w:eastAsia="ko-KR"/>
        </w:rPr>
        <w:t xml:space="preserve">232 et </w:t>
      </w:r>
      <w:r w:rsidR="000078DA" w:rsidRPr="002715F2">
        <w:rPr>
          <w:rFonts w:eastAsia="Batang"/>
          <w:lang w:val="fr-FR" w:eastAsia="ko-KR"/>
        </w:rPr>
        <w:t>233).</w:t>
      </w:r>
    </w:p>
    <w:p w:rsidR="000078DA" w:rsidRPr="002715F2" w:rsidRDefault="007026FB" w:rsidP="00502BC1">
      <w:pPr>
        <w:pStyle w:val="SingleTxtG"/>
        <w:rPr>
          <w:rFonts w:eastAsia="Batang"/>
          <w:lang w:val="fr-FR" w:eastAsia="ko-KR"/>
        </w:rPr>
      </w:pPr>
      <w:r w:rsidRPr="002715F2">
        <w:rPr>
          <w:rFonts w:eastAsia="Batang"/>
          <w:lang w:val="fr-FR" w:eastAsia="ko-KR"/>
        </w:rPr>
        <w:t>29.</w:t>
      </w:r>
      <w:r w:rsidRPr="002715F2">
        <w:rPr>
          <w:rFonts w:eastAsia="Batang"/>
          <w:lang w:val="fr-FR" w:eastAsia="ko-KR"/>
        </w:rPr>
        <w:tab/>
      </w:r>
      <w:r w:rsidR="006A4348" w:rsidRPr="002715F2">
        <w:rPr>
          <w:rFonts w:eastAsia="Batang"/>
          <w:lang w:val="fr-FR" w:eastAsia="ko-KR"/>
        </w:rPr>
        <w:t>En ce qui concerne le système de délibération pour le renouvellement du mandat des juges, avec la</w:t>
      </w:r>
      <w:r w:rsidR="00BF41F5" w:rsidRPr="002715F2">
        <w:rPr>
          <w:rFonts w:eastAsia="Batang"/>
          <w:lang w:val="fr-FR" w:eastAsia="ko-KR"/>
        </w:rPr>
        <w:t xml:space="preserve"> modification de</w:t>
      </w:r>
      <w:r w:rsidR="006A4348" w:rsidRPr="002715F2">
        <w:rPr>
          <w:rFonts w:eastAsia="Batang"/>
          <w:lang w:val="fr-FR" w:eastAsia="ko-KR"/>
        </w:rPr>
        <w:t xml:space="preserve"> </w:t>
      </w:r>
      <w:r w:rsidR="00BF41F5" w:rsidRPr="002715F2">
        <w:rPr>
          <w:rFonts w:eastAsia="Batang"/>
          <w:lang w:val="fr-FR" w:eastAsia="ko-KR"/>
        </w:rPr>
        <w:t>loi portant organisation des tribunaux, adoptée</w:t>
      </w:r>
      <w:r w:rsidR="006A4348" w:rsidRPr="002715F2">
        <w:rPr>
          <w:rFonts w:eastAsia="Batang"/>
          <w:lang w:val="fr-FR" w:eastAsia="ko-KR"/>
        </w:rPr>
        <w:t xml:space="preserve"> le 18</w:t>
      </w:r>
      <w:r w:rsidR="00BF41F5" w:rsidRPr="002715F2">
        <w:rPr>
          <w:rFonts w:eastAsia="Batang"/>
          <w:lang w:val="fr-FR" w:eastAsia="ko-KR"/>
        </w:rPr>
        <w:t> </w:t>
      </w:r>
      <w:r w:rsidR="006A4348" w:rsidRPr="002715F2">
        <w:rPr>
          <w:rFonts w:eastAsia="Batang"/>
          <w:lang w:val="fr-FR" w:eastAsia="ko-KR"/>
        </w:rPr>
        <w:t xml:space="preserve">juillet 2011, le </w:t>
      </w:r>
      <w:r w:rsidR="00472979" w:rsidRPr="002715F2">
        <w:rPr>
          <w:rFonts w:eastAsia="Batang"/>
          <w:lang w:val="fr-FR" w:eastAsia="ko-KR"/>
        </w:rPr>
        <w:t xml:space="preserve">Comité du personnel judiciaire </w:t>
      </w:r>
      <w:r w:rsidR="006A4348" w:rsidRPr="002715F2">
        <w:rPr>
          <w:rFonts w:eastAsia="Batang"/>
          <w:lang w:val="fr-FR" w:eastAsia="ko-KR"/>
        </w:rPr>
        <w:t xml:space="preserve">est passé du statut de comité consultatif auprès du juge </w:t>
      </w:r>
      <w:r w:rsidR="00502BC1" w:rsidRPr="002715F2">
        <w:rPr>
          <w:rFonts w:eastAsia="Batang"/>
          <w:lang w:val="fr-FR" w:eastAsia="ko-KR"/>
        </w:rPr>
        <w:t xml:space="preserve">en chef </w:t>
      </w:r>
      <w:r w:rsidR="006A4348" w:rsidRPr="002715F2">
        <w:rPr>
          <w:rFonts w:eastAsia="Batang"/>
          <w:lang w:val="fr-FR" w:eastAsia="ko-KR"/>
        </w:rPr>
        <w:t xml:space="preserve">à celui de </w:t>
      </w:r>
      <w:r w:rsidR="00502BC1" w:rsidRPr="002715F2">
        <w:rPr>
          <w:rFonts w:eastAsia="Batang"/>
          <w:lang w:val="fr-FR" w:eastAsia="ko-KR"/>
        </w:rPr>
        <w:t>c</w:t>
      </w:r>
      <w:r w:rsidR="006A4348" w:rsidRPr="002715F2">
        <w:rPr>
          <w:rFonts w:eastAsia="Batang"/>
          <w:lang w:val="fr-FR" w:eastAsia="ko-KR"/>
        </w:rPr>
        <w:t xml:space="preserve">omité de délibération </w:t>
      </w:r>
      <w:r w:rsidR="000A6FCF" w:rsidRPr="002715F2">
        <w:rPr>
          <w:rFonts w:eastAsia="Batang"/>
          <w:lang w:val="fr-FR" w:eastAsia="ko-KR"/>
        </w:rPr>
        <w:t>chargé d’</w:t>
      </w:r>
      <w:r w:rsidR="00502BC1" w:rsidRPr="002715F2">
        <w:rPr>
          <w:rFonts w:eastAsia="Batang"/>
          <w:lang w:val="fr-FR" w:eastAsia="ko-KR"/>
        </w:rPr>
        <w:t>examine</w:t>
      </w:r>
      <w:r w:rsidR="000A6FCF" w:rsidRPr="002715F2">
        <w:rPr>
          <w:rFonts w:eastAsia="Batang"/>
          <w:lang w:val="fr-FR" w:eastAsia="ko-KR"/>
        </w:rPr>
        <w:t>r</w:t>
      </w:r>
      <w:r w:rsidR="006A4348" w:rsidRPr="002715F2">
        <w:rPr>
          <w:rFonts w:eastAsia="Batang"/>
          <w:lang w:val="fr-FR" w:eastAsia="ko-KR"/>
        </w:rPr>
        <w:t xml:space="preserve"> le renouvellement du mandat des juges</w:t>
      </w:r>
      <w:r w:rsidR="000078DA" w:rsidRPr="002715F2">
        <w:rPr>
          <w:rFonts w:eastAsia="Batang"/>
          <w:lang w:val="fr-FR" w:eastAsia="ko-KR"/>
        </w:rPr>
        <w:t xml:space="preserve">. </w:t>
      </w:r>
      <w:r w:rsidR="00502BC1" w:rsidRPr="002715F2">
        <w:rPr>
          <w:rFonts w:eastAsia="Batang"/>
          <w:lang w:val="fr-FR" w:eastAsia="ko-KR"/>
        </w:rPr>
        <w:t xml:space="preserve">Avant cette modification, le juge en chef renouvelait le mandat des juges avec l’accord du </w:t>
      </w:r>
      <w:r w:rsidR="00472979" w:rsidRPr="002715F2">
        <w:rPr>
          <w:rFonts w:eastAsia="Batang"/>
          <w:lang w:val="fr-FR" w:eastAsia="ko-KR"/>
        </w:rPr>
        <w:t>C</w:t>
      </w:r>
      <w:r w:rsidR="00502BC1" w:rsidRPr="002715F2">
        <w:rPr>
          <w:rFonts w:eastAsia="Batang"/>
          <w:lang w:val="fr-FR" w:eastAsia="ko-KR"/>
        </w:rPr>
        <w:t>onseil des juges de la Cour suprême</w:t>
      </w:r>
      <w:r w:rsidR="000078DA" w:rsidRPr="002715F2">
        <w:rPr>
          <w:rFonts w:eastAsia="Batang"/>
          <w:lang w:val="fr-FR" w:eastAsia="ko-KR"/>
        </w:rPr>
        <w:t xml:space="preserve">. </w:t>
      </w:r>
      <w:r w:rsidR="000A6FCF" w:rsidRPr="002715F2">
        <w:rPr>
          <w:rFonts w:eastAsia="Batang"/>
          <w:lang w:val="fr-FR" w:eastAsia="ko-KR"/>
        </w:rPr>
        <w:t>Depuis</w:t>
      </w:r>
      <w:r w:rsidR="00502BC1" w:rsidRPr="002715F2">
        <w:rPr>
          <w:rFonts w:eastAsia="Batang"/>
          <w:lang w:val="fr-FR" w:eastAsia="ko-KR"/>
        </w:rPr>
        <w:t xml:space="preserve"> cette </w:t>
      </w:r>
      <w:r w:rsidR="005C6D8E" w:rsidRPr="002715F2">
        <w:rPr>
          <w:rFonts w:eastAsia="Batang"/>
          <w:lang w:val="fr-FR" w:eastAsia="ko-KR"/>
        </w:rPr>
        <w:t>modification</w:t>
      </w:r>
      <w:r w:rsidR="000078DA" w:rsidRPr="002715F2">
        <w:rPr>
          <w:rFonts w:eastAsia="Batang"/>
          <w:lang w:val="fr-FR" w:eastAsia="ko-KR"/>
        </w:rPr>
        <w:t xml:space="preserve">, </w:t>
      </w:r>
      <w:r w:rsidR="00502BC1" w:rsidRPr="002715F2">
        <w:rPr>
          <w:rFonts w:eastAsia="Batang"/>
          <w:lang w:val="fr-FR" w:eastAsia="ko-KR"/>
        </w:rPr>
        <w:t xml:space="preserve">le </w:t>
      </w:r>
      <w:r w:rsidR="00472979" w:rsidRPr="002715F2">
        <w:rPr>
          <w:rFonts w:eastAsia="Batang"/>
          <w:lang w:val="fr-FR" w:eastAsia="ko-KR"/>
        </w:rPr>
        <w:t>Comité du personnel judiciaire</w:t>
      </w:r>
      <w:r w:rsidR="00502BC1" w:rsidRPr="002715F2">
        <w:rPr>
          <w:rFonts w:eastAsia="Batang"/>
          <w:lang w:val="fr-FR" w:eastAsia="ko-KR"/>
        </w:rPr>
        <w:t xml:space="preserve"> délibère sur la reconduction du mandat avant que le juge en chef ne l’ordonne avec l’accord du </w:t>
      </w:r>
      <w:r w:rsidR="00472979" w:rsidRPr="002715F2">
        <w:rPr>
          <w:rFonts w:eastAsia="Batang"/>
          <w:lang w:val="fr-FR" w:eastAsia="ko-KR"/>
        </w:rPr>
        <w:t>C</w:t>
      </w:r>
      <w:r w:rsidR="00502BC1" w:rsidRPr="002715F2">
        <w:rPr>
          <w:rFonts w:eastAsia="Batang"/>
          <w:lang w:val="fr-FR" w:eastAsia="ko-KR"/>
        </w:rPr>
        <w:t xml:space="preserve">onseil des juges de la Cour suprême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45-2</w:t>
      </w:r>
      <w:r w:rsidR="006A4348"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1).</w:t>
      </w:r>
      <w:r w:rsidR="00502BC1" w:rsidRPr="002715F2">
        <w:rPr>
          <w:rFonts w:eastAsia="Batang"/>
          <w:lang w:val="fr-FR" w:eastAsia="ko-KR"/>
        </w:rPr>
        <w:t xml:space="preserve"> En outre, </w:t>
      </w:r>
      <w:r w:rsidR="00BF41F5" w:rsidRPr="002715F2">
        <w:rPr>
          <w:rFonts w:eastAsia="Batang"/>
          <w:lang w:val="fr-FR" w:eastAsia="ko-KR"/>
        </w:rPr>
        <w:t xml:space="preserve">cette modification </w:t>
      </w:r>
      <w:r w:rsidR="00502BC1" w:rsidRPr="002715F2">
        <w:rPr>
          <w:rFonts w:eastAsia="Batang"/>
          <w:lang w:val="fr-FR" w:eastAsia="ko-KR"/>
        </w:rPr>
        <w:t xml:space="preserve">prévoit que </w:t>
      </w:r>
      <w:r w:rsidR="00BF41F5" w:rsidRPr="002715F2">
        <w:rPr>
          <w:rFonts w:eastAsia="Batang"/>
          <w:lang w:val="fr-FR" w:eastAsia="ko-KR"/>
        </w:rPr>
        <w:t xml:space="preserve">les membres du </w:t>
      </w:r>
      <w:r w:rsidR="00472979" w:rsidRPr="002715F2">
        <w:rPr>
          <w:rFonts w:eastAsia="Batang"/>
          <w:lang w:val="fr-FR" w:eastAsia="ko-KR"/>
        </w:rPr>
        <w:t xml:space="preserve">Comité du personnel judiciaire </w:t>
      </w:r>
      <w:r w:rsidR="00BF41F5" w:rsidRPr="002715F2">
        <w:rPr>
          <w:rFonts w:eastAsia="Batang"/>
          <w:lang w:val="fr-FR" w:eastAsia="ko-KR"/>
        </w:rPr>
        <w:t xml:space="preserve">doivent comprendre </w:t>
      </w:r>
      <w:r w:rsidR="00502BC1" w:rsidRPr="002715F2">
        <w:rPr>
          <w:rFonts w:eastAsia="Batang"/>
          <w:lang w:val="fr-FR" w:eastAsia="ko-KR"/>
        </w:rPr>
        <w:t xml:space="preserve">des personnes </w:t>
      </w:r>
      <w:r w:rsidR="00472979" w:rsidRPr="002715F2">
        <w:rPr>
          <w:rFonts w:eastAsia="Batang"/>
          <w:lang w:val="fr-FR" w:eastAsia="ko-KR"/>
        </w:rPr>
        <w:t>qui ne sont pas juges</w:t>
      </w:r>
      <w:r w:rsidR="00502BC1" w:rsidRPr="002715F2">
        <w:rPr>
          <w:rFonts w:eastAsia="Batang"/>
          <w:lang w:val="fr-FR" w:eastAsia="ko-KR"/>
        </w:rPr>
        <w:t xml:space="preserve"> pour améliorer l’équité et la crédibilité des délibérations</w:t>
      </w:r>
      <w:r w:rsidR="000078DA" w:rsidRPr="002715F2">
        <w:rPr>
          <w:rFonts w:eastAsia="Batang"/>
          <w:lang w:val="fr-FR" w:eastAsia="ko-KR"/>
        </w:rPr>
        <w:t xml:space="preserve"> (</w:t>
      </w:r>
      <w:r w:rsidR="00BD1A84" w:rsidRPr="002715F2">
        <w:rPr>
          <w:rFonts w:eastAsia="Batang"/>
          <w:lang w:val="fr-FR" w:eastAsia="ko-KR"/>
        </w:rPr>
        <w:t>art. </w:t>
      </w:r>
      <w:r w:rsidR="000078DA" w:rsidRPr="002715F2">
        <w:rPr>
          <w:rFonts w:eastAsia="Batang"/>
          <w:lang w:val="fr-FR" w:eastAsia="ko-KR"/>
        </w:rPr>
        <w:t>25</w:t>
      </w:r>
      <w:r w:rsidR="00720F30" w:rsidRPr="002715F2">
        <w:rPr>
          <w:rFonts w:eastAsia="Batang"/>
          <w:lang w:val="fr-FR" w:eastAsia="ko-KR"/>
        </w:rPr>
        <w:t>­</w:t>
      </w:r>
      <w:r w:rsidR="000078DA" w:rsidRPr="002715F2">
        <w:rPr>
          <w:rFonts w:eastAsia="Batang"/>
          <w:lang w:val="fr-FR" w:eastAsia="ko-KR"/>
        </w:rPr>
        <w:t>2</w:t>
      </w:r>
      <w:r w:rsidR="006A4348"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4). </w:t>
      </w:r>
      <w:r w:rsidR="00502BC1" w:rsidRPr="002715F2">
        <w:rPr>
          <w:rFonts w:eastAsia="Batang"/>
          <w:lang w:val="fr-FR" w:eastAsia="ko-KR"/>
        </w:rPr>
        <w:t xml:space="preserve">Le </w:t>
      </w:r>
      <w:r w:rsidR="00472979" w:rsidRPr="002715F2">
        <w:rPr>
          <w:rFonts w:eastAsia="Batang"/>
          <w:lang w:val="fr-FR" w:eastAsia="ko-KR"/>
        </w:rPr>
        <w:t xml:space="preserve">Règlement du personnel judiciaire </w:t>
      </w:r>
      <w:r w:rsidR="00502BC1" w:rsidRPr="002715F2">
        <w:rPr>
          <w:rFonts w:eastAsia="Batang"/>
          <w:lang w:val="fr-FR" w:eastAsia="ko-KR"/>
        </w:rPr>
        <w:t>(règlement de la Cour suprême), tel que modifié le 11</w:t>
      </w:r>
      <w:r w:rsidR="00211715" w:rsidRPr="002715F2">
        <w:rPr>
          <w:rFonts w:eastAsia="Batang"/>
          <w:lang w:val="fr-FR" w:eastAsia="ko-KR"/>
        </w:rPr>
        <w:t> </w:t>
      </w:r>
      <w:r w:rsidR="00502BC1" w:rsidRPr="002715F2">
        <w:rPr>
          <w:rFonts w:eastAsia="Batang"/>
          <w:lang w:val="fr-FR" w:eastAsia="ko-KR"/>
        </w:rPr>
        <w:t xml:space="preserve">septembre 2012, prévoit que les délibérations entourant la reconduction </w:t>
      </w:r>
      <w:r w:rsidR="000A6FCF" w:rsidRPr="002715F2">
        <w:rPr>
          <w:rFonts w:eastAsia="Batang"/>
          <w:lang w:val="fr-FR" w:eastAsia="ko-KR"/>
        </w:rPr>
        <w:t>du</w:t>
      </w:r>
      <w:r w:rsidR="00502BC1" w:rsidRPr="002715F2">
        <w:rPr>
          <w:rFonts w:eastAsia="Batang"/>
          <w:lang w:val="fr-FR" w:eastAsia="ko-KR"/>
        </w:rPr>
        <w:t xml:space="preserve"> mandat </w:t>
      </w:r>
      <w:r w:rsidR="000A6FCF" w:rsidRPr="002715F2">
        <w:rPr>
          <w:rFonts w:eastAsia="Batang"/>
          <w:lang w:val="fr-FR" w:eastAsia="ko-KR"/>
        </w:rPr>
        <w:t xml:space="preserve">des juges </w:t>
      </w:r>
      <w:r w:rsidR="00502BC1" w:rsidRPr="002715F2">
        <w:rPr>
          <w:rFonts w:eastAsia="Batang"/>
          <w:lang w:val="fr-FR" w:eastAsia="ko-KR"/>
        </w:rPr>
        <w:t>ne doi</w:t>
      </w:r>
      <w:r w:rsidR="000A6FCF" w:rsidRPr="002715F2">
        <w:rPr>
          <w:rFonts w:eastAsia="Batang"/>
          <w:lang w:val="fr-FR" w:eastAsia="ko-KR"/>
        </w:rPr>
        <w:t>ven</w:t>
      </w:r>
      <w:r w:rsidR="00502BC1" w:rsidRPr="002715F2">
        <w:rPr>
          <w:rFonts w:eastAsia="Batang"/>
          <w:lang w:val="fr-FR" w:eastAsia="ko-KR"/>
        </w:rPr>
        <w:t xml:space="preserve">t pas porter atteinte à l’indépendance </w:t>
      </w:r>
      <w:r w:rsidR="000A6FCF" w:rsidRPr="002715F2">
        <w:rPr>
          <w:rFonts w:eastAsia="Batang"/>
          <w:lang w:val="fr-FR" w:eastAsia="ko-KR"/>
        </w:rPr>
        <w:t xml:space="preserve">de ces derniers </w:t>
      </w:r>
      <w:r w:rsidR="00F60999" w:rsidRPr="002715F2">
        <w:rPr>
          <w:rFonts w:eastAsia="Batang"/>
          <w:lang w:val="fr-FR" w:eastAsia="ko-KR"/>
        </w:rPr>
        <w:t>(</w:t>
      </w:r>
      <w:r w:rsidR="00BD1A84" w:rsidRPr="002715F2">
        <w:rPr>
          <w:rFonts w:eastAsia="Batang"/>
          <w:lang w:val="fr-FR" w:eastAsia="ko-KR"/>
        </w:rPr>
        <w:t>art. </w:t>
      </w:r>
      <w:r w:rsidR="00F60999" w:rsidRPr="002715F2">
        <w:rPr>
          <w:rFonts w:eastAsia="Batang"/>
          <w:lang w:val="fr-FR" w:eastAsia="ko-KR"/>
        </w:rPr>
        <w:t>15-2).</w:t>
      </w:r>
    </w:p>
    <w:p w:rsidR="000078DA" w:rsidRPr="002715F2" w:rsidRDefault="007026FB" w:rsidP="007026FB">
      <w:pPr>
        <w:pStyle w:val="SingleTxtG"/>
        <w:rPr>
          <w:rFonts w:eastAsia="Batang"/>
          <w:lang w:val="fr-FR" w:eastAsia="ko-KR"/>
        </w:rPr>
      </w:pPr>
      <w:r w:rsidRPr="002715F2">
        <w:rPr>
          <w:rFonts w:eastAsia="Batang"/>
          <w:lang w:val="fr-FR" w:eastAsia="ko-KR"/>
        </w:rPr>
        <w:t>30.</w:t>
      </w:r>
      <w:r w:rsidRPr="002715F2">
        <w:rPr>
          <w:rFonts w:eastAsia="Batang"/>
          <w:lang w:val="fr-FR" w:eastAsia="ko-KR"/>
        </w:rPr>
        <w:tab/>
      </w:r>
      <w:r w:rsidR="00502BC1" w:rsidRPr="002715F2">
        <w:rPr>
          <w:rFonts w:eastAsia="Batang"/>
          <w:lang w:val="fr-FR" w:eastAsia="ko-KR"/>
        </w:rPr>
        <w:t xml:space="preserve">La loi sur les </w:t>
      </w:r>
      <w:r w:rsidR="000A3FD8" w:rsidRPr="002715F2">
        <w:rPr>
          <w:rFonts w:eastAsia="Batang"/>
          <w:lang w:val="fr-FR" w:eastAsia="ko-KR"/>
        </w:rPr>
        <w:t>sanctions</w:t>
      </w:r>
      <w:r w:rsidR="00502BC1" w:rsidRPr="002715F2">
        <w:rPr>
          <w:rFonts w:eastAsia="Batang"/>
          <w:lang w:val="fr-FR" w:eastAsia="ko-KR"/>
        </w:rPr>
        <w:t xml:space="preserve"> disciplinaires </w:t>
      </w:r>
      <w:r w:rsidR="00DA00C1" w:rsidRPr="002715F2">
        <w:rPr>
          <w:rFonts w:eastAsia="Batang"/>
          <w:lang w:val="fr-FR" w:eastAsia="ko-KR"/>
        </w:rPr>
        <w:t>applicables aux</w:t>
      </w:r>
      <w:r w:rsidR="00502BC1" w:rsidRPr="002715F2">
        <w:rPr>
          <w:rFonts w:eastAsia="Batang"/>
          <w:lang w:val="fr-FR" w:eastAsia="ko-KR"/>
        </w:rPr>
        <w:t xml:space="preserve"> juges, </w:t>
      </w:r>
      <w:r w:rsidR="00DA00C1" w:rsidRPr="002715F2">
        <w:rPr>
          <w:rFonts w:eastAsia="Batang"/>
          <w:lang w:val="fr-FR" w:eastAsia="ko-KR"/>
        </w:rPr>
        <w:t xml:space="preserve">telle que </w:t>
      </w:r>
      <w:r w:rsidR="00502BC1" w:rsidRPr="002715F2">
        <w:rPr>
          <w:rFonts w:eastAsia="Batang"/>
          <w:lang w:val="fr-FR" w:eastAsia="ko-KR"/>
        </w:rPr>
        <w:t>modifiée le 27 o</w:t>
      </w:r>
      <w:r w:rsidR="00DA00C1" w:rsidRPr="002715F2">
        <w:rPr>
          <w:rFonts w:eastAsia="Batang"/>
          <w:lang w:val="fr-FR" w:eastAsia="ko-KR"/>
        </w:rPr>
        <w:t xml:space="preserve">ctobre 2006, </w:t>
      </w:r>
      <w:r w:rsidR="00FE2104" w:rsidRPr="002715F2">
        <w:rPr>
          <w:rFonts w:eastAsia="Batang"/>
          <w:lang w:val="fr-FR" w:eastAsia="ko-KR"/>
        </w:rPr>
        <w:t>prévoit également que les membres du Comité de discipline des juges doivent comprendre des personnes extérieures à cette profession afin d’</w:t>
      </w:r>
      <w:r w:rsidR="00502BC1" w:rsidRPr="002715F2">
        <w:rPr>
          <w:rFonts w:eastAsia="Batang"/>
          <w:lang w:val="fr-FR" w:eastAsia="ko-KR"/>
        </w:rPr>
        <w:t>améliorer l</w:t>
      </w:r>
      <w:r w:rsidR="00DA00C1" w:rsidRPr="002715F2">
        <w:rPr>
          <w:rFonts w:eastAsia="Batang"/>
          <w:lang w:val="fr-FR" w:eastAsia="ko-KR"/>
        </w:rPr>
        <w:t>’</w:t>
      </w:r>
      <w:r w:rsidR="00502BC1" w:rsidRPr="002715F2">
        <w:rPr>
          <w:rFonts w:eastAsia="Batang"/>
          <w:lang w:val="fr-FR" w:eastAsia="ko-KR"/>
        </w:rPr>
        <w:t xml:space="preserve">équité et la </w:t>
      </w:r>
      <w:r w:rsidR="00DA00C1" w:rsidRPr="002715F2">
        <w:rPr>
          <w:rFonts w:eastAsia="Batang"/>
          <w:lang w:val="fr-FR" w:eastAsia="ko-KR"/>
        </w:rPr>
        <w:t xml:space="preserve">crédibilité </w:t>
      </w:r>
      <w:r w:rsidR="00502BC1" w:rsidRPr="002715F2">
        <w:rPr>
          <w:rFonts w:eastAsia="Batang"/>
          <w:lang w:val="fr-FR" w:eastAsia="ko-KR"/>
        </w:rPr>
        <w:t>des décisions disciplinaires</w:t>
      </w:r>
      <w:r w:rsidR="00DA00C1" w:rsidRPr="002715F2">
        <w:rPr>
          <w:rFonts w:eastAsia="Batang"/>
          <w:lang w:val="fr-FR" w:eastAsia="ko-KR"/>
        </w:rPr>
        <w:t xml:space="preserve"> </w:t>
      </w:r>
      <w:r w:rsidR="00F60999" w:rsidRPr="002715F2">
        <w:rPr>
          <w:rFonts w:eastAsia="Batang"/>
          <w:lang w:val="fr-FR" w:eastAsia="ko-KR"/>
        </w:rPr>
        <w:t>(</w:t>
      </w:r>
      <w:r w:rsidR="00BD1A84" w:rsidRPr="002715F2">
        <w:rPr>
          <w:rFonts w:eastAsia="Batang"/>
          <w:lang w:val="fr-FR" w:eastAsia="ko-KR"/>
        </w:rPr>
        <w:t>art. </w:t>
      </w:r>
      <w:r w:rsidR="00F60999" w:rsidRPr="002715F2">
        <w:rPr>
          <w:rFonts w:eastAsia="Batang"/>
          <w:lang w:val="fr-FR" w:eastAsia="ko-KR"/>
        </w:rPr>
        <w:t>5</w:t>
      </w:r>
      <w:r w:rsidR="006A4348" w:rsidRPr="002715F2">
        <w:rPr>
          <w:rFonts w:eastAsia="Batang"/>
          <w:lang w:val="fr-FR" w:eastAsia="ko-KR"/>
        </w:rPr>
        <w:t>,</w:t>
      </w:r>
      <w:r w:rsidR="00F60999" w:rsidRPr="002715F2">
        <w:rPr>
          <w:rFonts w:eastAsia="Batang"/>
          <w:lang w:val="fr-FR" w:eastAsia="ko-KR"/>
        </w:rPr>
        <w:t xml:space="preserve"> </w:t>
      </w:r>
      <w:r w:rsidR="00BD1A84" w:rsidRPr="002715F2">
        <w:rPr>
          <w:rFonts w:eastAsia="Batang"/>
          <w:lang w:val="fr-FR" w:eastAsia="ko-KR"/>
        </w:rPr>
        <w:t>par. </w:t>
      </w:r>
      <w:r w:rsidR="00F60999" w:rsidRPr="002715F2">
        <w:rPr>
          <w:rFonts w:eastAsia="Batang"/>
          <w:lang w:val="fr-FR" w:eastAsia="ko-KR"/>
        </w:rPr>
        <w:t>1).</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877F0E"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877F0E" w:rsidRPr="002715F2">
        <w:rPr>
          <w:rFonts w:eastAsia="Batang"/>
          <w:lang w:val="fr-FR" w:eastAsia="ko-KR"/>
        </w:rPr>
        <w:t>7</w:t>
      </w:r>
    </w:p>
    <w:p w:rsidR="000078DA" w:rsidRPr="002715F2" w:rsidRDefault="007026FB" w:rsidP="007026FB">
      <w:pPr>
        <w:pStyle w:val="SingleTxtG"/>
        <w:rPr>
          <w:rFonts w:eastAsia="Batang"/>
          <w:lang w:val="fr-FR" w:eastAsia="ko-KR"/>
        </w:rPr>
      </w:pPr>
      <w:r w:rsidRPr="002715F2">
        <w:rPr>
          <w:rFonts w:eastAsia="Batang"/>
          <w:lang w:val="fr-FR" w:eastAsia="ko-KR"/>
        </w:rPr>
        <w:t>31.</w:t>
      </w:r>
      <w:r w:rsidRPr="002715F2">
        <w:rPr>
          <w:rFonts w:eastAsia="Batang"/>
          <w:lang w:val="fr-FR" w:eastAsia="ko-KR"/>
        </w:rPr>
        <w:tab/>
      </w:r>
      <w:r w:rsidR="00DA00C1" w:rsidRPr="002715F2">
        <w:rPr>
          <w:rFonts w:eastAsia="Batang"/>
          <w:lang w:val="fr-FR" w:eastAsia="ko-KR"/>
        </w:rPr>
        <w:t xml:space="preserve">Les conditions requises pour </w:t>
      </w:r>
      <w:r w:rsidR="002402F4" w:rsidRPr="002715F2">
        <w:rPr>
          <w:rFonts w:eastAsia="Batang"/>
          <w:lang w:val="fr-FR" w:eastAsia="ko-KR"/>
        </w:rPr>
        <w:t xml:space="preserve">pouvoir </w:t>
      </w:r>
      <w:r w:rsidR="00DA00C1" w:rsidRPr="002715F2">
        <w:rPr>
          <w:rFonts w:eastAsia="Batang"/>
          <w:lang w:val="fr-FR" w:eastAsia="ko-KR"/>
        </w:rPr>
        <w:t xml:space="preserve">procéder à </w:t>
      </w:r>
      <w:r w:rsidR="002402F4" w:rsidRPr="002715F2">
        <w:rPr>
          <w:rFonts w:eastAsia="Batang"/>
          <w:lang w:val="fr-FR" w:eastAsia="ko-KR"/>
        </w:rPr>
        <w:t>une arrestation</w:t>
      </w:r>
      <w:r w:rsidR="00DA00C1" w:rsidRPr="002715F2">
        <w:rPr>
          <w:rFonts w:eastAsia="Batang"/>
          <w:lang w:val="fr-FR" w:eastAsia="ko-KR"/>
        </w:rPr>
        <w:t xml:space="preserve"> urgente ou en flagrant délit sont expliquées dans le premier rapport </w:t>
      </w:r>
      <w:r w:rsidR="000078DA" w:rsidRPr="002715F2">
        <w:rPr>
          <w:rFonts w:eastAsia="Batang"/>
          <w:lang w:val="fr-FR" w:eastAsia="ko-KR"/>
        </w:rPr>
        <w:t>(CAT/C/32/Add.1</w:t>
      </w:r>
      <w:r w:rsidR="00DA00C1" w:rsidRPr="002715F2">
        <w:rPr>
          <w:rFonts w:eastAsia="Batang"/>
          <w:lang w:val="fr-FR" w:eastAsia="ko-KR"/>
        </w:rPr>
        <w:t>,</w:t>
      </w:r>
      <w:r w:rsidR="000078DA" w:rsidRPr="002715F2">
        <w:rPr>
          <w:rFonts w:eastAsia="Batang"/>
          <w:lang w:val="fr-FR" w:eastAsia="ko-KR"/>
        </w:rPr>
        <w:t xml:space="preserve"> </w:t>
      </w:r>
      <w:r w:rsidR="00480124" w:rsidRPr="002715F2">
        <w:rPr>
          <w:rFonts w:eastAsia="Malgun Gothic"/>
          <w:kern w:val="2"/>
          <w:szCs w:val="22"/>
          <w:lang w:val="fr-FR" w:eastAsia="ko-KR"/>
        </w:rPr>
        <w:t>par. </w:t>
      </w:r>
      <w:r w:rsidR="000078DA" w:rsidRPr="002715F2">
        <w:rPr>
          <w:rFonts w:eastAsia="Batang"/>
          <w:lang w:val="fr-FR" w:eastAsia="ko-KR"/>
        </w:rPr>
        <w:t>80</w:t>
      </w:r>
      <w:r w:rsidR="00DA00C1" w:rsidRPr="002715F2">
        <w:rPr>
          <w:rFonts w:eastAsia="Batang"/>
          <w:lang w:val="fr-FR" w:eastAsia="ko-KR"/>
        </w:rPr>
        <w:t xml:space="preserve"> et </w:t>
      </w:r>
      <w:r w:rsidR="000078DA" w:rsidRPr="002715F2">
        <w:rPr>
          <w:rFonts w:eastAsia="Batang"/>
          <w:lang w:val="fr-FR" w:eastAsia="ko-KR"/>
        </w:rPr>
        <w:t xml:space="preserve">81). </w:t>
      </w:r>
      <w:r w:rsidR="00DA00C1" w:rsidRPr="002715F2">
        <w:rPr>
          <w:rFonts w:eastAsia="Batang"/>
          <w:lang w:val="fr-FR" w:eastAsia="ko-KR"/>
        </w:rPr>
        <w:t>Le système mentionné aux paragraphes 18 à 27 du présent rapport, qui a été conçu pour protéger les droits des personnes arrêtées ou détenues</w:t>
      </w:r>
      <w:r w:rsidR="007F7CF9" w:rsidRPr="002715F2">
        <w:rPr>
          <w:rFonts w:eastAsia="Batang"/>
          <w:lang w:val="fr-FR" w:eastAsia="ko-KR"/>
        </w:rPr>
        <w:t>, s’</w:t>
      </w:r>
      <w:r w:rsidR="00DA00C1" w:rsidRPr="002715F2">
        <w:rPr>
          <w:rFonts w:eastAsia="Batang"/>
          <w:lang w:val="fr-FR" w:eastAsia="ko-KR"/>
        </w:rPr>
        <w:t xml:space="preserve">applique également </w:t>
      </w:r>
      <w:r w:rsidR="00FE2104" w:rsidRPr="002715F2">
        <w:rPr>
          <w:lang w:val="fr-FR"/>
        </w:rPr>
        <w:t>dans le cadre d’une procédure d’arrestation urgente</w:t>
      </w:r>
      <w:r w:rsidR="000078DA"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32.</w:t>
      </w:r>
      <w:r w:rsidRPr="002715F2">
        <w:rPr>
          <w:rFonts w:eastAsia="Batang"/>
          <w:lang w:val="fr-FR" w:eastAsia="ko-KR"/>
        </w:rPr>
        <w:tab/>
      </w:r>
      <w:r w:rsidR="002402F4" w:rsidRPr="002715F2">
        <w:rPr>
          <w:rFonts w:eastAsia="Batang"/>
          <w:lang w:val="fr-FR" w:eastAsia="ko-KR"/>
        </w:rPr>
        <w:t>L</w:t>
      </w:r>
      <w:r w:rsidR="001279C7" w:rsidRPr="002715F2">
        <w:rPr>
          <w:rFonts w:eastAsia="Batang"/>
          <w:lang w:val="fr-FR" w:eastAsia="ko-KR"/>
        </w:rPr>
        <w:t xml:space="preserve">e </w:t>
      </w:r>
      <w:r w:rsidR="002402F4" w:rsidRPr="002715F2">
        <w:rPr>
          <w:rFonts w:eastAsia="Batang"/>
          <w:lang w:val="fr-FR" w:eastAsia="ko-KR"/>
        </w:rPr>
        <w:t>C</w:t>
      </w:r>
      <w:r w:rsidR="001279C7" w:rsidRPr="002715F2">
        <w:rPr>
          <w:rFonts w:eastAsia="Batang"/>
          <w:lang w:val="fr-FR" w:eastAsia="ko-KR"/>
        </w:rPr>
        <w:t>ode</w:t>
      </w:r>
      <w:r w:rsidR="001279C7" w:rsidRPr="002715F2">
        <w:rPr>
          <w:rFonts w:eastAsia="Malgun Gothic"/>
          <w:kern w:val="2"/>
          <w:szCs w:val="22"/>
          <w:lang w:val="fr-FR" w:eastAsia="ko-KR"/>
        </w:rPr>
        <w:t xml:space="preserve"> de </w:t>
      </w:r>
      <w:r w:rsidR="005C6D8E" w:rsidRPr="002715F2">
        <w:rPr>
          <w:rFonts w:eastAsia="Malgun Gothic"/>
          <w:kern w:val="2"/>
          <w:szCs w:val="22"/>
          <w:lang w:val="fr-FR" w:eastAsia="ko-KR"/>
        </w:rPr>
        <w:t>procédure</w:t>
      </w:r>
      <w:r w:rsidR="001279C7" w:rsidRPr="002715F2">
        <w:rPr>
          <w:rFonts w:eastAsia="Malgun Gothic"/>
          <w:kern w:val="2"/>
          <w:szCs w:val="22"/>
          <w:lang w:val="fr-FR" w:eastAsia="ko-KR"/>
        </w:rPr>
        <w:t xml:space="preserve"> pénale</w:t>
      </w:r>
      <w:r w:rsidR="002402F4" w:rsidRPr="002715F2">
        <w:rPr>
          <w:rFonts w:eastAsia="Malgun Gothic"/>
          <w:kern w:val="2"/>
          <w:szCs w:val="22"/>
          <w:lang w:val="fr-FR" w:eastAsia="ko-KR"/>
        </w:rPr>
        <w:t xml:space="preserve"> stipule qu’</w:t>
      </w:r>
      <w:r w:rsidR="002402F4" w:rsidRPr="002715F2">
        <w:rPr>
          <w:rFonts w:eastAsia="Batang"/>
          <w:lang w:val="fr-FR" w:eastAsia="ko-KR"/>
        </w:rPr>
        <w:t xml:space="preserve">après avoir procédé à l’arrestation urgente d’un suspect, </w:t>
      </w:r>
      <w:r w:rsidR="001279C7" w:rsidRPr="002715F2">
        <w:rPr>
          <w:rFonts w:eastAsia="Batang"/>
          <w:lang w:val="fr-FR" w:eastAsia="ko-KR"/>
        </w:rPr>
        <w:t xml:space="preserve">un procureur ou un </w:t>
      </w:r>
      <w:r w:rsidR="002402F4" w:rsidRPr="002715F2">
        <w:rPr>
          <w:rFonts w:eastAsia="Batang"/>
          <w:lang w:val="fr-FR" w:eastAsia="ko-KR"/>
        </w:rPr>
        <w:t>officier</w:t>
      </w:r>
      <w:r w:rsidR="001279C7" w:rsidRPr="002715F2">
        <w:rPr>
          <w:rFonts w:eastAsia="Batang"/>
          <w:lang w:val="fr-FR" w:eastAsia="ko-KR"/>
        </w:rPr>
        <w:t xml:space="preserve"> de police judiciaire doit </w:t>
      </w:r>
      <w:r w:rsidR="003675CB" w:rsidRPr="002715F2">
        <w:rPr>
          <w:rFonts w:eastAsia="Batang"/>
          <w:lang w:val="fr-FR" w:eastAsia="ko-KR"/>
        </w:rPr>
        <w:t>établir</w:t>
      </w:r>
      <w:r w:rsidR="001279C7" w:rsidRPr="002715F2">
        <w:rPr>
          <w:rFonts w:eastAsia="Batang"/>
          <w:lang w:val="fr-FR" w:eastAsia="ko-KR"/>
        </w:rPr>
        <w:t xml:space="preserve"> un document </w:t>
      </w:r>
      <w:r w:rsidR="002402F4" w:rsidRPr="002715F2">
        <w:rPr>
          <w:rFonts w:eastAsia="Batang"/>
          <w:lang w:val="fr-FR" w:eastAsia="ko-KR"/>
        </w:rPr>
        <w:t xml:space="preserve">exposant </w:t>
      </w:r>
      <w:r w:rsidR="00E87ECC" w:rsidRPr="002715F2">
        <w:rPr>
          <w:rFonts w:eastAsia="Batang"/>
          <w:lang w:val="fr-FR" w:eastAsia="ko-KR"/>
        </w:rPr>
        <w:t>entre autres</w:t>
      </w:r>
      <w:r w:rsidR="001279C7" w:rsidRPr="002715F2">
        <w:rPr>
          <w:rFonts w:eastAsia="Batang"/>
          <w:lang w:val="fr-FR" w:eastAsia="ko-KR"/>
        </w:rPr>
        <w:t xml:space="preserve"> </w:t>
      </w:r>
      <w:r w:rsidR="002402F4" w:rsidRPr="002715F2">
        <w:rPr>
          <w:rFonts w:eastAsia="Batang"/>
          <w:lang w:val="fr-FR" w:eastAsia="ko-KR"/>
        </w:rPr>
        <w:t>le</w:t>
      </w:r>
      <w:r w:rsidR="001279C7" w:rsidRPr="002715F2">
        <w:rPr>
          <w:rFonts w:eastAsia="Batang"/>
          <w:lang w:val="fr-FR" w:eastAsia="ko-KR"/>
        </w:rPr>
        <w:t xml:space="preserve"> résumé des charges retenues</w:t>
      </w:r>
      <w:r w:rsidR="002402F4" w:rsidRPr="002715F2">
        <w:rPr>
          <w:rFonts w:eastAsia="Batang"/>
          <w:lang w:val="fr-FR" w:eastAsia="ko-KR"/>
        </w:rPr>
        <w:t xml:space="preserve"> et</w:t>
      </w:r>
      <w:r w:rsidR="001279C7" w:rsidRPr="002715F2">
        <w:rPr>
          <w:rFonts w:eastAsia="Batang"/>
          <w:lang w:val="fr-FR" w:eastAsia="ko-KR"/>
        </w:rPr>
        <w:t xml:space="preserve"> les motifs de </w:t>
      </w:r>
      <w:r w:rsidR="002402F4" w:rsidRPr="002715F2">
        <w:rPr>
          <w:rFonts w:eastAsia="Batang"/>
          <w:lang w:val="fr-FR" w:eastAsia="ko-KR"/>
        </w:rPr>
        <w:t>l’arrestation urgente</w:t>
      </w:r>
      <w:r w:rsidR="00E87ECC" w:rsidRPr="002715F2">
        <w:rPr>
          <w:rFonts w:eastAsia="Batang"/>
          <w:lang w:val="fr-FR" w:eastAsia="ko-KR"/>
        </w:rPr>
        <w:t>,</w:t>
      </w:r>
      <w:r w:rsidR="002402F4" w:rsidRPr="002715F2">
        <w:rPr>
          <w:rFonts w:eastAsia="Batang"/>
          <w:lang w:val="fr-FR" w:eastAsia="ko-KR"/>
        </w:rPr>
        <w:t xml:space="preserve"> </w:t>
      </w:r>
      <w:r w:rsidR="001279C7" w:rsidRPr="002715F2">
        <w:rPr>
          <w:rFonts w:eastAsia="Batang"/>
          <w:lang w:val="fr-FR" w:eastAsia="ko-KR"/>
        </w:rPr>
        <w:t xml:space="preserve">afin de prévenir l’utilisation abusive de ce type d’arrestation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200-3</w:t>
      </w:r>
      <w:r w:rsidR="001279C7" w:rsidRPr="002715F2">
        <w:rPr>
          <w:rFonts w:eastAsia="Batang"/>
          <w:lang w:val="fr-FR" w:eastAsia="ko-KR"/>
        </w:rPr>
        <w:t>,</w:t>
      </w:r>
      <w:r w:rsidR="000078DA" w:rsidRPr="002715F2">
        <w:rPr>
          <w:rFonts w:eastAsia="Batang"/>
          <w:lang w:val="fr-FR" w:eastAsia="ko-KR"/>
        </w:rPr>
        <w:t xml:space="preserve"> </w:t>
      </w:r>
      <w:r w:rsidR="00480124" w:rsidRPr="002715F2">
        <w:rPr>
          <w:rFonts w:eastAsia="Batang"/>
          <w:lang w:val="fr-FR" w:eastAsia="ko-KR"/>
        </w:rPr>
        <w:t>par. </w:t>
      </w:r>
      <w:r w:rsidR="000078DA" w:rsidRPr="002715F2">
        <w:rPr>
          <w:rFonts w:eastAsia="Batang"/>
          <w:lang w:val="fr-FR" w:eastAsia="ko-KR"/>
        </w:rPr>
        <w:t>3</w:t>
      </w:r>
      <w:r w:rsidR="001279C7" w:rsidRPr="002715F2">
        <w:rPr>
          <w:rFonts w:eastAsia="Batang"/>
          <w:lang w:val="fr-FR" w:eastAsia="ko-KR"/>
        </w:rPr>
        <w:t xml:space="preserve"> et</w:t>
      </w:r>
      <w:r w:rsidR="000078DA" w:rsidRPr="002715F2">
        <w:rPr>
          <w:rFonts w:eastAsia="Batang"/>
          <w:lang w:val="fr-FR" w:eastAsia="ko-KR"/>
        </w:rPr>
        <w:t xml:space="preserve"> 4). </w:t>
      </w:r>
      <w:r w:rsidR="001279C7" w:rsidRPr="002715F2">
        <w:rPr>
          <w:rFonts w:eastAsia="Batang"/>
          <w:lang w:val="fr-FR" w:eastAsia="ko-KR"/>
        </w:rPr>
        <w:t xml:space="preserve">Les </w:t>
      </w:r>
      <w:r w:rsidR="002402F4" w:rsidRPr="002715F2">
        <w:rPr>
          <w:rFonts w:eastAsia="Batang"/>
          <w:lang w:val="fr-FR" w:eastAsia="ko-KR"/>
        </w:rPr>
        <w:t>officiers</w:t>
      </w:r>
      <w:r w:rsidR="001279C7" w:rsidRPr="002715F2">
        <w:rPr>
          <w:rFonts w:eastAsia="Batang"/>
          <w:lang w:val="fr-FR" w:eastAsia="ko-KR"/>
        </w:rPr>
        <w:t xml:space="preserve"> de police judiciaire doivent immédiatement obtenir l’approbat</w:t>
      </w:r>
      <w:r w:rsidR="00E87ECC" w:rsidRPr="002715F2">
        <w:rPr>
          <w:rFonts w:eastAsia="Batang"/>
          <w:lang w:val="fr-FR" w:eastAsia="ko-KR"/>
        </w:rPr>
        <w:t>ion d’un procureur en cas d’arres</w:t>
      </w:r>
      <w:r w:rsidR="001279C7" w:rsidRPr="002715F2">
        <w:rPr>
          <w:rFonts w:eastAsia="Batang"/>
          <w:lang w:val="fr-FR" w:eastAsia="ko-KR"/>
        </w:rPr>
        <w:t>t</w:t>
      </w:r>
      <w:r w:rsidR="00E87ECC" w:rsidRPr="002715F2">
        <w:rPr>
          <w:rFonts w:eastAsia="Batang"/>
          <w:lang w:val="fr-FR" w:eastAsia="ko-KR"/>
        </w:rPr>
        <w:t xml:space="preserve">ation </w:t>
      </w:r>
      <w:r w:rsidR="001279C7" w:rsidRPr="002715F2">
        <w:rPr>
          <w:rFonts w:eastAsia="Batang"/>
          <w:lang w:val="fr-FR" w:eastAsia="ko-KR"/>
        </w:rPr>
        <w:t>urgen</w:t>
      </w:r>
      <w:r w:rsidR="00E87ECC" w:rsidRPr="002715F2">
        <w:rPr>
          <w:rFonts w:eastAsia="Batang"/>
          <w:lang w:val="fr-FR" w:eastAsia="ko-KR"/>
        </w:rPr>
        <w:t>te</w:t>
      </w:r>
      <w:r w:rsidR="001279C7" w:rsidRPr="002715F2">
        <w:rPr>
          <w:rFonts w:eastAsia="Batang"/>
          <w:lang w:val="fr-FR" w:eastAsia="ko-KR"/>
        </w:rPr>
        <w:t xml:space="preserve"> </w:t>
      </w:r>
      <w:r w:rsidR="000078DA" w:rsidRPr="002715F2">
        <w:rPr>
          <w:rFonts w:eastAsia="Batang"/>
          <w:lang w:val="fr-FR" w:eastAsia="ko-KR"/>
        </w:rPr>
        <w:t>(</w:t>
      </w:r>
      <w:r w:rsidR="00BD1A84" w:rsidRPr="002715F2">
        <w:rPr>
          <w:rFonts w:eastAsia="Batang"/>
          <w:lang w:val="fr-FR" w:eastAsia="ko-KR"/>
        </w:rPr>
        <w:t>par. </w:t>
      </w:r>
      <w:r w:rsidR="000078DA" w:rsidRPr="002715F2">
        <w:rPr>
          <w:rFonts w:eastAsia="Batang"/>
          <w:lang w:val="fr-FR" w:eastAsia="ko-KR"/>
        </w:rPr>
        <w:t xml:space="preserve">2). </w:t>
      </w:r>
      <w:r w:rsidR="001279C7" w:rsidRPr="002715F2">
        <w:rPr>
          <w:rFonts w:eastAsia="Batang"/>
          <w:lang w:val="fr-FR" w:eastAsia="ko-KR"/>
        </w:rPr>
        <w:t xml:space="preserve">Dans la pratique, </w:t>
      </w:r>
      <w:r w:rsidR="003675CB" w:rsidRPr="002715F2">
        <w:rPr>
          <w:rFonts w:eastAsia="Batang"/>
          <w:lang w:val="fr-FR" w:eastAsia="ko-KR"/>
        </w:rPr>
        <w:t>les officiers</w:t>
      </w:r>
      <w:r w:rsidR="001279C7" w:rsidRPr="002715F2">
        <w:rPr>
          <w:rFonts w:eastAsia="Batang"/>
          <w:lang w:val="fr-FR" w:eastAsia="ko-KR"/>
        </w:rPr>
        <w:t xml:space="preserve"> </w:t>
      </w:r>
      <w:r w:rsidR="003675CB" w:rsidRPr="002715F2">
        <w:rPr>
          <w:rFonts w:eastAsia="Batang"/>
          <w:lang w:val="fr-FR" w:eastAsia="ko-KR"/>
        </w:rPr>
        <w:t>de police judiciaire sont tenus d’</w:t>
      </w:r>
      <w:r w:rsidR="001279C7" w:rsidRPr="002715F2">
        <w:rPr>
          <w:rFonts w:eastAsia="Batang"/>
          <w:lang w:val="fr-FR" w:eastAsia="ko-KR"/>
        </w:rPr>
        <w:t xml:space="preserve">obtenir l’approbation d’un procureur du parquet de district compétent dans </w:t>
      </w:r>
      <w:r w:rsidR="003675CB" w:rsidRPr="002715F2">
        <w:rPr>
          <w:rFonts w:eastAsia="Batang"/>
          <w:lang w:val="fr-FR" w:eastAsia="ko-KR"/>
        </w:rPr>
        <w:t xml:space="preserve">un délai de </w:t>
      </w:r>
      <w:r w:rsidR="00816117" w:rsidRPr="002715F2">
        <w:rPr>
          <w:rFonts w:eastAsia="Batang"/>
          <w:lang w:val="fr-FR" w:eastAsia="ko-KR"/>
        </w:rPr>
        <w:t>douze </w:t>
      </w:r>
      <w:r w:rsidR="001279C7" w:rsidRPr="002715F2">
        <w:rPr>
          <w:rFonts w:eastAsia="Batang"/>
          <w:lang w:val="fr-FR" w:eastAsia="ko-KR"/>
        </w:rPr>
        <w:t xml:space="preserve">heures </w:t>
      </w:r>
      <w:r w:rsidR="003675CB" w:rsidRPr="002715F2">
        <w:rPr>
          <w:rFonts w:eastAsia="Batang"/>
          <w:lang w:val="fr-FR" w:eastAsia="ko-KR"/>
        </w:rPr>
        <w:t>à compter de</w:t>
      </w:r>
      <w:r w:rsidR="001279C7" w:rsidRPr="002715F2">
        <w:rPr>
          <w:rFonts w:eastAsia="Batang"/>
          <w:lang w:val="fr-FR" w:eastAsia="ko-KR"/>
        </w:rPr>
        <w:t xml:space="preserve"> l’arrestation urgente. En outre, si un mandat de dépôt n’est pas sollicité ou délivré, le suspect sera </w:t>
      </w:r>
      <w:r w:rsidR="009469AB" w:rsidRPr="002715F2">
        <w:rPr>
          <w:rFonts w:eastAsia="Batang"/>
          <w:lang w:val="fr-FR" w:eastAsia="ko-KR"/>
        </w:rPr>
        <w:t>immédiatement relâché</w:t>
      </w:r>
      <w:r w:rsidR="001279C7" w:rsidRPr="002715F2">
        <w:rPr>
          <w:rFonts w:eastAsia="Batang"/>
          <w:lang w:val="fr-FR" w:eastAsia="ko-KR"/>
        </w:rPr>
        <w:t xml:space="preserve"> et ne pourra pas être de nouveau arrêté pour les mêmes faits criminels sans mandat </w:t>
      </w:r>
      <w:r w:rsidR="00F60999" w:rsidRPr="002715F2">
        <w:rPr>
          <w:rFonts w:eastAsia="Batang"/>
          <w:lang w:val="fr-FR" w:eastAsia="ko-KR"/>
        </w:rPr>
        <w:t>(</w:t>
      </w:r>
      <w:r w:rsidR="00BD1A84" w:rsidRPr="002715F2">
        <w:rPr>
          <w:rFonts w:eastAsia="Batang"/>
          <w:lang w:val="fr-FR" w:eastAsia="ko-KR"/>
        </w:rPr>
        <w:t>art. </w:t>
      </w:r>
      <w:r w:rsidR="00F60999" w:rsidRPr="002715F2">
        <w:rPr>
          <w:rFonts w:eastAsia="Batang"/>
          <w:lang w:val="fr-FR" w:eastAsia="ko-KR"/>
        </w:rPr>
        <w:t>200-4</w:t>
      </w:r>
      <w:r w:rsidR="001279C7" w:rsidRPr="002715F2">
        <w:rPr>
          <w:rFonts w:eastAsia="Batang"/>
          <w:lang w:val="fr-FR" w:eastAsia="ko-KR"/>
        </w:rPr>
        <w:t>,</w:t>
      </w:r>
      <w:r w:rsidR="00F60999" w:rsidRPr="002715F2">
        <w:rPr>
          <w:rFonts w:eastAsia="Batang"/>
          <w:lang w:val="fr-FR" w:eastAsia="ko-KR"/>
        </w:rPr>
        <w:t xml:space="preserve"> </w:t>
      </w:r>
      <w:r w:rsidR="00BD1A84" w:rsidRPr="002715F2">
        <w:rPr>
          <w:rFonts w:eastAsia="Batang"/>
          <w:lang w:val="fr-FR" w:eastAsia="ko-KR"/>
        </w:rPr>
        <w:t>par. </w:t>
      </w:r>
      <w:r w:rsidR="00F60999" w:rsidRPr="002715F2">
        <w:rPr>
          <w:rFonts w:eastAsia="Batang"/>
          <w:lang w:val="fr-FR" w:eastAsia="ko-KR"/>
        </w:rPr>
        <w:t>3).</w:t>
      </w:r>
    </w:p>
    <w:p w:rsidR="000078DA" w:rsidRPr="002715F2" w:rsidRDefault="007026FB" w:rsidP="007026FB">
      <w:pPr>
        <w:pStyle w:val="SingleTxtG"/>
        <w:rPr>
          <w:rFonts w:eastAsia="Batang"/>
          <w:lang w:val="fr-FR" w:eastAsia="ko-KR"/>
        </w:rPr>
      </w:pPr>
      <w:r w:rsidRPr="002715F2">
        <w:rPr>
          <w:rFonts w:eastAsia="Batang"/>
          <w:lang w:val="fr-FR" w:eastAsia="ko-KR"/>
        </w:rPr>
        <w:t>33.</w:t>
      </w:r>
      <w:r w:rsidRPr="002715F2">
        <w:rPr>
          <w:rFonts w:eastAsia="Batang"/>
          <w:lang w:val="fr-FR" w:eastAsia="ko-KR"/>
        </w:rPr>
        <w:tab/>
      </w:r>
      <w:r w:rsidR="001279C7" w:rsidRPr="002715F2">
        <w:rPr>
          <w:rFonts w:eastAsia="Batang"/>
          <w:lang w:val="fr-FR" w:eastAsia="ko-KR"/>
        </w:rPr>
        <w:t xml:space="preserve">Avant </w:t>
      </w:r>
      <w:r w:rsidR="009970B3" w:rsidRPr="002715F2">
        <w:rPr>
          <w:rFonts w:eastAsia="Batang"/>
          <w:lang w:val="fr-FR" w:eastAsia="ko-KR"/>
        </w:rPr>
        <w:t xml:space="preserve">la </w:t>
      </w:r>
      <w:r w:rsidR="009966B6" w:rsidRPr="002715F2">
        <w:rPr>
          <w:rFonts w:eastAsia="Batang"/>
          <w:lang w:val="fr-FR"/>
        </w:rPr>
        <w:t>révision</w:t>
      </w:r>
      <w:r w:rsidR="009970B3" w:rsidRPr="002715F2">
        <w:rPr>
          <w:rFonts w:eastAsia="Batang"/>
          <w:lang w:val="fr-FR" w:eastAsia="ko-KR"/>
        </w:rPr>
        <w:t xml:space="preserve"> </w:t>
      </w:r>
      <w:r w:rsidR="003675CB" w:rsidRPr="002715F2">
        <w:rPr>
          <w:rFonts w:eastAsia="Batang"/>
          <w:lang w:val="fr-FR" w:eastAsia="ko-KR"/>
        </w:rPr>
        <w:t>du Code de procédure pénale en</w:t>
      </w:r>
      <w:r w:rsidR="001279C7" w:rsidRPr="002715F2">
        <w:rPr>
          <w:rFonts w:eastAsia="Batang"/>
          <w:lang w:val="fr-FR" w:eastAsia="ko-KR"/>
        </w:rPr>
        <w:t xml:space="preserve"> 2007</w:t>
      </w:r>
      <w:r w:rsidR="003675CB" w:rsidRPr="002715F2">
        <w:rPr>
          <w:rFonts w:eastAsia="Batang"/>
          <w:lang w:val="fr-FR" w:eastAsia="ko-KR"/>
        </w:rPr>
        <w:t>,</w:t>
      </w:r>
      <w:r w:rsidR="001279C7" w:rsidRPr="002715F2">
        <w:rPr>
          <w:rFonts w:eastAsia="Batang"/>
          <w:lang w:val="fr-FR" w:eastAsia="ko-KR"/>
        </w:rPr>
        <w:t xml:space="preserve"> si un procureur ou un </w:t>
      </w:r>
      <w:r w:rsidR="002402F4" w:rsidRPr="002715F2">
        <w:rPr>
          <w:rFonts w:eastAsia="Batang"/>
          <w:lang w:val="fr-FR" w:eastAsia="ko-KR"/>
        </w:rPr>
        <w:t>officier</w:t>
      </w:r>
      <w:r w:rsidR="001279C7" w:rsidRPr="002715F2">
        <w:rPr>
          <w:rFonts w:eastAsia="Batang"/>
          <w:lang w:val="fr-FR" w:eastAsia="ko-KR"/>
        </w:rPr>
        <w:t xml:space="preserve"> de police judiciaire entendait procéder à l’arrestation urgente d’un suspect, le procureur devait </w:t>
      </w:r>
      <w:r w:rsidR="005C6D8E" w:rsidRPr="002715F2">
        <w:rPr>
          <w:rFonts w:eastAsia="Batang"/>
          <w:lang w:val="fr-FR" w:eastAsia="ko-KR"/>
        </w:rPr>
        <w:t>solliciter</w:t>
      </w:r>
      <w:r w:rsidR="001279C7" w:rsidRPr="002715F2">
        <w:rPr>
          <w:rFonts w:eastAsia="Batang"/>
          <w:lang w:val="fr-FR" w:eastAsia="ko-KR"/>
        </w:rPr>
        <w:t xml:space="preserve"> un mandat de dépôt </w:t>
      </w:r>
      <w:r w:rsidR="00E97B1A" w:rsidRPr="002715F2">
        <w:rPr>
          <w:rFonts w:eastAsia="Batang"/>
          <w:lang w:val="fr-FR" w:eastAsia="ko-KR"/>
        </w:rPr>
        <w:t>«</w:t>
      </w:r>
      <w:r w:rsidR="001279C7" w:rsidRPr="002715F2">
        <w:rPr>
          <w:rFonts w:eastAsia="Batang"/>
          <w:lang w:val="fr-FR" w:eastAsia="ko-KR"/>
        </w:rPr>
        <w:t xml:space="preserve">dans les </w:t>
      </w:r>
      <w:r w:rsidR="00AE5352" w:rsidRPr="002715F2">
        <w:rPr>
          <w:rFonts w:eastAsia="Batang"/>
          <w:lang w:val="fr-FR" w:eastAsia="ko-KR"/>
        </w:rPr>
        <w:t>quarante-huit </w:t>
      </w:r>
      <w:r w:rsidR="001279C7" w:rsidRPr="002715F2">
        <w:rPr>
          <w:rFonts w:eastAsia="Batang"/>
          <w:lang w:val="fr-FR" w:eastAsia="ko-KR"/>
        </w:rPr>
        <w:t>heures suivant l’arrestation</w:t>
      </w:r>
      <w:r w:rsidR="00E97B1A" w:rsidRPr="002715F2">
        <w:rPr>
          <w:rFonts w:eastAsia="Batang"/>
          <w:lang w:val="fr-FR" w:eastAsia="ko-KR"/>
        </w:rPr>
        <w:t>»</w:t>
      </w:r>
      <w:r w:rsidR="001279C7" w:rsidRPr="002715F2">
        <w:rPr>
          <w:rFonts w:eastAsia="Batang"/>
          <w:lang w:val="fr-FR" w:eastAsia="ko-KR"/>
        </w:rPr>
        <w:t>.</w:t>
      </w:r>
      <w:r w:rsidR="009469AB" w:rsidRPr="002715F2">
        <w:rPr>
          <w:rFonts w:eastAsia="Batang"/>
          <w:lang w:val="fr-FR" w:eastAsia="ko-KR"/>
        </w:rPr>
        <w:t xml:space="preserve"> </w:t>
      </w:r>
      <w:r w:rsidR="009966B6" w:rsidRPr="002715F2">
        <w:rPr>
          <w:rFonts w:eastAsia="Batang"/>
          <w:lang w:val="fr-FR" w:eastAsia="ko-KR"/>
        </w:rPr>
        <w:t>Actuellement</w:t>
      </w:r>
      <w:r w:rsidR="00B540B1" w:rsidRPr="002715F2">
        <w:rPr>
          <w:rFonts w:eastAsia="Batang"/>
          <w:lang w:val="fr-FR" w:eastAsia="ko-KR"/>
        </w:rPr>
        <w:t xml:space="preserve">, </w:t>
      </w:r>
      <w:r w:rsidR="00AA2F3F" w:rsidRPr="002715F2">
        <w:rPr>
          <w:rFonts w:eastAsia="Batang"/>
          <w:lang w:val="fr-FR" w:eastAsia="ko-KR"/>
        </w:rPr>
        <w:t>depuis</w:t>
      </w:r>
      <w:r w:rsidR="00441FED" w:rsidRPr="002715F2">
        <w:rPr>
          <w:rFonts w:eastAsia="Batang"/>
          <w:lang w:val="fr-FR" w:eastAsia="ko-KR"/>
        </w:rPr>
        <w:t xml:space="preserve"> la</w:t>
      </w:r>
      <w:r w:rsidR="003675CB" w:rsidRPr="002715F2">
        <w:rPr>
          <w:rFonts w:eastAsia="Batang"/>
          <w:lang w:val="fr-FR" w:eastAsia="ko-KR"/>
        </w:rPr>
        <w:t xml:space="preserve"> </w:t>
      </w:r>
      <w:r w:rsidR="00441FED" w:rsidRPr="002715F2">
        <w:rPr>
          <w:rFonts w:eastAsia="Batang"/>
          <w:lang w:val="fr-FR" w:eastAsia="ko-KR"/>
        </w:rPr>
        <w:t>révision du Code de procédure pénale en 2007, le</w:t>
      </w:r>
      <w:r w:rsidR="009469AB" w:rsidRPr="002715F2">
        <w:rPr>
          <w:rFonts w:eastAsia="Batang"/>
          <w:lang w:val="fr-FR" w:eastAsia="ko-KR"/>
        </w:rPr>
        <w:t xml:space="preserve"> procureur est tenu de demander un mandat de dépôt </w:t>
      </w:r>
      <w:r w:rsidR="00E97B1A" w:rsidRPr="002715F2">
        <w:rPr>
          <w:rFonts w:eastAsia="Batang"/>
          <w:lang w:val="fr-FR" w:eastAsia="ko-KR"/>
        </w:rPr>
        <w:t>«</w:t>
      </w:r>
      <w:r w:rsidR="009469AB" w:rsidRPr="002715F2">
        <w:rPr>
          <w:rFonts w:eastAsia="Batang"/>
          <w:lang w:val="fr-FR" w:eastAsia="ko-KR"/>
        </w:rPr>
        <w:t>sans délai</w:t>
      </w:r>
      <w:r w:rsidR="00E97B1A" w:rsidRPr="002715F2">
        <w:rPr>
          <w:rFonts w:eastAsia="Batang"/>
          <w:lang w:val="fr-FR" w:eastAsia="ko-KR"/>
        </w:rPr>
        <w:t>»</w:t>
      </w:r>
      <w:r w:rsidR="00B540B1" w:rsidRPr="002715F2">
        <w:rPr>
          <w:rFonts w:eastAsia="Batang"/>
          <w:lang w:val="fr-FR" w:eastAsia="ko-KR"/>
        </w:rPr>
        <w:t xml:space="preserve"> </w:t>
      </w:r>
      <w:r w:rsidR="009469AB" w:rsidRPr="002715F2">
        <w:rPr>
          <w:rFonts w:eastAsia="Batang"/>
          <w:lang w:val="fr-FR" w:eastAsia="ko-KR"/>
        </w:rPr>
        <w:t xml:space="preserve">dans les </w:t>
      </w:r>
      <w:r w:rsidR="00E1469B" w:rsidRPr="002715F2">
        <w:rPr>
          <w:rFonts w:eastAsia="Batang"/>
          <w:lang w:val="fr-FR" w:eastAsia="ko-KR"/>
        </w:rPr>
        <w:t>quarante-huit </w:t>
      </w:r>
      <w:r w:rsidR="009469AB" w:rsidRPr="002715F2">
        <w:rPr>
          <w:rFonts w:eastAsia="Batang"/>
          <w:lang w:val="fr-FR" w:eastAsia="ko-KR"/>
        </w:rPr>
        <w:t>heures suivant l’arrestation (art. 200-4, par. 1)</w:t>
      </w:r>
      <w:r w:rsidR="00AA2F3F" w:rsidRPr="002715F2">
        <w:rPr>
          <w:rFonts w:eastAsia="Batang"/>
          <w:lang w:val="fr-FR" w:eastAsia="ko-KR"/>
        </w:rPr>
        <w:t>, afin d</w:t>
      </w:r>
      <w:r w:rsidR="009D5DA9" w:rsidRPr="002715F2">
        <w:rPr>
          <w:rFonts w:eastAsia="Batang"/>
          <w:lang w:val="fr-FR" w:eastAsia="ko-KR"/>
        </w:rPr>
        <w:t>e l</w:t>
      </w:r>
      <w:r w:rsidR="00B540B1" w:rsidRPr="002715F2">
        <w:rPr>
          <w:rFonts w:eastAsia="Batang"/>
          <w:lang w:val="fr-FR" w:eastAsia="ko-KR"/>
        </w:rPr>
        <w:t>’inciter à</w:t>
      </w:r>
      <w:r w:rsidR="009469AB" w:rsidRPr="002715F2">
        <w:rPr>
          <w:rFonts w:eastAsia="Batang"/>
          <w:lang w:val="fr-FR" w:eastAsia="ko-KR"/>
        </w:rPr>
        <w:t xml:space="preserve"> demander ce mandat plus rapidement</w:t>
      </w:r>
      <w:r w:rsidR="00B540B1" w:rsidRPr="002715F2">
        <w:rPr>
          <w:rFonts w:eastAsia="Batang"/>
          <w:lang w:val="fr-FR" w:eastAsia="ko-KR"/>
        </w:rPr>
        <w:t xml:space="preserve"> s’il le juge nécessaire</w:t>
      </w:r>
      <w:r w:rsidR="00F60999" w:rsidRPr="002715F2">
        <w:rPr>
          <w:rFonts w:eastAsia="Batang"/>
          <w:lang w:val="fr-FR" w:eastAsia="ko-KR"/>
        </w:rPr>
        <w:t>.</w:t>
      </w:r>
    </w:p>
    <w:p w:rsidR="000078DA" w:rsidRPr="002715F2" w:rsidRDefault="007026FB" w:rsidP="00CB6582">
      <w:pPr>
        <w:pStyle w:val="SingleTxtG"/>
        <w:rPr>
          <w:rFonts w:eastAsia="Batang"/>
          <w:lang w:val="fr-FR" w:eastAsia="ko-KR"/>
        </w:rPr>
      </w:pPr>
      <w:r w:rsidRPr="002715F2">
        <w:rPr>
          <w:rFonts w:eastAsia="Batang"/>
          <w:lang w:val="fr-FR" w:eastAsia="ko-KR"/>
        </w:rPr>
        <w:t>34.</w:t>
      </w:r>
      <w:r w:rsidRPr="002715F2">
        <w:rPr>
          <w:rFonts w:eastAsia="Batang"/>
          <w:lang w:val="fr-FR" w:eastAsia="ko-KR"/>
        </w:rPr>
        <w:tab/>
      </w:r>
      <w:r w:rsidR="009D5DA9" w:rsidRPr="002715F2">
        <w:rPr>
          <w:rFonts w:eastAsia="Batang"/>
          <w:lang w:val="fr-FR" w:eastAsia="ko-KR"/>
        </w:rPr>
        <w:t xml:space="preserve">La </w:t>
      </w:r>
      <w:r w:rsidR="009966B6" w:rsidRPr="002715F2">
        <w:rPr>
          <w:rFonts w:eastAsia="Batang"/>
          <w:lang w:val="fr-FR"/>
        </w:rPr>
        <w:t>révision</w:t>
      </w:r>
      <w:r w:rsidR="009970B3" w:rsidRPr="002715F2">
        <w:rPr>
          <w:rFonts w:eastAsia="Batang"/>
          <w:lang w:val="fr-FR" w:eastAsia="ko-KR"/>
        </w:rPr>
        <w:t xml:space="preserve"> </w:t>
      </w:r>
      <w:r w:rsidR="00C75BF8" w:rsidRPr="002715F2">
        <w:rPr>
          <w:rFonts w:eastAsia="Batang"/>
          <w:lang w:val="fr-FR" w:eastAsia="ko-KR"/>
        </w:rPr>
        <w:t xml:space="preserve">de 2007 </w:t>
      </w:r>
      <w:r w:rsidR="00DB3B45" w:rsidRPr="002715F2">
        <w:rPr>
          <w:rFonts w:eastAsia="Batang"/>
          <w:lang w:val="fr-FR" w:eastAsia="ko-KR"/>
        </w:rPr>
        <w:t>impose</w:t>
      </w:r>
      <w:r w:rsidR="00C75BF8" w:rsidRPr="002715F2">
        <w:rPr>
          <w:rFonts w:eastAsia="Batang"/>
          <w:lang w:val="fr-FR" w:eastAsia="ko-KR"/>
        </w:rPr>
        <w:t xml:space="preserve"> également </w:t>
      </w:r>
      <w:r w:rsidR="00DB3B45" w:rsidRPr="002715F2">
        <w:rPr>
          <w:rFonts w:eastAsia="Batang"/>
          <w:lang w:val="fr-FR" w:eastAsia="ko-KR"/>
        </w:rPr>
        <w:t>au</w:t>
      </w:r>
      <w:r w:rsidR="00C75BF8" w:rsidRPr="002715F2">
        <w:rPr>
          <w:rFonts w:eastAsia="Batang"/>
          <w:lang w:val="fr-FR" w:eastAsia="ko-KR"/>
        </w:rPr>
        <w:t xml:space="preserve"> procureur qui doit </w:t>
      </w:r>
      <w:r w:rsidR="007F4615" w:rsidRPr="002715F2">
        <w:rPr>
          <w:rFonts w:eastAsia="Batang"/>
          <w:lang w:val="fr-FR" w:eastAsia="ko-KR"/>
        </w:rPr>
        <w:t>élargir</w:t>
      </w:r>
      <w:r w:rsidR="00C75BF8" w:rsidRPr="002715F2">
        <w:rPr>
          <w:rFonts w:eastAsia="Batang"/>
          <w:lang w:val="fr-FR" w:eastAsia="ko-KR"/>
        </w:rPr>
        <w:t xml:space="preserve"> un suspect, à défaut d’avoir sollicité un </w:t>
      </w:r>
      <w:r w:rsidR="00CB6582" w:rsidRPr="002715F2">
        <w:rPr>
          <w:rFonts w:eastAsia="Batang"/>
          <w:lang w:val="fr-FR" w:eastAsia="ko-KR"/>
        </w:rPr>
        <w:t>mandat</w:t>
      </w:r>
      <w:r w:rsidR="00C75BF8" w:rsidRPr="002715F2">
        <w:rPr>
          <w:rFonts w:eastAsia="Batang"/>
          <w:lang w:val="fr-FR" w:eastAsia="ko-KR"/>
        </w:rPr>
        <w:t xml:space="preserve"> de </w:t>
      </w:r>
      <w:r w:rsidR="005C6D8E" w:rsidRPr="002715F2">
        <w:rPr>
          <w:rFonts w:eastAsia="Batang"/>
          <w:lang w:val="fr-FR" w:eastAsia="ko-KR"/>
        </w:rPr>
        <w:t>dépôt</w:t>
      </w:r>
      <w:r w:rsidR="00C75BF8" w:rsidRPr="002715F2">
        <w:rPr>
          <w:rFonts w:eastAsia="Batang"/>
          <w:lang w:val="fr-FR" w:eastAsia="ko-KR"/>
        </w:rPr>
        <w:t xml:space="preserve"> pour son arrestation urgente, </w:t>
      </w:r>
      <w:r w:rsidR="00CB6582" w:rsidRPr="002715F2">
        <w:rPr>
          <w:rFonts w:eastAsia="Batang"/>
          <w:lang w:val="fr-FR" w:eastAsia="ko-KR"/>
        </w:rPr>
        <w:t>de notifier</w:t>
      </w:r>
      <w:r w:rsidR="00C75BF8" w:rsidRPr="002715F2">
        <w:rPr>
          <w:rFonts w:eastAsia="Batang"/>
          <w:lang w:val="fr-FR" w:eastAsia="ko-KR"/>
        </w:rPr>
        <w:t xml:space="preserve"> le </w:t>
      </w:r>
      <w:r w:rsidR="00CB6582" w:rsidRPr="002715F2">
        <w:rPr>
          <w:rFonts w:eastAsia="Batang"/>
          <w:lang w:val="fr-FR" w:eastAsia="ko-KR"/>
        </w:rPr>
        <w:t>t</w:t>
      </w:r>
      <w:r w:rsidR="000E3FD6" w:rsidRPr="002715F2">
        <w:rPr>
          <w:rFonts w:eastAsia="Batang"/>
          <w:lang w:val="fr-FR" w:eastAsia="ko-KR"/>
        </w:rPr>
        <w:t>ribunal par écrit</w:t>
      </w:r>
      <w:r w:rsidR="00C75BF8" w:rsidRPr="002715F2">
        <w:rPr>
          <w:rFonts w:eastAsia="Batang"/>
          <w:lang w:val="fr-FR" w:eastAsia="ko-KR"/>
        </w:rPr>
        <w:t xml:space="preserve"> que </w:t>
      </w:r>
      <w:r w:rsidR="00CB6582" w:rsidRPr="002715F2">
        <w:rPr>
          <w:rFonts w:eastAsia="Batang"/>
          <w:lang w:val="fr-FR" w:eastAsia="ko-KR"/>
        </w:rPr>
        <w:t>le</w:t>
      </w:r>
      <w:r w:rsidR="00C75BF8" w:rsidRPr="002715F2">
        <w:rPr>
          <w:rFonts w:eastAsia="Batang"/>
          <w:lang w:val="fr-FR" w:eastAsia="ko-KR"/>
        </w:rPr>
        <w:t xml:space="preserve"> suspect a été arrêté puis </w:t>
      </w:r>
      <w:r w:rsidR="000E3FD6" w:rsidRPr="002715F2">
        <w:rPr>
          <w:rFonts w:eastAsia="Batang"/>
          <w:lang w:val="fr-FR" w:eastAsia="ko-KR"/>
        </w:rPr>
        <w:t>relâché</w:t>
      </w:r>
      <w:r w:rsidR="00C75BF8" w:rsidRPr="002715F2">
        <w:rPr>
          <w:rFonts w:eastAsia="Batang"/>
          <w:lang w:val="fr-FR" w:eastAsia="ko-KR"/>
        </w:rPr>
        <w:t xml:space="preserve">, et ce, dans les </w:t>
      </w:r>
      <w:r w:rsidR="00AE5352" w:rsidRPr="002715F2">
        <w:rPr>
          <w:rFonts w:eastAsia="Batang"/>
          <w:lang w:val="fr-FR" w:eastAsia="ko-KR"/>
        </w:rPr>
        <w:t>trente </w:t>
      </w:r>
      <w:r w:rsidR="00C75BF8" w:rsidRPr="002715F2">
        <w:rPr>
          <w:rFonts w:eastAsia="Batang"/>
          <w:lang w:val="fr-FR" w:eastAsia="ko-KR"/>
        </w:rPr>
        <w:t xml:space="preserve">jours suivant sa </w:t>
      </w:r>
      <w:r w:rsidR="000E3FD6" w:rsidRPr="002715F2">
        <w:rPr>
          <w:rFonts w:eastAsia="Batang"/>
          <w:lang w:val="fr-FR" w:eastAsia="ko-KR"/>
        </w:rPr>
        <w:t>remise en liberté</w:t>
      </w:r>
      <w:r w:rsidR="000078DA" w:rsidRPr="002715F2">
        <w:rPr>
          <w:rFonts w:eastAsia="Batang"/>
          <w:lang w:val="fr-FR" w:eastAsia="ko-KR"/>
        </w:rPr>
        <w:t xml:space="preserve">. </w:t>
      </w:r>
      <w:r w:rsidR="00CB6582" w:rsidRPr="002715F2">
        <w:rPr>
          <w:rFonts w:eastAsia="Batang"/>
          <w:lang w:val="fr-FR" w:eastAsia="ko-KR"/>
        </w:rPr>
        <w:t xml:space="preserve">La notification doit contenir les renseignements personnels du suspect, la date, l’heure, le lieu et la raison de son arrestation urgente puis de sa libération subséquente, </w:t>
      </w:r>
      <w:r w:rsidR="005C6D8E" w:rsidRPr="002715F2">
        <w:rPr>
          <w:rFonts w:eastAsia="Batang"/>
          <w:lang w:val="fr-FR" w:eastAsia="ko-KR"/>
        </w:rPr>
        <w:t>ainsi</w:t>
      </w:r>
      <w:r w:rsidR="00CB6582" w:rsidRPr="002715F2">
        <w:rPr>
          <w:rFonts w:eastAsia="Batang"/>
          <w:lang w:val="fr-FR" w:eastAsia="ko-KR"/>
        </w:rPr>
        <w:t xml:space="preserve"> que le nom du procureur ou de l’</w:t>
      </w:r>
      <w:r w:rsidR="002402F4" w:rsidRPr="002715F2">
        <w:rPr>
          <w:rFonts w:eastAsia="Batang"/>
          <w:lang w:val="fr-FR" w:eastAsia="ko-KR"/>
        </w:rPr>
        <w:t xml:space="preserve">officier de </w:t>
      </w:r>
      <w:r w:rsidR="00CB6582" w:rsidRPr="002715F2">
        <w:rPr>
          <w:rFonts w:eastAsia="Batang"/>
          <w:lang w:val="fr-FR" w:eastAsia="ko-KR"/>
        </w:rPr>
        <w:t xml:space="preserve">police judiciaire en charge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200-4</w:t>
      </w:r>
      <w:r w:rsidR="00CB6582"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4). </w:t>
      </w:r>
      <w:r w:rsidR="001156DB" w:rsidRPr="002715F2">
        <w:rPr>
          <w:rFonts w:eastAsia="Batang"/>
          <w:lang w:val="fr-FR" w:eastAsia="ko-KR"/>
        </w:rPr>
        <w:t>En outre, un agent de la police judiciaire</w:t>
      </w:r>
      <w:r w:rsidR="00343E5E" w:rsidRPr="002715F2">
        <w:rPr>
          <w:rFonts w:eastAsia="Batang"/>
          <w:lang w:val="fr-FR" w:eastAsia="ko-KR"/>
        </w:rPr>
        <w:t xml:space="preserve"> qui</w:t>
      </w:r>
      <w:r w:rsidR="001156DB" w:rsidRPr="002715F2">
        <w:rPr>
          <w:rFonts w:eastAsia="Batang"/>
          <w:lang w:val="fr-FR" w:eastAsia="ko-KR"/>
        </w:rPr>
        <w:t xml:space="preserve"> </w:t>
      </w:r>
      <w:r w:rsidR="00427081" w:rsidRPr="002715F2">
        <w:rPr>
          <w:rFonts w:eastAsia="Batang"/>
          <w:lang w:val="fr-FR" w:eastAsia="ko-KR"/>
        </w:rPr>
        <w:t>relâche</w:t>
      </w:r>
      <w:r w:rsidR="001156DB" w:rsidRPr="002715F2">
        <w:rPr>
          <w:rFonts w:eastAsia="Batang"/>
          <w:lang w:val="fr-FR" w:eastAsia="ko-KR"/>
        </w:rPr>
        <w:t xml:space="preserve"> un suspect </w:t>
      </w:r>
      <w:r w:rsidR="00343E5E" w:rsidRPr="002715F2">
        <w:rPr>
          <w:rFonts w:eastAsia="Batang"/>
          <w:color w:val="000000"/>
          <w:lang w:val="fr-FR" w:eastAsia="ko-KR"/>
        </w:rPr>
        <w:t>arrêté pour des motifs urgents</w:t>
      </w:r>
      <w:r w:rsidR="00343E5E" w:rsidRPr="002715F2">
        <w:rPr>
          <w:rFonts w:eastAsia="Batang"/>
          <w:lang w:val="fr-FR" w:eastAsia="ko-KR"/>
        </w:rPr>
        <w:t>,</w:t>
      </w:r>
      <w:r w:rsidR="001156DB" w:rsidRPr="002715F2">
        <w:rPr>
          <w:rFonts w:eastAsia="Batang"/>
          <w:lang w:val="fr-FR" w:eastAsia="ko-KR"/>
        </w:rPr>
        <w:t xml:space="preserve"> sans </w:t>
      </w:r>
      <w:r w:rsidR="00427081" w:rsidRPr="002715F2">
        <w:rPr>
          <w:rFonts w:eastAsia="Batang"/>
          <w:lang w:val="fr-FR" w:eastAsia="ko-KR"/>
        </w:rPr>
        <w:t xml:space="preserve">avoir </w:t>
      </w:r>
      <w:r w:rsidR="001156DB" w:rsidRPr="002715F2">
        <w:rPr>
          <w:rFonts w:eastAsia="Batang"/>
          <w:lang w:val="fr-FR" w:eastAsia="ko-KR"/>
        </w:rPr>
        <w:t>demand</w:t>
      </w:r>
      <w:r w:rsidR="00427081" w:rsidRPr="002715F2">
        <w:rPr>
          <w:rFonts w:eastAsia="Batang"/>
          <w:lang w:val="fr-FR" w:eastAsia="ko-KR"/>
        </w:rPr>
        <w:t>é</w:t>
      </w:r>
      <w:r w:rsidR="001156DB" w:rsidRPr="002715F2">
        <w:rPr>
          <w:rFonts w:eastAsia="Batang"/>
          <w:lang w:val="fr-FR" w:eastAsia="ko-KR"/>
        </w:rPr>
        <w:t xml:space="preserve"> au procureur de délivrer un mandat de dépôt, </w:t>
      </w:r>
      <w:r w:rsidR="00343E5E" w:rsidRPr="002715F2">
        <w:rPr>
          <w:rFonts w:eastAsia="Batang"/>
          <w:lang w:val="fr-FR" w:eastAsia="ko-KR"/>
        </w:rPr>
        <w:t>devra</w:t>
      </w:r>
      <w:r w:rsidR="001156DB" w:rsidRPr="002715F2">
        <w:rPr>
          <w:rFonts w:eastAsia="Batang"/>
          <w:lang w:val="fr-FR" w:eastAsia="ko-KR"/>
        </w:rPr>
        <w:t xml:space="preserve"> immédiatement</w:t>
      </w:r>
      <w:r w:rsidR="00343E5E" w:rsidRPr="002715F2">
        <w:rPr>
          <w:rFonts w:eastAsia="Batang"/>
          <w:lang w:val="fr-FR" w:eastAsia="ko-KR"/>
        </w:rPr>
        <w:t xml:space="preserve"> en </w:t>
      </w:r>
      <w:r w:rsidR="005C6D8E" w:rsidRPr="002715F2">
        <w:rPr>
          <w:rFonts w:eastAsia="Batang"/>
          <w:lang w:val="fr-FR" w:eastAsia="ko-KR"/>
        </w:rPr>
        <w:t>rendre</w:t>
      </w:r>
      <w:r w:rsidR="00343E5E" w:rsidRPr="002715F2">
        <w:rPr>
          <w:rFonts w:eastAsia="Batang"/>
          <w:lang w:val="fr-FR" w:eastAsia="ko-KR"/>
        </w:rPr>
        <w:t xml:space="preserve"> compte au</w:t>
      </w:r>
      <w:r w:rsidR="001156DB" w:rsidRPr="002715F2">
        <w:rPr>
          <w:rFonts w:eastAsia="Batang"/>
          <w:lang w:val="fr-FR" w:eastAsia="ko-KR"/>
        </w:rPr>
        <w:t xml:space="preserve"> procureur </w:t>
      </w:r>
      <w:r w:rsidR="00F60999" w:rsidRPr="002715F2">
        <w:rPr>
          <w:rFonts w:eastAsia="Batang"/>
          <w:lang w:val="fr-FR" w:eastAsia="ko-KR"/>
        </w:rPr>
        <w:t>(</w:t>
      </w:r>
      <w:r w:rsidR="00BD1A84" w:rsidRPr="002715F2">
        <w:rPr>
          <w:rFonts w:eastAsia="Batang"/>
          <w:lang w:val="fr-FR" w:eastAsia="ko-KR"/>
        </w:rPr>
        <w:t>par. </w:t>
      </w:r>
      <w:r w:rsidR="00F60999" w:rsidRPr="002715F2">
        <w:rPr>
          <w:rFonts w:eastAsia="Batang"/>
          <w:lang w:val="fr-FR" w:eastAsia="ko-KR"/>
        </w:rPr>
        <w:t>6).</w:t>
      </w:r>
    </w:p>
    <w:p w:rsidR="000078DA" w:rsidRPr="002715F2" w:rsidRDefault="007026FB" w:rsidP="007026FB">
      <w:pPr>
        <w:pStyle w:val="SingleTxtG"/>
        <w:rPr>
          <w:rFonts w:eastAsia="Batang"/>
          <w:color w:val="000000"/>
          <w:lang w:val="fr-FR" w:eastAsia="ko-KR"/>
        </w:rPr>
      </w:pPr>
      <w:r w:rsidRPr="002715F2">
        <w:rPr>
          <w:rFonts w:eastAsia="Batang"/>
          <w:color w:val="000000"/>
          <w:lang w:val="fr-FR" w:eastAsia="ko-KR"/>
        </w:rPr>
        <w:t>35.</w:t>
      </w:r>
      <w:r w:rsidRPr="002715F2">
        <w:rPr>
          <w:rFonts w:eastAsia="Batang"/>
          <w:color w:val="000000"/>
          <w:lang w:val="fr-FR" w:eastAsia="ko-KR"/>
        </w:rPr>
        <w:tab/>
      </w:r>
      <w:r w:rsidR="00343E5E" w:rsidRPr="002715F2">
        <w:rPr>
          <w:rFonts w:eastAsia="Batang"/>
          <w:color w:val="000000"/>
          <w:lang w:val="fr-FR" w:eastAsia="ko-KR"/>
        </w:rPr>
        <w:t xml:space="preserve">Le nombre de personnes </w:t>
      </w:r>
      <w:r w:rsidR="009D5DA9" w:rsidRPr="002715F2">
        <w:rPr>
          <w:lang w:val="fr-FR"/>
        </w:rPr>
        <w:t xml:space="preserve">interpellées dans le cadre d’une procédure d’arrestation urgente </w:t>
      </w:r>
      <w:r w:rsidR="00343E5E" w:rsidRPr="002715F2">
        <w:rPr>
          <w:rFonts w:eastAsia="Batang"/>
          <w:color w:val="000000"/>
          <w:lang w:val="fr-FR" w:eastAsia="ko-KR"/>
        </w:rPr>
        <w:t xml:space="preserve">a fortement diminué depuis </w:t>
      </w:r>
      <w:r w:rsidR="009D5DA9" w:rsidRPr="002715F2">
        <w:rPr>
          <w:rFonts w:eastAsia="Batang"/>
          <w:color w:val="000000"/>
          <w:lang w:val="fr-FR" w:eastAsia="ko-KR"/>
        </w:rPr>
        <w:t xml:space="preserve">la </w:t>
      </w:r>
      <w:r w:rsidR="009966B6" w:rsidRPr="002715F2">
        <w:rPr>
          <w:rFonts w:eastAsia="Batang"/>
          <w:lang w:val="fr-FR"/>
        </w:rPr>
        <w:t>révision</w:t>
      </w:r>
      <w:r w:rsidR="009970B3" w:rsidRPr="002715F2">
        <w:rPr>
          <w:rFonts w:eastAsia="Batang"/>
          <w:lang w:val="fr-FR" w:eastAsia="ko-KR"/>
        </w:rPr>
        <w:t xml:space="preserve"> </w:t>
      </w:r>
      <w:r w:rsidR="00343E5E" w:rsidRPr="002715F2">
        <w:rPr>
          <w:rFonts w:eastAsia="Batang"/>
          <w:color w:val="000000"/>
          <w:lang w:val="fr-FR" w:eastAsia="ko-KR"/>
        </w:rPr>
        <w:t>de 2007</w:t>
      </w:r>
      <w:r w:rsidR="009D5DA9" w:rsidRPr="002715F2">
        <w:rPr>
          <w:rFonts w:eastAsia="Batang"/>
          <w:color w:val="000000"/>
          <w:lang w:val="fr-FR" w:eastAsia="ko-KR"/>
        </w:rPr>
        <w:t xml:space="preserve">, passant de </w:t>
      </w:r>
      <w:r w:rsidR="000078DA" w:rsidRPr="002715F2">
        <w:rPr>
          <w:rFonts w:eastAsia="Batang"/>
          <w:color w:val="000000"/>
          <w:lang w:val="fr-FR" w:eastAsia="ko-KR"/>
        </w:rPr>
        <w:t>25</w:t>
      </w:r>
      <w:r w:rsidR="00343E5E" w:rsidRPr="002715F2">
        <w:rPr>
          <w:rFonts w:eastAsia="Batang"/>
          <w:color w:val="000000"/>
          <w:lang w:val="fr-FR" w:eastAsia="ko-KR"/>
        </w:rPr>
        <w:t> </w:t>
      </w:r>
      <w:r w:rsidR="009D5DA9" w:rsidRPr="002715F2">
        <w:rPr>
          <w:rFonts w:eastAsia="Batang"/>
          <w:color w:val="000000"/>
          <w:lang w:val="fr-FR" w:eastAsia="ko-KR"/>
        </w:rPr>
        <w:t xml:space="preserve">432 personnes </w:t>
      </w:r>
      <w:r w:rsidR="00343E5E" w:rsidRPr="002715F2">
        <w:rPr>
          <w:rFonts w:eastAsia="Batang"/>
          <w:color w:val="000000"/>
          <w:lang w:val="fr-FR" w:eastAsia="ko-KR"/>
        </w:rPr>
        <w:t>en 2007</w:t>
      </w:r>
      <w:r w:rsidR="00BA34D3" w:rsidRPr="002715F2">
        <w:rPr>
          <w:rFonts w:eastAsia="Batang"/>
          <w:color w:val="000000"/>
          <w:lang w:val="fr-FR" w:eastAsia="ko-KR"/>
        </w:rPr>
        <w:t xml:space="preserve"> à</w:t>
      </w:r>
      <w:r w:rsidR="00343E5E" w:rsidRPr="002715F2">
        <w:rPr>
          <w:rFonts w:eastAsia="Batang"/>
          <w:color w:val="000000"/>
          <w:lang w:val="fr-FR" w:eastAsia="ko-KR"/>
        </w:rPr>
        <w:t xml:space="preserve"> 16 </w:t>
      </w:r>
      <w:r w:rsidR="000078DA" w:rsidRPr="002715F2">
        <w:rPr>
          <w:rFonts w:eastAsia="Batang"/>
          <w:color w:val="000000"/>
          <w:lang w:val="fr-FR" w:eastAsia="ko-KR"/>
        </w:rPr>
        <w:t>764</w:t>
      </w:r>
      <w:r w:rsidR="00FB7895" w:rsidRPr="002715F2">
        <w:rPr>
          <w:rFonts w:eastAsia="Batang"/>
          <w:color w:val="000000"/>
          <w:lang w:val="fr-FR" w:eastAsia="ko-KR"/>
        </w:rPr>
        <w:t> personnes</w:t>
      </w:r>
      <w:r w:rsidR="000078DA" w:rsidRPr="002715F2">
        <w:rPr>
          <w:rFonts w:eastAsia="Batang"/>
          <w:color w:val="000000"/>
          <w:lang w:val="fr-FR" w:eastAsia="ko-KR"/>
        </w:rPr>
        <w:t xml:space="preserve"> </w:t>
      </w:r>
      <w:r w:rsidR="00343E5E" w:rsidRPr="002715F2">
        <w:rPr>
          <w:rFonts w:eastAsia="Batang"/>
          <w:color w:val="000000"/>
          <w:lang w:val="fr-FR" w:eastAsia="ko-KR"/>
        </w:rPr>
        <w:t>en 2008, 17 </w:t>
      </w:r>
      <w:r w:rsidR="000078DA" w:rsidRPr="002715F2">
        <w:rPr>
          <w:rFonts w:eastAsia="Batang"/>
          <w:color w:val="000000"/>
          <w:lang w:val="fr-FR" w:eastAsia="ko-KR"/>
        </w:rPr>
        <w:t xml:space="preserve">773 </w:t>
      </w:r>
      <w:r w:rsidR="00343E5E" w:rsidRPr="002715F2">
        <w:rPr>
          <w:rFonts w:eastAsia="Batang"/>
          <w:color w:val="000000"/>
          <w:lang w:val="fr-FR" w:eastAsia="ko-KR"/>
        </w:rPr>
        <w:t>en</w:t>
      </w:r>
      <w:r w:rsidR="000078DA" w:rsidRPr="002715F2">
        <w:rPr>
          <w:rFonts w:eastAsia="Batang"/>
          <w:color w:val="000000"/>
          <w:lang w:val="fr-FR" w:eastAsia="ko-KR"/>
        </w:rPr>
        <w:t xml:space="preserve"> 2009, 11</w:t>
      </w:r>
      <w:r w:rsidR="00343E5E" w:rsidRPr="002715F2">
        <w:rPr>
          <w:rFonts w:eastAsia="Batang"/>
          <w:color w:val="000000"/>
          <w:lang w:val="fr-FR" w:eastAsia="ko-KR"/>
        </w:rPr>
        <w:t> </w:t>
      </w:r>
      <w:r w:rsidR="000078DA" w:rsidRPr="002715F2">
        <w:rPr>
          <w:rFonts w:eastAsia="Batang"/>
          <w:color w:val="000000"/>
          <w:lang w:val="fr-FR" w:eastAsia="ko-KR"/>
        </w:rPr>
        <w:t xml:space="preserve">719 </w:t>
      </w:r>
      <w:r w:rsidR="00343E5E" w:rsidRPr="002715F2">
        <w:rPr>
          <w:rFonts w:eastAsia="Batang"/>
          <w:color w:val="000000"/>
          <w:lang w:val="fr-FR" w:eastAsia="ko-KR"/>
        </w:rPr>
        <w:t>en</w:t>
      </w:r>
      <w:r w:rsidR="000078DA" w:rsidRPr="002715F2">
        <w:rPr>
          <w:rFonts w:eastAsia="Batang"/>
          <w:color w:val="000000"/>
          <w:lang w:val="fr-FR" w:eastAsia="ko-KR"/>
        </w:rPr>
        <w:t xml:space="preserve"> 2010, 9</w:t>
      </w:r>
      <w:r w:rsidR="00343E5E" w:rsidRPr="002715F2">
        <w:rPr>
          <w:rFonts w:eastAsia="Batang"/>
          <w:color w:val="000000"/>
          <w:lang w:val="fr-FR" w:eastAsia="ko-KR"/>
        </w:rPr>
        <w:t> </w:t>
      </w:r>
      <w:r w:rsidR="000078DA" w:rsidRPr="002715F2">
        <w:rPr>
          <w:rFonts w:eastAsia="Batang"/>
          <w:color w:val="000000"/>
          <w:lang w:val="fr-FR" w:eastAsia="ko-KR"/>
        </w:rPr>
        <w:t xml:space="preserve">417 </w:t>
      </w:r>
      <w:r w:rsidR="00343E5E" w:rsidRPr="002715F2">
        <w:rPr>
          <w:rFonts w:eastAsia="Batang"/>
          <w:color w:val="000000"/>
          <w:lang w:val="fr-FR" w:eastAsia="ko-KR"/>
        </w:rPr>
        <w:t>en</w:t>
      </w:r>
      <w:r w:rsidR="000078DA" w:rsidRPr="002715F2">
        <w:rPr>
          <w:rFonts w:eastAsia="Batang"/>
          <w:color w:val="000000"/>
          <w:lang w:val="fr-FR" w:eastAsia="ko-KR"/>
        </w:rPr>
        <w:t xml:space="preserve"> 2011, </w:t>
      </w:r>
      <w:r w:rsidR="00343E5E" w:rsidRPr="002715F2">
        <w:rPr>
          <w:rFonts w:eastAsia="휴먼명조"/>
          <w:color w:val="000000"/>
          <w:lang w:val="fr-FR" w:eastAsia="ko-KR"/>
        </w:rPr>
        <w:t>9 </w:t>
      </w:r>
      <w:r w:rsidR="000078DA" w:rsidRPr="002715F2">
        <w:rPr>
          <w:rFonts w:eastAsia="휴먼명조"/>
          <w:color w:val="000000"/>
          <w:lang w:val="fr-FR" w:eastAsia="ko-KR"/>
        </w:rPr>
        <w:t xml:space="preserve">252 </w:t>
      </w:r>
      <w:r w:rsidR="00343E5E" w:rsidRPr="002715F2">
        <w:rPr>
          <w:rFonts w:eastAsia="휴먼명조"/>
          <w:color w:val="000000"/>
          <w:lang w:val="fr-FR" w:eastAsia="ko-KR"/>
        </w:rPr>
        <w:t>en</w:t>
      </w:r>
      <w:r w:rsidR="000078DA" w:rsidRPr="002715F2">
        <w:rPr>
          <w:rFonts w:eastAsia="휴먼명조"/>
          <w:color w:val="000000"/>
          <w:lang w:val="fr-FR" w:eastAsia="ko-KR"/>
        </w:rPr>
        <w:t xml:space="preserve"> 2012, </w:t>
      </w:r>
      <w:r w:rsidR="000078DA" w:rsidRPr="002715F2">
        <w:rPr>
          <w:rFonts w:eastAsia="한양신명조"/>
          <w:color w:val="000000"/>
          <w:lang w:val="fr-FR" w:eastAsia="ko-KR"/>
        </w:rPr>
        <w:t>9</w:t>
      </w:r>
      <w:r w:rsidR="00343E5E" w:rsidRPr="002715F2">
        <w:rPr>
          <w:rFonts w:eastAsia="한양신명조"/>
          <w:color w:val="000000"/>
          <w:lang w:val="fr-FR" w:eastAsia="ko-KR"/>
        </w:rPr>
        <w:t> </w:t>
      </w:r>
      <w:r w:rsidR="000078DA" w:rsidRPr="002715F2">
        <w:rPr>
          <w:rFonts w:eastAsia="한양신명조"/>
          <w:color w:val="000000"/>
          <w:lang w:val="fr-FR" w:eastAsia="ko-KR"/>
        </w:rPr>
        <w:t xml:space="preserve">761 </w:t>
      </w:r>
      <w:r w:rsidR="00343E5E" w:rsidRPr="002715F2">
        <w:rPr>
          <w:rFonts w:eastAsia="한양신명조"/>
          <w:color w:val="000000"/>
          <w:lang w:val="fr-FR" w:eastAsia="ko-KR"/>
        </w:rPr>
        <w:t>en</w:t>
      </w:r>
      <w:r w:rsidR="000078DA" w:rsidRPr="002715F2">
        <w:rPr>
          <w:rFonts w:eastAsia="한양신명조"/>
          <w:color w:val="000000"/>
          <w:lang w:val="fr-FR" w:eastAsia="ko-KR"/>
        </w:rPr>
        <w:t xml:space="preserve"> 2013, 9</w:t>
      </w:r>
      <w:r w:rsidR="00343E5E" w:rsidRPr="002715F2">
        <w:rPr>
          <w:rFonts w:eastAsia="한양신명조"/>
          <w:color w:val="000000"/>
          <w:lang w:val="fr-FR" w:eastAsia="ko-KR"/>
        </w:rPr>
        <w:t> </w:t>
      </w:r>
      <w:r w:rsidR="000078DA" w:rsidRPr="002715F2">
        <w:rPr>
          <w:rFonts w:eastAsia="한양신명조"/>
          <w:color w:val="000000"/>
          <w:lang w:val="fr-FR" w:eastAsia="ko-KR"/>
        </w:rPr>
        <w:t>465</w:t>
      </w:r>
      <w:r w:rsidR="000078DA" w:rsidRPr="002715F2">
        <w:rPr>
          <w:rFonts w:eastAsia="Gulim"/>
          <w:color w:val="000000"/>
          <w:lang w:val="fr-FR" w:eastAsia="ko-KR"/>
        </w:rPr>
        <w:t xml:space="preserve"> </w:t>
      </w:r>
      <w:r w:rsidR="00343E5E" w:rsidRPr="002715F2">
        <w:rPr>
          <w:rFonts w:eastAsia="Gulim"/>
          <w:color w:val="000000"/>
          <w:lang w:val="fr-FR" w:eastAsia="ko-KR"/>
        </w:rPr>
        <w:t>en</w:t>
      </w:r>
      <w:r w:rsidR="000078DA" w:rsidRPr="002715F2">
        <w:rPr>
          <w:rFonts w:eastAsia="Gulim"/>
          <w:color w:val="000000"/>
          <w:lang w:val="fr-FR" w:eastAsia="ko-KR"/>
        </w:rPr>
        <w:t xml:space="preserve"> 2014</w:t>
      </w:r>
      <w:r w:rsidR="00343E5E" w:rsidRPr="002715F2">
        <w:rPr>
          <w:rFonts w:eastAsia="Gulim"/>
          <w:color w:val="000000"/>
          <w:lang w:val="fr-FR" w:eastAsia="ko-KR"/>
        </w:rPr>
        <w:t xml:space="preserve"> et</w:t>
      </w:r>
      <w:r w:rsidR="000078DA" w:rsidRPr="002715F2">
        <w:rPr>
          <w:rFonts w:eastAsia="Gulim"/>
          <w:color w:val="000000"/>
          <w:lang w:val="fr-FR" w:eastAsia="ko-KR"/>
        </w:rPr>
        <w:t xml:space="preserve"> </w:t>
      </w:r>
      <w:r w:rsidR="00343E5E" w:rsidRPr="002715F2">
        <w:rPr>
          <w:rFonts w:eastAsia="한양신명조"/>
          <w:color w:val="000000"/>
          <w:lang w:val="fr-FR" w:eastAsia="ko-KR"/>
        </w:rPr>
        <w:t>10 </w:t>
      </w:r>
      <w:r w:rsidR="000078DA" w:rsidRPr="002715F2">
        <w:rPr>
          <w:rFonts w:eastAsia="한양신명조"/>
          <w:color w:val="000000"/>
          <w:lang w:val="fr-FR" w:eastAsia="ko-KR"/>
        </w:rPr>
        <w:t xml:space="preserve">628 </w:t>
      </w:r>
      <w:r w:rsidR="00343E5E" w:rsidRPr="002715F2">
        <w:rPr>
          <w:rFonts w:eastAsia="한양신명조"/>
          <w:color w:val="000000"/>
          <w:lang w:val="fr-FR" w:eastAsia="ko-KR"/>
        </w:rPr>
        <w:t>en</w:t>
      </w:r>
      <w:r w:rsidR="000078DA" w:rsidRPr="002715F2">
        <w:rPr>
          <w:rFonts w:eastAsia="한양신명조"/>
          <w:color w:val="000000"/>
          <w:lang w:val="fr-FR" w:eastAsia="ko-KR"/>
        </w:rPr>
        <w:t xml:space="preserve"> 2015</w:t>
      </w:r>
      <w:r w:rsidR="000078DA" w:rsidRPr="002715F2">
        <w:rPr>
          <w:rFonts w:eastAsia="Batang"/>
          <w:color w:val="000000"/>
          <w:lang w:val="fr-FR" w:eastAsia="ko-KR"/>
        </w:rPr>
        <w:t>.</w:t>
      </w:r>
      <w:r w:rsidR="00343E5E" w:rsidRPr="002715F2">
        <w:rPr>
          <w:rFonts w:eastAsia="Batang"/>
          <w:color w:val="000000"/>
          <w:lang w:val="fr-FR" w:eastAsia="ko-KR"/>
        </w:rPr>
        <w:t xml:space="preserve"> En 2015, ce nombre avait chuté de 58,2</w:t>
      </w:r>
      <w:r w:rsidR="009D5DA9" w:rsidRPr="002715F2">
        <w:rPr>
          <w:rFonts w:eastAsia="Batang"/>
          <w:color w:val="000000"/>
          <w:lang w:val="fr-FR" w:eastAsia="ko-KR"/>
        </w:rPr>
        <w:t> </w:t>
      </w:r>
      <w:r w:rsidR="00343E5E" w:rsidRPr="002715F2">
        <w:rPr>
          <w:rFonts w:eastAsia="Batang"/>
          <w:color w:val="000000"/>
          <w:lang w:val="fr-FR" w:eastAsia="ko-KR"/>
        </w:rPr>
        <w:t xml:space="preserve">% par rapport à celui </w:t>
      </w:r>
      <w:r w:rsidR="009D5DA9" w:rsidRPr="002715F2">
        <w:rPr>
          <w:rFonts w:eastAsia="Batang"/>
          <w:color w:val="000000"/>
          <w:lang w:val="fr-FR" w:eastAsia="ko-KR"/>
        </w:rPr>
        <w:t>relevé en</w:t>
      </w:r>
      <w:r w:rsidR="00343E5E" w:rsidRPr="002715F2">
        <w:rPr>
          <w:rFonts w:eastAsia="Batang"/>
          <w:color w:val="000000"/>
          <w:lang w:val="fr-FR" w:eastAsia="ko-KR"/>
        </w:rPr>
        <w:t xml:space="preserve"> 2007</w:t>
      </w:r>
      <w:r w:rsidR="000078DA" w:rsidRPr="002715F2">
        <w:rPr>
          <w:rFonts w:eastAsia="Batang"/>
          <w:color w:val="000000"/>
          <w:lang w:val="fr-FR" w:eastAsia="ko-KR"/>
        </w:rPr>
        <w:t xml:space="preserve">. </w:t>
      </w:r>
      <w:r w:rsidR="00343E5E" w:rsidRPr="002715F2">
        <w:rPr>
          <w:rFonts w:eastAsia="Batang"/>
          <w:color w:val="000000"/>
          <w:lang w:val="fr-FR" w:eastAsia="ko-KR"/>
        </w:rPr>
        <w:t xml:space="preserve">Cette diminution est principalement </w:t>
      </w:r>
      <w:r w:rsidR="00BA34D3" w:rsidRPr="002715F2">
        <w:rPr>
          <w:rFonts w:eastAsia="Batang"/>
          <w:color w:val="000000"/>
          <w:lang w:val="fr-FR" w:eastAsia="ko-KR"/>
        </w:rPr>
        <w:t>imputable</w:t>
      </w:r>
      <w:r w:rsidR="00343E5E" w:rsidRPr="002715F2">
        <w:rPr>
          <w:rFonts w:eastAsia="Batang"/>
          <w:color w:val="000000"/>
          <w:lang w:val="fr-FR" w:eastAsia="ko-KR"/>
        </w:rPr>
        <w:t xml:space="preserve"> aux efforts déployés par le Gouvernement pour réglementer strictement la </w:t>
      </w:r>
      <w:r w:rsidR="005C6D8E" w:rsidRPr="002715F2">
        <w:rPr>
          <w:rFonts w:eastAsia="Batang"/>
          <w:color w:val="000000"/>
          <w:lang w:val="fr-FR" w:eastAsia="ko-KR"/>
        </w:rPr>
        <w:t>procédure</w:t>
      </w:r>
      <w:r w:rsidR="00343E5E" w:rsidRPr="002715F2">
        <w:rPr>
          <w:rFonts w:eastAsia="Batang"/>
          <w:color w:val="000000"/>
          <w:lang w:val="fr-FR" w:eastAsia="ko-KR"/>
        </w:rPr>
        <w:t xml:space="preserve"> d’arrestation pour des motifs urgents et empêcher qu’il n’en soit fait un usage abusif, </w:t>
      </w:r>
      <w:r w:rsidR="00FB7895" w:rsidRPr="002715F2">
        <w:rPr>
          <w:rFonts w:eastAsia="Batang"/>
          <w:color w:val="000000"/>
          <w:lang w:val="fr-FR" w:eastAsia="ko-KR"/>
        </w:rPr>
        <w:t xml:space="preserve">et </w:t>
      </w:r>
      <w:r w:rsidR="00343E5E" w:rsidRPr="002715F2">
        <w:rPr>
          <w:rFonts w:eastAsia="Batang"/>
          <w:color w:val="000000"/>
          <w:lang w:val="fr-FR" w:eastAsia="ko-KR"/>
        </w:rPr>
        <w:t>répon</w:t>
      </w:r>
      <w:r w:rsidR="00FB7895" w:rsidRPr="002715F2">
        <w:rPr>
          <w:rFonts w:eastAsia="Batang"/>
          <w:color w:val="000000"/>
          <w:lang w:val="fr-FR" w:eastAsia="ko-KR"/>
        </w:rPr>
        <w:t>dr</w:t>
      </w:r>
      <w:r w:rsidR="00343E5E" w:rsidRPr="002715F2">
        <w:rPr>
          <w:rFonts w:eastAsia="Batang"/>
          <w:color w:val="000000"/>
          <w:lang w:val="fr-FR" w:eastAsia="ko-KR"/>
        </w:rPr>
        <w:t xml:space="preserve">e </w:t>
      </w:r>
      <w:r w:rsidR="00FB7895" w:rsidRPr="002715F2">
        <w:rPr>
          <w:rFonts w:eastAsia="Batang"/>
          <w:color w:val="000000"/>
          <w:lang w:val="fr-FR" w:eastAsia="ko-KR"/>
        </w:rPr>
        <w:t xml:space="preserve">ainsi </w:t>
      </w:r>
      <w:r w:rsidR="00343E5E" w:rsidRPr="002715F2">
        <w:rPr>
          <w:rFonts w:eastAsia="Batang"/>
          <w:color w:val="000000"/>
          <w:lang w:val="fr-FR" w:eastAsia="ko-KR"/>
        </w:rPr>
        <w:t>au paragraphe 11 des recommandations antérieures du Comité</w:t>
      </w:r>
      <w:r w:rsidR="000078DA" w:rsidRPr="002715F2">
        <w:rPr>
          <w:rFonts w:eastAsia="Batang"/>
          <w:color w:val="000000"/>
          <w:lang w:val="fr-FR" w:eastAsia="ko-KR"/>
        </w:rPr>
        <w:t xml:space="preserve"> </w:t>
      </w:r>
      <w:r w:rsidR="00F60999" w:rsidRPr="002715F2">
        <w:rPr>
          <w:rFonts w:eastAsia="Batang"/>
          <w:color w:val="000000"/>
          <w:lang w:val="fr-FR" w:eastAsia="ko-KR"/>
        </w:rPr>
        <w:t>(CAT/C/KOR/CO/2).</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343E5E"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343E5E" w:rsidRPr="002715F2">
        <w:rPr>
          <w:rFonts w:eastAsia="Batang"/>
          <w:lang w:val="fr-FR" w:eastAsia="ko-KR"/>
        </w:rPr>
        <w:t>8</w:t>
      </w:r>
    </w:p>
    <w:p w:rsidR="000078DA" w:rsidRPr="002715F2" w:rsidRDefault="007026FB" w:rsidP="007026FB">
      <w:pPr>
        <w:pStyle w:val="SingleTxtG"/>
        <w:rPr>
          <w:rFonts w:eastAsia="Malgun Gothic"/>
          <w:lang w:val="fr-FR" w:eastAsia="ko-KR"/>
        </w:rPr>
      </w:pPr>
      <w:r w:rsidRPr="002715F2">
        <w:rPr>
          <w:rFonts w:eastAsia="Malgun Gothic"/>
          <w:lang w:val="fr-FR" w:eastAsia="ko-KR"/>
        </w:rPr>
        <w:t>36.</w:t>
      </w:r>
      <w:r w:rsidRPr="002715F2">
        <w:rPr>
          <w:rFonts w:eastAsia="Malgun Gothic"/>
          <w:lang w:val="fr-FR" w:eastAsia="ko-KR"/>
        </w:rPr>
        <w:tab/>
      </w:r>
      <w:r w:rsidR="00343E5E" w:rsidRPr="002715F2">
        <w:rPr>
          <w:rFonts w:eastAsia="Malgun Gothic"/>
          <w:lang w:val="fr-FR" w:eastAsia="ko-KR"/>
        </w:rPr>
        <w:t xml:space="preserve">La non-recevabilité des aveux ou des déclarations extorqués par la torture est décrite dans le premier et le deuxième rapport </w:t>
      </w:r>
      <w:r w:rsidR="000078DA" w:rsidRPr="002715F2">
        <w:rPr>
          <w:rFonts w:eastAsia="Malgun Gothic"/>
          <w:lang w:val="fr-FR" w:eastAsia="ko-KR"/>
        </w:rPr>
        <w:t>(CAT/C/32/Add.1</w:t>
      </w:r>
      <w:r w:rsidR="00343E5E" w:rsidRPr="002715F2">
        <w:rPr>
          <w:rFonts w:eastAsia="Malgun Gothic"/>
          <w:lang w:val="fr-FR" w:eastAsia="ko-KR"/>
        </w:rPr>
        <w:t>,</w:t>
      </w:r>
      <w:r w:rsidR="000078DA" w:rsidRPr="002715F2">
        <w:rPr>
          <w:rFonts w:eastAsia="Malgun Gothic"/>
          <w:lang w:val="fr-FR" w:eastAsia="ko-KR"/>
        </w:rPr>
        <w:t xml:space="preserve"> </w:t>
      </w:r>
      <w:r w:rsidR="00480124" w:rsidRPr="002715F2">
        <w:rPr>
          <w:rFonts w:eastAsia="Malgun Gothic"/>
          <w:lang w:val="fr-FR" w:eastAsia="ko-KR"/>
        </w:rPr>
        <w:t>par. </w:t>
      </w:r>
      <w:r w:rsidR="00343E5E" w:rsidRPr="002715F2">
        <w:rPr>
          <w:rFonts w:eastAsia="Malgun Gothic"/>
          <w:lang w:val="fr-FR" w:eastAsia="ko-KR"/>
        </w:rPr>
        <w:t xml:space="preserve">205, </w:t>
      </w:r>
      <w:r w:rsidR="000078DA" w:rsidRPr="002715F2">
        <w:rPr>
          <w:rFonts w:eastAsia="Malgun Gothic"/>
          <w:lang w:val="fr-FR" w:eastAsia="ko-KR"/>
        </w:rPr>
        <w:t>206, 208</w:t>
      </w:r>
      <w:r w:rsidR="00343E5E" w:rsidRPr="002715F2">
        <w:rPr>
          <w:rFonts w:eastAsia="Malgun Gothic"/>
          <w:lang w:val="fr-FR" w:eastAsia="ko-KR"/>
        </w:rPr>
        <w:t xml:space="preserve"> et</w:t>
      </w:r>
      <w:r w:rsidR="000078DA" w:rsidRPr="002715F2">
        <w:rPr>
          <w:rFonts w:eastAsia="Malgun Gothic"/>
          <w:lang w:val="fr-FR" w:eastAsia="ko-KR"/>
        </w:rPr>
        <w:t xml:space="preserve"> 210</w:t>
      </w:r>
      <w:r w:rsidR="00E97B1A" w:rsidRPr="002715F2">
        <w:rPr>
          <w:rFonts w:eastAsia="Malgun Gothic"/>
          <w:lang w:val="fr-FR" w:eastAsia="ko-KR"/>
        </w:rPr>
        <w:t>;</w:t>
      </w:r>
      <w:r w:rsidR="000078DA" w:rsidRPr="002715F2">
        <w:rPr>
          <w:rFonts w:eastAsia="Malgun Gothic"/>
          <w:lang w:val="fr-FR" w:eastAsia="ko-KR"/>
        </w:rPr>
        <w:t xml:space="preserve"> CAT/C/53/Add.2</w:t>
      </w:r>
      <w:r w:rsidR="00343E5E" w:rsidRPr="002715F2">
        <w:rPr>
          <w:rFonts w:eastAsia="Malgun Gothic"/>
          <w:lang w:val="fr-FR" w:eastAsia="ko-KR"/>
        </w:rPr>
        <w:t>,</w:t>
      </w:r>
      <w:r w:rsidR="000078DA" w:rsidRPr="002715F2">
        <w:rPr>
          <w:rFonts w:eastAsia="Malgun Gothic"/>
          <w:lang w:val="fr-FR" w:eastAsia="ko-KR"/>
        </w:rPr>
        <w:t xml:space="preserve"> </w:t>
      </w:r>
      <w:r w:rsidR="00480124" w:rsidRPr="002715F2">
        <w:rPr>
          <w:rFonts w:eastAsia="Malgun Gothic"/>
          <w:lang w:val="fr-FR" w:eastAsia="ko-KR"/>
        </w:rPr>
        <w:t>par. </w:t>
      </w:r>
      <w:r w:rsidR="000078DA" w:rsidRPr="002715F2">
        <w:rPr>
          <w:rFonts w:eastAsia="Malgun Gothic"/>
          <w:lang w:val="fr-FR" w:eastAsia="ko-KR"/>
        </w:rPr>
        <w:t>91</w:t>
      </w:r>
      <w:r w:rsidR="00343E5E" w:rsidRPr="002715F2">
        <w:rPr>
          <w:rFonts w:eastAsia="Malgun Gothic"/>
          <w:lang w:val="fr-FR" w:eastAsia="ko-KR"/>
        </w:rPr>
        <w:t xml:space="preserve"> et </w:t>
      </w:r>
      <w:r w:rsidR="000078DA" w:rsidRPr="002715F2">
        <w:rPr>
          <w:rFonts w:eastAsia="Malgun Gothic"/>
          <w:lang w:val="fr-FR" w:eastAsia="ko-KR"/>
        </w:rPr>
        <w:t xml:space="preserve">92). </w:t>
      </w:r>
      <w:r w:rsidR="00343E5E" w:rsidRPr="002715F2">
        <w:rPr>
          <w:rFonts w:eastAsia="Malgun Gothic"/>
          <w:lang w:val="fr-FR" w:eastAsia="ko-KR"/>
        </w:rPr>
        <w:t xml:space="preserve">Ces aveux ou déclarations ne sauraient être admis, et ce, </w:t>
      </w:r>
      <w:r w:rsidR="00A52642" w:rsidRPr="002715F2">
        <w:rPr>
          <w:rFonts w:eastAsia="Malgun Gothic"/>
          <w:lang w:val="fr-FR" w:eastAsia="ko-KR"/>
        </w:rPr>
        <w:t>même si l’accusé donne son accord</w:t>
      </w:r>
      <w:r w:rsidR="000078DA" w:rsidRPr="002715F2">
        <w:rPr>
          <w:rFonts w:eastAsia="Malgun Gothic"/>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37.</w:t>
      </w:r>
      <w:r w:rsidRPr="002715F2">
        <w:rPr>
          <w:rFonts w:eastAsia="Batang"/>
          <w:lang w:val="fr-FR" w:eastAsia="ko-KR"/>
        </w:rPr>
        <w:tab/>
      </w:r>
      <w:r w:rsidR="00343E5E" w:rsidRPr="002715F2">
        <w:rPr>
          <w:rFonts w:eastAsia="Batang"/>
          <w:lang w:val="fr-FR" w:eastAsia="ko-KR"/>
        </w:rPr>
        <w:t xml:space="preserve">Afin de renforcer la légitimité des procédures de collecte des éléments de preuve, </w:t>
      </w:r>
      <w:r w:rsidR="00A52642" w:rsidRPr="002715F2">
        <w:rPr>
          <w:rFonts w:eastAsia="Batang"/>
          <w:lang w:val="fr-FR" w:eastAsia="ko-KR"/>
        </w:rPr>
        <w:t>la réforme</w:t>
      </w:r>
      <w:r w:rsidR="00343E5E" w:rsidRPr="002715F2">
        <w:rPr>
          <w:rFonts w:eastAsia="Batang"/>
          <w:lang w:val="fr-FR" w:eastAsia="ko-KR"/>
        </w:rPr>
        <w:t xml:space="preserve"> du </w:t>
      </w:r>
      <w:r w:rsidR="00EA2D48" w:rsidRPr="002715F2">
        <w:rPr>
          <w:rFonts w:eastAsia="Batang"/>
          <w:lang w:val="fr-FR" w:eastAsia="ko-KR"/>
        </w:rPr>
        <w:t>C</w:t>
      </w:r>
      <w:r w:rsidR="00343E5E" w:rsidRPr="002715F2">
        <w:rPr>
          <w:rFonts w:eastAsia="Batang"/>
          <w:lang w:val="fr-FR" w:eastAsia="ko-KR"/>
        </w:rPr>
        <w:t xml:space="preserve">ode de procédure pénale </w:t>
      </w:r>
      <w:r w:rsidR="00A52642" w:rsidRPr="002715F2">
        <w:rPr>
          <w:rFonts w:eastAsia="Batang"/>
          <w:lang w:val="fr-FR" w:eastAsia="ko-KR"/>
        </w:rPr>
        <w:t>adoptée le</w:t>
      </w:r>
      <w:r w:rsidR="00343E5E" w:rsidRPr="002715F2">
        <w:rPr>
          <w:rFonts w:eastAsia="Batang"/>
          <w:lang w:val="fr-FR" w:eastAsia="ko-KR"/>
        </w:rPr>
        <w:t xml:space="preserve"> 1</w:t>
      </w:r>
      <w:r w:rsidR="00343E5E" w:rsidRPr="002715F2">
        <w:rPr>
          <w:rFonts w:eastAsia="Batang"/>
          <w:vertAlign w:val="superscript"/>
          <w:lang w:val="fr-FR" w:eastAsia="ko-KR"/>
        </w:rPr>
        <w:t>er</w:t>
      </w:r>
      <w:r w:rsidR="00A52642" w:rsidRPr="002715F2">
        <w:rPr>
          <w:rFonts w:eastAsia="Batang"/>
          <w:lang w:val="fr-FR" w:eastAsia="ko-KR"/>
        </w:rPr>
        <w:t> </w:t>
      </w:r>
      <w:r w:rsidR="00343E5E" w:rsidRPr="002715F2">
        <w:rPr>
          <w:rFonts w:eastAsia="Batang"/>
          <w:lang w:val="fr-FR" w:eastAsia="ko-KR"/>
        </w:rPr>
        <w:t xml:space="preserve">juin 2007 prévoit une règle d’exclusion, selon laquelle les preuves obtenues en violation d’une procédure régulière sont irrecevables </w:t>
      </w:r>
      <w:r w:rsidR="00F60999" w:rsidRPr="002715F2">
        <w:rPr>
          <w:rFonts w:eastAsia="Batang"/>
          <w:lang w:val="fr-FR" w:eastAsia="ko-KR"/>
        </w:rPr>
        <w:t>(</w:t>
      </w:r>
      <w:r w:rsidR="00BD1A84" w:rsidRPr="002715F2">
        <w:rPr>
          <w:rFonts w:eastAsia="Batang"/>
          <w:lang w:val="fr-FR" w:eastAsia="ko-KR"/>
        </w:rPr>
        <w:t>art. </w:t>
      </w:r>
      <w:r w:rsidR="00F60999" w:rsidRPr="002715F2">
        <w:rPr>
          <w:rFonts w:eastAsia="Batang"/>
          <w:lang w:val="fr-FR" w:eastAsia="ko-KR"/>
        </w:rPr>
        <w:t>308-2).</w:t>
      </w:r>
    </w:p>
    <w:p w:rsidR="000078DA" w:rsidRPr="002715F2" w:rsidRDefault="007026FB" w:rsidP="007026FB">
      <w:pPr>
        <w:pStyle w:val="SingleTxtG"/>
        <w:rPr>
          <w:rFonts w:eastAsia="Batang"/>
          <w:lang w:val="fr-FR" w:eastAsia="ko-KR"/>
        </w:rPr>
      </w:pPr>
      <w:r w:rsidRPr="002715F2">
        <w:rPr>
          <w:rFonts w:eastAsia="Batang"/>
          <w:lang w:val="fr-FR" w:eastAsia="ko-KR"/>
        </w:rPr>
        <w:t>38.</w:t>
      </w:r>
      <w:r w:rsidRPr="002715F2">
        <w:rPr>
          <w:rFonts w:eastAsia="Batang"/>
          <w:lang w:val="fr-FR" w:eastAsia="ko-KR"/>
        </w:rPr>
        <w:tab/>
      </w:r>
      <w:r w:rsidR="00343E5E" w:rsidRPr="002715F2">
        <w:rPr>
          <w:rFonts w:eastAsia="Batang"/>
          <w:lang w:val="fr-FR" w:eastAsia="ko-KR"/>
        </w:rPr>
        <w:t xml:space="preserve">Les </w:t>
      </w:r>
      <w:r w:rsidR="009970B3" w:rsidRPr="002715F2">
        <w:rPr>
          <w:rFonts w:eastAsia="Batang"/>
          <w:lang w:val="fr-FR" w:eastAsia="ko-KR"/>
        </w:rPr>
        <w:t>décisions</w:t>
      </w:r>
      <w:r w:rsidR="00343E5E" w:rsidRPr="002715F2">
        <w:rPr>
          <w:rFonts w:eastAsia="Batang"/>
          <w:lang w:val="fr-FR" w:eastAsia="ko-KR"/>
        </w:rPr>
        <w:t xml:space="preserve"> </w:t>
      </w:r>
      <w:r w:rsidR="009970B3" w:rsidRPr="002715F2">
        <w:rPr>
          <w:rFonts w:eastAsia="Batang"/>
          <w:lang w:val="fr-FR" w:eastAsia="ko-KR"/>
        </w:rPr>
        <w:t xml:space="preserve">de justice </w:t>
      </w:r>
      <w:r w:rsidR="00343E5E" w:rsidRPr="002715F2">
        <w:rPr>
          <w:rFonts w:eastAsia="Batang"/>
          <w:lang w:val="fr-FR" w:eastAsia="ko-KR"/>
        </w:rPr>
        <w:t>pertinent</w:t>
      </w:r>
      <w:r w:rsidR="009970B3" w:rsidRPr="002715F2">
        <w:rPr>
          <w:rFonts w:eastAsia="Batang"/>
          <w:lang w:val="fr-FR" w:eastAsia="ko-KR"/>
        </w:rPr>
        <w:t>e</w:t>
      </w:r>
      <w:r w:rsidR="00343E5E" w:rsidRPr="002715F2">
        <w:rPr>
          <w:rFonts w:eastAsia="Batang"/>
          <w:lang w:val="fr-FR" w:eastAsia="ko-KR"/>
        </w:rPr>
        <w:t>s sont les suivant</w:t>
      </w:r>
      <w:r w:rsidR="009970B3" w:rsidRPr="002715F2">
        <w:rPr>
          <w:rFonts w:eastAsia="Batang"/>
          <w:lang w:val="fr-FR" w:eastAsia="ko-KR"/>
        </w:rPr>
        <w:t>e</w:t>
      </w:r>
      <w:r w:rsidR="00343E5E" w:rsidRPr="002715F2">
        <w:rPr>
          <w:rFonts w:eastAsia="Batang"/>
          <w:lang w:val="fr-FR" w:eastAsia="ko-KR"/>
        </w:rPr>
        <w:t>s</w:t>
      </w:r>
      <w:r w:rsidR="00E97B1A" w:rsidRPr="002715F2">
        <w:rPr>
          <w:rFonts w:eastAsia="Batang"/>
          <w:lang w:val="fr-FR" w:eastAsia="ko-KR"/>
        </w:rPr>
        <w:t>:</w:t>
      </w:r>
    </w:p>
    <w:p w:rsidR="000078DA" w:rsidRPr="002715F2" w:rsidRDefault="00F60999" w:rsidP="0044640C">
      <w:pPr>
        <w:pStyle w:val="SingleTxtG"/>
        <w:ind w:firstLine="567"/>
        <w:rPr>
          <w:rFonts w:eastAsia="Batang"/>
          <w:lang w:val="fr-FR" w:eastAsia="ko-KR"/>
        </w:rPr>
      </w:pPr>
      <w:r w:rsidRPr="002715F2">
        <w:rPr>
          <w:rFonts w:eastAsia="Batang"/>
          <w:lang w:val="fr-FR" w:eastAsia="ko-KR"/>
        </w:rPr>
        <w:t>a)</w:t>
      </w:r>
      <w:r w:rsidR="0044640C" w:rsidRPr="002715F2">
        <w:rPr>
          <w:rFonts w:eastAsia="Batang"/>
          <w:lang w:val="fr-FR" w:eastAsia="ko-KR"/>
        </w:rPr>
        <w:tab/>
      </w:r>
      <w:r w:rsidR="00343E5E" w:rsidRPr="002715F2">
        <w:rPr>
          <w:rFonts w:eastAsia="Batang"/>
          <w:lang w:val="fr-FR" w:eastAsia="ko-KR"/>
        </w:rPr>
        <w:t>La Cour suprême a jugé que lorsque les avis divergent sur la question de savoir si une déclaration a été faite volontairement, ce n’est pas à l’accusé qu’il revient de prouver les faits raisonnables et précis propres à jeter le doute sur le caractère volontaire de sa déclaration, mais au procureur d’établir les faits pour éliminer tout doute à ce sujet</w:t>
      </w:r>
      <w:r w:rsidR="000078DA" w:rsidRPr="002715F2">
        <w:rPr>
          <w:rFonts w:eastAsia="Batang"/>
          <w:lang w:val="fr-FR" w:eastAsia="ko-KR"/>
        </w:rPr>
        <w:t xml:space="preserve">. </w:t>
      </w:r>
      <w:r w:rsidR="00343E5E" w:rsidRPr="002715F2">
        <w:rPr>
          <w:rFonts w:eastAsia="Batang"/>
          <w:lang w:val="fr-FR" w:eastAsia="ko-KR"/>
        </w:rPr>
        <w:t xml:space="preserve">Si le procureur ne parvient pas à le faire, la déclaration </w:t>
      </w:r>
      <w:r w:rsidR="006846D0" w:rsidRPr="002715F2">
        <w:rPr>
          <w:rFonts w:eastAsia="Batang"/>
          <w:lang w:val="fr-FR" w:eastAsia="ko-KR"/>
        </w:rPr>
        <w:t>est</w:t>
      </w:r>
      <w:r w:rsidR="00343E5E" w:rsidRPr="002715F2">
        <w:rPr>
          <w:rFonts w:eastAsia="Batang"/>
          <w:lang w:val="fr-FR" w:eastAsia="ko-KR"/>
        </w:rPr>
        <w:t xml:space="preserve"> </w:t>
      </w:r>
      <w:r w:rsidR="006846D0" w:rsidRPr="002715F2">
        <w:rPr>
          <w:rFonts w:eastAsia="Batang"/>
          <w:lang w:val="fr-FR" w:eastAsia="ko-KR"/>
        </w:rPr>
        <w:t>ir</w:t>
      </w:r>
      <w:r w:rsidR="00343E5E" w:rsidRPr="002715F2">
        <w:rPr>
          <w:rFonts w:eastAsia="Batang"/>
          <w:lang w:val="fr-FR" w:eastAsia="ko-KR"/>
        </w:rPr>
        <w:t xml:space="preserve">recevable </w:t>
      </w:r>
      <w:r w:rsidRPr="002715F2">
        <w:rPr>
          <w:rFonts w:eastAsia="Batang"/>
          <w:lang w:val="fr-FR" w:eastAsia="ko-KR"/>
        </w:rPr>
        <w:t>(2004Do7900</w:t>
      </w:r>
      <w:r w:rsidR="00E1469B" w:rsidRPr="002715F2">
        <w:rPr>
          <w:rFonts w:eastAsia="Batang"/>
          <w:lang w:val="fr-FR" w:eastAsia="ko-KR"/>
        </w:rPr>
        <w:t>);</w:t>
      </w:r>
    </w:p>
    <w:p w:rsidR="000078DA" w:rsidRPr="002715F2" w:rsidRDefault="00943C0D" w:rsidP="0044640C">
      <w:pPr>
        <w:pStyle w:val="SingleTxtG"/>
        <w:ind w:firstLine="567"/>
        <w:rPr>
          <w:rFonts w:eastAsia="Batang"/>
          <w:lang w:val="fr-FR" w:eastAsia="ko-KR"/>
        </w:rPr>
      </w:pPr>
      <w:r w:rsidRPr="002715F2">
        <w:rPr>
          <w:rFonts w:eastAsia="Batang"/>
          <w:lang w:val="fr-FR" w:eastAsia="ko-KR"/>
        </w:rPr>
        <w:t>b)</w:t>
      </w:r>
      <w:r w:rsidR="0044640C" w:rsidRPr="002715F2">
        <w:rPr>
          <w:rFonts w:eastAsia="Batang"/>
          <w:lang w:val="fr-FR" w:eastAsia="ko-KR"/>
        </w:rPr>
        <w:tab/>
      </w:r>
      <w:r w:rsidR="00343E5E" w:rsidRPr="002715F2">
        <w:rPr>
          <w:rFonts w:eastAsia="Batang"/>
          <w:lang w:val="fr-FR" w:eastAsia="ko-KR"/>
        </w:rPr>
        <w:t xml:space="preserve">La Cour suprême a jugé que, en principe, les éléments de preuve recueillis par un </w:t>
      </w:r>
      <w:r w:rsidR="004B59CF" w:rsidRPr="002715F2">
        <w:rPr>
          <w:rFonts w:eastAsia="Batang"/>
          <w:lang w:val="fr-FR" w:eastAsia="ko-KR"/>
        </w:rPr>
        <w:t>service d’</w:t>
      </w:r>
      <w:r w:rsidR="00343E5E" w:rsidRPr="002715F2">
        <w:rPr>
          <w:rFonts w:eastAsia="Batang"/>
          <w:lang w:val="fr-FR" w:eastAsia="ko-KR"/>
        </w:rPr>
        <w:t xml:space="preserve">enquête sans </w:t>
      </w:r>
      <w:r w:rsidR="004B59CF" w:rsidRPr="002715F2">
        <w:rPr>
          <w:rFonts w:eastAsia="Batang"/>
          <w:lang w:val="fr-FR" w:eastAsia="ko-KR"/>
        </w:rPr>
        <w:t>avoir suivi</w:t>
      </w:r>
      <w:r w:rsidR="00343E5E" w:rsidRPr="002715F2">
        <w:rPr>
          <w:rFonts w:eastAsia="Batang"/>
          <w:lang w:val="fr-FR" w:eastAsia="ko-KR"/>
        </w:rPr>
        <w:t xml:space="preserve"> </w:t>
      </w:r>
      <w:r w:rsidR="004B59CF" w:rsidRPr="002715F2">
        <w:rPr>
          <w:rFonts w:eastAsia="Batang"/>
          <w:lang w:val="fr-FR" w:eastAsia="ko-KR"/>
        </w:rPr>
        <w:t>les procédur</w:t>
      </w:r>
      <w:r w:rsidR="00343E5E" w:rsidRPr="002715F2">
        <w:rPr>
          <w:rFonts w:eastAsia="Batang"/>
          <w:lang w:val="fr-FR" w:eastAsia="ko-KR"/>
        </w:rPr>
        <w:t xml:space="preserve">es </w:t>
      </w:r>
      <w:r w:rsidR="004B59CF" w:rsidRPr="002715F2">
        <w:rPr>
          <w:rFonts w:eastAsia="Batang"/>
          <w:lang w:val="fr-FR" w:eastAsia="ko-KR"/>
        </w:rPr>
        <w:t>en vigueur, de même que</w:t>
      </w:r>
      <w:r w:rsidR="00343E5E" w:rsidRPr="002715F2">
        <w:rPr>
          <w:rFonts w:eastAsia="Batang"/>
          <w:lang w:val="fr-FR" w:eastAsia="ko-KR"/>
        </w:rPr>
        <w:t xml:space="preserve"> </w:t>
      </w:r>
      <w:r w:rsidR="004B59CF" w:rsidRPr="002715F2">
        <w:rPr>
          <w:rFonts w:eastAsia="Batang"/>
          <w:lang w:val="fr-FR" w:eastAsia="ko-KR"/>
        </w:rPr>
        <w:t>les preuves</w:t>
      </w:r>
      <w:r w:rsidR="00343E5E" w:rsidRPr="002715F2">
        <w:rPr>
          <w:rFonts w:eastAsia="Batang"/>
          <w:lang w:val="fr-FR" w:eastAsia="ko-KR"/>
        </w:rPr>
        <w:t xml:space="preserve"> secondaire</w:t>
      </w:r>
      <w:r w:rsidR="004B59CF" w:rsidRPr="002715F2">
        <w:rPr>
          <w:rFonts w:eastAsia="Batang"/>
          <w:lang w:val="fr-FR" w:eastAsia="ko-KR"/>
        </w:rPr>
        <w:t xml:space="preserve">s qui en découlent, </w:t>
      </w:r>
      <w:r w:rsidR="00343E5E" w:rsidRPr="002715F2">
        <w:rPr>
          <w:rFonts w:eastAsia="Batang"/>
          <w:lang w:val="fr-FR" w:eastAsia="ko-KR"/>
        </w:rPr>
        <w:t xml:space="preserve">ne </w:t>
      </w:r>
      <w:r w:rsidR="004B59CF" w:rsidRPr="002715F2">
        <w:rPr>
          <w:rFonts w:eastAsia="Batang"/>
          <w:lang w:val="fr-FR" w:eastAsia="ko-KR"/>
        </w:rPr>
        <w:t>peuvent pas être</w:t>
      </w:r>
      <w:r w:rsidR="00343E5E" w:rsidRPr="002715F2">
        <w:rPr>
          <w:rFonts w:eastAsia="Batang"/>
          <w:lang w:val="fr-FR" w:eastAsia="ko-KR"/>
        </w:rPr>
        <w:t xml:space="preserve"> </w:t>
      </w:r>
      <w:r w:rsidR="004B59CF" w:rsidRPr="002715F2">
        <w:rPr>
          <w:rFonts w:eastAsia="Batang"/>
          <w:lang w:val="fr-FR" w:eastAsia="ko-KR"/>
        </w:rPr>
        <w:t>admis</w:t>
      </w:r>
      <w:r w:rsidR="00343E5E" w:rsidRPr="002715F2">
        <w:rPr>
          <w:rFonts w:eastAsia="Batang"/>
          <w:lang w:val="fr-FR" w:eastAsia="ko-KR"/>
        </w:rPr>
        <w:t xml:space="preserve"> </w:t>
      </w:r>
      <w:r w:rsidR="004B59CF" w:rsidRPr="002715F2">
        <w:rPr>
          <w:lang w:val="fr-FR"/>
        </w:rPr>
        <w:t xml:space="preserve">comme preuve de culpabilité </w:t>
      </w:r>
      <w:r w:rsidR="000078DA" w:rsidRPr="002715F2">
        <w:rPr>
          <w:rFonts w:eastAsia="Batang"/>
          <w:lang w:val="fr-FR" w:eastAsia="ko-KR"/>
        </w:rPr>
        <w:t xml:space="preserve">(2007Do3061). </w:t>
      </w:r>
      <w:r w:rsidR="004B59CF" w:rsidRPr="002715F2">
        <w:rPr>
          <w:rFonts w:eastAsia="Batang"/>
          <w:lang w:val="fr-FR" w:eastAsia="ko-KR"/>
        </w:rPr>
        <w:t xml:space="preserve">La Cour suprême a également statué que les aveux extorqués sur la base de preuves obtenues illégalement </w:t>
      </w:r>
      <w:r w:rsidR="006846D0" w:rsidRPr="002715F2">
        <w:rPr>
          <w:rFonts w:eastAsia="Batang"/>
          <w:lang w:val="fr-FR" w:eastAsia="ko-KR"/>
        </w:rPr>
        <w:t xml:space="preserve">sont irrecevables </w:t>
      </w:r>
      <w:r w:rsidR="000078DA" w:rsidRPr="002715F2">
        <w:rPr>
          <w:rFonts w:eastAsia="Batang"/>
          <w:lang w:val="fr-FR" w:eastAsia="ko-KR"/>
        </w:rPr>
        <w:t>(2011Do</w:t>
      </w:r>
      <w:r w:rsidR="00F60999" w:rsidRPr="002715F2">
        <w:rPr>
          <w:rFonts w:eastAsia="Batang"/>
          <w:lang w:val="fr-FR" w:eastAsia="ko-KR"/>
        </w:rPr>
        <w:t>10508).</w:t>
      </w:r>
    </w:p>
    <w:p w:rsidR="000078DA" w:rsidRPr="002715F2" w:rsidRDefault="007026FB" w:rsidP="004B59CF">
      <w:pPr>
        <w:pStyle w:val="SingleTxtG"/>
        <w:rPr>
          <w:rFonts w:eastAsia="Batang"/>
          <w:lang w:val="fr-FR" w:eastAsia="ko-KR"/>
        </w:rPr>
      </w:pPr>
      <w:r w:rsidRPr="002715F2">
        <w:rPr>
          <w:rFonts w:eastAsia="Batang"/>
          <w:lang w:val="fr-FR" w:eastAsia="ko-KR"/>
        </w:rPr>
        <w:t>39.</w:t>
      </w:r>
      <w:r w:rsidRPr="002715F2">
        <w:rPr>
          <w:rFonts w:eastAsia="Batang"/>
          <w:lang w:val="fr-FR" w:eastAsia="ko-KR"/>
        </w:rPr>
        <w:tab/>
      </w:r>
      <w:r w:rsidR="004B59CF" w:rsidRPr="002715F2">
        <w:rPr>
          <w:rFonts w:eastAsia="Batang"/>
          <w:lang w:val="fr-FR" w:eastAsia="ko-KR"/>
        </w:rPr>
        <w:t xml:space="preserve">La Constitution et le </w:t>
      </w:r>
      <w:r w:rsidR="00EA2D48" w:rsidRPr="002715F2">
        <w:rPr>
          <w:rFonts w:eastAsia="Batang"/>
          <w:lang w:val="fr-FR" w:eastAsia="ko-KR"/>
        </w:rPr>
        <w:t>C</w:t>
      </w:r>
      <w:r w:rsidR="004B59CF" w:rsidRPr="002715F2">
        <w:rPr>
          <w:rFonts w:eastAsia="Batang"/>
          <w:lang w:val="fr-FR" w:eastAsia="ko-KR"/>
        </w:rPr>
        <w:t>ode de procédure pénale prévoient que les aveux qui constituent la seule preuve contre l’accusé lors du procès ne sauraient être admis comme preuve de culpabilité, ainsi qu’il est décrit dans le premier rapport</w:t>
      </w:r>
      <w:r w:rsidR="000078DA" w:rsidRPr="002715F2">
        <w:rPr>
          <w:rFonts w:eastAsia="Batang"/>
          <w:lang w:val="fr-FR" w:eastAsia="ko-KR"/>
        </w:rPr>
        <w:t xml:space="preserve"> (CAT/C/32/Add.1</w:t>
      </w:r>
      <w:r w:rsidR="004B59CF"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209). </w:t>
      </w:r>
      <w:r w:rsidR="00524176" w:rsidRPr="002715F2">
        <w:rPr>
          <w:rFonts w:eastAsia="Batang"/>
          <w:lang w:val="fr-FR" w:eastAsia="ko-KR"/>
        </w:rPr>
        <w:t>Il en va de même</w:t>
      </w:r>
      <w:r w:rsidR="004B59CF" w:rsidRPr="002715F2">
        <w:rPr>
          <w:rFonts w:eastAsia="Batang"/>
          <w:lang w:val="fr-FR" w:eastAsia="ko-KR"/>
        </w:rPr>
        <w:t xml:space="preserve"> pour les violations de la loi sur la sécurité nationale</w:t>
      </w:r>
      <w:r w:rsidR="000078DA" w:rsidRPr="002715F2">
        <w:rPr>
          <w:rFonts w:eastAsia="Batang"/>
          <w:lang w:val="fr-FR" w:eastAsia="ko-KR"/>
        </w:rPr>
        <w:t xml:space="preserve">. </w:t>
      </w:r>
      <w:r w:rsidR="004B59CF" w:rsidRPr="002715F2">
        <w:rPr>
          <w:rFonts w:eastAsia="Batang"/>
          <w:lang w:val="fr-FR" w:eastAsia="ko-KR"/>
        </w:rPr>
        <w:t>Entre 2006 et 2015, aucun cas de limitation du droit du suspect de garder le silence ni d’aveux obtenus par la contrainte n’a été identifié dans le cadre des enquêtes sur les violations de la loi sur la sécurité nationale</w:t>
      </w:r>
      <w:r w:rsidR="000078DA" w:rsidRPr="002715F2">
        <w:rPr>
          <w:rFonts w:eastAsia="Batang"/>
          <w:lang w:val="fr-FR" w:eastAsia="ko-KR"/>
        </w:rPr>
        <w:t xml:space="preserve">. </w:t>
      </w:r>
      <w:r w:rsidR="004B59CF" w:rsidRPr="002715F2">
        <w:rPr>
          <w:rFonts w:eastAsia="Batang"/>
          <w:lang w:val="fr-FR" w:eastAsia="ko-KR"/>
        </w:rPr>
        <w:t>De même, aucun</w:t>
      </w:r>
      <w:r w:rsidR="00EA2D48" w:rsidRPr="002715F2">
        <w:rPr>
          <w:rFonts w:eastAsia="Batang"/>
          <w:lang w:val="fr-FR" w:eastAsia="ko-KR"/>
        </w:rPr>
        <w:t>e</w:t>
      </w:r>
      <w:r w:rsidR="004B59CF" w:rsidRPr="002715F2">
        <w:rPr>
          <w:rFonts w:eastAsia="Batang"/>
          <w:lang w:val="fr-FR" w:eastAsia="ko-KR"/>
        </w:rPr>
        <w:t xml:space="preserve"> </w:t>
      </w:r>
      <w:r w:rsidR="005C6D8E" w:rsidRPr="002715F2">
        <w:rPr>
          <w:rFonts w:eastAsia="Batang"/>
          <w:lang w:val="fr-FR" w:eastAsia="ko-KR"/>
        </w:rPr>
        <w:t>condamnation</w:t>
      </w:r>
      <w:r w:rsidR="004B59CF" w:rsidRPr="002715F2">
        <w:rPr>
          <w:rFonts w:eastAsia="Batang"/>
          <w:lang w:val="fr-FR" w:eastAsia="ko-KR"/>
        </w:rPr>
        <w:t xml:space="preserve"> découlant d’actes de cruauté, notamment de torture par des enquêteurs, n’a été </w:t>
      </w:r>
      <w:r w:rsidR="00524176" w:rsidRPr="002715F2">
        <w:rPr>
          <w:rFonts w:eastAsia="Batang"/>
          <w:lang w:val="fr-FR" w:eastAsia="ko-KR"/>
        </w:rPr>
        <w:t>signalée</w:t>
      </w:r>
      <w:r w:rsidR="00F60999" w:rsidRPr="002715F2">
        <w:rPr>
          <w:rFonts w:eastAsia="Batang"/>
          <w:lang w:val="fr-FR" w:eastAsia="ko-KR"/>
        </w:rPr>
        <w:t>.</w:t>
      </w:r>
    </w:p>
    <w:p w:rsidR="000078DA" w:rsidRPr="002715F2" w:rsidRDefault="007026FB" w:rsidP="007026FB">
      <w:pPr>
        <w:pStyle w:val="SingleTxtG"/>
        <w:rPr>
          <w:rFonts w:ascii="Batang" w:eastAsia="Batang" w:hAnsi="Batang" w:cs="Gulim"/>
          <w:color w:val="000000"/>
          <w:lang w:val="fr-FR" w:eastAsia="ko-KR"/>
        </w:rPr>
      </w:pPr>
      <w:r w:rsidRPr="002715F2">
        <w:rPr>
          <w:rFonts w:eastAsia="Batang"/>
          <w:color w:val="000000"/>
          <w:lang w:val="fr-FR" w:eastAsia="ko-KR"/>
        </w:rPr>
        <w:t>40.</w:t>
      </w:r>
      <w:r w:rsidRPr="002715F2">
        <w:rPr>
          <w:rFonts w:eastAsia="Batang"/>
          <w:color w:val="000000"/>
          <w:lang w:val="fr-FR" w:eastAsia="ko-KR"/>
        </w:rPr>
        <w:tab/>
      </w:r>
      <w:r w:rsidR="004B59CF" w:rsidRPr="002715F2">
        <w:rPr>
          <w:rFonts w:eastAsia="Batang"/>
          <w:color w:val="000000"/>
          <w:lang w:val="fr-FR" w:eastAsia="ko-KR"/>
        </w:rPr>
        <w:t>Aucun</w:t>
      </w:r>
      <w:r w:rsidR="00524176" w:rsidRPr="002715F2">
        <w:rPr>
          <w:rFonts w:eastAsia="Batang"/>
          <w:color w:val="000000"/>
          <w:lang w:val="fr-FR" w:eastAsia="ko-KR"/>
        </w:rPr>
        <w:t>e</w:t>
      </w:r>
      <w:r w:rsidR="004B59CF" w:rsidRPr="002715F2">
        <w:rPr>
          <w:rFonts w:eastAsia="Batang"/>
          <w:color w:val="000000"/>
          <w:lang w:val="fr-FR" w:eastAsia="ko-KR"/>
        </w:rPr>
        <w:t xml:space="preserve"> </w:t>
      </w:r>
      <w:r w:rsidR="00524176" w:rsidRPr="002715F2">
        <w:rPr>
          <w:rFonts w:eastAsia="Batang"/>
          <w:color w:val="000000"/>
          <w:lang w:val="fr-FR" w:eastAsia="ko-KR"/>
        </w:rPr>
        <w:t>modification</w:t>
      </w:r>
      <w:r w:rsidR="004B59CF" w:rsidRPr="002715F2">
        <w:rPr>
          <w:rFonts w:eastAsia="Batang"/>
          <w:color w:val="000000"/>
          <w:lang w:val="fr-FR" w:eastAsia="ko-KR"/>
        </w:rPr>
        <w:t xml:space="preserve"> de la loi </w:t>
      </w:r>
      <w:r w:rsidR="00CD4360" w:rsidRPr="002715F2">
        <w:rPr>
          <w:rFonts w:eastAsia="Batang"/>
          <w:color w:val="000000"/>
          <w:lang w:val="fr-FR" w:eastAsia="ko-KR"/>
        </w:rPr>
        <w:t>de</w:t>
      </w:r>
      <w:r w:rsidR="004B59CF" w:rsidRPr="002715F2">
        <w:rPr>
          <w:rFonts w:eastAsia="Batang"/>
          <w:color w:val="000000"/>
          <w:lang w:val="fr-FR" w:eastAsia="ko-KR"/>
        </w:rPr>
        <w:t xml:space="preserve"> surveillance </w:t>
      </w:r>
      <w:r w:rsidR="00C9687D" w:rsidRPr="002715F2">
        <w:rPr>
          <w:rFonts w:eastAsia="Batang"/>
          <w:color w:val="000000"/>
          <w:lang w:val="fr-FR" w:eastAsia="ko-KR"/>
        </w:rPr>
        <w:t xml:space="preserve">de </w:t>
      </w:r>
      <w:r w:rsidR="004B59CF" w:rsidRPr="002715F2">
        <w:rPr>
          <w:rFonts w:eastAsia="Batang"/>
          <w:color w:val="000000"/>
          <w:lang w:val="fr-FR" w:eastAsia="ko-KR"/>
        </w:rPr>
        <w:t xml:space="preserve">sécurité </w:t>
      </w:r>
      <w:r w:rsidR="00C9687D" w:rsidRPr="002715F2">
        <w:rPr>
          <w:rFonts w:eastAsia="Batang"/>
          <w:color w:val="000000"/>
          <w:lang w:val="fr-FR" w:eastAsia="ko-KR"/>
        </w:rPr>
        <w:t>n’</w:t>
      </w:r>
      <w:r w:rsidR="004B59CF" w:rsidRPr="002715F2">
        <w:rPr>
          <w:rFonts w:eastAsia="Batang"/>
          <w:color w:val="000000"/>
          <w:lang w:val="fr-FR" w:eastAsia="ko-KR"/>
        </w:rPr>
        <w:t xml:space="preserve">a </w:t>
      </w:r>
      <w:r w:rsidR="00C9687D" w:rsidRPr="002715F2">
        <w:rPr>
          <w:rFonts w:eastAsia="Batang"/>
          <w:color w:val="000000"/>
          <w:lang w:val="fr-FR" w:eastAsia="ko-KR"/>
        </w:rPr>
        <w:t>été proposé</w:t>
      </w:r>
      <w:r w:rsidR="00524176" w:rsidRPr="002715F2">
        <w:rPr>
          <w:rFonts w:eastAsia="Batang"/>
          <w:color w:val="000000"/>
          <w:lang w:val="fr-FR" w:eastAsia="ko-KR"/>
        </w:rPr>
        <w:t>e</w:t>
      </w:r>
      <w:r w:rsidR="00C9687D" w:rsidRPr="002715F2">
        <w:rPr>
          <w:rFonts w:eastAsia="Batang"/>
          <w:color w:val="000000"/>
          <w:lang w:val="fr-FR" w:eastAsia="ko-KR"/>
        </w:rPr>
        <w:t xml:space="preserve"> à l’</w:t>
      </w:r>
      <w:r w:rsidR="004B59CF" w:rsidRPr="002715F2">
        <w:rPr>
          <w:rFonts w:eastAsia="Batang"/>
          <w:color w:val="000000"/>
          <w:lang w:val="fr-FR" w:eastAsia="ko-KR"/>
        </w:rPr>
        <w:t>Assemblée nationale depuis 2006</w:t>
      </w:r>
      <w:r w:rsidR="000078DA" w:rsidRPr="002715F2">
        <w:rPr>
          <w:rFonts w:eastAsia="Batang"/>
          <w:color w:val="000000"/>
          <w:lang w:val="fr-FR" w:eastAsia="ko-KR"/>
        </w:rPr>
        <w:t xml:space="preserve">. </w:t>
      </w:r>
      <w:r w:rsidR="00524176" w:rsidRPr="002715F2">
        <w:rPr>
          <w:rFonts w:eastAsia="Batang"/>
          <w:color w:val="000000"/>
          <w:lang w:val="fr-FR" w:eastAsia="ko-KR"/>
        </w:rPr>
        <w:t xml:space="preserve">Son application se limite strictement au niveau minimum requis déterminé </w:t>
      </w:r>
      <w:r w:rsidR="00CD4360" w:rsidRPr="002715F2">
        <w:rPr>
          <w:rFonts w:eastAsia="Batang"/>
          <w:color w:val="000000"/>
          <w:lang w:val="fr-FR" w:eastAsia="ko-KR"/>
        </w:rPr>
        <w:t>en fonction d</w:t>
      </w:r>
      <w:r w:rsidR="00524176" w:rsidRPr="002715F2">
        <w:rPr>
          <w:rFonts w:eastAsia="Batang"/>
          <w:color w:val="000000"/>
          <w:lang w:val="fr-FR" w:eastAsia="ko-KR"/>
        </w:rPr>
        <w:t>es délibérations du Comité de surveillance de sécurité, qui comprend des membres extérieurs, tel que décrit dans le deuxième rapport présenté au titre de l’Examen périodique universel</w:t>
      </w:r>
      <w:r w:rsidR="000078DA" w:rsidRPr="002715F2">
        <w:rPr>
          <w:rFonts w:eastAsia="Batang"/>
          <w:lang w:val="fr-FR" w:eastAsia="ko-KR"/>
        </w:rPr>
        <w:t xml:space="preserve"> (</w:t>
      </w:r>
      <w:r w:rsidR="000078DA" w:rsidRPr="002715F2">
        <w:rPr>
          <w:rFonts w:eastAsia="Batang" w:cs="Gulim"/>
          <w:lang w:val="fr-FR" w:eastAsia="ko-KR"/>
        </w:rPr>
        <w:t>A</w:t>
      </w:r>
      <w:r w:rsidR="000078DA" w:rsidRPr="002715F2">
        <w:rPr>
          <w:rFonts w:eastAsia="Batang" w:cs="Gulim"/>
          <w:color w:val="000000"/>
          <w:lang w:val="fr-FR" w:eastAsia="ko-KR"/>
        </w:rPr>
        <w:t>/HRC/WG.6/14/KOR/1</w:t>
      </w:r>
      <w:r w:rsidR="004B59CF" w:rsidRPr="002715F2">
        <w:rPr>
          <w:rFonts w:eastAsia="Batang" w:cs="Gulim"/>
          <w:color w:val="000000"/>
          <w:lang w:val="fr-FR" w:eastAsia="ko-KR"/>
        </w:rPr>
        <w:t>,</w:t>
      </w:r>
      <w:r w:rsidR="000078DA" w:rsidRPr="002715F2">
        <w:rPr>
          <w:rFonts w:eastAsia="Batang" w:cs="Gulim"/>
          <w:color w:val="000000"/>
          <w:lang w:val="fr-FR" w:eastAsia="ko-KR"/>
        </w:rPr>
        <w:t xml:space="preserve"> </w:t>
      </w:r>
      <w:r w:rsidR="00BD1A84" w:rsidRPr="002715F2">
        <w:rPr>
          <w:rFonts w:eastAsia="Batang" w:cs="Gulim"/>
          <w:color w:val="000000"/>
          <w:lang w:val="fr-FR" w:eastAsia="ko-KR"/>
        </w:rPr>
        <w:t>par. </w:t>
      </w:r>
      <w:r w:rsidR="000078DA" w:rsidRPr="002715F2">
        <w:rPr>
          <w:rFonts w:eastAsia="Batang" w:cs="Gulim"/>
          <w:lang w:val="fr-FR" w:eastAsia="ko-KR"/>
        </w:rPr>
        <w:t>73)</w:t>
      </w:r>
      <w:r w:rsidR="000078DA" w:rsidRPr="002715F2">
        <w:rPr>
          <w:rFonts w:eastAsia="휴먼명조"/>
          <w:spacing w:val="4"/>
          <w:lang w:val="fr-FR" w:eastAsia="ko-KR"/>
        </w:rPr>
        <w:t>.</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C9687D" w:rsidRPr="002715F2">
        <w:rPr>
          <w:rFonts w:eastAsia="Batang"/>
          <w:lang w:val="fr-FR" w:eastAsia="ko-KR"/>
        </w:rPr>
        <w:t>Réponse aux qu</w:t>
      </w:r>
      <w:r w:rsidR="00CD4360" w:rsidRPr="002715F2">
        <w:rPr>
          <w:rFonts w:eastAsia="Batang"/>
          <w:lang w:val="fr-FR" w:eastAsia="ko-KR"/>
        </w:rPr>
        <w:t xml:space="preserve">estions soulevées au </w:t>
      </w:r>
      <w:r w:rsidR="00675A3D" w:rsidRPr="002715F2">
        <w:rPr>
          <w:rFonts w:eastAsia="Batang"/>
          <w:lang w:val="fr-FR" w:eastAsia="ko-KR"/>
        </w:rPr>
        <w:t xml:space="preserve">paragraphe </w:t>
      </w:r>
      <w:r w:rsidR="00C9687D" w:rsidRPr="002715F2">
        <w:rPr>
          <w:rFonts w:eastAsia="Batang"/>
          <w:lang w:val="fr-FR" w:eastAsia="ko-KR"/>
        </w:rPr>
        <w:t>9</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CD4360" w:rsidRPr="002715F2">
        <w:rPr>
          <w:rFonts w:eastAsia="Batang"/>
          <w:lang w:val="fr-FR" w:eastAsia="ko-KR"/>
        </w:rPr>
        <w:t>Sanction</w:t>
      </w:r>
      <w:r w:rsidR="00C9687D" w:rsidRPr="002715F2">
        <w:rPr>
          <w:rFonts w:eastAsia="Batang"/>
          <w:lang w:val="fr-FR" w:eastAsia="ko-KR"/>
        </w:rPr>
        <w:t xml:space="preserve"> du viol conjugal</w:t>
      </w:r>
    </w:p>
    <w:p w:rsidR="000078DA" w:rsidRPr="002715F2" w:rsidRDefault="007026FB" w:rsidP="007026FB">
      <w:pPr>
        <w:pStyle w:val="SingleTxtG"/>
        <w:rPr>
          <w:rFonts w:eastAsia="Malgun Gothic"/>
          <w:kern w:val="2"/>
          <w:lang w:val="fr-FR" w:eastAsia="ko-KR"/>
        </w:rPr>
      </w:pPr>
      <w:r w:rsidRPr="002715F2">
        <w:rPr>
          <w:rFonts w:eastAsia="Malgun Gothic"/>
          <w:kern w:val="2"/>
          <w:lang w:val="fr-FR" w:eastAsia="ko-KR"/>
        </w:rPr>
        <w:t>41.</w:t>
      </w:r>
      <w:r w:rsidRPr="002715F2">
        <w:rPr>
          <w:rFonts w:eastAsia="Malgun Gothic"/>
          <w:kern w:val="2"/>
          <w:lang w:val="fr-FR" w:eastAsia="ko-KR"/>
        </w:rPr>
        <w:tab/>
      </w:r>
      <w:r w:rsidR="00C9687D" w:rsidRPr="002715F2">
        <w:rPr>
          <w:rFonts w:eastAsia="Malgun Gothic"/>
          <w:kern w:val="2"/>
          <w:lang w:val="fr-FR" w:eastAsia="ko-KR"/>
        </w:rPr>
        <w:t xml:space="preserve">Auparavant, le </w:t>
      </w:r>
      <w:r w:rsidR="00CD4360" w:rsidRPr="002715F2">
        <w:rPr>
          <w:rFonts w:eastAsia="Malgun Gothic"/>
          <w:kern w:val="2"/>
          <w:lang w:val="fr-FR" w:eastAsia="ko-KR"/>
        </w:rPr>
        <w:t>C</w:t>
      </w:r>
      <w:r w:rsidR="00C9687D" w:rsidRPr="002715F2">
        <w:rPr>
          <w:rFonts w:eastAsia="Malgun Gothic"/>
          <w:kern w:val="2"/>
          <w:lang w:val="fr-FR" w:eastAsia="ko-KR"/>
        </w:rPr>
        <w:t xml:space="preserve">ode pénal précisait que la victime d’un viol était une </w:t>
      </w:r>
      <w:r w:rsidR="00E97B1A" w:rsidRPr="002715F2">
        <w:rPr>
          <w:rFonts w:eastAsia="Malgun Gothic"/>
          <w:kern w:val="2"/>
          <w:lang w:val="fr-FR" w:eastAsia="ko-KR"/>
        </w:rPr>
        <w:t>«</w:t>
      </w:r>
      <w:r w:rsidR="00C9687D" w:rsidRPr="002715F2">
        <w:rPr>
          <w:rFonts w:eastAsia="Malgun Gothic"/>
          <w:kern w:val="2"/>
          <w:lang w:val="fr-FR" w:eastAsia="ko-KR"/>
        </w:rPr>
        <w:t>femme</w:t>
      </w:r>
      <w:r w:rsidR="00E97B1A" w:rsidRPr="002715F2">
        <w:rPr>
          <w:rFonts w:eastAsia="Malgun Gothic"/>
          <w:kern w:val="2"/>
          <w:lang w:val="fr-FR" w:eastAsia="ko-KR"/>
        </w:rPr>
        <w:t>»</w:t>
      </w:r>
      <w:r w:rsidR="00C9687D" w:rsidRPr="002715F2">
        <w:rPr>
          <w:rFonts w:eastAsia="Malgun Gothic"/>
          <w:kern w:val="2"/>
          <w:lang w:val="fr-FR" w:eastAsia="ko-KR"/>
        </w:rPr>
        <w:t xml:space="preserve">, sans toutefois exclure </w:t>
      </w:r>
      <w:r w:rsidR="008A5B34" w:rsidRPr="002715F2">
        <w:rPr>
          <w:rFonts w:eastAsia="Malgun Gothic"/>
          <w:kern w:val="2"/>
          <w:lang w:val="fr-FR" w:eastAsia="ko-KR"/>
        </w:rPr>
        <w:t xml:space="preserve">que </w:t>
      </w:r>
      <w:r w:rsidR="00C9687D" w:rsidRPr="002715F2">
        <w:rPr>
          <w:rFonts w:eastAsia="Malgun Gothic"/>
          <w:kern w:val="2"/>
          <w:lang w:val="fr-FR" w:eastAsia="ko-KR"/>
        </w:rPr>
        <w:t xml:space="preserve">la </w:t>
      </w:r>
      <w:r w:rsidR="00E97B1A" w:rsidRPr="002715F2">
        <w:rPr>
          <w:rFonts w:eastAsia="Malgun Gothic"/>
          <w:kern w:val="2"/>
          <w:lang w:val="fr-FR" w:eastAsia="ko-KR"/>
        </w:rPr>
        <w:t>«</w:t>
      </w:r>
      <w:r w:rsidR="00C9687D" w:rsidRPr="002715F2">
        <w:rPr>
          <w:rFonts w:eastAsia="Malgun Gothic"/>
          <w:kern w:val="2"/>
          <w:lang w:val="fr-FR" w:eastAsia="ko-KR"/>
        </w:rPr>
        <w:t>conjointe</w:t>
      </w:r>
      <w:r w:rsidR="00E97B1A" w:rsidRPr="002715F2">
        <w:rPr>
          <w:rFonts w:eastAsia="Malgun Gothic"/>
          <w:kern w:val="2"/>
          <w:lang w:val="fr-FR" w:eastAsia="ko-KR"/>
        </w:rPr>
        <w:t>»</w:t>
      </w:r>
      <w:r w:rsidR="00C9687D" w:rsidRPr="002715F2">
        <w:rPr>
          <w:rFonts w:eastAsia="Malgun Gothic"/>
          <w:kern w:val="2"/>
          <w:lang w:val="fr-FR" w:eastAsia="ko-KR"/>
        </w:rPr>
        <w:t xml:space="preserve"> </w:t>
      </w:r>
      <w:r w:rsidR="008A5B34" w:rsidRPr="002715F2">
        <w:rPr>
          <w:rFonts w:eastAsia="Malgun Gothic"/>
          <w:kern w:val="2"/>
          <w:lang w:val="fr-FR" w:eastAsia="ko-KR"/>
        </w:rPr>
        <w:t>puisse en être victime</w:t>
      </w:r>
      <w:r w:rsidR="000078DA" w:rsidRPr="002715F2">
        <w:rPr>
          <w:rFonts w:eastAsia="Malgun Gothic"/>
          <w:kern w:val="2"/>
          <w:lang w:val="fr-FR" w:eastAsia="ko-KR"/>
        </w:rPr>
        <w:t xml:space="preserve">. </w:t>
      </w:r>
      <w:r w:rsidR="00C9687D" w:rsidRPr="002715F2">
        <w:rPr>
          <w:rFonts w:eastAsia="Malgun Gothic"/>
          <w:kern w:val="2"/>
          <w:lang w:val="fr-FR" w:eastAsia="ko-KR"/>
        </w:rPr>
        <w:t>Dans la pratique, la Cour suprême a statué qu’un mari qui for</w:t>
      </w:r>
      <w:r w:rsidR="006A0BAC" w:rsidRPr="002715F2">
        <w:rPr>
          <w:rFonts w:eastAsia="Malgun Gothic"/>
          <w:kern w:val="2"/>
          <w:lang w:val="fr-FR" w:eastAsia="ko-KR"/>
        </w:rPr>
        <w:t>çait</w:t>
      </w:r>
      <w:r w:rsidR="00C9687D" w:rsidRPr="002715F2">
        <w:rPr>
          <w:rFonts w:eastAsia="Malgun Gothic"/>
          <w:kern w:val="2"/>
          <w:lang w:val="fr-FR" w:eastAsia="ko-KR"/>
        </w:rPr>
        <w:t xml:space="preserve"> son épouse </w:t>
      </w:r>
      <w:r w:rsidR="006A0BAC" w:rsidRPr="002715F2">
        <w:rPr>
          <w:rFonts w:eastAsia="Malgun Gothic"/>
          <w:kern w:val="2"/>
          <w:lang w:val="fr-FR" w:eastAsia="ko-KR"/>
        </w:rPr>
        <w:t>à</w:t>
      </w:r>
      <w:r w:rsidR="00C9687D" w:rsidRPr="002715F2">
        <w:rPr>
          <w:rFonts w:eastAsia="Malgun Gothic"/>
          <w:kern w:val="2"/>
          <w:lang w:val="fr-FR" w:eastAsia="ko-KR"/>
        </w:rPr>
        <w:t xml:space="preserve"> avoir des rapports sexuels avec lui</w:t>
      </w:r>
      <w:r w:rsidR="006A0BAC" w:rsidRPr="002715F2">
        <w:rPr>
          <w:rFonts w:eastAsia="Malgun Gothic"/>
          <w:kern w:val="2"/>
          <w:lang w:val="fr-FR" w:eastAsia="ko-KR"/>
        </w:rPr>
        <w:t>,</w:t>
      </w:r>
      <w:r w:rsidR="00C9687D" w:rsidRPr="002715F2">
        <w:rPr>
          <w:rFonts w:eastAsia="Malgun Gothic"/>
          <w:kern w:val="2"/>
          <w:lang w:val="fr-FR" w:eastAsia="ko-KR"/>
        </w:rPr>
        <w:t xml:space="preserve"> </w:t>
      </w:r>
      <w:r w:rsidR="006A0BAC" w:rsidRPr="002715F2">
        <w:rPr>
          <w:rFonts w:eastAsia="Malgun Gothic"/>
          <w:kern w:val="2"/>
          <w:lang w:val="fr-FR" w:eastAsia="ko-KR"/>
        </w:rPr>
        <w:t>en</w:t>
      </w:r>
      <w:r w:rsidR="00C9687D" w:rsidRPr="002715F2">
        <w:rPr>
          <w:rFonts w:eastAsia="Malgun Gothic"/>
          <w:kern w:val="2"/>
          <w:lang w:val="fr-FR" w:eastAsia="ko-KR"/>
        </w:rPr>
        <w:t xml:space="preserve"> </w:t>
      </w:r>
      <w:r w:rsidR="006A0BAC" w:rsidRPr="002715F2">
        <w:rPr>
          <w:rFonts w:eastAsia="Malgun Gothic"/>
          <w:kern w:val="2"/>
          <w:lang w:val="fr-FR" w:eastAsia="ko-KR"/>
        </w:rPr>
        <w:t>en ayant recours</w:t>
      </w:r>
      <w:r w:rsidR="00C9687D" w:rsidRPr="002715F2">
        <w:rPr>
          <w:rFonts w:eastAsia="Malgun Gothic"/>
          <w:kern w:val="2"/>
          <w:lang w:val="fr-FR" w:eastAsia="ko-KR"/>
        </w:rPr>
        <w:t xml:space="preserve"> </w:t>
      </w:r>
      <w:r w:rsidR="006A0BAC" w:rsidRPr="002715F2">
        <w:rPr>
          <w:rFonts w:eastAsia="Malgun Gothic"/>
          <w:kern w:val="2"/>
          <w:lang w:val="fr-FR" w:eastAsia="ko-KR"/>
        </w:rPr>
        <w:t xml:space="preserve">à des </w:t>
      </w:r>
      <w:r w:rsidR="00C9687D" w:rsidRPr="002715F2">
        <w:rPr>
          <w:rFonts w:eastAsia="Malgun Gothic"/>
          <w:kern w:val="2"/>
          <w:lang w:val="fr-FR" w:eastAsia="ko-KR"/>
        </w:rPr>
        <w:t xml:space="preserve">menaces et </w:t>
      </w:r>
      <w:r w:rsidR="006A0BAC" w:rsidRPr="002715F2">
        <w:rPr>
          <w:rFonts w:eastAsia="Malgun Gothic"/>
          <w:kern w:val="2"/>
          <w:lang w:val="fr-FR" w:eastAsia="ko-KR"/>
        </w:rPr>
        <w:t xml:space="preserve">des </w:t>
      </w:r>
      <w:r w:rsidR="00C9687D" w:rsidRPr="002715F2">
        <w:rPr>
          <w:rFonts w:eastAsia="Malgun Gothic"/>
          <w:kern w:val="2"/>
          <w:lang w:val="fr-FR" w:eastAsia="ko-KR"/>
        </w:rPr>
        <w:t xml:space="preserve">violences </w:t>
      </w:r>
      <w:r w:rsidR="006A0BAC" w:rsidRPr="002715F2">
        <w:rPr>
          <w:rFonts w:eastAsia="Malgun Gothic"/>
          <w:kern w:val="2"/>
          <w:lang w:val="fr-FR" w:eastAsia="ko-KR"/>
        </w:rPr>
        <w:t>pour briser sa résistance, devait être</w:t>
      </w:r>
      <w:r w:rsidR="00C9687D" w:rsidRPr="002715F2">
        <w:rPr>
          <w:rFonts w:eastAsia="Malgun Gothic"/>
          <w:kern w:val="2"/>
          <w:lang w:val="fr-FR" w:eastAsia="ko-KR"/>
        </w:rPr>
        <w:t xml:space="preserve"> reconnu coupable de viol </w:t>
      </w:r>
      <w:r w:rsidR="000078DA" w:rsidRPr="002715F2">
        <w:rPr>
          <w:rFonts w:eastAsia="Malgun Gothic"/>
          <w:kern w:val="2"/>
          <w:lang w:val="fr-FR" w:eastAsia="ko-KR"/>
        </w:rPr>
        <w:t xml:space="preserve">(2012Do14788). </w:t>
      </w:r>
      <w:r w:rsidR="00C9687D" w:rsidRPr="002715F2">
        <w:rPr>
          <w:rFonts w:eastAsia="Malgun Gothic"/>
          <w:kern w:val="2"/>
          <w:lang w:val="fr-FR" w:eastAsia="ko-KR"/>
        </w:rPr>
        <w:t>À cet égard,</w:t>
      </w:r>
      <w:r w:rsidR="006E3C14" w:rsidRPr="002715F2">
        <w:rPr>
          <w:rFonts w:eastAsia="Malgun Gothic"/>
          <w:kern w:val="2"/>
          <w:lang w:val="fr-FR" w:eastAsia="ko-KR"/>
        </w:rPr>
        <w:t xml:space="preserve"> il conviendra de</w:t>
      </w:r>
      <w:r w:rsidR="00C9687D" w:rsidRPr="002715F2">
        <w:rPr>
          <w:rFonts w:eastAsia="Malgun Gothic"/>
          <w:kern w:val="2"/>
          <w:lang w:val="fr-FR" w:eastAsia="ko-KR"/>
        </w:rPr>
        <w:t xml:space="preserve"> </w:t>
      </w:r>
      <w:r w:rsidR="006E3C14" w:rsidRPr="002715F2">
        <w:rPr>
          <w:rFonts w:eastAsia="Malgun Gothic"/>
          <w:kern w:val="2"/>
          <w:lang w:val="fr-FR" w:eastAsia="ko-KR"/>
        </w:rPr>
        <w:t xml:space="preserve">réexaminer </w:t>
      </w:r>
      <w:r w:rsidR="00C9687D" w:rsidRPr="002715F2">
        <w:rPr>
          <w:rFonts w:eastAsia="Malgun Gothic"/>
          <w:kern w:val="2"/>
          <w:lang w:val="fr-FR" w:eastAsia="ko-KR"/>
        </w:rPr>
        <w:t>la série de recommandations formulées par les instruments internationaux relatifs aux droits de l</w:t>
      </w:r>
      <w:r w:rsidR="006A0BAC" w:rsidRPr="002715F2">
        <w:rPr>
          <w:rFonts w:eastAsia="Malgun Gothic"/>
          <w:kern w:val="2"/>
          <w:lang w:val="fr-FR" w:eastAsia="ko-KR"/>
        </w:rPr>
        <w:t>’</w:t>
      </w:r>
      <w:r w:rsidR="00C9687D" w:rsidRPr="002715F2">
        <w:rPr>
          <w:rFonts w:eastAsia="Malgun Gothic"/>
          <w:kern w:val="2"/>
          <w:lang w:val="fr-FR" w:eastAsia="ko-KR"/>
        </w:rPr>
        <w:t xml:space="preserve">homme </w:t>
      </w:r>
      <w:r w:rsidR="006B180E" w:rsidRPr="002715F2">
        <w:rPr>
          <w:rFonts w:eastAsia="Malgun Gothic"/>
          <w:kern w:val="2"/>
          <w:lang w:val="fr-FR" w:eastAsia="ko-KR"/>
        </w:rPr>
        <w:t>s’agissant d’</w:t>
      </w:r>
      <w:r w:rsidR="00C9687D" w:rsidRPr="002715F2">
        <w:rPr>
          <w:rFonts w:eastAsia="Malgun Gothic"/>
          <w:kern w:val="2"/>
          <w:lang w:val="fr-FR" w:eastAsia="ko-KR"/>
        </w:rPr>
        <w:t>ériger le viol conjugal en infraction pénale</w:t>
      </w:r>
      <w:r w:rsidR="000078DA" w:rsidRPr="002715F2">
        <w:rPr>
          <w:rStyle w:val="FootnoteReference"/>
          <w:rFonts w:eastAsia="Malgun Gothic"/>
          <w:lang w:val="fr-FR"/>
        </w:rPr>
        <w:footnoteReference w:id="8"/>
      </w:r>
      <w:r w:rsidR="00C9687D" w:rsidRPr="002715F2">
        <w:rPr>
          <w:rFonts w:eastAsia="Malgun Gothic"/>
          <w:kern w:val="2"/>
          <w:lang w:val="fr-FR" w:eastAsia="ko-KR"/>
        </w:rPr>
        <w:t>.</w:t>
      </w:r>
      <w:r w:rsidR="000078DA" w:rsidRPr="002715F2">
        <w:rPr>
          <w:rFonts w:eastAsia="Malgun Gothic"/>
          <w:kern w:val="2"/>
          <w:lang w:val="fr-FR" w:eastAsia="ko-KR"/>
        </w:rPr>
        <w:t xml:space="preserve"> </w:t>
      </w:r>
      <w:r w:rsidR="006A0BAC" w:rsidRPr="002715F2">
        <w:rPr>
          <w:rFonts w:eastAsia="Malgun Gothic"/>
          <w:kern w:val="2"/>
          <w:lang w:val="fr-FR" w:eastAsia="ko-KR"/>
        </w:rPr>
        <w:t>Dans l’intervalle</w:t>
      </w:r>
      <w:r w:rsidR="000078DA" w:rsidRPr="002715F2">
        <w:rPr>
          <w:rFonts w:eastAsia="Malgun Gothic"/>
          <w:kern w:val="2"/>
          <w:lang w:val="fr-FR" w:eastAsia="ko-KR"/>
        </w:rPr>
        <w:t xml:space="preserve">, </w:t>
      </w:r>
      <w:r w:rsidR="00C9687D" w:rsidRPr="002715F2">
        <w:rPr>
          <w:rFonts w:eastAsia="Malgun Gothic"/>
          <w:kern w:val="2"/>
          <w:lang w:val="fr-FR" w:eastAsia="ko-KR"/>
        </w:rPr>
        <w:t xml:space="preserve">le </w:t>
      </w:r>
      <w:r w:rsidR="00B70AA8" w:rsidRPr="002715F2">
        <w:rPr>
          <w:rFonts w:eastAsia="Malgun Gothic"/>
          <w:kern w:val="2"/>
          <w:lang w:val="fr-FR" w:eastAsia="ko-KR"/>
        </w:rPr>
        <w:t>C</w:t>
      </w:r>
      <w:r w:rsidR="00C9687D" w:rsidRPr="002715F2">
        <w:rPr>
          <w:rFonts w:eastAsia="Malgun Gothic"/>
          <w:kern w:val="2"/>
          <w:lang w:val="fr-FR" w:eastAsia="ko-KR"/>
        </w:rPr>
        <w:t>o</w:t>
      </w:r>
      <w:r w:rsidR="006A0BAC" w:rsidRPr="002715F2">
        <w:rPr>
          <w:rFonts w:eastAsia="Malgun Gothic"/>
          <w:kern w:val="2"/>
          <w:lang w:val="fr-FR" w:eastAsia="ko-KR"/>
        </w:rPr>
        <w:t>d</w:t>
      </w:r>
      <w:r w:rsidR="00C9687D" w:rsidRPr="002715F2">
        <w:rPr>
          <w:rFonts w:eastAsia="Malgun Gothic"/>
          <w:kern w:val="2"/>
          <w:lang w:val="fr-FR" w:eastAsia="ko-KR"/>
        </w:rPr>
        <w:t xml:space="preserve">e </w:t>
      </w:r>
      <w:r w:rsidR="005C6D8E" w:rsidRPr="002715F2">
        <w:rPr>
          <w:rFonts w:eastAsia="Malgun Gothic"/>
          <w:kern w:val="2"/>
          <w:lang w:val="fr-FR" w:eastAsia="ko-KR"/>
        </w:rPr>
        <w:t>pénal</w:t>
      </w:r>
      <w:r w:rsidR="00C9687D" w:rsidRPr="002715F2">
        <w:rPr>
          <w:rFonts w:eastAsia="Malgun Gothic"/>
          <w:kern w:val="2"/>
          <w:lang w:val="fr-FR" w:eastAsia="ko-KR"/>
        </w:rPr>
        <w:t xml:space="preserve"> a été modifié le 18</w:t>
      </w:r>
      <w:r w:rsidR="00B70AA8" w:rsidRPr="002715F2">
        <w:rPr>
          <w:rFonts w:eastAsia="Malgun Gothic"/>
          <w:kern w:val="2"/>
          <w:lang w:val="fr-FR" w:eastAsia="ko-KR"/>
        </w:rPr>
        <w:t> </w:t>
      </w:r>
      <w:r w:rsidR="00C9687D" w:rsidRPr="002715F2">
        <w:rPr>
          <w:rFonts w:eastAsia="Malgun Gothic"/>
          <w:kern w:val="2"/>
          <w:lang w:val="fr-FR" w:eastAsia="ko-KR"/>
        </w:rPr>
        <w:t xml:space="preserve">décembre 2012 </w:t>
      </w:r>
      <w:r w:rsidR="006E3C14" w:rsidRPr="002715F2">
        <w:rPr>
          <w:rFonts w:eastAsia="Malgun Gothic"/>
          <w:kern w:val="2"/>
          <w:lang w:val="fr-FR" w:eastAsia="ko-KR"/>
        </w:rPr>
        <w:t>afin</w:t>
      </w:r>
      <w:r w:rsidR="00C9687D" w:rsidRPr="002715F2">
        <w:rPr>
          <w:rFonts w:eastAsia="Malgun Gothic"/>
          <w:kern w:val="2"/>
          <w:lang w:val="fr-FR" w:eastAsia="ko-KR"/>
        </w:rPr>
        <w:t xml:space="preserve"> que </w:t>
      </w:r>
      <w:r w:rsidR="00B70AA8" w:rsidRPr="002715F2">
        <w:rPr>
          <w:rFonts w:eastAsia="Malgun Gothic"/>
          <w:kern w:val="2"/>
          <w:lang w:val="fr-FR" w:eastAsia="ko-KR"/>
        </w:rPr>
        <w:t>la</w:t>
      </w:r>
      <w:r w:rsidR="00C9687D" w:rsidRPr="002715F2">
        <w:rPr>
          <w:rFonts w:eastAsia="Malgun Gothic"/>
          <w:kern w:val="2"/>
          <w:lang w:val="fr-FR" w:eastAsia="ko-KR"/>
        </w:rPr>
        <w:t xml:space="preserve"> victime </w:t>
      </w:r>
      <w:r w:rsidR="00415D90" w:rsidRPr="002715F2">
        <w:rPr>
          <w:rFonts w:eastAsia="Malgun Gothic"/>
          <w:kern w:val="2"/>
          <w:lang w:val="fr-FR" w:eastAsia="ko-KR"/>
        </w:rPr>
        <w:t xml:space="preserve">de violences </w:t>
      </w:r>
      <w:r w:rsidR="00C9687D" w:rsidRPr="002715F2">
        <w:rPr>
          <w:rFonts w:eastAsia="Malgun Gothic"/>
          <w:kern w:val="2"/>
          <w:lang w:val="fr-FR" w:eastAsia="ko-KR"/>
        </w:rPr>
        <w:t>sexuelle</w:t>
      </w:r>
      <w:r w:rsidR="00415D90" w:rsidRPr="002715F2">
        <w:rPr>
          <w:rFonts w:eastAsia="Malgun Gothic"/>
          <w:kern w:val="2"/>
          <w:lang w:val="fr-FR" w:eastAsia="ko-KR"/>
        </w:rPr>
        <w:t>s</w:t>
      </w:r>
      <w:r w:rsidR="006A0BAC" w:rsidRPr="002715F2">
        <w:rPr>
          <w:rFonts w:eastAsia="Malgun Gothic"/>
          <w:kern w:val="2"/>
          <w:lang w:val="fr-FR" w:eastAsia="ko-KR"/>
        </w:rPr>
        <w:t>,</w:t>
      </w:r>
      <w:r w:rsidR="00C9687D" w:rsidRPr="002715F2">
        <w:rPr>
          <w:rFonts w:eastAsia="Malgun Gothic"/>
          <w:kern w:val="2"/>
          <w:lang w:val="fr-FR" w:eastAsia="ko-KR"/>
        </w:rPr>
        <w:t xml:space="preserve"> </w:t>
      </w:r>
      <w:r w:rsidR="00B70AA8" w:rsidRPr="002715F2">
        <w:rPr>
          <w:rFonts w:eastAsia="Malgun Gothic"/>
          <w:kern w:val="2"/>
          <w:lang w:val="fr-FR" w:eastAsia="ko-KR"/>
        </w:rPr>
        <w:t>notamment de</w:t>
      </w:r>
      <w:r w:rsidR="00C9687D" w:rsidRPr="002715F2">
        <w:rPr>
          <w:rFonts w:eastAsia="Malgun Gothic"/>
          <w:kern w:val="2"/>
          <w:lang w:val="fr-FR" w:eastAsia="ko-KR"/>
        </w:rPr>
        <w:t xml:space="preserve"> viol</w:t>
      </w:r>
      <w:r w:rsidR="006A0BAC" w:rsidRPr="002715F2">
        <w:rPr>
          <w:rFonts w:eastAsia="Malgun Gothic"/>
          <w:kern w:val="2"/>
          <w:lang w:val="fr-FR" w:eastAsia="ko-KR"/>
        </w:rPr>
        <w:t>,</w:t>
      </w:r>
      <w:r w:rsidR="00C9687D" w:rsidRPr="002715F2">
        <w:rPr>
          <w:rFonts w:eastAsia="Malgun Gothic"/>
          <w:kern w:val="2"/>
          <w:lang w:val="fr-FR" w:eastAsia="ko-KR"/>
        </w:rPr>
        <w:t xml:space="preserve"> ne soit plus </w:t>
      </w:r>
      <w:r w:rsidR="005C6D8E" w:rsidRPr="002715F2">
        <w:rPr>
          <w:rFonts w:eastAsia="Malgun Gothic"/>
          <w:kern w:val="2"/>
          <w:lang w:val="fr-FR" w:eastAsia="ko-KR"/>
        </w:rPr>
        <w:t>définie</w:t>
      </w:r>
      <w:r w:rsidR="00C9687D" w:rsidRPr="002715F2">
        <w:rPr>
          <w:rFonts w:eastAsia="Malgun Gothic"/>
          <w:kern w:val="2"/>
          <w:lang w:val="fr-FR" w:eastAsia="ko-KR"/>
        </w:rPr>
        <w:t xml:space="preserve"> comme </w:t>
      </w:r>
      <w:r w:rsidR="005C6D8E" w:rsidRPr="002715F2">
        <w:rPr>
          <w:rFonts w:eastAsia="Malgun Gothic"/>
          <w:kern w:val="2"/>
          <w:lang w:val="fr-FR" w:eastAsia="ko-KR"/>
        </w:rPr>
        <w:t xml:space="preserve">étant </w:t>
      </w:r>
      <w:r w:rsidR="00C9687D" w:rsidRPr="002715F2">
        <w:rPr>
          <w:rFonts w:eastAsia="Malgun Gothic"/>
          <w:kern w:val="2"/>
          <w:lang w:val="fr-FR" w:eastAsia="ko-KR"/>
        </w:rPr>
        <w:t xml:space="preserve">une </w:t>
      </w:r>
      <w:r w:rsidR="00E97B1A" w:rsidRPr="002715F2">
        <w:rPr>
          <w:rFonts w:eastAsia="Malgun Gothic"/>
          <w:kern w:val="2"/>
          <w:lang w:val="fr-FR" w:eastAsia="ko-KR"/>
        </w:rPr>
        <w:t>«</w:t>
      </w:r>
      <w:r w:rsidR="00C9687D" w:rsidRPr="002715F2">
        <w:rPr>
          <w:rFonts w:eastAsia="Malgun Gothic"/>
          <w:kern w:val="2"/>
          <w:lang w:val="fr-FR" w:eastAsia="ko-KR"/>
        </w:rPr>
        <w:t>femme</w:t>
      </w:r>
      <w:r w:rsidR="00E97B1A" w:rsidRPr="002715F2">
        <w:rPr>
          <w:rFonts w:eastAsia="Malgun Gothic"/>
          <w:kern w:val="2"/>
          <w:lang w:val="fr-FR" w:eastAsia="ko-KR"/>
        </w:rPr>
        <w:t>»</w:t>
      </w:r>
      <w:r w:rsidR="00C9687D" w:rsidRPr="002715F2">
        <w:rPr>
          <w:rFonts w:eastAsia="Malgun Gothic"/>
          <w:kern w:val="2"/>
          <w:lang w:val="fr-FR" w:eastAsia="ko-KR"/>
        </w:rPr>
        <w:t xml:space="preserve"> mais une </w:t>
      </w:r>
      <w:r w:rsidR="00E97B1A" w:rsidRPr="002715F2">
        <w:rPr>
          <w:rFonts w:eastAsia="Malgun Gothic"/>
          <w:kern w:val="2"/>
          <w:lang w:val="fr-FR" w:eastAsia="ko-KR"/>
        </w:rPr>
        <w:t>«</w:t>
      </w:r>
      <w:r w:rsidR="00C9687D" w:rsidRPr="002715F2">
        <w:rPr>
          <w:rFonts w:eastAsia="Malgun Gothic"/>
          <w:kern w:val="2"/>
          <w:lang w:val="fr-FR" w:eastAsia="ko-KR"/>
        </w:rPr>
        <w:t>personne</w:t>
      </w:r>
      <w:r w:rsidR="00E97B1A" w:rsidRPr="002715F2">
        <w:rPr>
          <w:rFonts w:eastAsia="Malgun Gothic"/>
          <w:kern w:val="2"/>
          <w:lang w:val="fr-FR" w:eastAsia="ko-KR"/>
        </w:rPr>
        <w:t>»</w:t>
      </w:r>
      <w:r w:rsidR="00C9687D" w:rsidRPr="002715F2">
        <w:rPr>
          <w:rFonts w:eastAsia="Malgun Gothic"/>
          <w:kern w:val="2"/>
          <w:lang w:val="fr-FR" w:eastAsia="ko-KR"/>
        </w:rPr>
        <w:t>.</w:t>
      </w:r>
      <w:r w:rsidR="000078DA" w:rsidRPr="002715F2">
        <w:rPr>
          <w:rFonts w:eastAsia="Malgun Gothic"/>
          <w:kern w:val="2"/>
          <w:lang w:val="fr-FR" w:eastAsia="ko-KR"/>
        </w:rPr>
        <w:t xml:space="preserve"> </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3775E2" w:rsidRPr="002715F2">
        <w:rPr>
          <w:rFonts w:eastAsia="Batang"/>
          <w:lang w:val="fr-FR" w:eastAsia="ko-KR"/>
        </w:rPr>
        <w:t>Gestion</w:t>
      </w:r>
      <w:r w:rsidR="006A0BAC" w:rsidRPr="002715F2">
        <w:rPr>
          <w:rFonts w:eastAsia="Batang"/>
          <w:lang w:val="fr-FR" w:eastAsia="ko-KR"/>
        </w:rPr>
        <w:t xml:space="preserve"> des cas de violences familiales ou sexuelles</w:t>
      </w:r>
    </w:p>
    <w:p w:rsidR="000078DA" w:rsidRPr="002715F2" w:rsidRDefault="007026FB" w:rsidP="007026FB">
      <w:pPr>
        <w:pStyle w:val="SingleTxtG"/>
        <w:rPr>
          <w:rFonts w:eastAsia="Gulim"/>
          <w:lang w:val="fr-FR" w:eastAsia="ko-KR"/>
        </w:rPr>
      </w:pPr>
      <w:r w:rsidRPr="002715F2">
        <w:rPr>
          <w:rFonts w:eastAsia="Gulim"/>
          <w:lang w:val="fr-FR" w:eastAsia="ko-KR"/>
        </w:rPr>
        <w:t>42.</w:t>
      </w:r>
      <w:r w:rsidRPr="002715F2">
        <w:rPr>
          <w:rFonts w:eastAsia="Gulim"/>
          <w:lang w:val="fr-FR" w:eastAsia="ko-KR"/>
        </w:rPr>
        <w:tab/>
      </w:r>
      <w:r w:rsidR="00336824" w:rsidRPr="002715F2">
        <w:rPr>
          <w:rFonts w:eastAsia="Gulim"/>
          <w:lang w:val="fr-FR" w:eastAsia="ko-KR"/>
        </w:rPr>
        <w:t>L</w:t>
      </w:r>
      <w:r w:rsidR="0037535F" w:rsidRPr="002715F2">
        <w:rPr>
          <w:rFonts w:eastAsia="Gulim"/>
          <w:lang w:val="fr-FR" w:eastAsia="ko-KR"/>
        </w:rPr>
        <w:t>e</w:t>
      </w:r>
      <w:r w:rsidR="000B576E" w:rsidRPr="002715F2">
        <w:rPr>
          <w:rFonts w:eastAsia="Gulim"/>
          <w:lang w:val="fr-FR" w:eastAsia="ko-KR"/>
        </w:rPr>
        <w:t xml:space="preserve"> Gouvernement a déployé des efforts pour </w:t>
      </w:r>
      <w:r w:rsidR="00415D90" w:rsidRPr="002715F2">
        <w:rPr>
          <w:rFonts w:eastAsia="Gulim"/>
          <w:lang w:val="fr-FR" w:eastAsia="ko-KR"/>
        </w:rPr>
        <w:t xml:space="preserve">que </w:t>
      </w:r>
      <w:r w:rsidR="000B576E" w:rsidRPr="002715F2">
        <w:rPr>
          <w:rFonts w:eastAsia="Gulim"/>
          <w:lang w:val="fr-FR" w:eastAsia="ko-KR"/>
        </w:rPr>
        <w:t>les auteurs de violence</w:t>
      </w:r>
      <w:r w:rsidR="00415D90" w:rsidRPr="002715F2">
        <w:rPr>
          <w:rFonts w:eastAsia="Gulim"/>
          <w:lang w:val="fr-FR" w:eastAsia="ko-KR"/>
        </w:rPr>
        <w:t>s</w:t>
      </w:r>
      <w:r w:rsidR="000B576E" w:rsidRPr="002715F2">
        <w:rPr>
          <w:rFonts w:eastAsia="Gulim"/>
          <w:lang w:val="fr-FR" w:eastAsia="ko-KR"/>
        </w:rPr>
        <w:t xml:space="preserve"> familiale</w:t>
      </w:r>
      <w:r w:rsidR="00415D90" w:rsidRPr="002715F2">
        <w:rPr>
          <w:rFonts w:eastAsia="Gulim"/>
          <w:lang w:val="fr-FR" w:eastAsia="ko-KR"/>
        </w:rPr>
        <w:t>s soient sévèrement sanctionnés</w:t>
      </w:r>
      <w:r w:rsidR="00891CB4" w:rsidRPr="002715F2">
        <w:rPr>
          <w:rFonts w:eastAsia="Gulim"/>
          <w:lang w:val="fr-FR" w:eastAsia="ko-KR"/>
        </w:rPr>
        <w:t>,</w:t>
      </w:r>
      <w:r w:rsidR="000B576E" w:rsidRPr="002715F2">
        <w:rPr>
          <w:rFonts w:eastAsia="Gulim"/>
          <w:lang w:val="fr-FR" w:eastAsia="ko-KR"/>
        </w:rPr>
        <w:t xml:space="preserve"> </w:t>
      </w:r>
      <w:r w:rsidR="00336824" w:rsidRPr="002715F2">
        <w:rPr>
          <w:rFonts w:eastAsia="Gulim"/>
          <w:lang w:val="fr-FR" w:eastAsia="ko-KR"/>
        </w:rPr>
        <w:t>tout en autorisant</w:t>
      </w:r>
      <w:r w:rsidR="0037535F" w:rsidRPr="002715F2">
        <w:rPr>
          <w:rFonts w:eastAsia="Gulim"/>
          <w:lang w:val="fr-FR" w:eastAsia="ko-KR"/>
        </w:rPr>
        <w:t xml:space="preserve"> la suspension des poursuites </w:t>
      </w:r>
      <w:r w:rsidR="0037535F" w:rsidRPr="002715F2">
        <w:rPr>
          <w:rFonts w:ascii="TimesNewRomanPSMT" w:hAnsi="TimesNewRomanPSMT" w:cs="TimesNewRomanPSMT"/>
          <w:lang w:val="fr-FR" w:eastAsia="en-GB"/>
        </w:rPr>
        <w:t>sous réserve qu’ils fassent l’objet d’une prise en charge psychologique</w:t>
      </w:r>
      <w:r w:rsidR="0037535F" w:rsidRPr="002715F2">
        <w:rPr>
          <w:rFonts w:eastAsia="Gulim"/>
          <w:lang w:val="fr-FR" w:eastAsia="ko-KR"/>
        </w:rPr>
        <w:t xml:space="preserve">. Les </w:t>
      </w:r>
      <w:r w:rsidR="000B576E" w:rsidRPr="002715F2">
        <w:rPr>
          <w:rFonts w:eastAsia="Gulim"/>
          <w:lang w:val="fr-FR" w:eastAsia="ko-KR"/>
        </w:rPr>
        <w:t xml:space="preserve">cas de violence domestique </w:t>
      </w:r>
      <w:r w:rsidR="0037535F" w:rsidRPr="002715F2">
        <w:rPr>
          <w:rFonts w:eastAsia="Gulim"/>
          <w:lang w:val="fr-FR" w:eastAsia="ko-KR"/>
        </w:rPr>
        <w:t xml:space="preserve">sont considérés </w:t>
      </w:r>
      <w:r w:rsidR="000B576E" w:rsidRPr="002715F2">
        <w:rPr>
          <w:rFonts w:eastAsia="Gulim"/>
          <w:lang w:val="fr-FR" w:eastAsia="ko-KR"/>
        </w:rPr>
        <w:t xml:space="preserve">comme des </w:t>
      </w:r>
      <w:r w:rsidR="00E97B1A" w:rsidRPr="002715F2">
        <w:rPr>
          <w:rFonts w:eastAsia="Gulim"/>
          <w:lang w:val="fr-FR" w:eastAsia="ko-KR"/>
        </w:rPr>
        <w:t>«</w:t>
      </w:r>
      <w:r w:rsidR="000B576E" w:rsidRPr="002715F2">
        <w:rPr>
          <w:rFonts w:eastAsia="Gulim"/>
          <w:lang w:val="fr-FR" w:eastAsia="ko-KR"/>
        </w:rPr>
        <w:t>affaires de protection famil</w:t>
      </w:r>
      <w:r w:rsidR="0037535F" w:rsidRPr="002715F2">
        <w:rPr>
          <w:rFonts w:eastAsia="Gulim"/>
          <w:lang w:val="fr-FR" w:eastAsia="ko-KR"/>
        </w:rPr>
        <w:t>iale</w:t>
      </w:r>
      <w:r w:rsidR="00E97B1A" w:rsidRPr="002715F2">
        <w:rPr>
          <w:rFonts w:eastAsia="Gulim"/>
          <w:lang w:val="fr-FR" w:eastAsia="ko-KR"/>
        </w:rPr>
        <w:t>»</w:t>
      </w:r>
      <w:r w:rsidR="000B576E" w:rsidRPr="002715F2">
        <w:rPr>
          <w:rFonts w:eastAsia="Gulim"/>
          <w:lang w:val="fr-FR" w:eastAsia="ko-KR"/>
        </w:rPr>
        <w:t xml:space="preserve"> et</w:t>
      </w:r>
      <w:r w:rsidR="0037535F" w:rsidRPr="002715F2">
        <w:rPr>
          <w:rFonts w:eastAsia="Gulim"/>
          <w:lang w:val="fr-FR" w:eastAsia="ko-KR"/>
        </w:rPr>
        <w:t xml:space="preserve"> les </w:t>
      </w:r>
      <w:r w:rsidR="00336824" w:rsidRPr="002715F2">
        <w:rPr>
          <w:rFonts w:eastAsia="Gulim"/>
          <w:lang w:val="fr-FR" w:eastAsia="ko-KR"/>
        </w:rPr>
        <w:t xml:space="preserve">programmes de traitement et d’accompagnement psychologique </w:t>
      </w:r>
      <w:r w:rsidR="0037535F" w:rsidRPr="002715F2">
        <w:rPr>
          <w:rFonts w:eastAsia="Gulim"/>
          <w:lang w:val="fr-FR" w:eastAsia="ko-KR"/>
        </w:rPr>
        <w:t>des délinquants ont été renforcés afin de tenir compte de l’opinion des victimes</w:t>
      </w:r>
      <w:r w:rsidR="000078DA" w:rsidRPr="002715F2">
        <w:rPr>
          <w:rFonts w:eastAsia="Gulim"/>
          <w:lang w:val="fr-FR" w:eastAsia="ko-KR"/>
        </w:rPr>
        <w:t xml:space="preserve">. </w:t>
      </w:r>
      <w:r w:rsidR="000B576E" w:rsidRPr="002715F2">
        <w:rPr>
          <w:rFonts w:eastAsia="Malgun Gothic"/>
          <w:kern w:val="2"/>
          <w:szCs w:val="22"/>
          <w:lang w:val="fr-FR" w:eastAsia="ko-KR"/>
        </w:rPr>
        <w:t xml:space="preserve">S’agissant des </w:t>
      </w:r>
      <w:r w:rsidR="00E97B1A" w:rsidRPr="002715F2">
        <w:rPr>
          <w:rFonts w:eastAsia="Gulim"/>
          <w:lang w:val="fr-FR" w:eastAsia="ko-KR"/>
        </w:rPr>
        <w:t>«</w:t>
      </w:r>
      <w:r w:rsidR="000B576E" w:rsidRPr="002715F2">
        <w:rPr>
          <w:rFonts w:eastAsia="Gulim"/>
          <w:lang w:val="fr-FR" w:eastAsia="ko-KR"/>
        </w:rPr>
        <w:t xml:space="preserve">affaires de protection </w:t>
      </w:r>
      <w:r w:rsidR="0037535F" w:rsidRPr="002715F2">
        <w:rPr>
          <w:rFonts w:eastAsia="Gulim"/>
          <w:lang w:val="fr-FR" w:eastAsia="ko-KR"/>
        </w:rPr>
        <w:t>familiale</w:t>
      </w:r>
      <w:r w:rsidR="00E97B1A" w:rsidRPr="002715F2">
        <w:rPr>
          <w:rFonts w:eastAsia="Gulim"/>
          <w:lang w:val="fr-FR" w:eastAsia="ko-KR"/>
        </w:rPr>
        <w:t>»</w:t>
      </w:r>
      <w:r w:rsidR="000B576E" w:rsidRPr="002715F2">
        <w:rPr>
          <w:rFonts w:eastAsia="Malgun Gothic"/>
          <w:kern w:val="2"/>
          <w:szCs w:val="22"/>
          <w:lang w:val="fr-FR" w:eastAsia="ko-KR"/>
        </w:rPr>
        <w:t>,</w:t>
      </w:r>
      <w:r w:rsidR="000078DA" w:rsidRPr="002715F2">
        <w:rPr>
          <w:rFonts w:eastAsia="Malgun Gothic"/>
          <w:kern w:val="2"/>
          <w:szCs w:val="22"/>
          <w:lang w:val="fr-FR" w:eastAsia="ko-KR"/>
        </w:rPr>
        <w:t xml:space="preserve"> </w:t>
      </w:r>
      <w:r w:rsidR="00217754" w:rsidRPr="002715F2">
        <w:rPr>
          <w:rFonts w:eastAsia="Malgun Gothic"/>
          <w:kern w:val="2"/>
          <w:szCs w:val="22"/>
          <w:lang w:val="fr-FR" w:eastAsia="ko-KR"/>
        </w:rPr>
        <w:t>des mesures de prot</w:t>
      </w:r>
      <w:r w:rsidR="000B576E" w:rsidRPr="002715F2">
        <w:rPr>
          <w:rFonts w:eastAsia="Malgun Gothic"/>
          <w:kern w:val="2"/>
          <w:szCs w:val="22"/>
          <w:lang w:val="fr-FR" w:eastAsia="ko-KR"/>
        </w:rPr>
        <w:t>ection</w:t>
      </w:r>
      <w:r w:rsidR="00217754" w:rsidRPr="002715F2">
        <w:rPr>
          <w:rFonts w:eastAsia="Malgun Gothic"/>
          <w:kern w:val="2"/>
          <w:szCs w:val="22"/>
          <w:lang w:val="fr-FR" w:eastAsia="ko-KR"/>
        </w:rPr>
        <w:t xml:space="preserve"> de</w:t>
      </w:r>
      <w:r w:rsidR="0037535F" w:rsidRPr="002715F2">
        <w:rPr>
          <w:rFonts w:eastAsia="Malgun Gothic"/>
          <w:kern w:val="2"/>
          <w:szCs w:val="22"/>
          <w:lang w:val="fr-FR" w:eastAsia="ko-KR"/>
        </w:rPr>
        <w:t>s</w:t>
      </w:r>
      <w:r w:rsidR="00217754" w:rsidRPr="002715F2">
        <w:rPr>
          <w:rFonts w:eastAsia="Malgun Gothic"/>
          <w:kern w:val="2"/>
          <w:szCs w:val="22"/>
          <w:lang w:val="fr-FR" w:eastAsia="ko-KR"/>
        </w:rPr>
        <w:t xml:space="preserve"> victime</w:t>
      </w:r>
      <w:r w:rsidR="0037535F" w:rsidRPr="002715F2">
        <w:rPr>
          <w:rFonts w:eastAsia="Malgun Gothic"/>
          <w:kern w:val="2"/>
          <w:szCs w:val="22"/>
          <w:lang w:val="fr-FR" w:eastAsia="ko-KR"/>
        </w:rPr>
        <w:t>s</w:t>
      </w:r>
      <w:r w:rsidR="00EA1CBE" w:rsidRPr="002715F2">
        <w:rPr>
          <w:rFonts w:eastAsia="Malgun Gothic"/>
          <w:kern w:val="2"/>
          <w:szCs w:val="22"/>
          <w:lang w:val="fr-FR" w:eastAsia="ko-KR"/>
        </w:rPr>
        <w:t xml:space="preserve"> sont prises contre les délinquants</w:t>
      </w:r>
      <w:r w:rsidR="000B576E" w:rsidRPr="002715F2">
        <w:rPr>
          <w:rFonts w:eastAsia="Malgun Gothic"/>
          <w:kern w:val="2"/>
          <w:szCs w:val="22"/>
          <w:lang w:val="fr-FR" w:eastAsia="ko-KR"/>
        </w:rPr>
        <w:t xml:space="preserve">, </w:t>
      </w:r>
      <w:r w:rsidR="00EA1CBE" w:rsidRPr="002715F2">
        <w:rPr>
          <w:rFonts w:eastAsia="Malgun Gothic"/>
          <w:kern w:val="2"/>
          <w:szCs w:val="22"/>
          <w:lang w:val="fr-FR" w:eastAsia="ko-KR"/>
        </w:rPr>
        <w:t>par exemple</w:t>
      </w:r>
      <w:r w:rsidR="0037535F" w:rsidRPr="002715F2">
        <w:rPr>
          <w:rFonts w:eastAsia="Malgun Gothic"/>
          <w:kern w:val="2"/>
          <w:szCs w:val="22"/>
          <w:lang w:val="fr-FR" w:eastAsia="ko-KR"/>
        </w:rPr>
        <w:t xml:space="preserve"> des</w:t>
      </w:r>
      <w:r w:rsidR="00217754" w:rsidRPr="002715F2">
        <w:rPr>
          <w:rFonts w:eastAsia="Malgun Gothic"/>
          <w:kern w:val="2"/>
          <w:szCs w:val="22"/>
          <w:lang w:val="fr-FR" w:eastAsia="ko-KR"/>
        </w:rPr>
        <w:t xml:space="preserve"> </w:t>
      </w:r>
      <w:r w:rsidR="00EA1CBE" w:rsidRPr="002715F2">
        <w:rPr>
          <w:rFonts w:eastAsia="Malgun Gothic"/>
          <w:kern w:val="2"/>
          <w:szCs w:val="22"/>
          <w:lang w:val="fr-FR" w:eastAsia="ko-KR"/>
        </w:rPr>
        <w:t>injonctions restrictives</w:t>
      </w:r>
      <w:r w:rsidR="00853EFE" w:rsidRPr="002715F2">
        <w:rPr>
          <w:rFonts w:eastAsia="Malgun Gothic"/>
          <w:kern w:val="2"/>
          <w:szCs w:val="22"/>
          <w:lang w:val="fr-FR" w:eastAsia="ko-KR"/>
        </w:rPr>
        <w:t>,</w:t>
      </w:r>
      <w:r w:rsidR="00EA1CBE" w:rsidRPr="002715F2">
        <w:rPr>
          <w:rFonts w:eastAsia="Malgun Gothic"/>
          <w:kern w:val="2"/>
          <w:szCs w:val="22"/>
          <w:lang w:val="fr-FR" w:eastAsia="ko-KR"/>
        </w:rPr>
        <w:t xml:space="preserve"> </w:t>
      </w:r>
      <w:r w:rsidR="000B576E" w:rsidRPr="002715F2">
        <w:rPr>
          <w:rFonts w:eastAsia="Malgun Gothic"/>
          <w:kern w:val="2"/>
          <w:szCs w:val="22"/>
          <w:lang w:val="fr-FR" w:eastAsia="ko-KR"/>
        </w:rPr>
        <w:t xml:space="preserve">ou </w:t>
      </w:r>
      <w:r w:rsidR="00217754" w:rsidRPr="002715F2">
        <w:rPr>
          <w:rFonts w:eastAsia="Malgun Gothic"/>
          <w:kern w:val="2"/>
          <w:szCs w:val="22"/>
          <w:lang w:val="fr-FR" w:eastAsia="ko-KR"/>
        </w:rPr>
        <w:t>l’</w:t>
      </w:r>
      <w:r w:rsidR="000B576E" w:rsidRPr="002715F2">
        <w:rPr>
          <w:rFonts w:eastAsia="Malgun Gothic"/>
          <w:kern w:val="2"/>
          <w:szCs w:val="22"/>
          <w:lang w:val="fr-FR" w:eastAsia="ko-KR"/>
        </w:rPr>
        <w:t xml:space="preserve">obligation </w:t>
      </w:r>
      <w:r w:rsidR="00217754" w:rsidRPr="002715F2">
        <w:rPr>
          <w:rFonts w:eastAsia="Malgun Gothic"/>
          <w:kern w:val="2"/>
          <w:szCs w:val="22"/>
          <w:lang w:val="fr-FR" w:eastAsia="ko-KR"/>
        </w:rPr>
        <w:t>d’être suivi</w:t>
      </w:r>
      <w:r w:rsidR="00EA1CBE" w:rsidRPr="002715F2">
        <w:rPr>
          <w:rFonts w:eastAsia="Malgun Gothic"/>
          <w:kern w:val="2"/>
          <w:szCs w:val="22"/>
          <w:lang w:val="fr-FR" w:eastAsia="ko-KR"/>
        </w:rPr>
        <w:t>s</w:t>
      </w:r>
      <w:r w:rsidR="00217754" w:rsidRPr="002715F2">
        <w:rPr>
          <w:rFonts w:eastAsia="Malgun Gothic"/>
          <w:kern w:val="2"/>
          <w:szCs w:val="22"/>
          <w:lang w:val="fr-FR" w:eastAsia="ko-KR"/>
        </w:rPr>
        <w:t xml:space="preserve"> par les services sociaux</w:t>
      </w:r>
      <w:r w:rsidR="00891CB4" w:rsidRPr="002715F2">
        <w:rPr>
          <w:rFonts w:eastAsia="Malgun Gothic"/>
          <w:kern w:val="2"/>
          <w:szCs w:val="22"/>
          <w:lang w:val="fr-FR" w:eastAsia="ko-KR"/>
        </w:rPr>
        <w:t>,</w:t>
      </w:r>
      <w:r w:rsidR="00217754" w:rsidRPr="002715F2">
        <w:rPr>
          <w:rFonts w:eastAsia="Malgun Gothic"/>
          <w:kern w:val="2"/>
          <w:szCs w:val="22"/>
          <w:lang w:val="fr-FR" w:eastAsia="ko-KR"/>
        </w:rPr>
        <w:t xml:space="preserve"> </w:t>
      </w:r>
      <w:r w:rsidR="0023741A" w:rsidRPr="002715F2">
        <w:rPr>
          <w:rFonts w:eastAsia="Malgun Gothic"/>
          <w:kern w:val="2"/>
          <w:szCs w:val="22"/>
          <w:lang w:val="fr-FR" w:eastAsia="ko-KR"/>
        </w:rPr>
        <w:t>de participer</w:t>
      </w:r>
      <w:r w:rsidR="005E72A9" w:rsidRPr="002715F2">
        <w:rPr>
          <w:rFonts w:eastAsia="Malgun Gothic"/>
          <w:kern w:val="2"/>
          <w:szCs w:val="22"/>
          <w:lang w:val="fr-FR" w:eastAsia="ko-KR"/>
        </w:rPr>
        <w:t xml:space="preserve"> à des cours</w:t>
      </w:r>
      <w:r w:rsidR="00217754" w:rsidRPr="002715F2">
        <w:rPr>
          <w:rFonts w:eastAsia="Malgun Gothic"/>
          <w:kern w:val="2"/>
          <w:szCs w:val="22"/>
          <w:lang w:val="fr-FR" w:eastAsia="ko-KR"/>
        </w:rPr>
        <w:t xml:space="preserve"> ou </w:t>
      </w:r>
      <w:r w:rsidR="00891CB4" w:rsidRPr="002715F2">
        <w:rPr>
          <w:rFonts w:eastAsia="Malgun Gothic"/>
          <w:kern w:val="2"/>
          <w:szCs w:val="22"/>
          <w:lang w:val="fr-FR" w:eastAsia="ko-KR"/>
        </w:rPr>
        <w:t xml:space="preserve">de recevoir </w:t>
      </w:r>
      <w:r w:rsidR="00217754" w:rsidRPr="002715F2">
        <w:rPr>
          <w:rFonts w:eastAsia="Malgun Gothic"/>
          <w:kern w:val="2"/>
          <w:szCs w:val="22"/>
          <w:lang w:val="fr-FR" w:eastAsia="ko-KR"/>
        </w:rPr>
        <w:t>de</w:t>
      </w:r>
      <w:r w:rsidR="00891CB4" w:rsidRPr="002715F2">
        <w:rPr>
          <w:rFonts w:eastAsia="Malgun Gothic"/>
          <w:kern w:val="2"/>
          <w:szCs w:val="22"/>
          <w:lang w:val="fr-FR" w:eastAsia="ko-KR"/>
        </w:rPr>
        <w:t>s</w:t>
      </w:r>
      <w:r w:rsidR="00217754" w:rsidRPr="002715F2">
        <w:rPr>
          <w:rFonts w:eastAsia="Malgun Gothic"/>
          <w:kern w:val="2"/>
          <w:szCs w:val="22"/>
          <w:lang w:val="fr-FR" w:eastAsia="ko-KR"/>
        </w:rPr>
        <w:t xml:space="preserve"> </w:t>
      </w:r>
      <w:r w:rsidR="000B576E" w:rsidRPr="002715F2">
        <w:rPr>
          <w:rFonts w:eastAsia="Malgun Gothic"/>
          <w:kern w:val="2"/>
          <w:szCs w:val="22"/>
          <w:lang w:val="fr-FR" w:eastAsia="ko-KR"/>
        </w:rPr>
        <w:t>soins, plutôt que des sanctions pénales</w:t>
      </w:r>
      <w:r w:rsidR="00F60999" w:rsidRPr="002715F2">
        <w:rPr>
          <w:rFonts w:eastAsia="Malgun Gothic"/>
          <w:kern w:val="2"/>
          <w:szCs w:val="22"/>
          <w:lang w:val="fr-FR" w:eastAsia="ko-KR"/>
        </w:rPr>
        <w:t>.</w:t>
      </w:r>
    </w:p>
    <w:p w:rsidR="000078DA" w:rsidRPr="002715F2" w:rsidRDefault="007026FB" w:rsidP="007026FB">
      <w:pPr>
        <w:pStyle w:val="SingleTxtG"/>
        <w:rPr>
          <w:rFonts w:eastAsia="Gulim" w:cs="Gulim"/>
          <w:color w:val="000000"/>
          <w:lang w:val="fr-FR" w:eastAsia="ko-KR"/>
        </w:rPr>
      </w:pPr>
      <w:r w:rsidRPr="002715F2">
        <w:rPr>
          <w:rFonts w:eastAsia="Gulim"/>
          <w:color w:val="000000"/>
          <w:lang w:val="fr-FR" w:eastAsia="ko-KR"/>
        </w:rPr>
        <w:t>43.</w:t>
      </w:r>
      <w:r w:rsidRPr="002715F2">
        <w:rPr>
          <w:rFonts w:eastAsia="Gulim"/>
          <w:color w:val="000000"/>
          <w:lang w:val="fr-FR" w:eastAsia="ko-KR"/>
        </w:rPr>
        <w:tab/>
      </w:r>
      <w:r w:rsidR="00217754" w:rsidRPr="002715F2">
        <w:rPr>
          <w:rFonts w:eastAsia="Batang"/>
          <w:lang w:val="fr-FR" w:eastAsia="ko-KR"/>
        </w:rPr>
        <w:t>Entre</w:t>
      </w:r>
      <w:r w:rsidR="000078DA" w:rsidRPr="002715F2">
        <w:rPr>
          <w:rFonts w:eastAsia="Gulim"/>
          <w:color w:val="000000"/>
          <w:lang w:val="fr-FR" w:eastAsia="ko-KR"/>
        </w:rPr>
        <w:t xml:space="preserve"> 2006 </w:t>
      </w:r>
      <w:r w:rsidR="00217754" w:rsidRPr="002715F2">
        <w:rPr>
          <w:rFonts w:eastAsia="Gulim"/>
          <w:color w:val="000000"/>
          <w:lang w:val="fr-FR" w:eastAsia="ko-KR"/>
        </w:rPr>
        <w:t>et</w:t>
      </w:r>
      <w:r w:rsidR="000078DA" w:rsidRPr="002715F2">
        <w:rPr>
          <w:rFonts w:eastAsia="Gulim"/>
          <w:color w:val="000000"/>
          <w:lang w:val="fr-FR" w:eastAsia="ko-KR"/>
        </w:rPr>
        <w:t xml:space="preserve"> 2015, </w:t>
      </w:r>
      <w:r w:rsidR="000078DA" w:rsidRPr="002715F2">
        <w:rPr>
          <w:rFonts w:eastAsia="휴먼명조"/>
          <w:color w:val="000000"/>
          <w:spacing w:val="-4"/>
          <w:lang w:val="fr-FR" w:eastAsia="ko-KR"/>
        </w:rPr>
        <w:t>150</w:t>
      </w:r>
      <w:r w:rsidR="00217754" w:rsidRPr="002715F2">
        <w:rPr>
          <w:rFonts w:eastAsia="휴먼명조"/>
          <w:color w:val="000000"/>
          <w:spacing w:val="-4"/>
          <w:lang w:val="fr-FR" w:eastAsia="ko-KR"/>
        </w:rPr>
        <w:t> </w:t>
      </w:r>
      <w:r w:rsidR="001545DB" w:rsidRPr="002715F2">
        <w:rPr>
          <w:rFonts w:eastAsia="휴먼명조"/>
          <w:color w:val="000000"/>
          <w:spacing w:val="-4"/>
          <w:lang w:val="fr-FR" w:eastAsia="ko-KR"/>
        </w:rPr>
        <w:t>758 </w:t>
      </w:r>
      <w:r w:rsidR="00336824" w:rsidRPr="002715F2">
        <w:rPr>
          <w:rFonts w:eastAsia="Gulim"/>
          <w:color w:val="000000"/>
          <w:lang w:val="fr-FR" w:eastAsia="ko-KR"/>
        </w:rPr>
        <w:t>auteurs de violence</w:t>
      </w:r>
      <w:r w:rsidR="00217754" w:rsidRPr="002715F2">
        <w:rPr>
          <w:rFonts w:eastAsia="Gulim"/>
          <w:color w:val="000000"/>
          <w:lang w:val="fr-FR" w:eastAsia="ko-KR"/>
        </w:rPr>
        <w:t xml:space="preserve"> </w:t>
      </w:r>
      <w:r w:rsidR="001F0D27" w:rsidRPr="002715F2">
        <w:rPr>
          <w:rFonts w:eastAsia="Gulim"/>
          <w:color w:val="000000"/>
          <w:lang w:val="fr-FR" w:eastAsia="ko-KR"/>
        </w:rPr>
        <w:t>familiale</w:t>
      </w:r>
      <w:r w:rsidR="000078DA" w:rsidRPr="002715F2">
        <w:rPr>
          <w:rFonts w:eastAsia="Gulim"/>
          <w:color w:val="000000"/>
          <w:lang w:val="fr-FR" w:eastAsia="ko-KR"/>
        </w:rPr>
        <w:t xml:space="preserve"> </w:t>
      </w:r>
      <w:r w:rsidR="001F0D27" w:rsidRPr="002715F2">
        <w:rPr>
          <w:rFonts w:eastAsia="Gulim"/>
          <w:color w:val="000000"/>
          <w:lang w:val="fr-FR" w:eastAsia="ko-KR"/>
        </w:rPr>
        <w:t>ont été recensés</w:t>
      </w:r>
      <w:r w:rsidR="00336824" w:rsidRPr="002715F2">
        <w:rPr>
          <w:rFonts w:eastAsia="Gulim"/>
          <w:color w:val="000000"/>
          <w:lang w:val="fr-FR" w:eastAsia="ko-KR"/>
        </w:rPr>
        <w:t>.</w:t>
      </w:r>
      <w:r w:rsidR="000078DA" w:rsidRPr="002715F2">
        <w:rPr>
          <w:rFonts w:eastAsia="Gulim"/>
          <w:color w:val="000000"/>
          <w:lang w:val="fr-FR" w:eastAsia="ko-KR"/>
        </w:rPr>
        <w:t xml:space="preserve"> </w:t>
      </w:r>
      <w:r w:rsidR="00336824" w:rsidRPr="002715F2">
        <w:rPr>
          <w:rFonts w:eastAsia="Gulim"/>
          <w:color w:val="000000"/>
          <w:lang w:val="fr-FR" w:eastAsia="ko-KR"/>
        </w:rPr>
        <w:t>P</w:t>
      </w:r>
      <w:r w:rsidR="001F0D27" w:rsidRPr="002715F2">
        <w:rPr>
          <w:rFonts w:eastAsia="Gulim"/>
          <w:color w:val="000000"/>
          <w:lang w:val="fr-FR" w:eastAsia="ko-KR"/>
        </w:rPr>
        <w:t xml:space="preserve">armi </w:t>
      </w:r>
      <w:r w:rsidR="00336824" w:rsidRPr="002715F2">
        <w:rPr>
          <w:rFonts w:eastAsia="Gulim"/>
          <w:color w:val="000000"/>
          <w:lang w:val="fr-FR" w:eastAsia="ko-KR"/>
        </w:rPr>
        <w:t>ces délinquants,</w:t>
      </w:r>
      <w:r w:rsidR="001F0D27" w:rsidRPr="002715F2">
        <w:rPr>
          <w:rFonts w:eastAsia="Gulim"/>
          <w:color w:val="000000"/>
          <w:lang w:val="fr-FR" w:eastAsia="ko-KR"/>
        </w:rPr>
        <w:t xml:space="preserve"> </w:t>
      </w:r>
      <w:r w:rsidR="001F0D27" w:rsidRPr="002715F2">
        <w:rPr>
          <w:rFonts w:eastAsia="휴먼명조"/>
          <w:color w:val="000000"/>
          <w:spacing w:val="-4"/>
          <w:lang w:val="fr-FR" w:eastAsia="ko-KR"/>
        </w:rPr>
        <w:t>18 </w:t>
      </w:r>
      <w:r w:rsidR="000078DA" w:rsidRPr="002715F2">
        <w:rPr>
          <w:rFonts w:eastAsia="휴먼명조"/>
          <w:color w:val="000000"/>
          <w:spacing w:val="-4"/>
          <w:lang w:val="fr-FR" w:eastAsia="ko-KR"/>
        </w:rPr>
        <w:t>076</w:t>
      </w:r>
      <w:r w:rsidR="000078DA" w:rsidRPr="002715F2">
        <w:rPr>
          <w:rFonts w:eastAsia="Gulim"/>
          <w:color w:val="000000"/>
          <w:lang w:val="fr-FR" w:eastAsia="ko-KR"/>
        </w:rPr>
        <w:t xml:space="preserve"> </w:t>
      </w:r>
      <w:r w:rsidR="001F0D27" w:rsidRPr="002715F2">
        <w:rPr>
          <w:rFonts w:eastAsia="Gulim"/>
          <w:color w:val="000000"/>
          <w:lang w:val="fr-FR" w:eastAsia="ko-KR"/>
        </w:rPr>
        <w:t>ont été poursuivis</w:t>
      </w:r>
      <w:r w:rsidR="000078DA" w:rsidRPr="002715F2">
        <w:rPr>
          <w:rFonts w:eastAsia="Gulim"/>
          <w:color w:val="000000"/>
          <w:lang w:val="fr-FR" w:eastAsia="ko-KR"/>
        </w:rPr>
        <w:t xml:space="preserve">, </w:t>
      </w:r>
      <w:r w:rsidR="000078DA" w:rsidRPr="002715F2">
        <w:rPr>
          <w:rFonts w:eastAsia="휴먼명조"/>
          <w:color w:val="000000"/>
          <w:spacing w:val="-4"/>
          <w:lang w:val="fr-FR" w:eastAsia="ko-KR"/>
        </w:rPr>
        <w:t>79</w:t>
      </w:r>
      <w:r w:rsidR="001F0D27" w:rsidRPr="002715F2">
        <w:rPr>
          <w:rFonts w:eastAsia="휴먼명조"/>
          <w:color w:val="000000"/>
          <w:spacing w:val="-4"/>
          <w:lang w:val="fr-FR" w:eastAsia="ko-KR"/>
        </w:rPr>
        <w:t> </w:t>
      </w:r>
      <w:r w:rsidR="000078DA" w:rsidRPr="002715F2">
        <w:rPr>
          <w:rFonts w:eastAsia="휴먼명조"/>
          <w:color w:val="000000"/>
          <w:spacing w:val="-4"/>
          <w:lang w:val="fr-FR" w:eastAsia="ko-KR"/>
        </w:rPr>
        <w:t xml:space="preserve">090 </w:t>
      </w:r>
      <w:r w:rsidR="000A170C" w:rsidRPr="002715F2">
        <w:rPr>
          <w:rFonts w:eastAsia="휴먼명조"/>
          <w:color w:val="000000"/>
          <w:spacing w:val="-4"/>
          <w:lang w:val="fr-FR" w:eastAsia="ko-KR"/>
        </w:rPr>
        <w:t xml:space="preserve">n’ont pas </w:t>
      </w:r>
      <w:r w:rsidR="00891CB4" w:rsidRPr="002715F2">
        <w:rPr>
          <w:rFonts w:eastAsia="휴먼명조"/>
          <w:color w:val="000000"/>
          <w:spacing w:val="-4"/>
          <w:lang w:val="fr-FR" w:eastAsia="ko-KR"/>
        </w:rPr>
        <w:t>fait l’objet de poursuites</w:t>
      </w:r>
      <w:r w:rsidR="001F0D27" w:rsidRPr="002715F2">
        <w:rPr>
          <w:rFonts w:eastAsia="휴먼명조"/>
          <w:color w:val="000000"/>
          <w:spacing w:val="-4"/>
          <w:lang w:val="fr-FR" w:eastAsia="ko-KR"/>
        </w:rPr>
        <w:t xml:space="preserve"> </w:t>
      </w:r>
      <w:r w:rsidR="001F0D27" w:rsidRPr="002715F2">
        <w:rPr>
          <w:rFonts w:eastAsia="Gulim"/>
          <w:color w:val="000000"/>
          <w:lang w:val="fr-FR" w:eastAsia="ko-KR"/>
        </w:rPr>
        <w:t xml:space="preserve">et </w:t>
      </w:r>
      <w:r w:rsidR="001F0D27" w:rsidRPr="002715F2">
        <w:rPr>
          <w:rFonts w:eastAsia="휴먼명조"/>
          <w:color w:val="000000"/>
          <w:spacing w:val="-4"/>
          <w:lang w:val="fr-FR" w:eastAsia="ko-KR"/>
        </w:rPr>
        <w:t>50 </w:t>
      </w:r>
      <w:r w:rsidR="000078DA" w:rsidRPr="002715F2">
        <w:rPr>
          <w:rFonts w:eastAsia="휴먼명조"/>
          <w:color w:val="000000"/>
          <w:spacing w:val="-4"/>
          <w:lang w:val="fr-FR" w:eastAsia="ko-KR"/>
        </w:rPr>
        <w:t>895</w:t>
      </w:r>
      <w:r w:rsidR="000078DA" w:rsidRPr="002715F2">
        <w:rPr>
          <w:rFonts w:eastAsia="Gulim"/>
          <w:color w:val="000000"/>
          <w:lang w:val="fr-FR" w:eastAsia="ko-KR"/>
        </w:rPr>
        <w:t xml:space="preserve"> </w:t>
      </w:r>
      <w:r w:rsidR="000A170C" w:rsidRPr="002715F2">
        <w:rPr>
          <w:rFonts w:eastAsia="Gulim"/>
          <w:color w:val="000000"/>
          <w:lang w:val="fr-FR" w:eastAsia="ko-KR"/>
        </w:rPr>
        <w:t xml:space="preserve">ont été </w:t>
      </w:r>
      <w:r w:rsidR="00891CB4" w:rsidRPr="002715F2">
        <w:rPr>
          <w:rFonts w:eastAsia="Gulim"/>
          <w:color w:val="000000"/>
          <w:lang w:val="fr-FR" w:eastAsia="ko-KR"/>
        </w:rPr>
        <w:t>déférés</w:t>
      </w:r>
      <w:r w:rsidR="001F0D27" w:rsidRPr="002715F2">
        <w:rPr>
          <w:rFonts w:eastAsia="Gulim"/>
          <w:color w:val="000000"/>
          <w:lang w:val="fr-FR" w:eastAsia="ko-KR"/>
        </w:rPr>
        <w:t xml:space="preserve"> devant le tribunal des affaires familiales</w:t>
      </w:r>
      <w:r w:rsidR="000078DA" w:rsidRPr="002715F2">
        <w:rPr>
          <w:rFonts w:eastAsia="Gulim"/>
          <w:color w:val="000000"/>
          <w:lang w:val="fr-FR" w:eastAsia="ko-KR"/>
        </w:rPr>
        <w:t xml:space="preserve"> </w:t>
      </w:r>
      <w:r w:rsidR="001F0D27" w:rsidRPr="002715F2">
        <w:rPr>
          <w:rFonts w:eastAsia="Batang"/>
          <w:color w:val="000000"/>
          <w:lang w:val="fr-FR" w:eastAsia="ko-KR"/>
        </w:rPr>
        <w:t xml:space="preserve">ou </w:t>
      </w:r>
      <w:r w:rsidR="00891CB4" w:rsidRPr="002715F2">
        <w:rPr>
          <w:rFonts w:eastAsia="Batang"/>
          <w:color w:val="000000"/>
          <w:lang w:val="fr-FR" w:eastAsia="ko-KR"/>
        </w:rPr>
        <w:t>une autre juridiction</w:t>
      </w:r>
      <w:r w:rsidR="000078DA" w:rsidRPr="002715F2">
        <w:rPr>
          <w:rFonts w:eastAsia="Batang"/>
          <w:color w:val="000000"/>
          <w:lang w:val="fr-FR" w:eastAsia="ko-KR"/>
        </w:rPr>
        <w:t xml:space="preserve"> </w:t>
      </w:r>
      <w:r w:rsidR="001F0D27" w:rsidRPr="002715F2">
        <w:rPr>
          <w:rFonts w:eastAsia="Batang"/>
          <w:color w:val="000000"/>
          <w:lang w:val="fr-FR" w:eastAsia="ko-KR"/>
        </w:rPr>
        <w:t xml:space="preserve">en tant qu’affaires </w:t>
      </w:r>
      <w:r w:rsidR="001F0D27" w:rsidRPr="002715F2">
        <w:rPr>
          <w:rFonts w:eastAsia="Gulim"/>
          <w:lang w:val="fr-FR" w:eastAsia="ko-KR"/>
        </w:rPr>
        <w:t>de protection famil</w:t>
      </w:r>
      <w:r w:rsidR="00891CB4" w:rsidRPr="002715F2">
        <w:rPr>
          <w:rFonts w:eastAsia="Gulim"/>
          <w:lang w:val="fr-FR" w:eastAsia="ko-KR"/>
        </w:rPr>
        <w:t>iale</w:t>
      </w:r>
      <w:r w:rsidR="000078DA" w:rsidRPr="002715F2">
        <w:rPr>
          <w:rFonts w:eastAsia="Gulim"/>
          <w:color w:val="000000"/>
          <w:lang w:val="fr-FR" w:eastAsia="ko-KR"/>
        </w:rPr>
        <w:t>.</w:t>
      </w:r>
      <w:r w:rsidR="000A170C" w:rsidRPr="002715F2">
        <w:rPr>
          <w:rFonts w:eastAsia="Gulim"/>
          <w:color w:val="000000"/>
          <w:lang w:val="fr-FR" w:eastAsia="ko-KR"/>
        </w:rPr>
        <w:t xml:space="preserve"> </w:t>
      </w:r>
      <w:r w:rsidR="00684C17" w:rsidRPr="002715F2">
        <w:rPr>
          <w:rFonts w:eastAsia="Gulim"/>
          <w:color w:val="000000"/>
          <w:lang w:val="fr-FR" w:eastAsia="ko-KR"/>
        </w:rPr>
        <w:t>En outre</w:t>
      </w:r>
      <w:r w:rsidR="001545DB" w:rsidRPr="002715F2">
        <w:rPr>
          <w:rFonts w:eastAsia="Gulim"/>
          <w:color w:val="000000"/>
          <w:lang w:val="fr-FR" w:eastAsia="ko-KR"/>
        </w:rPr>
        <w:t>, sur les 79 090 </w:t>
      </w:r>
      <w:r w:rsidR="000A170C" w:rsidRPr="002715F2">
        <w:rPr>
          <w:rFonts w:eastAsia="Gulim"/>
          <w:color w:val="000000"/>
          <w:lang w:val="fr-FR" w:eastAsia="ko-KR"/>
        </w:rPr>
        <w:t>personnes qu</w:t>
      </w:r>
      <w:r w:rsidR="001545DB" w:rsidRPr="002715F2">
        <w:rPr>
          <w:rFonts w:eastAsia="Gulim"/>
          <w:color w:val="000000"/>
          <w:lang w:val="fr-FR" w:eastAsia="ko-KR"/>
        </w:rPr>
        <w:t>i n’ont pas été poursuivies, 52 </w:t>
      </w:r>
      <w:r w:rsidR="000A170C" w:rsidRPr="002715F2">
        <w:rPr>
          <w:rFonts w:eastAsia="Gulim"/>
          <w:color w:val="000000"/>
          <w:lang w:val="fr-FR" w:eastAsia="ko-KR"/>
        </w:rPr>
        <w:t xml:space="preserve">014 </w:t>
      </w:r>
      <w:r w:rsidR="001545DB" w:rsidRPr="002715F2">
        <w:rPr>
          <w:rFonts w:eastAsia="Gulim"/>
          <w:color w:val="000000"/>
          <w:lang w:val="fr-FR" w:eastAsia="ko-KR"/>
        </w:rPr>
        <w:t>ont bénéficié d’un non-lieu</w:t>
      </w:r>
      <w:r w:rsidR="000A170C" w:rsidRPr="002715F2">
        <w:rPr>
          <w:rFonts w:eastAsia="Gulim"/>
          <w:color w:val="000000"/>
          <w:lang w:val="fr-FR" w:eastAsia="ko-KR"/>
        </w:rPr>
        <w:t xml:space="preserve"> au motif </w:t>
      </w:r>
      <w:r w:rsidR="005E025B" w:rsidRPr="002715F2">
        <w:rPr>
          <w:rFonts w:eastAsia="Gulim"/>
          <w:color w:val="000000"/>
          <w:lang w:val="fr-FR" w:eastAsia="ko-KR"/>
        </w:rPr>
        <w:t>qu’aucune autorité</w:t>
      </w:r>
      <w:r w:rsidR="000A170C" w:rsidRPr="002715F2">
        <w:rPr>
          <w:rFonts w:eastAsia="Gulim"/>
          <w:color w:val="000000"/>
          <w:lang w:val="fr-FR" w:eastAsia="ko-KR"/>
        </w:rPr>
        <w:t xml:space="preserve"> </w:t>
      </w:r>
      <w:r w:rsidR="00684C17" w:rsidRPr="002715F2">
        <w:rPr>
          <w:rFonts w:eastAsia="Gulim"/>
          <w:color w:val="000000"/>
          <w:lang w:val="fr-FR" w:eastAsia="ko-KR"/>
        </w:rPr>
        <w:t xml:space="preserve">de l’État </w:t>
      </w:r>
      <w:r w:rsidR="000A170C" w:rsidRPr="002715F2">
        <w:rPr>
          <w:rFonts w:eastAsia="Gulim"/>
          <w:color w:val="000000"/>
          <w:lang w:val="fr-FR" w:eastAsia="ko-KR"/>
        </w:rPr>
        <w:t>n’avait comp</w:t>
      </w:r>
      <w:r w:rsidR="001545DB" w:rsidRPr="002715F2">
        <w:rPr>
          <w:rFonts w:eastAsia="Gulim"/>
          <w:color w:val="000000"/>
          <w:lang w:val="fr-FR" w:eastAsia="ko-KR"/>
        </w:rPr>
        <w:t>é</w:t>
      </w:r>
      <w:r w:rsidR="000A170C" w:rsidRPr="002715F2">
        <w:rPr>
          <w:rFonts w:eastAsia="Gulim"/>
          <w:color w:val="000000"/>
          <w:lang w:val="fr-FR" w:eastAsia="ko-KR"/>
        </w:rPr>
        <w:t xml:space="preserve">tence pour </w:t>
      </w:r>
      <w:r w:rsidR="005E025B" w:rsidRPr="002715F2">
        <w:rPr>
          <w:rFonts w:eastAsia="Gulim"/>
          <w:color w:val="000000"/>
          <w:lang w:val="fr-FR" w:eastAsia="ko-KR"/>
        </w:rPr>
        <w:t>engager des</w:t>
      </w:r>
      <w:r w:rsidR="001545DB" w:rsidRPr="002715F2">
        <w:rPr>
          <w:rFonts w:eastAsia="Gulim"/>
          <w:color w:val="000000"/>
          <w:lang w:val="fr-FR" w:eastAsia="ko-KR"/>
        </w:rPr>
        <w:t xml:space="preserve"> poursui</w:t>
      </w:r>
      <w:r w:rsidR="005E025B" w:rsidRPr="002715F2">
        <w:rPr>
          <w:rFonts w:eastAsia="Gulim"/>
          <w:color w:val="000000"/>
          <w:lang w:val="fr-FR" w:eastAsia="ko-KR"/>
        </w:rPr>
        <w:t xml:space="preserve">tes </w:t>
      </w:r>
      <w:r w:rsidR="000078DA" w:rsidRPr="002715F2">
        <w:rPr>
          <w:rFonts w:eastAsia="Batang"/>
          <w:color w:val="000000"/>
          <w:lang w:val="fr-FR" w:eastAsia="ko-KR"/>
        </w:rPr>
        <w:t>(</w:t>
      </w:r>
      <w:r w:rsidR="000A170C" w:rsidRPr="002715F2">
        <w:rPr>
          <w:rFonts w:eastAsia="Gulim"/>
          <w:color w:val="000000"/>
          <w:lang w:val="fr-FR" w:eastAsia="ko-KR"/>
        </w:rPr>
        <w:t>voir</w:t>
      </w:r>
      <w:r w:rsidR="000078DA" w:rsidRPr="002715F2">
        <w:rPr>
          <w:rFonts w:eastAsia="Gulim"/>
          <w:color w:val="000000"/>
          <w:lang w:val="fr-FR" w:eastAsia="ko-KR"/>
        </w:rPr>
        <w:t xml:space="preserve"> </w:t>
      </w:r>
      <w:r w:rsidR="001545DB" w:rsidRPr="002715F2">
        <w:rPr>
          <w:rFonts w:eastAsia="Gulim"/>
          <w:color w:val="000000"/>
          <w:lang w:val="fr-FR" w:eastAsia="ko-KR"/>
        </w:rPr>
        <w:t xml:space="preserve">le </w:t>
      </w:r>
      <w:r w:rsidR="000078DA" w:rsidRPr="002715F2">
        <w:rPr>
          <w:rFonts w:eastAsia="Gulim"/>
          <w:color w:val="000000"/>
          <w:lang w:val="fr-FR" w:eastAsia="ko-KR"/>
        </w:rPr>
        <w:t>t</w:t>
      </w:r>
      <w:r w:rsidR="000078DA" w:rsidRPr="002715F2">
        <w:rPr>
          <w:rFonts w:eastAsia="Batang"/>
          <w:color w:val="000000"/>
          <w:lang w:val="fr-FR" w:eastAsia="ko-KR"/>
        </w:rPr>
        <w:t>able</w:t>
      </w:r>
      <w:r w:rsidR="001545DB" w:rsidRPr="002715F2">
        <w:rPr>
          <w:rFonts w:eastAsia="Batang"/>
          <w:color w:val="000000"/>
          <w:lang w:val="fr-FR" w:eastAsia="ko-KR"/>
        </w:rPr>
        <w:t>au</w:t>
      </w:r>
      <w:r w:rsidR="000A170C" w:rsidRPr="002715F2">
        <w:rPr>
          <w:rFonts w:eastAsia="Batang"/>
          <w:color w:val="000000"/>
          <w:lang w:val="fr-FR" w:eastAsia="ko-KR"/>
        </w:rPr>
        <w:t> </w:t>
      </w:r>
      <w:r w:rsidR="000078DA" w:rsidRPr="002715F2">
        <w:rPr>
          <w:rFonts w:eastAsia="Batang"/>
          <w:color w:val="000000"/>
          <w:lang w:val="fr-FR" w:eastAsia="ko-KR"/>
        </w:rPr>
        <w:t xml:space="preserve">3). </w:t>
      </w:r>
      <w:r w:rsidR="000A170C" w:rsidRPr="002715F2">
        <w:rPr>
          <w:rFonts w:eastAsia="Gulim"/>
          <w:color w:val="000000"/>
          <w:lang w:val="fr-FR" w:eastAsia="ko-KR"/>
        </w:rPr>
        <w:t xml:space="preserve">La raison pour laquelle de nombreuses affaires de violence </w:t>
      </w:r>
      <w:r w:rsidR="00684C17" w:rsidRPr="002715F2">
        <w:rPr>
          <w:rFonts w:eastAsia="Gulim"/>
          <w:color w:val="000000"/>
          <w:lang w:val="fr-FR" w:eastAsia="ko-KR"/>
        </w:rPr>
        <w:t>familiale</w:t>
      </w:r>
      <w:r w:rsidR="000A170C" w:rsidRPr="002715F2">
        <w:rPr>
          <w:rFonts w:eastAsia="Gulim"/>
          <w:color w:val="000000"/>
          <w:lang w:val="fr-FR" w:eastAsia="ko-KR"/>
        </w:rPr>
        <w:t xml:space="preserve"> </w:t>
      </w:r>
      <w:r w:rsidR="00C67D18" w:rsidRPr="002715F2">
        <w:rPr>
          <w:rFonts w:eastAsia="Gulim"/>
          <w:color w:val="000000"/>
          <w:lang w:val="fr-FR" w:eastAsia="ko-KR"/>
        </w:rPr>
        <w:t>ont abouti à un non-lieu</w:t>
      </w:r>
      <w:r w:rsidR="000A170C" w:rsidRPr="002715F2">
        <w:rPr>
          <w:rFonts w:eastAsia="Gulim"/>
          <w:color w:val="000000"/>
          <w:lang w:val="fr-FR" w:eastAsia="ko-KR"/>
        </w:rPr>
        <w:t xml:space="preserve"> (</w:t>
      </w:r>
      <w:r w:rsidR="00684C17" w:rsidRPr="002715F2">
        <w:rPr>
          <w:rFonts w:eastAsia="Gulim"/>
          <w:color w:val="000000"/>
          <w:lang w:val="fr-FR" w:eastAsia="ko-KR"/>
        </w:rPr>
        <w:t xml:space="preserve">du fait </w:t>
      </w:r>
      <w:r w:rsidR="00C67D18" w:rsidRPr="002715F2">
        <w:rPr>
          <w:rFonts w:eastAsia="Gulim"/>
          <w:color w:val="000000"/>
          <w:lang w:val="fr-FR" w:eastAsia="ko-KR"/>
        </w:rPr>
        <w:t>en particulier de l’</w:t>
      </w:r>
      <w:r w:rsidR="00C67D18" w:rsidRPr="002715F2">
        <w:rPr>
          <w:rFonts w:ascii="TimesNewRomanPSMT" w:hAnsi="TimesNewRomanPSMT" w:cs="TimesNewRomanPSMT"/>
          <w:lang w:val="fr-FR" w:eastAsia="en-GB"/>
        </w:rPr>
        <w:t>impossibilité légale d’engager des poursuites</w:t>
      </w:r>
      <w:r w:rsidR="000A170C" w:rsidRPr="002715F2">
        <w:rPr>
          <w:rFonts w:eastAsia="Gulim"/>
          <w:color w:val="000000"/>
          <w:lang w:val="fr-FR" w:eastAsia="ko-KR"/>
        </w:rPr>
        <w:t xml:space="preserve">) est que les victimes refusent en général que le </w:t>
      </w:r>
      <w:r w:rsidR="005C6D8E" w:rsidRPr="002715F2">
        <w:rPr>
          <w:rFonts w:eastAsia="Gulim"/>
          <w:color w:val="000000"/>
          <w:lang w:val="fr-FR" w:eastAsia="ko-KR"/>
        </w:rPr>
        <w:t>délinquant</w:t>
      </w:r>
      <w:r w:rsidR="000A170C" w:rsidRPr="002715F2">
        <w:rPr>
          <w:rFonts w:eastAsia="Gulim"/>
          <w:color w:val="000000"/>
          <w:lang w:val="fr-FR" w:eastAsia="ko-KR"/>
        </w:rPr>
        <w:t xml:space="preserve"> soit </w:t>
      </w:r>
      <w:r w:rsidR="00684C17" w:rsidRPr="002715F2">
        <w:rPr>
          <w:rFonts w:eastAsia="Gulim"/>
          <w:color w:val="000000"/>
          <w:lang w:val="fr-FR" w:eastAsia="ko-KR"/>
        </w:rPr>
        <w:t>sanctionné</w:t>
      </w:r>
      <w:r w:rsidR="000A170C" w:rsidRPr="002715F2">
        <w:rPr>
          <w:rFonts w:eastAsia="Gulim"/>
          <w:color w:val="000000"/>
          <w:lang w:val="fr-FR" w:eastAsia="ko-KR"/>
        </w:rPr>
        <w:t>, à moins que le lien conjugal ne soit irrémédiablement rompu</w:t>
      </w:r>
      <w:r w:rsidR="000078DA" w:rsidRPr="002715F2">
        <w:rPr>
          <w:rFonts w:eastAsia="Gulim"/>
          <w:color w:val="000000"/>
          <w:lang w:val="fr-FR" w:eastAsia="ko-KR"/>
        </w:rPr>
        <w:t xml:space="preserve">. </w:t>
      </w:r>
      <w:r w:rsidR="00387190" w:rsidRPr="002715F2">
        <w:rPr>
          <w:rFonts w:eastAsia="Gulim"/>
          <w:color w:val="000000"/>
          <w:lang w:val="fr-FR" w:eastAsia="ko-KR"/>
        </w:rPr>
        <w:t>En règle générale, l</w:t>
      </w:r>
      <w:r w:rsidR="000A170C" w:rsidRPr="002715F2">
        <w:rPr>
          <w:rFonts w:eastAsia="Gulim"/>
          <w:color w:val="000000"/>
          <w:lang w:val="fr-FR" w:eastAsia="ko-KR"/>
        </w:rPr>
        <w:t xml:space="preserve">es victimes préfèrent </w:t>
      </w:r>
      <w:r w:rsidR="0023741A" w:rsidRPr="002715F2">
        <w:rPr>
          <w:rFonts w:ascii="TimesNewRomanPSMT" w:hAnsi="TimesNewRomanPSMT" w:cs="TimesNewRomanPSMT"/>
          <w:lang w:val="fr-FR" w:eastAsia="en-GB"/>
        </w:rPr>
        <w:t>que l’auteur des faits fasse l’objet</w:t>
      </w:r>
      <w:r w:rsidR="0023741A" w:rsidRPr="002715F2">
        <w:rPr>
          <w:rFonts w:eastAsia="Gulim"/>
          <w:color w:val="000000"/>
          <w:lang w:val="fr-FR" w:eastAsia="ko-KR"/>
        </w:rPr>
        <w:t xml:space="preserve"> d’une mise en garde et</w:t>
      </w:r>
      <w:r w:rsidR="00387190" w:rsidRPr="002715F2">
        <w:rPr>
          <w:rFonts w:eastAsia="Gulim"/>
          <w:color w:val="000000"/>
          <w:lang w:val="fr-FR" w:eastAsia="ko-KR"/>
        </w:rPr>
        <w:t xml:space="preserve"> de</w:t>
      </w:r>
      <w:r w:rsidR="000A170C" w:rsidRPr="002715F2">
        <w:rPr>
          <w:rFonts w:eastAsia="Gulim"/>
          <w:color w:val="000000"/>
          <w:lang w:val="fr-FR" w:eastAsia="ko-KR"/>
        </w:rPr>
        <w:t xml:space="preserve"> mesures </w:t>
      </w:r>
      <w:r w:rsidR="0023741A" w:rsidRPr="002715F2">
        <w:rPr>
          <w:rFonts w:ascii="TimesNewRomanPSMT" w:hAnsi="TimesNewRomanPSMT" w:cs="TimesNewRomanPSMT"/>
          <w:lang w:val="fr-FR" w:eastAsia="en-GB"/>
        </w:rPr>
        <w:t>visant à prévenir la récidive</w:t>
      </w:r>
      <w:r w:rsidR="000A170C" w:rsidRPr="002715F2">
        <w:rPr>
          <w:rFonts w:eastAsia="Gulim"/>
          <w:color w:val="000000"/>
          <w:lang w:val="fr-FR" w:eastAsia="ko-KR"/>
        </w:rPr>
        <w:t xml:space="preserve"> </w:t>
      </w:r>
      <w:r w:rsidR="0023741A" w:rsidRPr="002715F2">
        <w:rPr>
          <w:rFonts w:eastAsia="Gulim"/>
          <w:color w:val="000000"/>
          <w:lang w:val="fr-FR" w:eastAsia="ko-KR"/>
        </w:rPr>
        <w:t>plutôt que de sanctions</w:t>
      </w:r>
      <w:r w:rsidR="000078DA" w:rsidRPr="002715F2">
        <w:rPr>
          <w:rFonts w:eastAsia="Gulim"/>
          <w:color w:val="000000"/>
          <w:lang w:val="fr-FR" w:eastAsia="ko-KR"/>
        </w:rPr>
        <w:t xml:space="preserve">. </w:t>
      </w:r>
      <w:r w:rsidR="00387190" w:rsidRPr="002715F2">
        <w:rPr>
          <w:rFonts w:eastAsia="Gulim"/>
          <w:color w:val="000000"/>
          <w:lang w:val="fr-FR" w:eastAsia="ko-KR"/>
        </w:rPr>
        <w:t>Il est donc plus efficace de recourir aux</w:t>
      </w:r>
      <w:r w:rsidR="000A170C" w:rsidRPr="002715F2">
        <w:rPr>
          <w:rFonts w:eastAsia="Gulim"/>
          <w:color w:val="000000"/>
          <w:lang w:val="fr-FR" w:eastAsia="ko-KR"/>
        </w:rPr>
        <w:t xml:space="preserve"> procédure</w:t>
      </w:r>
      <w:r w:rsidR="00387190" w:rsidRPr="002715F2">
        <w:rPr>
          <w:rFonts w:eastAsia="Gulim"/>
          <w:color w:val="000000"/>
          <w:lang w:val="fr-FR" w:eastAsia="ko-KR"/>
        </w:rPr>
        <w:t>s</w:t>
      </w:r>
      <w:r w:rsidR="000A170C" w:rsidRPr="002715F2">
        <w:rPr>
          <w:rFonts w:eastAsia="Gulim"/>
          <w:color w:val="000000"/>
          <w:lang w:val="fr-FR" w:eastAsia="ko-KR"/>
        </w:rPr>
        <w:t xml:space="preserve"> de protection </w:t>
      </w:r>
      <w:r w:rsidR="00387190" w:rsidRPr="002715F2">
        <w:rPr>
          <w:rFonts w:eastAsia="Gulim"/>
          <w:color w:val="000000"/>
          <w:lang w:val="fr-FR" w:eastAsia="ko-KR"/>
        </w:rPr>
        <w:t>familial</w:t>
      </w:r>
      <w:r w:rsidR="000A170C" w:rsidRPr="002715F2">
        <w:rPr>
          <w:rFonts w:eastAsia="Gulim"/>
          <w:color w:val="000000"/>
          <w:lang w:val="fr-FR" w:eastAsia="ko-KR"/>
        </w:rPr>
        <w:t>e</w:t>
      </w:r>
      <w:r w:rsidR="00387190" w:rsidRPr="002715F2">
        <w:rPr>
          <w:rFonts w:eastAsia="Gulim"/>
          <w:color w:val="000000"/>
          <w:lang w:val="fr-FR" w:eastAsia="ko-KR"/>
        </w:rPr>
        <w:t xml:space="preserve"> dans </w:t>
      </w:r>
      <w:r w:rsidR="00387190" w:rsidRPr="002715F2">
        <w:rPr>
          <w:rFonts w:eastAsia="Gulim"/>
          <w:lang w:val="fr-FR" w:eastAsia="ko-KR"/>
        </w:rPr>
        <w:t>la plupart des cas de violence domestique</w:t>
      </w:r>
      <w:r w:rsidR="000A170C" w:rsidRPr="002715F2">
        <w:rPr>
          <w:rFonts w:eastAsia="Gulim"/>
          <w:color w:val="000000"/>
          <w:lang w:val="fr-FR" w:eastAsia="ko-KR"/>
        </w:rPr>
        <w:t xml:space="preserve">, </w:t>
      </w:r>
      <w:r w:rsidR="00387190" w:rsidRPr="002715F2">
        <w:rPr>
          <w:rFonts w:eastAsia="Gulim"/>
          <w:color w:val="000000"/>
          <w:lang w:val="fr-FR" w:eastAsia="ko-KR"/>
        </w:rPr>
        <w:t xml:space="preserve">car </w:t>
      </w:r>
      <w:r w:rsidR="00C67D18" w:rsidRPr="002715F2">
        <w:rPr>
          <w:rFonts w:eastAsia="Gulim"/>
          <w:color w:val="000000"/>
          <w:lang w:val="fr-FR" w:eastAsia="ko-KR"/>
        </w:rPr>
        <w:t>ces procédures</w:t>
      </w:r>
      <w:r w:rsidR="000A170C" w:rsidRPr="002715F2">
        <w:rPr>
          <w:rFonts w:eastAsia="Gulim"/>
          <w:color w:val="000000"/>
          <w:lang w:val="fr-FR" w:eastAsia="ko-KR"/>
        </w:rPr>
        <w:t xml:space="preserve"> prévoi</w:t>
      </w:r>
      <w:r w:rsidR="00387190" w:rsidRPr="002715F2">
        <w:rPr>
          <w:rFonts w:eastAsia="Gulim"/>
          <w:color w:val="000000"/>
          <w:lang w:val="fr-FR" w:eastAsia="ko-KR"/>
        </w:rPr>
        <w:t>en</w:t>
      </w:r>
      <w:r w:rsidR="000A170C" w:rsidRPr="002715F2">
        <w:rPr>
          <w:rFonts w:eastAsia="Gulim"/>
          <w:color w:val="000000"/>
          <w:lang w:val="fr-FR" w:eastAsia="ko-KR"/>
        </w:rPr>
        <w:t xml:space="preserve">t des soins pour les </w:t>
      </w:r>
      <w:r w:rsidR="00387190" w:rsidRPr="002715F2">
        <w:rPr>
          <w:rFonts w:eastAsia="Gulim"/>
          <w:color w:val="000000"/>
          <w:lang w:val="fr-FR" w:eastAsia="ko-KR"/>
        </w:rPr>
        <w:t>délinquants</w:t>
      </w:r>
      <w:r w:rsidR="000A170C" w:rsidRPr="002715F2">
        <w:rPr>
          <w:rFonts w:eastAsia="Gulim"/>
          <w:color w:val="000000"/>
          <w:lang w:val="fr-FR" w:eastAsia="ko-KR"/>
        </w:rPr>
        <w:t xml:space="preserve"> et permet</w:t>
      </w:r>
      <w:r w:rsidR="00387190" w:rsidRPr="002715F2">
        <w:rPr>
          <w:rFonts w:eastAsia="Gulim"/>
          <w:color w:val="000000"/>
          <w:lang w:val="fr-FR" w:eastAsia="ko-KR"/>
        </w:rPr>
        <w:t>tent</w:t>
      </w:r>
      <w:r w:rsidR="000A170C" w:rsidRPr="002715F2">
        <w:rPr>
          <w:rFonts w:eastAsia="Gulim"/>
          <w:color w:val="000000"/>
          <w:lang w:val="fr-FR" w:eastAsia="ko-KR"/>
        </w:rPr>
        <w:t xml:space="preserve"> d’améliorer les relations </w:t>
      </w:r>
      <w:r w:rsidR="00387190" w:rsidRPr="002715F2">
        <w:rPr>
          <w:rFonts w:eastAsia="Gulim"/>
          <w:color w:val="000000"/>
          <w:lang w:val="fr-FR" w:eastAsia="ko-KR"/>
        </w:rPr>
        <w:t xml:space="preserve">au sein des </w:t>
      </w:r>
      <w:r w:rsidR="000439DF" w:rsidRPr="002715F2">
        <w:rPr>
          <w:rFonts w:eastAsia="Gulim"/>
          <w:color w:val="000000"/>
          <w:lang w:val="fr-FR" w:eastAsia="ko-KR"/>
        </w:rPr>
        <w:t>familles</w:t>
      </w:r>
      <w:r w:rsidR="000078DA" w:rsidRPr="002715F2">
        <w:rPr>
          <w:rFonts w:eastAsia="Gulim"/>
          <w:color w:val="000000"/>
          <w:lang w:val="fr-FR" w:eastAsia="ko-KR"/>
        </w:rPr>
        <w:t>.</w:t>
      </w:r>
    </w:p>
    <w:p w:rsidR="000078DA" w:rsidRPr="002715F2" w:rsidRDefault="007026FB" w:rsidP="00C67D18">
      <w:pPr>
        <w:pStyle w:val="SingleTxtG"/>
        <w:rPr>
          <w:rFonts w:eastAsia="Gulim"/>
          <w:lang w:val="fr-FR" w:eastAsia="ko-KR"/>
        </w:rPr>
      </w:pPr>
      <w:r w:rsidRPr="002715F2">
        <w:rPr>
          <w:rFonts w:eastAsia="Gulim"/>
          <w:lang w:val="fr-FR" w:eastAsia="ko-KR"/>
        </w:rPr>
        <w:t>44.</w:t>
      </w:r>
      <w:r w:rsidRPr="002715F2">
        <w:rPr>
          <w:rFonts w:eastAsia="Gulim"/>
          <w:lang w:val="fr-FR" w:eastAsia="ko-KR"/>
        </w:rPr>
        <w:tab/>
      </w:r>
      <w:r w:rsidR="000A170C" w:rsidRPr="002715F2">
        <w:rPr>
          <w:rFonts w:eastAsia="Malgun Gothic"/>
          <w:kern w:val="2"/>
          <w:lang w:val="fr-FR" w:eastAsia="ko-KR"/>
        </w:rPr>
        <w:t xml:space="preserve">Conformément </w:t>
      </w:r>
      <w:r w:rsidR="008B2A8C" w:rsidRPr="002715F2">
        <w:rPr>
          <w:rFonts w:eastAsia="Malgun Gothic"/>
          <w:kern w:val="2"/>
          <w:lang w:val="fr-FR" w:eastAsia="ko-KR"/>
        </w:rPr>
        <w:t>à la</w:t>
      </w:r>
      <w:r w:rsidR="000A170C" w:rsidRPr="002715F2">
        <w:rPr>
          <w:rFonts w:eastAsia="Malgun Gothic"/>
          <w:kern w:val="2"/>
          <w:lang w:val="fr-FR" w:eastAsia="ko-KR"/>
        </w:rPr>
        <w:t xml:space="preserve"> </w:t>
      </w:r>
      <w:r w:rsidR="00C67D18" w:rsidRPr="002715F2">
        <w:rPr>
          <w:rFonts w:eastAsia="Malgun Gothic"/>
          <w:kern w:val="2"/>
          <w:lang w:val="fr-FR" w:eastAsia="ko-KR"/>
        </w:rPr>
        <w:t>directive sur la suspension des poursuites engagées contre les auteurs de violence familiale sous réserve qu’ils fassent l’objet d’une prise en charge psychologique</w:t>
      </w:r>
      <w:r w:rsidR="000A170C" w:rsidRPr="002715F2">
        <w:rPr>
          <w:rFonts w:eastAsia="Malgun Gothic"/>
          <w:kern w:val="2"/>
          <w:lang w:val="fr-FR" w:eastAsia="ko-KR"/>
        </w:rPr>
        <w:t xml:space="preserve">, </w:t>
      </w:r>
      <w:r w:rsidR="008B2A8C" w:rsidRPr="002715F2">
        <w:rPr>
          <w:rFonts w:eastAsia="Malgun Gothic"/>
          <w:kern w:val="2"/>
          <w:lang w:val="fr-FR" w:eastAsia="ko-KR"/>
        </w:rPr>
        <w:t xml:space="preserve">émise en </w:t>
      </w:r>
      <w:r w:rsidR="0022240D" w:rsidRPr="002715F2">
        <w:rPr>
          <w:rFonts w:eastAsia="Malgun Gothic"/>
          <w:kern w:val="2"/>
          <w:lang w:val="fr-FR" w:eastAsia="ko-KR"/>
        </w:rPr>
        <w:t xml:space="preserve">juin </w:t>
      </w:r>
      <w:r w:rsidR="000A170C" w:rsidRPr="002715F2">
        <w:rPr>
          <w:rFonts w:eastAsia="Malgun Gothic"/>
          <w:kern w:val="2"/>
          <w:lang w:val="fr-FR" w:eastAsia="ko-KR"/>
        </w:rPr>
        <w:t xml:space="preserve">2008, </w:t>
      </w:r>
      <w:r w:rsidR="00CE7F15" w:rsidRPr="002715F2">
        <w:rPr>
          <w:rFonts w:eastAsia="Malgun Gothic"/>
          <w:kern w:val="2"/>
          <w:lang w:val="fr-FR" w:eastAsia="ko-KR"/>
        </w:rPr>
        <w:t xml:space="preserve">les auteurs </w:t>
      </w:r>
      <w:r w:rsidR="000A170C" w:rsidRPr="002715F2">
        <w:rPr>
          <w:rFonts w:eastAsia="Malgun Gothic"/>
          <w:kern w:val="2"/>
          <w:lang w:val="fr-FR" w:eastAsia="ko-KR"/>
        </w:rPr>
        <w:t xml:space="preserve">de </w:t>
      </w:r>
      <w:r w:rsidR="00C67D18" w:rsidRPr="002715F2">
        <w:rPr>
          <w:rFonts w:eastAsia="Malgun Gothic"/>
          <w:kern w:val="2"/>
          <w:lang w:val="fr-FR" w:eastAsia="ko-KR"/>
        </w:rPr>
        <w:t>violence</w:t>
      </w:r>
      <w:r w:rsidR="00CE7F15" w:rsidRPr="002715F2">
        <w:rPr>
          <w:rFonts w:eastAsia="Malgun Gothic"/>
          <w:kern w:val="2"/>
          <w:lang w:val="fr-FR" w:eastAsia="ko-KR"/>
        </w:rPr>
        <w:t xml:space="preserve"> familiale </w:t>
      </w:r>
      <w:r w:rsidR="00C67D18" w:rsidRPr="002715F2">
        <w:rPr>
          <w:rFonts w:eastAsia="Malgun Gothic"/>
          <w:kern w:val="2"/>
          <w:lang w:val="fr-FR" w:eastAsia="ko-KR"/>
        </w:rPr>
        <w:t>mineure</w:t>
      </w:r>
      <w:r w:rsidR="000A170C" w:rsidRPr="002715F2">
        <w:rPr>
          <w:rFonts w:eastAsia="Malgun Gothic"/>
          <w:kern w:val="2"/>
          <w:lang w:val="fr-FR" w:eastAsia="ko-KR"/>
        </w:rPr>
        <w:t xml:space="preserve"> </w:t>
      </w:r>
      <w:r w:rsidR="008B2A8C" w:rsidRPr="002715F2">
        <w:rPr>
          <w:rFonts w:eastAsia="Malgun Gothic"/>
          <w:kern w:val="2"/>
          <w:lang w:val="fr-FR" w:eastAsia="ko-KR"/>
        </w:rPr>
        <w:t xml:space="preserve">ne sont pas poursuivis </w:t>
      </w:r>
      <w:r w:rsidR="00C67D18" w:rsidRPr="002715F2">
        <w:rPr>
          <w:rFonts w:eastAsia="Malgun Gothic"/>
          <w:kern w:val="2"/>
          <w:lang w:val="fr-FR" w:eastAsia="ko-KR"/>
        </w:rPr>
        <w:t>à</w:t>
      </w:r>
      <w:r w:rsidR="000A170C" w:rsidRPr="002715F2">
        <w:rPr>
          <w:rFonts w:eastAsia="Malgun Gothic"/>
          <w:kern w:val="2"/>
          <w:lang w:val="fr-FR" w:eastAsia="ko-KR"/>
        </w:rPr>
        <w:t xml:space="preserve"> condition </w:t>
      </w:r>
      <w:r w:rsidR="00C67D18" w:rsidRPr="002715F2">
        <w:rPr>
          <w:rFonts w:eastAsia="Malgun Gothic"/>
          <w:kern w:val="2"/>
          <w:lang w:val="fr-FR" w:eastAsia="ko-KR"/>
        </w:rPr>
        <w:t>de</w:t>
      </w:r>
      <w:r w:rsidR="00CE7F15" w:rsidRPr="002715F2">
        <w:rPr>
          <w:rFonts w:eastAsia="Malgun Gothic"/>
          <w:kern w:val="2"/>
          <w:lang w:val="fr-FR" w:eastAsia="ko-KR"/>
        </w:rPr>
        <w:t xml:space="preserve"> </w:t>
      </w:r>
      <w:r w:rsidR="00C67D18" w:rsidRPr="002715F2">
        <w:rPr>
          <w:rFonts w:eastAsia="Malgun Gothic"/>
          <w:kern w:val="2"/>
          <w:lang w:val="fr-FR" w:eastAsia="ko-KR"/>
        </w:rPr>
        <w:t>participer à</w:t>
      </w:r>
      <w:r w:rsidR="00CE7F15" w:rsidRPr="002715F2">
        <w:rPr>
          <w:rFonts w:eastAsia="Malgun Gothic"/>
          <w:kern w:val="2"/>
          <w:lang w:val="fr-FR" w:eastAsia="ko-KR"/>
        </w:rPr>
        <w:t xml:space="preserve"> des programmes d’aide psychologique</w:t>
      </w:r>
      <w:r w:rsidR="000078DA" w:rsidRPr="002715F2">
        <w:rPr>
          <w:rFonts w:eastAsia="Malgun Gothic"/>
          <w:kern w:val="2"/>
          <w:lang w:val="fr-FR" w:eastAsia="ko-KR"/>
        </w:rPr>
        <w:t xml:space="preserve">. </w:t>
      </w:r>
      <w:r w:rsidR="00CE7F15" w:rsidRPr="002715F2">
        <w:rPr>
          <w:rFonts w:eastAsia="Malgun Gothic"/>
          <w:kern w:val="2"/>
          <w:lang w:val="fr-FR" w:eastAsia="ko-KR"/>
        </w:rPr>
        <w:t xml:space="preserve">Ainsi, entre juin et </w:t>
      </w:r>
      <w:r w:rsidR="00E1469B" w:rsidRPr="002715F2">
        <w:rPr>
          <w:rFonts w:eastAsia="Malgun Gothic"/>
          <w:kern w:val="2"/>
          <w:lang w:val="fr-FR" w:eastAsia="ko-KR"/>
        </w:rPr>
        <w:t xml:space="preserve">décembre </w:t>
      </w:r>
      <w:r w:rsidR="00CE7F15" w:rsidRPr="002715F2">
        <w:rPr>
          <w:rFonts w:eastAsia="Malgun Gothic"/>
          <w:kern w:val="2"/>
          <w:lang w:val="fr-FR" w:eastAsia="ko-KR"/>
        </w:rPr>
        <w:t xml:space="preserve">2008, </w:t>
      </w:r>
      <w:r w:rsidR="000078DA" w:rsidRPr="002715F2">
        <w:rPr>
          <w:rFonts w:eastAsia="Malgun Gothic"/>
          <w:kern w:val="2"/>
          <w:lang w:val="fr-FR" w:eastAsia="ko-KR"/>
        </w:rPr>
        <w:t>448</w:t>
      </w:r>
      <w:r w:rsidR="00CE7F15" w:rsidRPr="002715F2">
        <w:rPr>
          <w:rFonts w:eastAsia="Malgun Gothic"/>
          <w:kern w:val="2"/>
          <w:lang w:val="fr-FR" w:eastAsia="ko-KR"/>
        </w:rPr>
        <w:t> </w:t>
      </w:r>
      <w:r w:rsidR="005C6D8E" w:rsidRPr="002715F2">
        <w:rPr>
          <w:rFonts w:eastAsia="Malgun Gothic"/>
          <w:kern w:val="2"/>
          <w:lang w:val="fr-FR" w:eastAsia="ko-KR"/>
        </w:rPr>
        <w:t>délinquants</w:t>
      </w:r>
      <w:r w:rsidR="00CE7F15" w:rsidRPr="002715F2">
        <w:rPr>
          <w:rFonts w:eastAsia="Malgun Gothic"/>
          <w:kern w:val="2"/>
          <w:lang w:val="fr-FR" w:eastAsia="ko-KR"/>
        </w:rPr>
        <w:t xml:space="preserve"> ont bénéficié </w:t>
      </w:r>
      <w:r w:rsidR="00C67D18" w:rsidRPr="002715F2">
        <w:rPr>
          <w:rFonts w:eastAsia="Malgun Gothic"/>
          <w:kern w:val="2"/>
          <w:lang w:val="fr-FR" w:eastAsia="ko-KR"/>
        </w:rPr>
        <w:t>d’une suspension des poursuites sous réserve de prise en charge</w:t>
      </w:r>
      <w:r w:rsidR="00685B35" w:rsidRPr="002715F2">
        <w:rPr>
          <w:rFonts w:eastAsia="Malgun Gothic"/>
          <w:kern w:val="2"/>
          <w:lang w:val="fr-FR" w:eastAsia="ko-KR"/>
        </w:rPr>
        <w:t xml:space="preserve"> psychologique</w:t>
      </w:r>
      <w:r w:rsidR="00C67D18" w:rsidRPr="002715F2">
        <w:rPr>
          <w:rFonts w:eastAsia="Malgun Gothic"/>
          <w:kern w:val="2"/>
          <w:lang w:val="fr-FR" w:eastAsia="ko-KR"/>
        </w:rPr>
        <w:t xml:space="preserve">. Ce nombre </w:t>
      </w:r>
      <w:r w:rsidR="003117B4" w:rsidRPr="002715F2">
        <w:rPr>
          <w:rFonts w:eastAsia="Malgun Gothic"/>
          <w:kern w:val="2"/>
          <w:lang w:val="fr-FR" w:eastAsia="ko-KR"/>
        </w:rPr>
        <w:t>s’élevait à</w:t>
      </w:r>
      <w:r w:rsidR="00CE7F15" w:rsidRPr="002715F2">
        <w:rPr>
          <w:rFonts w:eastAsia="Malgun Gothic"/>
          <w:kern w:val="2"/>
          <w:lang w:val="fr-FR" w:eastAsia="ko-KR"/>
        </w:rPr>
        <w:t xml:space="preserve"> 379 en 2009, 216 en 2010, 173 en</w:t>
      </w:r>
      <w:r w:rsidR="000078DA" w:rsidRPr="002715F2">
        <w:rPr>
          <w:rFonts w:eastAsia="Malgun Gothic"/>
          <w:kern w:val="2"/>
          <w:lang w:val="fr-FR" w:eastAsia="ko-KR"/>
        </w:rPr>
        <w:t xml:space="preserve"> 2011, </w:t>
      </w:r>
      <w:r w:rsidR="00CE7F15" w:rsidRPr="002715F2">
        <w:rPr>
          <w:rFonts w:eastAsia="휴먼명조"/>
          <w:kern w:val="2"/>
          <w:lang w:val="fr-FR" w:eastAsia="ko-KR"/>
        </w:rPr>
        <w:t>191 en 2012, 499 en 2013, 719 e</w:t>
      </w:r>
      <w:r w:rsidR="000078DA" w:rsidRPr="002715F2">
        <w:rPr>
          <w:rFonts w:eastAsia="휴먼명조"/>
          <w:kern w:val="2"/>
          <w:lang w:val="fr-FR" w:eastAsia="ko-KR"/>
        </w:rPr>
        <w:t>n 2014</w:t>
      </w:r>
      <w:r w:rsidR="00CE7F15" w:rsidRPr="002715F2">
        <w:rPr>
          <w:rFonts w:eastAsia="휴먼명조"/>
          <w:kern w:val="2"/>
          <w:lang w:val="fr-FR" w:eastAsia="ko-KR"/>
        </w:rPr>
        <w:t xml:space="preserve"> et 851 e</w:t>
      </w:r>
      <w:r w:rsidR="000078DA" w:rsidRPr="002715F2">
        <w:rPr>
          <w:rFonts w:eastAsia="휴먼명조"/>
          <w:kern w:val="2"/>
          <w:lang w:val="fr-FR" w:eastAsia="ko-KR"/>
        </w:rPr>
        <w:t>n 2015.</w:t>
      </w:r>
    </w:p>
    <w:p w:rsidR="000078DA" w:rsidRPr="002715F2" w:rsidRDefault="007026FB" w:rsidP="006C353A">
      <w:pPr>
        <w:pStyle w:val="SingleTxtG"/>
        <w:rPr>
          <w:rFonts w:eastAsia="Batang"/>
          <w:vertAlign w:val="superscript"/>
          <w:lang w:val="fr-FR" w:eastAsia="ko-KR"/>
        </w:rPr>
      </w:pPr>
      <w:r w:rsidRPr="002715F2">
        <w:rPr>
          <w:rFonts w:eastAsia="Batang"/>
          <w:lang w:val="fr-FR" w:eastAsia="ko-KR"/>
        </w:rPr>
        <w:t>45.</w:t>
      </w:r>
      <w:r w:rsidRPr="002715F2">
        <w:rPr>
          <w:rFonts w:eastAsia="Batang"/>
          <w:lang w:val="fr-FR" w:eastAsia="ko-KR"/>
        </w:rPr>
        <w:tab/>
      </w:r>
      <w:r w:rsidR="00685B35" w:rsidRPr="002715F2">
        <w:rPr>
          <w:rFonts w:eastAsia="Batang"/>
          <w:lang w:val="fr-FR" w:eastAsia="ko-KR"/>
        </w:rPr>
        <w:t xml:space="preserve">Depuis </w:t>
      </w:r>
      <w:r w:rsidR="0022240D" w:rsidRPr="002715F2">
        <w:rPr>
          <w:rFonts w:eastAsia="Batang"/>
          <w:lang w:val="fr-FR" w:eastAsia="ko-KR"/>
        </w:rPr>
        <w:t xml:space="preserve">août </w:t>
      </w:r>
      <w:r w:rsidR="000078DA" w:rsidRPr="002715F2">
        <w:rPr>
          <w:rFonts w:eastAsia="Batang"/>
          <w:lang w:val="fr-FR" w:eastAsia="ko-KR"/>
        </w:rPr>
        <w:t xml:space="preserve">2004, </w:t>
      </w:r>
      <w:r w:rsidR="00685B35" w:rsidRPr="002715F2">
        <w:rPr>
          <w:rFonts w:eastAsia="Batang"/>
          <w:lang w:val="fr-FR" w:eastAsia="ko-KR"/>
        </w:rPr>
        <w:t xml:space="preserve">le </w:t>
      </w:r>
      <w:r w:rsidR="00C13622" w:rsidRPr="002715F2">
        <w:rPr>
          <w:rFonts w:eastAsia="Batang"/>
          <w:lang w:val="fr-FR" w:eastAsia="ko-KR"/>
        </w:rPr>
        <w:t>C</w:t>
      </w:r>
      <w:r w:rsidR="00685B35" w:rsidRPr="002715F2">
        <w:rPr>
          <w:rFonts w:eastAsia="Batang"/>
          <w:lang w:val="fr-FR" w:eastAsia="ko-KR"/>
        </w:rPr>
        <w:t xml:space="preserve">entre </w:t>
      </w:r>
      <w:r w:rsidR="005E72A9" w:rsidRPr="002715F2">
        <w:rPr>
          <w:rFonts w:eastAsia="Batang"/>
          <w:lang w:val="fr-FR" w:eastAsia="ko-KR"/>
        </w:rPr>
        <w:t xml:space="preserve">de </w:t>
      </w:r>
      <w:r w:rsidR="00C13622" w:rsidRPr="002715F2">
        <w:rPr>
          <w:rFonts w:eastAsia="Batang"/>
          <w:lang w:val="fr-FR" w:eastAsia="ko-KR"/>
        </w:rPr>
        <w:t>conseils</w:t>
      </w:r>
      <w:r w:rsidR="005E72A9" w:rsidRPr="002715F2">
        <w:rPr>
          <w:rFonts w:eastAsia="Batang"/>
          <w:lang w:val="fr-FR" w:eastAsia="ko-KR"/>
        </w:rPr>
        <w:t xml:space="preserve"> </w:t>
      </w:r>
      <w:r w:rsidR="00C13622" w:rsidRPr="002715F2">
        <w:rPr>
          <w:rFonts w:eastAsia="Batang"/>
          <w:lang w:val="fr-FR" w:eastAsia="ko-KR"/>
        </w:rPr>
        <w:t>en matière de</w:t>
      </w:r>
      <w:r w:rsidR="005E72A9" w:rsidRPr="002715F2">
        <w:rPr>
          <w:rFonts w:eastAsia="Batang"/>
          <w:lang w:val="fr-FR" w:eastAsia="ko-KR"/>
        </w:rPr>
        <w:t xml:space="preserve"> violence familiale</w:t>
      </w:r>
      <w:r w:rsidR="00C13622" w:rsidRPr="002715F2">
        <w:rPr>
          <w:rFonts w:eastAsia="Batang"/>
          <w:lang w:val="fr-FR" w:eastAsia="ko-KR"/>
        </w:rPr>
        <w:t xml:space="preserve"> </w:t>
      </w:r>
      <w:r w:rsidR="00C13622" w:rsidRPr="002715F2">
        <w:rPr>
          <w:rFonts w:ascii="TimesNewRomanPSMT" w:hAnsi="TimesNewRomanPSMT" w:cs="TimesNewRomanPSMT"/>
          <w:lang w:val="fr-FR" w:eastAsia="en-GB"/>
        </w:rPr>
        <w:t xml:space="preserve">s’emploie également à </w:t>
      </w:r>
      <w:r w:rsidR="006C353A" w:rsidRPr="002715F2">
        <w:rPr>
          <w:rFonts w:ascii="TimesNewRomanPSMT" w:hAnsi="TimesNewRomanPSMT" w:cs="TimesNewRomanPSMT"/>
          <w:lang w:val="fr-FR" w:eastAsia="en-GB"/>
        </w:rPr>
        <w:t>prévenir</w:t>
      </w:r>
      <w:r w:rsidR="00C13622" w:rsidRPr="002715F2">
        <w:rPr>
          <w:rFonts w:ascii="TimesNewRomanPSMT" w:hAnsi="TimesNewRomanPSMT" w:cs="TimesNewRomanPSMT"/>
          <w:lang w:val="fr-FR" w:eastAsia="en-GB"/>
        </w:rPr>
        <w:t xml:space="preserve"> </w:t>
      </w:r>
      <w:r w:rsidR="00C13622" w:rsidRPr="002715F2">
        <w:rPr>
          <w:rFonts w:eastAsia="Batang"/>
          <w:lang w:val="fr-FR" w:eastAsia="ko-KR"/>
        </w:rPr>
        <w:t xml:space="preserve">ce type de violence </w:t>
      </w:r>
      <w:r w:rsidR="00685B35" w:rsidRPr="002715F2">
        <w:rPr>
          <w:rFonts w:eastAsia="Batang"/>
          <w:lang w:val="fr-FR" w:eastAsia="ko-KR"/>
        </w:rPr>
        <w:t xml:space="preserve">en </w:t>
      </w:r>
      <w:r w:rsidR="006C353A" w:rsidRPr="002715F2">
        <w:rPr>
          <w:rFonts w:eastAsia="Batang"/>
          <w:lang w:val="fr-FR" w:eastAsia="ko-KR"/>
        </w:rPr>
        <w:t xml:space="preserve">mettant en œuvre </w:t>
      </w:r>
      <w:r w:rsidR="00685B35" w:rsidRPr="002715F2">
        <w:rPr>
          <w:rFonts w:eastAsia="Batang"/>
          <w:lang w:val="fr-FR" w:eastAsia="ko-KR"/>
        </w:rPr>
        <w:t xml:space="preserve">des programmes de </w:t>
      </w:r>
      <w:r w:rsidR="005E72A9" w:rsidRPr="002715F2">
        <w:rPr>
          <w:rFonts w:eastAsia="Batang"/>
          <w:lang w:val="fr-FR" w:eastAsia="ko-KR"/>
        </w:rPr>
        <w:t>gestion et de thérapie comportementales</w:t>
      </w:r>
      <w:r w:rsidR="00685B35" w:rsidRPr="002715F2">
        <w:rPr>
          <w:rFonts w:eastAsia="Batang"/>
          <w:lang w:val="fr-FR" w:eastAsia="ko-KR"/>
        </w:rPr>
        <w:t xml:space="preserve"> </w:t>
      </w:r>
      <w:r w:rsidR="00C13622" w:rsidRPr="002715F2">
        <w:rPr>
          <w:rFonts w:eastAsia="Batang"/>
          <w:lang w:val="fr-FR" w:eastAsia="ko-KR"/>
        </w:rPr>
        <w:t>à l’intention des</w:t>
      </w:r>
      <w:r w:rsidR="00685B35" w:rsidRPr="002715F2">
        <w:rPr>
          <w:rFonts w:eastAsia="Batang"/>
          <w:lang w:val="fr-FR" w:eastAsia="ko-KR"/>
        </w:rPr>
        <w:t xml:space="preserve"> </w:t>
      </w:r>
      <w:r w:rsidR="00C13622" w:rsidRPr="002715F2">
        <w:rPr>
          <w:rFonts w:eastAsia="Batang"/>
          <w:lang w:val="fr-FR" w:eastAsia="ko-KR"/>
        </w:rPr>
        <w:t>délinquants qui ont</w:t>
      </w:r>
      <w:r w:rsidR="00685B35" w:rsidRPr="002715F2">
        <w:rPr>
          <w:rFonts w:eastAsia="Batang"/>
          <w:lang w:val="fr-FR" w:eastAsia="ko-KR"/>
        </w:rPr>
        <w:t xml:space="preserve"> bénéficié d’une suspension </w:t>
      </w:r>
      <w:r w:rsidR="00C13622" w:rsidRPr="002715F2">
        <w:rPr>
          <w:rFonts w:eastAsia="Malgun Gothic"/>
          <w:kern w:val="2"/>
          <w:lang w:val="fr-FR" w:eastAsia="ko-KR"/>
        </w:rPr>
        <w:t xml:space="preserve">des poursuites engagées contre eux </w:t>
      </w:r>
      <w:r w:rsidR="006C353A" w:rsidRPr="002715F2">
        <w:rPr>
          <w:rFonts w:eastAsia="Batang"/>
          <w:lang w:val="fr-FR" w:eastAsia="ko-KR"/>
        </w:rPr>
        <w:t xml:space="preserve">sous réserve </w:t>
      </w:r>
      <w:r w:rsidR="005E72A9" w:rsidRPr="002715F2">
        <w:rPr>
          <w:rFonts w:eastAsia="Batang"/>
          <w:lang w:val="fr-FR" w:eastAsia="ko-KR"/>
        </w:rPr>
        <w:t>d</w:t>
      </w:r>
      <w:r w:rsidR="006C353A" w:rsidRPr="002715F2">
        <w:rPr>
          <w:rFonts w:eastAsia="Batang"/>
          <w:lang w:val="fr-FR" w:eastAsia="ko-KR"/>
        </w:rPr>
        <w:t>’accepter une</w:t>
      </w:r>
      <w:r w:rsidR="00C13622" w:rsidRPr="002715F2">
        <w:rPr>
          <w:rFonts w:eastAsia="Batang"/>
          <w:lang w:val="fr-FR" w:eastAsia="ko-KR"/>
        </w:rPr>
        <w:t xml:space="preserve"> </w:t>
      </w:r>
      <w:r w:rsidR="00C13622" w:rsidRPr="002715F2">
        <w:rPr>
          <w:rFonts w:eastAsia="Malgun Gothic"/>
          <w:kern w:val="2"/>
          <w:lang w:val="fr-FR" w:eastAsia="ko-KR"/>
        </w:rPr>
        <w:t>prise en charge psychologique</w:t>
      </w:r>
      <w:r w:rsidR="00C13622" w:rsidRPr="002715F2">
        <w:rPr>
          <w:rFonts w:eastAsia="Batang"/>
          <w:lang w:val="fr-FR" w:eastAsia="ko-KR"/>
        </w:rPr>
        <w:t xml:space="preserve"> </w:t>
      </w:r>
      <w:r w:rsidR="00685B35" w:rsidRPr="002715F2">
        <w:rPr>
          <w:rFonts w:eastAsia="Batang"/>
          <w:lang w:val="fr-FR" w:eastAsia="ko-KR"/>
        </w:rPr>
        <w:t>ou de</w:t>
      </w:r>
      <w:r w:rsidR="006C353A" w:rsidRPr="002715F2">
        <w:rPr>
          <w:rFonts w:eastAsia="Batang"/>
          <w:lang w:val="fr-FR" w:eastAsia="ko-KR"/>
        </w:rPr>
        <w:t>s</w:t>
      </w:r>
      <w:r w:rsidR="005E72A9" w:rsidRPr="002715F2">
        <w:rPr>
          <w:rFonts w:eastAsia="Batang"/>
          <w:lang w:val="fr-FR" w:eastAsia="ko-KR"/>
        </w:rPr>
        <w:t xml:space="preserve"> mesure</w:t>
      </w:r>
      <w:r w:rsidR="00685B35" w:rsidRPr="002715F2">
        <w:rPr>
          <w:rFonts w:eastAsia="Batang"/>
          <w:lang w:val="fr-FR" w:eastAsia="ko-KR"/>
        </w:rPr>
        <w:t xml:space="preserve">s </w:t>
      </w:r>
      <w:r w:rsidR="005E72A9" w:rsidRPr="002715F2">
        <w:rPr>
          <w:rFonts w:eastAsia="Batang"/>
          <w:lang w:val="fr-FR" w:eastAsia="ko-KR"/>
        </w:rPr>
        <w:t xml:space="preserve">de </w:t>
      </w:r>
      <w:r w:rsidR="00685B35" w:rsidRPr="002715F2">
        <w:rPr>
          <w:rFonts w:eastAsia="Batang"/>
          <w:lang w:val="fr-FR" w:eastAsia="ko-KR"/>
        </w:rPr>
        <w:t>protection (</w:t>
      </w:r>
      <w:r w:rsidR="00C13622" w:rsidRPr="002715F2">
        <w:rPr>
          <w:rFonts w:eastAsia="Batang"/>
          <w:lang w:val="fr-FR" w:eastAsia="ko-KR"/>
        </w:rPr>
        <w:t xml:space="preserve">obligation </w:t>
      </w:r>
      <w:r w:rsidR="005E72A9" w:rsidRPr="002715F2">
        <w:rPr>
          <w:rFonts w:eastAsia="Batang"/>
          <w:lang w:val="fr-FR" w:eastAsia="ko-KR"/>
        </w:rPr>
        <w:t>d’assister à des cours</w:t>
      </w:r>
      <w:r w:rsidR="006C353A" w:rsidRPr="002715F2">
        <w:rPr>
          <w:rFonts w:eastAsia="Batang"/>
          <w:lang w:val="fr-FR" w:eastAsia="ko-KR"/>
        </w:rPr>
        <w:t xml:space="preserve"> ou</w:t>
      </w:r>
      <w:r w:rsidR="00685B35" w:rsidRPr="002715F2">
        <w:rPr>
          <w:rFonts w:eastAsia="Batang"/>
          <w:lang w:val="fr-FR" w:eastAsia="ko-KR"/>
        </w:rPr>
        <w:t xml:space="preserve"> de </w:t>
      </w:r>
      <w:r w:rsidR="006C353A" w:rsidRPr="002715F2">
        <w:rPr>
          <w:rFonts w:eastAsia="Batang"/>
          <w:lang w:val="fr-FR" w:eastAsia="ko-KR"/>
        </w:rPr>
        <w:t>suivre une thérapie ou</w:t>
      </w:r>
      <w:r w:rsidR="00C13622" w:rsidRPr="002715F2">
        <w:rPr>
          <w:rFonts w:eastAsia="Batang"/>
          <w:lang w:val="fr-FR" w:eastAsia="ko-KR"/>
        </w:rPr>
        <w:t xml:space="preserve"> autres</w:t>
      </w:r>
      <w:r w:rsidR="00685B35" w:rsidRPr="002715F2">
        <w:rPr>
          <w:rFonts w:eastAsia="Batang"/>
          <w:lang w:val="fr-FR" w:eastAsia="ko-KR"/>
        </w:rPr>
        <w:t>)</w:t>
      </w:r>
      <w:r w:rsidR="000078DA" w:rsidRPr="002715F2">
        <w:rPr>
          <w:rFonts w:eastAsia="Batang"/>
          <w:lang w:val="fr-FR" w:eastAsia="ko-KR"/>
        </w:rPr>
        <w:t xml:space="preserve">. </w:t>
      </w:r>
      <w:r w:rsidR="00685B35" w:rsidRPr="002715F2">
        <w:rPr>
          <w:rFonts w:eastAsia="Batang"/>
          <w:lang w:val="fr-FR" w:eastAsia="ko-KR"/>
        </w:rPr>
        <w:t>Une étude réalisée en 2014 a montré que 95,7</w:t>
      </w:r>
      <w:r w:rsidR="006C353A" w:rsidRPr="002715F2">
        <w:rPr>
          <w:rFonts w:eastAsia="Batang"/>
          <w:lang w:val="fr-FR" w:eastAsia="ko-KR"/>
        </w:rPr>
        <w:t> </w:t>
      </w:r>
      <w:r w:rsidR="00685B35" w:rsidRPr="002715F2">
        <w:rPr>
          <w:rFonts w:eastAsia="Batang"/>
          <w:lang w:val="fr-FR" w:eastAsia="ko-KR"/>
        </w:rPr>
        <w:t xml:space="preserve">% des auteurs de violence </w:t>
      </w:r>
      <w:r w:rsidR="006C353A" w:rsidRPr="002715F2">
        <w:rPr>
          <w:rFonts w:eastAsia="Batang"/>
          <w:lang w:val="fr-FR" w:eastAsia="ko-KR"/>
        </w:rPr>
        <w:t>familiale</w:t>
      </w:r>
      <w:r w:rsidR="00964B5B" w:rsidRPr="002715F2">
        <w:rPr>
          <w:rFonts w:eastAsia="Batang"/>
          <w:lang w:val="fr-FR" w:eastAsia="ko-KR"/>
        </w:rPr>
        <w:t xml:space="preserve"> </w:t>
      </w:r>
      <w:r w:rsidR="006C353A" w:rsidRPr="002715F2">
        <w:rPr>
          <w:rFonts w:eastAsia="Batang"/>
          <w:lang w:val="fr-FR" w:eastAsia="ko-KR"/>
        </w:rPr>
        <w:t>et 91 % de leur conjoint</w:t>
      </w:r>
      <w:r w:rsidR="00853EFE" w:rsidRPr="002715F2">
        <w:rPr>
          <w:rFonts w:eastAsia="Batang"/>
          <w:lang w:val="fr-FR" w:eastAsia="ko-KR"/>
        </w:rPr>
        <w:t>e</w:t>
      </w:r>
      <w:r w:rsidR="00685B35" w:rsidRPr="002715F2">
        <w:rPr>
          <w:rFonts w:eastAsia="Batang"/>
          <w:lang w:val="fr-FR" w:eastAsia="ko-KR"/>
        </w:rPr>
        <w:t xml:space="preserve"> étaient satisfaits de</w:t>
      </w:r>
      <w:r w:rsidR="00964B5B" w:rsidRPr="002715F2">
        <w:rPr>
          <w:rFonts w:eastAsia="Batang"/>
          <w:lang w:val="fr-FR" w:eastAsia="ko-KR"/>
        </w:rPr>
        <w:t xml:space="preserve"> ce</w:t>
      </w:r>
      <w:r w:rsidR="00685B35" w:rsidRPr="002715F2">
        <w:rPr>
          <w:rFonts w:eastAsia="Batang"/>
          <w:lang w:val="fr-FR" w:eastAsia="ko-KR"/>
        </w:rPr>
        <w:t xml:space="preserve">s programmes. Par ailleurs, depuis 2006, des programmes </w:t>
      </w:r>
      <w:r w:rsidR="006C353A" w:rsidRPr="002715F2">
        <w:rPr>
          <w:rFonts w:eastAsia="Batang"/>
          <w:lang w:val="fr-FR" w:eastAsia="ko-KR"/>
        </w:rPr>
        <w:t>similaires</w:t>
      </w:r>
      <w:r w:rsidR="00685B35" w:rsidRPr="002715F2">
        <w:rPr>
          <w:rFonts w:eastAsia="Batang"/>
          <w:lang w:val="fr-FR" w:eastAsia="ko-KR"/>
        </w:rPr>
        <w:t xml:space="preserve"> sont proposés aux auteurs de violences s</w:t>
      </w:r>
      <w:r w:rsidR="006C353A" w:rsidRPr="002715F2">
        <w:rPr>
          <w:rFonts w:eastAsia="Batang"/>
          <w:lang w:val="fr-FR" w:eastAsia="ko-KR"/>
        </w:rPr>
        <w:t>exuelles (voir le tableau </w:t>
      </w:r>
      <w:r w:rsidR="00685B35" w:rsidRPr="002715F2">
        <w:rPr>
          <w:rFonts w:eastAsia="Batang"/>
          <w:lang w:val="fr-FR" w:eastAsia="ko-KR"/>
        </w:rPr>
        <w:t>4).</w:t>
      </w:r>
    </w:p>
    <w:p w:rsidR="000078DA" w:rsidRPr="002715F2" w:rsidRDefault="007026FB" w:rsidP="007026FB">
      <w:pPr>
        <w:pStyle w:val="SingleTxtG"/>
        <w:rPr>
          <w:rFonts w:eastAsia="Batang"/>
          <w:lang w:val="fr-FR" w:eastAsia="ko-KR"/>
        </w:rPr>
      </w:pPr>
      <w:r w:rsidRPr="002715F2">
        <w:rPr>
          <w:rFonts w:eastAsia="Batang"/>
          <w:lang w:val="fr-FR" w:eastAsia="ko-KR"/>
        </w:rPr>
        <w:t>46.</w:t>
      </w:r>
      <w:r w:rsidRPr="002715F2">
        <w:rPr>
          <w:rFonts w:eastAsia="Batang"/>
          <w:lang w:val="fr-FR" w:eastAsia="ko-KR"/>
        </w:rPr>
        <w:tab/>
      </w:r>
      <w:r w:rsidR="006C353A" w:rsidRPr="002715F2">
        <w:rPr>
          <w:rFonts w:eastAsia="Batang"/>
          <w:lang w:val="fr-FR" w:eastAsia="ko-KR"/>
        </w:rPr>
        <w:t>Entre 2006 et 2015, 67 923 </w:t>
      </w:r>
      <w:r w:rsidR="00964B5B" w:rsidRPr="002715F2">
        <w:rPr>
          <w:rFonts w:eastAsia="Batang"/>
          <w:lang w:val="fr-FR" w:eastAsia="ko-KR"/>
        </w:rPr>
        <w:t xml:space="preserve">délinquants sexuels ont été </w:t>
      </w:r>
      <w:r w:rsidR="006C353A" w:rsidRPr="002715F2">
        <w:rPr>
          <w:rFonts w:eastAsia="Batang"/>
          <w:lang w:val="fr-FR" w:eastAsia="ko-KR"/>
        </w:rPr>
        <w:t>jugés</w:t>
      </w:r>
      <w:r w:rsidR="00964B5B" w:rsidRPr="002715F2">
        <w:rPr>
          <w:rFonts w:eastAsia="Batang"/>
          <w:lang w:val="fr-FR" w:eastAsia="ko-KR"/>
        </w:rPr>
        <w:t xml:space="preserve"> devant le tribunal de première instance</w:t>
      </w:r>
      <w:r w:rsidR="000078DA" w:rsidRPr="002715F2">
        <w:rPr>
          <w:rFonts w:eastAsia="Batang"/>
          <w:lang w:val="fr-FR" w:eastAsia="ko-KR"/>
        </w:rPr>
        <w:t xml:space="preserve">. </w:t>
      </w:r>
      <w:r w:rsidR="006C353A" w:rsidRPr="002715F2">
        <w:rPr>
          <w:rFonts w:eastAsia="Batang"/>
          <w:lang w:val="fr-FR" w:eastAsia="ko-KR"/>
        </w:rPr>
        <w:t>Sur ces 67 923 </w:t>
      </w:r>
      <w:r w:rsidR="00964B5B" w:rsidRPr="002715F2">
        <w:rPr>
          <w:rFonts w:eastAsia="Batang"/>
          <w:lang w:val="fr-FR" w:eastAsia="ko-KR"/>
        </w:rPr>
        <w:t xml:space="preserve">délinquants, </w:t>
      </w:r>
      <w:r w:rsidR="006B6450" w:rsidRPr="002715F2">
        <w:rPr>
          <w:rFonts w:eastAsia="Batang"/>
          <w:lang w:val="fr-FR" w:eastAsia="ko-KR"/>
        </w:rPr>
        <w:t>neuf</w:t>
      </w:r>
      <w:r w:rsidR="00964B5B" w:rsidRPr="002715F2">
        <w:rPr>
          <w:rFonts w:eastAsia="Batang"/>
          <w:lang w:val="fr-FR" w:eastAsia="ko-KR"/>
        </w:rPr>
        <w:t xml:space="preserve"> ont été condamnés à la peine capitale, 20</w:t>
      </w:r>
      <w:r w:rsidR="006C353A" w:rsidRPr="002715F2">
        <w:rPr>
          <w:rFonts w:eastAsia="Batang"/>
          <w:lang w:val="fr-FR" w:eastAsia="ko-KR"/>
        </w:rPr>
        <w:t> </w:t>
      </w:r>
      <w:r w:rsidR="00964B5B" w:rsidRPr="002715F2">
        <w:rPr>
          <w:rFonts w:eastAsia="Batang"/>
          <w:lang w:val="fr-FR" w:eastAsia="ko-KR"/>
        </w:rPr>
        <w:t>410 à</w:t>
      </w:r>
      <w:r w:rsidR="006C353A" w:rsidRPr="002715F2">
        <w:rPr>
          <w:rFonts w:eastAsia="Batang"/>
          <w:lang w:val="fr-FR" w:eastAsia="ko-KR"/>
        </w:rPr>
        <w:t xml:space="preserve"> une peine d’emprisonnement, 19 </w:t>
      </w:r>
      <w:r w:rsidR="00964B5B" w:rsidRPr="002715F2">
        <w:rPr>
          <w:rFonts w:eastAsia="Batang"/>
          <w:lang w:val="fr-FR" w:eastAsia="ko-KR"/>
        </w:rPr>
        <w:t>852</w:t>
      </w:r>
      <w:r w:rsidR="007C4705" w:rsidRPr="002715F2">
        <w:rPr>
          <w:rFonts w:eastAsia="Batang"/>
          <w:lang w:val="fr-FR" w:eastAsia="ko-KR"/>
        </w:rPr>
        <w:t> ont bénéficié d’un sursis à l’exécution de l</w:t>
      </w:r>
      <w:r w:rsidR="00F53043" w:rsidRPr="002715F2">
        <w:rPr>
          <w:rFonts w:eastAsia="Batang"/>
          <w:lang w:val="fr-FR" w:eastAsia="ko-KR"/>
        </w:rPr>
        <w:t>eur peine</w:t>
      </w:r>
      <w:r w:rsidR="006C353A" w:rsidRPr="002715F2">
        <w:rPr>
          <w:rFonts w:eastAsia="Batang"/>
          <w:lang w:val="fr-FR" w:eastAsia="ko-KR"/>
        </w:rPr>
        <w:t>, 14 </w:t>
      </w:r>
      <w:r w:rsidR="007C4705" w:rsidRPr="002715F2">
        <w:rPr>
          <w:rFonts w:eastAsia="Batang"/>
          <w:lang w:val="fr-FR" w:eastAsia="ko-KR"/>
        </w:rPr>
        <w:t xml:space="preserve">117 ont reçu </w:t>
      </w:r>
      <w:r w:rsidR="001E2865" w:rsidRPr="002715F2">
        <w:rPr>
          <w:rFonts w:eastAsia="Batang"/>
          <w:lang w:val="fr-FR" w:eastAsia="ko-KR"/>
        </w:rPr>
        <w:t>une amende</w:t>
      </w:r>
      <w:r w:rsidR="007C4705" w:rsidRPr="002715F2">
        <w:rPr>
          <w:rFonts w:eastAsia="Batang"/>
          <w:lang w:val="fr-FR" w:eastAsia="ko-KR"/>
        </w:rPr>
        <w:t>, 811 </w:t>
      </w:r>
      <w:r w:rsidR="006B6450" w:rsidRPr="002715F2">
        <w:rPr>
          <w:rFonts w:eastAsia="Batang"/>
          <w:lang w:val="fr-FR" w:eastAsia="ko-KR"/>
        </w:rPr>
        <w:t xml:space="preserve">ont obtenu </w:t>
      </w:r>
      <w:r w:rsidR="00F53043" w:rsidRPr="002715F2">
        <w:rPr>
          <w:rFonts w:eastAsia="Batang"/>
          <w:lang w:val="fr-FR" w:eastAsia="ko-KR"/>
        </w:rPr>
        <w:t>un sursis au prononcé de la peine</w:t>
      </w:r>
      <w:r w:rsidR="006C353A" w:rsidRPr="002715F2">
        <w:rPr>
          <w:rFonts w:eastAsia="Batang"/>
          <w:lang w:val="fr-FR" w:eastAsia="ko-KR"/>
        </w:rPr>
        <w:t>, 1 </w:t>
      </w:r>
      <w:r w:rsidR="007C4705" w:rsidRPr="002715F2">
        <w:rPr>
          <w:rFonts w:eastAsia="Batang"/>
          <w:lang w:val="fr-FR" w:eastAsia="ko-KR"/>
        </w:rPr>
        <w:t>458 </w:t>
      </w:r>
      <w:r w:rsidR="00964B5B" w:rsidRPr="002715F2">
        <w:rPr>
          <w:rFonts w:eastAsia="Batang"/>
          <w:lang w:val="fr-FR" w:eastAsia="ko-KR"/>
        </w:rPr>
        <w:t>ont é</w:t>
      </w:r>
      <w:r w:rsidR="006C353A" w:rsidRPr="002715F2">
        <w:rPr>
          <w:rFonts w:eastAsia="Batang"/>
          <w:lang w:val="fr-FR" w:eastAsia="ko-KR"/>
        </w:rPr>
        <w:t xml:space="preserve">té </w:t>
      </w:r>
      <w:r w:rsidR="007C4705" w:rsidRPr="002715F2">
        <w:rPr>
          <w:rFonts w:eastAsia="Batang"/>
          <w:lang w:val="fr-FR" w:eastAsia="ko-KR"/>
        </w:rPr>
        <w:t>déclarés</w:t>
      </w:r>
      <w:r w:rsidR="006C353A" w:rsidRPr="002715F2">
        <w:rPr>
          <w:rFonts w:eastAsia="Batang"/>
          <w:lang w:val="fr-FR" w:eastAsia="ko-KR"/>
        </w:rPr>
        <w:t xml:space="preserve"> non coupables et 11 </w:t>
      </w:r>
      <w:r w:rsidR="00964B5B" w:rsidRPr="002715F2">
        <w:rPr>
          <w:rFonts w:eastAsia="Batang"/>
          <w:lang w:val="fr-FR" w:eastAsia="ko-KR"/>
        </w:rPr>
        <w:t xml:space="preserve">266 </w:t>
      </w:r>
      <w:r w:rsidR="00BD100E" w:rsidRPr="002715F2">
        <w:rPr>
          <w:rFonts w:eastAsia="Batang"/>
          <w:lang w:val="fr-FR" w:eastAsia="ko-KR"/>
        </w:rPr>
        <w:t>ont fait l’objet d’</w:t>
      </w:r>
      <w:r w:rsidR="00964B5B" w:rsidRPr="002715F2">
        <w:rPr>
          <w:rFonts w:eastAsia="Batang"/>
          <w:lang w:val="fr-FR" w:eastAsia="ko-KR"/>
        </w:rPr>
        <w:t>autres décisions (voir</w:t>
      </w:r>
      <w:r w:rsidR="006C353A" w:rsidRPr="002715F2">
        <w:rPr>
          <w:rFonts w:eastAsia="Batang"/>
          <w:lang w:val="fr-FR" w:eastAsia="ko-KR"/>
        </w:rPr>
        <w:t xml:space="preserve"> le tableau </w:t>
      </w:r>
      <w:r w:rsidR="00964B5B" w:rsidRPr="002715F2">
        <w:rPr>
          <w:rFonts w:eastAsia="Batang"/>
          <w:lang w:val="fr-FR" w:eastAsia="ko-KR"/>
        </w:rPr>
        <w:t>5)</w:t>
      </w:r>
      <w:r w:rsidR="000078DA" w:rsidRPr="002715F2">
        <w:rPr>
          <w:rFonts w:eastAsia="Batang"/>
          <w:lang w:val="fr-FR" w:eastAsia="ko-KR"/>
        </w:rPr>
        <w:t>.</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3305C2" w:rsidRPr="002715F2">
        <w:rPr>
          <w:rFonts w:eastAsia="Batang"/>
          <w:lang w:val="fr-FR" w:eastAsia="ko-KR"/>
        </w:rPr>
        <w:t xml:space="preserve">Systèmes de protection et </w:t>
      </w:r>
      <w:r w:rsidR="007149EF" w:rsidRPr="002715F2">
        <w:rPr>
          <w:rFonts w:eastAsia="Batang"/>
          <w:lang w:val="fr-FR" w:eastAsia="ko-KR"/>
        </w:rPr>
        <w:t xml:space="preserve">de </w:t>
      </w:r>
      <w:r w:rsidR="003305C2" w:rsidRPr="002715F2">
        <w:rPr>
          <w:rFonts w:eastAsia="Batang"/>
          <w:lang w:val="fr-FR" w:eastAsia="ko-KR"/>
        </w:rPr>
        <w:t>soutien aux victimes de violences familiales ou sexuelles</w:t>
      </w:r>
    </w:p>
    <w:p w:rsidR="000078DA" w:rsidRPr="002715F2" w:rsidRDefault="007026FB" w:rsidP="007026FB">
      <w:pPr>
        <w:pStyle w:val="SingleTxtG"/>
        <w:rPr>
          <w:rFonts w:eastAsia="Gulim"/>
          <w:lang w:val="fr-FR" w:eastAsia="ko-KR"/>
        </w:rPr>
      </w:pPr>
      <w:r w:rsidRPr="002715F2">
        <w:rPr>
          <w:rFonts w:eastAsia="Gulim"/>
          <w:lang w:val="fr-FR" w:eastAsia="ko-KR"/>
        </w:rPr>
        <w:t>47.</w:t>
      </w:r>
      <w:r w:rsidRPr="002715F2">
        <w:rPr>
          <w:rFonts w:eastAsia="Gulim"/>
          <w:lang w:val="fr-FR" w:eastAsia="ko-KR"/>
        </w:rPr>
        <w:tab/>
      </w:r>
      <w:r w:rsidR="003305C2" w:rsidRPr="002715F2">
        <w:rPr>
          <w:rFonts w:eastAsia="Batang"/>
          <w:lang w:val="fr-FR" w:eastAsia="ko-KR"/>
        </w:rPr>
        <w:t xml:space="preserve">Afin d’aider les femmes victimes de violences à surmonter leurs </w:t>
      </w:r>
      <w:r w:rsidR="00AA7135" w:rsidRPr="002715F2">
        <w:rPr>
          <w:rFonts w:eastAsia="Batang"/>
          <w:lang w:val="fr-FR" w:eastAsia="ko-KR"/>
        </w:rPr>
        <w:t>traumatismes</w:t>
      </w:r>
      <w:r w:rsidR="003305C2" w:rsidRPr="002715F2">
        <w:rPr>
          <w:rFonts w:eastAsia="Batang"/>
          <w:lang w:val="fr-FR" w:eastAsia="ko-KR"/>
        </w:rPr>
        <w:t xml:space="preserve">, le Gouvernement a </w:t>
      </w:r>
      <w:r w:rsidR="00AA7135" w:rsidRPr="002715F2">
        <w:rPr>
          <w:rFonts w:eastAsia="Batang"/>
          <w:lang w:val="fr-FR" w:eastAsia="ko-KR"/>
        </w:rPr>
        <w:t>mis en place des</w:t>
      </w:r>
      <w:r w:rsidR="003305C2" w:rsidRPr="002715F2">
        <w:rPr>
          <w:rFonts w:eastAsia="Batang"/>
          <w:lang w:val="fr-FR" w:eastAsia="ko-KR"/>
        </w:rPr>
        <w:t xml:space="preserve"> système</w:t>
      </w:r>
      <w:r w:rsidR="00AA7135" w:rsidRPr="002715F2">
        <w:rPr>
          <w:rFonts w:eastAsia="Batang"/>
          <w:lang w:val="fr-FR" w:eastAsia="ko-KR"/>
        </w:rPr>
        <w:t>s</w:t>
      </w:r>
      <w:r w:rsidR="003305C2" w:rsidRPr="002715F2">
        <w:rPr>
          <w:rFonts w:eastAsia="Batang"/>
          <w:lang w:val="fr-FR" w:eastAsia="ko-KR"/>
        </w:rPr>
        <w:t xml:space="preserve"> </w:t>
      </w:r>
      <w:r w:rsidR="00AA7135" w:rsidRPr="002715F2">
        <w:rPr>
          <w:rFonts w:eastAsia="Batang"/>
          <w:lang w:val="fr-FR" w:eastAsia="ko-KR"/>
        </w:rPr>
        <w:t xml:space="preserve">complets </w:t>
      </w:r>
      <w:r w:rsidR="003305C2" w:rsidRPr="002715F2">
        <w:rPr>
          <w:rFonts w:eastAsia="Batang"/>
          <w:lang w:val="fr-FR" w:eastAsia="ko-KR"/>
        </w:rPr>
        <w:t xml:space="preserve">de protection et de soutien </w:t>
      </w:r>
      <w:r w:rsidR="00AA7135" w:rsidRPr="002715F2">
        <w:rPr>
          <w:rFonts w:eastAsia="Batang"/>
          <w:lang w:val="fr-FR" w:eastAsia="ko-KR"/>
        </w:rPr>
        <w:t>pour les</w:t>
      </w:r>
      <w:r w:rsidR="003305C2" w:rsidRPr="002715F2">
        <w:rPr>
          <w:rFonts w:eastAsia="Batang"/>
          <w:lang w:val="fr-FR" w:eastAsia="ko-KR"/>
        </w:rPr>
        <w:t xml:space="preserve"> </w:t>
      </w:r>
      <w:r w:rsidR="009648C0" w:rsidRPr="002715F2">
        <w:rPr>
          <w:rFonts w:eastAsia="Batang"/>
          <w:lang w:val="fr-FR" w:eastAsia="ko-KR"/>
        </w:rPr>
        <w:t xml:space="preserve">personnes </w:t>
      </w:r>
      <w:r w:rsidR="003305C2" w:rsidRPr="002715F2">
        <w:rPr>
          <w:rFonts w:eastAsia="Batang"/>
          <w:lang w:val="fr-FR" w:eastAsia="ko-KR"/>
        </w:rPr>
        <w:t>victimes de violences familiales ou sexuelles</w:t>
      </w:r>
      <w:r w:rsidR="00AA7135" w:rsidRPr="002715F2">
        <w:rPr>
          <w:rFonts w:eastAsia="Batang"/>
          <w:lang w:val="fr-FR" w:eastAsia="ko-KR"/>
        </w:rPr>
        <w:t xml:space="preserve">. Ces systèmes accompagnent les victimes </w:t>
      </w:r>
      <w:r w:rsidR="003305C2" w:rsidRPr="002715F2">
        <w:rPr>
          <w:rFonts w:eastAsia="Batang"/>
          <w:lang w:val="fr-FR" w:eastAsia="ko-KR"/>
        </w:rPr>
        <w:t xml:space="preserve">depuis </w:t>
      </w:r>
      <w:r w:rsidR="006C353A" w:rsidRPr="002715F2">
        <w:rPr>
          <w:rFonts w:eastAsia="Batang"/>
          <w:lang w:val="fr-FR" w:eastAsia="ko-KR"/>
        </w:rPr>
        <w:t xml:space="preserve">le signalement des faits </w:t>
      </w:r>
      <w:r w:rsidR="003305C2" w:rsidRPr="002715F2">
        <w:rPr>
          <w:rFonts w:eastAsia="Batang"/>
          <w:lang w:val="fr-FR" w:eastAsia="ko-KR"/>
        </w:rPr>
        <w:t xml:space="preserve">jusqu’à </w:t>
      </w:r>
      <w:r w:rsidR="00AA7135" w:rsidRPr="002715F2">
        <w:rPr>
          <w:rFonts w:eastAsia="Batang"/>
          <w:lang w:val="fr-FR" w:eastAsia="ko-KR"/>
        </w:rPr>
        <w:t>ce qu’elles soient en mesure de regagner leur autonomie</w:t>
      </w:r>
      <w:r w:rsidR="000078DA" w:rsidRPr="002715F2">
        <w:rPr>
          <w:rFonts w:eastAsia="Gulim"/>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48.</w:t>
      </w:r>
      <w:r w:rsidRPr="002715F2">
        <w:rPr>
          <w:rFonts w:eastAsia="Gulim"/>
          <w:lang w:val="fr-FR" w:eastAsia="ko-KR"/>
        </w:rPr>
        <w:tab/>
      </w:r>
      <w:r w:rsidR="002A77A1" w:rsidRPr="002715F2">
        <w:rPr>
          <w:rFonts w:eastAsia="Gulim"/>
          <w:lang w:val="fr-FR" w:eastAsia="ko-KR"/>
        </w:rPr>
        <w:t>Des</w:t>
      </w:r>
      <w:r w:rsidR="00AA7135" w:rsidRPr="002715F2">
        <w:rPr>
          <w:rFonts w:eastAsia="Gulim"/>
          <w:lang w:val="fr-FR" w:eastAsia="ko-KR"/>
        </w:rPr>
        <w:t xml:space="preserve"> centre</w:t>
      </w:r>
      <w:r w:rsidR="002A77A1" w:rsidRPr="002715F2">
        <w:rPr>
          <w:rFonts w:eastAsia="Gulim"/>
          <w:lang w:val="fr-FR" w:eastAsia="ko-KR"/>
        </w:rPr>
        <w:t>s</w:t>
      </w:r>
      <w:r w:rsidR="00AA7135" w:rsidRPr="002715F2">
        <w:rPr>
          <w:rFonts w:eastAsia="Gulim"/>
          <w:lang w:val="fr-FR" w:eastAsia="ko-KR"/>
        </w:rPr>
        <w:t xml:space="preserve"> d’appels d’urgence</w:t>
      </w:r>
      <w:r w:rsidR="007149EF" w:rsidRPr="002715F2">
        <w:rPr>
          <w:rFonts w:eastAsia="Gulim"/>
          <w:lang w:val="fr-FR" w:eastAsia="ko-KR"/>
        </w:rPr>
        <w:t xml:space="preserve"> (</w:t>
      </w:r>
      <w:r w:rsidR="007149EF" w:rsidRPr="002715F2">
        <w:rPr>
          <w:rFonts w:eastAsia="Gulim" w:cs="Gulim"/>
          <w:lang w:val="fr-FR" w:eastAsia="ko-KR"/>
        </w:rPr>
        <w:t>permanence téléphonique</w:t>
      </w:r>
      <w:r w:rsidR="00AA7135" w:rsidRPr="002715F2">
        <w:rPr>
          <w:rFonts w:eastAsia="Gulim" w:cs="Gulim"/>
          <w:lang w:val="fr-FR" w:eastAsia="ko-KR"/>
        </w:rPr>
        <w:t xml:space="preserve"> n</w:t>
      </w:r>
      <w:r w:rsidR="00AA7135" w:rsidRPr="002715F2">
        <w:rPr>
          <w:rFonts w:eastAsia="Gulim" w:cs="Gulim"/>
          <w:vertAlign w:val="superscript"/>
          <w:lang w:val="fr-FR" w:eastAsia="ko-KR"/>
        </w:rPr>
        <w:t>o</w:t>
      </w:r>
      <w:r w:rsidR="00AA7135" w:rsidRPr="002715F2">
        <w:rPr>
          <w:rFonts w:eastAsia="Gulim"/>
          <w:lang w:val="fr-FR" w:eastAsia="ko-KR"/>
        </w:rPr>
        <w:t> </w:t>
      </w:r>
      <w:r w:rsidR="007149EF" w:rsidRPr="002715F2">
        <w:rPr>
          <w:rFonts w:eastAsia="Gulim"/>
          <w:lang w:val="fr-FR" w:eastAsia="ko-KR"/>
        </w:rPr>
        <w:t xml:space="preserve">1366) </w:t>
      </w:r>
      <w:r w:rsidR="00045044" w:rsidRPr="002715F2">
        <w:rPr>
          <w:rFonts w:eastAsia="Gulim"/>
          <w:lang w:val="fr-FR" w:eastAsia="ko-KR"/>
        </w:rPr>
        <w:t>propose</w:t>
      </w:r>
      <w:r w:rsidR="002A77A1" w:rsidRPr="002715F2">
        <w:rPr>
          <w:rFonts w:eastAsia="Gulim"/>
          <w:lang w:val="fr-FR" w:eastAsia="ko-KR"/>
        </w:rPr>
        <w:t>nt</w:t>
      </w:r>
      <w:r w:rsidR="00045044" w:rsidRPr="002715F2">
        <w:rPr>
          <w:rFonts w:eastAsia="Gulim"/>
          <w:lang w:val="fr-FR" w:eastAsia="ko-KR"/>
        </w:rPr>
        <w:t xml:space="preserve"> </w:t>
      </w:r>
      <w:r w:rsidR="002A77A1" w:rsidRPr="002715F2">
        <w:rPr>
          <w:rFonts w:eastAsia="Gulim"/>
          <w:lang w:val="fr-FR" w:eastAsia="ko-KR"/>
        </w:rPr>
        <w:t>divers</w:t>
      </w:r>
      <w:r w:rsidR="00045044" w:rsidRPr="002715F2">
        <w:rPr>
          <w:rFonts w:eastAsia="Gulim"/>
          <w:lang w:val="fr-FR" w:eastAsia="ko-KR"/>
        </w:rPr>
        <w:t xml:space="preserve"> services aux victimes, </w:t>
      </w:r>
      <w:r w:rsidR="004374BD" w:rsidRPr="002715F2">
        <w:rPr>
          <w:rFonts w:eastAsia="Gulim"/>
          <w:lang w:val="fr-FR" w:eastAsia="ko-KR"/>
        </w:rPr>
        <w:t xml:space="preserve">notamment </w:t>
      </w:r>
      <w:r w:rsidR="00045044" w:rsidRPr="002715F2">
        <w:rPr>
          <w:rFonts w:eastAsia="Gulim"/>
          <w:lang w:val="fr-FR" w:eastAsia="ko-KR"/>
        </w:rPr>
        <w:t>de</w:t>
      </w:r>
      <w:r w:rsidR="004374BD" w:rsidRPr="002715F2">
        <w:rPr>
          <w:rFonts w:eastAsia="Gulim"/>
          <w:lang w:val="fr-FR" w:eastAsia="ko-KR"/>
        </w:rPr>
        <w:t>s</w:t>
      </w:r>
      <w:r w:rsidR="00045044" w:rsidRPr="002715F2">
        <w:rPr>
          <w:rFonts w:eastAsia="Gulim"/>
          <w:lang w:val="fr-FR" w:eastAsia="ko-KR"/>
        </w:rPr>
        <w:t xml:space="preserve"> conseil</w:t>
      </w:r>
      <w:r w:rsidR="004374BD" w:rsidRPr="002715F2">
        <w:rPr>
          <w:rFonts w:eastAsia="Gulim"/>
          <w:lang w:val="fr-FR" w:eastAsia="ko-KR"/>
        </w:rPr>
        <w:t>lers</w:t>
      </w:r>
      <w:r w:rsidR="00F46299" w:rsidRPr="002715F2">
        <w:rPr>
          <w:rFonts w:eastAsia="Gulim"/>
          <w:lang w:val="fr-FR" w:eastAsia="ko-KR"/>
        </w:rPr>
        <w:t xml:space="preserve"> </w:t>
      </w:r>
      <w:r w:rsidR="00EA07ED" w:rsidRPr="002715F2">
        <w:rPr>
          <w:rFonts w:eastAsia="Gulim"/>
          <w:lang w:val="fr-FR" w:eastAsia="ko-KR"/>
        </w:rPr>
        <w:t>joignable</w:t>
      </w:r>
      <w:r w:rsidR="004374BD" w:rsidRPr="002715F2">
        <w:rPr>
          <w:rFonts w:eastAsia="Gulim"/>
          <w:lang w:val="fr-FR" w:eastAsia="ko-KR"/>
        </w:rPr>
        <w:t>s</w:t>
      </w:r>
      <w:r w:rsidR="007149EF" w:rsidRPr="002715F2">
        <w:rPr>
          <w:rFonts w:eastAsia="Gulim"/>
          <w:lang w:val="fr-FR" w:eastAsia="ko-KR"/>
        </w:rPr>
        <w:t xml:space="preserve"> </w:t>
      </w:r>
      <w:r w:rsidR="00EA07ED" w:rsidRPr="002715F2">
        <w:rPr>
          <w:rFonts w:eastAsia="Gulim"/>
          <w:lang w:val="fr-FR" w:eastAsia="ko-KR"/>
        </w:rPr>
        <w:t>tous les jours de l’</w:t>
      </w:r>
      <w:r w:rsidR="007149EF" w:rsidRPr="002715F2">
        <w:rPr>
          <w:rFonts w:eastAsia="Gulim"/>
          <w:lang w:val="fr-FR" w:eastAsia="ko-KR"/>
        </w:rPr>
        <w:t>année</w:t>
      </w:r>
      <w:r w:rsidR="00F46299" w:rsidRPr="002715F2">
        <w:rPr>
          <w:rFonts w:eastAsia="Gulim"/>
          <w:lang w:val="fr-FR" w:eastAsia="ko-KR"/>
        </w:rPr>
        <w:t xml:space="preserve"> et</w:t>
      </w:r>
      <w:r w:rsidR="007149EF" w:rsidRPr="002715F2">
        <w:rPr>
          <w:rFonts w:eastAsia="Gulim"/>
          <w:lang w:val="fr-FR" w:eastAsia="ko-KR"/>
        </w:rPr>
        <w:t xml:space="preserve"> </w:t>
      </w:r>
      <w:r w:rsidR="00984C16" w:rsidRPr="002715F2">
        <w:rPr>
          <w:rFonts w:eastAsia="Gulim"/>
          <w:lang w:val="fr-FR" w:eastAsia="ko-KR"/>
        </w:rPr>
        <w:t>vingt-quatre</w:t>
      </w:r>
      <w:r w:rsidR="0022240D" w:rsidRPr="002715F2">
        <w:rPr>
          <w:rFonts w:eastAsia="Gulim"/>
          <w:lang w:val="fr-FR" w:eastAsia="ko-KR"/>
        </w:rPr>
        <w:t xml:space="preserve"> </w:t>
      </w:r>
      <w:r w:rsidR="00F46299" w:rsidRPr="002715F2">
        <w:rPr>
          <w:rFonts w:eastAsia="Gulim"/>
          <w:lang w:val="fr-FR" w:eastAsia="ko-KR"/>
        </w:rPr>
        <w:t>heures sur</w:t>
      </w:r>
      <w:r w:rsidR="00984C16" w:rsidRPr="002715F2">
        <w:rPr>
          <w:rFonts w:eastAsia="Gulim"/>
          <w:lang w:val="fr-FR" w:eastAsia="ko-KR"/>
        </w:rPr>
        <w:t xml:space="preserve"> vingt-quatre</w:t>
      </w:r>
      <w:r w:rsidR="00045044" w:rsidRPr="002715F2">
        <w:rPr>
          <w:rFonts w:eastAsia="Gulim"/>
          <w:lang w:val="fr-FR" w:eastAsia="ko-KR"/>
        </w:rPr>
        <w:t xml:space="preserve">. </w:t>
      </w:r>
      <w:r w:rsidR="009648C0" w:rsidRPr="002715F2">
        <w:rPr>
          <w:rFonts w:eastAsia="Gulim"/>
          <w:lang w:val="fr-FR" w:eastAsia="ko-KR"/>
        </w:rPr>
        <w:t>Ces centres</w:t>
      </w:r>
      <w:r w:rsidR="002A77A1" w:rsidRPr="002715F2">
        <w:rPr>
          <w:rFonts w:eastAsia="Gulim"/>
          <w:lang w:val="fr-FR" w:eastAsia="ko-KR"/>
        </w:rPr>
        <w:t xml:space="preserve"> sont également habilités à dépêcher</w:t>
      </w:r>
      <w:r w:rsidR="007149EF" w:rsidRPr="002715F2">
        <w:rPr>
          <w:rFonts w:eastAsia="Gulim"/>
          <w:lang w:val="fr-FR" w:eastAsia="ko-KR"/>
        </w:rPr>
        <w:t xml:space="preserve"> </w:t>
      </w:r>
      <w:r w:rsidR="002A77A1" w:rsidRPr="002715F2">
        <w:rPr>
          <w:rFonts w:eastAsia="Gulim"/>
          <w:lang w:val="fr-FR" w:eastAsia="ko-KR"/>
        </w:rPr>
        <w:t>du</w:t>
      </w:r>
      <w:r w:rsidR="007149EF" w:rsidRPr="002715F2">
        <w:rPr>
          <w:rFonts w:eastAsia="Gulim"/>
          <w:lang w:val="fr-FR" w:eastAsia="ko-KR"/>
        </w:rPr>
        <w:t xml:space="preserve"> personnel sur </w:t>
      </w:r>
      <w:r w:rsidR="00045044" w:rsidRPr="002715F2">
        <w:rPr>
          <w:rFonts w:eastAsia="Gulim"/>
          <w:lang w:val="fr-FR" w:eastAsia="ko-KR"/>
        </w:rPr>
        <w:t>le terrain</w:t>
      </w:r>
      <w:r w:rsidR="007149EF" w:rsidRPr="002715F2">
        <w:rPr>
          <w:rFonts w:eastAsia="Gulim"/>
          <w:lang w:val="fr-FR" w:eastAsia="ko-KR"/>
        </w:rPr>
        <w:t xml:space="preserve"> et </w:t>
      </w:r>
      <w:r w:rsidR="002A77A1" w:rsidRPr="002715F2">
        <w:rPr>
          <w:rFonts w:eastAsia="Gulim"/>
          <w:lang w:val="fr-FR" w:eastAsia="ko-KR"/>
        </w:rPr>
        <w:t xml:space="preserve">à </w:t>
      </w:r>
      <w:r w:rsidR="007149EF" w:rsidRPr="002715F2">
        <w:rPr>
          <w:rFonts w:eastAsia="Gulim"/>
          <w:lang w:val="fr-FR" w:eastAsia="ko-KR"/>
        </w:rPr>
        <w:t>orient</w:t>
      </w:r>
      <w:r w:rsidR="00045044" w:rsidRPr="002715F2">
        <w:rPr>
          <w:rFonts w:eastAsia="Gulim"/>
          <w:lang w:val="fr-FR" w:eastAsia="ko-KR"/>
        </w:rPr>
        <w:t xml:space="preserve">er les victimes </w:t>
      </w:r>
      <w:r w:rsidR="002A77A1" w:rsidRPr="002715F2">
        <w:rPr>
          <w:rFonts w:eastAsia="Gulim"/>
          <w:lang w:val="fr-FR" w:eastAsia="ko-KR"/>
        </w:rPr>
        <w:t xml:space="preserve">vers </w:t>
      </w:r>
      <w:r w:rsidR="007149EF" w:rsidRPr="002715F2">
        <w:rPr>
          <w:rFonts w:eastAsia="Gulim"/>
          <w:lang w:val="fr-FR" w:eastAsia="ko-KR"/>
        </w:rPr>
        <w:t>les organismes compétents</w:t>
      </w:r>
      <w:r w:rsidR="000078DA" w:rsidRPr="002715F2">
        <w:rPr>
          <w:rFonts w:eastAsia="Gulim"/>
          <w:lang w:val="fr-FR" w:eastAsia="ko-KR"/>
        </w:rPr>
        <w:t xml:space="preserve">. </w:t>
      </w:r>
      <w:r w:rsidR="00906A48" w:rsidRPr="002715F2">
        <w:rPr>
          <w:rFonts w:eastAsia="Gulim"/>
          <w:lang w:val="fr-FR" w:eastAsia="ko-KR"/>
        </w:rPr>
        <w:t>Au</w:t>
      </w:r>
      <w:r w:rsidR="00045044" w:rsidRPr="002715F2">
        <w:rPr>
          <w:rFonts w:eastAsia="Gulim"/>
          <w:lang w:val="fr-FR" w:eastAsia="ko-KR"/>
        </w:rPr>
        <w:t xml:space="preserve"> 31 décembre 2015, 18 </w:t>
      </w:r>
      <w:r w:rsidR="00F46299" w:rsidRPr="002715F2">
        <w:rPr>
          <w:rFonts w:eastAsia="Gulim"/>
          <w:lang w:val="fr-FR" w:eastAsia="ko-KR"/>
        </w:rPr>
        <w:t xml:space="preserve">centres </w:t>
      </w:r>
      <w:r w:rsidR="00906A48" w:rsidRPr="002715F2">
        <w:rPr>
          <w:rFonts w:eastAsia="Gulim"/>
          <w:lang w:val="fr-FR" w:eastAsia="ko-KR"/>
        </w:rPr>
        <w:t>étaient</w:t>
      </w:r>
      <w:r w:rsidR="00F46299" w:rsidRPr="002715F2">
        <w:rPr>
          <w:rFonts w:eastAsia="Gulim"/>
          <w:lang w:val="fr-FR" w:eastAsia="ko-KR"/>
        </w:rPr>
        <w:t xml:space="preserve"> en </w:t>
      </w:r>
      <w:r w:rsidR="00045044" w:rsidRPr="002715F2">
        <w:rPr>
          <w:rFonts w:eastAsia="Gulim"/>
          <w:lang w:val="fr-FR" w:eastAsia="ko-KR"/>
        </w:rPr>
        <w:t>service dans le pays</w:t>
      </w:r>
      <w:r w:rsidR="00F46299" w:rsidRPr="002715F2">
        <w:rPr>
          <w:rFonts w:eastAsia="Gulim"/>
          <w:lang w:val="fr-FR" w:eastAsia="ko-KR"/>
        </w:rPr>
        <w:t xml:space="preserve"> </w:t>
      </w:r>
      <w:r w:rsidR="000078DA" w:rsidRPr="002715F2">
        <w:rPr>
          <w:rFonts w:eastAsia="Gulim"/>
          <w:lang w:val="fr-FR" w:eastAsia="ko-KR"/>
        </w:rPr>
        <w:t>(</w:t>
      </w:r>
      <w:r w:rsidR="00F46299" w:rsidRPr="002715F2">
        <w:rPr>
          <w:rFonts w:eastAsia="Gulim"/>
          <w:lang w:val="fr-FR" w:eastAsia="ko-KR"/>
        </w:rPr>
        <w:t>voir</w:t>
      </w:r>
      <w:r w:rsidR="000078DA" w:rsidRPr="002715F2">
        <w:rPr>
          <w:rFonts w:eastAsia="Gulim"/>
          <w:lang w:val="fr-FR" w:eastAsia="ko-KR"/>
        </w:rPr>
        <w:t xml:space="preserve"> </w:t>
      </w:r>
      <w:r w:rsidR="00045044" w:rsidRPr="002715F2">
        <w:rPr>
          <w:rFonts w:eastAsia="Gulim"/>
          <w:lang w:val="fr-FR" w:eastAsia="ko-KR"/>
        </w:rPr>
        <w:t xml:space="preserve">le </w:t>
      </w:r>
      <w:r w:rsidR="000078DA" w:rsidRPr="002715F2">
        <w:rPr>
          <w:rFonts w:eastAsia="Gulim"/>
          <w:lang w:val="fr-FR" w:eastAsia="ko-KR"/>
        </w:rPr>
        <w:t>table</w:t>
      </w:r>
      <w:r w:rsidR="00F46299" w:rsidRPr="002715F2">
        <w:rPr>
          <w:rFonts w:eastAsia="Gulim"/>
          <w:lang w:val="fr-FR" w:eastAsia="ko-KR"/>
        </w:rPr>
        <w:t>au</w:t>
      </w:r>
      <w:r w:rsidR="0044640C" w:rsidRPr="002715F2">
        <w:rPr>
          <w:rFonts w:eastAsia="Gulim"/>
          <w:lang w:val="fr-FR" w:eastAsia="ko-KR"/>
        </w:rPr>
        <w:t> </w:t>
      </w:r>
      <w:r w:rsidR="000078DA" w:rsidRPr="002715F2">
        <w:rPr>
          <w:rFonts w:eastAsia="Gulim"/>
          <w:lang w:val="fr-FR" w:eastAsia="ko-KR"/>
        </w:rPr>
        <w:t>6</w:t>
      </w:r>
      <w:r w:rsidR="00F60999" w:rsidRPr="002715F2">
        <w:rPr>
          <w:rFonts w:eastAsia="Gulim"/>
          <w:lang w:val="fr-FR" w:eastAsia="ko-KR"/>
        </w:rPr>
        <w:t>).</w:t>
      </w:r>
    </w:p>
    <w:p w:rsidR="000078DA" w:rsidRPr="002715F2" w:rsidRDefault="007026FB" w:rsidP="007026FB">
      <w:pPr>
        <w:pStyle w:val="SingleTxtG"/>
        <w:rPr>
          <w:rFonts w:eastAsia="Gulim"/>
          <w:spacing w:val="-1"/>
          <w:lang w:val="fr-FR" w:eastAsia="ko-KR"/>
        </w:rPr>
      </w:pPr>
      <w:r w:rsidRPr="002715F2">
        <w:rPr>
          <w:rFonts w:eastAsia="Gulim"/>
          <w:spacing w:val="-1"/>
          <w:lang w:val="fr-FR" w:eastAsia="ko-KR"/>
        </w:rPr>
        <w:t>49.</w:t>
      </w:r>
      <w:r w:rsidRPr="002715F2">
        <w:rPr>
          <w:rFonts w:eastAsia="Gulim"/>
          <w:spacing w:val="-1"/>
          <w:lang w:val="fr-FR" w:eastAsia="ko-KR"/>
        </w:rPr>
        <w:tab/>
      </w:r>
      <w:r w:rsidR="00906A48" w:rsidRPr="002715F2">
        <w:rPr>
          <w:rFonts w:eastAsia="Gulim"/>
          <w:spacing w:val="-1"/>
          <w:lang w:val="fr-FR" w:eastAsia="ko-KR"/>
        </w:rPr>
        <w:t>Au</w:t>
      </w:r>
      <w:r w:rsidR="004F7E3F" w:rsidRPr="002715F2">
        <w:rPr>
          <w:rFonts w:eastAsia="Gulim"/>
          <w:lang w:val="fr-FR" w:eastAsia="ko-KR"/>
        </w:rPr>
        <w:t xml:space="preserve"> 31 </w:t>
      </w:r>
      <w:r w:rsidR="00906A48" w:rsidRPr="002715F2">
        <w:rPr>
          <w:rFonts w:eastAsia="Gulim"/>
          <w:lang w:val="fr-FR" w:eastAsia="ko-KR"/>
        </w:rPr>
        <w:t xml:space="preserve">décembre 2015, </w:t>
      </w:r>
      <w:r w:rsidR="0025191B" w:rsidRPr="002715F2">
        <w:rPr>
          <w:rFonts w:eastAsia="Gulim"/>
          <w:lang w:val="fr-FR" w:eastAsia="ko-KR"/>
        </w:rPr>
        <w:t xml:space="preserve">203 centres </w:t>
      </w:r>
      <w:r w:rsidR="0025191B" w:rsidRPr="002715F2">
        <w:rPr>
          <w:rFonts w:eastAsia="Batang"/>
          <w:lang w:val="fr-FR" w:eastAsia="ko-KR"/>
        </w:rPr>
        <w:t xml:space="preserve">de conseils </w:t>
      </w:r>
      <w:r w:rsidR="0025191B" w:rsidRPr="002715F2">
        <w:rPr>
          <w:rFonts w:eastAsia="Gulim"/>
          <w:lang w:val="fr-FR" w:eastAsia="ko-KR"/>
        </w:rPr>
        <w:t xml:space="preserve">et 70 structures de protection </w:t>
      </w:r>
      <w:r w:rsidR="00AF01E5" w:rsidRPr="002715F2">
        <w:rPr>
          <w:rFonts w:eastAsia="Gulim"/>
          <w:lang w:val="fr-FR" w:eastAsia="ko-KR"/>
        </w:rPr>
        <w:t xml:space="preserve">pouvant </w:t>
      </w:r>
      <w:r w:rsidR="0025191B" w:rsidRPr="002715F2">
        <w:rPr>
          <w:rFonts w:eastAsia="Gulim"/>
          <w:lang w:val="fr-FR" w:eastAsia="ko-KR"/>
        </w:rPr>
        <w:t>accueil</w:t>
      </w:r>
      <w:r w:rsidR="00AF01E5" w:rsidRPr="002715F2">
        <w:rPr>
          <w:rFonts w:eastAsia="Gulim"/>
          <w:lang w:val="fr-FR" w:eastAsia="ko-KR"/>
        </w:rPr>
        <w:t xml:space="preserve">lir jusqu’à </w:t>
      </w:r>
      <w:r w:rsidR="0025191B" w:rsidRPr="002715F2">
        <w:rPr>
          <w:rFonts w:eastAsia="Gulim"/>
          <w:lang w:val="fr-FR" w:eastAsia="ko-KR"/>
        </w:rPr>
        <w:t xml:space="preserve">1 139 personnes étaient à disposition des victimes </w:t>
      </w:r>
      <w:r w:rsidR="0025191B" w:rsidRPr="002715F2">
        <w:rPr>
          <w:rFonts w:eastAsia="Batang"/>
          <w:lang w:val="fr-FR" w:eastAsia="ko-KR"/>
        </w:rPr>
        <w:t xml:space="preserve">de violence familiale </w:t>
      </w:r>
      <w:r w:rsidR="0025191B" w:rsidRPr="002715F2">
        <w:rPr>
          <w:rFonts w:eastAsia="Gulim"/>
          <w:lang w:val="fr-FR" w:eastAsia="ko-KR"/>
        </w:rPr>
        <w:t>(</w:t>
      </w:r>
      <w:r w:rsidR="0025191B" w:rsidRPr="002715F2">
        <w:rPr>
          <w:rFonts w:eastAsia="Gulim"/>
          <w:kern w:val="2"/>
          <w:lang w:val="fr-FR" w:eastAsia="ko-KR"/>
        </w:rPr>
        <w:t>voir le t</w:t>
      </w:r>
      <w:r w:rsidR="0025191B" w:rsidRPr="002715F2">
        <w:rPr>
          <w:rFonts w:eastAsia="Gulim"/>
          <w:lang w:val="fr-FR" w:eastAsia="ko-KR"/>
        </w:rPr>
        <w:t xml:space="preserve">ableau 7). </w:t>
      </w:r>
      <w:r w:rsidR="00145FBC" w:rsidRPr="002715F2">
        <w:rPr>
          <w:rFonts w:eastAsia="Gulim"/>
          <w:lang w:val="fr-FR" w:eastAsia="ko-KR"/>
        </w:rPr>
        <w:t xml:space="preserve">Pour les victimes </w:t>
      </w:r>
      <w:r w:rsidR="00145FBC" w:rsidRPr="002715F2">
        <w:rPr>
          <w:rFonts w:eastAsia="Batang"/>
          <w:lang w:val="fr-FR" w:eastAsia="ko-KR"/>
        </w:rPr>
        <w:t>de violence</w:t>
      </w:r>
      <w:r w:rsidR="00043C32" w:rsidRPr="002715F2">
        <w:rPr>
          <w:rFonts w:eastAsia="Batang"/>
          <w:lang w:val="fr-FR" w:eastAsia="ko-KR"/>
        </w:rPr>
        <w:t>s</w:t>
      </w:r>
      <w:r w:rsidR="00145FBC" w:rsidRPr="002715F2">
        <w:rPr>
          <w:rFonts w:eastAsia="Batang"/>
          <w:lang w:val="fr-FR" w:eastAsia="ko-KR"/>
        </w:rPr>
        <w:t xml:space="preserve"> </w:t>
      </w:r>
      <w:r w:rsidR="00145FBC" w:rsidRPr="002715F2">
        <w:rPr>
          <w:rFonts w:eastAsia="Gulim"/>
          <w:lang w:val="fr-FR" w:eastAsia="ko-KR"/>
        </w:rPr>
        <w:t>sexuelle</w:t>
      </w:r>
      <w:r w:rsidR="00043C32" w:rsidRPr="002715F2">
        <w:rPr>
          <w:rFonts w:eastAsia="Gulim"/>
          <w:lang w:val="fr-FR" w:eastAsia="ko-KR"/>
        </w:rPr>
        <w:t>s</w:t>
      </w:r>
      <w:r w:rsidR="0025191B" w:rsidRPr="002715F2">
        <w:rPr>
          <w:rFonts w:eastAsia="Gulim"/>
          <w:lang w:val="fr-FR" w:eastAsia="ko-KR"/>
        </w:rPr>
        <w:t>,</w:t>
      </w:r>
      <w:r w:rsidR="00145FBC" w:rsidRPr="002715F2">
        <w:rPr>
          <w:rFonts w:eastAsia="Gulim"/>
          <w:lang w:val="fr-FR" w:eastAsia="ko-KR"/>
        </w:rPr>
        <w:t xml:space="preserve"> </w:t>
      </w:r>
      <w:r w:rsidR="0025191B" w:rsidRPr="002715F2">
        <w:rPr>
          <w:rFonts w:eastAsia="Gulim"/>
          <w:lang w:val="fr-FR" w:eastAsia="ko-KR"/>
        </w:rPr>
        <w:t>il existait</w:t>
      </w:r>
      <w:r w:rsidR="00F46299" w:rsidRPr="002715F2">
        <w:rPr>
          <w:rFonts w:eastAsia="Gulim"/>
          <w:lang w:val="fr-FR" w:eastAsia="ko-KR"/>
        </w:rPr>
        <w:t xml:space="preserve"> </w:t>
      </w:r>
      <w:r w:rsidR="000078DA" w:rsidRPr="002715F2">
        <w:rPr>
          <w:rFonts w:eastAsia="Gulim"/>
          <w:lang w:val="fr-FR" w:eastAsia="ko-KR"/>
        </w:rPr>
        <w:t>161</w:t>
      </w:r>
      <w:r w:rsidR="00BC4636" w:rsidRPr="002715F2">
        <w:rPr>
          <w:rFonts w:eastAsia="Gulim"/>
          <w:lang w:val="fr-FR" w:eastAsia="ko-KR"/>
        </w:rPr>
        <w:t> </w:t>
      </w:r>
      <w:r w:rsidR="00F46299" w:rsidRPr="002715F2">
        <w:rPr>
          <w:rFonts w:eastAsia="Gulim"/>
          <w:lang w:val="fr-FR" w:eastAsia="ko-KR"/>
        </w:rPr>
        <w:t xml:space="preserve">centres </w:t>
      </w:r>
      <w:r w:rsidR="00F46299" w:rsidRPr="002715F2">
        <w:rPr>
          <w:rFonts w:eastAsia="Batang"/>
          <w:lang w:val="fr-FR" w:eastAsia="ko-KR"/>
        </w:rPr>
        <w:t xml:space="preserve">de </w:t>
      </w:r>
      <w:r w:rsidR="00BC4636" w:rsidRPr="002715F2">
        <w:rPr>
          <w:rFonts w:eastAsia="Batang"/>
          <w:lang w:val="fr-FR" w:eastAsia="ko-KR"/>
        </w:rPr>
        <w:t>conseils</w:t>
      </w:r>
      <w:r w:rsidR="000078DA" w:rsidRPr="002715F2">
        <w:rPr>
          <w:rFonts w:eastAsia="Gulim"/>
          <w:lang w:val="fr-FR" w:eastAsia="ko-KR"/>
        </w:rPr>
        <w:t xml:space="preserve">, </w:t>
      </w:r>
      <w:r w:rsidR="00F46299" w:rsidRPr="002715F2">
        <w:rPr>
          <w:rFonts w:eastAsia="Gulim"/>
          <w:lang w:val="fr-FR" w:eastAsia="ko-KR"/>
        </w:rPr>
        <w:t>dont 23</w:t>
      </w:r>
      <w:r w:rsidR="007D5260" w:rsidRPr="002715F2">
        <w:rPr>
          <w:rFonts w:eastAsia="Gulim"/>
          <w:lang w:val="fr-FR" w:eastAsia="ko-KR"/>
        </w:rPr>
        <w:t xml:space="preserve"> pour</w:t>
      </w:r>
      <w:r w:rsidR="00F46299" w:rsidRPr="002715F2">
        <w:rPr>
          <w:rFonts w:eastAsia="Gulim"/>
          <w:lang w:val="fr-FR" w:eastAsia="ko-KR"/>
        </w:rPr>
        <w:t xml:space="preserve"> personnes </w:t>
      </w:r>
      <w:r w:rsidR="00D40C5F" w:rsidRPr="002715F2">
        <w:rPr>
          <w:rFonts w:eastAsia="Gulim"/>
          <w:lang w:val="fr-FR" w:eastAsia="ko-KR"/>
        </w:rPr>
        <w:t>handicapées</w:t>
      </w:r>
      <w:r w:rsidR="00145FBC" w:rsidRPr="002715F2">
        <w:rPr>
          <w:rFonts w:eastAsia="Gulim"/>
          <w:lang w:val="fr-FR" w:eastAsia="ko-KR"/>
        </w:rPr>
        <w:t xml:space="preserve">, et </w:t>
      </w:r>
      <w:r w:rsidR="00BC4636" w:rsidRPr="002715F2">
        <w:rPr>
          <w:rFonts w:eastAsia="Gulim"/>
          <w:lang w:val="fr-FR" w:eastAsia="ko-KR"/>
        </w:rPr>
        <w:t xml:space="preserve">30 structures </w:t>
      </w:r>
      <w:r w:rsidR="00D40C5F" w:rsidRPr="002715F2">
        <w:rPr>
          <w:rFonts w:eastAsia="Gulim"/>
          <w:lang w:val="fr-FR" w:eastAsia="ko-KR"/>
        </w:rPr>
        <w:t xml:space="preserve">de protection </w:t>
      </w:r>
      <w:r w:rsidR="00145FBC" w:rsidRPr="002715F2">
        <w:rPr>
          <w:rFonts w:eastAsia="Gulim"/>
          <w:lang w:val="fr-FR" w:eastAsia="ko-KR"/>
        </w:rPr>
        <w:t xml:space="preserve">pouvant </w:t>
      </w:r>
      <w:r w:rsidR="00D40C5F" w:rsidRPr="002715F2">
        <w:rPr>
          <w:rFonts w:eastAsia="Gulim"/>
          <w:lang w:val="fr-FR" w:eastAsia="ko-KR"/>
        </w:rPr>
        <w:t xml:space="preserve">accueillir jusqu’à </w:t>
      </w:r>
      <w:r w:rsidR="00BC4636" w:rsidRPr="002715F2">
        <w:rPr>
          <w:rFonts w:eastAsia="Gulim"/>
          <w:lang w:val="fr-FR" w:eastAsia="ko-KR"/>
        </w:rPr>
        <w:t>346 </w:t>
      </w:r>
      <w:r w:rsidR="00F46299" w:rsidRPr="002715F2">
        <w:rPr>
          <w:rFonts w:eastAsia="Gulim"/>
          <w:lang w:val="fr-FR" w:eastAsia="ko-KR"/>
        </w:rPr>
        <w:t>personnes, dont 8</w:t>
      </w:r>
      <w:r w:rsidR="00145FBC" w:rsidRPr="002715F2">
        <w:rPr>
          <w:rFonts w:eastAsia="Gulim"/>
          <w:lang w:val="fr-FR" w:eastAsia="ko-KR"/>
        </w:rPr>
        <w:t> structures</w:t>
      </w:r>
      <w:r w:rsidR="00F46299" w:rsidRPr="002715F2">
        <w:rPr>
          <w:rFonts w:eastAsia="Gulim"/>
          <w:lang w:val="fr-FR" w:eastAsia="ko-KR"/>
        </w:rPr>
        <w:t xml:space="preserve"> </w:t>
      </w:r>
      <w:r w:rsidR="00C55F6E" w:rsidRPr="002715F2">
        <w:rPr>
          <w:rFonts w:eastAsia="Gulim"/>
          <w:lang w:val="fr-FR" w:eastAsia="ko-KR"/>
        </w:rPr>
        <w:t>pour</w:t>
      </w:r>
      <w:r w:rsidR="00D40C5F" w:rsidRPr="002715F2">
        <w:rPr>
          <w:rFonts w:eastAsia="Gulim"/>
          <w:lang w:val="fr-FR" w:eastAsia="ko-KR"/>
        </w:rPr>
        <w:t xml:space="preserve"> personnes handicapées </w:t>
      </w:r>
      <w:r w:rsidR="00F46299" w:rsidRPr="002715F2">
        <w:rPr>
          <w:rFonts w:eastAsia="Gulim"/>
          <w:lang w:val="fr-FR" w:eastAsia="ko-KR"/>
        </w:rPr>
        <w:t>et 4</w:t>
      </w:r>
      <w:r w:rsidR="007D5260" w:rsidRPr="002715F2">
        <w:rPr>
          <w:rFonts w:eastAsia="Gulim"/>
          <w:lang w:val="fr-FR" w:eastAsia="ko-KR"/>
        </w:rPr>
        <w:t> </w:t>
      </w:r>
      <w:r w:rsidR="007D5260" w:rsidRPr="002715F2">
        <w:rPr>
          <w:rFonts w:ascii="TimesNewRomanPSMT" w:hAnsi="TimesNewRomanPSMT" w:cs="TimesNewRomanPSMT"/>
          <w:lang w:val="fr-FR" w:eastAsia="en-GB"/>
        </w:rPr>
        <w:t>foyers d’hébergement</w:t>
      </w:r>
      <w:r w:rsidR="007D5260" w:rsidRPr="002715F2">
        <w:rPr>
          <w:rFonts w:eastAsia="Gulim"/>
          <w:lang w:val="fr-FR" w:eastAsia="ko-KR"/>
        </w:rPr>
        <w:t xml:space="preserve"> </w:t>
      </w:r>
      <w:r w:rsidR="00C55F6E" w:rsidRPr="002715F2">
        <w:rPr>
          <w:rFonts w:eastAsia="Gulim"/>
          <w:lang w:val="fr-FR" w:eastAsia="ko-KR"/>
        </w:rPr>
        <w:t>pour</w:t>
      </w:r>
      <w:r w:rsidR="00F46299" w:rsidRPr="002715F2">
        <w:rPr>
          <w:rFonts w:eastAsia="Gulim"/>
          <w:lang w:val="fr-FR" w:eastAsia="ko-KR"/>
        </w:rPr>
        <w:t xml:space="preserve"> </w:t>
      </w:r>
      <w:r w:rsidR="007D5260" w:rsidRPr="002715F2">
        <w:rPr>
          <w:rFonts w:eastAsia="Gulim"/>
          <w:lang w:val="fr-FR" w:eastAsia="ko-KR"/>
        </w:rPr>
        <w:t xml:space="preserve">les </w:t>
      </w:r>
      <w:r w:rsidR="00F46299" w:rsidRPr="002715F2">
        <w:rPr>
          <w:rFonts w:eastAsia="Gulim"/>
          <w:lang w:val="fr-FR" w:eastAsia="ko-KR"/>
        </w:rPr>
        <w:t>mineurs victimes d</w:t>
      </w:r>
      <w:r w:rsidR="00D40C5F" w:rsidRPr="002715F2">
        <w:rPr>
          <w:rFonts w:eastAsia="Gulim"/>
          <w:lang w:val="fr-FR" w:eastAsia="ko-KR"/>
        </w:rPr>
        <w:t>’</w:t>
      </w:r>
      <w:r w:rsidR="00F46299" w:rsidRPr="002715F2">
        <w:rPr>
          <w:rFonts w:eastAsia="Gulim"/>
          <w:lang w:val="fr-FR" w:eastAsia="ko-KR"/>
        </w:rPr>
        <w:t xml:space="preserve">abus sexuels </w:t>
      </w:r>
      <w:r w:rsidR="00D40C5F" w:rsidRPr="002715F2">
        <w:rPr>
          <w:rFonts w:eastAsia="Gulim"/>
          <w:lang w:val="fr-FR" w:eastAsia="ko-KR"/>
        </w:rPr>
        <w:t>au sein de leur famille</w:t>
      </w:r>
      <w:r w:rsidR="00F46299" w:rsidRPr="002715F2">
        <w:rPr>
          <w:rFonts w:eastAsia="Gulim"/>
          <w:lang w:val="fr-FR" w:eastAsia="ko-KR"/>
        </w:rPr>
        <w:t xml:space="preserve"> (voir </w:t>
      </w:r>
      <w:r w:rsidR="00BC4636" w:rsidRPr="002715F2">
        <w:rPr>
          <w:rFonts w:eastAsia="Gulim"/>
          <w:lang w:val="fr-FR" w:eastAsia="ko-KR"/>
        </w:rPr>
        <w:t xml:space="preserve">le </w:t>
      </w:r>
      <w:r w:rsidR="00F46299" w:rsidRPr="002715F2">
        <w:rPr>
          <w:rFonts w:eastAsia="Gulim"/>
          <w:lang w:val="fr-FR" w:eastAsia="ko-KR"/>
        </w:rPr>
        <w:t>tableau</w:t>
      </w:r>
      <w:r w:rsidR="00BC4636" w:rsidRPr="002715F2">
        <w:rPr>
          <w:rFonts w:eastAsia="Gulim"/>
          <w:lang w:val="fr-FR" w:eastAsia="ko-KR"/>
        </w:rPr>
        <w:t> </w:t>
      </w:r>
      <w:r w:rsidR="00F46299" w:rsidRPr="002715F2">
        <w:rPr>
          <w:rFonts w:eastAsia="Gulim"/>
          <w:lang w:val="fr-FR" w:eastAsia="ko-KR"/>
        </w:rPr>
        <w:t>8)</w:t>
      </w:r>
      <w:r w:rsidR="00F60999" w:rsidRPr="002715F2">
        <w:rPr>
          <w:rFonts w:eastAsia="Gulim"/>
          <w:spacing w:val="-1"/>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50.</w:t>
      </w:r>
      <w:r w:rsidRPr="002715F2">
        <w:rPr>
          <w:rFonts w:eastAsia="Gulim"/>
          <w:lang w:val="fr-FR" w:eastAsia="ko-KR"/>
        </w:rPr>
        <w:tab/>
      </w:r>
      <w:r w:rsidR="00D40C5F" w:rsidRPr="002715F2">
        <w:rPr>
          <w:rFonts w:eastAsia="Gulim"/>
          <w:lang w:val="fr-FR" w:eastAsia="ko-KR"/>
        </w:rPr>
        <w:t xml:space="preserve">Depuis </w:t>
      </w:r>
      <w:r w:rsidR="00043C32" w:rsidRPr="002715F2">
        <w:rPr>
          <w:rFonts w:eastAsia="Gulim"/>
          <w:lang w:val="fr-FR" w:eastAsia="ko-KR"/>
        </w:rPr>
        <w:t>le lancement du</w:t>
      </w:r>
      <w:r w:rsidR="00D40C5F" w:rsidRPr="002715F2">
        <w:rPr>
          <w:rFonts w:eastAsia="Gulim"/>
          <w:lang w:val="fr-FR" w:eastAsia="ko-KR"/>
        </w:rPr>
        <w:t xml:space="preserve"> </w:t>
      </w:r>
      <w:r w:rsidR="00043C32" w:rsidRPr="002715F2">
        <w:rPr>
          <w:rFonts w:eastAsia="Gulim"/>
          <w:lang w:val="fr-FR" w:eastAsia="ko-KR"/>
        </w:rPr>
        <w:t xml:space="preserve">Projet de foyers d’hébergement en 2008, les femmes victimes de violences familiales ou sexuelles </w:t>
      </w:r>
      <w:r w:rsidR="006A7395" w:rsidRPr="002715F2">
        <w:rPr>
          <w:rFonts w:ascii="TimesNewRomanPSMT" w:hAnsi="TimesNewRomanPSMT" w:cs="TimesNewRomanPSMT"/>
          <w:lang w:val="fr-FR" w:eastAsia="en-GB"/>
        </w:rPr>
        <w:t>et leur famille</w:t>
      </w:r>
      <w:r w:rsidR="006A7395" w:rsidRPr="002715F2">
        <w:rPr>
          <w:rFonts w:eastAsia="Gulim"/>
          <w:lang w:val="fr-FR" w:eastAsia="ko-KR"/>
        </w:rPr>
        <w:t xml:space="preserve"> </w:t>
      </w:r>
      <w:r w:rsidR="00043C32" w:rsidRPr="002715F2">
        <w:rPr>
          <w:rFonts w:eastAsia="Gulim"/>
          <w:lang w:val="fr-FR" w:eastAsia="ko-KR"/>
        </w:rPr>
        <w:t>peuvent accéder</w:t>
      </w:r>
      <w:r w:rsidR="00D40C5F" w:rsidRPr="002715F2">
        <w:rPr>
          <w:rFonts w:eastAsia="Gulim"/>
          <w:lang w:val="fr-FR" w:eastAsia="ko-KR"/>
        </w:rPr>
        <w:t xml:space="preserve"> </w:t>
      </w:r>
      <w:r w:rsidR="00043C32" w:rsidRPr="002715F2">
        <w:rPr>
          <w:rFonts w:eastAsia="Gulim"/>
          <w:lang w:val="fr-FR" w:eastAsia="ko-KR"/>
        </w:rPr>
        <w:t xml:space="preserve">à </w:t>
      </w:r>
      <w:r w:rsidR="00D40C5F" w:rsidRPr="002715F2">
        <w:rPr>
          <w:rFonts w:eastAsia="Gulim"/>
          <w:lang w:val="fr-FR" w:eastAsia="ko-KR"/>
        </w:rPr>
        <w:t xml:space="preserve">des logements </w:t>
      </w:r>
      <w:r w:rsidR="00043C32" w:rsidRPr="002715F2">
        <w:rPr>
          <w:rFonts w:eastAsia="Gulim"/>
          <w:lang w:val="fr-FR" w:eastAsia="ko-KR"/>
        </w:rPr>
        <w:t>sociaux</w:t>
      </w:r>
      <w:r w:rsidR="000078DA" w:rsidRPr="002715F2">
        <w:rPr>
          <w:rFonts w:eastAsia="Gulim"/>
          <w:lang w:val="fr-FR" w:eastAsia="ko-KR"/>
        </w:rPr>
        <w:t xml:space="preserve">. </w:t>
      </w:r>
      <w:r w:rsidR="00043C32" w:rsidRPr="002715F2">
        <w:rPr>
          <w:rFonts w:eastAsia="Gulim"/>
          <w:lang w:val="fr-FR" w:eastAsia="ko-KR"/>
        </w:rPr>
        <w:t>Au</w:t>
      </w:r>
      <w:r w:rsidR="007C2CFF" w:rsidRPr="002715F2">
        <w:rPr>
          <w:rFonts w:eastAsia="Gulim"/>
          <w:lang w:val="fr-FR" w:eastAsia="ko-KR"/>
        </w:rPr>
        <w:t xml:space="preserve"> 30</w:t>
      </w:r>
      <w:r w:rsidR="00043C32" w:rsidRPr="002715F2">
        <w:rPr>
          <w:rFonts w:eastAsia="Gulim"/>
          <w:lang w:val="fr-FR" w:eastAsia="ko-KR"/>
        </w:rPr>
        <w:t> </w:t>
      </w:r>
      <w:r w:rsidR="007C2CFF" w:rsidRPr="002715F2">
        <w:rPr>
          <w:rFonts w:eastAsia="Gulim"/>
          <w:lang w:val="fr-FR" w:eastAsia="ko-KR"/>
        </w:rPr>
        <w:t xml:space="preserve">juin 2015, 246 logements </w:t>
      </w:r>
      <w:r w:rsidR="006A7395" w:rsidRPr="002715F2">
        <w:rPr>
          <w:rFonts w:eastAsia="Gulim"/>
          <w:lang w:val="fr-FR" w:eastAsia="ko-KR"/>
        </w:rPr>
        <w:t>sociaux</w:t>
      </w:r>
      <w:r w:rsidR="00043C32" w:rsidRPr="002715F2">
        <w:rPr>
          <w:rFonts w:eastAsia="Gulim"/>
          <w:lang w:val="fr-FR" w:eastAsia="ko-KR"/>
        </w:rPr>
        <w:t xml:space="preserve"> pouvant accueillir </w:t>
      </w:r>
      <w:r w:rsidR="006A7395" w:rsidRPr="002715F2">
        <w:rPr>
          <w:rFonts w:eastAsia="Gulim"/>
          <w:lang w:val="fr-FR" w:eastAsia="ko-KR"/>
        </w:rPr>
        <w:t xml:space="preserve">jusqu’à </w:t>
      </w:r>
      <w:r w:rsidR="00043C32" w:rsidRPr="002715F2">
        <w:rPr>
          <w:rFonts w:eastAsia="Gulim"/>
          <w:lang w:val="fr-FR" w:eastAsia="ko-KR"/>
        </w:rPr>
        <w:t>590 </w:t>
      </w:r>
      <w:r w:rsidR="007D5260" w:rsidRPr="002715F2">
        <w:rPr>
          <w:rFonts w:eastAsia="Gulim"/>
          <w:lang w:val="fr-FR" w:eastAsia="ko-KR"/>
        </w:rPr>
        <w:t>personnes</w:t>
      </w:r>
      <w:r w:rsidR="00043C32" w:rsidRPr="002715F2">
        <w:rPr>
          <w:rFonts w:eastAsia="Gulim"/>
          <w:lang w:val="fr-FR" w:eastAsia="ko-KR"/>
        </w:rPr>
        <w:t xml:space="preserve"> </w:t>
      </w:r>
      <w:r w:rsidR="006A7395" w:rsidRPr="002715F2">
        <w:rPr>
          <w:rFonts w:eastAsia="Gulim"/>
          <w:lang w:val="fr-FR" w:eastAsia="ko-KR"/>
        </w:rPr>
        <w:t>étaient</w:t>
      </w:r>
      <w:r w:rsidR="00043C32" w:rsidRPr="002715F2">
        <w:rPr>
          <w:rFonts w:eastAsia="Gulim"/>
          <w:lang w:val="fr-FR" w:eastAsia="ko-KR"/>
        </w:rPr>
        <w:t xml:space="preserve"> à </w:t>
      </w:r>
      <w:r w:rsidR="000E0C8B" w:rsidRPr="002715F2">
        <w:rPr>
          <w:rFonts w:eastAsia="Gulim"/>
          <w:lang w:val="fr-FR" w:eastAsia="ko-KR"/>
        </w:rPr>
        <w:t xml:space="preserve">leur </w:t>
      </w:r>
      <w:r w:rsidR="00043C32" w:rsidRPr="002715F2">
        <w:rPr>
          <w:rFonts w:eastAsia="Gulim"/>
          <w:lang w:val="fr-FR" w:eastAsia="ko-KR"/>
        </w:rPr>
        <w:t xml:space="preserve">disposition. En outre, </w:t>
      </w:r>
      <w:r w:rsidR="006A7395" w:rsidRPr="002715F2">
        <w:rPr>
          <w:rFonts w:eastAsia="Gulim"/>
          <w:lang w:val="fr-FR" w:eastAsia="ko-KR"/>
        </w:rPr>
        <w:t>en</w:t>
      </w:r>
      <w:r w:rsidR="00043C32" w:rsidRPr="002715F2">
        <w:rPr>
          <w:rFonts w:eastAsia="Gulim"/>
          <w:lang w:val="fr-FR" w:eastAsia="ko-KR"/>
        </w:rPr>
        <w:t xml:space="preserve"> 2015, 20 </w:t>
      </w:r>
      <w:r w:rsidR="006A7395" w:rsidRPr="002715F2">
        <w:rPr>
          <w:rFonts w:eastAsia="Gulim"/>
          <w:lang w:val="fr-FR" w:eastAsia="ko-KR"/>
        </w:rPr>
        <w:t>structures</w:t>
      </w:r>
      <w:r w:rsidR="007C2CFF" w:rsidRPr="002715F2">
        <w:rPr>
          <w:rFonts w:eastAsia="Gulim"/>
          <w:lang w:val="fr-FR" w:eastAsia="ko-KR"/>
        </w:rPr>
        <w:t xml:space="preserve"> de protection famil</w:t>
      </w:r>
      <w:r w:rsidR="006A7395" w:rsidRPr="002715F2">
        <w:rPr>
          <w:rFonts w:eastAsia="Gulim"/>
          <w:lang w:val="fr-FR" w:eastAsia="ko-KR"/>
        </w:rPr>
        <w:t>iale</w:t>
      </w:r>
      <w:r w:rsidR="007C2CFF" w:rsidRPr="002715F2">
        <w:rPr>
          <w:rFonts w:eastAsia="Gulim"/>
          <w:lang w:val="fr-FR" w:eastAsia="ko-KR"/>
        </w:rPr>
        <w:t xml:space="preserve"> </w:t>
      </w:r>
      <w:r w:rsidR="007D5260" w:rsidRPr="002715F2">
        <w:rPr>
          <w:rFonts w:eastAsia="Gulim"/>
          <w:lang w:val="fr-FR" w:eastAsia="ko-KR"/>
        </w:rPr>
        <w:t>étaient</w:t>
      </w:r>
      <w:r w:rsidR="007C2CFF" w:rsidRPr="002715F2">
        <w:rPr>
          <w:rFonts w:eastAsia="Gulim"/>
          <w:lang w:val="fr-FR" w:eastAsia="ko-KR"/>
        </w:rPr>
        <w:t xml:space="preserve"> en service pour les victimes de vi</w:t>
      </w:r>
      <w:r w:rsidR="006A7395" w:rsidRPr="002715F2">
        <w:rPr>
          <w:rFonts w:eastAsia="Gulim"/>
          <w:lang w:val="fr-FR" w:eastAsia="ko-KR"/>
        </w:rPr>
        <w:t xml:space="preserve">olence conjugale accompagnées d’enfants âgés de </w:t>
      </w:r>
      <w:r w:rsidR="00984C16" w:rsidRPr="002715F2">
        <w:rPr>
          <w:rFonts w:eastAsia="Gulim"/>
          <w:lang w:val="fr-FR" w:eastAsia="ko-KR"/>
        </w:rPr>
        <w:t xml:space="preserve">10 </w:t>
      </w:r>
      <w:r w:rsidR="007C2CFF" w:rsidRPr="002715F2">
        <w:rPr>
          <w:rFonts w:eastAsia="Gulim"/>
          <w:lang w:val="fr-FR" w:eastAsia="ko-KR"/>
        </w:rPr>
        <w:t>ans ou plus</w:t>
      </w:r>
      <w:r w:rsidR="00F60999" w:rsidRPr="002715F2">
        <w:rPr>
          <w:rFonts w:eastAsia="Gulim"/>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51.</w:t>
      </w:r>
      <w:r w:rsidRPr="002715F2">
        <w:rPr>
          <w:rFonts w:eastAsia="Gulim"/>
          <w:lang w:val="fr-FR" w:eastAsia="ko-KR"/>
        </w:rPr>
        <w:tab/>
      </w:r>
      <w:r w:rsidR="007D5260" w:rsidRPr="002715F2">
        <w:rPr>
          <w:rFonts w:eastAsia="Gulim"/>
          <w:lang w:val="fr-FR" w:eastAsia="ko-KR"/>
        </w:rPr>
        <w:t xml:space="preserve">Des centres d’aide </w:t>
      </w:r>
      <w:r w:rsidR="005F3991" w:rsidRPr="002715F2">
        <w:rPr>
          <w:rFonts w:eastAsia="Gulim"/>
          <w:lang w:val="fr-FR" w:eastAsia="ko-KR"/>
        </w:rPr>
        <w:t>à guichet unique</w:t>
      </w:r>
      <w:r w:rsidR="007C2CFF" w:rsidRPr="002715F2">
        <w:rPr>
          <w:rFonts w:eastAsia="Gulim"/>
          <w:lang w:val="fr-FR" w:eastAsia="ko-KR"/>
        </w:rPr>
        <w:t xml:space="preserve">, appelés </w:t>
      </w:r>
      <w:r w:rsidR="00E97B1A" w:rsidRPr="002715F2">
        <w:rPr>
          <w:rFonts w:eastAsia="Gulim"/>
          <w:lang w:val="fr-FR" w:eastAsia="ko-KR"/>
        </w:rPr>
        <w:t>«</w:t>
      </w:r>
      <w:r w:rsidR="007D5260" w:rsidRPr="002715F2">
        <w:rPr>
          <w:rFonts w:eastAsia="Gulim"/>
          <w:lang w:val="fr-FR" w:eastAsia="ko-KR"/>
        </w:rPr>
        <w:t>C</w:t>
      </w:r>
      <w:r w:rsidR="007C2CFF" w:rsidRPr="002715F2">
        <w:rPr>
          <w:rFonts w:eastAsia="Gulim"/>
          <w:lang w:val="fr-FR" w:eastAsia="ko-KR"/>
        </w:rPr>
        <w:t>entres tournesol</w:t>
      </w:r>
      <w:r w:rsidR="00E97B1A" w:rsidRPr="002715F2">
        <w:rPr>
          <w:rFonts w:eastAsia="Gulim"/>
          <w:lang w:val="fr-FR" w:eastAsia="ko-KR"/>
        </w:rPr>
        <w:t>»</w:t>
      </w:r>
      <w:r w:rsidR="007C2CFF" w:rsidRPr="002715F2">
        <w:rPr>
          <w:rFonts w:eastAsia="Gulim"/>
          <w:lang w:val="fr-FR" w:eastAsia="ko-KR"/>
        </w:rPr>
        <w:t xml:space="preserve"> offrent </w:t>
      </w:r>
      <w:r w:rsidR="007D5260" w:rsidRPr="002715F2">
        <w:rPr>
          <w:rFonts w:eastAsia="Gulim"/>
          <w:lang w:val="fr-FR" w:eastAsia="ko-KR"/>
        </w:rPr>
        <w:t>de nomb</w:t>
      </w:r>
      <w:r w:rsidR="003D192F" w:rsidRPr="002715F2">
        <w:rPr>
          <w:rFonts w:eastAsia="Gulim"/>
          <w:lang w:val="fr-FR" w:eastAsia="ko-KR"/>
        </w:rPr>
        <w:t>reux</w:t>
      </w:r>
      <w:r w:rsidR="007C2CFF" w:rsidRPr="002715F2">
        <w:rPr>
          <w:rFonts w:eastAsia="Gulim"/>
          <w:lang w:val="fr-FR" w:eastAsia="ko-KR"/>
        </w:rPr>
        <w:t xml:space="preserve"> services aux femmes ou enfants victimes de violence</w:t>
      </w:r>
      <w:r w:rsidR="007D5260" w:rsidRPr="002715F2">
        <w:rPr>
          <w:rFonts w:eastAsia="Gulim"/>
          <w:lang w:val="fr-FR" w:eastAsia="ko-KR"/>
        </w:rPr>
        <w:t xml:space="preserve"> dès </w:t>
      </w:r>
      <w:r w:rsidR="005F3991" w:rsidRPr="002715F2">
        <w:rPr>
          <w:rFonts w:eastAsia="Gulim"/>
          <w:lang w:val="fr-FR" w:eastAsia="ko-KR"/>
        </w:rPr>
        <w:t>l’</w:t>
      </w:r>
      <w:r w:rsidR="005C6D8E" w:rsidRPr="002715F2">
        <w:rPr>
          <w:rFonts w:eastAsia="Gulim"/>
          <w:lang w:val="fr-FR" w:eastAsia="ko-KR"/>
        </w:rPr>
        <w:t>apparition</w:t>
      </w:r>
      <w:r w:rsidR="005F3991" w:rsidRPr="002715F2">
        <w:rPr>
          <w:rFonts w:eastAsia="Gulim"/>
          <w:lang w:val="fr-FR" w:eastAsia="ko-KR"/>
        </w:rPr>
        <w:t xml:space="preserve"> de ces </w:t>
      </w:r>
      <w:r w:rsidR="007C2CFF" w:rsidRPr="002715F2">
        <w:rPr>
          <w:rFonts w:eastAsia="Gulim"/>
          <w:lang w:val="fr-FR" w:eastAsia="ko-KR"/>
        </w:rPr>
        <w:t>violence</w:t>
      </w:r>
      <w:r w:rsidR="00501736" w:rsidRPr="002715F2">
        <w:rPr>
          <w:rFonts w:eastAsia="Gulim"/>
          <w:lang w:val="fr-FR" w:eastAsia="ko-KR"/>
        </w:rPr>
        <w:t>s</w:t>
      </w:r>
      <w:r w:rsidR="000078DA" w:rsidRPr="002715F2">
        <w:rPr>
          <w:rFonts w:eastAsia="Gulim"/>
          <w:lang w:val="fr-FR" w:eastAsia="ko-KR"/>
        </w:rPr>
        <w:t xml:space="preserve">. </w:t>
      </w:r>
      <w:r w:rsidR="005F3991" w:rsidRPr="002715F2">
        <w:rPr>
          <w:rFonts w:eastAsia="Gulim"/>
          <w:lang w:val="fr-FR" w:eastAsia="ko-KR"/>
        </w:rPr>
        <w:t>C</w:t>
      </w:r>
      <w:r w:rsidR="00501736" w:rsidRPr="002715F2">
        <w:rPr>
          <w:rFonts w:eastAsia="Gulim"/>
          <w:lang w:val="fr-FR" w:eastAsia="ko-KR"/>
        </w:rPr>
        <w:t xml:space="preserve">es centres, </w:t>
      </w:r>
      <w:r w:rsidR="00C71A4A" w:rsidRPr="002715F2">
        <w:rPr>
          <w:rFonts w:ascii="TimesNewRomanPSMT" w:hAnsi="TimesNewRomanPSMT" w:cs="TimesNewRomanPSMT"/>
          <w:lang w:val="fr-FR" w:eastAsia="en-GB"/>
        </w:rPr>
        <w:t>établis dans les hôpitaux ou près des hôpitaux</w:t>
      </w:r>
      <w:r w:rsidR="00501736" w:rsidRPr="002715F2">
        <w:rPr>
          <w:rFonts w:eastAsia="Gulim"/>
          <w:lang w:val="fr-FR" w:eastAsia="ko-KR"/>
        </w:rPr>
        <w:t xml:space="preserve">, </w:t>
      </w:r>
      <w:r w:rsidR="002E7019" w:rsidRPr="002715F2">
        <w:rPr>
          <w:rFonts w:eastAsia="Gulim"/>
          <w:lang w:val="fr-FR" w:eastAsia="ko-KR"/>
        </w:rPr>
        <w:t>travaillent</w:t>
      </w:r>
      <w:r w:rsidR="00501736" w:rsidRPr="002715F2">
        <w:rPr>
          <w:rFonts w:eastAsia="Gulim"/>
          <w:lang w:val="fr-FR" w:eastAsia="ko-KR"/>
        </w:rPr>
        <w:t xml:space="preserve"> en partenariat avec </w:t>
      </w:r>
      <w:r w:rsidR="00505F2B" w:rsidRPr="002715F2">
        <w:rPr>
          <w:rFonts w:eastAsia="Gulim"/>
          <w:lang w:val="fr-FR" w:eastAsia="ko-KR"/>
        </w:rPr>
        <w:t>l’État</w:t>
      </w:r>
      <w:r w:rsidR="00501736" w:rsidRPr="002715F2">
        <w:rPr>
          <w:rFonts w:eastAsia="Gulim"/>
          <w:lang w:val="fr-FR" w:eastAsia="ko-KR"/>
        </w:rPr>
        <w:t xml:space="preserve">, les </w:t>
      </w:r>
      <w:r w:rsidR="00505F2B" w:rsidRPr="002715F2">
        <w:rPr>
          <w:rFonts w:eastAsia="Gulim"/>
          <w:lang w:val="fr-FR" w:eastAsia="ko-KR"/>
        </w:rPr>
        <w:t>autorités</w:t>
      </w:r>
      <w:r w:rsidR="00501736" w:rsidRPr="002715F2">
        <w:rPr>
          <w:rFonts w:eastAsia="Gulim"/>
          <w:lang w:val="fr-FR" w:eastAsia="ko-KR"/>
        </w:rPr>
        <w:t xml:space="preserve"> locales, </w:t>
      </w:r>
      <w:r w:rsidR="00C43F91" w:rsidRPr="002715F2">
        <w:rPr>
          <w:rFonts w:eastAsia="Gulim"/>
          <w:lang w:val="fr-FR" w:eastAsia="ko-KR"/>
        </w:rPr>
        <w:t xml:space="preserve">les commissariats de police </w:t>
      </w:r>
      <w:r w:rsidR="00501736" w:rsidRPr="002715F2">
        <w:rPr>
          <w:rFonts w:eastAsia="Gulim"/>
          <w:lang w:val="fr-FR" w:eastAsia="ko-KR"/>
        </w:rPr>
        <w:t>et les établissements médicaux</w:t>
      </w:r>
      <w:r w:rsidR="000078DA" w:rsidRPr="002715F2">
        <w:rPr>
          <w:rFonts w:eastAsia="Gulim"/>
          <w:lang w:val="fr-FR" w:eastAsia="ko-KR"/>
        </w:rPr>
        <w:t xml:space="preserve">. </w:t>
      </w:r>
      <w:r w:rsidR="00C43F91" w:rsidRPr="002715F2">
        <w:rPr>
          <w:rFonts w:eastAsia="Gulim"/>
          <w:lang w:val="fr-FR" w:eastAsia="ko-KR"/>
        </w:rPr>
        <w:t xml:space="preserve">Il existe </w:t>
      </w:r>
      <w:r w:rsidR="00984C16" w:rsidRPr="002715F2">
        <w:rPr>
          <w:rFonts w:eastAsia="Gulim"/>
          <w:lang w:val="fr-FR" w:eastAsia="ko-KR"/>
        </w:rPr>
        <w:t xml:space="preserve">trois </w:t>
      </w:r>
      <w:r w:rsidR="00C43F91" w:rsidRPr="002715F2">
        <w:rPr>
          <w:rFonts w:eastAsia="Gulim"/>
          <w:lang w:val="fr-FR" w:eastAsia="ko-KR"/>
        </w:rPr>
        <w:t>types de Centres tournesol</w:t>
      </w:r>
      <w:r w:rsidR="00E97B1A" w:rsidRPr="002715F2">
        <w:rPr>
          <w:rFonts w:eastAsia="Gulim"/>
          <w:lang w:val="fr-FR" w:eastAsia="ko-KR"/>
        </w:rPr>
        <w:t>:</w:t>
      </w:r>
      <w:r w:rsidR="00501736" w:rsidRPr="002715F2">
        <w:rPr>
          <w:rFonts w:eastAsia="Gulim"/>
          <w:lang w:val="fr-FR" w:eastAsia="ko-KR"/>
        </w:rPr>
        <w:t xml:space="preserve"> </w:t>
      </w:r>
      <w:r w:rsidR="00C43F91" w:rsidRPr="002715F2">
        <w:rPr>
          <w:rFonts w:eastAsia="Gulim"/>
          <w:lang w:val="fr-FR" w:eastAsia="ko-KR"/>
        </w:rPr>
        <w:t xml:space="preserve">des </w:t>
      </w:r>
      <w:r w:rsidR="00501736" w:rsidRPr="002715F2">
        <w:rPr>
          <w:rFonts w:eastAsia="Gulim"/>
          <w:lang w:val="fr-FR" w:eastAsia="ko-KR"/>
        </w:rPr>
        <w:t xml:space="preserve">centres pour enfants, </w:t>
      </w:r>
      <w:r w:rsidR="00C43F91" w:rsidRPr="002715F2">
        <w:rPr>
          <w:rFonts w:eastAsia="Gulim"/>
          <w:lang w:val="fr-FR" w:eastAsia="ko-KR"/>
        </w:rPr>
        <w:t xml:space="preserve">des </w:t>
      </w:r>
      <w:r w:rsidR="00501736" w:rsidRPr="002715F2">
        <w:rPr>
          <w:rFonts w:eastAsia="Gulim"/>
          <w:lang w:val="fr-FR" w:eastAsia="ko-KR"/>
        </w:rPr>
        <w:t>centres d’</w:t>
      </w:r>
      <w:r w:rsidR="00C43F91" w:rsidRPr="002715F2">
        <w:rPr>
          <w:rFonts w:eastAsia="Gulim"/>
          <w:lang w:val="fr-FR" w:eastAsia="ko-KR"/>
        </w:rPr>
        <w:t>aide</w:t>
      </w:r>
      <w:r w:rsidR="00501736" w:rsidRPr="002715F2">
        <w:rPr>
          <w:rFonts w:eastAsia="Gulim"/>
          <w:lang w:val="fr-FR" w:eastAsia="ko-KR"/>
        </w:rPr>
        <w:t xml:space="preserve"> </w:t>
      </w:r>
      <w:r w:rsidR="00C43F91" w:rsidRPr="002715F2">
        <w:rPr>
          <w:rFonts w:eastAsia="Gulim"/>
          <w:lang w:val="fr-FR" w:eastAsia="ko-KR"/>
        </w:rPr>
        <w:t>d’urgence</w:t>
      </w:r>
      <w:r w:rsidR="00501736" w:rsidRPr="002715F2">
        <w:rPr>
          <w:rFonts w:eastAsia="Gulim"/>
          <w:lang w:val="fr-FR" w:eastAsia="ko-KR"/>
        </w:rPr>
        <w:t xml:space="preserve"> et </w:t>
      </w:r>
      <w:r w:rsidR="00C43F91" w:rsidRPr="002715F2">
        <w:rPr>
          <w:rFonts w:eastAsia="Gulim"/>
          <w:lang w:val="fr-FR" w:eastAsia="ko-KR"/>
        </w:rPr>
        <w:t xml:space="preserve">des </w:t>
      </w:r>
      <w:r w:rsidR="00501736" w:rsidRPr="002715F2">
        <w:rPr>
          <w:rFonts w:eastAsia="Gulim"/>
          <w:lang w:val="fr-FR" w:eastAsia="ko-KR"/>
        </w:rPr>
        <w:t xml:space="preserve">centres de </w:t>
      </w:r>
      <w:r w:rsidR="00E36E4B" w:rsidRPr="002715F2">
        <w:rPr>
          <w:rFonts w:eastAsia="Gulim"/>
          <w:lang w:val="fr-FR" w:eastAsia="ko-KR"/>
        </w:rPr>
        <w:t>prise en charge</w:t>
      </w:r>
      <w:r w:rsidR="00501736" w:rsidRPr="002715F2">
        <w:rPr>
          <w:rFonts w:eastAsia="Gulim"/>
          <w:lang w:val="fr-FR" w:eastAsia="ko-KR"/>
        </w:rPr>
        <w:t xml:space="preserve"> </w:t>
      </w:r>
      <w:r w:rsidR="00E36E4B" w:rsidRPr="002715F2">
        <w:rPr>
          <w:rFonts w:eastAsia="Gulim"/>
          <w:lang w:val="fr-FR" w:eastAsia="ko-KR"/>
        </w:rPr>
        <w:t>complète</w:t>
      </w:r>
      <w:r w:rsidR="000078DA" w:rsidRPr="002715F2">
        <w:rPr>
          <w:rFonts w:eastAsia="Gulim"/>
          <w:lang w:val="fr-FR" w:eastAsia="ko-KR"/>
        </w:rPr>
        <w:t xml:space="preserve">. </w:t>
      </w:r>
      <w:r w:rsidR="00906A48" w:rsidRPr="002715F2">
        <w:rPr>
          <w:rFonts w:eastAsia="Gulim"/>
          <w:lang w:val="fr-FR" w:eastAsia="ko-KR"/>
        </w:rPr>
        <w:t xml:space="preserve">Au </w:t>
      </w:r>
      <w:r w:rsidR="005F3991" w:rsidRPr="002715F2">
        <w:rPr>
          <w:rFonts w:eastAsia="Gulim"/>
          <w:lang w:val="fr-FR" w:eastAsia="ko-KR"/>
        </w:rPr>
        <w:t>31 </w:t>
      </w:r>
      <w:r w:rsidR="00501736" w:rsidRPr="002715F2">
        <w:rPr>
          <w:rFonts w:eastAsia="Gulim"/>
          <w:lang w:val="fr-FR" w:eastAsia="ko-KR"/>
        </w:rPr>
        <w:t xml:space="preserve">décembre 2015, 36 </w:t>
      </w:r>
      <w:r w:rsidR="00906A48" w:rsidRPr="002715F2">
        <w:rPr>
          <w:rFonts w:eastAsia="Gulim"/>
          <w:lang w:val="fr-FR" w:eastAsia="ko-KR"/>
        </w:rPr>
        <w:t>étaient</w:t>
      </w:r>
      <w:r w:rsidR="00501736" w:rsidRPr="002715F2">
        <w:rPr>
          <w:rFonts w:eastAsia="Gulim"/>
          <w:lang w:val="fr-FR" w:eastAsia="ko-KR"/>
        </w:rPr>
        <w:t xml:space="preserve"> en service</w:t>
      </w:r>
      <w:r w:rsidR="00F60999" w:rsidRPr="002715F2">
        <w:rPr>
          <w:rFonts w:eastAsia="Gulim"/>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52.</w:t>
      </w:r>
      <w:r w:rsidRPr="002715F2">
        <w:rPr>
          <w:rFonts w:eastAsia="Gulim"/>
          <w:lang w:val="fr-FR" w:eastAsia="ko-KR"/>
        </w:rPr>
        <w:tab/>
      </w:r>
      <w:r w:rsidR="00501736" w:rsidRPr="002715F2">
        <w:rPr>
          <w:rFonts w:eastAsia="Gulim"/>
          <w:lang w:val="fr-FR" w:eastAsia="ko-KR"/>
        </w:rPr>
        <w:t xml:space="preserve">Les </w:t>
      </w:r>
      <w:r w:rsidR="002E7019" w:rsidRPr="002715F2">
        <w:rPr>
          <w:rFonts w:eastAsia="Gulim"/>
          <w:lang w:val="fr-FR" w:eastAsia="ko-KR"/>
        </w:rPr>
        <w:t>C</w:t>
      </w:r>
      <w:r w:rsidR="00501736" w:rsidRPr="002715F2">
        <w:rPr>
          <w:rFonts w:eastAsia="Gulim"/>
          <w:lang w:val="fr-FR" w:eastAsia="ko-KR"/>
        </w:rPr>
        <w:t>entres tournesol</w:t>
      </w:r>
      <w:r w:rsidR="005F552E" w:rsidRPr="002715F2">
        <w:rPr>
          <w:rFonts w:eastAsia="Gulim"/>
          <w:lang w:val="fr-FR" w:eastAsia="ko-KR"/>
        </w:rPr>
        <w:t xml:space="preserve"> </w:t>
      </w:r>
      <w:r w:rsidR="00501736" w:rsidRPr="002715F2">
        <w:rPr>
          <w:rFonts w:eastAsia="Gulim"/>
          <w:lang w:val="fr-FR" w:eastAsia="ko-KR"/>
        </w:rPr>
        <w:t xml:space="preserve">pour </w:t>
      </w:r>
      <w:r w:rsidR="005F552E" w:rsidRPr="002715F2">
        <w:rPr>
          <w:rFonts w:eastAsia="Gulim"/>
          <w:lang w:val="fr-FR" w:eastAsia="ko-KR"/>
        </w:rPr>
        <w:t>enfants</w:t>
      </w:r>
      <w:r w:rsidR="00501736" w:rsidRPr="002715F2">
        <w:rPr>
          <w:rFonts w:eastAsia="Gulim"/>
          <w:lang w:val="fr-FR" w:eastAsia="ko-KR"/>
        </w:rPr>
        <w:t xml:space="preserve"> </w:t>
      </w:r>
      <w:r w:rsidR="002E7019" w:rsidRPr="002715F2">
        <w:rPr>
          <w:rFonts w:eastAsia="Gulim"/>
          <w:lang w:val="fr-FR" w:eastAsia="ko-KR"/>
        </w:rPr>
        <w:t>offrent</w:t>
      </w:r>
      <w:r w:rsidR="00501736" w:rsidRPr="002715F2">
        <w:rPr>
          <w:rFonts w:eastAsia="Gulim"/>
          <w:lang w:val="fr-FR" w:eastAsia="ko-KR"/>
        </w:rPr>
        <w:t xml:space="preserve"> aux victimes mineures des </w:t>
      </w:r>
      <w:r w:rsidR="00E363AB" w:rsidRPr="002715F2">
        <w:rPr>
          <w:rFonts w:eastAsia="Gulim"/>
          <w:lang w:val="fr-FR" w:eastAsia="ko-KR"/>
        </w:rPr>
        <w:t>traitements</w:t>
      </w:r>
      <w:r w:rsidR="00501736" w:rsidRPr="002715F2">
        <w:rPr>
          <w:rFonts w:eastAsia="Gulim"/>
          <w:lang w:val="fr-FR" w:eastAsia="ko-KR"/>
        </w:rPr>
        <w:t xml:space="preserve"> médicaux, </w:t>
      </w:r>
      <w:r w:rsidR="00043151" w:rsidRPr="002715F2">
        <w:rPr>
          <w:rFonts w:eastAsia="Gulim"/>
          <w:lang w:val="fr-FR" w:eastAsia="ko-KR"/>
        </w:rPr>
        <w:t xml:space="preserve">un </w:t>
      </w:r>
      <w:r w:rsidR="00E363AB" w:rsidRPr="002715F2">
        <w:rPr>
          <w:rFonts w:eastAsia="Gulim"/>
          <w:lang w:val="fr-FR" w:eastAsia="ko-KR"/>
        </w:rPr>
        <w:t>accompagnement</w:t>
      </w:r>
      <w:r w:rsidR="00501736" w:rsidRPr="002715F2">
        <w:rPr>
          <w:rFonts w:eastAsia="Gulim"/>
          <w:lang w:val="fr-FR" w:eastAsia="ko-KR"/>
        </w:rPr>
        <w:t xml:space="preserve"> psychologique </w:t>
      </w:r>
      <w:r w:rsidR="004817F7" w:rsidRPr="002715F2">
        <w:rPr>
          <w:rFonts w:eastAsia="Gulim"/>
          <w:lang w:val="fr-FR" w:eastAsia="ko-KR"/>
        </w:rPr>
        <w:t>spé</w:t>
      </w:r>
      <w:r w:rsidR="005F552E" w:rsidRPr="002715F2">
        <w:rPr>
          <w:rFonts w:eastAsia="Gulim"/>
          <w:lang w:val="fr-FR" w:eastAsia="ko-KR"/>
        </w:rPr>
        <w:t xml:space="preserve">cifique </w:t>
      </w:r>
      <w:r w:rsidR="00E363AB" w:rsidRPr="002715F2">
        <w:rPr>
          <w:rFonts w:eastAsia="Gulim"/>
          <w:lang w:val="fr-FR" w:eastAsia="ko-KR"/>
        </w:rPr>
        <w:t>pour</w:t>
      </w:r>
      <w:r w:rsidR="00501736" w:rsidRPr="002715F2">
        <w:rPr>
          <w:rFonts w:eastAsia="Gulim"/>
          <w:lang w:val="fr-FR" w:eastAsia="ko-KR"/>
        </w:rPr>
        <w:t xml:space="preserve"> </w:t>
      </w:r>
      <w:r w:rsidR="005F552E" w:rsidRPr="002715F2">
        <w:rPr>
          <w:rFonts w:eastAsia="Gulim"/>
          <w:lang w:val="fr-FR" w:eastAsia="ko-KR"/>
        </w:rPr>
        <w:t>c</w:t>
      </w:r>
      <w:r w:rsidR="00501736" w:rsidRPr="002715F2">
        <w:rPr>
          <w:rFonts w:eastAsia="Gulim"/>
          <w:lang w:val="fr-FR" w:eastAsia="ko-KR"/>
        </w:rPr>
        <w:t xml:space="preserve">es victimes </w:t>
      </w:r>
      <w:r w:rsidR="005F552E" w:rsidRPr="002715F2">
        <w:rPr>
          <w:rFonts w:eastAsia="Gulim"/>
          <w:lang w:val="fr-FR" w:eastAsia="ko-KR"/>
        </w:rPr>
        <w:t>et</w:t>
      </w:r>
      <w:r w:rsidR="00501736" w:rsidRPr="002715F2">
        <w:rPr>
          <w:rFonts w:eastAsia="Gulim"/>
          <w:lang w:val="fr-FR" w:eastAsia="ko-KR"/>
        </w:rPr>
        <w:t xml:space="preserve"> leur</w:t>
      </w:r>
      <w:r w:rsidR="00E363AB" w:rsidRPr="002715F2">
        <w:rPr>
          <w:rFonts w:eastAsia="Gulim"/>
          <w:lang w:val="fr-FR" w:eastAsia="ko-KR"/>
        </w:rPr>
        <w:t xml:space="preserve"> famille</w:t>
      </w:r>
      <w:r w:rsidR="00501736" w:rsidRPr="002715F2">
        <w:rPr>
          <w:rFonts w:eastAsia="Gulim"/>
          <w:lang w:val="fr-FR" w:eastAsia="ko-KR"/>
        </w:rPr>
        <w:t xml:space="preserve">, des diagnostics </w:t>
      </w:r>
      <w:r w:rsidR="002E7019" w:rsidRPr="002715F2">
        <w:rPr>
          <w:rFonts w:eastAsia="Gulim"/>
          <w:lang w:val="fr-FR" w:eastAsia="ko-KR"/>
        </w:rPr>
        <w:t xml:space="preserve">établis </w:t>
      </w:r>
      <w:r w:rsidR="00501736" w:rsidRPr="002715F2">
        <w:rPr>
          <w:rFonts w:eastAsia="Gulim"/>
          <w:lang w:val="fr-FR" w:eastAsia="ko-KR"/>
        </w:rPr>
        <w:t>par des psychologues cliniciens,</w:t>
      </w:r>
      <w:r w:rsidR="00E363AB" w:rsidRPr="002715F2">
        <w:rPr>
          <w:rFonts w:eastAsia="Gulim"/>
          <w:lang w:val="fr-FR" w:eastAsia="ko-KR"/>
        </w:rPr>
        <w:t xml:space="preserve"> une</w:t>
      </w:r>
      <w:r w:rsidR="00501736" w:rsidRPr="002715F2">
        <w:rPr>
          <w:rFonts w:eastAsia="Gulim"/>
          <w:lang w:val="fr-FR" w:eastAsia="ko-KR"/>
        </w:rPr>
        <w:t xml:space="preserve"> </w:t>
      </w:r>
      <w:r w:rsidR="00E363AB" w:rsidRPr="002715F2">
        <w:rPr>
          <w:rFonts w:ascii="TimesNewRomanPSMT" w:hAnsi="TimesNewRomanPSMT" w:cs="TimesNewRomanPSMT"/>
          <w:lang w:val="fr-FR" w:eastAsia="en-GB"/>
        </w:rPr>
        <w:t xml:space="preserve">aide juridictionnelle et un soutien </w:t>
      </w:r>
      <w:r w:rsidR="002E7019" w:rsidRPr="002715F2">
        <w:rPr>
          <w:rFonts w:ascii="TimesNewRomanPSMT" w:hAnsi="TimesNewRomanPSMT" w:cs="TimesNewRomanPSMT"/>
          <w:lang w:val="fr-FR" w:eastAsia="en-GB"/>
        </w:rPr>
        <w:t>dans les procédures judiciaires</w:t>
      </w:r>
      <w:r w:rsidR="005F552E" w:rsidRPr="002715F2">
        <w:rPr>
          <w:rFonts w:eastAsia="Gulim"/>
          <w:lang w:val="fr-FR" w:eastAsia="ko-KR"/>
        </w:rPr>
        <w:t>, ainsi que</w:t>
      </w:r>
      <w:r w:rsidR="00501736" w:rsidRPr="002715F2">
        <w:rPr>
          <w:rFonts w:eastAsia="Gulim"/>
          <w:lang w:val="fr-FR" w:eastAsia="ko-KR"/>
        </w:rPr>
        <w:t xml:space="preserve"> d’autres services, </w:t>
      </w:r>
      <w:r w:rsidR="00E363AB" w:rsidRPr="002715F2">
        <w:rPr>
          <w:rFonts w:eastAsia="Gulim"/>
          <w:lang w:val="fr-FR" w:eastAsia="ko-KR"/>
        </w:rPr>
        <w:t xml:space="preserve">dans un même lieu </w:t>
      </w:r>
      <w:r w:rsidR="00501736" w:rsidRPr="002715F2">
        <w:rPr>
          <w:rFonts w:eastAsia="Gulim"/>
          <w:lang w:val="fr-FR" w:eastAsia="ko-KR"/>
        </w:rPr>
        <w:t xml:space="preserve">(voir </w:t>
      </w:r>
      <w:r w:rsidR="002E7019" w:rsidRPr="002715F2">
        <w:rPr>
          <w:rFonts w:eastAsia="Gulim"/>
          <w:lang w:val="fr-FR" w:eastAsia="ko-KR"/>
        </w:rPr>
        <w:t xml:space="preserve">le </w:t>
      </w:r>
      <w:r w:rsidR="00501736" w:rsidRPr="002715F2">
        <w:rPr>
          <w:rFonts w:eastAsia="Gulim"/>
          <w:lang w:val="fr-FR" w:eastAsia="ko-KR"/>
        </w:rPr>
        <w:t>tableau 9)</w:t>
      </w:r>
      <w:r w:rsidR="000078DA" w:rsidRPr="002715F2">
        <w:rPr>
          <w:rFonts w:eastAsia="Gulim"/>
          <w:lang w:val="fr-FR" w:eastAsia="ko-KR"/>
        </w:rPr>
        <w:t xml:space="preserve">. </w:t>
      </w:r>
      <w:r w:rsidR="00E363AB" w:rsidRPr="002715F2">
        <w:rPr>
          <w:rFonts w:eastAsia="Gulim"/>
          <w:lang w:val="fr-FR" w:eastAsia="ko-KR"/>
        </w:rPr>
        <w:t>Les Centres tournesol</w:t>
      </w:r>
      <w:r w:rsidR="005F552E" w:rsidRPr="002715F2">
        <w:rPr>
          <w:rFonts w:eastAsia="Gulim"/>
          <w:lang w:val="fr-FR" w:eastAsia="ko-KR"/>
        </w:rPr>
        <w:t xml:space="preserve"> </w:t>
      </w:r>
      <w:r w:rsidR="00E363AB" w:rsidRPr="002715F2">
        <w:rPr>
          <w:rFonts w:eastAsia="Gulim"/>
          <w:lang w:val="fr-FR" w:eastAsia="ko-KR"/>
        </w:rPr>
        <w:t xml:space="preserve">d’aide d’urgence </w:t>
      </w:r>
      <w:r w:rsidR="005F552E" w:rsidRPr="002715F2">
        <w:rPr>
          <w:rFonts w:eastAsia="Gulim"/>
          <w:lang w:val="fr-FR" w:eastAsia="ko-KR"/>
        </w:rPr>
        <w:t>proposent</w:t>
      </w:r>
      <w:r w:rsidR="00E363AB" w:rsidRPr="002715F2">
        <w:rPr>
          <w:rFonts w:eastAsia="Gulim"/>
          <w:lang w:val="fr-FR" w:eastAsia="ko-KR"/>
        </w:rPr>
        <w:t>,</w:t>
      </w:r>
      <w:r w:rsidR="005F552E" w:rsidRPr="002715F2">
        <w:rPr>
          <w:rFonts w:eastAsia="Gulim"/>
          <w:lang w:val="fr-FR" w:eastAsia="ko-KR"/>
        </w:rPr>
        <w:t xml:space="preserve"> </w:t>
      </w:r>
      <w:r w:rsidR="00B1523C" w:rsidRPr="002715F2">
        <w:rPr>
          <w:lang w:val="fr-FR"/>
        </w:rPr>
        <w:t>vingt-quatre heures sur vingt-quatre</w:t>
      </w:r>
      <w:r w:rsidR="00E363AB" w:rsidRPr="002715F2">
        <w:rPr>
          <w:rFonts w:eastAsia="Gulim"/>
          <w:lang w:val="fr-FR" w:eastAsia="ko-KR"/>
        </w:rPr>
        <w:t xml:space="preserve">, </w:t>
      </w:r>
      <w:r w:rsidR="005F552E" w:rsidRPr="002715F2">
        <w:rPr>
          <w:rFonts w:eastAsia="Gulim"/>
          <w:lang w:val="fr-FR" w:eastAsia="ko-KR"/>
        </w:rPr>
        <w:t xml:space="preserve">un service </w:t>
      </w:r>
      <w:r w:rsidR="00E363AB" w:rsidRPr="002715F2">
        <w:rPr>
          <w:rFonts w:eastAsia="Gulim"/>
          <w:lang w:val="fr-FR" w:eastAsia="ko-KR"/>
        </w:rPr>
        <w:t>de conseils</w:t>
      </w:r>
      <w:r w:rsidR="005F552E" w:rsidRPr="002715F2">
        <w:rPr>
          <w:rFonts w:eastAsia="Gulim"/>
          <w:lang w:val="fr-FR" w:eastAsia="ko-KR"/>
        </w:rPr>
        <w:t xml:space="preserve"> </w:t>
      </w:r>
      <w:r w:rsidR="00E363AB" w:rsidRPr="002715F2">
        <w:rPr>
          <w:rFonts w:eastAsia="Gulim"/>
          <w:lang w:val="fr-FR" w:eastAsia="ko-KR"/>
        </w:rPr>
        <w:t>et</w:t>
      </w:r>
      <w:r w:rsidR="005F552E" w:rsidRPr="002715F2">
        <w:rPr>
          <w:rFonts w:eastAsia="Gulim"/>
          <w:lang w:val="fr-FR" w:eastAsia="ko-KR"/>
        </w:rPr>
        <w:t xml:space="preserve"> des </w:t>
      </w:r>
      <w:r w:rsidR="00E363AB" w:rsidRPr="002715F2">
        <w:rPr>
          <w:rFonts w:eastAsia="Gulim"/>
          <w:lang w:val="fr-FR" w:eastAsia="ko-KR"/>
        </w:rPr>
        <w:t xml:space="preserve">traitements </w:t>
      </w:r>
      <w:r w:rsidR="005F552E" w:rsidRPr="002715F2">
        <w:rPr>
          <w:rFonts w:eastAsia="Gulim"/>
          <w:lang w:val="fr-FR" w:eastAsia="ko-KR"/>
        </w:rPr>
        <w:t>médicaux</w:t>
      </w:r>
      <w:r w:rsidR="000078DA" w:rsidRPr="002715F2">
        <w:rPr>
          <w:rFonts w:eastAsia="Gulim"/>
          <w:lang w:val="fr-FR" w:eastAsia="ko-KR"/>
        </w:rPr>
        <w:t xml:space="preserve">. </w:t>
      </w:r>
      <w:r w:rsidR="005F552E" w:rsidRPr="002715F2">
        <w:rPr>
          <w:rFonts w:eastAsia="Gulim"/>
          <w:lang w:val="fr-FR" w:eastAsia="ko-KR"/>
        </w:rPr>
        <w:t xml:space="preserve">Afin </w:t>
      </w:r>
      <w:r w:rsidR="009B089C" w:rsidRPr="002715F2">
        <w:rPr>
          <w:rFonts w:eastAsia="Gulim"/>
          <w:lang w:val="fr-FR" w:eastAsia="ko-KR"/>
        </w:rPr>
        <w:t>d’éviter que les victimes</w:t>
      </w:r>
      <w:r w:rsidR="005F552E" w:rsidRPr="002715F2">
        <w:rPr>
          <w:rFonts w:eastAsia="Gulim"/>
          <w:lang w:val="fr-FR" w:eastAsia="ko-KR"/>
        </w:rPr>
        <w:t xml:space="preserve"> </w:t>
      </w:r>
      <w:r w:rsidR="009B089C" w:rsidRPr="002715F2">
        <w:rPr>
          <w:rFonts w:eastAsia="Gulim"/>
          <w:lang w:val="fr-FR" w:eastAsia="ko-KR"/>
        </w:rPr>
        <w:t>ne subissent de</w:t>
      </w:r>
      <w:r w:rsidR="0008063E" w:rsidRPr="002715F2">
        <w:rPr>
          <w:rFonts w:eastAsia="Gulim"/>
          <w:lang w:val="fr-FR" w:eastAsia="ko-KR"/>
        </w:rPr>
        <w:t>s</w:t>
      </w:r>
      <w:r w:rsidR="009B089C" w:rsidRPr="002715F2">
        <w:rPr>
          <w:rFonts w:eastAsia="Gulim"/>
          <w:lang w:val="fr-FR" w:eastAsia="ko-KR"/>
        </w:rPr>
        <w:t xml:space="preserve"> traumatismes</w:t>
      </w:r>
      <w:r w:rsidR="005F552E" w:rsidRPr="002715F2">
        <w:rPr>
          <w:rFonts w:eastAsia="Gulim"/>
          <w:lang w:val="fr-FR" w:eastAsia="ko-KR"/>
        </w:rPr>
        <w:t xml:space="preserve"> </w:t>
      </w:r>
      <w:r w:rsidR="0008063E" w:rsidRPr="002715F2">
        <w:rPr>
          <w:rFonts w:eastAsia="Gulim"/>
          <w:lang w:val="fr-FR" w:eastAsia="ko-KR"/>
        </w:rPr>
        <w:t xml:space="preserve">supplémentaires </w:t>
      </w:r>
      <w:r w:rsidR="009B089C" w:rsidRPr="002715F2">
        <w:rPr>
          <w:rFonts w:eastAsia="Gulim"/>
          <w:lang w:val="fr-FR" w:eastAsia="ko-KR"/>
        </w:rPr>
        <w:t>pendant l</w:t>
      </w:r>
      <w:r w:rsidR="0008063E" w:rsidRPr="002715F2">
        <w:rPr>
          <w:rFonts w:eastAsia="Gulim"/>
          <w:lang w:val="fr-FR" w:eastAsia="ko-KR"/>
        </w:rPr>
        <w:t xml:space="preserve">es </w:t>
      </w:r>
      <w:r w:rsidR="005F552E" w:rsidRPr="002715F2">
        <w:rPr>
          <w:rFonts w:eastAsia="Gulim"/>
          <w:lang w:val="fr-FR" w:eastAsia="ko-KR"/>
        </w:rPr>
        <w:t xml:space="preserve">enquêtes, </w:t>
      </w:r>
      <w:r w:rsidR="0008063E" w:rsidRPr="002715F2">
        <w:rPr>
          <w:rFonts w:eastAsia="Gulim"/>
          <w:lang w:val="fr-FR" w:eastAsia="ko-KR"/>
        </w:rPr>
        <w:t>ces</w:t>
      </w:r>
      <w:r w:rsidR="005F552E" w:rsidRPr="002715F2">
        <w:rPr>
          <w:rFonts w:eastAsia="Gulim"/>
          <w:lang w:val="fr-FR" w:eastAsia="ko-KR"/>
        </w:rPr>
        <w:t xml:space="preserve"> centre</w:t>
      </w:r>
      <w:r w:rsidR="0008063E" w:rsidRPr="002715F2">
        <w:rPr>
          <w:rFonts w:eastAsia="Gulim"/>
          <w:lang w:val="fr-FR" w:eastAsia="ko-KR"/>
        </w:rPr>
        <w:t>s</w:t>
      </w:r>
      <w:r w:rsidR="005F552E" w:rsidRPr="002715F2">
        <w:rPr>
          <w:rFonts w:eastAsia="Gulim"/>
          <w:lang w:val="fr-FR" w:eastAsia="ko-KR"/>
        </w:rPr>
        <w:t xml:space="preserve"> enregistre</w:t>
      </w:r>
      <w:r w:rsidR="0008063E" w:rsidRPr="002715F2">
        <w:rPr>
          <w:rFonts w:eastAsia="Gulim"/>
          <w:lang w:val="fr-FR" w:eastAsia="ko-KR"/>
        </w:rPr>
        <w:t>nt</w:t>
      </w:r>
      <w:r w:rsidR="005F552E" w:rsidRPr="002715F2">
        <w:rPr>
          <w:rFonts w:eastAsia="Gulim"/>
          <w:lang w:val="fr-FR" w:eastAsia="ko-KR"/>
        </w:rPr>
        <w:t xml:space="preserve"> le</w:t>
      </w:r>
      <w:r w:rsidR="0008063E" w:rsidRPr="002715F2">
        <w:rPr>
          <w:rFonts w:eastAsia="Gulim"/>
          <w:lang w:val="fr-FR" w:eastAsia="ko-KR"/>
        </w:rPr>
        <w:t>ur</w:t>
      </w:r>
      <w:r w:rsidR="005F552E" w:rsidRPr="002715F2">
        <w:rPr>
          <w:rFonts w:eastAsia="Gulim"/>
          <w:lang w:val="fr-FR" w:eastAsia="ko-KR"/>
        </w:rPr>
        <w:t>s déclarations sur des bandes vidéo, rassemble</w:t>
      </w:r>
      <w:r w:rsidR="0008063E" w:rsidRPr="002715F2">
        <w:rPr>
          <w:rFonts w:eastAsia="Gulim"/>
          <w:lang w:val="fr-FR" w:eastAsia="ko-KR"/>
        </w:rPr>
        <w:t>nt</w:t>
      </w:r>
      <w:r w:rsidR="005F552E" w:rsidRPr="002715F2">
        <w:rPr>
          <w:rFonts w:eastAsia="Gulim"/>
          <w:lang w:val="fr-FR" w:eastAsia="ko-KR"/>
        </w:rPr>
        <w:t xml:space="preserve"> les éléments de preuve et assigne</w:t>
      </w:r>
      <w:r w:rsidR="0008063E" w:rsidRPr="002715F2">
        <w:rPr>
          <w:rFonts w:eastAsia="Gulim"/>
          <w:lang w:val="fr-FR" w:eastAsia="ko-KR"/>
        </w:rPr>
        <w:t>nt</w:t>
      </w:r>
      <w:r w:rsidR="005F552E" w:rsidRPr="002715F2">
        <w:rPr>
          <w:rFonts w:eastAsia="Gulim"/>
          <w:lang w:val="fr-FR" w:eastAsia="ko-KR"/>
        </w:rPr>
        <w:t xml:space="preserve"> des </w:t>
      </w:r>
      <w:r w:rsidR="009B089C" w:rsidRPr="002715F2">
        <w:rPr>
          <w:rFonts w:ascii="TimesNewRomanPSMT" w:hAnsi="TimesNewRomanPSMT" w:cs="TimesNewRomanPSMT"/>
          <w:lang w:val="fr-FR" w:eastAsia="en-GB"/>
        </w:rPr>
        <w:t xml:space="preserve">policiers </w:t>
      </w:r>
      <w:r w:rsidR="0008063E" w:rsidRPr="002715F2">
        <w:rPr>
          <w:rFonts w:ascii="TimesNewRomanPSMT" w:hAnsi="TimesNewRomanPSMT" w:cs="TimesNewRomanPSMT"/>
          <w:lang w:val="fr-FR" w:eastAsia="en-GB"/>
        </w:rPr>
        <w:t xml:space="preserve">de </w:t>
      </w:r>
      <w:r w:rsidR="009B089C" w:rsidRPr="002715F2">
        <w:rPr>
          <w:rFonts w:ascii="TimesNewRomanPSMT" w:hAnsi="TimesNewRomanPSMT" w:cs="TimesNewRomanPSMT"/>
          <w:lang w:val="fr-FR" w:eastAsia="en-GB"/>
        </w:rPr>
        <w:t xml:space="preserve">sexe féminin </w:t>
      </w:r>
      <w:r w:rsidR="005F552E" w:rsidRPr="002715F2">
        <w:rPr>
          <w:rFonts w:eastAsia="Gulim"/>
          <w:lang w:val="fr-FR" w:eastAsia="ko-KR"/>
        </w:rPr>
        <w:t xml:space="preserve">pour </w:t>
      </w:r>
      <w:r w:rsidR="0008063E" w:rsidRPr="002715F2">
        <w:rPr>
          <w:rFonts w:eastAsia="Gulim"/>
          <w:lang w:val="fr-FR" w:eastAsia="ko-KR"/>
        </w:rPr>
        <w:t>rec</w:t>
      </w:r>
      <w:r w:rsidR="009B089C" w:rsidRPr="002715F2">
        <w:rPr>
          <w:rFonts w:eastAsia="Gulim"/>
          <w:lang w:val="fr-FR" w:eastAsia="ko-KR"/>
        </w:rPr>
        <w:t>u</w:t>
      </w:r>
      <w:r w:rsidR="0008063E" w:rsidRPr="002715F2">
        <w:rPr>
          <w:rFonts w:eastAsia="Gulim"/>
          <w:lang w:val="fr-FR" w:eastAsia="ko-KR"/>
        </w:rPr>
        <w:t>e</w:t>
      </w:r>
      <w:r w:rsidR="009B089C" w:rsidRPr="002715F2">
        <w:rPr>
          <w:rFonts w:eastAsia="Gulim"/>
          <w:lang w:val="fr-FR" w:eastAsia="ko-KR"/>
        </w:rPr>
        <w:t>illir</w:t>
      </w:r>
      <w:r w:rsidR="005F552E" w:rsidRPr="002715F2">
        <w:rPr>
          <w:rFonts w:eastAsia="Gulim"/>
          <w:lang w:val="fr-FR" w:eastAsia="ko-KR"/>
        </w:rPr>
        <w:t xml:space="preserve"> le</w:t>
      </w:r>
      <w:r w:rsidR="009B089C" w:rsidRPr="002715F2">
        <w:rPr>
          <w:rFonts w:eastAsia="Gulim"/>
          <w:lang w:val="fr-FR" w:eastAsia="ko-KR"/>
        </w:rPr>
        <w:t>ur</w:t>
      </w:r>
      <w:r w:rsidR="005F552E" w:rsidRPr="002715F2">
        <w:rPr>
          <w:rFonts w:eastAsia="Gulim"/>
          <w:lang w:val="fr-FR" w:eastAsia="ko-KR"/>
        </w:rPr>
        <w:t xml:space="preserve"> </w:t>
      </w:r>
      <w:r w:rsidR="009B089C" w:rsidRPr="002715F2">
        <w:rPr>
          <w:rFonts w:eastAsia="Gulim"/>
          <w:lang w:val="fr-FR" w:eastAsia="ko-KR"/>
        </w:rPr>
        <w:t>d</w:t>
      </w:r>
      <w:r w:rsidR="0008063E" w:rsidRPr="002715F2">
        <w:rPr>
          <w:rFonts w:eastAsia="Gulim"/>
          <w:lang w:val="fr-FR" w:eastAsia="ko-KR"/>
        </w:rPr>
        <w:t>éposition</w:t>
      </w:r>
      <w:r w:rsidR="009B089C" w:rsidRPr="002715F2">
        <w:rPr>
          <w:rFonts w:eastAsia="Gulim"/>
          <w:lang w:val="fr-FR" w:eastAsia="ko-KR"/>
        </w:rPr>
        <w:t xml:space="preserve"> </w:t>
      </w:r>
      <w:r w:rsidR="005F552E" w:rsidRPr="002715F2">
        <w:rPr>
          <w:rFonts w:eastAsia="Gulim"/>
          <w:lang w:val="fr-FR" w:eastAsia="ko-KR"/>
        </w:rPr>
        <w:t xml:space="preserve">(voir </w:t>
      </w:r>
      <w:r w:rsidR="009B089C" w:rsidRPr="002715F2">
        <w:rPr>
          <w:rFonts w:eastAsia="Gulim"/>
          <w:lang w:val="fr-FR" w:eastAsia="ko-KR"/>
        </w:rPr>
        <w:t>le tableau </w:t>
      </w:r>
      <w:r w:rsidR="005F552E" w:rsidRPr="002715F2">
        <w:rPr>
          <w:rFonts w:eastAsia="Gulim"/>
          <w:lang w:val="fr-FR" w:eastAsia="ko-KR"/>
        </w:rPr>
        <w:t>10)</w:t>
      </w:r>
      <w:r w:rsidR="000078DA" w:rsidRPr="002715F2">
        <w:rPr>
          <w:rFonts w:eastAsia="Gulim"/>
          <w:lang w:val="fr-FR" w:eastAsia="ko-KR"/>
        </w:rPr>
        <w:t xml:space="preserve">. </w:t>
      </w:r>
      <w:r w:rsidR="00E36E4B" w:rsidRPr="002715F2">
        <w:rPr>
          <w:rFonts w:eastAsia="Gulim"/>
          <w:lang w:val="fr-FR" w:eastAsia="ko-KR"/>
        </w:rPr>
        <w:t>Le</w:t>
      </w:r>
      <w:r w:rsidR="0008063E" w:rsidRPr="002715F2">
        <w:rPr>
          <w:rFonts w:eastAsia="Gulim"/>
          <w:lang w:val="fr-FR" w:eastAsia="ko-KR"/>
        </w:rPr>
        <w:t>s</w:t>
      </w:r>
      <w:r w:rsidR="00E36E4B" w:rsidRPr="002715F2">
        <w:rPr>
          <w:rFonts w:eastAsia="Gulim"/>
          <w:lang w:val="fr-FR" w:eastAsia="ko-KR"/>
        </w:rPr>
        <w:t xml:space="preserve"> </w:t>
      </w:r>
      <w:r w:rsidR="0008063E" w:rsidRPr="002715F2">
        <w:rPr>
          <w:rFonts w:eastAsia="Gulim"/>
          <w:lang w:val="fr-FR" w:eastAsia="ko-KR"/>
        </w:rPr>
        <w:t>C</w:t>
      </w:r>
      <w:r w:rsidR="00E36E4B" w:rsidRPr="002715F2">
        <w:rPr>
          <w:rFonts w:eastAsia="Gulim"/>
          <w:lang w:val="fr-FR" w:eastAsia="ko-KR"/>
        </w:rPr>
        <w:t>entre</w:t>
      </w:r>
      <w:r w:rsidR="0008063E" w:rsidRPr="002715F2">
        <w:rPr>
          <w:rFonts w:eastAsia="Gulim"/>
          <w:lang w:val="fr-FR" w:eastAsia="ko-KR"/>
        </w:rPr>
        <w:t>s</w:t>
      </w:r>
      <w:r w:rsidR="00E36E4B" w:rsidRPr="002715F2">
        <w:rPr>
          <w:rFonts w:eastAsia="Gulim"/>
          <w:lang w:val="fr-FR" w:eastAsia="ko-KR"/>
        </w:rPr>
        <w:t xml:space="preserve"> tournesol </w:t>
      </w:r>
      <w:r w:rsidR="0008063E" w:rsidRPr="002715F2">
        <w:rPr>
          <w:rFonts w:eastAsia="Gulim"/>
          <w:lang w:val="fr-FR" w:eastAsia="ko-KR"/>
        </w:rPr>
        <w:t>de prise</w:t>
      </w:r>
      <w:r w:rsidR="00E36E4B" w:rsidRPr="002715F2">
        <w:rPr>
          <w:rFonts w:eastAsia="Gulim"/>
          <w:lang w:val="fr-FR" w:eastAsia="ko-KR"/>
        </w:rPr>
        <w:t xml:space="preserve"> en charge complète</w:t>
      </w:r>
      <w:r w:rsidR="002602D7" w:rsidRPr="002715F2">
        <w:rPr>
          <w:rFonts w:eastAsia="Gulim"/>
          <w:lang w:val="fr-FR" w:eastAsia="ko-KR"/>
        </w:rPr>
        <w:t>, qui</w:t>
      </w:r>
      <w:r w:rsidR="0008063E" w:rsidRPr="002715F2">
        <w:rPr>
          <w:rFonts w:eastAsia="Gulim"/>
          <w:lang w:val="fr-FR" w:eastAsia="ko-KR"/>
        </w:rPr>
        <w:t xml:space="preserve"> combinent l’action</w:t>
      </w:r>
      <w:r w:rsidR="00E36E4B" w:rsidRPr="002715F2">
        <w:rPr>
          <w:rFonts w:eastAsia="Gulim"/>
          <w:lang w:val="fr-FR" w:eastAsia="ko-KR"/>
        </w:rPr>
        <w:t xml:space="preserve"> des deux autres centres</w:t>
      </w:r>
      <w:r w:rsidR="002602D7" w:rsidRPr="002715F2">
        <w:rPr>
          <w:rFonts w:eastAsia="Gulim"/>
          <w:lang w:val="fr-FR" w:eastAsia="ko-KR"/>
        </w:rPr>
        <w:t>,</w:t>
      </w:r>
      <w:r w:rsidR="0008063E" w:rsidRPr="002715F2">
        <w:rPr>
          <w:rFonts w:eastAsia="Gulim"/>
          <w:lang w:val="fr-FR" w:eastAsia="ko-KR"/>
        </w:rPr>
        <w:t xml:space="preserve"> </w:t>
      </w:r>
      <w:r w:rsidR="002602D7" w:rsidRPr="002715F2">
        <w:rPr>
          <w:rFonts w:eastAsia="Gulim"/>
          <w:lang w:val="fr-FR" w:eastAsia="ko-KR"/>
        </w:rPr>
        <w:t>dispensent</w:t>
      </w:r>
      <w:r w:rsidR="00E36E4B" w:rsidRPr="002715F2">
        <w:rPr>
          <w:rFonts w:eastAsia="Gulim"/>
          <w:lang w:val="fr-FR" w:eastAsia="ko-KR"/>
        </w:rPr>
        <w:t xml:space="preserve"> des </w:t>
      </w:r>
      <w:r w:rsidR="0008063E" w:rsidRPr="002715F2">
        <w:rPr>
          <w:rFonts w:eastAsia="Gulim"/>
          <w:lang w:val="fr-FR" w:eastAsia="ko-KR"/>
        </w:rPr>
        <w:t>traitements</w:t>
      </w:r>
      <w:r w:rsidR="00E36E4B" w:rsidRPr="002715F2">
        <w:rPr>
          <w:rFonts w:eastAsia="Gulim"/>
          <w:lang w:val="fr-FR" w:eastAsia="ko-KR"/>
        </w:rPr>
        <w:t xml:space="preserve"> </w:t>
      </w:r>
      <w:r w:rsidR="0008063E" w:rsidRPr="002715F2">
        <w:rPr>
          <w:rFonts w:eastAsia="Gulim"/>
          <w:lang w:val="fr-FR" w:eastAsia="ko-KR"/>
        </w:rPr>
        <w:t>spécialisés sur le</w:t>
      </w:r>
      <w:r w:rsidR="00E36E4B" w:rsidRPr="002715F2">
        <w:rPr>
          <w:rFonts w:eastAsia="Gulim"/>
          <w:lang w:val="fr-FR" w:eastAsia="ko-KR"/>
        </w:rPr>
        <w:t xml:space="preserve"> long terme </w:t>
      </w:r>
      <w:r w:rsidR="002602D7" w:rsidRPr="002715F2">
        <w:rPr>
          <w:rFonts w:eastAsia="Gulim"/>
          <w:lang w:val="fr-FR" w:eastAsia="ko-KR"/>
        </w:rPr>
        <w:t>et disposent de</w:t>
      </w:r>
      <w:r w:rsidR="00E36E4B" w:rsidRPr="002715F2">
        <w:rPr>
          <w:rFonts w:eastAsia="Gulim"/>
          <w:lang w:val="fr-FR" w:eastAsia="ko-KR"/>
        </w:rPr>
        <w:t xml:space="preserve"> service</w:t>
      </w:r>
      <w:r w:rsidR="002602D7" w:rsidRPr="002715F2">
        <w:rPr>
          <w:rFonts w:eastAsia="Gulim"/>
          <w:lang w:val="fr-FR" w:eastAsia="ko-KR"/>
        </w:rPr>
        <w:t>s</w:t>
      </w:r>
      <w:r w:rsidR="00E36E4B" w:rsidRPr="002715F2">
        <w:rPr>
          <w:rFonts w:eastAsia="Gulim"/>
          <w:lang w:val="fr-FR" w:eastAsia="ko-KR"/>
        </w:rPr>
        <w:t xml:space="preserve"> d’enquête</w:t>
      </w:r>
      <w:r w:rsidR="000078DA" w:rsidRPr="002715F2">
        <w:rPr>
          <w:rFonts w:eastAsia="Gulim"/>
          <w:lang w:val="fr-FR" w:eastAsia="ko-KR"/>
        </w:rPr>
        <w:t xml:space="preserve">. </w:t>
      </w:r>
      <w:r w:rsidR="00E36E4B" w:rsidRPr="002715F2">
        <w:rPr>
          <w:rFonts w:eastAsia="Gulim"/>
          <w:lang w:val="fr-FR" w:eastAsia="ko-KR"/>
        </w:rPr>
        <w:t>Ce</w:t>
      </w:r>
      <w:r w:rsidR="002602D7" w:rsidRPr="002715F2">
        <w:rPr>
          <w:rFonts w:eastAsia="Gulim"/>
          <w:lang w:val="fr-FR" w:eastAsia="ko-KR"/>
        </w:rPr>
        <w:t>s</w:t>
      </w:r>
      <w:r w:rsidR="00E36E4B" w:rsidRPr="002715F2">
        <w:rPr>
          <w:rFonts w:eastAsia="Gulim"/>
          <w:lang w:val="fr-FR" w:eastAsia="ko-KR"/>
        </w:rPr>
        <w:t xml:space="preserve"> centre</w:t>
      </w:r>
      <w:r w:rsidR="002602D7" w:rsidRPr="002715F2">
        <w:rPr>
          <w:rFonts w:eastAsia="Gulim"/>
          <w:lang w:val="fr-FR" w:eastAsia="ko-KR"/>
        </w:rPr>
        <w:t>s</w:t>
      </w:r>
      <w:r w:rsidR="00E36E4B" w:rsidRPr="002715F2">
        <w:rPr>
          <w:rFonts w:eastAsia="Gulim"/>
          <w:lang w:val="fr-FR" w:eastAsia="ko-KR"/>
        </w:rPr>
        <w:t xml:space="preserve"> propose</w:t>
      </w:r>
      <w:r w:rsidR="002602D7" w:rsidRPr="002715F2">
        <w:rPr>
          <w:rFonts w:eastAsia="Gulim"/>
          <w:lang w:val="fr-FR" w:eastAsia="ko-KR"/>
        </w:rPr>
        <w:t>nt</w:t>
      </w:r>
      <w:r w:rsidR="00E36E4B" w:rsidRPr="002715F2">
        <w:rPr>
          <w:rFonts w:eastAsia="Gulim"/>
          <w:lang w:val="fr-FR" w:eastAsia="ko-KR"/>
        </w:rPr>
        <w:t xml:space="preserve"> des consultations </w:t>
      </w:r>
      <w:r w:rsidR="005C6D8E" w:rsidRPr="002715F2">
        <w:rPr>
          <w:rFonts w:eastAsia="Gulim"/>
          <w:lang w:val="fr-FR" w:eastAsia="ko-KR"/>
        </w:rPr>
        <w:t>psychologiques</w:t>
      </w:r>
      <w:r w:rsidR="00E36E4B" w:rsidRPr="002715F2">
        <w:rPr>
          <w:rFonts w:eastAsia="Gulim"/>
          <w:lang w:val="fr-FR" w:eastAsia="ko-KR"/>
        </w:rPr>
        <w:t xml:space="preserve">, des </w:t>
      </w:r>
      <w:r w:rsidR="002602D7" w:rsidRPr="002715F2">
        <w:rPr>
          <w:rFonts w:eastAsia="Gulim"/>
          <w:lang w:val="fr-FR" w:eastAsia="ko-KR"/>
        </w:rPr>
        <w:t>traitements</w:t>
      </w:r>
      <w:r w:rsidR="00E36E4B" w:rsidRPr="002715F2">
        <w:rPr>
          <w:rFonts w:eastAsia="Gulim"/>
          <w:lang w:val="fr-FR" w:eastAsia="ko-KR"/>
        </w:rPr>
        <w:t xml:space="preserve"> médicaux et des conseils juridiques, et confie</w:t>
      </w:r>
      <w:r w:rsidR="002602D7" w:rsidRPr="002715F2">
        <w:rPr>
          <w:rFonts w:eastAsia="Gulim"/>
          <w:lang w:val="fr-FR" w:eastAsia="ko-KR"/>
        </w:rPr>
        <w:t>nt</w:t>
      </w:r>
      <w:r w:rsidR="00E36E4B" w:rsidRPr="002715F2">
        <w:rPr>
          <w:rFonts w:eastAsia="Gulim"/>
          <w:lang w:val="fr-FR" w:eastAsia="ko-KR"/>
        </w:rPr>
        <w:t xml:space="preserve"> également </w:t>
      </w:r>
      <w:r w:rsidR="00B1523C" w:rsidRPr="002715F2">
        <w:rPr>
          <w:rFonts w:eastAsia="Gulim"/>
          <w:lang w:val="fr-FR" w:eastAsia="ko-KR"/>
        </w:rPr>
        <w:t>à des</w:t>
      </w:r>
      <w:r w:rsidR="0008063E" w:rsidRPr="002715F2">
        <w:rPr>
          <w:rFonts w:eastAsia="Gulim"/>
          <w:lang w:val="fr-FR" w:eastAsia="ko-KR"/>
        </w:rPr>
        <w:t xml:space="preserve"> policières</w:t>
      </w:r>
      <w:r w:rsidR="00E36E4B" w:rsidRPr="002715F2">
        <w:rPr>
          <w:rFonts w:eastAsia="Gulim"/>
          <w:lang w:val="fr-FR" w:eastAsia="ko-KR"/>
        </w:rPr>
        <w:t xml:space="preserve"> </w:t>
      </w:r>
      <w:r w:rsidR="002602D7" w:rsidRPr="002715F2">
        <w:rPr>
          <w:rFonts w:eastAsia="Gulim"/>
          <w:lang w:val="fr-FR" w:eastAsia="ko-KR"/>
        </w:rPr>
        <w:t>le soin</w:t>
      </w:r>
      <w:r w:rsidR="00E36E4B" w:rsidRPr="002715F2">
        <w:rPr>
          <w:rFonts w:eastAsia="Gulim"/>
          <w:lang w:val="fr-FR" w:eastAsia="ko-KR"/>
        </w:rPr>
        <w:t xml:space="preserve"> </w:t>
      </w:r>
      <w:r w:rsidR="002602D7" w:rsidRPr="002715F2">
        <w:rPr>
          <w:rFonts w:eastAsia="Gulim"/>
          <w:lang w:val="fr-FR" w:eastAsia="ko-KR"/>
        </w:rPr>
        <w:t>de recueillir l</w:t>
      </w:r>
      <w:r w:rsidR="00E36E4B" w:rsidRPr="002715F2">
        <w:rPr>
          <w:rFonts w:eastAsia="Gulim"/>
          <w:lang w:val="fr-FR" w:eastAsia="ko-KR"/>
        </w:rPr>
        <w:t xml:space="preserve">es déclarations des victimes, le tout dans un seul lieu, </w:t>
      </w:r>
      <w:r w:rsidR="00B1523C" w:rsidRPr="002715F2">
        <w:rPr>
          <w:lang w:val="fr-FR"/>
        </w:rPr>
        <w:t>vingt-quatre heures sur vingt-quatre et tout au long de l’année</w:t>
      </w:r>
      <w:r w:rsidR="00B1523C" w:rsidRPr="002715F2">
        <w:rPr>
          <w:rFonts w:eastAsia="Gulim"/>
          <w:lang w:val="fr-FR" w:eastAsia="ko-KR"/>
        </w:rPr>
        <w:t xml:space="preserve"> </w:t>
      </w:r>
      <w:r w:rsidR="00E36E4B" w:rsidRPr="002715F2">
        <w:rPr>
          <w:rFonts w:eastAsia="Gulim"/>
          <w:lang w:val="fr-FR" w:eastAsia="ko-KR"/>
        </w:rPr>
        <w:t xml:space="preserve">(voir </w:t>
      </w:r>
      <w:r w:rsidR="00B1523C" w:rsidRPr="002715F2">
        <w:rPr>
          <w:rFonts w:eastAsia="Gulim"/>
          <w:lang w:val="fr-FR" w:eastAsia="ko-KR"/>
        </w:rPr>
        <w:t xml:space="preserve">le </w:t>
      </w:r>
      <w:r w:rsidR="00E36E4B" w:rsidRPr="002715F2">
        <w:rPr>
          <w:rFonts w:eastAsia="Gulim"/>
          <w:lang w:val="fr-FR" w:eastAsia="ko-KR"/>
        </w:rPr>
        <w:t>tableau</w:t>
      </w:r>
      <w:r w:rsidR="00B1523C" w:rsidRPr="002715F2">
        <w:rPr>
          <w:rFonts w:eastAsia="Gulim"/>
          <w:lang w:val="fr-FR" w:eastAsia="ko-KR"/>
        </w:rPr>
        <w:t> </w:t>
      </w:r>
      <w:r w:rsidR="00E36E4B" w:rsidRPr="002715F2">
        <w:rPr>
          <w:rFonts w:eastAsia="Gulim"/>
          <w:lang w:val="fr-FR" w:eastAsia="ko-KR"/>
        </w:rPr>
        <w:t>11)</w:t>
      </w:r>
      <w:r w:rsidR="00F60999" w:rsidRPr="002715F2">
        <w:rPr>
          <w:rFonts w:eastAsia="Gulim"/>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53.</w:t>
      </w:r>
      <w:r w:rsidRPr="002715F2">
        <w:rPr>
          <w:rFonts w:eastAsia="Gulim"/>
          <w:lang w:val="fr-FR" w:eastAsia="ko-KR"/>
        </w:rPr>
        <w:tab/>
      </w:r>
      <w:r w:rsidR="00E36E4B" w:rsidRPr="002715F2">
        <w:rPr>
          <w:rFonts w:eastAsia="Gulim"/>
          <w:lang w:val="fr-FR" w:eastAsia="ko-KR"/>
        </w:rPr>
        <w:t xml:space="preserve">Depuis 2004, </w:t>
      </w:r>
      <w:r w:rsidR="009F5CF5" w:rsidRPr="002715F2">
        <w:rPr>
          <w:rFonts w:eastAsia="Gulim"/>
          <w:lang w:val="fr-FR" w:eastAsia="ko-KR"/>
        </w:rPr>
        <w:t xml:space="preserve">les centres de conseils et les structures de protection pour les victimes de violences familiales ou sexuelles proposent à ces personnes </w:t>
      </w:r>
      <w:r w:rsidR="00E36E4B" w:rsidRPr="002715F2">
        <w:rPr>
          <w:rFonts w:eastAsia="Gulim"/>
          <w:lang w:val="fr-FR" w:eastAsia="ko-KR"/>
        </w:rPr>
        <w:t xml:space="preserve">des </w:t>
      </w:r>
      <w:r w:rsidR="009F5CF5" w:rsidRPr="002715F2">
        <w:rPr>
          <w:rFonts w:eastAsia="Gulim"/>
          <w:lang w:val="fr-FR" w:eastAsia="ko-KR"/>
        </w:rPr>
        <w:t>programmes de</w:t>
      </w:r>
      <w:r w:rsidR="00E36E4B" w:rsidRPr="002715F2">
        <w:rPr>
          <w:rFonts w:eastAsia="Gulim"/>
          <w:lang w:val="fr-FR" w:eastAsia="ko-KR"/>
        </w:rPr>
        <w:t xml:space="preserve"> </w:t>
      </w:r>
      <w:r w:rsidR="009F5CF5" w:rsidRPr="002715F2">
        <w:rPr>
          <w:rFonts w:eastAsia="Gulim"/>
          <w:lang w:val="fr-FR" w:eastAsia="ko-KR"/>
        </w:rPr>
        <w:t>traitement et d’accompagnement</w:t>
      </w:r>
      <w:r w:rsidR="003775E2" w:rsidRPr="002715F2">
        <w:rPr>
          <w:rFonts w:eastAsia="Gulim"/>
          <w:lang w:val="fr-FR" w:eastAsia="ko-KR"/>
        </w:rPr>
        <w:t>, des aides au paiement des</w:t>
      </w:r>
      <w:r w:rsidR="00E36E4B" w:rsidRPr="002715F2">
        <w:rPr>
          <w:rFonts w:eastAsia="Gulim"/>
          <w:lang w:val="fr-FR" w:eastAsia="ko-KR"/>
        </w:rPr>
        <w:t xml:space="preserve"> frais médicaux et des sessions de formation </w:t>
      </w:r>
      <w:r w:rsidR="005C6D8E" w:rsidRPr="002715F2">
        <w:rPr>
          <w:rFonts w:eastAsia="Gulim"/>
          <w:lang w:val="fr-FR" w:eastAsia="ko-KR"/>
        </w:rPr>
        <w:t>professionnelle</w:t>
      </w:r>
      <w:r w:rsidR="00E36E4B" w:rsidRPr="002715F2">
        <w:rPr>
          <w:rFonts w:eastAsia="Gulim"/>
          <w:lang w:val="fr-FR" w:eastAsia="ko-KR"/>
        </w:rPr>
        <w:t xml:space="preserve"> </w:t>
      </w:r>
      <w:r w:rsidR="003775E2" w:rsidRPr="002715F2">
        <w:rPr>
          <w:rFonts w:eastAsia="Gulim"/>
          <w:lang w:val="fr-FR" w:eastAsia="ko-KR"/>
        </w:rPr>
        <w:t>afin de</w:t>
      </w:r>
      <w:r w:rsidR="00E36E4B" w:rsidRPr="002715F2">
        <w:rPr>
          <w:rFonts w:eastAsia="Gulim"/>
          <w:lang w:val="fr-FR" w:eastAsia="ko-KR"/>
        </w:rPr>
        <w:t xml:space="preserve"> </w:t>
      </w:r>
      <w:r w:rsidR="003775E2" w:rsidRPr="002715F2">
        <w:rPr>
          <w:rFonts w:eastAsia="Gulim"/>
          <w:lang w:val="fr-FR" w:eastAsia="ko-KR"/>
        </w:rPr>
        <w:t>les aider à se rétablir</w:t>
      </w:r>
      <w:r w:rsidR="00E36E4B" w:rsidRPr="002715F2">
        <w:rPr>
          <w:rFonts w:eastAsia="Gulim"/>
          <w:lang w:val="fr-FR" w:eastAsia="ko-KR"/>
        </w:rPr>
        <w:t xml:space="preserve"> physique</w:t>
      </w:r>
      <w:r w:rsidR="003775E2" w:rsidRPr="002715F2">
        <w:rPr>
          <w:rFonts w:eastAsia="Gulim"/>
          <w:lang w:val="fr-FR" w:eastAsia="ko-KR"/>
        </w:rPr>
        <w:t>ment</w:t>
      </w:r>
      <w:r w:rsidR="00E36E4B" w:rsidRPr="002715F2">
        <w:rPr>
          <w:rFonts w:eastAsia="Gulim"/>
          <w:lang w:val="fr-FR" w:eastAsia="ko-KR"/>
        </w:rPr>
        <w:t xml:space="preserve"> et mentale</w:t>
      </w:r>
      <w:r w:rsidR="003775E2" w:rsidRPr="002715F2">
        <w:rPr>
          <w:rFonts w:eastAsia="Gulim"/>
          <w:lang w:val="fr-FR" w:eastAsia="ko-KR"/>
        </w:rPr>
        <w:t>ment</w:t>
      </w:r>
      <w:r w:rsidR="009F5CF5" w:rsidRPr="002715F2">
        <w:rPr>
          <w:rFonts w:eastAsia="Gulim"/>
          <w:lang w:val="fr-FR" w:eastAsia="ko-KR"/>
        </w:rPr>
        <w:t xml:space="preserve"> (voir les tableaux </w:t>
      </w:r>
      <w:r w:rsidR="00E36E4B" w:rsidRPr="002715F2">
        <w:rPr>
          <w:rFonts w:eastAsia="Gulim"/>
          <w:lang w:val="fr-FR" w:eastAsia="ko-KR"/>
        </w:rPr>
        <w:t>12 et 13)</w:t>
      </w:r>
      <w:r w:rsidR="000078DA" w:rsidRPr="002715F2">
        <w:rPr>
          <w:rFonts w:eastAsia="Gulim"/>
          <w:lang w:val="fr-FR" w:eastAsia="ko-KR"/>
        </w:rPr>
        <w:t xml:space="preserve">. </w:t>
      </w:r>
      <w:r w:rsidR="003775E2" w:rsidRPr="002715F2">
        <w:rPr>
          <w:rFonts w:eastAsia="Gulim"/>
          <w:lang w:val="fr-FR" w:eastAsia="ko-KR"/>
        </w:rPr>
        <w:t xml:space="preserve">En particulier, </w:t>
      </w:r>
      <w:r w:rsidR="009F5CF5" w:rsidRPr="002715F2">
        <w:rPr>
          <w:rFonts w:eastAsia="Gulim"/>
          <w:lang w:val="fr-FR" w:eastAsia="ko-KR"/>
        </w:rPr>
        <w:t>la procédure</w:t>
      </w:r>
      <w:r w:rsidR="003775E2" w:rsidRPr="002715F2">
        <w:rPr>
          <w:rFonts w:eastAsia="Gulim"/>
          <w:lang w:val="fr-FR" w:eastAsia="ko-KR"/>
        </w:rPr>
        <w:t xml:space="preserve"> </w:t>
      </w:r>
      <w:r w:rsidR="00FF1540" w:rsidRPr="002715F2">
        <w:rPr>
          <w:rFonts w:eastAsia="Gulim"/>
          <w:lang w:val="fr-FR" w:eastAsia="ko-KR"/>
        </w:rPr>
        <w:t>à suivre pour obtenir</w:t>
      </w:r>
      <w:r w:rsidR="003775E2" w:rsidRPr="002715F2">
        <w:rPr>
          <w:rFonts w:eastAsia="Gulim"/>
          <w:lang w:val="fr-FR" w:eastAsia="ko-KR"/>
        </w:rPr>
        <w:t xml:space="preserve"> </w:t>
      </w:r>
      <w:r w:rsidR="009F5CF5" w:rsidRPr="002715F2">
        <w:rPr>
          <w:rFonts w:eastAsia="Gulim"/>
          <w:lang w:val="fr-FR" w:eastAsia="ko-KR"/>
        </w:rPr>
        <w:t>une prise en charge</w:t>
      </w:r>
      <w:r w:rsidR="003775E2" w:rsidRPr="002715F2">
        <w:rPr>
          <w:rFonts w:eastAsia="Gulim"/>
          <w:lang w:val="fr-FR" w:eastAsia="ko-KR"/>
        </w:rPr>
        <w:t xml:space="preserve"> </w:t>
      </w:r>
      <w:r w:rsidR="009F5CF5" w:rsidRPr="002715F2">
        <w:rPr>
          <w:rFonts w:eastAsia="Gulim"/>
          <w:lang w:val="fr-FR" w:eastAsia="ko-KR"/>
        </w:rPr>
        <w:t xml:space="preserve">médicale </w:t>
      </w:r>
      <w:r w:rsidR="003775E2" w:rsidRPr="002715F2">
        <w:rPr>
          <w:rFonts w:eastAsia="Gulim"/>
          <w:lang w:val="fr-FR" w:eastAsia="ko-KR"/>
        </w:rPr>
        <w:t>a été simplifié</w:t>
      </w:r>
      <w:r w:rsidR="009F5CF5" w:rsidRPr="002715F2">
        <w:rPr>
          <w:rFonts w:eastAsia="Gulim"/>
          <w:lang w:val="fr-FR" w:eastAsia="ko-KR"/>
        </w:rPr>
        <w:t>e</w:t>
      </w:r>
      <w:r w:rsidR="003775E2" w:rsidRPr="002715F2">
        <w:rPr>
          <w:rFonts w:eastAsia="Gulim"/>
          <w:lang w:val="fr-FR" w:eastAsia="ko-KR"/>
        </w:rPr>
        <w:t xml:space="preserve"> en 2012</w:t>
      </w:r>
      <w:r w:rsidR="009F5CF5" w:rsidRPr="002715F2">
        <w:rPr>
          <w:rFonts w:eastAsia="Gulim"/>
          <w:lang w:val="fr-FR" w:eastAsia="ko-KR"/>
        </w:rPr>
        <w:t xml:space="preserve"> afin d’améliorer le système d’aide </w:t>
      </w:r>
      <w:r w:rsidR="003775E2" w:rsidRPr="002715F2">
        <w:rPr>
          <w:rFonts w:eastAsia="Gulim"/>
          <w:lang w:val="fr-FR" w:eastAsia="ko-KR"/>
        </w:rPr>
        <w:t>aux victimes de violences sexuelles</w:t>
      </w:r>
      <w:r w:rsidR="000078DA" w:rsidRPr="002715F2">
        <w:rPr>
          <w:rFonts w:eastAsia="Gulim"/>
          <w:lang w:val="fr-FR" w:eastAsia="ko-KR"/>
        </w:rPr>
        <w:t xml:space="preserve">. </w:t>
      </w:r>
      <w:r w:rsidR="009F5CF5" w:rsidRPr="002715F2">
        <w:rPr>
          <w:rFonts w:eastAsia="Gulim"/>
          <w:lang w:val="fr-FR" w:eastAsia="ko-KR"/>
        </w:rPr>
        <w:t>Depuis</w:t>
      </w:r>
      <w:r w:rsidR="003775E2" w:rsidRPr="002715F2">
        <w:rPr>
          <w:rFonts w:eastAsia="Gulim"/>
          <w:lang w:val="fr-FR" w:eastAsia="ko-KR"/>
        </w:rPr>
        <w:t xml:space="preserve"> </w:t>
      </w:r>
      <w:r w:rsidR="009F5CF5" w:rsidRPr="002715F2">
        <w:rPr>
          <w:rFonts w:eastAsia="Gulim"/>
          <w:lang w:val="fr-FR" w:eastAsia="ko-KR"/>
        </w:rPr>
        <w:t>cette</w:t>
      </w:r>
      <w:r w:rsidR="003775E2" w:rsidRPr="002715F2">
        <w:rPr>
          <w:rFonts w:eastAsia="Gulim"/>
          <w:lang w:val="fr-FR" w:eastAsia="ko-KR"/>
        </w:rPr>
        <w:t xml:space="preserve"> réforme, </w:t>
      </w:r>
      <w:r w:rsidR="009F5CF5" w:rsidRPr="002715F2">
        <w:rPr>
          <w:rFonts w:eastAsia="Gulim"/>
          <w:lang w:val="fr-FR" w:eastAsia="ko-KR"/>
        </w:rPr>
        <w:t>les</w:t>
      </w:r>
      <w:r w:rsidR="003775E2" w:rsidRPr="002715F2">
        <w:rPr>
          <w:rFonts w:eastAsia="Gulim"/>
          <w:lang w:val="fr-FR" w:eastAsia="ko-KR"/>
        </w:rPr>
        <w:t xml:space="preserve"> </w:t>
      </w:r>
      <w:r w:rsidR="00505F2B" w:rsidRPr="002715F2">
        <w:rPr>
          <w:rFonts w:eastAsia="Gulim"/>
          <w:lang w:val="fr-FR" w:eastAsia="ko-KR"/>
        </w:rPr>
        <w:t xml:space="preserve">autorités </w:t>
      </w:r>
      <w:r w:rsidR="003775E2" w:rsidRPr="002715F2">
        <w:rPr>
          <w:rFonts w:eastAsia="Gulim"/>
          <w:lang w:val="fr-FR" w:eastAsia="ko-KR"/>
        </w:rPr>
        <w:t>locales</w:t>
      </w:r>
      <w:r w:rsidR="009F5CF5" w:rsidRPr="002715F2">
        <w:rPr>
          <w:rFonts w:eastAsia="Gulim"/>
          <w:lang w:val="fr-FR" w:eastAsia="ko-KR"/>
        </w:rPr>
        <w:t xml:space="preserve"> n’ont plus besoin d’approuver les prises en charge</w:t>
      </w:r>
      <w:r w:rsidR="003775E2" w:rsidRPr="002715F2">
        <w:rPr>
          <w:rFonts w:eastAsia="Gulim"/>
          <w:lang w:val="fr-FR" w:eastAsia="ko-KR"/>
        </w:rPr>
        <w:t xml:space="preserve"> supérieures ou égales à </w:t>
      </w:r>
      <w:r w:rsidR="009F5CF5" w:rsidRPr="002715F2">
        <w:rPr>
          <w:rFonts w:eastAsia="Gulim"/>
          <w:lang w:val="fr-FR" w:eastAsia="ko-KR"/>
        </w:rPr>
        <w:t>cinq </w:t>
      </w:r>
      <w:r w:rsidR="003775E2" w:rsidRPr="002715F2">
        <w:rPr>
          <w:rFonts w:eastAsia="Gulim"/>
          <w:lang w:val="fr-FR" w:eastAsia="ko-KR"/>
        </w:rPr>
        <w:t xml:space="preserve">millions de won, </w:t>
      </w:r>
      <w:r w:rsidR="009F5CF5" w:rsidRPr="002715F2">
        <w:rPr>
          <w:rFonts w:eastAsia="Gulim"/>
          <w:lang w:val="fr-FR" w:eastAsia="ko-KR"/>
        </w:rPr>
        <w:t>comme cela était le cas auparavant,</w:t>
      </w:r>
      <w:r w:rsidR="003775E2" w:rsidRPr="002715F2">
        <w:rPr>
          <w:rFonts w:eastAsia="Gulim"/>
          <w:lang w:val="fr-FR" w:eastAsia="ko-KR"/>
        </w:rPr>
        <w:t xml:space="preserve"> </w:t>
      </w:r>
      <w:r w:rsidR="009F5CF5" w:rsidRPr="002715F2">
        <w:rPr>
          <w:rFonts w:eastAsia="Gulim"/>
          <w:lang w:val="fr-FR" w:eastAsia="ko-KR"/>
        </w:rPr>
        <w:t>et, pour les victimes de tout</w:t>
      </w:r>
      <w:r w:rsidR="003775E2" w:rsidRPr="002715F2">
        <w:rPr>
          <w:rFonts w:eastAsia="Gulim"/>
          <w:lang w:val="fr-FR" w:eastAsia="ko-KR"/>
        </w:rPr>
        <w:t xml:space="preserve"> âge</w:t>
      </w:r>
      <w:r w:rsidR="009F5CF5" w:rsidRPr="002715F2">
        <w:rPr>
          <w:rFonts w:eastAsia="Gulim"/>
          <w:lang w:val="fr-FR" w:eastAsia="ko-KR"/>
        </w:rPr>
        <w:t>, l</w:t>
      </w:r>
      <w:r w:rsidR="003775E2" w:rsidRPr="002715F2">
        <w:rPr>
          <w:rFonts w:eastAsia="Gulim"/>
          <w:lang w:val="fr-FR" w:eastAsia="ko-KR"/>
        </w:rPr>
        <w:t>es aides médicales couvr</w:t>
      </w:r>
      <w:r w:rsidR="009F5CF5" w:rsidRPr="002715F2">
        <w:rPr>
          <w:rFonts w:eastAsia="Gulim"/>
          <w:lang w:val="fr-FR" w:eastAsia="ko-KR"/>
        </w:rPr>
        <w:t>ent désormais</w:t>
      </w:r>
      <w:r w:rsidR="003775E2" w:rsidRPr="002715F2">
        <w:rPr>
          <w:rFonts w:eastAsia="Gulim"/>
          <w:lang w:val="fr-FR" w:eastAsia="ko-KR"/>
        </w:rPr>
        <w:t xml:space="preserve"> les frais de psychothérapie </w:t>
      </w:r>
      <w:r w:rsidR="00A7037B" w:rsidRPr="002715F2">
        <w:rPr>
          <w:rFonts w:eastAsia="Gulim"/>
          <w:lang w:val="fr-FR" w:eastAsia="ko-KR"/>
        </w:rPr>
        <w:t>d</w:t>
      </w:r>
      <w:r w:rsidR="003775E2" w:rsidRPr="002715F2">
        <w:rPr>
          <w:rFonts w:eastAsia="Gulim"/>
          <w:lang w:val="fr-FR" w:eastAsia="ko-KR"/>
        </w:rPr>
        <w:t>es membres de</w:t>
      </w:r>
      <w:r w:rsidR="00A7037B" w:rsidRPr="002715F2">
        <w:rPr>
          <w:rFonts w:eastAsia="Gulim"/>
          <w:lang w:val="fr-FR" w:eastAsia="ko-KR"/>
        </w:rPr>
        <w:t>s</w:t>
      </w:r>
      <w:r w:rsidR="003775E2" w:rsidRPr="002715F2">
        <w:rPr>
          <w:rFonts w:eastAsia="Gulim"/>
          <w:lang w:val="fr-FR" w:eastAsia="ko-KR"/>
        </w:rPr>
        <w:t xml:space="preserve"> famille</w:t>
      </w:r>
      <w:r w:rsidR="00A7037B" w:rsidRPr="002715F2">
        <w:rPr>
          <w:rFonts w:eastAsia="Gulim"/>
          <w:lang w:val="fr-FR" w:eastAsia="ko-KR"/>
        </w:rPr>
        <w:t>s</w:t>
      </w:r>
      <w:r w:rsidR="003775E2" w:rsidRPr="002715F2">
        <w:rPr>
          <w:rFonts w:eastAsia="Gulim"/>
          <w:lang w:val="fr-FR" w:eastAsia="ko-KR"/>
        </w:rPr>
        <w:t xml:space="preserve"> des victimes</w:t>
      </w:r>
      <w:r w:rsidR="00F60999" w:rsidRPr="002715F2">
        <w:rPr>
          <w:rFonts w:eastAsia="Gulim"/>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54.</w:t>
      </w:r>
      <w:r w:rsidRPr="002715F2">
        <w:rPr>
          <w:rFonts w:eastAsia="Batang"/>
          <w:lang w:val="fr-FR" w:eastAsia="ko-KR"/>
        </w:rPr>
        <w:tab/>
      </w:r>
      <w:r w:rsidR="00043151" w:rsidRPr="002715F2">
        <w:rPr>
          <w:rFonts w:eastAsia="Batang"/>
          <w:lang w:val="fr-FR" w:eastAsia="ko-KR"/>
        </w:rPr>
        <w:t xml:space="preserve">Le </w:t>
      </w:r>
      <w:r w:rsidR="00FF1540" w:rsidRPr="002715F2">
        <w:rPr>
          <w:rFonts w:eastAsia="Batang"/>
          <w:lang w:val="fr-FR" w:eastAsia="ko-KR"/>
        </w:rPr>
        <w:t>C</w:t>
      </w:r>
      <w:r w:rsidR="00043151" w:rsidRPr="002715F2">
        <w:rPr>
          <w:rFonts w:eastAsia="Batang"/>
          <w:lang w:val="fr-FR" w:eastAsia="ko-KR"/>
        </w:rPr>
        <w:t xml:space="preserve">entre </w:t>
      </w:r>
      <w:r w:rsidR="00FF1540" w:rsidRPr="002715F2">
        <w:rPr>
          <w:rFonts w:eastAsia="Batang"/>
          <w:lang w:val="fr-FR" w:eastAsia="ko-KR"/>
        </w:rPr>
        <w:t>d’aide</w:t>
      </w:r>
      <w:r w:rsidR="00043151" w:rsidRPr="002715F2">
        <w:rPr>
          <w:rFonts w:eastAsia="Batang"/>
          <w:lang w:val="fr-FR" w:eastAsia="ko-KR"/>
        </w:rPr>
        <w:t xml:space="preserve"> aux victimes </w:t>
      </w:r>
      <w:r w:rsidR="00673D8E" w:rsidRPr="002715F2">
        <w:rPr>
          <w:rFonts w:ascii="TimesNewRomanPSMT" w:hAnsi="TimesNewRomanPSMT" w:cs="TimesNewRomanPSMT"/>
          <w:lang w:val="fr-FR" w:eastAsia="en-GB"/>
        </w:rPr>
        <w:t>d’actes criminels</w:t>
      </w:r>
      <w:r w:rsidR="00673D8E" w:rsidRPr="002715F2">
        <w:rPr>
          <w:rFonts w:eastAsia="Gulim"/>
          <w:lang w:val="fr-FR" w:eastAsia="ko-KR"/>
        </w:rPr>
        <w:t xml:space="preserve"> </w:t>
      </w:r>
      <w:r w:rsidR="00404FB0" w:rsidRPr="002715F2">
        <w:rPr>
          <w:rFonts w:eastAsia="Gulim"/>
          <w:lang w:val="fr-FR" w:eastAsia="ko-KR"/>
        </w:rPr>
        <w:t>propose</w:t>
      </w:r>
      <w:r w:rsidR="00043151" w:rsidRPr="002715F2">
        <w:rPr>
          <w:rFonts w:eastAsia="Batang"/>
          <w:lang w:val="fr-FR" w:eastAsia="ko-KR"/>
        </w:rPr>
        <w:t xml:space="preserve">, en relation avec les parquets à tous les niveaux, </w:t>
      </w:r>
      <w:r w:rsidR="00043151" w:rsidRPr="002715F2">
        <w:rPr>
          <w:rFonts w:eastAsia="Gulim"/>
          <w:lang w:val="fr-FR" w:eastAsia="ko-KR"/>
        </w:rPr>
        <w:t xml:space="preserve">des </w:t>
      </w:r>
      <w:r w:rsidR="00FF1540" w:rsidRPr="002715F2">
        <w:rPr>
          <w:rFonts w:eastAsia="Gulim"/>
          <w:lang w:val="fr-FR" w:eastAsia="ko-KR"/>
        </w:rPr>
        <w:t>conseils</w:t>
      </w:r>
      <w:r w:rsidR="00043151" w:rsidRPr="002715F2">
        <w:rPr>
          <w:rFonts w:eastAsia="Gulim"/>
          <w:lang w:val="fr-FR" w:eastAsia="ko-KR"/>
        </w:rPr>
        <w:t xml:space="preserve"> </w:t>
      </w:r>
      <w:r w:rsidR="00FF1540" w:rsidRPr="002715F2">
        <w:rPr>
          <w:rFonts w:eastAsia="Batang"/>
          <w:lang w:val="fr-FR" w:eastAsia="ko-KR"/>
        </w:rPr>
        <w:t>pour les</w:t>
      </w:r>
      <w:r w:rsidR="00043151" w:rsidRPr="002715F2">
        <w:rPr>
          <w:rFonts w:eastAsia="Batang"/>
          <w:lang w:val="fr-FR" w:eastAsia="ko-KR"/>
        </w:rPr>
        <w:t xml:space="preserve"> victimes de violences familiales ou sexuelles, de</w:t>
      </w:r>
      <w:r w:rsidR="00626DE5" w:rsidRPr="002715F2">
        <w:rPr>
          <w:rFonts w:eastAsia="Batang"/>
          <w:lang w:val="fr-FR" w:eastAsia="ko-KR"/>
        </w:rPr>
        <w:t>s</w:t>
      </w:r>
      <w:r w:rsidR="00043151" w:rsidRPr="002715F2">
        <w:rPr>
          <w:rFonts w:eastAsia="Batang"/>
          <w:lang w:val="fr-FR" w:eastAsia="ko-KR"/>
        </w:rPr>
        <w:t xml:space="preserve"> </w:t>
      </w:r>
      <w:r w:rsidR="00626DE5" w:rsidRPr="002715F2">
        <w:rPr>
          <w:rFonts w:eastAsia="Batang"/>
          <w:lang w:val="fr-FR" w:eastAsia="ko-KR"/>
        </w:rPr>
        <w:t>personnes pour accompagner les plaignants au tribunal si ceux-ci</w:t>
      </w:r>
      <w:r w:rsidR="00043151" w:rsidRPr="002715F2">
        <w:rPr>
          <w:rFonts w:eastAsia="Batang"/>
          <w:lang w:val="fr-FR" w:eastAsia="ko-KR"/>
        </w:rPr>
        <w:t xml:space="preserve"> craignent des représailles ou souffrent d’anxiété</w:t>
      </w:r>
      <w:r w:rsidR="000078DA" w:rsidRPr="002715F2">
        <w:rPr>
          <w:rFonts w:eastAsia="Batang"/>
          <w:lang w:val="fr-FR" w:eastAsia="ko-KR"/>
        </w:rPr>
        <w:t xml:space="preserve">. </w:t>
      </w:r>
      <w:r w:rsidR="00043151" w:rsidRPr="002715F2">
        <w:rPr>
          <w:rFonts w:eastAsia="Batang"/>
          <w:lang w:val="fr-FR" w:eastAsia="ko-KR"/>
        </w:rPr>
        <w:t xml:space="preserve">Les victimes peuvent également </w:t>
      </w:r>
      <w:r w:rsidR="00FF1540" w:rsidRPr="002715F2">
        <w:rPr>
          <w:rFonts w:eastAsia="Batang"/>
          <w:lang w:val="fr-FR" w:eastAsia="ko-KR"/>
        </w:rPr>
        <w:t xml:space="preserve">être </w:t>
      </w:r>
      <w:r w:rsidR="009966B6" w:rsidRPr="002715F2">
        <w:rPr>
          <w:rFonts w:eastAsia="Batang"/>
          <w:lang w:val="fr-FR" w:eastAsia="ko-KR"/>
        </w:rPr>
        <w:t>hébergées</w:t>
      </w:r>
      <w:r w:rsidR="00043151" w:rsidRPr="002715F2">
        <w:rPr>
          <w:rFonts w:eastAsia="Batang"/>
          <w:lang w:val="fr-FR" w:eastAsia="ko-KR"/>
        </w:rPr>
        <w:t xml:space="preserve"> </w:t>
      </w:r>
      <w:r w:rsidR="00626DE5" w:rsidRPr="002715F2">
        <w:rPr>
          <w:rFonts w:eastAsia="Batang"/>
          <w:lang w:val="fr-FR" w:eastAsia="ko-KR"/>
        </w:rPr>
        <w:t>dans des</w:t>
      </w:r>
      <w:r w:rsidR="00043151" w:rsidRPr="002715F2">
        <w:rPr>
          <w:rFonts w:eastAsia="Batang"/>
          <w:lang w:val="fr-FR" w:eastAsia="ko-KR"/>
        </w:rPr>
        <w:t xml:space="preserve"> </w:t>
      </w:r>
      <w:r w:rsidR="00626DE5" w:rsidRPr="002715F2">
        <w:rPr>
          <w:rFonts w:eastAsia="Batang"/>
          <w:lang w:val="fr-FR" w:eastAsia="ko-KR"/>
        </w:rPr>
        <w:t>C</w:t>
      </w:r>
      <w:r w:rsidR="00043151" w:rsidRPr="002715F2">
        <w:rPr>
          <w:rFonts w:eastAsia="Batang"/>
          <w:lang w:val="fr-FR" w:eastAsia="ko-KR"/>
        </w:rPr>
        <w:t>entre</w:t>
      </w:r>
      <w:r w:rsidR="00626DE5" w:rsidRPr="002715F2">
        <w:rPr>
          <w:rFonts w:eastAsia="Batang"/>
          <w:lang w:val="fr-FR" w:eastAsia="ko-KR"/>
        </w:rPr>
        <w:t>s</w:t>
      </w:r>
      <w:r w:rsidR="00043151" w:rsidRPr="002715F2">
        <w:rPr>
          <w:rFonts w:eastAsia="Batang"/>
          <w:lang w:val="fr-FR" w:eastAsia="ko-KR"/>
        </w:rPr>
        <w:t xml:space="preserve"> du sourire pour y bénéficier d’une</w:t>
      </w:r>
      <w:r w:rsidR="00404FB0" w:rsidRPr="002715F2">
        <w:rPr>
          <w:rFonts w:eastAsia="Batang"/>
          <w:lang w:val="fr-FR" w:eastAsia="ko-KR"/>
        </w:rPr>
        <w:t xml:space="preserve"> prise en charge</w:t>
      </w:r>
      <w:r w:rsidR="00043151" w:rsidRPr="002715F2">
        <w:rPr>
          <w:rFonts w:eastAsia="Batang"/>
          <w:lang w:val="fr-FR" w:eastAsia="ko-KR"/>
        </w:rPr>
        <w:t xml:space="preserve"> psychologique, si </w:t>
      </w:r>
      <w:r w:rsidR="005C6D8E" w:rsidRPr="002715F2">
        <w:rPr>
          <w:rFonts w:eastAsia="Batang"/>
          <w:lang w:val="fr-FR" w:eastAsia="ko-KR"/>
        </w:rPr>
        <w:t>nécessaire</w:t>
      </w:r>
      <w:r w:rsidR="00043151" w:rsidRPr="002715F2">
        <w:rPr>
          <w:rFonts w:eastAsia="Batang"/>
          <w:lang w:val="fr-FR" w:eastAsia="ko-KR"/>
        </w:rPr>
        <w:t xml:space="preserve">. </w:t>
      </w:r>
      <w:r w:rsidR="00404FB0" w:rsidRPr="002715F2">
        <w:rPr>
          <w:rFonts w:eastAsia="Batang"/>
          <w:lang w:val="fr-FR" w:eastAsia="ko-KR"/>
        </w:rPr>
        <w:t xml:space="preserve">Pour plus </w:t>
      </w:r>
      <w:r w:rsidR="00626DE5" w:rsidRPr="002715F2">
        <w:rPr>
          <w:rFonts w:eastAsia="Batang"/>
          <w:lang w:val="fr-FR" w:eastAsia="ko-KR"/>
        </w:rPr>
        <w:t>de renseignements</w:t>
      </w:r>
      <w:r w:rsidR="00404FB0" w:rsidRPr="002715F2">
        <w:rPr>
          <w:rFonts w:eastAsia="Batang"/>
          <w:lang w:val="fr-FR" w:eastAsia="ko-KR"/>
        </w:rPr>
        <w:t xml:space="preserve"> sur le</w:t>
      </w:r>
      <w:r w:rsidR="00626DE5" w:rsidRPr="002715F2">
        <w:rPr>
          <w:rFonts w:eastAsia="Batang"/>
          <w:lang w:val="fr-FR" w:eastAsia="ko-KR"/>
        </w:rPr>
        <w:t>s</w:t>
      </w:r>
      <w:r w:rsidR="00404FB0" w:rsidRPr="002715F2">
        <w:rPr>
          <w:rFonts w:eastAsia="Batang"/>
          <w:lang w:val="fr-FR" w:eastAsia="ko-KR"/>
        </w:rPr>
        <w:t xml:space="preserve"> </w:t>
      </w:r>
      <w:r w:rsidR="00626DE5" w:rsidRPr="002715F2">
        <w:rPr>
          <w:rFonts w:eastAsia="Batang"/>
          <w:lang w:val="fr-FR" w:eastAsia="ko-KR"/>
        </w:rPr>
        <w:t xml:space="preserve">Centres </w:t>
      </w:r>
      <w:r w:rsidR="00404FB0" w:rsidRPr="002715F2">
        <w:rPr>
          <w:rFonts w:eastAsia="Batang"/>
          <w:lang w:val="fr-FR" w:eastAsia="ko-KR"/>
        </w:rPr>
        <w:t>du sourire, on se reportera au p</w:t>
      </w:r>
      <w:r w:rsidR="000078DA" w:rsidRPr="002715F2">
        <w:rPr>
          <w:rFonts w:eastAsia="Batang"/>
          <w:lang w:val="fr-FR" w:eastAsia="ko-KR"/>
        </w:rPr>
        <w:t>aragraph</w:t>
      </w:r>
      <w:r w:rsidR="00404FB0" w:rsidRPr="002715F2">
        <w:rPr>
          <w:rFonts w:eastAsia="Batang"/>
          <w:lang w:val="fr-FR" w:eastAsia="ko-KR"/>
        </w:rPr>
        <w:t>e </w:t>
      </w:r>
      <w:r w:rsidR="000078DA" w:rsidRPr="002715F2">
        <w:rPr>
          <w:rFonts w:eastAsia="Batang"/>
          <w:lang w:val="fr-FR" w:eastAsia="ko-KR"/>
        </w:rPr>
        <w:t xml:space="preserve">148 </w:t>
      </w:r>
      <w:r w:rsidR="00404FB0" w:rsidRPr="002715F2">
        <w:rPr>
          <w:rFonts w:eastAsia="Batang"/>
          <w:lang w:val="fr-FR" w:eastAsia="ko-KR"/>
        </w:rPr>
        <w:t xml:space="preserve">du </w:t>
      </w:r>
      <w:r w:rsidR="005C6D8E" w:rsidRPr="002715F2">
        <w:rPr>
          <w:rFonts w:eastAsia="Batang"/>
          <w:lang w:val="fr-FR" w:eastAsia="ko-KR"/>
        </w:rPr>
        <w:t>présent</w:t>
      </w:r>
      <w:r w:rsidR="00404FB0" w:rsidRPr="002715F2">
        <w:rPr>
          <w:rFonts w:eastAsia="Batang"/>
          <w:lang w:val="fr-FR" w:eastAsia="ko-KR"/>
        </w:rPr>
        <w:t xml:space="preserve"> rapport</w:t>
      </w:r>
      <w:r w:rsidR="00F60999" w:rsidRPr="002715F2">
        <w:rPr>
          <w:rFonts w:eastAsia="Batang"/>
          <w:lang w:val="fr-FR" w:eastAsia="ko-KR"/>
        </w:rPr>
        <w:t>.</w:t>
      </w:r>
    </w:p>
    <w:p w:rsidR="000078DA" w:rsidRPr="002715F2" w:rsidRDefault="007026FB" w:rsidP="00DE2EF9">
      <w:pPr>
        <w:pStyle w:val="SingleTxtG"/>
        <w:rPr>
          <w:rFonts w:eastAsia="Malgun Gothic"/>
          <w:kern w:val="2"/>
          <w:szCs w:val="22"/>
          <w:lang w:val="fr-FR" w:eastAsia="ko-KR"/>
        </w:rPr>
      </w:pPr>
      <w:r w:rsidRPr="002715F2">
        <w:rPr>
          <w:rFonts w:eastAsia="Malgun Gothic"/>
          <w:kern w:val="2"/>
          <w:szCs w:val="22"/>
          <w:lang w:val="fr-FR" w:eastAsia="ko-KR"/>
        </w:rPr>
        <w:t>55.</w:t>
      </w:r>
      <w:r w:rsidRPr="002715F2">
        <w:rPr>
          <w:rFonts w:eastAsia="Malgun Gothic"/>
          <w:kern w:val="2"/>
          <w:szCs w:val="22"/>
          <w:lang w:val="fr-FR" w:eastAsia="ko-KR"/>
        </w:rPr>
        <w:tab/>
      </w:r>
      <w:r w:rsidR="00404FB0" w:rsidRPr="002715F2">
        <w:rPr>
          <w:rFonts w:eastAsia="Malgun Gothic"/>
          <w:kern w:val="2"/>
          <w:szCs w:val="22"/>
          <w:lang w:val="fr-FR" w:eastAsia="ko-KR"/>
        </w:rPr>
        <w:t xml:space="preserve">Depuis 2003, le Gouvernement </w:t>
      </w:r>
      <w:r w:rsidR="002D7116" w:rsidRPr="002715F2">
        <w:rPr>
          <w:rFonts w:eastAsia="Malgun Gothic"/>
          <w:kern w:val="2"/>
          <w:szCs w:val="22"/>
          <w:lang w:val="fr-FR" w:eastAsia="ko-KR"/>
        </w:rPr>
        <w:t>a consacré une part de son budget à la conclusion d’</w:t>
      </w:r>
      <w:r w:rsidR="00404FB0" w:rsidRPr="002715F2">
        <w:rPr>
          <w:rFonts w:eastAsia="Malgun Gothic"/>
          <w:kern w:val="2"/>
          <w:szCs w:val="22"/>
          <w:lang w:val="fr-FR" w:eastAsia="ko-KR"/>
        </w:rPr>
        <w:t>accords avec quatre</w:t>
      </w:r>
      <w:r w:rsidR="002D7116" w:rsidRPr="002715F2">
        <w:rPr>
          <w:rFonts w:eastAsia="Malgun Gothic"/>
          <w:kern w:val="2"/>
          <w:szCs w:val="22"/>
          <w:lang w:val="fr-FR" w:eastAsia="ko-KR"/>
        </w:rPr>
        <w:t> </w:t>
      </w:r>
      <w:r w:rsidR="00404FB0" w:rsidRPr="002715F2">
        <w:rPr>
          <w:rFonts w:eastAsia="Malgun Gothic"/>
          <w:kern w:val="2"/>
          <w:szCs w:val="22"/>
          <w:lang w:val="fr-FR" w:eastAsia="ko-KR"/>
        </w:rPr>
        <w:t>organis</w:t>
      </w:r>
      <w:r w:rsidR="00DE2EF9" w:rsidRPr="002715F2">
        <w:rPr>
          <w:rFonts w:eastAsia="Malgun Gothic"/>
          <w:kern w:val="2"/>
          <w:szCs w:val="22"/>
          <w:lang w:val="fr-FR" w:eastAsia="ko-KR"/>
        </w:rPr>
        <w:t>mes d’assistance juri</w:t>
      </w:r>
      <w:r w:rsidR="009966B6" w:rsidRPr="002715F2">
        <w:rPr>
          <w:rFonts w:eastAsia="Malgun Gothic"/>
          <w:kern w:val="2"/>
          <w:szCs w:val="22"/>
          <w:lang w:val="fr-FR" w:eastAsia="ko-KR"/>
        </w:rPr>
        <w:t>di</w:t>
      </w:r>
      <w:r w:rsidR="00DE2EF9" w:rsidRPr="002715F2">
        <w:rPr>
          <w:rFonts w:eastAsia="Malgun Gothic"/>
          <w:kern w:val="2"/>
          <w:szCs w:val="22"/>
          <w:lang w:val="fr-FR" w:eastAsia="ko-KR"/>
        </w:rPr>
        <w:t>ctionnelle </w:t>
      </w:r>
      <w:r w:rsidR="00984C16" w:rsidRPr="002715F2">
        <w:rPr>
          <w:rFonts w:eastAsia="Malgun Gothic"/>
          <w:kern w:val="2"/>
          <w:szCs w:val="22"/>
          <w:lang w:val="fr-FR" w:eastAsia="ko-KR"/>
        </w:rPr>
        <w:t>– </w:t>
      </w:r>
      <w:r w:rsidR="00DE2EF9" w:rsidRPr="002715F2">
        <w:rPr>
          <w:rFonts w:eastAsia="Malgun Gothic"/>
          <w:kern w:val="2"/>
          <w:szCs w:val="22"/>
          <w:lang w:val="fr-FR" w:eastAsia="ko-KR"/>
        </w:rPr>
        <w:t xml:space="preserve">la </w:t>
      </w:r>
      <w:r w:rsidR="00DE2EF9" w:rsidRPr="002715F2">
        <w:rPr>
          <w:lang w:val="fr-FR" w:eastAsia="en-GB"/>
        </w:rPr>
        <w:t>Société coréenne d’assistance juridictionnelle, le Centre coréen d’aide juridictionnelle pour les relations familiales</w:t>
      </w:r>
      <w:r w:rsidR="00404FB0" w:rsidRPr="002715F2">
        <w:rPr>
          <w:rFonts w:eastAsia="Malgun Gothic"/>
          <w:kern w:val="2"/>
          <w:szCs w:val="22"/>
          <w:lang w:val="fr-FR" w:eastAsia="ko-KR"/>
        </w:rPr>
        <w:t xml:space="preserve">, </w:t>
      </w:r>
      <w:r w:rsidR="00DE2EF9" w:rsidRPr="002715F2">
        <w:rPr>
          <w:rFonts w:eastAsia="Malgun Gothic"/>
          <w:kern w:val="2"/>
          <w:szCs w:val="22"/>
          <w:lang w:val="fr-FR" w:eastAsia="ko-KR"/>
        </w:rPr>
        <w:t xml:space="preserve">l’ordre des avocats coréens </w:t>
      </w:r>
      <w:r w:rsidR="00404FB0" w:rsidRPr="002715F2">
        <w:rPr>
          <w:rFonts w:eastAsia="Malgun Gothic"/>
          <w:kern w:val="2"/>
          <w:szCs w:val="22"/>
          <w:lang w:val="fr-FR" w:eastAsia="ko-KR"/>
        </w:rPr>
        <w:t xml:space="preserve">et le </w:t>
      </w:r>
      <w:r w:rsidR="00DE2EF9" w:rsidRPr="002715F2">
        <w:rPr>
          <w:rFonts w:eastAsia="Malgun Gothic"/>
          <w:kern w:val="2"/>
          <w:szCs w:val="22"/>
          <w:lang w:val="fr-FR" w:eastAsia="ko-KR"/>
        </w:rPr>
        <w:t>C</w:t>
      </w:r>
      <w:r w:rsidR="00404FB0" w:rsidRPr="002715F2">
        <w:rPr>
          <w:rFonts w:eastAsia="Malgun Gothic"/>
          <w:kern w:val="2"/>
          <w:szCs w:val="22"/>
          <w:lang w:val="fr-FR" w:eastAsia="ko-KR"/>
        </w:rPr>
        <w:t>entre cor</w:t>
      </w:r>
      <w:r w:rsidR="00DE2EF9" w:rsidRPr="002715F2">
        <w:rPr>
          <w:rFonts w:eastAsia="Malgun Gothic"/>
          <w:kern w:val="2"/>
          <w:szCs w:val="22"/>
          <w:lang w:val="fr-FR" w:eastAsia="ko-KR"/>
        </w:rPr>
        <w:t>éen d’aide aux victimes de viol </w:t>
      </w:r>
      <w:r w:rsidR="00984C16" w:rsidRPr="002715F2">
        <w:rPr>
          <w:rFonts w:eastAsia="Malgun Gothic"/>
          <w:kern w:val="2"/>
          <w:szCs w:val="22"/>
          <w:lang w:val="fr-FR" w:eastAsia="ko-KR"/>
        </w:rPr>
        <w:t>– </w:t>
      </w:r>
      <w:r w:rsidR="00404FB0" w:rsidRPr="002715F2">
        <w:rPr>
          <w:rFonts w:eastAsia="Malgun Gothic"/>
          <w:kern w:val="2"/>
          <w:szCs w:val="22"/>
          <w:lang w:val="fr-FR" w:eastAsia="ko-KR"/>
        </w:rPr>
        <w:t xml:space="preserve">afin de protéger les droits et les intérêts des femmes, enfants et </w:t>
      </w:r>
      <w:r w:rsidR="007D7B60" w:rsidRPr="002715F2">
        <w:rPr>
          <w:rFonts w:eastAsia="Malgun Gothic"/>
          <w:kern w:val="2"/>
          <w:szCs w:val="22"/>
          <w:lang w:val="fr-FR" w:eastAsia="ko-KR"/>
        </w:rPr>
        <w:t>adolescents</w:t>
      </w:r>
      <w:r w:rsidR="00404FB0" w:rsidRPr="002715F2">
        <w:rPr>
          <w:rFonts w:eastAsia="Malgun Gothic"/>
          <w:kern w:val="2"/>
          <w:szCs w:val="22"/>
          <w:lang w:val="fr-FR" w:eastAsia="ko-KR"/>
        </w:rPr>
        <w:t xml:space="preserve"> victimes de violences familiales ou sexuelles (voir </w:t>
      </w:r>
      <w:r w:rsidR="00DE2EF9" w:rsidRPr="002715F2">
        <w:rPr>
          <w:rFonts w:eastAsia="Malgun Gothic"/>
          <w:kern w:val="2"/>
          <w:szCs w:val="22"/>
          <w:lang w:val="fr-FR" w:eastAsia="ko-KR"/>
        </w:rPr>
        <w:t xml:space="preserve">le </w:t>
      </w:r>
      <w:r w:rsidR="00404FB0" w:rsidRPr="002715F2">
        <w:rPr>
          <w:rFonts w:eastAsia="Malgun Gothic"/>
          <w:kern w:val="2"/>
          <w:szCs w:val="22"/>
          <w:lang w:val="fr-FR" w:eastAsia="ko-KR"/>
        </w:rPr>
        <w:t>tableau</w:t>
      </w:r>
      <w:r w:rsidR="00DE2EF9" w:rsidRPr="002715F2">
        <w:rPr>
          <w:rFonts w:eastAsia="Malgun Gothic"/>
          <w:kern w:val="2"/>
          <w:szCs w:val="22"/>
          <w:lang w:val="fr-FR" w:eastAsia="ko-KR"/>
        </w:rPr>
        <w:t> </w:t>
      </w:r>
      <w:r w:rsidR="00404FB0" w:rsidRPr="002715F2">
        <w:rPr>
          <w:rFonts w:eastAsia="Malgun Gothic"/>
          <w:kern w:val="2"/>
          <w:szCs w:val="22"/>
          <w:lang w:val="fr-FR" w:eastAsia="ko-KR"/>
        </w:rPr>
        <w:t>14).</w:t>
      </w:r>
    </w:p>
    <w:p w:rsidR="000078DA" w:rsidRPr="002715F2" w:rsidRDefault="007026FB" w:rsidP="00404FB0">
      <w:pPr>
        <w:pStyle w:val="SingleTxtG"/>
        <w:rPr>
          <w:rFonts w:eastAsia="Malgun Gothic"/>
          <w:kern w:val="2"/>
          <w:szCs w:val="22"/>
          <w:lang w:val="fr-FR" w:eastAsia="ko-KR"/>
        </w:rPr>
      </w:pPr>
      <w:r w:rsidRPr="002715F2">
        <w:rPr>
          <w:rFonts w:eastAsia="Malgun Gothic"/>
          <w:bCs/>
          <w:kern w:val="2"/>
          <w:szCs w:val="22"/>
          <w:lang w:val="fr-FR" w:eastAsia="ko-KR"/>
        </w:rPr>
        <w:t>56.</w:t>
      </w:r>
      <w:r w:rsidRPr="002715F2">
        <w:rPr>
          <w:rFonts w:eastAsia="Malgun Gothic"/>
          <w:bCs/>
          <w:kern w:val="2"/>
          <w:szCs w:val="22"/>
          <w:lang w:val="fr-FR" w:eastAsia="ko-KR"/>
        </w:rPr>
        <w:tab/>
      </w:r>
      <w:r w:rsidR="002D7116" w:rsidRPr="002715F2">
        <w:rPr>
          <w:rFonts w:eastAsia="Malgun Gothic"/>
          <w:kern w:val="2"/>
          <w:szCs w:val="22"/>
          <w:lang w:val="fr-FR" w:eastAsia="ko-KR"/>
        </w:rPr>
        <w:t xml:space="preserve">En ce qui concerne l’aide apportée </w:t>
      </w:r>
      <w:r w:rsidR="00404FB0" w:rsidRPr="002715F2">
        <w:rPr>
          <w:rFonts w:eastAsia="Malgun Gothic"/>
          <w:kern w:val="2"/>
          <w:szCs w:val="22"/>
          <w:lang w:val="fr-FR" w:eastAsia="ko-KR"/>
        </w:rPr>
        <w:t xml:space="preserve">aux </w:t>
      </w:r>
      <w:r w:rsidR="00107FA8" w:rsidRPr="002715F2">
        <w:rPr>
          <w:rFonts w:eastAsia="Malgun Gothic"/>
          <w:kern w:val="2"/>
          <w:szCs w:val="22"/>
          <w:lang w:val="fr-FR" w:eastAsia="ko-KR"/>
        </w:rPr>
        <w:t>mineurs</w:t>
      </w:r>
      <w:r w:rsidR="00404FB0" w:rsidRPr="002715F2">
        <w:rPr>
          <w:rFonts w:eastAsia="Malgun Gothic"/>
          <w:kern w:val="2"/>
          <w:szCs w:val="22"/>
          <w:lang w:val="fr-FR" w:eastAsia="ko-KR"/>
        </w:rPr>
        <w:t xml:space="preserve"> victimes de violences sexuelles, </w:t>
      </w:r>
      <w:r w:rsidR="00390F0B" w:rsidRPr="002715F2">
        <w:rPr>
          <w:rFonts w:eastAsia="Malgun Gothic"/>
          <w:kern w:val="2"/>
          <w:szCs w:val="22"/>
          <w:lang w:val="fr-FR" w:eastAsia="ko-KR"/>
        </w:rPr>
        <w:t xml:space="preserve">depuis 2012, </w:t>
      </w:r>
      <w:r w:rsidR="003A302A" w:rsidRPr="002715F2">
        <w:rPr>
          <w:rFonts w:eastAsia="Malgun Gothic"/>
          <w:kern w:val="2"/>
          <w:szCs w:val="22"/>
          <w:lang w:val="fr-FR" w:eastAsia="ko-KR"/>
        </w:rPr>
        <w:t xml:space="preserve">un </w:t>
      </w:r>
      <w:r w:rsidR="00404FB0" w:rsidRPr="002715F2">
        <w:rPr>
          <w:rFonts w:eastAsia="Malgun Gothic"/>
          <w:kern w:val="2"/>
          <w:szCs w:val="22"/>
          <w:lang w:val="fr-FR" w:eastAsia="ko-KR"/>
        </w:rPr>
        <w:t xml:space="preserve">avocat commis d’office </w:t>
      </w:r>
      <w:r w:rsidR="00486E9D" w:rsidRPr="002715F2">
        <w:rPr>
          <w:rFonts w:eastAsia="Malgun Gothic"/>
          <w:kern w:val="2"/>
          <w:szCs w:val="22"/>
          <w:lang w:val="fr-FR" w:eastAsia="ko-KR"/>
        </w:rPr>
        <w:t>assiste</w:t>
      </w:r>
      <w:r w:rsidR="003A302A" w:rsidRPr="002715F2">
        <w:rPr>
          <w:rFonts w:eastAsia="Malgun Gothic"/>
          <w:kern w:val="2"/>
          <w:szCs w:val="22"/>
          <w:lang w:val="fr-FR" w:eastAsia="ko-KR"/>
        </w:rPr>
        <w:t xml:space="preserve"> les</w:t>
      </w:r>
      <w:r w:rsidR="00404FB0" w:rsidRPr="002715F2">
        <w:rPr>
          <w:rFonts w:eastAsia="Malgun Gothic"/>
          <w:kern w:val="2"/>
          <w:szCs w:val="22"/>
          <w:lang w:val="fr-FR" w:eastAsia="ko-KR"/>
        </w:rPr>
        <w:t xml:space="preserve"> victimes âgées de moins de 19</w:t>
      </w:r>
      <w:r w:rsidR="003A302A" w:rsidRPr="002715F2">
        <w:rPr>
          <w:rFonts w:eastAsia="Malgun Gothic"/>
          <w:kern w:val="2"/>
          <w:szCs w:val="22"/>
          <w:lang w:val="fr-FR" w:eastAsia="ko-KR"/>
        </w:rPr>
        <w:t> </w:t>
      </w:r>
      <w:r w:rsidR="00404FB0" w:rsidRPr="002715F2">
        <w:rPr>
          <w:rFonts w:eastAsia="Malgun Gothic"/>
          <w:kern w:val="2"/>
          <w:szCs w:val="22"/>
          <w:lang w:val="fr-FR" w:eastAsia="ko-KR"/>
        </w:rPr>
        <w:t xml:space="preserve">ans </w:t>
      </w:r>
      <w:r w:rsidR="00486E9D" w:rsidRPr="002715F2">
        <w:rPr>
          <w:rFonts w:eastAsia="Malgun Gothic"/>
          <w:kern w:val="2"/>
          <w:szCs w:val="22"/>
          <w:lang w:val="fr-FR" w:eastAsia="ko-KR"/>
        </w:rPr>
        <w:t>dès</w:t>
      </w:r>
      <w:r w:rsidR="00404FB0" w:rsidRPr="002715F2">
        <w:rPr>
          <w:rFonts w:eastAsia="Malgun Gothic"/>
          <w:kern w:val="2"/>
          <w:szCs w:val="22"/>
          <w:lang w:val="fr-FR" w:eastAsia="ko-KR"/>
        </w:rPr>
        <w:t xml:space="preserve"> </w:t>
      </w:r>
      <w:r w:rsidR="00486E9D" w:rsidRPr="002715F2">
        <w:rPr>
          <w:rFonts w:ascii="TimesNewRomanPSMT" w:hAnsi="TimesNewRomanPSMT" w:cs="TimesNewRomanPSMT"/>
          <w:lang w:val="fr-FR" w:eastAsia="en-GB"/>
        </w:rPr>
        <w:t>le signalement de l’agression</w:t>
      </w:r>
      <w:r w:rsidR="00486E9D" w:rsidRPr="002715F2">
        <w:rPr>
          <w:rFonts w:eastAsia="Malgun Gothic"/>
          <w:kern w:val="2"/>
          <w:szCs w:val="22"/>
          <w:lang w:val="fr-FR" w:eastAsia="ko-KR"/>
        </w:rPr>
        <w:t xml:space="preserve"> et pendant l’enquête et le </w:t>
      </w:r>
      <w:r w:rsidR="00404FB0" w:rsidRPr="002715F2">
        <w:rPr>
          <w:rFonts w:eastAsia="Malgun Gothic"/>
          <w:kern w:val="2"/>
          <w:szCs w:val="22"/>
          <w:lang w:val="fr-FR" w:eastAsia="ko-KR"/>
        </w:rPr>
        <w:t>procès</w:t>
      </w:r>
      <w:r w:rsidR="000078DA" w:rsidRPr="002715F2">
        <w:rPr>
          <w:rFonts w:eastAsia="Malgun Gothic"/>
          <w:kern w:val="2"/>
          <w:szCs w:val="22"/>
          <w:lang w:val="fr-FR" w:eastAsia="ko-KR"/>
        </w:rPr>
        <w:t xml:space="preserve">. </w:t>
      </w:r>
      <w:r w:rsidR="000F6797" w:rsidRPr="002715F2">
        <w:rPr>
          <w:rFonts w:eastAsia="Malgun Gothic"/>
          <w:kern w:val="2"/>
          <w:szCs w:val="22"/>
          <w:lang w:val="fr-FR" w:eastAsia="ko-KR"/>
        </w:rPr>
        <w:t xml:space="preserve">Les critères </w:t>
      </w:r>
      <w:r w:rsidR="00B27540" w:rsidRPr="002715F2">
        <w:rPr>
          <w:rFonts w:eastAsia="Malgun Gothic"/>
          <w:kern w:val="2"/>
          <w:szCs w:val="22"/>
          <w:lang w:val="fr-FR" w:eastAsia="ko-KR"/>
        </w:rPr>
        <w:t xml:space="preserve">fixés </w:t>
      </w:r>
      <w:r w:rsidR="00390F0B" w:rsidRPr="002715F2">
        <w:rPr>
          <w:rFonts w:eastAsia="Malgun Gothic"/>
          <w:kern w:val="2"/>
          <w:szCs w:val="22"/>
          <w:lang w:val="fr-FR" w:eastAsia="ko-KR"/>
        </w:rPr>
        <w:t>p</w:t>
      </w:r>
      <w:r w:rsidR="00AF39C6" w:rsidRPr="002715F2">
        <w:rPr>
          <w:rFonts w:eastAsia="Malgun Gothic"/>
          <w:kern w:val="2"/>
          <w:szCs w:val="22"/>
          <w:lang w:val="fr-FR" w:eastAsia="ko-KR"/>
        </w:rPr>
        <w:t>ou</w:t>
      </w:r>
      <w:r w:rsidR="00390F0B" w:rsidRPr="002715F2">
        <w:rPr>
          <w:rFonts w:eastAsia="Malgun Gothic"/>
          <w:kern w:val="2"/>
          <w:szCs w:val="22"/>
          <w:lang w:val="fr-FR" w:eastAsia="ko-KR"/>
        </w:rPr>
        <w:t>r pouvoir obtenir</w:t>
      </w:r>
      <w:r w:rsidR="00107FA8" w:rsidRPr="002715F2">
        <w:rPr>
          <w:rFonts w:eastAsia="Malgun Gothic"/>
          <w:kern w:val="2"/>
          <w:szCs w:val="22"/>
          <w:lang w:val="fr-FR" w:eastAsia="ko-KR"/>
        </w:rPr>
        <w:t xml:space="preserve"> cette aide</w:t>
      </w:r>
      <w:r w:rsidR="000F6797" w:rsidRPr="002715F2">
        <w:rPr>
          <w:rFonts w:eastAsia="Malgun Gothic"/>
          <w:kern w:val="2"/>
          <w:szCs w:val="22"/>
          <w:lang w:val="fr-FR" w:eastAsia="ko-KR"/>
        </w:rPr>
        <w:t xml:space="preserve"> ont été </w:t>
      </w:r>
      <w:r w:rsidR="00B27540" w:rsidRPr="002715F2">
        <w:rPr>
          <w:rFonts w:eastAsia="Malgun Gothic"/>
          <w:kern w:val="2"/>
          <w:szCs w:val="22"/>
          <w:lang w:val="fr-FR" w:eastAsia="ko-KR"/>
        </w:rPr>
        <w:t>modifiés de façon à</w:t>
      </w:r>
      <w:r w:rsidR="00390F0B" w:rsidRPr="002715F2">
        <w:rPr>
          <w:rFonts w:eastAsia="Malgun Gothic"/>
          <w:kern w:val="2"/>
          <w:szCs w:val="22"/>
          <w:lang w:val="fr-FR" w:eastAsia="ko-KR"/>
        </w:rPr>
        <w:t xml:space="preserve"> inclure </w:t>
      </w:r>
      <w:r w:rsidR="00B27540" w:rsidRPr="002715F2">
        <w:rPr>
          <w:rFonts w:eastAsia="Malgun Gothic"/>
          <w:kern w:val="2"/>
          <w:szCs w:val="22"/>
          <w:lang w:val="fr-FR" w:eastAsia="ko-KR"/>
        </w:rPr>
        <w:t xml:space="preserve">toutes </w:t>
      </w:r>
      <w:r w:rsidR="00390F0B" w:rsidRPr="002715F2">
        <w:rPr>
          <w:rFonts w:eastAsia="Malgun Gothic"/>
          <w:kern w:val="2"/>
          <w:szCs w:val="22"/>
          <w:lang w:val="fr-FR" w:eastAsia="ko-KR"/>
        </w:rPr>
        <w:t>les</w:t>
      </w:r>
      <w:r w:rsidR="00107FA8" w:rsidRPr="002715F2">
        <w:rPr>
          <w:rFonts w:eastAsia="Malgun Gothic"/>
          <w:kern w:val="2"/>
          <w:szCs w:val="22"/>
          <w:lang w:val="fr-FR" w:eastAsia="ko-KR"/>
        </w:rPr>
        <w:t xml:space="preserve"> victimes de violences sexuelles </w:t>
      </w:r>
      <w:r w:rsidR="000F6797" w:rsidRPr="002715F2">
        <w:rPr>
          <w:rFonts w:eastAsia="Malgun Gothic"/>
          <w:kern w:val="2"/>
          <w:szCs w:val="22"/>
          <w:lang w:val="fr-FR" w:eastAsia="ko-KR"/>
        </w:rPr>
        <w:t xml:space="preserve">en 2013, </w:t>
      </w:r>
      <w:r w:rsidR="00107FA8" w:rsidRPr="002715F2">
        <w:rPr>
          <w:rFonts w:eastAsia="Malgun Gothic"/>
          <w:kern w:val="2"/>
          <w:szCs w:val="22"/>
          <w:lang w:val="fr-FR" w:eastAsia="ko-KR"/>
        </w:rPr>
        <w:t>puis</w:t>
      </w:r>
      <w:r w:rsidR="000F6797" w:rsidRPr="002715F2">
        <w:rPr>
          <w:rFonts w:eastAsia="Malgun Gothic"/>
          <w:kern w:val="2"/>
          <w:szCs w:val="22"/>
          <w:lang w:val="fr-FR" w:eastAsia="ko-KR"/>
        </w:rPr>
        <w:t xml:space="preserve"> </w:t>
      </w:r>
      <w:r w:rsidR="00390F0B" w:rsidRPr="002715F2">
        <w:rPr>
          <w:rFonts w:eastAsia="Malgun Gothic"/>
          <w:kern w:val="2"/>
          <w:szCs w:val="22"/>
          <w:lang w:val="fr-FR" w:eastAsia="ko-KR"/>
        </w:rPr>
        <w:t>les</w:t>
      </w:r>
      <w:r w:rsidR="000F6797" w:rsidRPr="002715F2">
        <w:rPr>
          <w:rFonts w:eastAsia="Malgun Gothic"/>
          <w:kern w:val="2"/>
          <w:szCs w:val="22"/>
          <w:lang w:val="fr-FR" w:eastAsia="ko-KR"/>
        </w:rPr>
        <w:t xml:space="preserve"> </w:t>
      </w:r>
      <w:r w:rsidR="00107FA8" w:rsidRPr="002715F2">
        <w:rPr>
          <w:rFonts w:eastAsia="Malgun Gothic"/>
          <w:kern w:val="2"/>
          <w:szCs w:val="22"/>
          <w:lang w:val="fr-FR" w:eastAsia="ko-KR"/>
        </w:rPr>
        <w:t xml:space="preserve">enfants victimes de maltraitance en </w:t>
      </w:r>
      <w:r w:rsidR="000F6797" w:rsidRPr="002715F2">
        <w:rPr>
          <w:rFonts w:eastAsia="Malgun Gothic"/>
          <w:kern w:val="2"/>
          <w:szCs w:val="22"/>
          <w:lang w:val="fr-FR" w:eastAsia="ko-KR"/>
        </w:rPr>
        <w:t>2014</w:t>
      </w:r>
      <w:r w:rsidR="000078DA" w:rsidRPr="002715F2">
        <w:rPr>
          <w:rFonts w:eastAsia="Malgun Gothic"/>
          <w:kern w:val="2"/>
          <w:szCs w:val="22"/>
          <w:lang w:val="fr-FR" w:eastAsia="ko-KR"/>
        </w:rPr>
        <w:t>.</w:t>
      </w:r>
      <w:r w:rsidR="00107FA8" w:rsidRPr="002715F2">
        <w:rPr>
          <w:rFonts w:eastAsia="Malgun Gothic"/>
          <w:kern w:val="2"/>
          <w:szCs w:val="22"/>
          <w:lang w:val="fr-FR" w:eastAsia="ko-KR"/>
        </w:rPr>
        <w:t xml:space="preserve"> En outre, </w:t>
      </w:r>
      <w:r w:rsidR="004B364E" w:rsidRPr="002715F2">
        <w:rPr>
          <w:rFonts w:eastAsia="Malgun Gothic"/>
          <w:kern w:val="2"/>
          <w:szCs w:val="22"/>
          <w:lang w:val="fr-FR" w:eastAsia="ko-KR"/>
        </w:rPr>
        <w:t>un</w:t>
      </w:r>
      <w:r w:rsidR="00107FA8" w:rsidRPr="002715F2">
        <w:rPr>
          <w:rFonts w:eastAsia="Malgun Gothic"/>
          <w:kern w:val="2"/>
          <w:szCs w:val="22"/>
          <w:lang w:val="fr-FR" w:eastAsia="ko-KR"/>
        </w:rPr>
        <w:t xml:space="preserve"> système d’assistant a été introduit en 2013 afin </w:t>
      </w:r>
      <w:r w:rsidR="009E32DD" w:rsidRPr="002715F2">
        <w:rPr>
          <w:rFonts w:eastAsia="Malgun Gothic"/>
          <w:kern w:val="2"/>
          <w:szCs w:val="22"/>
          <w:lang w:val="fr-FR" w:eastAsia="ko-KR"/>
        </w:rPr>
        <w:t>d</w:t>
      </w:r>
      <w:r w:rsidR="00390F0B" w:rsidRPr="002715F2">
        <w:rPr>
          <w:rFonts w:eastAsia="Malgun Gothic"/>
          <w:kern w:val="2"/>
          <w:szCs w:val="22"/>
          <w:lang w:val="fr-FR" w:eastAsia="ko-KR"/>
        </w:rPr>
        <w:t xml:space="preserve">’éviter que </w:t>
      </w:r>
      <w:r w:rsidR="00107FA8" w:rsidRPr="002715F2">
        <w:rPr>
          <w:rFonts w:eastAsia="Malgun Gothic"/>
          <w:kern w:val="2"/>
          <w:szCs w:val="22"/>
          <w:lang w:val="fr-FR" w:eastAsia="ko-KR"/>
        </w:rPr>
        <w:t>les enfants victimes de violences sexuelles</w:t>
      </w:r>
      <w:r w:rsidR="00390F0B" w:rsidRPr="002715F2">
        <w:rPr>
          <w:rFonts w:eastAsia="Malgun Gothic"/>
          <w:kern w:val="2"/>
          <w:szCs w:val="22"/>
          <w:lang w:val="fr-FR" w:eastAsia="ko-KR"/>
        </w:rPr>
        <w:t xml:space="preserve"> ne subissent de nouveaux traumatismes</w:t>
      </w:r>
      <w:r w:rsidR="00107FA8" w:rsidRPr="002715F2">
        <w:rPr>
          <w:rFonts w:eastAsia="Malgun Gothic"/>
          <w:kern w:val="2"/>
          <w:szCs w:val="22"/>
          <w:lang w:val="fr-FR" w:eastAsia="ko-KR"/>
        </w:rPr>
        <w:t xml:space="preserve">. </w:t>
      </w:r>
      <w:r w:rsidR="00B27540" w:rsidRPr="002715F2">
        <w:rPr>
          <w:rFonts w:eastAsia="Malgun Gothic"/>
          <w:kern w:val="2"/>
          <w:szCs w:val="22"/>
          <w:lang w:val="fr-FR" w:eastAsia="ko-KR"/>
        </w:rPr>
        <w:t xml:space="preserve">À cette fin, </w:t>
      </w:r>
      <w:r w:rsidR="00876DD9" w:rsidRPr="002715F2">
        <w:rPr>
          <w:rFonts w:eastAsia="Malgun Gothic"/>
          <w:kern w:val="2"/>
          <w:szCs w:val="22"/>
          <w:lang w:val="fr-FR" w:eastAsia="ko-KR"/>
        </w:rPr>
        <w:t xml:space="preserve">un </w:t>
      </w:r>
      <w:r w:rsidR="00107FA8" w:rsidRPr="002715F2">
        <w:rPr>
          <w:rFonts w:eastAsia="Malgun Gothic"/>
          <w:kern w:val="2"/>
          <w:szCs w:val="22"/>
          <w:lang w:val="fr-FR" w:eastAsia="ko-KR"/>
        </w:rPr>
        <w:t xml:space="preserve">assistant </w:t>
      </w:r>
      <w:r w:rsidR="004B364E" w:rsidRPr="002715F2">
        <w:rPr>
          <w:rFonts w:eastAsia="Malgun Gothic"/>
          <w:kern w:val="2"/>
          <w:szCs w:val="22"/>
          <w:lang w:val="fr-FR" w:eastAsia="ko-KR"/>
        </w:rPr>
        <w:t xml:space="preserve">reste </w:t>
      </w:r>
      <w:r w:rsidR="00390F0B" w:rsidRPr="002715F2">
        <w:rPr>
          <w:rFonts w:eastAsia="Malgun Gothic"/>
          <w:kern w:val="2"/>
          <w:szCs w:val="22"/>
          <w:lang w:val="fr-FR" w:eastAsia="ko-KR"/>
        </w:rPr>
        <w:t xml:space="preserve">présent </w:t>
      </w:r>
      <w:r w:rsidR="004B364E" w:rsidRPr="002715F2">
        <w:rPr>
          <w:rFonts w:eastAsia="Malgun Gothic"/>
          <w:kern w:val="2"/>
          <w:szCs w:val="22"/>
          <w:lang w:val="fr-FR" w:eastAsia="ko-KR"/>
        </w:rPr>
        <w:t>aux côtés de la victime pendant</w:t>
      </w:r>
      <w:r w:rsidR="00B27540" w:rsidRPr="002715F2">
        <w:rPr>
          <w:rFonts w:eastAsia="Malgun Gothic"/>
          <w:kern w:val="2"/>
          <w:szCs w:val="22"/>
          <w:lang w:val="fr-FR" w:eastAsia="ko-KR"/>
        </w:rPr>
        <w:t xml:space="preserve"> sa déposition,</w:t>
      </w:r>
      <w:r w:rsidR="004B364E" w:rsidRPr="002715F2">
        <w:rPr>
          <w:rFonts w:eastAsia="Malgun Gothic"/>
          <w:kern w:val="2"/>
          <w:szCs w:val="22"/>
          <w:lang w:val="fr-FR" w:eastAsia="ko-KR"/>
        </w:rPr>
        <w:t xml:space="preserve"> l’</w:t>
      </w:r>
      <w:r w:rsidR="00107FA8" w:rsidRPr="002715F2">
        <w:rPr>
          <w:rFonts w:eastAsia="Malgun Gothic"/>
          <w:kern w:val="2"/>
          <w:szCs w:val="22"/>
          <w:lang w:val="fr-FR" w:eastAsia="ko-KR"/>
        </w:rPr>
        <w:t xml:space="preserve">enquête ou </w:t>
      </w:r>
      <w:r w:rsidR="004B364E" w:rsidRPr="002715F2">
        <w:rPr>
          <w:rFonts w:eastAsia="Malgun Gothic"/>
          <w:kern w:val="2"/>
          <w:szCs w:val="22"/>
          <w:lang w:val="fr-FR" w:eastAsia="ko-KR"/>
        </w:rPr>
        <w:t xml:space="preserve">le </w:t>
      </w:r>
      <w:r w:rsidR="00107FA8" w:rsidRPr="002715F2">
        <w:rPr>
          <w:rFonts w:eastAsia="Malgun Gothic"/>
          <w:kern w:val="2"/>
          <w:szCs w:val="22"/>
          <w:lang w:val="fr-FR" w:eastAsia="ko-KR"/>
        </w:rPr>
        <w:t xml:space="preserve">procès, joue le rôle de médiateur </w:t>
      </w:r>
      <w:r w:rsidR="004B364E" w:rsidRPr="002715F2">
        <w:rPr>
          <w:rFonts w:eastAsia="Malgun Gothic"/>
          <w:kern w:val="2"/>
          <w:szCs w:val="22"/>
          <w:lang w:val="fr-FR" w:eastAsia="ko-KR"/>
        </w:rPr>
        <w:t>et</w:t>
      </w:r>
      <w:r w:rsidR="00107FA8" w:rsidRPr="002715F2">
        <w:rPr>
          <w:rFonts w:eastAsia="Malgun Gothic"/>
          <w:kern w:val="2"/>
          <w:szCs w:val="22"/>
          <w:lang w:val="fr-FR" w:eastAsia="ko-KR"/>
        </w:rPr>
        <w:t xml:space="preserve"> </w:t>
      </w:r>
      <w:r w:rsidR="004B364E" w:rsidRPr="002715F2">
        <w:rPr>
          <w:rFonts w:eastAsia="Malgun Gothic"/>
          <w:kern w:val="2"/>
          <w:szCs w:val="22"/>
          <w:lang w:val="fr-FR" w:eastAsia="ko-KR"/>
        </w:rPr>
        <w:t>facilite la communication</w:t>
      </w:r>
      <w:r w:rsidR="000078DA" w:rsidRPr="002715F2">
        <w:rPr>
          <w:rFonts w:eastAsia="Malgun Gothic"/>
          <w:kern w:val="2"/>
          <w:szCs w:val="22"/>
          <w:lang w:val="fr-FR" w:eastAsia="ko-KR"/>
        </w:rPr>
        <w:t>.</w:t>
      </w:r>
      <w:r w:rsidR="000078DA" w:rsidRPr="002715F2">
        <w:rPr>
          <w:rFonts w:eastAsia="Malgun Gothic"/>
          <w:bCs/>
          <w:kern w:val="2"/>
          <w:szCs w:val="22"/>
          <w:lang w:val="fr-FR" w:eastAsia="ko-KR"/>
        </w:rPr>
        <w:t xml:space="preserve"> </w:t>
      </w:r>
      <w:r w:rsidR="00B27540" w:rsidRPr="002715F2">
        <w:rPr>
          <w:rFonts w:eastAsia="Malgun Gothic"/>
          <w:bCs/>
          <w:kern w:val="2"/>
          <w:szCs w:val="22"/>
          <w:lang w:val="fr-FR" w:eastAsia="ko-KR"/>
        </w:rPr>
        <w:t>Depuis</w:t>
      </w:r>
      <w:r w:rsidR="00107FA8" w:rsidRPr="002715F2">
        <w:rPr>
          <w:rFonts w:eastAsia="Malgun Gothic"/>
          <w:bCs/>
          <w:kern w:val="2"/>
          <w:szCs w:val="22"/>
          <w:lang w:val="fr-FR" w:eastAsia="ko-KR"/>
        </w:rPr>
        <w:t xml:space="preserve"> 2014, le</w:t>
      </w:r>
      <w:r w:rsidR="004B364E" w:rsidRPr="002715F2">
        <w:rPr>
          <w:rFonts w:eastAsia="Malgun Gothic"/>
          <w:bCs/>
          <w:kern w:val="2"/>
          <w:szCs w:val="22"/>
          <w:lang w:val="fr-FR" w:eastAsia="ko-KR"/>
        </w:rPr>
        <w:t>s</w:t>
      </w:r>
      <w:r w:rsidR="00107FA8" w:rsidRPr="002715F2">
        <w:rPr>
          <w:rFonts w:eastAsia="Malgun Gothic"/>
          <w:bCs/>
          <w:kern w:val="2"/>
          <w:szCs w:val="22"/>
          <w:lang w:val="fr-FR" w:eastAsia="ko-KR"/>
        </w:rPr>
        <w:t xml:space="preserve"> </w:t>
      </w:r>
      <w:r w:rsidR="00B27540" w:rsidRPr="002715F2">
        <w:rPr>
          <w:rFonts w:eastAsia="Malgun Gothic"/>
          <w:bCs/>
          <w:kern w:val="2"/>
          <w:szCs w:val="22"/>
          <w:lang w:val="fr-FR" w:eastAsia="ko-KR"/>
        </w:rPr>
        <w:t xml:space="preserve">enfants victimes </w:t>
      </w:r>
      <w:r w:rsidR="00B27540" w:rsidRPr="002715F2">
        <w:rPr>
          <w:rFonts w:eastAsia="Malgun Gothic"/>
          <w:kern w:val="2"/>
          <w:szCs w:val="22"/>
          <w:lang w:val="fr-FR" w:eastAsia="ko-KR"/>
        </w:rPr>
        <w:t>de maltraitance</w:t>
      </w:r>
      <w:r w:rsidR="00B27540" w:rsidRPr="002715F2">
        <w:rPr>
          <w:rFonts w:eastAsia="Malgun Gothic"/>
          <w:bCs/>
          <w:kern w:val="2"/>
          <w:szCs w:val="22"/>
          <w:lang w:val="fr-FR" w:eastAsia="ko-KR"/>
        </w:rPr>
        <w:t xml:space="preserve"> ont également accès à ce</w:t>
      </w:r>
      <w:r w:rsidR="00107FA8" w:rsidRPr="002715F2">
        <w:rPr>
          <w:rFonts w:eastAsia="Malgun Gothic"/>
          <w:bCs/>
          <w:kern w:val="2"/>
          <w:szCs w:val="22"/>
          <w:lang w:val="fr-FR" w:eastAsia="ko-KR"/>
        </w:rPr>
        <w:t xml:space="preserve"> système d’assistant</w:t>
      </w:r>
      <w:r w:rsidR="00F60999" w:rsidRPr="002715F2">
        <w:rPr>
          <w:rFonts w:eastAsia="Malgun Gothic"/>
          <w:bCs/>
          <w:kern w:val="2"/>
          <w:szCs w:val="22"/>
          <w:lang w:val="fr-FR" w:eastAsia="ko-KR"/>
        </w:rPr>
        <w:t>.</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DE0D29" w:rsidRPr="002715F2">
        <w:rPr>
          <w:rFonts w:eastAsia="Batang"/>
          <w:lang w:val="fr-FR" w:eastAsia="ko-KR"/>
        </w:rPr>
        <w:t>Activités de s</w:t>
      </w:r>
      <w:r w:rsidR="00107FA8" w:rsidRPr="002715F2">
        <w:rPr>
          <w:rFonts w:eastAsia="Batang"/>
          <w:lang w:val="fr-FR" w:eastAsia="ko-KR"/>
        </w:rPr>
        <w:t>ensibilisation et</w:t>
      </w:r>
      <w:r w:rsidR="00DE0D29" w:rsidRPr="002715F2">
        <w:rPr>
          <w:rFonts w:eastAsia="Batang"/>
          <w:lang w:val="fr-FR" w:eastAsia="ko-KR"/>
        </w:rPr>
        <w:t xml:space="preserve"> de formation</w:t>
      </w:r>
      <w:r w:rsidR="00107FA8" w:rsidRPr="002715F2">
        <w:rPr>
          <w:rFonts w:eastAsia="Batang"/>
          <w:lang w:val="fr-FR" w:eastAsia="ko-KR"/>
        </w:rPr>
        <w:t xml:space="preserve"> en matière de violences familiales et sexuelles </w:t>
      </w:r>
    </w:p>
    <w:p w:rsidR="000078DA" w:rsidRPr="002715F2" w:rsidRDefault="007026FB" w:rsidP="007026FB">
      <w:pPr>
        <w:pStyle w:val="SingleTxtG"/>
        <w:rPr>
          <w:rFonts w:eastAsia="Batang"/>
          <w:lang w:val="fr-FR" w:eastAsia="ko-KR"/>
        </w:rPr>
      </w:pPr>
      <w:r w:rsidRPr="002715F2">
        <w:rPr>
          <w:rFonts w:eastAsia="Batang"/>
          <w:lang w:val="fr-FR" w:eastAsia="ko-KR"/>
        </w:rPr>
        <w:t>57.</w:t>
      </w:r>
      <w:r w:rsidRPr="002715F2">
        <w:rPr>
          <w:rFonts w:eastAsia="Batang"/>
          <w:lang w:val="fr-FR" w:eastAsia="ko-KR"/>
        </w:rPr>
        <w:tab/>
      </w:r>
      <w:r w:rsidR="00F36841" w:rsidRPr="002715F2">
        <w:rPr>
          <w:rFonts w:eastAsia="Batang"/>
          <w:lang w:val="fr-FR" w:eastAsia="ko-KR"/>
        </w:rPr>
        <w:t>L</w:t>
      </w:r>
      <w:r w:rsidR="00107FA8" w:rsidRPr="002715F2">
        <w:rPr>
          <w:rFonts w:eastAsia="Batang"/>
          <w:lang w:val="fr-FR" w:eastAsia="ko-KR"/>
        </w:rPr>
        <w:t xml:space="preserve">e </w:t>
      </w:r>
      <w:r w:rsidR="00876DD9" w:rsidRPr="002715F2">
        <w:rPr>
          <w:rFonts w:eastAsia="Batang"/>
          <w:lang w:val="fr-FR" w:eastAsia="ko-KR"/>
        </w:rPr>
        <w:t>B</w:t>
      </w:r>
      <w:r w:rsidR="00107FA8" w:rsidRPr="002715F2">
        <w:rPr>
          <w:rFonts w:eastAsia="Batang"/>
          <w:lang w:val="fr-FR" w:eastAsia="ko-KR"/>
        </w:rPr>
        <w:t xml:space="preserve">ureau des droits de l’homme du </w:t>
      </w:r>
      <w:r w:rsidR="00F81E6E" w:rsidRPr="002715F2">
        <w:rPr>
          <w:rFonts w:eastAsia="Batang"/>
          <w:lang w:val="fr-FR" w:eastAsia="ko-KR"/>
        </w:rPr>
        <w:t>M</w:t>
      </w:r>
      <w:r w:rsidR="00107FA8" w:rsidRPr="002715F2">
        <w:rPr>
          <w:rFonts w:eastAsia="Batang"/>
          <w:lang w:val="fr-FR" w:eastAsia="ko-KR"/>
        </w:rPr>
        <w:t xml:space="preserve">inistère de la justice a mis au point </w:t>
      </w:r>
      <w:r w:rsidR="00F36841" w:rsidRPr="002715F2">
        <w:rPr>
          <w:rFonts w:eastAsia="Batang"/>
          <w:lang w:val="fr-FR" w:eastAsia="ko-KR"/>
        </w:rPr>
        <w:t xml:space="preserve">en décembre 2008, et diffusé en 2009, </w:t>
      </w:r>
      <w:r w:rsidR="00107FA8" w:rsidRPr="002715F2">
        <w:rPr>
          <w:rFonts w:eastAsia="Batang"/>
          <w:lang w:val="fr-FR" w:eastAsia="ko-KR"/>
        </w:rPr>
        <w:t xml:space="preserve">des </w:t>
      </w:r>
      <w:r w:rsidR="00F81E6E" w:rsidRPr="002715F2">
        <w:rPr>
          <w:rFonts w:eastAsia="Batang"/>
          <w:lang w:val="fr-FR" w:eastAsia="ko-KR"/>
        </w:rPr>
        <w:t>outils</w:t>
      </w:r>
      <w:r w:rsidR="00107FA8" w:rsidRPr="002715F2">
        <w:rPr>
          <w:rFonts w:eastAsia="Batang"/>
          <w:lang w:val="fr-FR" w:eastAsia="ko-KR"/>
        </w:rPr>
        <w:t xml:space="preserve"> pédagogiques adaptés aux tâches de chacun des acteurs concernés</w:t>
      </w:r>
      <w:r w:rsidR="00002A9F" w:rsidRPr="002715F2">
        <w:rPr>
          <w:rFonts w:eastAsia="Batang"/>
          <w:lang w:val="fr-FR" w:eastAsia="ko-KR"/>
        </w:rPr>
        <w:t xml:space="preserve"> – </w:t>
      </w:r>
      <w:r w:rsidR="00107FA8" w:rsidRPr="002715F2">
        <w:rPr>
          <w:rFonts w:eastAsia="Batang"/>
          <w:lang w:val="fr-FR" w:eastAsia="ko-KR"/>
        </w:rPr>
        <w:t xml:space="preserve">notamment </w:t>
      </w:r>
      <w:r w:rsidR="00F36841" w:rsidRPr="002715F2">
        <w:rPr>
          <w:rFonts w:eastAsia="Batang"/>
          <w:lang w:val="fr-FR" w:eastAsia="ko-KR"/>
        </w:rPr>
        <w:t>l</w:t>
      </w:r>
      <w:r w:rsidR="00107FA8" w:rsidRPr="002715F2">
        <w:rPr>
          <w:rFonts w:eastAsia="Batang"/>
          <w:lang w:val="fr-FR" w:eastAsia="ko-KR"/>
        </w:rPr>
        <w:t xml:space="preserve">es parquets, </w:t>
      </w:r>
      <w:r w:rsidR="00F36841" w:rsidRPr="002715F2">
        <w:rPr>
          <w:rFonts w:eastAsia="Batang"/>
          <w:lang w:val="fr-FR" w:eastAsia="ko-KR"/>
        </w:rPr>
        <w:t>l</w:t>
      </w:r>
      <w:r w:rsidR="00F81E6E" w:rsidRPr="002715F2">
        <w:rPr>
          <w:rFonts w:eastAsia="Batang"/>
          <w:lang w:val="fr-FR" w:eastAsia="ko-KR"/>
        </w:rPr>
        <w:t xml:space="preserve">es </w:t>
      </w:r>
      <w:r w:rsidR="00F36841" w:rsidRPr="002715F2">
        <w:rPr>
          <w:rFonts w:eastAsia="Batang"/>
          <w:lang w:val="fr-FR" w:eastAsia="ko-KR"/>
        </w:rPr>
        <w:t xml:space="preserve">établissements </w:t>
      </w:r>
      <w:r w:rsidR="00730B36" w:rsidRPr="002715F2">
        <w:rPr>
          <w:rFonts w:eastAsia="Batang"/>
          <w:lang w:val="fr-FR" w:eastAsia="ko-KR"/>
        </w:rPr>
        <w:t>pénitentiaires</w:t>
      </w:r>
      <w:r w:rsidR="00F36841" w:rsidRPr="002715F2">
        <w:rPr>
          <w:rFonts w:eastAsia="Batang"/>
          <w:lang w:val="fr-FR" w:eastAsia="ko-KR"/>
        </w:rPr>
        <w:t>, les structures de protection des mineurs</w:t>
      </w:r>
      <w:r w:rsidR="00F81E6E" w:rsidRPr="002715F2">
        <w:rPr>
          <w:rFonts w:eastAsia="Batang"/>
          <w:lang w:val="fr-FR" w:eastAsia="ko-KR"/>
        </w:rPr>
        <w:t xml:space="preserve"> </w:t>
      </w:r>
      <w:r w:rsidR="00107FA8" w:rsidRPr="002715F2">
        <w:rPr>
          <w:rFonts w:eastAsia="Batang"/>
          <w:lang w:val="fr-FR" w:eastAsia="ko-KR"/>
        </w:rPr>
        <w:t>et</w:t>
      </w:r>
      <w:r w:rsidR="00F81E6E" w:rsidRPr="002715F2">
        <w:rPr>
          <w:rFonts w:eastAsia="Batang"/>
          <w:lang w:val="fr-FR" w:eastAsia="ko-KR"/>
        </w:rPr>
        <w:t xml:space="preserve"> </w:t>
      </w:r>
      <w:r w:rsidR="00F36841" w:rsidRPr="002715F2">
        <w:rPr>
          <w:rFonts w:eastAsia="Batang"/>
          <w:lang w:val="fr-FR" w:eastAsia="ko-KR"/>
        </w:rPr>
        <w:t>les services de</w:t>
      </w:r>
      <w:r w:rsidR="00F81E6E" w:rsidRPr="002715F2">
        <w:rPr>
          <w:rFonts w:eastAsia="Batang"/>
          <w:lang w:val="fr-FR" w:eastAsia="ko-KR"/>
        </w:rPr>
        <w:t xml:space="preserve"> contrôle de l’</w:t>
      </w:r>
      <w:r w:rsidR="00F36841" w:rsidRPr="002715F2">
        <w:rPr>
          <w:rFonts w:eastAsia="Batang"/>
          <w:lang w:val="fr-FR" w:eastAsia="ko-KR"/>
        </w:rPr>
        <w:t>immigration </w:t>
      </w:r>
      <w:r w:rsidR="00002A9F" w:rsidRPr="002715F2">
        <w:rPr>
          <w:rFonts w:eastAsia="Batang"/>
          <w:lang w:val="fr-FR" w:eastAsia="ko-KR"/>
        </w:rPr>
        <w:t>– </w:t>
      </w:r>
      <w:r w:rsidR="00F81E6E" w:rsidRPr="002715F2">
        <w:rPr>
          <w:rFonts w:eastAsia="Batang"/>
          <w:lang w:val="fr-FR" w:eastAsia="ko-KR"/>
        </w:rPr>
        <w:t xml:space="preserve">afin </w:t>
      </w:r>
      <w:r w:rsidR="00F36841" w:rsidRPr="002715F2">
        <w:rPr>
          <w:rFonts w:eastAsia="Batang"/>
          <w:lang w:val="fr-FR" w:eastAsia="ko-KR"/>
        </w:rPr>
        <w:t>de les</w:t>
      </w:r>
      <w:r w:rsidR="00107FA8" w:rsidRPr="002715F2">
        <w:rPr>
          <w:rFonts w:eastAsia="Batang"/>
          <w:lang w:val="fr-FR" w:eastAsia="ko-KR"/>
        </w:rPr>
        <w:t xml:space="preserve"> </w:t>
      </w:r>
      <w:r w:rsidR="00F81E6E" w:rsidRPr="002715F2">
        <w:rPr>
          <w:rFonts w:eastAsia="Batang"/>
          <w:lang w:val="fr-FR" w:eastAsia="ko-KR"/>
        </w:rPr>
        <w:t xml:space="preserve">sensibiliser </w:t>
      </w:r>
      <w:r w:rsidR="00107FA8" w:rsidRPr="002715F2">
        <w:rPr>
          <w:rFonts w:eastAsia="Batang"/>
          <w:lang w:val="fr-FR" w:eastAsia="ko-KR"/>
        </w:rPr>
        <w:t>aux droits de l</w:t>
      </w:r>
      <w:r w:rsidR="00F81E6E" w:rsidRPr="002715F2">
        <w:rPr>
          <w:rFonts w:eastAsia="Batang"/>
          <w:lang w:val="fr-FR" w:eastAsia="ko-KR"/>
        </w:rPr>
        <w:t>’</w:t>
      </w:r>
      <w:r w:rsidR="00107FA8" w:rsidRPr="002715F2">
        <w:rPr>
          <w:rFonts w:eastAsia="Batang"/>
          <w:lang w:val="fr-FR" w:eastAsia="ko-KR"/>
        </w:rPr>
        <w:t>homme</w:t>
      </w:r>
      <w:r w:rsidR="000078DA" w:rsidRPr="002715F2">
        <w:rPr>
          <w:rFonts w:eastAsia="Batang"/>
          <w:lang w:val="fr-FR" w:eastAsia="ko-KR"/>
        </w:rPr>
        <w:t xml:space="preserve">. </w:t>
      </w:r>
      <w:r w:rsidR="00F81E6E" w:rsidRPr="002715F2">
        <w:rPr>
          <w:rFonts w:eastAsia="Batang"/>
          <w:lang w:val="fr-FR" w:eastAsia="ko-KR"/>
        </w:rPr>
        <w:t xml:space="preserve">Ainsi, le manuel </w:t>
      </w:r>
      <w:r w:rsidR="00F36841" w:rsidRPr="002715F2">
        <w:rPr>
          <w:rFonts w:eastAsia="Batang"/>
          <w:lang w:val="fr-FR" w:eastAsia="ko-KR"/>
        </w:rPr>
        <w:t>d’éducation</w:t>
      </w:r>
      <w:r w:rsidR="00F81E6E" w:rsidRPr="002715F2">
        <w:rPr>
          <w:rFonts w:eastAsia="Batang"/>
          <w:lang w:val="fr-FR" w:eastAsia="ko-KR"/>
        </w:rPr>
        <w:t xml:space="preserve"> intitulé </w:t>
      </w:r>
      <w:r w:rsidR="00E97B1A" w:rsidRPr="002715F2">
        <w:rPr>
          <w:rFonts w:eastAsia="Batang"/>
          <w:lang w:val="fr-FR" w:eastAsia="ko-KR"/>
        </w:rPr>
        <w:t>«</w:t>
      </w:r>
      <w:r w:rsidR="00F81E6E" w:rsidRPr="002715F2">
        <w:rPr>
          <w:rFonts w:eastAsia="Batang"/>
          <w:lang w:val="fr-FR" w:eastAsia="ko-KR"/>
        </w:rPr>
        <w:t>Poursuites et droits de l’homme</w:t>
      </w:r>
      <w:r w:rsidR="00E97B1A" w:rsidRPr="002715F2">
        <w:rPr>
          <w:rFonts w:eastAsia="Batang"/>
          <w:lang w:val="fr-FR" w:eastAsia="ko-KR"/>
        </w:rPr>
        <w:t>»</w:t>
      </w:r>
      <w:r w:rsidR="00F81E6E" w:rsidRPr="002715F2">
        <w:rPr>
          <w:rFonts w:eastAsia="Batang"/>
          <w:lang w:val="fr-FR" w:eastAsia="ko-KR"/>
        </w:rPr>
        <w:t xml:space="preserve">, présente les directives </w:t>
      </w:r>
      <w:r w:rsidR="007C5166" w:rsidRPr="002715F2">
        <w:rPr>
          <w:rFonts w:eastAsia="Batang"/>
          <w:lang w:val="fr-FR" w:eastAsia="ko-KR"/>
        </w:rPr>
        <w:t>encadrant</w:t>
      </w:r>
      <w:r w:rsidR="002F1D72" w:rsidRPr="002715F2">
        <w:rPr>
          <w:rFonts w:eastAsia="Batang"/>
          <w:lang w:val="fr-FR" w:eastAsia="ko-KR"/>
        </w:rPr>
        <w:t xml:space="preserve"> la conduite des enquêtes</w:t>
      </w:r>
      <w:r w:rsidR="00F36841" w:rsidRPr="002715F2">
        <w:rPr>
          <w:rFonts w:eastAsia="Batang"/>
          <w:lang w:val="fr-FR" w:eastAsia="ko-KR"/>
        </w:rPr>
        <w:t xml:space="preserve"> </w:t>
      </w:r>
      <w:r w:rsidR="007C5166" w:rsidRPr="002715F2">
        <w:rPr>
          <w:rFonts w:eastAsia="Batang"/>
          <w:lang w:val="fr-FR" w:eastAsia="ko-KR"/>
        </w:rPr>
        <w:t>et la protection des victimes en matière de</w:t>
      </w:r>
      <w:r w:rsidR="00F81E6E" w:rsidRPr="002715F2">
        <w:rPr>
          <w:rFonts w:eastAsia="Batang"/>
          <w:lang w:val="fr-FR" w:eastAsia="ko-KR"/>
        </w:rPr>
        <w:t xml:space="preserve"> crimes sexuels</w:t>
      </w:r>
      <w:r w:rsidR="00E97B1A" w:rsidRPr="002715F2">
        <w:rPr>
          <w:rFonts w:eastAsia="Batang"/>
          <w:lang w:val="fr-FR" w:eastAsia="ko-KR"/>
        </w:rPr>
        <w:t>;</w:t>
      </w:r>
      <w:r w:rsidR="000078DA" w:rsidRPr="002715F2">
        <w:rPr>
          <w:rFonts w:eastAsia="Batang"/>
          <w:lang w:val="fr-FR" w:eastAsia="ko-KR"/>
        </w:rPr>
        <w:t xml:space="preserve"> </w:t>
      </w:r>
      <w:r w:rsidR="00F81E6E" w:rsidRPr="002715F2">
        <w:rPr>
          <w:rFonts w:eastAsia="Batang"/>
          <w:lang w:val="fr-FR" w:eastAsia="ko-KR"/>
        </w:rPr>
        <w:t xml:space="preserve">le manuel </w:t>
      </w:r>
      <w:r w:rsidR="00E97B1A" w:rsidRPr="002715F2">
        <w:rPr>
          <w:rFonts w:eastAsia="Batang"/>
          <w:lang w:val="fr-FR" w:eastAsia="ko-KR"/>
        </w:rPr>
        <w:t>«</w:t>
      </w:r>
      <w:r w:rsidR="00F81E6E" w:rsidRPr="002715F2">
        <w:rPr>
          <w:rFonts w:eastAsia="Batang"/>
          <w:lang w:val="fr-FR" w:eastAsia="ko-KR"/>
        </w:rPr>
        <w:t xml:space="preserve">Établissements </w:t>
      </w:r>
      <w:r w:rsidR="00730B36" w:rsidRPr="002715F2">
        <w:rPr>
          <w:rFonts w:eastAsia="Batang"/>
          <w:lang w:val="fr-FR" w:eastAsia="ko-KR"/>
        </w:rPr>
        <w:t>pénitentiaires</w:t>
      </w:r>
      <w:r w:rsidR="00F81E6E" w:rsidRPr="002715F2">
        <w:rPr>
          <w:rFonts w:eastAsia="Batang"/>
          <w:lang w:val="fr-FR" w:eastAsia="ko-KR"/>
        </w:rPr>
        <w:t xml:space="preserve"> et</w:t>
      </w:r>
      <w:r w:rsidR="000078DA" w:rsidRPr="002715F2">
        <w:rPr>
          <w:rFonts w:eastAsia="Batang"/>
          <w:lang w:val="fr-FR" w:eastAsia="ko-KR"/>
        </w:rPr>
        <w:t xml:space="preserve"> </w:t>
      </w:r>
      <w:r w:rsidR="00F81E6E" w:rsidRPr="002715F2">
        <w:rPr>
          <w:rFonts w:eastAsia="Batang"/>
          <w:lang w:val="fr-FR" w:eastAsia="ko-KR"/>
        </w:rPr>
        <w:t>droits de l’homme</w:t>
      </w:r>
      <w:r w:rsidR="00E97B1A" w:rsidRPr="002715F2">
        <w:rPr>
          <w:rFonts w:eastAsia="Batang"/>
          <w:lang w:val="fr-FR" w:eastAsia="ko-KR"/>
        </w:rPr>
        <w:t>»</w:t>
      </w:r>
      <w:r w:rsidR="000078DA" w:rsidRPr="002715F2">
        <w:rPr>
          <w:rFonts w:eastAsia="Batang"/>
          <w:lang w:val="fr-FR" w:eastAsia="ko-KR"/>
        </w:rPr>
        <w:t xml:space="preserve"> </w:t>
      </w:r>
      <w:r w:rsidR="00F81E6E" w:rsidRPr="002715F2">
        <w:rPr>
          <w:rFonts w:eastAsia="Batang"/>
          <w:lang w:val="fr-FR" w:eastAsia="ko-KR"/>
        </w:rPr>
        <w:t xml:space="preserve">expose les directives </w:t>
      </w:r>
      <w:r w:rsidR="009966B6" w:rsidRPr="002715F2">
        <w:rPr>
          <w:rFonts w:eastAsia="Batang"/>
          <w:lang w:val="fr-FR" w:eastAsia="ko-KR"/>
        </w:rPr>
        <w:t>réglementant</w:t>
      </w:r>
      <w:r w:rsidR="002F1D72" w:rsidRPr="002715F2">
        <w:rPr>
          <w:rFonts w:eastAsia="Batang"/>
          <w:lang w:val="fr-FR" w:eastAsia="ko-KR"/>
        </w:rPr>
        <w:t xml:space="preserve"> le traitement des détenues</w:t>
      </w:r>
      <w:r w:rsidR="00E97B1A" w:rsidRPr="002715F2">
        <w:rPr>
          <w:rFonts w:eastAsia="Batang"/>
          <w:lang w:val="fr-FR" w:eastAsia="ko-KR"/>
        </w:rPr>
        <w:t>;</w:t>
      </w:r>
      <w:r w:rsidR="000078DA" w:rsidRPr="002715F2">
        <w:rPr>
          <w:rFonts w:eastAsia="Batang"/>
          <w:lang w:val="fr-FR" w:eastAsia="ko-KR"/>
        </w:rPr>
        <w:t xml:space="preserve"> </w:t>
      </w:r>
      <w:r w:rsidR="009E5E81" w:rsidRPr="002715F2">
        <w:rPr>
          <w:rFonts w:eastAsia="Batang"/>
          <w:lang w:val="fr-FR" w:eastAsia="ko-KR"/>
        </w:rPr>
        <w:t xml:space="preserve">le manuel </w:t>
      </w:r>
      <w:r w:rsidR="00E97B1A" w:rsidRPr="002715F2">
        <w:rPr>
          <w:rFonts w:eastAsia="Batang"/>
          <w:lang w:val="fr-FR" w:eastAsia="ko-KR"/>
        </w:rPr>
        <w:t>«</w:t>
      </w:r>
      <w:r w:rsidR="002F1D72" w:rsidRPr="002715F2">
        <w:rPr>
          <w:rFonts w:eastAsia="Batang"/>
          <w:lang w:val="fr-FR" w:eastAsia="ko-KR"/>
        </w:rPr>
        <w:t xml:space="preserve">Structure de protection des mineurs </w:t>
      </w:r>
      <w:r w:rsidR="009E5E81" w:rsidRPr="002715F2">
        <w:rPr>
          <w:rFonts w:eastAsia="Batang"/>
          <w:lang w:val="fr-FR" w:eastAsia="ko-KR"/>
        </w:rPr>
        <w:t>et droits de l’homme</w:t>
      </w:r>
      <w:r w:rsidR="00E97B1A" w:rsidRPr="002715F2">
        <w:rPr>
          <w:rFonts w:eastAsia="Batang"/>
          <w:lang w:val="fr-FR" w:eastAsia="ko-KR"/>
        </w:rPr>
        <w:t>»</w:t>
      </w:r>
      <w:r w:rsidR="009E5E81" w:rsidRPr="002715F2">
        <w:rPr>
          <w:rFonts w:eastAsia="Batang"/>
          <w:lang w:val="fr-FR" w:eastAsia="ko-KR"/>
        </w:rPr>
        <w:t xml:space="preserve"> présente les directives </w:t>
      </w:r>
      <w:r w:rsidR="001B7707" w:rsidRPr="002715F2">
        <w:rPr>
          <w:rFonts w:eastAsia="Batang"/>
          <w:lang w:val="fr-FR" w:eastAsia="ko-KR"/>
        </w:rPr>
        <w:t>relatives à la</w:t>
      </w:r>
      <w:r w:rsidR="009E5E81" w:rsidRPr="002715F2">
        <w:rPr>
          <w:rFonts w:eastAsia="Batang"/>
          <w:lang w:val="fr-FR" w:eastAsia="ko-KR"/>
        </w:rPr>
        <w:t xml:space="preserve"> s</w:t>
      </w:r>
      <w:r w:rsidR="00DE0D29" w:rsidRPr="002715F2">
        <w:rPr>
          <w:rFonts w:eastAsia="Batang"/>
          <w:lang w:val="fr-FR" w:eastAsia="ko-KR"/>
        </w:rPr>
        <w:t>é</w:t>
      </w:r>
      <w:r w:rsidR="009E5E81" w:rsidRPr="002715F2">
        <w:rPr>
          <w:rFonts w:eastAsia="Batang"/>
          <w:lang w:val="fr-FR" w:eastAsia="ko-KR"/>
        </w:rPr>
        <w:t>paration des mineurs</w:t>
      </w:r>
      <w:r w:rsidR="000078DA" w:rsidRPr="002715F2">
        <w:rPr>
          <w:rFonts w:eastAsia="Batang"/>
          <w:lang w:val="fr-FR" w:eastAsia="ko-KR"/>
        </w:rPr>
        <w:t xml:space="preserve"> </w:t>
      </w:r>
      <w:r w:rsidR="00DE0D29" w:rsidRPr="002715F2">
        <w:rPr>
          <w:rFonts w:eastAsia="Batang"/>
          <w:lang w:val="fr-FR" w:eastAsia="ko-KR"/>
        </w:rPr>
        <w:t xml:space="preserve">de sexe masculin et </w:t>
      </w:r>
      <w:r w:rsidR="005C6D8E" w:rsidRPr="002715F2">
        <w:rPr>
          <w:rFonts w:eastAsia="Batang"/>
          <w:lang w:val="fr-FR" w:eastAsia="ko-KR"/>
        </w:rPr>
        <w:t>féminin</w:t>
      </w:r>
      <w:r w:rsidR="00DE0D29" w:rsidRPr="002715F2">
        <w:rPr>
          <w:rFonts w:eastAsia="Batang"/>
          <w:lang w:val="fr-FR" w:eastAsia="ko-KR"/>
        </w:rPr>
        <w:t xml:space="preserve"> </w:t>
      </w:r>
      <w:r w:rsidR="002F1D72" w:rsidRPr="002715F2">
        <w:rPr>
          <w:rFonts w:eastAsia="Batang"/>
          <w:lang w:val="fr-FR" w:eastAsia="ko-KR"/>
        </w:rPr>
        <w:t>dans ces établissements</w:t>
      </w:r>
      <w:r w:rsidR="009E5E81" w:rsidRPr="002715F2">
        <w:rPr>
          <w:rFonts w:eastAsia="Batang"/>
          <w:lang w:val="fr-FR" w:eastAsia="ko-KR"/>
        </w:rPr>
        <w:t xml:space="preserve"> et </w:t>
      </w:r>
      <w:r w:rsidR="001B7707" w:rsidRPr="002715F2">
        <w:rPr>
          <w:rFonts w:eastAsia="Batang"/>
          <w:lang w:val="fr-FR" w:eastAsia="ko-KR"/>
        </w:rPr>
        <w:t xml:space="preserve">à </w:t>
      </w:r>
      <w:r w:rsidR="002F1D72" w:rsidRPr="002715F2">
        <w:rPr>
          <w:rFonts w:eastAsia="Batang"/>
          <w:lang w:val="fr-FR" w:eastAsia="ko-KR"/>
        </w:rPr>
        <w:t>l’</w:t>
      </w:r>
      <w:r w:rsidR="00DE0D29" w:rsidRPr="002715F2">
        <w:rPr>
          <w:rFonts w:eastAsia="Batang"/>
          <w:lang w:val="fr-FR" w:eastAsia="ko-KR"/>
        </w:rPr>
        <w:t>assign</w:t>
      </w:r>
      <w:r w:rsidR="002F1D72" w:rsidRPr="002715F2">
        <w:rPr>
          <w:rFonts w:eastAsia="Batang"/>
          <w:lang w:val="fr-FR" w:eastAsia="ko-KR"/>
        </w:rPr>
        <w:t>ation de</w:t>
      </w:r>
      <w:r w:rsidR="009E5E81" w:rsidRPr="002715F2">
        <w:rPr>
          <w:rFonts w:eastAsia="Batang"/>
          <w:lang w:val="fr-FR" w:eastAsia="ko-KR"/>
        </w:rPr>
        <w:t xml:space="preserve"> fonctionnaires femmes </w:t>
      </w:r>
      <w:r w:rsidR="00C34EE1" w:rsidRPr="002715F2">
        <w:rPr>
          <w:rFonts w:eastAsia="Batang"/>
          <w:lang w:val="fr-FR" w:eastAsia="ko-KR"/>
        </w:rPr>
        <w:t xml:space="preserve">pour les </w:t>
      </w:r>
      <w:r w:rsidR="00C34EE1" w:rsidRPr="002715F2">
        <w:rPr>
          <w:rFonts w:ascii="TimesNewRomanPSMT" w:hAnsi="TimesNewRomanPSMT" w:cs="TimesNewRomanPSMT"/>
          <w:lang w:val="fr-FR" w:eastAsia="en-GB"/>
        </w:rPr>
        <w:t>examens physiques</w:t>
      </w:r>
      <w:r w:rsidR="009E5E81" w:rsidRPr="002715F2">
        <w:rPr>
          <w:rFonts w:eastAsia="Batang"/>
          <w:lang w:val="fr-FR" w:eastAsia="ko-KR"/>
        </w:rPr>
        <w:t xml:space="preserve"> </w:t>
      </w:r>
      <w:r w:rsidR="00DE0D29" w:rsidRPr="002715F2">
        <w:rPr>
          <w:rFonts w:eastAsia="Batang"/>
          <w:lang w:val="fr-FR" w:eastAsia="ko-KR"/>
        </w:rPr>
        <w:t>des</w:t>
      </w:r>
      <w:r w:rsidR="009E5E81" w:rsidRPr="002715F2">
        <w:rPr>
          <w:rFonts w:eastAsia="Batang"/>
          <w:lang w:val="fr-FR" w:eastAsia="ko-KR"/>
        </w:rPr>
        <w:t xml:space="preserve"> </w:t>
      </w:r>
      <w:r w:rsidR="00DE0D29" w:rsidRPr="002715F2">
        <w:rPr>
          <w:rFonts w:eastAsia="Batang"/>
          <w:lang w:val="fr-FR" w:eastAsia="ko-KR"/>
        </w:rPr>
        <w:t>jeunes filles mineures</w:t>
      </w:r>
      <w:r w:rsidR="00E97B1A" w:rsidRPr="002715F2">
        <w:rPr>
          <w:rFonts w:eastAsia="Batang"/>
          <w:lang w:val="fr-FR" w:eastAsia="ko-KR"/>
        </w:rPr>
        <w:t>;</w:t>
      </w:r>
      <w:r w:rsidR="000078DA" w:rsidRPr="002715F2">
        <w:rPr>
          <w:rFonts w:eastAsia="Batang"/>
          <w:lang w:val="fr-FR" w:eastAsia="ko-KR"/>
        </w:rPr>
        <w:t xml:space="preserve"> </w:t>
      </w:r>
      <w:r w:rsidR="00DE0D29" w:rsidRPr="002715F2">
        <w:rPr>
          <w:rFonts w:eastAsia="Batang"/>
          <w:lang w:val="fr-FR" w:eastAsia="ko-KR"/>
        </w:rPr>
        <w:t xml:space="preserve">enfin le manuel </w:t>
      </w:r>
      <w:r w:rsidR="00E97B1A" w:rsidRPr="002715F2">
        <w:rPr>
          <w:rFonts w:eastAsia="Batang"/>
          <w:lang w:val="fr-FR" w:eastAsia="ko-KR"/>
        </w:rPr>
        <w:t>«</w:t>
      </w:r>
      <w:r w:rsidR="00DE0D29" w:rsidRPr="002715F2">
        <w:rPr>
          <w:rFonts w:eastAsia="Batang"/>
          <w:lang w:val="fr-FR" w:eastAsia="ko-KR"/>
        </w:rPr>
        <w:t>Contrôle de l’i</w:t>
      </w:r>
      <w:r w:rsidR="000078DA" w:rsidRPr="002715F2">
        <w:rPr>
          <w:rFonts w:eastAsia="Batang"/>
          <w:lang w:val="fr-FR" w:eastAsia="ko-KR"/>
        </w:rPr>
        <w:t xml:space="preserve">mmigration </w:t>
      </w:r>
      <w:r w:rsidR="00DE0D29" w:rsidRPr="002715F2">
        <w:rPr>
          <w:rFonts w:eastAsia="Batang"/>
          <w:lang w:val="fr-FR" w:eastAsia="ko-KR"/>
        </w:rPr>
        <w:t>et droits de l’homme</w:t>
      </w:r>
      <w:r w:rsidR="00E97B1A" w:rsidRPr="002715F2">
        <w:rPr>
          <w:rFonts w:eastAsia="Batang"/>
          <w:lang w:val="fr-FR" w:eastAsia="ko-KR"/>
        </w:rPr>
        <w:t>»</w:t>
      </w:r>
      <w:r w:rsidR="000078DA" w:rsidRPr="002715F2">
        <w:rPr>
          <w:rFonts w:eastAsia="Batang"/>
          <w:lang w:val="fr-FR" w:eastAsia="ko-KR"/>
        </w:rPr>
        <w:t xml:space="preserve"> </w:t>
      </w:r>
      <w:r w:rsidR="00DE0D29" w:rsidRPr="002715F2">
        <w:rPr>
          <w:rFonts w:eastAsia="Batang"/>
          <w:lang w:val="fr-FR" w:eastAsia="ko-KR"/>
        </w:rPr>
        <w:t xml:space="preserve">présente les directives </w:t>
      </w:r>
      <w:r w:rsidR="001B7707" w:rsidRPr="002715F2">
        <w:rPr>
          <w:rFonts w:eastAsia="Batang"/>
          <w:lang w:val="fr-FR" w:eastAsia="ko-KR"/>
        </w:rPr>
        <w:t>sur</w:t>
      </w:r>
      <w:r w:rsidR="002F1D72" w:rsidRPr="002715F2">
        <w:rPr>
          <w:rFonts w:eastAsia="Batang"/>
          <w:lang w:val="fr-FR" w:eastAsia="ko-KR"/>
        </w:rPr>
        <w:t xml:space="preserve"> </w:t>
      </w:r>
      <w:r w:rsidR="00DE0D29" w:rsidRPr="002715F2">
        <w:rPr>
          <w:rFonts w:eastAsia="Batang"/>
          <w:lang w:val="fr-FR" w:eastAsia="ko-KR"/>
        </w:rPr>
        <w:t>la répression des clandestins de sexe féminin</w:t>
      </w:r>
      <w:r w:rsidR="000078DA" w:rsidRPr="002715F2">
        <w:rPr>
          <w:rFonts w:eastAsia="Batang"/>
          <w:lang w:val="fr-FR" w:eastAsia="ko-KR"/>
        </w:rPr>
        <w:t>.</w:t>
      </w:r>
    </w:p>
    <w:p w:rsidR="000078DA" w:rsidRPr="002715F2" w:rsidRDefault="007026FB" w:rsidP="007026FB">
      <w:pPr>
        <w:pStyle w:val="SingleTxtG"/>
        <w:rPr>
          <w:rFonts w:eastAsia="Batang" w:cs="Gulim"/>
          <w:color w:val="000000"/>
          <w:lang w:val="fr-FR" w:eastAsia="ko-KR"/>
        </w:rPr>
      </w:pPr>
      <w:r w:rsidRPr="002715F2">
        <w:rPr>
          <w:rFonts w:eastAsia="Batang"/>
          <w:color w:val="000000"/>
          <w:lang w:val="fr-FR" w:eastAsia="ko-KR"/>
        </w:rPr>
        <w:t>58.</w:t>
      </w:r>
      <w:r w:rsidRPr="002715F2">
        <w:rPr>
          <w:rFonts w:eastAsia="Batang"/>
          <w:color w:val="000000"/>
          <w:lang w:val="fr-FR" w:eastAsia="ko-KR"/>
        </w:rPr>
        <w:tab/>
      </w:r>
      <w:r w:rsidR="00DE0D29" w:rsidRPr="002715F2">
        <w:rPr>
          <w:rFonts w:eastAsia="Batang" w:cs="Gulim"/>
          <w:color w:val="000000"/>
          <w:lang w:val="fr-FR" w:eastAsia="ko-KR"/>
        </w:rPr>
        <w:t>Par ailleurs</w:t>
      </w:r>
      <w:r w:rsidR="000078DA" w:rsidRPr="002715F2">
        <w:rPr>
          <w:rFonts w:eastAsia="Batang" w:cs="Gulim"/>
          <w:color w:val="000000"/>
          <w:lang w:val="fr-FR" w:eastAsia="ko-KR"/>
        </w:rPr>
        <w:t xml:space="preserve">, </w:t>
      </w:r>
      <w:r w:rsidR="00DE0D29" w:rsidRPr="002715F2">
        <w:rPr>
          <w:rFonts w:eastAsia="Batang" w:cs="Gulim"/>
          <w:color w:val="000000"/>
          <w:lang w:val="fr-FR" w:eastAsia="ko-KR"/>
        </w:rPr>
        <w:t xml:space="preserve">des </w:t>
      </w:r>
      <w:r w:rsidR="00BC29DC" w:rsidRPr="002715F2">
        <w:rPr>
          <w:rFonts w:eastAsia="Batang" w:cs="Gulim"/>
          <w:color w:val="000000"/>
          <w:lang w:val="fr-FR" w:eastAsia="ko-KR"/>
        </w:rPr>
        <w:t>spécialistes exté</w:t>
      </w:r>
      <w:r w:rsidR="00DE0D29" w:rsidRPr="002715F2">
        <w:rPr>
          <w:rFonts w:eastAsia="Batang" w:cs="Gulim"/>
          <w:color w:val="000000"/>
          <w:lang w:val="fr-FR" w:eastAsia="ko-KR"/>
        </w:rPr>
        <w:t>r</w:t>
      </w:r>
      <w:r w:rsidR="00BC29DC" w:rsidRPr="002715F2">
        <w:rPr>
          <w:rFonts w:eastAsia="Batang" w:cs="Gulim"/>
          <w:color w:val="000000"/>
          <w:lang w:val="fr-FR" w:eastAsia="ko-KR"/>
        </w:rPr>
        <w:t>ieurs</w:t>
      </w:r>
      <w:r w:rsidR="00DE0D29" w:rsidRPr="002715F2">
        <w:rPr>
          <w:rFonts w:eastAsia="Batang" w:cs="Gulim"/>
          <w:color w:val="000000"/>
          <w:lang w:val="fr-FR" w:eastAsia="ko-KR"/>
        </w:rPr>
        <w:t xml:space="preserve"> se rendent depuis 2009 dans </w:t>
      </w:r>
      <w:r w:rsidR="005C6D8E" w:rsidRPr="002715F2">
        <w:rPr>
          <w:rFonts w:eastAsia="Batang" w:cs="Gulim"/>
          <w:color w:val="000000"/>
          <w:lang w:val="fr-FR" w:eastAsia="ko-KR"/>
        </w:rPr>
        <w:t xml:space="preserve">les </w:t>
      </w:r>
      <w:r w:rsidR="00BC29DC" w:rsidRPr="002715F2">
        <w:rPr>
          <w:rFonts w:eastAsia="Batang" w:cs="Gulim"/>
          <w:color w:val="000000"/>
          <w:lang w:val="fr-FR" w:eastAsia="ko-KR"/>
        </w:rPr>
        <w:t>centres de détention</w:t>
      </w:r>
      <w:r w:rsidR="00DE0D29" w:rsidRPr="002715F2">
        <w:rPr>
          <w:rFonts w:eastAsia="Batang" w:cs="Gulim"/>
          <w:color w:val="000000"/>
          <w:lang w:val="fr-FR" w:eastAsia="ko-KR"/>
        </w:rPr>
        <w:t xml:space="preserve"> </w:t>
      </w:r>
      <w:r w:rsidR="00BC29DC" w:rsidRPr="002715F2">
        <w:rPr>
          <w:rFonts w:eastAsia="Batang" w:cs="Gulim"/>
          <w:color w:val="000000"/>
          <w:lang w:val="fr-FR" w:eastAsia="ko-KR"/>
        </w:rPr>
        <w:t>et</w:t>
      </w:r>
      <w:r w:rsidR="00DE0D29" w:rsidRPr="002715F2">
        <w:rPr>
          <w:rFonts w:eastAsia="Batang" w:cs="Gulim"/>
          <w:color w:val="000000"/>
          <w:lang w:val="fr-FR" w:eastAsia="ko-KR"/>
        </w:rPr>
        <w:t xml:space="preserve"> </w:t>
      </w:r>
      <w:r w:rsidR="00755713" w:rsidRPr="002715F2">
        <w:rPr>
          <w:rFonts w:eastAsia="Batang" w:cs="Gulim"/>
          <w:color w:val="000000"/>
          <w:lang w:val="fr-FR" w:eastAsia="ko-KR"/>
        </w:rPr>
        <w:t xml:space="preserve">les structures </w:t>
      </w:r>
      <w:r w:rsidR="00DE0D29" w:rsidRPr="002715F2">
        <w:rPr>
          <w:rFonts w:eastAsia="Batang" w:cs="Gulim"/>
          <w:color w:val="000000"/>
          <w:lang w:val="fr-FR" w:eastAsia="ko-KR"/>
        </w:rPr>
        <w:t xml:space="preserve">de protection pour y dispenser </w:t>
      </w:r>
      <w:r w:rsidR="00BC29DC" w:rsidRPr="002715F2">
        <w:rPr>
          <w:rFonts w:eastAsia="Batang" w:cs="Gulim"/>
          <w:color w:val="000000"/>
          <w:lang w:val="fr-FR" w:eastAsia="ko-KR"/>
        </w:rPr>
        <w:t>une éducation aux</w:t>
      </w:r>
      <w:r w:rsidR="00DE0D29" w:rsidRPr="002715F2">
        <w:rPr>
          <w:rFonts w:eastAsia="Batang" w:cs="Gulim"/>
          <w:color w:val="000000"/>
          <w:lang w:val="fr-FR" w:eastAsia="ko-KR"/>
        </w:rPr>
        <w:t xml:space="preserve"> droits de l’homme</w:t>
      </w:r>
      <w:r w:rsidR="000078DA" w:rsidRPr="002715F2">
        <w:rPr>
          <w:rFonts w:eastAsia="Batang" w:cs="Gulim"/>
          <w:color w:val="000000"/>
          <w:lang w:val="fr-FR" w:eastAsia="ko-KR"/>
        </w:rPr>
        <w:t>.</w:t>
      </w:r>
      <w:r w:rsidR="000078DA" w:rsidRPr="002715F2" w:rsidDel="004152BB">
        <w:rPr>
          <w:rFonts w:eastAsia="Batang"/>
          <w:color w:val="000000"/>
          <w:vertAlign w:val="superscript"/>
          <w:lang w:val="fr-FR" w:eastAsia="ko-KR"/>
        </w:rPr>
        <w:t xml:space="preserve"> </w:t>
      </w:r>
      <w:r w:rsidR="00DE0D29" w:rsidRPr="002715F2">
        <w:rPr>
          <w:rFonts w:eastAsia="Batang" w:cs="Gulim"/>
          <w:color w:val="000000"/>
          <w:lang w:val="fr-FR" w:eastAsia="ko-KR"/>
        </w:rPr>
        <w:t xml:space="preserve">Les parquets </w:t>
      </w:r>
      <w:r w:rsidR="009C5637" w:rsidRPr="002715F2">
        <w:rPr>
          <w:rFonts w:eastAsia="Batang" w:cs="Gulim"/>
          <w:color w:val="000000"/>
          <w:lang w:val="fr-FR" w:eastAsia="ko-KR"/>
        </w:rPr>
        <w:t>bénéficient de</w:t>
      </w:r>
      <w:r w:rsidR="00755A1D" w:rsidRPr="002715F2">
        <w:rPr>
          <w:rFonts w:eastAsia="Batang" w:cs="Gulim"/>
          <w:color w:val="000000"/>
          <w:lang w:val="fr-FR" w:eastAsia="ko-KR"/>
        </w:rPr>
        <w:t xml:space="preserve"> cours pour les aider à </w:t>
      </w:r>
      <w:r w:rsidR="009C5637" w:rsidRPr="002715F2">
        <w:rPr>
          <w:rFonts w:eastAsia="Batang" w:cs="Gulim"/>
          <w:color w:val="000000"/>
          <w:lang w:val="fr-FR" w:eastAsia="ko-KR"/>
        </w:rPr>
        <w:t>s’assurer</w:t>
      </w:r>
      <w:r w:rsidR="00755A1D" w:rsidRPr="002715F2">
        <w:rPr>
          <w:rFonts w:eastAsia="Batang" w:cs="Gulim"/>
          <w:color w:val="000000"/>
          <w:lang w:val="fr-FR" w:eastAsia="ko-KR"/>
        </w:rPr>
        <w:t xml:space="preserve"> </w:t>
      </w:r>
      <w:r w:rsidR="009C5637" w:rsidRPr="002715F2">
        <w:rPr>
          <w:rFonts w:eastAsia="Batang" w:cs="Gulim"/>
          <w:color w:val="000000"/>
          <w:lang w:val="fr-FR" w:eastAsia="ko-KR"/>
        </w:rPr>
        <w:t xml:space="preserve">que </w:t>
      </w:r>
      <w:r w:rsidR="00755A1D" w:rsidRPr="002715F2">
        <w:rPr>
          <w:rFonts w:eastAsia="Batang" w:cs="Gulim"/>
          <w:color w:val="000000"/>
          <w:lang w:val="fr-FR" w:eastAsia="ko-KR"/>
        </w:rPr>
        <w:t>l</w:t>
      </w:r>
      <w:r w:rsidR="00DE0D29" w:rsidRPr="002715F2">
        <w:rPr>
          <w:rFonts w:eastAsia="Batang" w:cs="Gulim"/>
          <w:color w:val="000000"/>
          <w:lang w:val="fr-FR" w:eastAsia="ko-KR"/>
        </w:rPr>
        <w:t>es droits des femmes ou des enfants victimes d’</w:t>
      </w:r>
      <w:r w:rsidR="005B53A4" w:rsidRPr="002715F2">
        <w:rPr>
          <w:rFonts w:eastAsia="Batang" w:cs="Gulim"/>
          <w:color w:val="000000"/>
          <w:lang w:val="fr-FR" w:eastAsia="ko-KR"/>
        </w:rPr>
        <w:t>agressions</w:t>
      </w:r>
      <w:r w:rsidR="00DE0D29" w:rsidRPr="002715F2">
        <w:rPr>
          <w:rFonts w:eastAsia="Batang" w:cs="Gulim"/>
          <w:color w:val="000000"/>
          <w:lang w:val="fr-FR" w:eastAsia="ko-KR"/>
        </w:rPr>
        <w:t xml:space="preserve"> sexuelles</w:t>
      </w:r>
      <w:r w:rsidR="009C5637" w:rsidRPr="002715F2">
        <w:rPr>
          <w:rFonts w:eastAsia="Batang" w:cs="Gulim"/>
          <w:color w:val="000000"/>
          <w:lang w:val="fr-FR" w:eastAsia="ko-KR"/>
        </w:rPr>
        <w:t xml:space="preserve"> sont protégés pendant les enquêtes</w:t>
      </w:r>
      <w:r w:rsidR="000078DA" w:rsidRPr="002715F2">
        <w:rPr>
          <w:rFonts w:eastAsia="Batang" w:cs="Gulim"/>
          <w:color w:val="000000"/>
          <w:lang w:val="fr-FR" w:eastAsia="ko-KR"/>
        </w:rPr>
        <w:t xml:space="preserve">. </w:t>
      </w:r>
      <w:r w:rsidR="005B53A4" w:rsidRPr="002715F2">
        <w:rPr>
          <w:rFonts w:eastAsia="Batang" w:cs="Gulim"/>
          <w:color w:val="000000"/>
          <w:lang w:val="fr-FR" w:eastAsia="ko-KR"/>
        </w:rPr>
        <w:t xml:space="preserve">Les cours </w:t>
      </w:r>
      <w:r w:rsidR="00755A1D" w:rsidRPr="002715F2">
        <w:rPr>
          <w:rFonts w:eastAsia="Batang" w:cs="Gulim"/>
          <w:color w:val="000000"/>
          <w:lang w:val="fr-FR" w:eastAsia="ko-KR"/>
        </w:rPr>
        <w:t>prodigués</w:t>
      </w:r>
      <w:r w:rsidR="005B53A4" w:rsidRPr="002715F2">
        <w:rPr>
          <w:rFonts w:eastAsia="Batang" w:cs="Gulim"/>
          <w:color w:val="000000"/>
          <w:lang w:val="fr-FR" w:eastAsia="ko-KR"/>
        </w:rPr>
        <w:t xml:space="preserve"> dans les établissements </w:t>
      </w:r>
      <w:r w:rsidR="00730B36" w:rsidRPr="002715F2">
        <w:rPr>
          <w:rFonts w:eastAsia="Batang"/>
          <w:lang w:val="fr-FR" w:eastAsia="ko-KR"/>
        </w:rPr>
        <w:t xml:space="preserve">pénitentiaires </w:t>
      </w:r>
      <w:r w:rsidR="00755A1D" w:rsidRPr="002715F2">
        <w:rPr>
          <w:rFonts w:eastAsia="Batang"/>
          <w:lang w:val="fr-FR" w:eastAsia="ko-KR"/>
        </w:rPr>
        <w:t>visent à prévenir</w:t>
      </w:r>
      <w:r w:rsidR="005B53A4" w:rsidRPr="002715F2">
        <w:rPr>
          <w:rFonts w:eastAsia="Batang"/>
          <w:lang w:val="fr-FR" w:eastAsia="ko-KR"/>
        </w:rPr>
        <w:t xml:space="preserve"> </w:t>
      </w:r>
      <w:r w:rsidR="00755A1D" w:rsidRPr="002715F2">
        <w:rPr>
          <w:rFonts w:eastAsia="Batang" w:cs="Gulim"/>
          <w:color w:val="000000"/>
          <w:lang w:val="fr-FR" w:eastAsia="ko-KR"/>
        </w:rPr>
        <w:t>l</w:t>
      </w:r>
      <w:r w:rsidR="005B53A4" w:rsidRPr="002715F2">
        <w:rPr>
          <w:rFonts w:eastAsia="Batang" w:cs="Gulim"/>
          <w:color w:val="000000"/>
          <w:lang w:val="fr-FR" w:eastAsia="ko-KR"/>
        </w:rPr>
        <w:t xml:space="preserve">es violences sexuelles et </w:t>
      </w:r>
      <w:r w:rsidR="00755A1D" w:rsidRPr="002715F2">
        <w:rPr>
          <w:rFonts w:eastAsia="Batang" w:cs="Gulim"/>
          <w:color w:val="000000"/>
          <w:lang w:val="fr-FR" w:eastAsia="ko-KR"/>
        </w:rPr>
        <w:t>le</w:t>
      </w:r>
      <w:r w:rsidR="005B53A4" w:rsidRPr="002715F2">
        <w:rPr>
          <w:rFonts w:eastAsia="Batang" w:cs="Gulim"/>
          <w:color w:val="000000"/>
          <w:lang w:val="fr-FR" w:eastAsia="ko-KR"/>
        </w:rPr>
        <w:t xml:space="preserve"> harcèlement sexuel au sein de ces établissements</w:t>
      </w:r>
      <w:r w:rsidR="00F60999" w:rsidRPr="002715F2">
        <w:rPr>
          <w:rFonts w:eastAsia="Batang" w:cs="Gulim"/>
          <w:color w:val="000000"/>
          <w:lang w:val="fr-FR" w:eastAsia="ko-KR"/>
        </w:rPr>
        <w:t>.</w:t>
      </w:r>
    </w:p>
    <w:p w:rsidR="000078DA" w:rsidRPr="002715F2" w:rsidRDefault="007026FB" w:rsidP="007026FB">
      <w:pPr>
        <w:pStyle w:val="SingleTxtG"/>
        <w:rPr>
          <w:rFonts w:eastAsia="Batang"/>
          <w:color w:val="000000"/>
          <w:lang w:val="fr-FR" w:eastAsia="ko-KR"/>
        </w:rPr>
      </w:pPr>
      <w:r w:rsidRPr="002715F2">
        <w:rPr>
          <w:rFonts w:eastAsia="Batang"/>
          <w:color w:val="000000"/>
          <w:lang w:val="fr-FR" w:eastAsia="ko-KR"/>
        </w:rPr>
        <w:t>59.</w:t>
      </w:r>
      <w:r w:rsidRPr="002715F2">
        <w:rPr>
          <w:rFonts w:eastAsia="Batang"/>
          <w:color w:val="000000"/>
          <w:lang w:val="fr-FR" w:eastAsia="ko-KR"/>
        </w:rPr>
        <w:tab/>
      </w:r>
      <w:r w:rsidR="00261871" w:rsidRPr="002715F2">
        <w:rPr>
          <w:rFonts w:eastAsia="Malgun Gothic"/>
          <w:kern w:val="2"/>
          <w:szCs w:val="22"/>
          <w:lang w:val="fr-FR" w:eastAsia="ko-KR"/>
        </w:rPr>
        <w:t>Entre</w:t>
      </w:r>
      <w:r w:rsidR="000078DA" w:rsidRPr="002715F2">
        <w:rPr>
          <w:rFonts w:eastAsia="Batang"/>
          <w:color w:val="000000"/>
          <w:lang w:val="fr-FR" w:eastAsia="ko-KR"/>
        </w:rPr>
        <w:t xml:space="preserve"> 2009 </w:t>
      </w:r>
      <w:r w:rsidR="00261871" w:rsidRPr="002715F2">
        <w:rPr>
          <w:rFonts w:eastAsia="Batang"/>
          <w:color w:val="000000"/>
          <w:lang w:val="fr-FR" w:eastAsia="ko-KR"/>
        </w:rPr>
        <w:t>et</w:t>
      </w:r>
      <w:r w:rsidR="000078DA" w:rsidRPr="002715F2">
        <w:rPr>
          <w:rFonts w:eastAsia="Batang"/>
          <w:color w:val="000000"/>
          <w:lang w:val="fr-FR" w:eastAsia="ko-KR"/>
        </w:rPr>
        <w:t xml:space="preserve"> 2015, </w:t>
      </w:r>
      <w:r w:rsidR="00261871" w:rsidRPr="002715F2">
        <w:rPr>
          <w:rFonts w:eastAsia="Batang"/>
          <w:color w:val="000000"/>
          <w:lang w:val="fr-FR" w:eastAsia="ko-KR"/>
        </w:rPr>
        <w:t>l’</w:t>
      </w:r>
      <w:r w:rsidR="00F56292" w:rsidRPr="002715F2">
        <w:rPr>
          <w:rFonts w:eastAsia="Batang"/>
          <w:color w:val="000000"/>
          <w:lang w:val="fr-FR" w:eastAsia="ko-KR"/>
        </w:rPr>
        <w:t>I</w:t>
      </w:r>
      <w:r w:rsidR="00261871" w:rsidRPr="002715F2">
        <w:rPr>
          <w:rFonts w:eastAsia="Batang"/>
          <w:color w:val="000000"/>
          <w:lang w:val="fr-FR" w:eastAsia="ko-KR"/>
        </w:rPr>
        <w:t xml:space="preserve">nstitut </w:t>
      </w:r>
      <w:r w:rsidR="00F56292" w:rsidRPr="002715F2">
        <w:rPr>
          <w:rFonts w:eastAsia="Batang"/>
          <w:color w:val="000000"/>
          <w:lang w:val="fr-FR" w:eastAsia="ko-KR"/>
        </w:rPr>
        <w:t>judiciaire,</w:t>
      </w:r>
      <w:r w:rsidR="00261871" w:rsidRPr="002715F2">
        <w:rPr>
          <w:rFonts w:eastAsia="Batang"/>
          <w:color w:val="000000"/>
          <w:lang w:val="fr-FR" w:eastAsia="ko-KR"/>
        </w:rPr>
        <w:t xml:space="preserve"> rattaché au Ministère de la justice, a </w:t>
      </w:r>
      <w:r w:rsidR="00B30BB1" w:rsidRPr="002715F2">
        <w:rPr>
          <w:rFonts w:eastAsia="Batang"/>
          <w:color w:val="000000"/>
          <w:lang w:val="fr-FR" w:eastAsia="ko-KR"/>
        </w:rPr>
        <w:t xml:space="preserve">notamment </w:t>
      </w:r>
      <w:r w:rsidR="00261871" w:rsidRPr="002715F2">
        <w:rPr>
          <w:rFonts w:eastAsia="Batang"/>
          <w:color w:val="000000"/>
          <w:lang w:val="fr-FR" w:eastAsia="ko-KR"/>
        </w:rPr>
        <w:t>dispensé à 486</w:t>
      </w:r>
      <w:r w:rsidR="009C5637" w:rsidRPr="002715F2">
        <w:rPr>
          <w:rFonts w:eastAsia="Batang"/>
          <w:color w:val="000000"/>
          <w:lang w:val="fr-FR" w:eastAsia="ko-KR"/>
        </w:rPr>
        <w:t> </w:t>
      </w:r>
      <w:r w:rsidR="00261871" w:rsidRPr="002715F2">
        <w:rPr>
          <w:rFonts w:eastAsia="Batang"/>
          <w:color w:val="000000"/>
          <w:lang w:val="fr-FR" w:eastAsia="ko-KR"/>
        </w:rPr>
        <w:t xml:space="preserve">procureurs </w:t>
      </w:r>
      <w:r w:rsidR="00A41484" w:rsidRPr="002715F2">
        <w:rPr>
          <w:rFonts w:eastAsia="Batang"/>
          <w:color w:val="000000"/>
          <w:lang w:val="fr-FR" w:eastAsia="ko-KR"/>
        </w:rPr>
        <w:t xml:space="preserve">des cours </w:t>
      </w:r>
      <w:r w:rsidR="00B30BB1" w:rsidRPr="002715F2">
        <w:rPr>
          <w:rFonts w:eastAsia="Batang"/>
          <w:color w:val="000000"/>
          <w:lang w:val="fr-FR" w:eastAsia="ko-KR"/>
        </w:rPr>
        <w:t>sur les</w:t>
      </w:r>
      <w:r w:rsidR="00A41484" w:rsidRPr="002715F2">
        <w:rPr>
          <w:rFonts w:eastAsia="Batang"/>
          <w:color w:val="000000"/>
          <w:lang w:val="fr-FR" w:eastAsia="ko-KR"/>
        </w:rPr>
        <w:t xml:space="preserve"> </w:t>
      </w:r>
      <w:r w:rsidR="00E97B1A" w:rsidRPr="002715F2">
        <w:rPr>
          <w:rFonts w:eastAsia="Batang"/>
          <w:color w:val="000000"/>
          <w:lang w:val="fr-FR" w:eastAsia="ko-KR"/>
        </w:rPr>
        <w:t>«</w:t>
      </w:r>
      <w:r w:rsidR="00261871" w:rsidRPr="002715F2">
        <w:rPr>
          <w:rFonts w:eastAsia="Batang"/>
          <w:color w:val="000000"/>
          <w:lang w:val="fr-FR" w:eastAsia="ko-KR"/>
        </w:rPr>
        <w:t xml:space="preserve">Caractéristiques de </w:t>
      </w:r>
      <w:r w:rsidR="00A41484" w:rsidRPr="002715F2">
        <w:rPr>
          <w:rFonts w:eastAsia="Batang"/>
          <w:color w:val="000000"/>
          <w:lang w:val="fr-FR" w:eastAsia="ko-KR"/>
        </w:rPr>
        <w:t>la v</w:t>
      </w:r>
      <w:r w:rsidR="00261871" w:rsidRPr="002715F2">
        <w:rPr>
          <w:rFonts w:eastAsia="Batang"/>
          <w:color w:val="000000"/>
          <w:lang w:val="fr-FR" w:eastAsia="ko-KR"/>
        </w:rPr>
        <w:t>iolence</w:t>
      </w:r>
      <w:r w:rsidR="00A41484" w:rsidRPr="002715F2">
        <w:rPr>
          <w:rFonts w:eastAsia="Batang"/>
          <w:color w:val="000000"/>
          <w:lang w:val="fr-FR" w:eastAsia="ko-KR"/>
        </w:rPr>
        <w:t xml:space="preserve"> familiale</w:t>
      </w:r>
      <w:r w:rsidR="00261871" w:rsidRPr="002715F2">
        <w:rPr>
          <w:rFonts w:eastAsia="Batang"/>
          <w:color w:val="000000"/>
          <w:lang w:val="fr-FR" w:eastAsia="ko-KR"/>
        </w:rPr>
        <w:t xml:space="preserve"> basé</w:t>
      </w:r>
      <w:r w:rsidR="00A41484" w:rsidRPr="002715F2">
        <w:rPr>
          <w:rFonts w:eastAsia="Batang"/>
          <w:color w:val="000000"/>
          <w:lang w:val="fr-FR" w:eastAsia="ko-KR"/>
        </w:rPr>
        <w:t>es</w:t>
      </w:r>
      <w:r w:rsidR="00B30BB1" w:rsidRPr="002715F2">
        <w:rPr>
          <w:rFonts w:eastAsia="Batang"/>
          <w:color w:val="000000"/>
          <w:lang w:val="fr-FR" w:eastAsia="ko-KR"/>
        </w:rPr>
        <w:t xml:space="preserve"> sur des</w:t>
      </w:r>
      <w:r w:rsidR="00261871" w:rsidRPr="002715F2">
        <w:rPr>
          <w:rFonts w:eastAsia="Batang"/>
          <w:color w:val="000000"/>
          <w:lang w:val="fr-FR" w:eastAsia="ko-KR"/>
        </w:rPr>
        <w:t xml:space="preserve"> </w:t>
      </w:r>
      <w:r w:rsidR="00B30BB1" w:rsidRPr="002715F2">
        <w:rPr>
          <w:rFonts w:ascii="TimesNewRomanPSMT" w:hAnsi="TimesNewRomanPSMT" w:cs="TimesNewRomanPSMT"/>
          <w:lang w:val="fr-FR" w:eastAsia="en-GB"/>
        </w:rPr>
        <w:t>cas concrets traités par des services de conseil</w:t>
      </w:r>
      <w:r w:rsidR="00E97B1A" w:rsidRPr="002715F2">
        <w:rPr>
          <w:rFonts w:ascii="TimesNewRomanPSMT" w:hAnsi="TimesNewRomanPSMT" w:cs="TimesNewRomanPSMT"/>
          <w:lang w:val="fr-FR" w:eastAsia="en-GB"/>
        </w:rPr>
        <w:t>»</w:t>
      </w:r>
      <w:r w:rsidR="00B30BB1" w:rsidRPr="002715F2">
        <w:rPr>
          <w:rFonts w:eastAsia="Batang"/>
          <w:color w:val="000000"/>
          <w:lang w:val="fr-FR" w:eastAsia="ko-KR"/>
        </w:rPr>
        <w:t xml:space="preserve"> et les </w:t>
      </w:r>
      <w:r w:rsidR="00E97B1A" w:rsidRPr="002715F2">
        <w:rPr>
          <w:rFonts w:eastAsia="Batang"/>
          <w:color w:val="000000"/>
          <w:lang w:val="fr-FR" w:eastAsia="ko-KR"/>
        </w:rPr>
        <w:t>«</w:t>
      </w:r>
      <w:r w:rsidR="00261871" w:rsidRPr="002715F2">
        <w:rPr>
          <w:rFonts w:eastAsia="Batang"/>
          <w:color w:val="000000"/>
          <w:lang w:val="fr-FR" w:eastAsia="ko-KR"/>
        </w:rPr>
        <w:t xml:space="preserve">Caractéristiques des enfants ou des personnes handicapées </w:t>
      </w:r>
      <w:r w:rsidR="00A41484" w:rsidRPr="002715F2">
        <w:rPr>
          <w:rFonts w:eastAsia="Batang"/>
          <w:color w:val="000000"/>
          <w:lang w:val="fr-FR" w:eastAsia="ko-KR"/>
        </w:rPr>
        <w:t xml:space="preserve">victimes de violences sexuelles, </w:t>
      </w:r>
      <w:r w:rsidR="00261871" w:rsidRPr="002715F2">
        <w:rPr>
          <w:rFonts w:eastAsia="Batang"/>
          <w:color w:val="000000"/>
          <w:lang w:val="fr-FR" w:eastAsia="ko-KR"/>
        </w:rPr>
        <w:t xml:space="preserve">et </w:t>
      </w:r>
      <w:r w:rsidR="00B30BB1" w:rsidRPr="002715F2">
        <w:rPr>
          <w:rFonts w:eastAsia="Batang"/>
          <w:color w:val="000000"/>
          <w:lang w:val="fr-FR" w:eastAsia="ko-KR"/>
        </w:rPr>
        <w:t>méthodes</w:t>
      </w:r>
      <w:r w:rsidR="00261871" w:rsidRPr="002715F2">
        <w:rPr>
          <w:rFonts w:eastAsia="Batang"/>
          <w:color w:val="000000"/>
          <w:lang w:val="fr-FR" w:eastAsia="ko-KR"/>
        </w:rPr>
        <w:t xml:space="preserve"> </w:t>
      </w:r>
      <w:r w:rsidR="00A41484" w:rsidRPr="002715F2">
        <w:rPr>
          <w:rFonts w:eastAsia="Batang"/>
          <w:color w:val="000000"/>
          <w:lang w:val="fr-FR" w:eastAsia="ko-KR"/>
        </w:rPr>
        <w:t>d’enquête</w:t>
      </w:r>
      <w:r w:rsidR="00E97B1A" w:rsidRPr="002715F2">
        <w:rPr>
          <w:rFonts w:eastAsia="Batang"/>
          <w:color w:val="000000"/>
          <w:lang w:val="fr-FR" w:eastAsia="ko-KR"/>
        </w:rPr>
        <w:t>»</w:t>
      </w:r>
      <w:r w:rsidR="00A41484" w:rsidRPr="002715F2">
        <w:rPr>
          <w:rFonts w:eastAsia="Batang"/>
          <w:color w:val="000000"/>
          <w:lang w:val="fr-FR" w:eastAsia="ko-KR"/>
        </w:rPr>
        <w:t>. Entre</w:t>
      </w:r>
      <w:r w:rsidR="000078DA" w:rsidRPr="002715F2">
        <w:rPr>
          <w:rFonts w:eastAsia="Batang"/>
          <w:color w:val="000000"/>
          <w:lang w:val="fr-FR" w:eastAsia="ko-KR"/>
        </w:rPr>
        <w:t xml:space="preserve"> 2006 </w:t>
      </w:r>
      <w:r w:rsidR="00A41484" w:rsidRPr="002715F2">
        <w:rPr>
          <w:rFonts w:eastAsia="Batang"/>
          <w:color w:val="000000"/>
          <w:lang w:val="fr-FR" w:eastAsia="ko-KR"/>
        </w:rPr>
        <w:t>et</w:t>
      </w:r>
      <w:r w:rsidR="000078DA" w:rsidRPr="002715F2">
        <w:rPr>
          <w:rFonts w:eastAsia="Batang"/>
          <w:color w:val="000000"/>
          <w:lang w:val="fr-FR" w:eastAsia="ko-KR"/>
        </w:rPr>
        <w:t xml:space="preserve"> 2015, </w:t>
      </w:r>
      <w:r w:rsidR="00F56292" w:rsidRPr="002715F2">
        <w:rPr>
          <w:rFonts w:eastAsia="Batang"/>
          <w:color w:val="000000"/>
          <w:lang w:val="fr-FR" w:eastAsia="ko-KR"/>
        </w:rPr>
        <w:t>l’I</w:t>
      </w:r>
      <w:r w:rsidR="00A41484" w:rsidRPr="002715F2">
        <w:rPr>
          <w:rFonts w:eastAsia="Batang"/>
          <w:color w:val="000000"/>
          <w:lang w:val="fr-FR" w:eastAsia="ko-KR"/>
        </w:rPr>
        <w:t>nst</w:t>
      </w:r>
      <w:r w:rsidR="00B30BB1" w:rsidRPr="002715F2">
        <w:rPr>
          <w:rFonts w:eastAsia="Batang"/>
          <w:color w:val="000000"/>
          <w:lang w:val="fr-FR" w:eastAsia="ko-KR"/>
        </w:rPr>
        <w:t xml:space="preserve">itut a </w:t>
      </w:r>
      <w:r w:rsidR="0044016B" w:rsidRPr="002715F2">
        <w:rPr>
          <w:rFonts w:eastAsia="Batang"/>
          <w:color w:val="000000"/>
          <w:lang w:val="fr-FR" w:eastAsia="ko-KR"/>
        </w:rPr>
        <w:t>en outre</w:t>
      </w:r>
      <w:r w:rsidR="00B30BB1" w:rsidRPr="002715F2">
        <w:rPr>
          <w:rFonts w:eastAsia="Batang"/>
          <w:color w:val="000000"/>
          <w:lang w:val="fr-FR" w:eastAsia="ko-KR"/>
        </w:rPr>
        <w:t xml:space="preserve"> prodigué à 388 e</w:t>
      </w:r>
      <w:r w:rsidR="00A41484" w:rsidRPr="002715F2">
        <w:rPr>
          <w:rFonts w:eastAsia="Batang"/>
          <w:color w:val="000000"/>
          <w:lang w:val="fr-FR" w:eastAsia="ko-KR"/>
        </w:rPr>
        <w:t xml:space="preserve">nquêteurs des parquets des cours </w:t>
      </w:r>
      <w:r w:rsidR="0044016B" w:rsidRPr="002715F2">
        <w:rPr>
          <w:rFonts w:eastAsia="Batang"/>
          <w:color w:val="000000"/>
          <w:lang w:val="fr-FR" w:eastAsia="ko-KR"/>
        </w:rPr>
        <w:t>tels que</w:t>
      </w:r>
      <w:r w:rsidR="00A41484" w:rsidRPr="002715F2">
        <w:rPr>
          <w:rFonts w:eastAsia="Batang"/>
          <w:color w:val="000000"/>
          <w:lang w:val="fr-FR" w:eastAsia="ko-KR"/>
        </w:rPr>
        <w:t xml:space="preserve"> </w:t>
      </w:r>
      <w:r w:rsidR="00E97B1A" w:rsidRPr="002715F2">
        <w:rPr>
          <w:rFonts w:eastAsia="Batang"/>
          <w:color w:val="000000"/>
          <w:lang w:val="fr-FR" w:eastAsia="ko-KR"/>
        </w:rPr>
        <w:t>«</w:t>
      </w:r>
      <w:r w:rsidR="00A41484" w:rsidRPr="002715F2">
        <w:rPr>
          <w:rFonts w:eastAsia="Batang"/>
          <w:color w:val="000000"/>
          <w:lang w:val="fr-FR" w:eastAsia="ko-KR"/>
        </w:rPr>
        <w:t xml:space="preserve">Commentaires et études de cas sur </w:t>
      </w:r>
      <w:r w:rsidR="00B30BB1" w:rsidRPr="002715F2">
        <w:rPr>
          <w:rFonts w:eastAsia="Batang"/>
          <w:color w:val="000000"/>
          <w:lang w:val="fr-FR" w:eastAsia="ko-KR"/>
        </w:rPr>
        <w:t>la législation</w:t>
      </w:r>
      <w:r w:rsidR="00A41484" w:rsidRPr="002715F2">
        <w:rPr>
          <w:rFonts w:eastAsia="Batang"/>
          <w:color w:val="000000"/>
          <w:lang w:val="fr-FR" w:eastAsia="ko-KR"/>
        </w:rPr>
        <w:t xml:space="preserve"> relative aux violences familiales et sexuelles</w:t>
      </w:r>
      <w:r w:rsidR="00E97B1A" w:rsidRPr="002715F2">
        <w:rPr>
          <w:rFonts w:eastAsia="Batang"/>
          <w:color w:val="000000"/>
          <w:lang w:val="fr-FR" w:eastAsia="ko-KR"/>
        </w:rPr>
        <w:t>»</w:t>
      </w:r>
      <w:r w:rsidR="00A41484" w:rsidRPr="002715F2">
        <w:rPr>
          <w:rFonts w:eastAsia="Batang"/>
          <w:color w:val="000000"/>
          <w:lang w:val="fr-FR" w:eastAsia="ko-KR"/>
        </w:rPr>
        <w:t xml:space="preserve"> et </w:t>
      </w:r>
      <w:r w:rsidR="00E97B1A" w:rsidRPr="002715F2">
        <w:rPr>
          <w:rFonts w:eastAsia="Batang"/>
          <w:color w:val="000000"/>
          <w:lang w:val="fr-FR" w:eastAsia="ko-KR"/>
        </w:rPr>
        <w:t>«</w:t>
      </w:r>
      <w:r w:rsidR="00A41484" w:rsidRPr="002715F2">
        <w:rPr>
          <w:rFonts w:eastAsia="Batang"/>
          <w:color w:val="000000"/>
          <w:lang w:val="fr-FR" w:eastAsia="ko-KR"/>
        </w:rPr>
        <w:t>Déclarations faites par les enfants victimes de violences sexuelles</w:t>
      </w:r>
      <w:r w:rsidR="00E97B1A" w:rsidRPr="002715F2">
        <w:rPr>
          <w:rFonts w:eastAsia="Batang"/>
          <w:color w:val="000000"/>
          <w:lang w:val="fr-FR" w:eastAsia="ko-KR"/>
        </w:rPr>
        <w:t>»</w:t>
      </w:r>
      <w:r w:rsidR="00A41484" w:rsidRPr="002715F2">
        <w:rPr>
          <w:rFonts w:eastAsia="Batang"/>
          <w:color w:val="000000"/>
          <w:lang w:val="fr-FR" w:eastAsia="ko-KR"/>
        </w:rPr>
        <w:t xml:space="preserve">. Entre </w:t>
      </w:r>
      <w:r w:rsidR="000078DA" w:rsidRPr="002715F2">
        <w:rPr>
          <w:rFonts w:eastAsia="Batang"/>
          <w:color w:val="000000"/>
          <w:lang w:val="fr-FR" w:eastAsia="ko-KR"/>
        </w:rPr>
        <w:t xml:space="preserve">2008 </w:t>
      </w:r>
      <w:r w:rsidR="00A41484" w:rsidRPr="002715F2">
        <w:rPr>
          <w:rFonts w:eastAsia="Batang"/>
          <w:color w:val="000000"/>
          <w:lang w:val="fr-FR" w:eastAsia="ko-KR"/>
        </w:rPr>
        <w:t>et</w:t>
      </w:r>
      <w:r w:rsidR="000078DA" w:rsidRPr="002715F2">
        <w:rPr>
          <w:rFonts w:eastAsia="Batang"/>
          <w:color w:val="000000"/>
          <w:lang w:val="fr-FR" w:eastAsia="ko-KR"/>
        </w:rPr>
        <w:t xml:space="preserve"> 2015, 523</w:t>
      </w:r>
      <w:r w:rsidR="005E3C72" w:rsidRPr="002715F2">
        <w:rPr>
          <w:rFonts w:eastAsia="Batang"/>
          <w:color w:val="000000"/>
          <w:lang w:val="fr-FR" w:eastAsia="ko-KR"/>
        </w:rPr>
        <w:t> fonctionnaires des</w:t>
      </w:r>
      <w:r w:rsidR="00A41484" w:rsidRPr="002715F2">
        <w:rPr>
          <w:rFonts w:eastAsia="Batang"/>
          <w:color w:val="000000"/>
          <w:lang w:val="fr-FR" w:eastAsia="ko-KR"/>
        </w:rPr>
        <w:t xml:space="preserve"> </w:t>
      </w:r>
      <w:r w:rsidR="0044016B" w:rsidRPr="002715F2">
        <w:rPr>
          <w:rFonts w:eastAsia="Batang"/>
          <w:color w:val="000000"/>
          <w:lang w:val="fr-FR" w:eastAsia="ko-KR"/>
        </w:rPr>
        <w:t xml:space="preserve">établissements </w:t>
      </w:r>
      <w:r w:rsidR="00730B36" w:rsidRPr="002715F2">
        <w:rPr>
          <w:rFonts w:eastAsia="Batang"/>
          <w:lang w:val="fr-FR" w:eastAsia="ko-KR"/>
        </w:rPr>
        <w:t>pénitentiaires</w:t>
      </w:r>
      <w:r w:rsidR="005E3C72" w:rsidRPr="002715F2">
        <w:rPr>
          <w:rFonts w:eastAsia="Batang" w:cs="Gulim"/>
          <w:color w:val="000000"/>
          <w:lang w:val="fr-FR" w:eastAsia="ko-KR"/>
        </w:rPr>
        <w:t xml:space="preserve"> </w:t>
      </w:r>
      <w:r w:rsidR="00A41484" w:rsidRPr="002715F2">
        <w:rPr>
          <w:rFonts w:eastAsia="Batang"/>
          <w:color w:val="000000"/>
          <w:lang w:val="fr-FR" w:eastAsia="ko-KR"/>
        </w:rPr>
        <w:t xml:space="preserve">ont été formés aux </w:t>
      </w:r>
      <w:r w:rsidR="00E97B1A" w:rsidRPr="002715F2">
        <w:rPr>
          <w:rFonts w:eastAsia="Batang"/>
          <w:color w:val="000000"/>
          <w:lang w:val="fr-FR" w:eastAsia="ko-KR"/>
        </w:rPr>
        <w:t>«</w:t>
      </w:r>
      <w:r w:rsidR="00A41484" w:rsidRPr="002715F2">
        <w:rPr>
          <w:rFonts w:eastAsia="Batang"/>
          <w:color w:val="000000"/>
          <w:lang w:val="fr-FR" w:eastAsia="ko-KR"/>
        </w:rPr>
        <w:t xml:space="preserve">Techniques </w:t>
      </w:r>
      <w:r w:rsidR="005E3C72" w:rsidRPr="002715F2">
        <w:rPr>
          <w:rFonts w:eastAsia="Batang"/>
          <w:color w:val="000000"/>
          <w:lang w:val="fr-FR" w:eastAsia="ko-KR"/>
        </w:rPr>
        <w:t>d’instruction des délinquants sexuels</w:t>
      </w:r>
      <w:r w:rsidR="00E97B1A" w:rsidRPr="002715F2">
        <w:rPr>
          <w:rFonts w:eastAsia="Batang"/>
          <w:color w:val="000000"/>
          <w:lang w:val="fr-FR" w:eastAsia="ko-KR"/>
        </w:rPr>
        <w:t>»</w:t>
      </w:r>
      <w:r w:rsidR="005E3C72" w:rsidRPr="002715F2">
        <w:rPr>
          <w:rFonts w:eastAsia="Batang"/>
          <w:color w:val="000000"/>
          <w:lang w:val="fr-FR" w:eastAsia="ko-KR"/>
        </w:rPr>
        <w:t xml:space="preserve"> et 538 </w:t>
      </w:r>
      <w:r w:rsidR="0044016B" w:rsidRPr="002715F2">
        <w:rPr>
          <w:rFonts w:eastAsia="Batang"/>
          <w:color w:val="000000"/>
          <w:lang w:val="fr-FR" w:eastAsia="ko-KR"/>
        </w:rPr>
        <w:t xml:space="preserve">fonctionnaires des structures de protection </w:t>
      </w:r>
      <w:r w:rsidR="00A41484" w:rsidRPr="002715F2">
        <w:rPr>
          <w:rFonts w:eastAsia="Batang"/>
          <w:color w:val="000000"/>
          <w:lang w:val="fr-FR" w:eastAsia="ko-KR"/>
        </w:rPr>
        <w:t>ont re</w:t>
      </w:r>
      <w:r w:rsidR="005E3C72" w:rsidRPr="002715F2">
        <w:rPr>
          <w:rFonts w:eastAsia="Batang"/>
          <w:color w:val="000000"/>
          <w:lang w:val="fr-FR" w:eastAsia="ko-KR"/>
        </w:rPr>
        <w:t xml:space="preserve">çu une formation basée sur le </w:t>
      </w:r>
      <w:r w:rsidR="00E97B1A" w:rsidRPr="002715F2">
        <w:rPr>
          <w:rFonts w:eastAsia="Batang"/>
          <w:color w:val="000000"/>
          <w:lang w:val="fr-FR" w:eastAsia="ko-KR"/>
        </w:rPr>
        <w:t>«</w:t>
      </w:r>
      <w:r w:rsidR="00A41484" w:rsidRPr="002715F2">
        <w:rPr>
          <w:rFonts w:eastAsia="Batang"/>
          <w:color w:val="000000"/>
          <w:lang w:val="fr-FR" w:eastAsia="ko-KR"/>
        </w:rPr>
        <w:t>Manuel d’</w:t>
      </w:r>
      <w:r w:rsidR="005C6D8E" w:rsidRPr="002715F2">
        <w:rPr>
          <w:rFonts w:eastAsia="Batang"/>
          <w:color w:val="000000"/>
          <w:lang w:val="fr-FR" w:eastAsia="ko-KR"/>
        </w:rPr>
        <w:t>instruction</w:t>
      </w:r>
      <w:r w:rsidR="00A41484" w:rsidRPr="002715F2">
        <w:rPr>
          <w:rFonts w:eastAsia="Batang"/>
          <w:color w:val="000000"/>
          <w:lang w:val="fr-FR" w:eastAsia="ko-KR"/>
        </w:rPr>
        <w:t xml:space="preserve"> et de supervision des délinquants sexuels</w:t>
      </w:r>
      <w:r w:rsidR="00E97B1A" w:rsidRPr="002715F2">
        <w:rPr>
          <w:rFonts w:eastAsia="Batang"/>
          <w:color w:val="000000"/>
          <w:lang w:val="fr-FR" w:eastAsia="ko-KR"/>
        </w:rPr>
        <w:t>»</w:t>
      </w:r>
      <w:r w:rsidR="000078DA" w:rsidRPr="002715F2">
        <w:rPr>
          <w:rFonts w:eastAsia="Batang"/>
          <w:color w:val="000000"/>
          <w:lang w:val="fr-FR" w:eastAsia="ko-KR"/>
        </w:rPr>
        <w:t>.</w:t>
      </w:r>
      <w:r w:rsidR="005E3C72" w:rsidRPr="002715F2">
        <w:rPr>
          <w:rFonts w:eastAsia="Batang"/>
          <w:color w:val="000000"/>
          <w:lang w:val="fr-FR" w:eastAsia="ko-KR"/>
        </w:rPr>
        <w:t xml:space="preserve"> De surcro</w:t>
      </w:r>
      <w:r w:rsidR="0044016B" w:rsidRPr="002715F2">
        <w:rPr>
          <w:rFonts w:eastAsia="Batang"/>
          <w:color w:val="000000"/>
          <w:lang w:val="fr-FR" w:eastAsia="ko-KR"/>
        </w:rPr>
        <w:t>î</w:t>
      </w:r>
      <w:r w:rsidR="005E3C72" w:rsidRPr="002715F2">
        <w:rPr>
          <w:rFonts w:eastAsia="Batang"/>
          <w:color w:val="000000"/>
          <w:lang w:val="fr-FR" w:eastAsia="ko-KR"/>
        </w:rPr>
        <w:t>t, 3 908 </w:t>
      </w:r>
      <w:r w:rsidR="00A41484" w:rsidRPr="002715F2">
        <w:rPr>
          <w:rFonts w:eastAsia="Batang"/>
          <w:color w:val="000000"/>
          <w:lang w:val="fr-FR" w:eastAsia="ko-KR"/>
        </w:rPr>
        <w:t xml:space="preserve">fonctionnaires (procureurs, enquêteurs des parquets, </w:t>
      </w:r>
      <w:r w:rsidR="005E3C72" w:rsidRPr="002715F2">
        <w:rPr>
          <w:rFonts w:eastAsia="Batang"/>
          <w:color w:val="000000"/>
          <w:lang w:val="fr-FR" w:eastAsia="ko-KR"/>
        </w:rPr>
        <w:t>personnel</w:t>
      </w:r>
      <w:r w:rsidR="00A41484" w:rsidRPr="002715F2">
        <w:rPr>
          <w:rFonts w:eastAsia="Batang"/>
          <w:color w:val="000000"/>
          <w:lang w:val="fr-FR" w:eastAsia="ko-KR"/>
        </w:rPr>
        <w:t xml:space="preserve"> de</w:t>
      </w:r>
      <w:r w:rsidR="005E3C72" w:rsidRPr="002715F2">
        <w:rPr>
          <w:rFonts w:eastAsia="Batang"/>
          <w:color w:val="000000"/>
          <w:lang w:val="fr-FR" w:eastAsia="ko-KR"/>
        </w:rPr>
        <w:t xml:space="preserve">s établissements </w:t>
      </w:r>
      <w:r w:rsidR="00730B36" w:rsidRPr="002715F2">
        <w:rPr>
          <w:rFonts w:eastAsia="Batang"/>
          <w:lang w:val="fr-FR" w:eastAsia="ko-KR"/>
        </w:rPr>
        <w:t>pénitentiaires</w:t>
      </w:r>
      <w:r w:rsidR="0044016B" w:rsidRPr="002715F2">
        <w:rPr>
          <w:rFonts w:eastAsia="Batang"/>
          <w:color w:val="000000"/>
          <w:lang w:val="fr-FR" w:eastAsia="ko-KR"/>
        </w:rPr>
        <w:t xml:space="preserve"> et des structures de protection</w:t>
      </w:r>
      <w:r w:rsidR="00A41484" w:rsidRPr="002715F2">
        <w:rPr>
          <w:rFonts w:eastAsia="Batang"/>
          <w:color w:val="000000"/>
          <w:lang w:val="fr-FR" w:eastAsia="ko-KR"/>
        </w:rPr>
        <w:t xml:space="preserve">, etc.) ont suivi une formation en ligne </w:t>
      </w:r>
      <w:r w:rsidR="00984C16" w:rsidRPr="002715F2">
        <w:rPr>
          <w:rFonts w:eastAsia="Batang"/>
          <w:color w:val="000000"/>
          <w:lang w:val="fr-FR" w:eastAsia="ko-KR"/>
        </w:rPr>
        <w:t xml:space="preserve">d’un </w:t>
      </w:r>
      <w:r w:rsidR="00A41484" w:rsidRPr="002715F2">
        <w:rPr>
          <w:rFonts w:eastAsia="Batang"/>
          <w:color w:val="000000"/>
          <w:lang w:val="fr-FR" w:eastAsia="ko-KR"/>
        </w:rPr>
        <w:t>an entre 2010 et 2015</w:t>
      </w:r>
      <w:r w:rsidR="00F60999" w:rsidRPr="002715F2">
        <w:rPr>
          <w:rFonts w:eastAsia="Batang"/>
          <w:color w:val="000000"/>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60.</w:t>
      </w:r>
      <w:r w:rsidRPr="002715F2">
        <w:rPr>
          <w:rFonts w:eastAsia="Batang"/>
          <w:lang w:val="fr-FR" w:eastAsia="ko-KR"/>
        </w:rPr>
        <w:tab/>
      </w:r>
      <w:r w:rsidR="000C5BEB" w:rsidRPr="002715F2">
        <w:rPr>
          <w:rFonts w:eastAsia="Malgun Gothic"/>
          <w:kern w:val="2"/>
          <w:szCs w:val="22"/>
          <w:lang w:val="fr-FR" w:eastAsia="ko-KR"/>
        </w:rPr>
        <w:t>Le</w:t>
      </w:r>
      <w:r w:rsidR="00070F89" w:rsidRPr="002715F2">
        <w:rPr>
          <w:rFonts w:eastAsia="Malgun Gothic"/>
          <w:kern w:val="2"/>
          <w:szCs w:val="22"/>
          <w:lang w:val="fr-FR" w:eastAsia="ko-KR"/>
        </w:rPr>
        <w:t xml:space="preserve">s tribunaux </w:t>
      </w:r>
      <w:r w:rsidR="000C5BEB" w:rsidRPr="002715F2">
        <w:rPr>
          <w:rFonts w:eastAsia="Malgun Gothic"/>
          <w:kern w:val="2"/>
          <w:szCs w:val="22"/>
          <w:lang w:val="fr-FR" w:eastAsia="ko-KR"/>
        </w:rPr>
        <w:t>propose</w:t>
      </w:r>
      <w:r w:rsidR="00070F89" w:rsidRPr="002715F2">
        <w:rPr>
          <w:rFonts w:eastAsia="Malgun Gothic"/>
          <w:kern w:val="2"/>
          <w:szCs w:val="22"/>
          <w:lang w:val="fr-FR" w:eastAsia="ko-KR"/>
        </w:rPr>
        <w:t>nt</w:t>
      </w:r>
      <w:r w:rsidR="000C5BEB" w:rsidRPr="002715F2">
        <w:rPr>
          <w:rFonts w:eastAsia="Malgun Gothic"/>
          <w:kern w:val="2"/>
          <w:szCs w:val="22"/>
          <w:lang w:val="fr-FR" w:eastAsia="ko-KR"/>
        </w:rPr>
        <w:t xml:space="preserve"> des sessions de formation </w:t>
      </w:r>
      <w:r w:rsidR="00070F89" w:rsidRPr="002715F2">
        <w:rPr>
          <w:rFonts w:eastAsia="Malgun Gothic"/>
          <w:kern w:val="2"/>
          <w:szCs w:val="22"/>
          <w:lang w:val="fr-FR" w:eastAsia="ko-KR"/>
        </w:rPr>
        <w:t>à l’intention des</w:t>
      </w:r>
      <w:r w:rsidR="000C5BEB" w:rsidRPr="002715F2">
        <w:rPr>
          <w:rFonts w:eastAsia="Malgun Gothic"/>
          <w:kern w:val="2"/>
          <w:szCs w:val="22"/>
          <w:lang w:val="fr-FR" w:eastAsia="ko-KR"/>
        </w:rPr>
        <w:t xml:space="preserve"> juges qui </w:t>
      </w:r>
      <w:r w:rsidR="00070F89" w:rsidRPr="002715F2">
        <w:rPr>
          <w:rFonts w:eastAsia="Malgun Gothic"/>
          <w:kern w:val="2"/>
          <w:szCs w:val="22"/>
          <w:lang w:val="fr-FR" w:eastAsia="ko-KR"/>
        </w:rPr>
        <w:t>travaillent</w:t>
      </w:r>
      <w:r w:rsidR="000C5BEB" w:rsidRPr="002715F2">
        <w:rPr>
          <w:rFonts w:eastAsia="Malgun Gothic"/>
          <w:kern w:val="2"/>
          <w:szCs w:val="22"/>
          <w:lang w:val="fr-FR" w:eastAsia="ko-KR"/>
        </w:rPr>
        <w:t xml:space="preserve"> exclusivement </w:t>
      </w:r>
      <w:r w:rsidR="00070F89" w:rsidRPr="002715F2">
        <w:rPr>
          <w:rFonts w:eastAsia="Batang"/>
          <w:lang w:val="fr-FR" w:eastAsia="ko-KR"/>
        </w:rPr>
        <w:t xml:space="preserve">sur des affaires </w:t>
      </w:r>
      <w:r w:rsidR="000E0789" w:rsidRPr="002715F2">
        <w:rPr>
          <w:rFonts w:eastAsia="Batang"/>
          <w:lang w:val="fr-FR" w:eastAsia="ko-KR"/>
        </w:rPr>
        <w:t>de violences sexuelles</w:t>
      </w:r>
      <w:r w:rsidR="00FF4FA4" w:rsidRPr="002715F2">
        <w:rPr>
          <w:rFonts w:eastAsia="Batang"/>
          <w:lang w:val="fr-FR" w:eastAsia="ko-KR"/>
        </w:rPr>
        <w:t>,</w:t>
      </w:r>
      <w:r w:rsidR="000C5BEB" w:rsidRPr="002715F2">
        <w:rPr>
          <w:rFonts w:eastAsia="Batang"/>
          <w:lang w:val="fr-FR" w:eastAsia="ko-KR"/>
        </w:rPr>
        <w:t xml:space="preserve"> ainsi que des séminaires destin</w:t>
      </w:r>
      <w:r w:rsidR="00070F89" w:rsidRPr="002715F2">
        <w:rPr>
          <w:rFonts w:eastAsia="Batang"/>
          <w:lang w:val="fr-FR" w:eastAsia="ko-KR"/>
        </w:rPr>
        <w:t>é</w:t>
      </w:r>
      <w:r w:rsidR="000C5BEB" w:rsidRPr="002715F2">
        <w:rPr>
          <w:rFonts w:eastAsia="Batang"/>
          <w:lang w:val="fr-FR" w:eastAsia="ko-KR"/>
        </w:rPr>
        <w:t>s à tous les juges</w:t>
      </w:r>
      <w:r w:rsidR="00FF4FA4" w:rsidRPr="002715F2">
        <w:rPr>
          <w:rFonts w:eastAsia="Batang"/>
          <w:lang w:val="fr-FR" w:eastAsia="ko-KR"/>
        </w:rPr>
        <w:t>,</w:t>
      </w:r>
      <w:r w:rsidR="000C5BEB" w:rsidRPr="002715F2">
        <w:rPr>
          <w:rFonts w:eastAsia="Batang"/>
          <w:lang w:val="fr-FR" w:eastAsia="ko-KR"/>
        </w:rPr>
        <w:t xml:space="preserve"> afin de les sensibiliser aux violence</w:t>
      </w:r>
      <w:r w:rsidR="00070F89" w:rsidRPr="002715F2">
        <w:rPr>
          <w:rFonts w:eastAsia="Batang"/>
          <w:lang w:val="fr-FR" w:eastAsia="ko-KR"/>
        </w:rPr>
        <w:t>s</w:t>
      </w:r>
      <w:r w:rsidR="000C5BEB" w:rsidRPr="002715F2">
        <w:rPr>
          <w:rFonts w:eastAsia="Batang"/>
          <w:lang w:val="fr-FR" w:eastAsia="ko-KR"/>
        </w:rPr>
        <w:t xml:space="preserve"> familiale</w:t>
      </w:r>
      <w:r w:rsidR="00070F89" w:rsidRPr="002715F2">
        <w:rPr>
          <w:rFonts w:eastAsia="Batang"/>
          <w:lang w:val="fr-FR" w:eastAsia="ko-KR"/>
        </w:rPr>
        <w:t>s</w:t>
      </w:r>
      <w:r w:rsidR="000C5BEB" w:rsidRPr="002715F2">
        <w:rPr>
          <w:rFonts w:eastAsia="Batang"/>
          <w:lang w:val="fr-FR" w:eastAsia="ko-KR"/>
        </w:rPr>
        <w:t xml:space="preserve"> et sexuelle</w:t>
      </w:r>
      <w:r w:rsidR="00070F89" w:rsidRPr="002715F2">
        <w:rPr>
          <w:rFonts w:eastAsia="Batang"/>
          <w:lang w:val="fr-FR" w:eastAsia="ko-KR"/>
        </w:rPr>
        <w:t>s</w:t>
      </w:r>
      <w:r w:rsidR="000078DA" w:rsidRPr="002715F2">
        <w:rPr>
          <w:rFonts w:eastAsia="Batang"/>
          <w:lang w:val="fr-FR" w:eastAsia="ko-KR"/>
        </w:rPr>
        <w:t xml:space="preserve">. </w:t>
      </w:r>
      <w:r w:rsidR="000C5BEB" w:rsidRPr="002715F2">
        <w:rPr>
          <w:rFonts w:eastAsia="Batang"/>
          <w:lang w:val="fr-FR" w:eastAsia="ko-KR"/>
        </w:rPr>
        <w:t xml:space="preserve">Les juges peuvent également partager des informations et </w:t>
      </w:r>
      <w:r w:rsidR="00710884" w:rsidRPr="002715F2">
        <w:rPr>
          <w:rFonts w:eastAsia="Batang"/>
          <w:lang w:val="fr-FR" w:eastAsia="ko-KR"/>
        </w:rPr>
        <w:t>se concerter</w:t>
      </w:r>
      <w:r w:rsidR="000C5BEB" w:rsidRPr="002715F2">
        <w:rPr>
          <w:rFonts w:eastAsia="Batang"/>
          <w:lang w:val="fr-FR" w:eastAsia="ko-KR"/>
        </w:rPr>
        <w:t xml:space="preserve"> sur ces questions via </w:t>
      </w:r>
      <w:r w:rsidR="000E0789" w:rsidRPr="002715F2">
        <w:rPr>
          <w:rFonts w:eastAsia="Batang"/>
          <w:lang w:val="fr-FR" w:eastAsia="ko-KR"/>
        </w:rPr>
        <w:t>l’</w:t>
      </w:r>
      <w:r w:rsidR="0023531A" w:rsidRPr="002715F2">
        <w:rPr>
          <w:rFonts w:eastAsia="Batang"/>
          <w:lang w:val="fr-FR" w:eastAsia="ko-KR"/>
        </w:rPr>
        <w:t>I</w:t>
      </w:r>
      <w:r w:rsidR="000E0789" w:rsidRPr="002715F2">
        <w:rPr>
          <w:rFonts w:eastAsia="Batang"/>
          <w:lang w:val="fr-FR" w:eastAsia="ko-KR"/>
        </w:rPr>
        <w:t>ntranet</w:t>
      </w:r>
      <w:r w:rsidR="000C5BEB" w:rsidRPr="002715F2">
        <w:rPr>
          <w:rFonts w:eastAsia="Batang"/>
          <w:lang w:val="fr-FR" w:eastAsia="ko-KR"/>
        </w:rPr>
        <w:t xml:space="preserve"> </w:t>
      </w:r>
      <w:r w:rsidR="00710884" w:rsidRPr="002715F2">
        <w:rPr>
          <w:rFonts w:eastAsia="Batang"/>
          <w:lang w:val="fr-FR" w:eastAsia="ko-KR"/>
        </w:rPr>
        <w:t>des</w:t>
      </w:r>
      <w:r w:rsidR="000C5BEB" w:rsidRPr="002715F2">
        <w:rPr>
          <w:rFonts w:eastAsia="Batang"/>
          <w:lang w:val="fr-FR" w:eastAsia="ko-KR"/>
        </w:rPr>
        <w:t xml:space="preserve"> </w:t>
      </w:r>
      <w:r w:rsidR="000C5BEB" w:rsidRPr="002715F2">
        <w:rPr>
          <w:rFonts w:eastAsia="Malgun Gothic"/>
          <w:kern w:val="2"/>
          <w:szCs w:val="22"/>
          <w:lang w:val="fr-FR" w:eastAsia="ko-KR"/>
        </w:rPr>
        <w:t>tribuna</w:t>
      </w:r>
      <w:r w:rsidR="00710884" w:rsidRPr="002715F2">
        <w:rPr>
          <w:rFonts w:eastAsia="Malgun Gothic"/>
          <w:kern w:val="2"/>
          <w:szCs w:val="22"/>
          <w:lang w:val="fr-FR" w:eastAsia="ko-KR"/>
        </w:rPr>
        <w:t>ux</w:t>
      </w:r>
      <w:r w:rsidR="00F60999" w:rsidRPr="002715F2">
        <w:rPr>
          <w:rFonts w:eastAsia="Batang"/>
          <w:lang w:val="fr-FR" w:eastAsia="ko-KR"/>
        </w:rPr>
        <w:t>.</w:t>
      </w:r>
    </w:p>
    <w:p w:rsidR="000078DA" w:rsidRPr="002715F2" w:rsidRDefault="007026FB" w:rsidP="007026FB">
      <w:pPr>
        <w:pStyle w:val="SingleTxtG"/>
        <w:rPr>
          <w:rFonts w:eastAsia="HyhwpEQ"/>
          <w:lang w:val="fr-FR"/>
        </w:rPr>
      </w:pPr>
      <w:r w:rsidRPr="002715F2">
        <w:rPr>
          <w:rFonts w:eastAsia="HyhwpEQ"/>
          <w:lang w:val="fr-FR"/>
        </w:rPr>
        <w:t>61.</w:t>
      </w:r>
      <w:r w:rsidRPr="002715F2">
        <w:rPr>
          <w:rFonts w:eastAsia="HyhwpEQ"/>
          <w:lang w:val="fr-FR"/>
        </w:rPr>
        <w:tab/>
      </w:r>
      <w:r w:rsidR="000C5BEB" w:rsidRPr="002715F2">
        <w:rPr>
          <w:rFonts w:eastAsia="HyhwpEQ"/>
          <w:lang w:val="fr-FR"/>
        </w:rPr>
        <w:t xml:space="preserve">Dans les établissements de formation des </w:t>
      </w:r>
      <w:r w:rsidR="005C6D8E" w:rsidRPr="002715F2">
        <w:rPr>
          <w:rFonts w:eastAsia="HyhwpEQ"/>
          <w:lang w:val="fr-FR"/>
        </w:rPr>
        <w:t>fonctionnaires</w:t>
      </w:r>
      <w:r w:rsidR="00072DE6" w:rsidRPr="002715F2">
        <w:rPr>
          <w:rFonts w:eastAsia="HyhwpEQ"/>
          <w:lang w:val="fr-FR"/>
        </w:rPr>
        <w:t xml:space="preserve"> de police</w:t>
      </w:r>
      <w:r w:rsidR="000C5BEB" w:rsidRPr="002715F2">
        <w:rPr>
          <w:rFonts w:eastAsia="HyhwpEQ"/>
          <w:lang w:val="fr-FR"/>
        </w:rPr>
        <w:t xml:space="preserve">, les </w:t>
      </w:r>
      <w:r w:rsidR="002402F4" w:rsidRPr="002715F2">
        <w:rPr>
          <w:rFonts w:eastAsia="Batang"/>
          <w:lang w:val="fr-FR" w:eastAsia="ko-KR"/>
        </w:rPr>
        <w:t xml:space="preserve">officiers de </w:t>
      </w:r>
      <w:r w:rsidR="000C5BEB" w:rsidRPr="002715F2">
        <w:rPr>
          <w:rFonts w:eastAsia="HyhwpEQ"/>
          <w:lang w:val="fr-FR"/>
        </w:rPr>
        <w:t>police judiciaire chargés de</w:t>
      </w:r>
      <w:r w:rsidR="000E0789" w:rsidRPr="002715F2">
        <w:rPr>
          <w:rFonts w:eastAsia="HyhwpEQ"/>
          <w:lang w:val="fr-FR"/>
        </w:rPr>
        <w:t xml:space="preserve"> traiter le</w:t>
      </w:r>
      <w:r w:rsidR="000C5BEB" w:rsidRPr="002715F2">
        <w:rPr>
          <w:rFonts w:eastAsia="HyhwpEQ"/>
          <w:lang w:val="fr-FR"/>
        </w:rPr>
        <w:t>s cas de violence</w:t>
      </w:r>
      <w:r w:rsidR="00E4080B" w:rsidRPr="002715F2">
        <w:rPr>
          <w:rFonts w:eastAsia="HyhwpEQ"/>
          <w:lang w:val="fr-FR"/>
        </w:rPr>
        <w:t>s</w:t>
      </w:r>
      <w:r w:rsidR="000C5BEB" w:rsidRPr="002715F2">
        <w:rPr>
          <w:rFonts w:eastAsia="HyhwpEQ"/>
          <w:lang w:val="fr-FR"/>
        </w:rPr>
        <w:t xml:space="preserve"> sexuelle</w:t>
      </w:r>
      <w:r w:rsidR="00E4080B" w:rsidRPr="002715F2">
        <w:rPr>
          <w:rFonts w:eastAsia="HyhwpEQ"/>
          <w:lang w:val="fr-FR"/>
        </w:rPr>
        <w:t>s</w:t>
      </w:r>
      <w:r w:rsidR="000C5BEB" w:rsidRPr="002715F2">
        <w:rPr>
          <w:rFonts w:eastAsia="HyhwpEQ"/>
          <w:lang w:val="fr-FR"/>
        </w:rPr>
        <w:t xml:space="preserve"> suivent des formation</w:t>
      </w:r>
      <w:r w:rsidR="00E8489A" w:rsidRPr="002715F2">
        <w:rPr>
          <w:rFonts w:eastAsia="HyhwpEQ"/>
          <w:lang w:val="fr-FR"/>
        </w:rPr>
        <w:t>s</w:t>
      </w:r>
      <w:r w:rsidR="000C5BEB" w:rsidRPr="002715F2">
        <w:rPr>
          <w:rFonts w:eastAsia="HyhwpEQ"/>
          <w:lang w:val="fr-FR"/>
        </w:rPr>
        <w:t xml:space="preserve"> </w:t>
      </w:r>
      <w:r w:rsidR="00E4080B" w:rsidRPr="002715F2">
        <w:rPr>
          <w:rFonts w:eastAsia="HyhwpEQ"/>
          <w:lang w:val="fr-FR"/>
        </w:rPr>
        <w:t>sur les</w:t>
      </w:r>
      <w:r w:rsidR="000C5BEB" w:rsidRPr="002715F2">
        <w:rPr>
          <w:rFonts w:eastAsia="HyhwpEQ"/>
          <w:lang w:val="fr-FR"/>
        </w:rPr>
        <w:t xml:space="preserve"> procédures d’enquête et </w:t>
      </w:r>
      <w:r w:rsidR="00E4080B" w:rsidRPr="002715F2">
        <w:rPr>
          <w:rFonts w:eastAsia="HyhwpEQ"/>
          <w:lang w:val="fr-FR"/>
        </w:rPr>
        <w:t>le</w:t>
      </w:r>
      <w:r w:rsidR="000E0789" w:rsidRPr="002715F2">
        <w:rPr>
          <w:rFonts w:eastAsia="HyhwpEQ"/>
          <w:lang w:val="fr-FR"/>
        </w:rPr>
        <w:t xml:space="preserve"> système d’aide </w:t>
      </w:r>
      <w:r w:rsidR="000C5BEB" w:rsidRPr="002715F2">
        <w:rPr>
          <w:rFonts w:eastAsia="HyhwpEQ"/>
          <w:lang w:val="fr-FR"/>
        </w:rPr>
        <w:t>aux victimes afin de</w:t>
      </w:r>
      <w:r w:rsidR="00E4080B" w:rsidRPr="002715F2">
        <w:rPr>
          <w:rFonts w:eastAsia="HyhwpEQ"/>
          <w:lang w:val="fr-FR"/>
        </w:rPr>
        <w:t xml:space="preserve"> </w:t>
      </w:r>
      <w:r w:rsidR="000C5BEB" w:rsidRPr="002715F2">
        <w:rPr>
          <w:rFonts w:eastAsia="HyhwpEQ"/>
          <w:lang w:val="fr-FR"/>
        </w:rPr>
        <w:t xml:space="preserve">les sensibiliser </w:t>
      </w:r>
      <w:r w:rsidR="00E4080B" w:rsidRPr="002715F2">
        <w:rPr>
          <w:rFonts w:eastAsia="HyhwpEQ"/>
          <w:lang w:val="fr-FR"/>
        </w:rPr>
        <w:t xml:space="preserve">davantage </w:t>
      </w:r>
      <w:r w:rsidR="000C5BEB" w:rsidRPr="002715F2">
        <w:rPr>
          <w:rFonts w:eastAsia="HyhwpEQ"/>
          <w:lang w:val="fr-FR"/>
        </w:rPr>
        <w:t xml:space="preserve">aux violences sexuelles et </w:t>
      </w:r>
      <w:r w:rsidR="00E70AB1" w:rsidRPr="002715F2">
        <w:rPr>
          <w:rFonts w:eastAsia="HyhwpEQ"/>
          <w:lang w:val="fr-FR"/>
        </w:rPr>
        <w:t>de</w:t>
      </w:r>
      <w:r w:rsidR="00E8489A" w:rsidRPr="002715F2">
        <w:rPr>
          <w:rFonts w:eastAsia="HyhwpEQ"/>
          <w:lang w:val="fr-FR"/>
        </w:rPr>
        <w:t xml:space="preserve"> </w:t>
      </w:r>
      <w:r w:rsidR="00E70AB1" w:rsidRPr="002715F2">
        <w:rPr>
          <w:rFonts w:eastAsia="HyhwpEQ"/>
          <w:lang w:val="fr-FR"/>
        </w:rPr>
        <w:t>protéger l</w:t>
      </w:r>
      <w:r w:rsidR="000C5BEB" w:rsidRPr="002715F2">
        <w:rPr>
          <w:rFonts w:eastAsia="HyhwpEQ"/>
          <w:lang w:val="fr-FR"/>
        </w:rPr>
        <w:t>es victimes</w:t>
      </w:r>
      <w:r w:rsidR="00F60999" w:rsidRPr="002715F2">
        <w:rPr>
          <w:rFonts w:eastAsia="HyhwpEQ"/>
          <w:lang w:val="fr-FR"/>
        </w:rPr>
        <w:t>.</w:t>
      </w:r>
    </w:p>
    <w:p w:rsidR="000078DA" w:rsidRPr="002715F2" w:rsidRDefault="007026FB" w:rsidP="007026FB">
      <w:pPr>
        <w:pStyle w:val="SingleTxtG"/>
        <w:rPr>
          <w:rFonts w:eastAsia="Batang"/>
          <w:lang w:val="fr-FR" w:eastAsia="ko-KR"/>
        </w:rPr>
      </w:pPr>
      <w:r w:rsidRPr="002715F2">
        <w:rPr>
          <w:rFonts w:eastAsia="Batang"/>
          <w:lang w:val="fr-FR" w:eastAsia="ko-KR"/>
        </w:rPr>
        <w:t>62.</w:t>
      </w:r>
      <w:r w:rsidRPr="002715F2">
        <w:rPr>
          <w:rFonts w:eastAsia="Batang"/>
          <w:lang w:val="fr-FR" w:eastAsia="ko-KR"/>
        </w:rPr>
        <w:tab/>
      </w:r>
      <w:r w:rsidR="003A69CE" w:rsidRPr="002715F2">
        <w:rPr>
          <w:rFonts w:eastAsia="Malgun Gothic"/>
          <w:kern w:val="2"/>
          <w:szCs w:val="22"/>
          <w:lang w:val="fr-FR" w:eastAsia="ko-KR"/>
        </w:rPr>
        <w:t>Le</w:t>
      </w:r>
      <w:r w:rsidR="000078DA" w:rsidRPr="002715F2">
        <w:rPr>
          <w:rFonts w:eastAsia="Batang"/>
          <w:lang w:val="fr-FR" w:eastAsia="ko-KR"/>
        </w:rPr>
        <w:t xml:space="preserve"> </w:t>
      </w:r>
      <w:r w:rsidR="006A0590" w:rsidRPr="002715F2">
        <w:rPr>
          <w:rFonts w:eastAsia="Batang"/>
          <w:lang w:val="fr-FR" w:eastAsia="ko-KR"/>
        </w:rPr>
        <w:t>Ministère de la défense nationale</w:t>
      </w:r>
      <w:r w:rsidR="000078DA" w:rsidRPr="002715F2">
        <w:rPr>
          <w:rFonts w:eastAsia="Batang"/>
          <w:lang w:val="fr-FR" w:eastAsia="ko-KR"/>
        </w:rPr>
        <w:t xml:space="preserve"> </w:t>
      </w:r>
      <w:r w:rsidR="003A69CE" w:rsidRPr="002715F2">
        <w:rPr>
          <w:rFonts w:eastAsia="Batang"/>
          <w:lang w:val="fr-FR" w:eastAsia="ko-KR"/>
        </w:rPr>
        <w:t xml:space="preserve">a nommé des instructeurs </w:t>
      </w:r>
      <w:r w:rsidR="006A0590" w:rsidRPr="002715F2">
        <w:rPr>
          <w:rFonts w:eastAsia="Batang"/>
          <w:lang w:val="fr-FR" w:eastAsia="ko-KR"/>
        </w:rPr>
        <w:t>chargés de</w:t>
      </w:r>
      <w:r w:rsidR="003A69CE" w:rsidRPr="002715F2">
        <w:rPr>
          <w:rFonts w:eastAsia="Batang"/>
          <w:lang w:val="fr-FR" w:eastAsia="ko-KR"/>
        </w:rPr>
        <w:t xml:space="preserve"> prévenir les violences sexuelles au sein de</w:t>
      </w:r>
      <w:r w:rsidR="006A0590" w:rsidRPr="002715F2">
        <w:rPr>
          <w:rFonts w:eastAsia="Batang"/>
          <w:lang w:val="fr-FR" w:eastAsia="ko-KR"/>
        </w:rPr>
        <w:t xml:space="preserve">s forces </w:t>
      </w:r>
      <w:r w:rsidR="003A69CE" w:rsidRPr="002715F2">
        <w:rPr>
          <w:rFonts w:eastAsia="Batang"/>
          <w:lang w:val="fr-FR" w:eastAsia="ko-KR"/>
        </w:rPr>
        <w:t>armée</w:t>
      </w:r>
      <w:r w:rsidR="006A0590" w:rsidRPr="002715F2">
        <w:rPr>
          <w:rFonts w:eastAsia="Batang"/>
          <w:lang w:val="fr-FR" w:eastAsia="ko-KR"/>
        </w:rPr>
        <w:t>s</w:t>
      </w:r>
      <w:r w:rsidR="003A69CE" w:rsidRPr="002715F2">
        <w:rPr>
          <w:rFonts w:eastAsia="Batang"/>
          <w:lang w:val="fr-FR" w:eastAsia="ko-KR"/>
        </w:rPr>
        <w:t xml:space="preserve"> conformément à la Directive sur la gestion des unités</w:t>
      </w:r>
      <w:r w:rsidR="000078DA" w:rsidRPr="002715F2">
        <w:rPr>
          <w:rFonts w:eastAsia="Batang"/>
          <w:lang w:val="fr-FR" w:eastAsia="ko-KR"/>
        </w:rPr>
        <w:t xml:space="preserve">. </w:t>
      </w:r>
      <w:r w:rsidR="006A0590" w:rsidRPr="002715F2">
        <w:rPr>
          <w:rFonts w:eastAsia="Batang"/>
          <w:lang w:val="fr-FR" w:eastAsia="ko-KR"/>
        </w:rPr>
        <w:t>Une éducation</w:t>
      </w:r>
      <w:r w:rsidR="003A69CE" w:rsidRPr="002715F2">
        <w:rPr>
          <w:rFonts w:eastAsia="Batang"/>
          <w:lang w:val="fr-FR" w:eastAsia="ko-KR"/>
        </w:rPr>
        <w:t xml:space="preserve"> </w:t>
      </w:r>
      <w:r w:rsidR="00BC7CF5" w:rsidRPr="002715F2">
        <w:rPr>
          <w:rFonts w:eastAsia="Batang"/>
          <w:lang w:val="fr-FR" w:eastAsia="ko-KR"/>
        </w:rPr>
        <w:t>en matière de</w:t>
      </w:r>
      <w:r w:rsidR="003A69CE" w:rsidRPr="002715F2">
        <w:rPr>
          <w:rFonts w:eastAsia="Batang"/>
          <w:lang w:val="fr-FR" w:eastAsia="ko-KR"/>
        </w:rPr>
        <w:t xml:space="preserve"> prévention des violences sexuelles </w:t>
      </w:r>
      <w:r w:rsidR="006A0590" w:rsidRPr="002715F2">
        <w:rPr>
          <w:rFonts w:eastAsia="Batang"/>
          <w:lang w:val="fr-FR" w:eastAsia="ko-KR"/>
        </w:rPr>
        <w:t>est</w:t>
      </w:r>
      <w:r w:rsidR="003A69CE" w:rsidRPr="002715F2">
        <w:rPr>
          <w:rFonts w:eastAsia="Batang"/>
          <w:lang w:val="fr-FR" w:eastAsia="ko-KR"/>
        </w:rPr>
        <w:t xml:space="preserve"> </w:t>
      </w:r>
      <w:r w:rsidR="006A0590" w:rsidRPr="002715F2">
        <w:rPr>
          <w:rFonts w:eastAsia="Batang"/>
          <w:lang w:val="fr-FR" w:eastAsia="ko-KR"/>
        </w:rPr>
        <w:t>régulièrement dispensée</w:t>
      </w:r>
      <w:r w:rsidR="003A69CE" w:rsidRPr="002715F2">
        <w:rPr>
          <w:rFonts w:eastAsia="Batang"/>
          <w:lang w:val="fr-FR" w:eastAsia="ko-KR"/>
        </w:rPr>
        <w:t xml:space="preserve">. Une formation intensive est également </w:t>
      </w:r>
      <w:r w:rsidR="00786CC5" w:rsidRPr="002715F2">
        <w:rPr>
          <w:rFonts w:eastAsia="Batang"/>
          <w:lang w:val="fr-FR" w:eastAsia="ko-KR"/>
        </w:rPr>
        <w:t>assurée</w:t>
      </w:r>
      <w:r w:rsidR="00BC7CF5" w:rsidRPr="002715F2">
        <w:rPr>
          <w:rFonts w:eastAsia="Batang"/>
          <w:lang w:val="fr-FR" w:eastAsia="ko-KR"/>
        </w:rPr>
        <w:t xml:space="preserve"> pour </w:t>
      </w:r>
      <w:r w:rsidR="007B4A59" w:rsidRPr="002715F2">
        <w:rPr>
          <w:rFonts w:eastAsia="Batang"/>
          <w:lang w:val="fr-FR" w:eastAsia="ko-KR"/>
        </w:rPr>
        <w:t xml:space="preserve">consolider </w:t>
      </w:r>
      <w:r w:rsidR="0049408A" w:rsidRPr="002715F2">
        <w:rPr>
          <w:rFonts w:eastAsia="Batang"/>
          <w:lang w:val="fr-FR" w:eastAsia="ko-KR"/>
        </w:rPr>
        <w:t xml:space="preserve">les </w:t>
      </w:r>
      <w:r w:rsidR="009966B6" w:rsidRPr="002715F2">
        <w:rPr>
          <w:rFonts w:eastAsia="Batang"/>
          <w:lang w:val="fr-FR" w:eastAsia="ko-KR"/>
        </w:rPr>
        <w:t>acquis</w:t>
      </w:r>
      <w:r w:rsidR="000078DA" w:rsidRPr="002715F2">
        <w:rPr>
          <w:rFonts w:eastAsia="Batang"/>
          <w:lang w:val="fr-FR" w:eastAsia="ko-KR"/>
        </w:rPr>
        <w:t xml:space="preserve">. </w:t>
      </w:r>
      <w:r w:rsidR="00BC7CF5" w:rsidRPr="002715F2">
        <w:rPr>
          <w:rFonts w:eastAsia="Batang"/>
          <w:lang w:val="fr-FR" w:eastAsia="ko-KR"/>
        </w:rPr>
        <w:t xml:space="preserve">Des organismes extérieurs </w:t>
      </w:r>
      <w:r w:rsidR="007B4A59" w:rsidRPr="002715F2">
        <w:rPr>
          <w:rFonts w:eastAsia="Batang"/>
          <w:lang w:val="fr-FR" w:eastAsia="ko-KR"/>
        </w:rPr>
        <w:t>sont chargés de dispenser u</w:t>
      </w:r>
      <w:r w:rsidR="00786CC5" w:rsidRPr="002715F2">
        <w:rPr>
          <w:rFonts w:eastAsia="Batang"/>
          <w:lang w:val="fr-FR" w:eastAsia="ko-KR"/>
        </w:rPr>
        <w:t xml:space="preserve">ne formation aux sexospécificités </w:t>
      </w:r>
      <w:r w:rsidR="00BC7CF5" w:rsidRPr="002715F2">
        <w:rPr>
          <w:rFonts w:eastAsia="Batang"/>
          <w:lang w:val="fr-FR" w:eastAsia="ko-KR"/>
        </w:rPr>
        <w:t>adaptée à</w:t>
      </w:r>
      <w:r w:rsidR="00786CC5" w:rsidRPr="002715F2">
        <w:rPr>
          <w:rFonts w:eastAsia="Batang"/>
          <w:lang w:val="fr-FR" w:eastAsia="ko-KR"/>
        </w:rPr>
        <w:t xml:space="preserve"> chaque grade</w:t>
      </w:r>
      <w:r w:rsidR="000078DA" w:rsidRPr="002715F2">
        <w:rPr>
          <w:rFonts w:eastAsia="Batang"/>
          <w:lang w:val="fr-FR" w:eastAsia="ko-KR"/>
        </w:rPr>
        <w:t xml:space="preserve">. </w:t>
      </w:r>
      <w:r w:rsidR="00786CC5" w:rsidRPr="002715F2">
        <w:rPr>
          <w:rFonts w:eastAsia="Batang"/>
          <w:lang w:val="fr-FR" w:eastAsia="ko-KR"/>
        </w:rPr>
        <w:t xml:space="preserve">Le Ministère de l’égalité entre les sexes et de la famille évalue régulièrement l’efficacité des sessions de formation </w:t>
      </w:r>
      <w:r w:rsidR="001A6087" w:rsidRPr="002715F2">
        <w:rPr>
          <w:rFonts w:eastAsia="Batang"/>
          <w:lang w:val="fr-FR" w:eastAsia="ko-KR"/>
        </w:rPr>
        <w:t>susnommées</w:t>
      </w:r>
      <w:r w:rsidR="000078DA" w:rsidRPr="002715F2">
        <w:rPr>
          <w:rFonts w:eastAsia="Batang"/>
          <w:lang w:val="fr-FR" w:eastAsia="ko-KR"/>
        </w:rPr>
        <w:t>.</w:t>
      </w:r>
      <w:r w:rsidR="00786CC5" w:rsidRPr="002715F2">
        <w:rPr>
          <w:rFonts w:eastAsia="Batang"/>
          <w:lang w:val="fr-FR" w:eastAsia="ko-KR"/>
        </w:rPr>
        <w:t xml:space="preserve"> En outre, conformément à la Directive </w:t>
      </w:r>
      <w:r w:rsidR="00CB3CEF" w:rsidRPr="002715F2">
        <w:rPr>
          <w:rFonts w:eastAsia="Batang"/>
          <w:lang w:val="fr-FR" w:eastAsia="ko-KR"/>
        </w:rPr>
        <w:t>relative aux attributions</w:t>
      </w:r>
      <w:r w:rsidR="00786CC5" w:rsidRPr="002715F2">
        <w:rPr>
          <w:rFonts w:eastAsia="Batang"/>
          <w:lang w:val="fr-FR" w:eastAsia="ko-KR"/>
        </w:rPr>
        <w:t xml:space="preserve"> du conseiller </w:t>
      </w:r>
      <w:r w:rsidR="001A6087" w:rsidRPr="002715F2">
        <w:rPr>
          <w:rFonts w:eastAsia="Batang"/>
          <w:lang w:val="fr-FR" w:eastAsia="ko-KR"/>
        </w:rPr>
        <w:t>pour l’</w:t>
      </w:r>
      <w:r w:rsidR="00786CC5" w:rsidRPr="002715F2">
        <w:rPr>
          <w:rFonts w:eastAsia="Batang"/>
          <w:lang w:val="fr-FR" w:eastAsia="ko-KR"/>
        </w:rPr>
        <w:t xml:space="preserve">égalité entre les sexes, chaque unité </w:t>
      </w:r>
      <w:r w:rsidR="0049408A" w:rsidRPr="002715F2">
        <w:rPr>
          <w:rFonts w:eastAsia="Batang"/>
          <w:lang w:val="fr-FR" w:eastAsia="ko-KR"/>
        </w:rPr>
        <w:t>désigne</w:t>
      </w:r>
      <w:r w:rsidR="00786CC5" w:rsidRPr="002715F2">
        <w:rPr>
          <w:rFonts w:eastAsia="Batang"/>
          <w:lang w:val="fr-FR" w:eastAsia="ko-KR"/>
        </w:rPr>
        <w:t xml:space="preserve"> et </w:t>
      </w:r>
      <w:r w:rsidR="00CB3CEF" w:rsidRPr="002715F2">
        <w:rPr>
          <w:rFonts w:eastAsia="Batang"/>
          <w:lang w:val="fr-FR" w:eastAsia="ko-KR"/>
        </w:rPr>
        <w:t>fait intervenir</w:t>
      </w:r>
      <w:r w:rsidR="00786CC5" w:rsidRPr="002715F2">
        <w:rPr>
          <w:rFonts w:eastAsia="Batang"/>
          <w:lang w:val="fr-FR" w:eastAsia="ko-KR"/>
        </w:rPr>
        <w:t xml:space="preserve"> </w:t>
      </w:r>
      <w:r w:rsidR="0049408A" w:rsidRPr="002715F2">
        <w:rPr>
          <w:rFonts w:eastAsia="Batang"/>
          <w:lang w:val="fr-FR" w:eastAsia="ko-KR"/>
        </w:rPr>
        <w:t>un</w:t>
      </w:r>
      <w:r w:rsidR="00786CC5" w:rsidRPr="002715F2">
        <w:rPr>
          <w:rFonts w:eastAsia="Batang"/>
          <w:lang w:val="fr-FR" w:eastAsia="ko-KR"/>
        </w:rPr>
        <w:t xml:space="preserve"> conseiller </w:t>
      </w:r>
      <w:r w:rsidR="0049408A" w:rsidRPr="002715F2">
        <w:rPr>
          <w:rFonts w:eastAsia="Batang"/>
          <w:lang w:val="fr-FR" w:eastAsia="ko-KR"/>
        </w:rPr>
        <w:t xml:space="preserve">de ce type </w:t>
      </w:r>
      <w:r w:rsidR="001A6087" w:rsidRPr="002715F2">
        <w:rPr>
          <w:rFonts w:eastAsia="Batang"/>
          <w:lang w:val="fr-FR" w:eastAsia="ko-KR"/>
        </w:rPr>
        <w:t>afin de</w:t>
      </w:r>
      <w:r w:rsidR="00786CC5" w:rsidRPr="002715F2">
        <w:rPr>
          <w:rFonts w:eastAsia="Batang"/>
          <w:lang w:val="fr-FR" w:eastAsia="ko-KR"/>
        </w:rPr>
        <w:t xml:space="preserve"> prévenir les </w:t>
      </w:r>
      <w:r w:rsidR="001A6087" w:rsidRPr="002715F2">
        <w:rPr>
          <w:rFonts w:eastAsia="Batang"/>
          <w:lang w:val="fr-FR" w:eastAsia="ko-KR"/>
        </w:rPr>
        <w:t>violences</w:t>
      </w:r>
      <w:r w:rsidR="00786CC5" w:rsidRPr="002715F2">
        <w:rPr>
          <w:rFonts w:eastAsia="Batang"/>
          <w:lang w:val="fr-FR" w:eastAsia="ko-KR"/>
        </w:rPr>
        <w:t xml:space="preserve"> sexuelles</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63.</w:t>
      </w:r>
      <w:r w:rsidRPr="002715F2">
        <w:rPr>
          <w:rFonts w:eastAsia="Batang"/>
          <w:lang w:val="fr-FR" w:eastAsia="ko-KR"/>
        </w:rPr>
        <w:tab/>
      </w:r>
      <w:r w:rsidR="006435A0" w:rsidRPr="002715F2">
        <w:rPr>
          <w:rFonts w:eastAsia="Batang"/>
          <w:lang w:val="fr-FR" w:eastAsia="ko-KR"/>
        </w:rPr>
        <w:t>Depuis 2011, le Ministère de l’</w:t>
      </w:r>
      <w:r w:rsidR="00107FA8" w:rsidRPr="002715F2">
        <w:rPr>
          <w:rFonts w:eastAsia="Batang"/>
          <w:lang w:val="fr-FR" w:eastAsia="ko-KR"/>
        </w:rPr>
        <w:t xml:space="preserve">égalité entre les sexes et de la famille </w:t>
      </w:r>
      <w:r w:rsidR="00FC0ABE" w:rsidRPr="002715F2">
        <w:rPr>
          <w:rFonts w:eastAsia="Batang"/>
          <w:lang w:val="fr-FR" w:eastAsia="ko-KR"/>
        </w:rPr>
        <w:t>dispense une éducation</w:t>
      </w:r>
      <w:r w:rsidR="006435A0" w:rsidRPr="002715F2">
        <w:rPr>
          <w:rFonts w:eastAsia="Batang"/>
          <w:lang w:val="fr-FR" w:eastAsia="ko-KR"/>
        </w:rPr>
        <w:t xml:space="preserve"> </w:t>
      </w:r>
      <w:r w:rsidR="00FC0ABE" w:rsidRPr="002715F2">
        <w:rPr>
          <w:rFonts w:eastAsia="Batang"/>
          <w:lang w:val="fr-FR" w:eastAsia="ko-KR"/>
        </w:rPr>
        <w:t>aux droits de l’homme aux</w:t>
      </w:r>
      <w:r w:rsidR="006435A0" w:rsidRPr="002715F2">
        <w:rPr>
          <w:rFonts w:eastAsia="Batang"/>
          <w:lang w:val="fr-FR" w:eastAsia="ko-KR"/>
        </w:rPr>
        <w:t xml:space="preserve"> </w:t>
      </w:r>
      <w:r w:rsidR="005C6D8E" w:rsidRPr="002715F2">
        <w:rPr>
          <w:rFonts w:eastAsia="Batang"/>
          <w:lang w:val="fr-FR" w:eastAsia="ko-KR"/>
        </w:rPr>
        <w:t>enquêteurs</w:t>
      </w:r>
      <w:r w:rsidR="00FC0ABE" w:rsidRPr="002715F2">
        <w:rPr>
          <w:rFonts w:eastAsia="Batang"/>
          <w:lang w:val="fr-FR" w:eastAsia="ko-KR"/>
        </w:rPr>
        <w:t>, notamment aux policiers,</w:t>
      </w:r>
      <w:r w:rsidR="00107FA8" w:rsidRPr="002715F2">
        <w:rPr>
          <w:rFonts w:eastAsia="Batang"/>
          <w:lang w:val="fr-FR" w:eastAsia="ko-KR"/>
        </w:rPr>
        <w:t xml:space="preserve"> </w:t>
      </w:r>
      <w:r w:rsidR="006435A0" w:rsidRPr="002715F2">
        <w:rPr>
          <w:rFonts w:eastAsia="Batang"/>
          <w:lang w:val="fr-FR" w:eastAsia="ko-KR"/>
        </w:rPr>
        <w:t>afin de s’assurer que</w:t>
      </w:r>
      <w:r w:rsidR="00107FA8" w:rsidRPr="002715F2">
        <w:rPr>
          <w:rFonts w:eastAsia="Batang"/>
          <w:lang w:val="fr-FR" w:eastAsia="ko-KR"/>
        </w:rPr>
        <w:t xml:space="preserve"> la protection des victimes </w:t>
      </w:r>
      <w:r w:rsidR="006435A0" w:rsidRPr="002715F2">
        <w:rPr>
          <w:rFonts w:eastAsia="Batang"/>
          <w:lang w:val="fr-FR" w:eastAsia="ko-KR"/>
        </w:rPr>
        <w:t xml:space="preserve">demeure la priorité </w:t>
      </w:r>
      <w:r w:rsidR="007C4641" w:rsidRPr="002715F2">
        <w:rPr>
          <w:rFonts w:eastAsia="Batang"/>
          <w:lang w:val="fr-FR" w:eastAsia="ko-KR"/>
        </w:rPr>
        <w:t xml:space="preserve">dans les affaires de </w:t>
      </w:r>
      <w:r w:rsidR="00107FA8" w:rsidRPr="002715F2">
        <w:rPr>
          <w:rFonts w:eastAsia="Batang"/>
          <w:lang w:val="fr-FR" w:eastAsia="ko-KR"/>
        </w:rPr>
        <w:t>violence familiale</w:t>
      </w:r>
      <w:r w:rsidR="000078DA" w:rsidRPr="002715F2">
        <w:rPr>
          <w:rFonts w:eastAsia="Batang"/>
          <w:lang w:val="fr-FR" w:eastAsia="ko-KR"/>
        </w:rPr>
        <w:t xml:space="preserve">. </w:t>
      </w:r>
      <w:r w:rsidR="00CB3CEF" w:rsidRPr="002715F2">
        <w:rPr>
          <w:rFonts w:eastAsia="Batang"/>
          <w:lang w:val="fr-FR" w:eastAsia="ko-KR"/>
        </w:rPr>
        <w:t xml:space="preserve">En 2011, ce programme a été </w:t>
      </w:r>
      <w:r w:rsidR="005C6D8E" w:rsidRPr="002715F2">
        <w:rPr>
          <w:rFonts w:eastAsia="Batang"/>
          <w:lang w:val="fr-FR" w:eastAsia="ko-KR"/>
        </w:rPr>
        <w:t>intégré</w:t>
      </w:r>
      <w:r w:rsidR="00CB3CEF" w:rsidRPr="002715F2">
        <w:rPr>
          <w:rFonts w:eastAsia="Batang"/>
          <w:lang w:val="fr-FR" w:eastAsia="ko-KR"/>
        </w:rPr>
        <w:t xml:space="preserve"> au cursus de formation des enquêteurs des parquets et des fonctionnaires de police, et 2</w:t>
      </w:r>
      <w:r w:rsidR="0049408A" w:rsidRPr="002715F2">
        <w:rPr>
          <w:rFonts w:eastAsia="Batang"/>
          <w:lang w:val="fr-FR" w:eastAsia="ko-KR"/>
        </w:rPr>
        <w:t> 272 personnes ont suivi 19 cours et 52 </w:t>
      </w:r>
      <w:r w:rsidR="00CB3CEF" w:rsidRPr="002715F2">
        <w:rPr>
          <w:rFonts w:eastAsia="Batang"/>
          <w:lang w:val="fr-FR" w:eastAsia="ko-KR"/>
        </w:rPr>
        <w:t xml:space="preserve">séances </w:t>
      </w:r>
      <w:r w:rsidR="007C4641" w:rsidRPr="002715F2">
        <w:rPr>
          <w:rFonts w:eastAsia="Batang"/>
          <w:lang w:val="fr-FR" w:eastAsia="ko-KR"/>
        </w:rPr>
        <w:t xml:space="preserve">d’éducation </w:t>
      </w:r>
      <w:r w:rsidR="0049408A" w:rsidRPr="002715F2">
        <w:rPr>
          <w:rFonts w:eastAsia="Batang"/>
          <w:lang w:val="fr-FR" w:eastAsia="ko-KR"/>
        </w:rPr>
        <w:t>en la matière</w:t>
      </w:r>
      <w:r w:rsidR="000078DA" w:rsidRPr="002715F2">
        <w:rPr>
          <w:rFonts w:eastAsia="Batang"/>
          <w:lang w:val="fr-FR" w:eastAsia="ko-KR"/>
        </w:rPr>
        <w:t xml:space="preserve">. </w:t>
      </w:r>
      <w:r w:rsidR="007C4641" w:rsidRPr="002715F2">
        <w:rPr>
          <w:rFonts w:eastAsia="Batang"/>
          <w:lang w:val="fr-FR" w:eastAsia="ko-KR"/>
        </w:rPr>
        <w:t>C</w:t>
      </w:r>
      <w:r w:rsidR="00FC0ABE" w:rsidRPr="002715F2">
        <w:rPr>
          <w:rFonts w:eastAsia="Batang"/>
          <w:lang w:val="fr-FR" w:eastAsia="ko-KR"/>
        </w:rPr>
        <w:t xml:space="preserve">e </w:t>
      </w:r>
      <w:r w:rsidR="006D1DA8" w:rsidRPr="002715F2">
        <w:rPr>
          <w:rFonts w:eastAsia="Batang"/>
          <w:lang w:val="fr-FR" w:eastAsia="ko-KR"/>
        </w:rPr>
        <w:t xml:space="preserve">programme </w:t>
      </w:r>
      <w:r w:rsidR="007C4641" w:rsidRPr="002715F2">
        <w:rPr>
          <w:rFonts w:eastAsia="Batang"/>
          <w:lang w:val="fr-FR" w:eastAsia="ko-KR"/>
        </w:rPr>
        <w:t>a</w:t>
      </w:r>
      <w:r w:rsidR="006D1DA8" w:rsidRPr="002715F2">
        <w:rPr>
          <w:rFonts w:eastAsia="Batang"/>
          <w:lang w:val="fr-FR" w:eastAsia="ko-KR"/>
        </w:rPr>
        <w:t xml:space="preserve"> </w:t>
      </w:r>
      <w:r w:rsidR="008F4681" w:rsidRPr="002715F2">
        <w:rPr>
          <w:rFonts w:eastAsia="Batang"/>
          <w:lang w:val="fr-FR" w:eastAsia="ko-KR"/>
        </w:rPr>
        <w:t xml:space="preserve">également </w:t>
      </w:r>
      <w:r w:rsidR="007C4641" w:rsidRPr="002715F2">
        <w:rPr>
          <w:rFonts w:eastAsia="Batang"/>
          <w:lang w:val="fr-FR" w:eastAsia="ko-KR"/>
        </w:rPr>
        <w:t xml:space="preserve">été </w:t>
      </w:r>
      <w:r w:rsidR="006D1DA8" w:rsidRPr="002715F2">
        <w:rPr>
          <w:rFonts w:eastAsia="Batang"/>
          <w:lang w:val="fr-FR" w:eastAsia="ko-KR"/>
        </w:rPr>
        <w:t>intégré aux formations et aux réunions des</w:t>
      </w:r>
      <w:r w:rsidR="00CB3CEF" w:rsidRPr="002715F2">
        <w:rPr>
          <w:rFonts w:eastAsia="Batang"/>
          <w:lang w:val="fr-FR" w:eastAsia="ko-KR"/>
        </w:rPr>
        <w:t xml:space="preserve"> </w:t>
      </w:r>
      <w:r w:rsidR="0049408A" w:rsidRPr="002715F2">
        <w:rPr>
          <w:rFonts w:eastAsia="Batang"/>
          <w:lang w:val="fr-FR" w:eastAsia="ko-KR"/>
        </w:rPr>
        <w:t xml:space="preserve">commissariats de police, </w:t>
      </w:r>
      <w:r w:rsidR="00FC0ABE" w:rsidRPr="002715F2">
        <w:rPr>
          <w:rFonts w:eastAsia="Batang"/>
          <w:lang w:val="fr-FR" w:eastAsia="ko-KR"/>
        </w:rPr>
        <w:t xml:space="preserve">et </w:t>
      </w:r>
      <w:r w:rsidR="0049408A" w:rsidRPr="002715F2">
        <w:rPr>
          <w:rFonts w:eastAsia="Batang"/>
          <w:lang w:val="fr-FR" w:eastAsia="ko-KR"/>
        </w:rPr>
        <w:t>11 </w:t>
      </w:r>
      <w:r w:rsidR="00CB3CEF" w:rsidRPr="002715F2">
        <w:rPr>
          <w:rFonts w:eastAsia="Batang"/>
          <w:lang w:val="fr-FR" w:eastAsia="ko-KR"/>
        </w:rPr>
        <w:t>779</w:t>
      </w:r>
      <w:r w:rsidR="0049408A" w:rsidRPr="002715F2">
        <w:rPr>
          <w:rFonts w:eastAsia="Batang"/>
          <w:lang w:val="fr-FR" w:eastAsia="ko-KR"/>
        </w:rPr>
        <w:t> </w:t>
      </w:r>
      <w:r w:rsidR="00CB3CEF" w:rsidRPr="002715F2">
        <w:rPr>
          <w:rFonts w:eastAsia="Batang"/>
          <w:lang w:val="fr-FR" w:eastAsia="ko-KR"/>
        </w:rPr>
        <w:t xml:space="preserve">personnes </w:t>
      </w:r>
      <w:r w:rsidR="006D1DA8" w:rsidRPr="002715F2">
        <w:rPr>
          <w:rFonts w:eastAsia="Batang"/>
          <w:lang w:val="fr-FR" w:eastAsia="ko-KR"/>
        </w:rPr>
        <w:t xml:space="preserve">avaient été formées </w:t>
      </w:r>
      <w:r w:rsidR="00CB3CEF" w:rsidRPr="002715F2">
        <w:rPr>
          <w:rFonts w:eastAsia="Batang"/>
          <w:lang w:val="fr-FR" w:eastAsia="ko-KR"/>
        </w:rPr>
        <w:t>au cours de 732</w:t>
      </w:r>
      <w:r w:rsidR="0049408A" w:rsidRPr="002715F2">
        <w:rPr>
          <w:rFonts w:eastAsia="Batang"/>
          <w:lang w:val="fr-FR" w:eastAsia="ko-KR"/>
        </w:rPr>
        <w:t> </w:t>
      </w:r>
      <w:r w:rsidR="00CB3CEF" w:rsidRPr="002715F2">
        <w:rPr>
          <w:rFonts w:eastAsia="Batang"/>
          <w:lang w:val="fr-FR" w:eastAsia="ko-KR"/>
        </w:rPr>
        <w:t>séances</w:t>
      </w:r>
      <w:r w:rsidR="007C4641" w:rsidRPr="002715F2">
        <w:rPr>
          <w:rFonts w:eastAsia="Batang"/>
          <w:lang w:val="fr-FR" w:eastAsia="ko-KR"/>
        </w:rPr>
        <w:t xml:space="preserve"> en 2015</w:t>
      </w:r>
      <w:r w:rsidR="000078DA" w:rsidRPr="002715F2">
        <w:rPr>
          <w:rFonts w:eastAsia="Batang"/>
          <w:lang w:val="fr-FR" w:eastAsia="ko-KR"/>
        </w:rPr>
        <w:t xml:space="preserve">. </w:t>
      </w:r>
      <w:r w:rsidR="006D1DA8" w:rsidRPr="002715F2">
        <w:rPr>
          <w:rFonts w:eastAsia="Batang"/>
          <w:lang w:val="fr-FR" w:eastAsia="ko-KR"/>
        </w:rPr>
        <w:t>Depuis</w:t>
      </w:r>
      <w:r w:rsidR="00CB3CEF" w:rsidRPr="002715F2">
        <w:rPr>
          <w:rFonts w:eastAsia="Batang"/>
          <w:lang w:val="fr-FR" w:eastAsia="ko-KR"/>
        </w:rPr>
        <w:t xml:space="preserve"> 2014, les institutions nationales, les </w:t>
      </w:r>
      <w:r w:rsidR="00505F2B" w:rsidRPr="002715F2">
        <w:rPr>
          <w:rFonts w:eastAsia="Gulim"/>
          <w:lang w:val="fr-FR" w:eastAsia="ko-KR"/>
        </w:rPr>
        <w:t xml:space="preserve">autorités </w:t>
      </w:r>
      <w:r w:rsidR="00CB3CEF" w:rsidRPr="002715F2">
        <w:rPr>
          <w:rFonts w:eastAsia="Batang"/>
          <w:lang w:val="fr-FR" w:eastAsia="ko-KR"/>
        </w:rPr>
        <w:t xml:space="preserve">locales, les organismes </w:t>
      </w:r>
      <w:r w:rsidR="005C6D8E" w:rsidRPr="002715F2">
        <w:rPr>
          <w:rFonts w:eastAsia="Batang"/>
          <w:lang w:val="fr-FR" w:eastAsia="ko-KR"/>
        </w:rPr>
        <w:t>publics</w:t>
      </w:r>
      <w:r w:rsidR="00CB3CEF" w:rsidRPr="002715F2">
        <w:rPr>
          <w:rFonts w:eastAsia="Batang"/>
          <w:lang w:val="fr-FR" w:eastAsia="ko-KR"/>
        </w:rPr>
        <w:t xml:space="preserve"> et les écoles </w:t>
      </w:r>
      <w:r w:rsidR="006D1DA8" w:rsidRPr="002715F2">
        <w:rPr>
          <w:rFonts w:eastAsia="Batang"/>
          <w:lang w:val="fr-FR" w:eastAsia="ko-KR"/>
        </w:rPr>
        <w:t xml:space="preserve">doivent </w:t>
      </w:r>
      <w:r w:rsidR="008F4681" w:rsidRPr="002715F2">
        <w:rPr>
          <w:rFonts w:eastAsia="Batang"/>
          <w:lang w:val="fr-FR" w:eastAsia="ko-KR"/>
        </w:rPr>
        <w:t>aussi</w:t>
      </w:r>
      <w:r w:rsidR="00CB3CEF" w:rsidRPr="002715F2">
        <w:rPr>
          <w:rFonts w:eastAsia="Batang"/>
          <w:lang w:val="fr-FR" w:eastAsia="ko-KR"/>
        </w:rPr>
        <w:t xml:space="preserve"> dispenser chaque année au moins une séance d</w:t>
      </w:r>
      <w:r w:rsidR="006D1DA8" w:rsidRPr="002715F2">
        <w:rPr>
          <w:rFonts w:eastAsia="Batang"/>
          <w:lang w:val="fr-FR" w:eastAsia="ko-KR"/>
        </w:rPr>
        <w:t>’éducation en matière de</w:t>
      </w:r>
      <w:r w:rsidR="00CB3CEF" w:rsidRPr="002715F2">
        <w:rPr>
          <w:rFonts w:eastAsia="Batang"/>
          <w:lang w:val="fr-FR" w:eastAsia="ko-KR"/>
        </w:rPr>
        <w:t xml:space="preserve"> prévention des violences familiales</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64.</w:t>
      </w:r>
      <w:r w:rsidRPr="002715F2">
        <w:rPr>
          <w:rFonts w:eastAsia="Batang"/>
          <w:lang w:val="fr-FR" w:eastAsia="ko-KR"/>
        </w:rPr>
        <w:tab/>
      </w:r>
      <w:r w:rsidR="006F3D0B" w:rsidRPr="002715F2">
        <w:rPr>
          <w:rFonts w:eastAsia="Batang"/>
          <w:lang w:val="fr-FR" w:eastAsia="ko-KR"/>
        </w:rPr>
        <w:t xml:space="preserve">En </w:t>
      </w:r>
      <w:r w:rsidR="00002A9F" w:rsidRPr="002715F2">
        <w:rPr>
          <w:rFonts w:eastAsia="Batang"/>
          <w:lang w:val="fr-FR" w:eastAsia="ko-KR"/>
        </w:rPr>
        <w:t xml:space="preserve">septembre </w:t>
      </w:r>
      <w:r w:rsidR="006F3D0B" w:rsidRPr="002715F2">
        <w:rPr>
          <w:rFonts w:eastAsia="Batang"/>
          <w:lang w:val="fr-FR" w:eastAsia="ko-KR"/>
        </w:rPr>
        <w:t xml:space="preserve">2011, 25 000 exemplaires du </w:t>
      </w:r>
      <w:r w:rsidR="00E97B1A" w:rsidRPr="002715F2">
        <w:rPr>
          <w:rFonts w:eastAsia="Batang"/>
          <w:lang w:val="fr-FR" w:eastAsia="ko-KR"/>
        </w:rPr>
        <w:t>«</w:t>
      </w:r>
      <w:r w:rsidR="009054D1" w:rsidRPr="002715F2">
        <w:rPr>
          <w:rFonts w:eastAsia="Batang"/>
          <w:lang w:val="fr-FR" w:eastAsia="ko-KR"/>
        </w:rPr>
        <w:t>Guide de prévention des violences familiales</w:t>
      </w:r>
      <w:r w:rsidR="00E97B1A" w:rsidRPr="002715F2">
        <w:rPr>
          <w:rFonts w:eastAsia="Batang"/>
          <w:lang w:val="fr-FR" w:eastAsia="ko-KR"/>
        </w:rPr>
        <w:t>»</w:t>
      </w:r>
      <w:r w:rsidR="00263934" w:rsidRPr="002715F2">
        <w:rPr>
          <w:rFonts w:eastAsia="Batang"/>
          <w:lang w:val="fr-FR" w:eastAsia="ko-KR"/>
        </w:rPr>
        <w:t xml:space="preserve"> ont été imprimés et distribués pour </w:t>
      </w:r>
      <w:r w:rsidR="006F3D0B" w:rsidRPr="002715F2">
        <w:rPr>
          <w:rFonts w:eastAsia="Batang"/>
          <w:lang w:val="fr-FR" w:eastAsia="ko-KR"/>
        </w:rPr>
        <w:t>mieux faire comprendre au public le caractère criminel</w:t>
      </w:r>
      <w:r w:rsidR="00263934" w:rsidRPr="002715F2">
        <w:rPr>
          <w:rFonts w:eastAsia="Batang"/>
          <w:lang w:val="fr-FR" w:eastAsia="ko-KR"/>
        </w:rPr>
        <w:t xml:space="preserve"> de ces violences, et une vidéo a été diffusée </w:t>
      </w:r>
      <w:r w:rsidR="006F3D0B" w:rsidRPr="002715F2">
        <w:rPr>
          <w:rFonts w:eastAsia="Batang"/>
          <w:lang w:val="fr-FR" w:eastAsia="ko-KR"/>
        </w:rPr>
        <w:t>sur les chaînes de</w:t>
      </w:r>
      <w:r w:rsidR="00263934" w:rsidRPr="002715F2">
        <w:rPr>
          <w:rFonts w:eastAsia="Batang"/>
          <w:lang w:val="fr-FR" w:eastAsia="ko-KR"/>
        </w:rPr>
        <w:t xml:space="preserve"> télévision par câble pour sensibiliser</w:t>
      </w:r>
      <w:r w:rsidR="006F3D0B" w:rsidRPr="002715F2">
        <w:rPr>
          <w:rFonts w:eastAsia="Batang"/>
          <w:lang w:val="fr-FR" w:eastAsia="ko-KR"/>
        </w:rPr>
        <w:t xml:space="preserve"> davantage</w:t>
      </w:r>
      <w:r w:rsidR="00263934" w:rsidRPr="002715F2">
        <w:rPr>
          <w:rFonts w:eastAsia="Batang"/>
          <w:lang w:val="fr-FR" w:eastAsia="ko-KR"/>
        </w:rPr>
        <w:t xml:space="preserve"> </w:t>
      </w:r>
      <w:r w:rsidR="006F3D0B" w:rsidRPr="002715F2">
        <w:rPr>
          <w:rFonts w:eastAsia="Batang"/>
          <w:lang w:val="fr-FR" w:eastAsia="ko-KR"/>
        </w:rPr>
        <w:t>la population</w:t>
      </w:r>
      <w:r w:rsidR="00263934" w:rsidRPr="002715F2">
        <w:rPr>
          <w:rFonts w:eastAsia="Batang"/>
          <w:lang w:val="fr-FR" w:eastAsia="ko-KR"/>
        </w:rPr>
        <w:t xml:space="preserve"> </w:t>
      </w:r>
      <w:r w:rsidR="006F3D0B" w:rsidRPr="002715F2">
        <w:rPr>
          <w:rFonts w:eastAsia="Batang"/>
          <w:lang w:val="fr-FR" w:eastAsia="ko-KR"/>
        </w:rPr>
        <w:t>à la violence</w:t>
      </w:r>
      <w:r w:rsidR="00263934" w:rsidRPr="002715F2">
        <w:rPr>
          <w:rFonts w:eastAsia="Batang"/>
          <w:lang w:val="fr-FR" w:eastAsia="ko-KR"/>
        </w:rPr>
        <w:t xml:space="preserve"> domestique </w:t>
      </w:r>
      <w:r w:rsidR="006F3D0B" w:rsidRPr="002715F2">
        <w:rPr>
          <w:rFonts w:eastAsia="Batang"/>
          <w:lang w:val="fr-FR" w:eastAsia="ko-KR"/>
        </w:rPr>
        <w:t>contre les</w:t>
      </w:r>
      <w:r w:rsidR="00263934" w:rsidRPr="002715F2">
        <w:rPr>
          <w:rFonts w:eastAsia="Batang"/>
          <w:lang w:val="fr-FR" w:eastAsia="ko-KR"/>
        </w:rPr>
        <w:t xml:space="preserve"> femmes migrantes</w:t>
      </w:r>
      <w:r w:rsidR="000078DA" w:rsidRPr="002715F2">
        <w:rPr>
          <w:rFonts w:eastAsia="Batang"/>
          <w:lang w:val="fr-FR" w:eastAsia="ko-KR"/>
        </w:rPr>
        <w:t xml:space="preserve">. </w:t>
      </w:r>
      <w:r w:rsidR="009054D1" w:rsidRPr="002715F2">
        <w:rPr>
          <w:rFonts w:eastAsia="Batang"/>
          <w:lang w:val="fr-FR" w:eastAsia="ko-KR"/>
        </w:rPr>
        <w:t xml:space="preserve">En </w:t>
      </w:r>
      <w:r w:rsidR="00002A9F" w:rsidRPr="002715F2">
        <w:rPr>
          <w:rFonts w:eastAsia="Batang"/>
          <w:lang w:val="fr-FR" w:eastAsia="ko-KR"/>
        </w:rPr>
        <w:t xml:space="preserve">décembre </w:t>
      </w:r>
      <w:r w:rsidR="00263934" w:rsidRPr="002715F2">
        <w:rPr>
          <w:rFonts w:eastAsia="Batang"/>
          <w:lang w:val="fr-FR" w:eastAsia="ko-KR"/>
        </w:rPr>
        <w:t xml:space="preserve">2011, une vidéo intitulée </w:t>
      </w:r>
      <w:r w:rsidR="00E97B1A" w:rsidRPr="002715F2">
        <w:rPr>
          <w:rFonts w:eastAsia="Batang"/>
          <w:lang w:val="fr-FR" w:eastAsia="ko-KR"/>
        </w:rPr>
        <w:t>«</w:t>
      </w:r>
      <w:r w:rsidR="00263934" w:rsidRPr="002715F2">
        <w:rPr>
          <w:rFonts w:eastAsia="Batang"/>
          <w:lang w:val="fr-FR" w:eastAsia="ko-KR"/>
        </w:rPr>
        <w:t xml:space="preserve">Le pouvoir d’empêcher </w:t>
      </w:r>
      <w:r w:rsidR="009054D1" w:rsidRPr="002715F2">
        <w:rPr>
          <w:rFonts w:eastAsia="Batang"/>
          <w:lang w:val="fr-FR" w:eastAsia="ko-KR"/>
        </w:rPr>
        <w:t>la violence familiale</w:t>
      </w:r>
      <w:r w:rsidR="00E97B1A" w:rsidRPr="002715F2">
        <w:rPr>
          <w:rFonts w:eastAsia="Batang"/>
          <w:lang w:val="fr-FR" w:eastAsia="ko-KR"/>
        </w:rPr>
        <w:t>»</w:t>
      </w:r>
      <w:r w:rsidR="00263934" w:rsidRPr="002715F2">
        <w:rPr>
          <w:rFonts w:eastAsia="Batang"/>
          <w:lang w:val="fr-FR" w:eastAsia="ko-KR"/>
        </w:rPr>
        <w:t xml:space="preserve"> a été diffusée sur les chaînes de télévision par câble et terrestre</w:t>
      </w:r>
      <w:r w:rsidR="000078DA" w:rsidRPr="002715F2">
        <w:rPr>
          <w:rFonts w:eastAsia="Batang"/>
          <w:lang w:val="fr-FR" w:eastAsia="ko-KR"/>
        </w:rPr>
        <w:t xml:space="preserve">. </w:t>
      </w:r>
      <w:r w:rsidR="00263934" w:rsidRPr="002715F2">
        <w:rPr>
          <w:rFonts w:eastAsia="Batang"/>
          <w:lang w:val="fr-FR" w:eastAsia="ko-KR"/>
        </w:rPr>
        <w:t>En 2012, en plus de la diffusion continue de cette vidéo, 50</w:t>
      </w:r>
      <w:r w:rsidR="009054D1" w:rsidRPr="002715F2">
        <w:rPr>
          <w:rFonts w:eastAsia="Batang"/>
          <w:lang w:val="fr-FR" w:eastAsia="ko-KR"/>
        </w:rPr>
        <w:t> </w:t>
      </w:r>
      <w:r w:rsidR="00263934" w:rsidRPr="002715F2">
        <w:rPr>
          <w:rFonts w:eastAsia="Batang"/>
          <w:lang w:val="fr-FR" w:eastAsia="ko-KR"/>
        </w:rPr>
        <w:t>000</w:t>
      </w:r>
      <w:r w:rsidR="009054D1" w:rsidRPr="002715F2">
        <w:rPr>
          <w:rFonts w:eastAsia="Batang"/>
          <w:lang w:val="fr-FR" w:eastAsia="ko-KR"/>
        </w:rPr>
        <w:t> </w:t>
      </w:r>
      <w:r w:rsidR="00263934" w:rsidRPr="002715F2">
        <w:rPr>
          <w:rFonts w:eastAsia="Batang"/>
          <w:lang w:val="fr-FR" w:eastAsia="ko-KR"/>
        </w:rPr>
        <w:t>exemplaires d</w:t>
      </w:r>
      <w:r w:rsidR="009054D1" w:rsidRPr="002715F2">
        <w:rPr>
          <w:rFonts w:eastAsia="Batang"/>
          <w:lang w:val="fr-FR" w:eastAsia="ko-KR"/>
        </w:rPr>
        <w:t>u</w:t>
      </w:r>
      <w:r w:rsidR="00263934" w:rsidRPr="002715F2">
        <w:rPr>
          <w:rFonts w:eastAsia="Batang"/>
          <w:lang w:val="fr-FR" w:eastAsia="ko-KR"/>
        </w:rPr>
        <w:t xml:space="preserve"> </w:t>
      </w:r>
      <w:r w:rsidR="00E97B1A" w:rsidRPr="002715F2">
        <w:rPr>
          <w:rFonts w:eastAsia="Batang"/>
          <w:lang w:val="fr-FR" w:eastAsia="ko-KR"/>
        </w:rPr>
        <w:t>«</w:t>
      </w:r>
      <w:r w:rsidR="006B5B32" w:rsidRPr="002715F2">
        <w:rPr>
          <w:rFonts w:eastAsia="Batang"/>
          <w:lang w:val="fr-FR" w:eastAsia="ko-KR"/>
        </w:rPr>
        <w:t xml:space="preserve">Guide </w:t>
      </w:r>
      <w:r w:rsidR="009054D1" w:rsidRPr="002715F2">
        <w:rPr>
          <w:rFonts w:eastAsia="Batang"/>
          <w:lang w:val="fr-FR" w:eastAsia="ko-KR"/>
        </w:rPr>
        <w:t>sur la</w:t>
      </w:r>
      <w:r w:rsidR="00263934" w:rsidRPr="002715F2">
        <w:rPr>
          <w:rFonts w:eastAsia="Batang"/>
          <w:lang w:val="fr-FR" w:eastAsia="ko-KR"/>
        </w:rPr>
        <w:t xml:space="preserve"> </w:t>
      </w:r>
      <w:r w:rsidR="005C6D8E" w:rsidRPr="002715F2">
        <w:rPr>
          <w:rFonts w:eastAsia="Batang"/>
          <w:lang w:val="fr-FR" w:eastAsia="ko-KR"/>
        </w:rPr>
        <w:t>prévention</w:t>
      </w:r>
      <w:r w:rsidR="00263934" w:rsidRPr="002715F2">
        <w:rPr>
          <w:rFonts w:eastAsia="Batang"/>
          <w:lang w:val="fr-FR" w:eastAsia="ko-KR"/>
        </w:rPr>
        <w:t xml:space="preserve"> des violences familiales et </w:t>
      </w:r>
      <w:r w:rsidR="009054D1" w:rsidRPr="002715F2">
        <w:rPr>
          <w:rFonts w:eastAsia="Batang"/>
          <w:lang w:val="fr-FR" w:eastAsia="ko-KR"/>
        </w:rPr>
        <w:t xml:space="preserve">l’aide </w:t>
      </w:r>
      <w:r w:rsidR="00263934" w:rsidRPr="002715F2">
        <w:rPr>
          <w:rFonts w:eastAsia="Batang"/>
          <w:lang w:val="fr-FR" w:eastAsia="ko-KR"/>
        </w:rPr>
        <w:t>aux victimes</w:t>
      </w:r>
      <w:r w:rsidR="00E97B1A" w:rsidRPr="002715F2">
        <w:rPr>
          <w:rFonts w:eastAsia="Batang"/>
          <w:lang w:val="fr-FR" w:eastAsia="ko-KR"/>
        </w:rPr>
        <w:t>»</w:t>
      </w:r>
      <w:r w:rsidR="00263934" w:rsidRPr="002715F2">
        <w:rPr>
          <w:rFonts w:eastAsia="Batang"/>
          <w:lang w:val="fr-FR" w:eastAsia="ko-KR"/>
        </w:rPr>
        <w:t xml:space="preserve"> ont été distribués</w:t>
      </w:r>
      <w:r w:rsidR="000078DA" w:rsidRPr="002715F2">
        <w:rPr>
          <w:rFonts w:eastAsia="Batang"/>
          <w:lang w:val="fr-FR" w:eastAsia="ko-KR"/>
        </w:rPr>
        <w:t>.</w:t>
      </w:r>
      <w:r w:rsidR="00263934" w:rsidRPr="002715F2">
        <w:rPr>
          <w:rFonts w:eastAsia="Batang"/>
          <w:lang w:val="fr-FR" w:eastAsia="ko-KR"/>
        </w:rPr>
        <w:t xml:space="preserve"> </w:t>
      </w:r>
      <w:r w:rsidR="007956AD" w:rsidRPr="002715F2">
        <w:rPr>
          <w:rFonts w:eastAsia="Batang"/>
          <w:lang w:val="fr-FR" w:eastAsia="ko-KR"/>
        </w:rPr>
        <w:t>Une</w:t>
      </w:r>
      <w:r w:rsidR="00002A9F" w:rsidRPr="002715F2">
        <w:rPr>
          <w:rFonts w:eastAsia="Batang"/>
          <w:lang w:val="fr-FR" w:eastAsia="ko-KR"/>
        </w:rPr>
        <w:t xml:space="preserve"> </w:t>
      </w:r>
      <w:r w:rsidR="00984C16" w:rsidRPr="002715F2">
        <w:rPr>
          <w:rFonts w:eastAsia="Batang"/>
          <w:lang w:val="fr-FR" w:eastAsia="ko-KR"/>
        </w:rPr>
        <w:t>«</w:t>
      </w:r>
      <w:r w:rsidR="00263934" w:rsidRPr="002715F2">
        <w:rPr>
          <w:rFonts w:eastAsia="Batang"/>
          <w:lang w:val="fr-FR" w:eastAsia="ko-KR"/>
        </w:rPr>
        <w:t>Semaine d’éradication des violences sexuelles</w:t>
      </w:r>
      <w:r w:rsidR="00E97B1A" w:rsidRPr="002715F2">
        <w:rPr>
          <w:rFonts w:eastAsia="Batang"/>
          <w:lang w:val="fr-FR" w:eastAsia="ko-KR"/>
        </w:rPr>
        <w:t>»</w:t>
      </w:r>
      <w:r w:rsidR="007956AD" w:rsidRPr="002715F2">
        <w:rPr>
          <w:rFonts w:eastAsia="Batang"/>
          <w:lang w:val="fr-FR" w:eastAsia="ko-KR"/>
        </w:rPr>
        <w:t xml:space="preserve"> a</w:t>
      </w:r>
      <w:r w:rsidR="00591134" w:rsidRPr="002715F2">
        <w:rPr>
          <w:rFonts w:eastAsia="Batang"/>
          <w:lang w:val="fr-FR" w:eastAsia="ko-KR"/>
        </w:rPr>
        <w:t xml:space="preserve"> </w:t>
      </w:r>
      <w:r w:rsidR="007956AD" w:rsidRPr="002715F2">
        <w:rPr>
          <w:rFonts w:eastAsia="Batang"/>
          <w:lang w:val="fr-FR" w:eastAsia="ko-KR"/>
        </w:rPr>
        <w:t>été décrétée du 25 novembre au 1</w:t>
      </w:r>
      <w:r w:rsidR="007956AD" w:rsidRPr="002715F2">
        <w:rPr>
          <w:rFonts w:eastAsia="Batang"/>
          <w:vertAlign w:val="superscript"/>
          <w:lang w:val="fr-FR" w:eastAsia="ko-KR"/>
        </w:rPr>
        <w:t>er</w:t>
      </w:r>
      <w:r w:rsidR="007956AD" w:rsidRPr="002715F2">
        <w:rPr>
          <w:rFonts w:eastAsia="Batang"/>
          <w:lang w:val="fr-FR" w:eastAsia="ko-KR"/>
        </w:rPr>
        <w:t xml:space="preserve"> décembre, </w:t>
      </w:r>
      <w:r w:rsidR="00591134" w:rsidRPr="002715F2">
        <w:rPr>
          <w:rFonts w:eastAsia="Batang"/>
          <w:lang w:val="fr-FR" w:eastAsia="ko-KR"/>
        </w:rPr>
        <w:t>et</w:t>
      </w:r>
      <w:r w:rsidR="007956AD" w:rsidRPr="002715F2">
        <w:rPr>
          <w:rFonts w:eastAsia="Batang"/>
          <w:lang w:val="fr-FR" w:eastAsia="ko-KR"/>
        </w:rPr>
        <w:t xml:space="preserve"> </w:t>
      </w:r>
      <w:r w:rsidR="00591134" w:rsidRPr="002715F2">
        <w:rPr>
          <w:rFonts w:eastAsia="Batang"/>
          <w:lang w:val="fr-FR" w:eastAsia="ko-KR"/>
        </w:rPr>
        <w:t>le G</w:t>
      </w:r>
      <w:r w:rsidR="00263934" w:rsidRPr="002715F2">
        <w:rPr>
          <w:rFonts w:eastAsia="Batang"/>
          <w:lang w:val="fr-FR" w:eastAsia="ko-KR"/>
        </w:rPr>
        <w:t xml:space="preserve">ouvernement </w:t>
      </w:r>
      <w:r w:rsidR="00CD7542" w:rsidRPr="002715F2">
        <w:rPr>
          <w:rFonts w:eastAsia="Batang"/>
          <w:lang w:val="fr-FR" w:eastAsia="ko-KR"/>
        </w:rPr>
        <w:t xml:space="preserve">a </w:t>
      </w:r>
      <w:r w:rsidR="00591134" w:rsidRPr="002715F2">
        <w:rPr>
          <w:rFonts w:eastAsia="Batang"/>
          <w:lang w:val="fr-FR" w:eastAsia="ko-KR"/>
        </w:rPr>
        <w:t>organis</w:t>
      </w:r>
      <w:r w:rsidR="00CD7542" w:rsidRPr="002715F2">
        <w:rPr>
          <w:rFonts w:eastAsia="Batang"/>
          <w:lang w:val="fr-FR" w:eastAsia="ko-KR"/>
        </w:rPr>
        <w:t>é</w:t>
      </w:r>
      <w:r w:rsidR="00CA210A" w:rsidRPr="002715F2">
        <w:rPr>
          <w:rFonts w:eastAsia="Batang"/>
          <w:lang w:val="fr-FR" w:eastAsia="ko-KR"/>
        </w:rPr>
        <w:t xml:space="preserve"> dans tout le pays </w:t>
      </w:r>
      <w:r w:rsidR="00263934" w:rsidRPr="002715F2">
        <w:rPr>
          <w:rFonts w:eastAsia="Batang"/>
          <w:lang w:val="fr-FR" w:eastAsia="ko-KR"/>
        </w:rPr>
        <w:t xml:space="preserve">des campagnes </w:t>
      </w:r>
      <w:r w:rsidR="007E4062" w:rsidRPr="002715F2">
        <w:rPr>
          <w:rFonts w:eastAsia="Batang"/>
          <w:lang w:val="fr-FR" w:eastAsia="ko-KR"/>
        </w:rPr>
        <w:t>de sensibilisation</w:t>
      </w:r>
      <w:r w:rsidR="00263934" w:rsidRPr="002715F2">
        <w:rPr>
          <w:rFonts w:eastAsia="Batang"/>
          <w:lang w:val="fr-FR" w:eastAsia="ko-KR"/>
        </w:rPr>
        <w:t xml:space="preserve">, </w:t>
      </w:r>
      <w:r w:rsidR="00591134" w:rsidRPr="002715F2">
        <w:rPr>
          <w:rFonts w:eastAsia="Batang"/>
          <w:lang w:val="fr-FR" w:eastAsia="ko-KR"/>
        </w:rPr>
        <w:t xml:space="preserve">des </w:t>
      </w:r>
      <w:r w:rsidR="00263934" w:rsidRPr="002715F2">
        <w:rPr>
          <w:rFonts w:eastAsia="Batang"/>
          <w:lang w:val="fr-FR" w:eastAsia="ko-KR"/>
        </w:rPr>
        <w:t xml:space="preserve">colloques et </w:t>
      </w:r>
      <w:r w:rsidR="00591134" w:rsidRPr="002715F2">
        <w:rPr>
          <w:rFonts w:eastAsia="Batang"/>
          <w:lang w:val="fr-FR" w:eastAsia="ko-KR"/>
        </w:rPr>
        <w:t xml:space="preserve">des </w:t>
      </w:r>
      <w:r w:rsidR="00263934" w:rsidRPr="002715F2">
        <w:rPr>
          <w:rFonts w:eastAsia="Batang"/>
          <w:lang w:val="fr-FR" w:eastAsia="ko-KR"/>
        </w:rPr>
        <w:t xml:space="preserve">événements </w:t>
      </w:r>
      <w:r w:rsidR="00CA210A" w:rsidRPr="002715F2">
        <w:rPr>
          <w:rFonts w:eastAsia="Batang"/>
          <w:lang w:val="fr-FR" w:eastAsia="ko-KR"/>
        </w:rPr>
        <w:t>autour de</w:t>
      </w:r>
      <w:r w:rsidR="00263934" w:rsidRPr="002715F2">
        <w:rPr>
          <w:rFonts w:eastAsia="Batang"/>
          <w:lang w:val="fr-FR" w:eastAsia="ko-KR"/>
        </w:rPr>
        <w:t xml:space="preserve"> </w:t>
      </w:r>
      <w:r w:rsidR="00CA210A" w:rsidRPr="002715F2">
        <w:rPr>
          <w:rFonts w:eastAsia="Batang"/>
          <w:lang w:val="fr-FR" w:eastAsia="ko-KR"/>
        </w:rPr>
        <w:t xml:space="preserve">la </w:t>
      </w:r>
      <w:r w:rsidR="00263934" w:rsidRPr="002715F2">
        <w:rPr>
          <w:rFonts w:eastAsia="Batang"/>
          <w:lang w:val="fr-FR" w:eastAsia="ko-KR"/>
        </w:rPr>
        <w:t>préven</w:t>
      </w:r>
      <w:r w:rsidR="00CA210A" w:rsidRPr="002715F2">
        <w:rPr>
          <w:rFonts w:eastAsia="Batang"/>
          <w:lang w:val="fr-FR" w:eastAsia="ko-KR"/>
        </w:rPr>
        <w:t>tion d</w:t>
      </w:r>
      <w:r w:rsidR="00591134" w:rsidRPr="002715F2">
        <w:rPr>
          <w:rFonts w:eastAsia="Batang"/>
          <w:lang w:val="fr-FR" w:eastAsia="ko-KR"/>
        </w:rPr>
        <w:t>es</w:t>
      </w:r>
      <w:r w:rsidR="00263934" w:rsidRPr="002715F2">
        <w:rPr>
          <w:rFonts w:eastAsia="Batang"/>
          <w:lang w:val="fr-FR" w:eastAsia="ko-KR"/>
        </w:rPr>
        <w:t xml:space="preserve"> violence</w:t>
      </w:r>
      <w:r w:rsidR="00591134" w:rsidRPr="002715F2">
        <w:rPr>
          <w:rFonts w:eastAsia="Batang"/>
          <w:lang w:val="fr-FR" w:eastAsia="ko-KR"/>
        </w:rPr>
        <w:t>s</w:t>
      </w:r>
      <w:r w:rsidR="00263934" w:rsidRPr="002715F2">
        <w:rPr>
          <w:rFonts w:eastAsia="Batang"/>
          <w:lang w:val="fr-FR" w:eastAsia="ko-KR"/>
        </w:rPr>
        <w:t xml:space="preserve"> sexuelle</w:t>
      </w:r>
      <w:r w:rsidR="00591134" w:rsidRPr="002715F2">
        <w:rPr>
          <w:rFonts w:eastAsia="Batang"/>
          <w:lang w:val="fr-FR" w:eastAsia="ko-KR"/>
        </w:rPr>
        <w:t>s</w:t>
      </w:r>
      <w:r w:rsidR="0013749A" w:rsidRPr="002715F2">
        <w:rPr>
          <w:rFonts w:eastAsia="Batang"/>
          <w:lang w:val="fr-FR" w:eastAsia="ko-KR"/>
        </w:rPr>
        <w:t xml:space="preserve"> en partenariat avec les ONG et les organismes compétents</w:t>
      </w:r>
      <w:r w:rsidR="000078DA" w:rsidRPr="002715F2">
        <w:rPr>
          <w:rFonts w:eastAsia="Batang"/>
          <w:lang w:val="fr-FR" w:eastAsia="ko-KR"/>
        </w:rPr>
        <w:t>.</w:t>
      </w:r>
      <w:r w:rsidR="007E4062" w:rsidRPr="002715F2">
        <w:rPr>
          <w:rFonts w:eastAsia="Batang"/>
          <w:lang w:val="fr-FR" w:eastAsia="ko-KR"/>
        </w:rPr>
        <w:t xml:space="preserve"> Le</w:t>
      </w:r>
      <w:r w:rsidR="000078DA" w:rsidRPr="002715F2">
        <w:rPr>
          <w:rFonts w:eastAsia="Batang"/>
          <w:lang w:val="fr-FR" w:eastAsia="ko-KR"/>
        </w:rPr>
        <w:t xml:space="preserve"> </w:t>
      </w:r>
      <w:r w:rsidR="009054D1" w:rsidRPr="002715F2">
        <w:rPr>
          <w:rFonts w:eastAsia="Batang"/>
          <w:lang w:val="fr-FR" w:eastAsia="ko-KR"/>
        </w:rPr>
        <w:t>22 </w:t>
      </w:r>
      <w:r w:rsidR="007E4062" w:rsidRPr="002715F2">
        <w:rPr>
          <w:rFonts w:eastAsia="Batang"/>
          <w:lang w:val="fr-FR" w:eastAsia="ko-KR"/>
        </w:rPr>
        <w:t xml:space="preserve">février a été désigné </w:t>
      </w:r>
      <w:r w:rsidR="00E97B1A" w:rsidRPr="002715F2">
        <w:rPr>
          <w:rFonts w:eastAsia="Batang"/>
          <w:lang w:val="fr-FR" w:eastAsia="ko-KR"/>
        </w:rPr>
        <w:t>«</w:t>
      </w:r>
      <w:r w:rsidR="007E4062" w:rsidRPr="002715F2">
        <w:rPr>
          <w:rFonts w:eastAsia="Batang"/>
          <w:lang w:val="fr-FR" w:eastAsia="ko-KR"/>
        </w:rPr>
        <w:t>Journée d’éradication des violences sexuelles contre les enfants</w:t>
      </w:r>
      <w:r w:rsidR="00E97B1A" w:rsidRPr="002715F2">
        <w:rPr>
          <w:rFonts w:eastAsia="Batang"/>
          <w:lang w:val="fr-FR" w:eastAsia="ko-KR"/>
        </w:rPr>
        <w:t>»</w:t>
      </w:r>
      <w:r w:rsidR="000078DA" w:rsidRPr="002715F2">
        <w:rPr>
          <w:rFonts w:eastAsia="Batang"/>
          <w:lang w:val="fr-FR" w:eastAsia="ko-KR"/>
        </w:rPr>
        <w:t xml:space="preserve">. </w:t>
      </w:r>
      <w:r w:rsidR="007E4062" w:rsidRPr="002715F2">
        <w:rPr>
          <w:rFonts w:eastAsia="Batang"/>
          <w:lang w:val="fr-FR" w:eastAsia="ko-KR"/>
        </w:rPr>
        <w:t xml:space="preserve">Ce jour-là, des colloques et des événements ont </w:t>
      </w:r>
      <w:r w:rsidR="00CD7542" w:rsidRPr="002715F2">
        <w:rPr>
          <w:rFonts w:eastAsia="Batang"/>
          <w:lang w:val="fr-FR" w:eastAsia="ko-KR"/>
        </w:rPr>
        <w:t xml:space="preserve">été </w:t>
      </w:r>
      <w:r w:rsidR="007E4062" w:rsidRPr="002715F2">
        <w:rPr>
          <w:rFonts w:eastAsia="Batang"/>
          <w:lang w:val="fr-FR" w:eastAsia="ko-KR"/>
        </w:rPr>
        <w:t xml:space="preserve">organisés pour sensibiliser la population </w:t>
      </w:r>
      <w:r w:rsidR="0013749A" w:rsidRPr="002715F2">
        <w:rPr>
          <w:rFonts w:eastAsia="Batang"/>
          <w:lang w:val="fr-FR" w:eastAsia="ko-KR"/>
        </w:rPr>
        <w:t>à ce type de violence</w:t>
      </w:r>
      <w:r w:rsidR="007E4062" w:rsidRPr="002715F2">
        <w:rPr>
          <w:rFonts w:eastAsia="Batang"/>
          <w:lang w:val="fr-FR" w:eastAsia="ko-KR"/>
        </w:rPr>
        <w:t xml:space="preserve">, et des manuels et des vidéos </w:t>
      </w:r>
      <w:r w:rsidR="0013749A" w:rsidRPr="002715F2">
        <w:rPr>
          <w:rFonts w:eastAsia="Batang"/>
          <w:lang w:val="fr-FR" w:eastAsia="ko-KR"/>
        </w:rPr>
        <w:t xml:space="preserve">d’éducation </w:t>
      </w:r>
      <w:r w:rsidR="00CD7542" w:rsidRPr="002715F2">
        <w:rPr>
          <w:rFonts w:eastAsia="Batang"/>
          <w:lang w:val="fr-FR" w:eastAsia="ko-KR"/>
        </w:rPr>
        <w:t>ont été</w:t>
      </w:r>
      <w:r w:rsidR="007E4062" w:rsidRPr="002715F2">
        <w:rPr>
          <w:rFonts w:eastAsia="Batang"/>
          <w:lang w:val="fr-FR" w:eastAsia="ko-KR"/>
        </w:rPr>
        <w:t xml:space="preserve"> distribués pour informer les parents sur </w:t>
      </w:r>
      <w:r w:rsidR="0013749A" w:rsidRPr="002715F2">
        <w:rPr>
          <w:rFonts w:eastAsia="Batang"/>
          <w:lang w:val="fr-FR" w:eastAsia="ko-KR"/>
        </w:rPr>
        <w:t>sa</w:t>
      </w:r>
      <w:r w:rsidR="007E4062" w:rsidRPr="002715F2">
        <w:rPr>
          <w:rFonts w:eastAsia="Batang"/>
          <w:lang w:val="fr-FR" w:eastAsia="ko-KR"/>
        </w:rPr>
        <w:t xml:space="preserve"> prévention</w:t>
      </w:r>
      <w:r w:rsidR="000078DA" w:rsidRPr="002715F2">
        <w:rPr>
          <w:rFonts w:eastAsia="Batang"/>
          <w:lang w:val="fr-FR" w:eastAsia="ko-KR"/>
        </w:rPr>
        <w:t xml:space="preserve">. </w:t>
      </w:r>
      <w:r w:rsidR="007E4062" w:rsidRPr="002715F2">
        <w:rPr>
          <w:rFonts w:eastAsia="Batang"/>
          <w:lang w:val="fr-FR" w:eastAsia="ko-KR"/>
        </w:rPr>
        <w:t xml:space="preserve">En 2015, </w:t>
      </w:r>
      <w:r w:rsidR="007956AD" w:rsidRPr="002715F2">
        <w:rPr>
          <w:rFonts w:eastAsia="Batang"/>
          <w:lang w:val="fr-FR" w:eastAsia="ko-KR"/>
        </w:rPr>
        <w:t>une</w:t>
      </w:r>
      <w:r w:rsidR="009054D1" w:rsidRPr="002715F2">
        <w:rPr>
          <w:rFonts w:eastAsia="Batang"/>
          <w:lang w:val="fr-FR" w:eastAsia="ko-KR"/>
        </w:rPr>
        <w:t xml:space="preserve"> </w:t>
      </w:r>
      <w:r w:rsidR="00E97B1A" w:rsidRPr="002715F2">
        <w:rPr>
          <w:rFonts w:eastAsia="Batang"/>
          <w:lang w:val="fr-FR" w:eastAsia="ko-KR"/>
        </w:rPr>
        <w:t>«</w:t>
      </w:r>
      <w:r w:rsidR="007956AD" w:rsidRPr="002715F2">
        <w:rPr>
          <w:rFonts w:eastAsia="Batang"/>
          <w:lang w:val="fr-FR" w:eastAsia="ko-KR"/>
        </w:rPr>
        <w:t>Semaine d’éradication des violences familiales</w:t>
      </w:r>
      <w:r w:rsidR="00E97B1A" w:rsidRPr="002715F2">
        <w:rPr>
          <w:rFonts w:eastAsia="Batang"/>
          <w:lang w:val="fr-FR" w:eastAsia="ko-KR"/>
        </w:rPr>
        <w:t>»</w:t>
      </w:r>
      <w:r w:rsidR="007956AD" w:rsidRPr="002715F2">
        <w:rPr>
          <w:rFonts w:eastAsia="Batang"/>
          <w:lang w:val="fr-FR" w:eastAsia="ko-KR"/>
        </w:rPr>
        <w:t xml:space="preserve"> a été décrétée</w:t>
      </w:r>
      <w:r w:rsidR="009054D1" w:rsidRPr="002715F2">
        <w:rPr>
          <w:rFonts w:eastAsia="Batang"/>
          <w:lang w:val="fr-FR" w:eastAsia="ko-KR"/>
        </w:rPr>
        <w:t xml:space="preserve"> du 25 </w:t>
      </w:r>
      <w:r w:rsidR="007E4062" w:rsidRPr="002715F2">
        <w:rPr>
          <w:rFonts w:eastAsia="Batang"/>
          <w:lang w:val="fr-FR" w:eastAsia="ko-KR"/>
        </w:rPr>
        <w:t>novembre au 1</w:t>
      </w:r>
      <w:r w:rsidR="007E4062" w:rsidRPr="002715F2">
        <w:rPr>
          <w:rFonts w:eastAsia="Batang"/>
          <w:vertAlign w:val="superscript"/>
          <w:lang w:val="fr-FR" w:eastAsia="ko-KR"/>
        </w:rPr>
        <w:t>er</w:t>
      </w:r>
      <w:r w:rsidR="009054D1" w:rsidRPr="002715F2">
        <w:rPr>
          <w:rFonts w:eastAsia="Batang"/>
          <w:lang w:val="fr-FR" w:eastAsia="ko-KR"/>
        </w:rPr>
        <w:t> </w:t>
      </w:r>
      <w:r w:rsidR="007E4062" w:rsidRPr="002715F2">
        <w:rPr>
          <w:rFonts w:eastAsia="Batang"/>
          <w:lang w:val="fr-FR" w:eastAsia="ko-KR"/>
        </w:rPr>
        <w:t xml:space="preserve">décembre </w:t>
      </w:r>
    </w:p>
    <w:p w:rsidR="000078DA" w:rsidRPr="002715F2" w:rsidRDefault="007026FB" w:rsidP="007026FB">
      <w:pPr>
        <w:pStyle w:val="SingleTxtG"/>
        <w:rPr>
          <w:rFonts w:eastAsia="Batang"/>
          <w:spacing w:val="2"/>
          <w:lang w:val="fr-FR" w:eastAsia="ko-KR"/>
        </w:rPr>
      </w:pPr>
      <w:r w:rsidRPr="002715F2">
        <w:rPr>
          <w:rFonts w:eastAsia="Batang"/>
          <w:spacing w:val="2"/>
          <w:lang w:val="fr-FR" w:eastAsia="ko-KR"/>
        </w:rPr>
        <w:t>65.</w:t>
      </w:r>
      <w:r w:rsidRPr="002715F2">
        <w:rPr>
          <w:rFonts w:eastAsia="Batang"/>
          <w:spacing w:val="2"/>
          <w:lang w:val="fr-FR" w:eastAsia="ko-KR"/>
        </w:rPr>
        <w:tab/>
      </w:r>
      <w:r w:rsidR="00CD7542" w:rsidRPr="002715F2">
        <w:rPr>
          <w:rFonts w:eastAsia="Batang"/>
          <w:lang w:val="fr-FR" w:eastAsia="ko-KR"/>
        </w:rPr>
        <w:t xml:space="preserve">En 2008, la </w:t>
      </w:r>
      <w:r w:rsidR="00CD7542" w:rsidRPr="002715F2">
        <w:rPr>
          <w:bCs/>
          <w:lang w:val="fr-FR"/>
        </w:rPr>
        <w:t>Commission nationale des droits de l’homme a</w:t>
      </w:r>
      <w:r w:rsidR="00CD7542" w:rsidRPr="002715F2">
        <w:rPr>
          <w:rFonts w:eastAsia="Batang"/>
          <w:lang w:val="fr-FR" w:eastAsia="ko-KR"/>
        </w:rPr>
        <w:t xml:space="preserve"> mis en place un groupe de travail contre les violences et les agressions sexuelles dans le sport</w:t>
      </w:r>
      <w:r w:rsidR="001674EC" w:rsidRPr="002715F2">
        <w:rPr>
          <w:rFonts w:eastAsia="Batang"/>
          <w:lang w:val="fr-FR" w:eastAsia="ko-KR"/>
        </w:rPr>
        <w:t>,</w:t>
      </w:r>
      <w:r w:rsidR="002F3249" w:rsidRPr="002715F2">
        <w:rPr>
          <w:rFonts w:eastAsia="Batang"/>
          <w:lang w:val="fr-FR" w:eastAsia="ko-KR"/>
        </w:rPr>
        <w:t xml:space="preserve"> chargé d’entendre </w:t>
      </w:r>
      <w:r w:rsidR="006B0D9D" w:rsidRPr="002715F2">
        <w:rPr>
          <w:rFonts w:eastAsia="Batang"/>
          <w:lang w:val="fr-FR" w:eastAsia="ko-KR"/>
        </w:rPr>
        <w:t>l</w:t>
      </w:r>
      <w:r w:rsidR="00CD7542" w:rsidRPr="002715F2">
        <w:rPr>
          <w:rFonts w:eastAsia="Batang"/>
          <w:lang w:val="fr-FR" w:eastAsia="ko-KR"/>
        </w:rPr>
        <w:t xml:space="preserve">es </w:t>
      </w:r>
      <w:r w:rsidR="006B0D9D" w:rsidRPr="002715F2">
        <w:rPr>
          <w:rFonts w:eastAsia="Batang"/>
          <w:lang w:val="fr-FR" w:eastAsia="ko-KR"/>
        </w:rPr>
        <w:t>plaintes</w:t>
      </w:r>
      <w:r w:rsidR="00CD7542" w:rsidRPr="002715F2">
        <w:rPr>
          <w:rFonts w:eastAsia="Batang"/>
          <w:lang w:val="fr-FR" w:eastAsia="ko-KR"/>
        </w:rPr>
        <w:t xml:space="preserve">, de </w:t>
      </w:r>
      <w:r w:rsidR="002F3249" w:rsidRPr="002715F2">
        <w:rPr>
          <w:rFonts w:eastAsia="Batang"/>
          <w:lang w:val="fr-FR" w:eastAsia="ko-KR"/>
        </w:rPr>
        <w:t>mener</w:t>
      </w:r>
      <w:r w:rsidR="00CD7542" w:rsidRPr="002715F2">
        <w:rPr>
          <w:rFonts w:eastAsia="Batang"/>
          <w:lang w:val="fr-FR" w:eastAsia="ko-KR"/>
        </w:rPr>
        <w:t xml:space="preserve"> des </w:t>
      </w:r>
      <w:r w:rsidR="002F3249" w:rsidRPr="002715F2">
        <w:rPr>
          <w:rFonts w:eastAsia="Batang"/>
          <w:lang w:val="fr-FR" w:eastAsia="ko-KR"/>
        </w:rPr>
        <w:t>études</w:t>
      </w:r>
      <w:r w:rsidR="00CD7542" w:rsidRPr="002715F2">
        <w:rPr>
          <w:rFonts w:eastAsia="Batang"/>
          <w:lang w:val="fr-FR" w:eastAsia="ko-KR"/>
        </w:rPr>
        <w:t xml:space="preserve">, de revoir les politiques en place et de </w:t>
      </w:r>
      <w:r w:rsidR="00264348" w:rsidRPr="002715F2">
        <w:rPr>
          <w:rFonts w:ascii="TimesNewRomanPSMT" w:hAnsi="TimesNewRomanPSMT" w:cs="TimesNewRomanPSMT"/>
          <w:lang w:val="fr-FR" w:eastAsia="en-GB"/>
        </w:rPr>
        <w:t>développer l’enseignement de</w:t>
      </w:r>
      <w:r w:rsidR="001674EC" w:rsidRPr="002715F2">
        <w:rPr>
          <w:rFonts w:ascii="TimesNewRomanPSMT" w:hAnsi="TimesNewRomanPSMT" w:cs="TimesNewRomanPSMT"/>
          <w:lang w:val="fr-FR" w:eastAsia="en-GB"/>
        </w:rPr>
        <w:t xml:space="preserve"> ce</w:t>
      </w:r>
      <w:r w:rsidR="00264348" w:rsidRPr="002715F2">
        <w:rPr>
          <w:rFonts w:ascii="TimesNewRomanPSMT" w:hAnsi="TimesNewRomanPSMT" w:cs="TimesNewRomanPSMT"/>
          <w:lang w:val="fr-FR" w:eastAsia="en-GB"/>
        </w:rPr>
        <w:t>s</w:t>
      </w:r>
      <w:r w:rsidR="00CD7542" w:rsidRPr="002715F2">
        <w:rPr>
          <w:rFonts w:eastAsia="Batang"/>
          <w:lang w:val="fr-FR" w:eastAsia="ko-KR"/>
        </w:rPr>
        <w:t xml:space="preserve"> droits</w:t>
      </w:r>
      <w:r w:rsidR="000078DA" w:rsidRPr="002715F2">
        <w:rPr>
          <w:rFonts w:eastAsia="Batang"/>
          <w:lang w:val="fr-FR" w:eastAsia="ko-KR"/>
        </w:rPr>
        <w:t xml:space="preserve">. </w:t>
      </w:r>
      <w:r w:rsidR="00264348" w:rsidRPr="002715F2">
        <w:rPr>
          <w:rFonts w:eastAsia="Batang"/>
          <w:lang w:val="fr-FR" w:eastAsia="ko-KR"/>
        </w:rPr>
        <w:t>Le 14 </w:t>
      </w:r>
      <w:r w:rsidR="00CD7542" w:rsidRPr="002715F2">
        <w:rPr>
          <w:rFonts w:eastAsia="Batang"/>
          <w:lang w:val="fr-FR" w:eastAsia="ko-KR"/>
        </w:rPr>
        <w:t xml:space="preserve">mars 2008, la </w:t>
      </w:r>
      <w:r w:rsidR="00CD7542" w:rsidRPr="002715F2">
        <w:rPr>
          <w:bCs/>
          <w:lang w:val="fr-FR"/>
        </w:rPr>
        <w:t xml:space="preserve">Commission nationale des droits de l’homme a </w:t>
      </w:r>
      <w:r w:rsidR="00CD7542" w:rsidRPr="002715F2">
        <w:rPr>
          <w:rFonts w:eastAsia="Batang"/>
          <w:lang w:val="fr-FR" w:eastAsia="ko-KR"/>
        </w:rPr>
        <w:t>conclu un accord avec le Comité olympique coréen pour développer des programmes d</w:t>
      </w:r>
      <w:r w:rsidR="005A41DB" w:rsidRPr="002715F2">
        <w:rPr>
          <w:rFonts w:eastAsia="Batang"/>
          <w:lang w:val="fr-FR" w:eastAsia="ko-KR"/>
        </w:rPr>
        <w:t>’éducation</w:t>
      </w:r>
      <w:r w:rsidR="00CD7542" w:rsidRPr="002715F2">
        <w:rPr>
          <w:rFonts w:eastAsia="Batang"/>
          <w:lang w:val="fr-FR" w:eastAsia="ko-KR"/>
        </w:rPr>
        <w:t xml:space="preserve"> aux droits de l’homme à l’intention des étudiants</w:t>
      </w:r>
      <w:r w:rsidR="00FB35A3" w:rsidRPr="002715F2">
        <w:rPr>
          <w:rFonts w:eastAsia="Batang"/>
          <w:lang w:val="fr-FR" w:eastAsia="ko-KR"/>
        </w:rPr>
        <w:t xml:space="preserve"> </w:t>
      </w:r>
      <w:r w:rsidR="00CD7542" w:rsidRPr="002715F2">
        <w:rPr>
          <w:rFonts w:eastAsia="Batang"/>
          <w:lang w:val="fr-FR" w:eastAsia="ko-KR"/>
        </w:rPr>
        <w:t>athlètes,</w:t>
      </w:r>
      <w:r w:rsidR="001674EC" w:rsidRPr="002715F2">
        <w:rPr>
          <w:rFonts w:eastAsia="Batang"/>
          <w:lang w:val="fr-FR" w:eastAsia="ko-KR"/>
        </w:rPr>
        <w:t xml:space="preserve"> des entraîneurs et des parents</w:t>
      </w:r>
      <w:r w:rsidR="006B0D9D" w:rsidRPr="002715F2">
        <w:rPr>
          <w:rFonts w:eastAsia="Batang"/>
          <w:lang w:val="fr-FR" w:eastAsia="ko-KR"/>
        </w:rPr>
        <w:t xml:space="preserve"> en collaboration </w:t>
      </w:r>
      <w:r w:rsidR="00CD7542" w:rsidRPr="002715F2">
        <w:rPr>
          <w:rFonts w:eastAsia="Batang"/>
          <w:lang w:val="fr-FR" w:eastAsia="ko-KR"/>
        </w:rPr>
        <w:t xml:space="preserve">avec des </w:t>
      </w:r>
      <w:r w:rsidR="001674EC" w:rsidRPr="002715F2">
        <w:rPr>
          <w:rFonts w:eastAsia="Batang"/>
          <w:lang w:val="fr-FR" w:eastAsia="ko-KR"/>
        </w:rPr>
        <w:t>experts</w:t>
      </w:r>
      <w:r w:rsidR="00220C2E" w:rsidRPr="002715F2">
        <w:rPr>
          <w:rFonts w:eastAsia="Batang"/>
          <w:lang w:val="fr-FR" w:eastAsia="ko-KR"/>
        </w:rPr>
        <w:t xml:space="preserve"> </w:t>
      </w:r>
      <w:r w:rsidR="00CD7542" w:rsidRPr="002715F2">
        <w:rPr>
          <w:rFonts w:eastAsia="Batang"/>
          <w:lang w:val="fr-FR" w:eastAsia="ko-KR"/>
        </w:rPr>
        <w:t>et des athlètes de renom</w:t>
      </w:r>
      <w:r w:rsidR="000078DA" w:rsidRPr="002715F2">
        <w:rPr>
          <w:rFonts w:eastAsia="Batang"/>
          <w:lang w:val="fr-FR" w:eastAsia="ko-KR"/>
        </w:rPr>
        <w:t xml:space="preserve">. </w:t>
      </w:r>
      <w:r w:rsidR="00264348" w:rsidRPr="002715F2">
        <w:rPr>
          <w:rFonts w:eastAsia="Batang"/>
          <w:spacing w:val="2"/>
          <w:lang w:val="fr-FR" w:eastAsia="ko-KR"/>
        </w:rPr>
        <w:t>Entre 2008 et 2015, 27 </w:t>
      </w:r>
      <w:r w:rsidR="005A41DB" w:rsidRPr="002715F2">
        <w:rPr>
          <w:rFonts w:eastAsia="Batang"/>
          <w:spacing w:val="2"/>
          <w:lang w:val="fr-FR" w:eastAsia="ko-KR"/>
        </w:rPr>
        <w:t>587</w:t>
      </w:r>
      <w:r w:rsidR="00264348" w:rsidRPr="002715F2">
        <w:rPr>
          <w:rFonts w:eastAsia="Batang"/>
          <w:spacing w:val="2"/>
          <w:lang w:val="fr-FR" w:eastAsia="ko-KR"/>
        </w:rPr>
        <w:t> </w:t>
      </w:r>
      <w:r w:rsidR="005A41DB" w:rsidRPr="002715F2">
        <w:rPr>
          <w:rFonts w:eastAsia="Batang"/>
          <w:lang w:val="fr-FR" w:eastAsia="ko-KR"/>
        </w:rPr>
        <w:t>étudiants</w:t>
      </w:r>
      <w:r w:rsidR="00FB35A3" w:rsidRPr="002715F2">
        <w:rPr>
          <w:rFonts w:eastAsia="Batang"/>
          <w:spacing w:val="2"/>
          <w:lang w:val="fr-FR" w:eastAsia="ko-KR"/>
        </w:rPr>
        <w:t xml:space="preserve"> </w:t>
      </w:r>
      <w:r w:rsidR="005A41DB" w:rsidRPr="002715F2">
        <w:rPr>
          <w:rFonts w:eastAsia="Batang"/>
          <w:spacing w:val="2"/>
          <w:lang w:val="fr-FR" w:eastAsia="ko-KR"/>
        </w:rPr>
        <w:t xml:space="preserve">athlètes et autres </w:t>
      </w:r>
      <w:r w:rsidR="001674EC" w:rsidRPr="002715F2">
        <w:rPr>
          <w:rFonts w:eastAsia="Batang"/>
          <w:spacing w:val="2"/>
          <w:lang w:val="fr-FR" w:eastAsia="ko-KR"/>
        </w:rPr>
        <w:t xml:space="preserve">personnes </w:t>
      </w:r>
      <w:r w:rsidR="005A41DB" w:rsidRPr="002715F2">
        <w:rPr>
          <w:rFonts w:eastAsia="Batang"/>
          <w:spacing w:val="2"/>
          <w:lang w:val="fr-FR" w:eastAsia="ko-KR"/>
        </w:rPr>
        <w:t xml:space="preserve">ont </w:t>
      </w:r>
      <w:r w:rsidR="001674EC" w:rsidRPr="002715F2">
        <w:rPr>
          <w:rFonts w:eastAsia="Batang"/>
          <w:spacing w:val="2"/>
          <w:lang w:val="fr-FR" w:eastAsia="ko-KR"/>
        </w:rPr>
        <w:t>suivi</w:t>
      </w:r>
      <w:r w:rsidR="005A41DB" w:rsidRPr="002715F2">
        <w:rPr>
          <w:rFonts w:eastAsia="Batang"/>
          <w:spacing w:val="2"/>
          <w:lang w:val="fr-FR" w:eastAsia="ko-KR"/>
        </w:rPr>
        <w:t xml:space="preserve"> cette formation</w:t>
      </w:r>
      <w:r w:rsidR="00F60999" w:rsidRPr="002715F2">
        <w:rPr>
          <w:rFonts w:eastAsia="Batang"/>
          <w:spacing w:val="2"/>
          <w:lang w:val="fr-FR" w:eastAsia="ko-KR"/>
        </w:rPr>
        <w:t>.</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5A41DB" w:rsidRPr="002715F2">
        <w:rPr>
          <w:rFonts w:eastAsia="Batang"/>
          <w:lang w:val="fr-FR" w:eastAsia="ko-KR"/>
        </w:rPr>
        <w:t xml:space="preserve">Actions entreprises </w:t>
      </w:r>
      <w:r w:rsidR="001674EC" w:rsidRPr="002715F2">
        <w:rPr>
          <w:rFonts w:eastAsia="Batang"/>
          <w:lang w:val="fr-FR" w:eastAsia="ko-KR"/>
        </w:rPr>
        <w:t xml:space="preserve">pour </w:t>
      </w:r>
      <w:r w:rsidR="005A41DB" w:rsidRPr="002715F2">
        <w:rPr>
          <w:rFonts w:eastAsia="Batang"/>
          <w:lang w:val="fr-FR" w:eastAsia="ko-KR"/>
        </w:rPr>
        <w:t>interdi</w:t>
      </w:r>
      <w:r w:rsidR="001674EC" w:rsidRPr="002715F2">
        <w:rPr>
          <w:rFonts w:eastAsia="Batang"/>
          <w:lang w:val="fr-FR" w:eastAsia="ko-KR"/>
        </w:rPr>
        <w:t>re le</w:t>
      </w:r>
      <w:r w:rsidR="005A41DB" w:rsidRPr="002715F2">
        <w:rPr>
          <w:rFonts w:eastAsia="Batang"/>
          <w:lang w:val="fr-FR" w:eastAsia="ko-KR"/>
        </w:rPr>
        <w:t xml:space="preserve"> harcèlement sexuel sur le lieu de travail</w:t>
      </w:r>
    </w:p>
    <w:p w:rsidR="000078DA" w:rsidRPr="002715F2" w:rsidRDefault="007026FB" w:rsidP="003B0DB7">
      <w:pPr>
        <w:pStyle w:val="SingleTxtG"/>
        <w:rPr>
          <w:rFonts w:eastAsia="Batang"/>
          <w:strike/>
          <w:u w:val="single"/>
          <w:lang w:val="fr-FR" w:eastAsia="ko-KR"/>
        </w:rPr>
      </w:pPr>
      <w:r w:rsidRPr="002715F2">
        <w:rPr>
          <w:rFonts w:eastAsia="Batang"/>
          <w:lang w:val="fr-FR" w:eastAsia="ko-KR"/>
        </w:rPr>
        <w:t>66.</w:t>
      </w:r>
      <w:r w:rsidRPr="002715F2">
        <w:rPr>
          <w:rFonts w:eastAsia="Batang"/>
          <w:lang w:val="fr-FR" w:eastAsia="ko-KR"/>
        </w:rPr>
        <w:tab/>
      </w:r>
      <w:r w:rsidR="000C7C46" w:rsidRPr="002715F2">
        <w:rPr>
          <w:rFonts w:eastAsia="Batang"/>
          <w:lang w:val="fr-FR" w:eastAsia="ko-KR"/>
        </w:rPr>
        <w:t xml:space="preserve">À l’heure actuelle, </w:t>
      </w:r>
      <w:r w:rsidR="003B0DB7" w:rsidRPr="002715F2">
        <w:rPr>
          <w:rFonts w:eastAsia="Batang"/>
          <w:lang w:val="fr-FR" w:eastAsia="ko-KR"/>
        </w:rPr>
        <w:t xml:space="preserve">aucune disposition générale dans </w:t>
      </w:r>
      <w:r w:rsidR="00D07210" w:rsidRPr="002715F2">
        <w:rPr>
          <w:rFonts w:eastAsia="Batang"/>
          <w:lang w:val="fr-FR" w:eastAsia="ko-KR"/>
        </w:rPr>
        <w:t xml:space="preserve">la législation coréenne ne </w:t>
      </w:r>
      <w:r w:rsidR="003B0DB7" w:rsidRPr="002715F2">
        <w:rPr>
          <w:rFonts w:eastAsia="Batang"/>
          <w:lang w:val="fr-FR" w:eastAsia="ko-KR"/>
        </w:rPr>
        <w:t>prévoit</w:t>
      </w:r>
      <w:r w:rsidR="00D07210" w:rsidRPr="002715F2">
        <w:rPr>
          <w:rFonts w:eastAsia="Batang"/>
          <w:lang w:val="fr-FR" w:eastAsia="ko-KR"/>
        </w:rPr>
        <w:t xml:space="preserve"> de sanction</w:t>
      </w:r>
      <w:r w:rsidR="003B0DB7" w:rsidRPr="002715F2">
        <w:rPr>
          <w:rFonts w:eastAsia="Batang"/>
          <w:lang w:val="fr-FR" w:eastAsia="ko-KR"/>
        </w:rPr>
        <w:t xml:space="preserve"> pénale contre</w:t>
      </w:r>
      <w:r w:rsidR="00D07210" w:rsidRPr="002715F2">
        <w:rPr>
          <w:rFonts w:eastAsia="Batang"/>
          <w:lang w:val="fr-FR" w:eastAsia="ko-KR"/>
        </w:rPr>
        <w:t xml:space="preserve"> le</w:t>
      </w:r>
      <w:r w:rsidR="005A41DB" w:rsidRPr="002715F2">
        <w:rPr>
          <w:rFonts w:eastAsia="Batang"/>
          <w:lang w:val="fr-FR" w:eastAsia="ko-KR"/>
        </w:rPr>
        <w:t xml:space="preserve"> harcèlement sexuel</w:t>
      </w:r>
      <w:r w:rsidR="000078DA" w:rsidRPr="002715F2">
        <w:rPr>
          <w:rFonts w:eastAsia="Batang"/>
          <w:lang w:val="fr-FR" w:eastAsia="ko-KR"/>
        </w:rPr>
        <w:t>.</w:t>
      </w:r>
      <w:r w:rsidR="001674EC" w:rsidRPr="002715F2">
        <w:rPr>
          <w:rFonts w:eastAsia="Batang"/>
          <w:lang w:val="fr-FR" w:eastAsia="ko-KR"/>
        </w:rPr>
        <w:t xml:space="preserve"> Toutefois, la loi sur l’égalité </w:t>
      </w:r>
      <w:r w:rsidR="000C7C46" w:rsidRPr="002715F2">
        <w:rPr>
          <w:rFonts w:eastAsia="Batang"/>
          <w:lang w:val="fr-FR" w:eastAsia="ko-KR"/>
        </w:rPr>
        <w:t xml:space="preserve">en matière d’emploi </w:t>
      </w:r>
      <w:r w:rsidR="001674EC" w:rsidRPr="002715F2">
        <w:rPr>
          <w:rFonts w:eastAsia="Batang"/>
          <w:lang w:val="fr-FR" w:eastAsia="ko-KR"/>
        </w:rPr>
        <w:t xml:space="preserve">et la promotion de l’équilibre entre vie professionnelle et vie familiale </w:t>
      </w:r>
      <w:r w:rsidR="005A41DB" w:rsidRPr="002715F2">
        <w:rPr>
          <w:rFonts w:eastAsia="Batang"/>
          <w:lang w:val="fr-FR" w:eastAsia="ko-KR"/>
        </w:rPr>
        <w:t xml:space="preserve">interdit </w:t>
      </w:r>
      <w:r w:rsidR="001674EC" w:rsidRPr="002715F2">
        <w:rPr>
          <w:rFonts w:eastAsia="Batang"/>
          <w:lang w:val="fr-FR" w:eastAsia="ko-KR"/>
        </w:rPr>
        <w:t>aux employeurs</w:t>
      </w:r>
      <w:r w:rsidR="00D07210" w:rsidRPr="002715F2">
        <w:rPr>
          <w:rFonts w:eastAsia="Batang"/>
          <w:lang w:val="fr-FR" w:eastAsia="ko-KR"/>
        </w:rPr>
        <w:t>,</w:t>
      </w:r>
      <w:r w:rsidR="001674EC" w:rsidRPr="002715F2">
        <w:rPr>
          <w:rFonts w:eastAsia="Batang"/>
          <w:lang w:val="fr-FR" w:eastAsia="ko-KR"/>
        </w:rPr>
        <w:t xml:space="preserve"> </w:t>
      </w:r>
      <w:r w:rsidR="00D07210" w:rsidRPr="002715F2">
        <w:rPr>
          <w:rFonts w:eastAsia="Batang"/>
          <w:lang w:val="fr-FR" w:eastAsia="ko-KR"/>
        </w:rPr>
        <w:t xml:space="preserve">supérieurs et employés </w:t>
      </w:r>
      <w:r w:rsidR="001674EC" w:rsidRPr="002715F2">
        <w:rPr>
          <w:rFonts w:eastAsia="Batang"/>
          <w:lang w:val="fr-FR" w:eastAsia="ko-KR"/>
        </w:rPr>
        <w:t>de</w:t>
      </w:r>
      <w:r w:rsidR="000C7C46" w:rsidRPr="002715F2">
        <w:rPr>
          <w:rFonts w:eastAsia="Batang"/>
          <w:lang w:val="fr-FR" w:eastAsia="ko-KR"/>
        </w:rPr>
        <w:t xml:space="preserve"> commettre des actes de </w:t>
      </w:r>
      <w:r w:rsidR="009966B6" w:rsidRPr="002715F2">
        <w:rPr>
          <w:rFonts w:eastAsia="Batang"/>
          <w:lang w:val="fr-FR" w:eastAsia="ko-KR"/>
        </w:rPr>
        <w:t>harcèlement</w:t>
      </w:r>
      <w:r w:rsidR="001674EC" w:rsidRPr="002715F2">
        <w:rPr>
          <w:rFonts w:eastAsia="Batang"/>
          <w:lang w:val="fr-FR" w:eastAsia="ko-KR"/>
        </w:rPr>
        <w:t xml:space="preserve"> </w:t>
      </w:r>
      <w:r w:rsidR="005A41DB" w:rsidRPr="002715F2">
        <w:rPr>
          <w:rFonts w:eastAsia="Batang"/>
          <w:lang w:val="fr-FR" w:eastAsia="ko-KR"/>
        </w:rPr>
        <w:t xml:space="preserve">sexuel sur le lieu de travail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 xml:space="preserve">12). </w:t>
      </w:r>
      <w:r w:rsidR="005A41DB" w:rsidRPr="002715F2">
        <w:rPr>
          <w:rFonts w:eastAsia="Batang"/>
          <w:lang w:val="fr-FR" w:eastAsia="ko-KR"/>
        </w:rPr>
        <w:t>Une amende pour négligence ne pouvant excéder 10</w:t>
      </w:r>
      <w:r w:rsidR="00D07210" w:rsidRPr="002715F2">
        <w:rPr>
          <w:rFonts w:eastAsia="Batang"/>
          <w:lang w:val="fr-FR" w:eastAsia="ko-KR"/>
        </w:rPr>
        <w:t> </w:t>
      </w:r>
      <w:r w:rsidR="005A41DB" w:rsidRPr="002715F2">
        <w:rPr>
          <w:rFonts w:eastAsia="Batang"/>
          <w:lang w:val="fr-FR" w:eastAsia="ko-KR"/>
        </w:rPr>
        <w:t>millions de won est imposée aux employeurs qui se rendent coupables de harcèlement sexuel</w:t>
      </w:r>
      <w:r w:rsidR="000078DA" w:rsidRPr="002715F2">
        <w:rPr>
          <w:rFonts w:eastAsia="Batang"/>
          <w:lang w:val="fr-FR" w:eastAsia="ko-KR"/>
        </w:rPr>
        <w:t xml:space="preserve"> (</w:t>
      </w:r>
      <w:r w:rsidR="00BD1A84" w:rsidRPr="002715F2">
        <w:rPr>
          <w:rFonts w:eastAsia="Batang"/>
          <w:lang w:val="fr-FR" w:eastAsia="ko-KR"/>
        </w:rPr>
        <w:t>art. </w:t>
      </w:r>
      <w:r w:rsidR="000078DA" w:rsidRPr="002715F2">
        <w:rPr>
          <w:rFonts w:eastAsia="Batang"/>
          <w:lang w:val="fr-FR" w:eastAsia="ko-KR"/>
        </w:rPr>
        <w:t>39</w:t>
      </w:r>
      <w:r w:rsidR="005A41DB"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1). </w:t>
      </w:r>
      <w:r w:rsidR="003A32D0" w:rsidRPr="002715F2">
        <w:rPr>
          <w:rFonts w:eastAsia="Batang"/>
          <w:lang w:val="fr-FR" w:eastAsia="ko-KR"/>
        </w:rPr>
        <w:t>Cette</w:t>
      </w:r>
      <w:r w:rsidR="005A41DB" w:rsidRPr="002715F2">
        <w:rPr>
          <w:rFonts w:eastAsia="Batang"/>
          <w:lang w:val="fr-FR" w:eastAsia="ko-KR"/>
        </w:rPr>
        <w:t xml:space="preserve"> loi oblige </w:t>
      </w:r>
      <w:r w:rsidR="003A32D0" w:rsidRPr="002715F2">
        <w:rPr>
          <w:rFonts w:eastAsia="Batang"/>
          <w:lang w:val="fr-FR" w:eastAsia="ko-KR"/>
        </w:rPr>
        <w:t xml:space="preserve">également </w:t>
      </w:r>
      <w:r w:rsidR="005A41DB" w:rsidRPr="002715F2">
        <w:rPr>
          <w:rFonts w:eastAsia="Batang"/>
          <w:lang w:val="fr-FR" w:eastAsia="ko-KR"/>
        </w:rPr>
        <w:t>les employeurs à prend</w:t>
      </w:r>
      <w:r w:rsidR="00D07210" w:rsidRPr="002715F2">
        <w:rPr>
          <w:rFonts w:eastAsia="Batang"/>
          <w:lang w:val="fr-FR" w:eastAsia="ko-KR"/>
        </w:rPr>
        <w:t>re des sanctions disciplinaires</w:t>
      </w:r>
      <w:r w:rsidR="005A41DB" w:rsidRPr="002715F2">
        <w:rPr>
          <w:rFonts w:eastAsia="Batang"/>
          <w:lang w:val="fr-FR" w:eastAsia="ko-KR"/>
        </w:rPr>
        <w:t xml:space="preserve"> ou </w:t>
      </w:r>
      <w:r w:rsidR="00D07210" w:rsidRPr="002715F2">
        <w:rPr>
          <w:rFonts w:eastAsia="Batang"/>
          <w:lang w:val="fr-FR" w:eastAsia="ko-KR"/>
        </w:rPr>
        <w:t>d’autres</w:t>
      </w:r>
      <w:r w:rsidR="005A41DB" w:rsidRPr="002715F2">
        <w:rPr>
          <w:rFonts w:eastAsia="Batang"/>
          <w:lang w:val="fr-FR" w:eastAsia="ko-KR"/>
        </w:rPr>
        <w:t xml:space="preserve"> mesures </w:t>
      </w:r>
      <w:r w:rsidR="00D07210" w:rsidRPr="002715F2">
        <w:rPr>
          <w:rFonts w:eastAsia="Batang"/>
          <w:lang w:val="fr-FR" w:eastAsia="ko-KR"/>
        </w:rPr>
        <w:t>appropriées</w:t>
      </w:r>
      <w:r w:rsidR="005A41DB" w:rsidRPr="002715F2">
        <w:rPr>
          <w:rFonts w:eastAsia="Batang"/>
          <w:lang w:val="fr-FR" w:eastAsia="ko-KR"/>
        </w:rPr>
        <w:t xml:space="preserve"> contre </w:t>
      </w:r>
      <w:r w:rsidR="00C44DAE" w:rsidRPr="002715F2">
        <w:rPr>
          <w:rFonts w:eastAsia="Batang"/>
          <w:lang w:val="fr-FR" w:eastAsia="ko-KR"/>
        </w:rPr>
        <w:t xml:space="preserve">les </w:t>
      </w:r>
      <w:r w:rsidR="003A32D0" w:rsidRPr="002715F2">
        <w:rPr>
          <w:rFonts w:eastAsia="Batang"/>
          <w:lang w:val="fr-FR" w:eastAsia="ko-KR"/>
        </w:rPr>
        <w:t>auteur</w:t>
      </w:r>
      <w:r w:rsidR="00C44DAE" w:rsidRPr="002715F2">
        <w:rPr>
          <w:rFonts w:eastAsia="Batang"/>
          <w:lang w:val="fr-FR" w:eastAsia="ko-KR"/>
        </w:rPr>
        <w:t>s</w:t>
      </w:r>
      <w:r w:rsidR="005A41DB" w:rsidRPr="002715F2">
        <w:rPr>
          <w:rFonts w:eastAsia="Batang"/>
          <w:lang w:val="fr-FR" w:eastAsia="ko-KR"/>
        </w:rPr>
        <w:t xml:space="preserve"> de harcèlement sexuel sur le lieu de travail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14</w:t>
      </w:r>
      <w:r w:rsidR="005A41DB"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1)</w:t>
      </w:r>
      <w:r w:rsidR="003A32D0" w:rsidRPr="002715F2">
        <w:rPr>
          <w:rFonts w:eastAsia="Batang"/>
          <w:lang w:val="fr-FR" w:eastAsia="ko-KR"/>
        </w:rPr>
        <w:t xml:space="preserve"> et leur </w:t>
      </w:r>
      <w:r w:rsidR="005A41DB" w:rsidRPr="002715F2">
        <w:rPr>
          <w:rFonts w:eastAsia="Batang"/>
          <w:lang w:val="fr-FR" w:eastAsia="ko-KR"/>
        </w:rPr>
        <w:t xml:space="preserve">interdit de </w:t>
      </w:r>
      <w:r w:rsidR="003B0DB7" w:rsidRPr="002715F2">
        <w:rPr>
          <w:rFonts w:eastAsia="Batang"/>
          <w:lang w:val="fr-FR" w:eastAsia="ko-KR"/>
        </w:rPr>
        <w:t xml:space="preserve">traiter de manière désavantageuse les </w:t>
      </w:r>
      <w:r w:rsidR="005A41DB" w:rsidRPr="002715F2">
        <w:rPr>
          <w:rFonts w:eastAsia="Batang"/>
          <w:lang w:val="fr-FR" w:eastAsia="ko-KR"/>
        </w:rPr>
        <w:t xml:space="preserve">employés qui réclament des dommages-intérêts </w:t>
      </w:r>
      <w:r w:rsidR="000078DA" w:rsidRPr="002715F2">
        <w:rPr>
          <w:rFonts w:eastAsia="Batang"/>
          <w:lang w:val="fr-FR" w:eastAsia="ko-KR"/>
        </w:rPr>
        <w:t>(</w:t>
      </w:r>
      <w:r w:rsidR="00BD1A84" w:rsidRPr="002715F2">
        <w:rPr>
          <w:rFonts w:eastAsia="Batang"/>
          <w:lang w:val="fr-FR" w:eastAsia="ko-KR"/>
        </w:rPr>
        <w:t>par. </w:t>
      </w:r>
      <w:r w:rsidR="000078DA" w:rsidRPr="002715F2">
        <w:rPr>
          <w:rFonts w:eastAsia="Batang"/>
          <w:lang w:val="fr-FR" w:eastAsia="ko-KR"/>
        </w:rPr>
        <w:t xml:space="preserve">2). </w:t>
      </w:r>
      <w:r w:rsidR="005A41DB" w:rsidRPr="002715F2">
        <w:rPr>
          <w:rFonts w:eastAsia="Batang"/>
          <w:lang w:val="fr-FR" w:eastAsia="ko-KR"/>
        </w:rPr>
        <w:t xml:space="preserve">En cas de violation des dispositions précitées, les employeurs se verront infliger une sanction pénale ou une amende pour négligence </w:t>
      </w:r>
      <w:r w:rsidR="000078DA" w:rsidRPr="002715F2">
        <w:rPr>
          <w:rFonts w:eastAsia="Batang"/>
          <w:lang w:val="fr-FR" w:eastAsia="ko-KR"/>
        </w:rPr>
        <w:t>(</w:t>
      </w:r>
      <w:r w:rsidR="007C5014" w:rsidRPr="002715F2">
        <w:rPr>
          <w:rFonts w:eastAsia="Batang"/>
          <w:lang w:val="fr-FR" w:eastAsia="ko-KR"/>
        </w:rPr>
        <w:t>art. </w:t>
      </w:r>
      <w:r w:rsidR="000078DA" w:rsidRPr="002715F2">
        <w:rPr>
          <w:rFonts w:eastAsia="Batang"/>
          <w:lang w:val="fr-FR" w:eastAsia="ko-KR"/>
        </w:rPr>
        <w:t xml:space="preserve">37 </w:t>
      </w:r>
      <w:r w:rsidR="005A41DB" w:rsidRPr="002715F2">
        <w:rPr>
          <w:rFonts w:eastAsia="Batang"/>
          <w:lang w:val="fr-FR" w:eastAsia="ko-KR"/>
        </w:rPr>
        <w:t>à</w:t>
      </w:r>
      <w:r w:rsidR="000078DA" w:rsidRPr="002715F2">
        <w:rPr>
          <w:rFonts w:eastAsia="Batang"/>
          <w:lang w:val="fr-FR" w:eastAsia="ko-KR"/>
        </w:rPr>
        <w:t xml:space="preserve"> 39).</w:t>
      </w:r>
      <w:r w:rsidR="005A41DB" w:rsidRPr="002715F2">
        <w:rPr>
          <w:rFonts w:eastAsia="Batang"/>
          <w:lang w:val="fr-FR" w:eastAsia="ko-KR"/>
        </w:rPr>
        <w:t xml:space="preserve"> </w:t>
      </w:r>
      <w:r w:rsidR="003A32D0" w:rsidRPr="002715F2">
        <w:rPr>
          <w:rFonts w:eastAsia="Batang"/>
          <w:lang w:val="fr-FR" w:eastAsia="ko-KR"/>
        </w:rPr>
        <w:t>L</w:t>
      </w:r>
      <w:r w:rsidR="003B0DB7" w:rsidRPr="002715F2">
        <w:rPr>
          <w:rFonts w:eastAsia="Batang"/>
          <w:lang w:val="fr-FR" w:eastAsia="ko-KR"/>
        </w:rPr>
        <w:t xml:space="preserve">e 21 décembre 2007, cette </w:t>
      </w:r>
      <w:r w:rsidR="005A41DB" w:rsidRPr="002715F2">
        <w:rPr>
          <w:rFonts w:eastAsia="Batang"/>
          <w:lang w:val="fr-FR" w:eastAsia="ko-KR"/>
        </w:rPr>
        <w:t xml:space="preserve">loi a été modifiée pour inclure une nouvelle disposition </w:t>
      </w:r>
      <w:r w:rsidR="003B0DB7" w:rsidRPr="002715F2">
        <w:rPr>
          <w:rFonts w:eastAsia="Batang"/>
          <w:lang w:val="fr-FR" w:eastAsia="ko-KR"/>
        </w:rPr>
        <w:t xml:space="preserve">qui </w:t>
      </w:r>
      <w:r w:rsidR="005A41DB" w:rsidRPr="002715F2">
        <w:rPr>
          <w:rFonts w:eastAsia="Batang"/>
          <w:lang w:val="fr-FR" w:eastAsia="ko-KR"/>
        </w:rPr>
        <w:t>oblig</w:t>
      </w:r>
      <w:r w:rsidR="003B0DB7" w:rsidRPr="002715F2">
        <w:rPr>
          <w:rFonts w:eastAsia="Batang"/>
          <w:lang w:val="fr-FR" w:eastAsia="ko-KR"/>
        </w:rPr>
        <w:t>e</w:t>
      </w:r>
      <w:r w:rsidR="005A41DB" w:rsidRPr="002715F2">
        <w:rPr>
          <w:rFonts w:eastAsia="Batang"/>
          <w:lang w:val="fr-FR" w:eastAsia="ko-KR"/>
        </w:rPr>
        <w:t xml:space="preserve"> l’employeur </w:t>
      </w:r>
      <w:r w:rsidR="003B0DB7" w:rsidRPr="002715F2">
        <w:rPr>
          <w:rFonts w:eastAsia="Batang"/>
          <w:lang w:val="fr-FR" w:eastAsia="ko-KR"/>
        </w:rPr>
        <w:t>à</w:t>
      </w:r>
      <w:r w:rsidR="005A41DB" w:rsidRPr="002715F2">
        <w:rPr>
          <w:rFonts w:eastAsia="Batang"/>
          <w:lang w:val="fr-FR" w:eastAsia="ko-KR"/>
        </w:rPr>
        <w:t xml:space="preserve"> protéger ses salariés </w:t>
      </w:r>
      <w:r w:rsidR="003A32D0" w:rsidRPr="002715F2">
        <w:rPr>
          <w:rFonts w:eastAsia="Batang"/>
          <w:lang w:val="fr-FR" w:eastAsia="ko-KR"/>
        </w:rPr>
        <w:t>de tout</w:t>
      </w:r>
      <w:r w:rsidR="005A41DB" w:rsidRPr="002715F2">
        <w:rPr>
          <w:rFonts w:eastAsia="Batang"/>
          <w:lang w:val="fr-FR" w:eastAsia="ko-KR"/>
        </w:rPr>
        <w:t xml:space="preserve"> harcèlement sexuel par des tierces parties notamment des clients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14-2).</w:t>
      </w:r>
    </w:p>
    <w:p w:rsidR="000078DA" w:rsidRPr="002715F2" w:rsidRDefault="007026FB" w:rsidP="007026FB">
      <w:pPr>
        <w:pStyle w:val="SingleTxtG"/>
        <w:rPr>
          <w:rFonts w:eastAsia="Malgun Gothic"/>
          <w:strike/>
          <w:spacing w:val="-10"/>
          <w:kern w:val="2"/>
          <w:szCs w:val="22"/>
          <w:lang w:val="fr-FR" w:eastAsia="ko-KR"/>
        </w:rPr>
      </w:pPr>
      <w:r w:rsidRPr="002715F2">
        <w:rPr>
          <w:rFonts w:eastAsia="Malgun Gothic"/>
          <w:spacing w:val="-10"/>
          <w:kern w:val="2"/>
          <w:szCs w:val="22"/>
          <w:lang w:val="fr-FR" w:eastAsia="ko-KR"/>
        </w:rPr>
        <w:t>67.</w:t>
      </w:r>
      <w:r w:rsidRPr="002715F2">
        <w:rPr>
          <w:rFonts w:eastAsia="Malgun Gothic"/>
          <w:spacing w:val="-10"/>
          <w:kern w:val="2"/>
          <w:szCs w:val="22"/>
          <w:lang w:val="fr-FR" w:eastAsia="ko-KR"/>
        </w:rPr>
        <w:tab/>
      </w:r>
      <w:r w:rsidR="00AF3A73" w:rsidRPr="002715F2">
        <w:rPr>
          <w:rFonts w:eastAsia="Malgun Gothic"/>
          <w:kern w:val="2"/>
          <w:szCs w:val="22"/>
          <w:lang w:val="fr-FR" w:eastAsia="ko-KR"/>
        </w:rPr>
        <w:t xml:space="preserve">La loi sur la </w:t>
      </w:r>
      <w:r w:rsidR="00AF3A73" w:rsidRPr="002715F2">
        <w:rPr>
          <w:bCs/>
          <w:lang w:val="fr-FR"/>
        </w:rPr>
        <w:t xml:space="preserve">Commission nationale des droits de l’homme </w:t>
      </w:r>
      <w:r w:rsidR="006B0D9D" w:rsidRPr="002715F2">
        <w:rPr>
          <w:rFonts w:eastAsia="Malgun Gothic"/>
          <w:kern w:val="2"/>
          <w:szCs w:val="22"/>
          <w:lang w:val="fr-FR" w:eastAsia="ko-KR"/>
        </w:rPr>
        <w:t>dispose</w:t>
      </w:r>
      <w:r w:rsidR="00AF3A73" w:rsidRPr="002715F2">
        <w:rPr>
          <w:rFonts w:eastAsia="Malgun Gothic"/>
          <w:kern w:val="2"/>
          <w:szCs w:val="22"/>
          <w:lang w:val="fr-FR" w:eastAsia="ko-KR"/>
        </w:rPr>
        <w:t xml:space="preserve"> que le harcèlement sexuel est un acte discriminatoire qui viole le droit à l’égalité </w:t>
      </w:r>
      <w:r w:rsidR="000078DA" w:rsidRPr="002715F2">
        <w:rPr>
          <w:rFonts w:eastAsia="Malgun Gothic"/>
          <w:kern w:val="2"/>
          <w:szCs w:val="22"/>
          <w:lang w:val="fr-FR" w:eastAsia="ko-KR"/>
        </w:rPr>
        <w:t>(</w:t>
      </w:r>
      <w:r w:rsidR="00BD1A84" w:rsidRPr="002715F2">
        <w:rPr>
          <w:rFonts w:eastAsia="Malgun Gothic"/>
          <w:kern w:val="2"/>
          <w:szCs w:val="22"/>
          <w:lang w:val="fr-FR" w:eastAsia="ko-KR"/>
        </w:rPr>
        <w:t>art. </w:t>
      </w:r>
      <w:r w:rsidR="006B0D9D" w:rsidRPr="002715F2">
        <w:rPr>
          <w:rFonts w:eastAsia="Malgun Gothic"/>
          <w:kern w:val="2"/>
          <w:szCs w:val="22"/>
          <w:lang w:val="fr-FR" w:eastAsia="ko-KR"/>
        </w:rPr>
        <w:t>2 3) </w:t>
      </w:r>
      <w:r w:rsidR="000078DA" w:rsidRPr="002715F2">
        <w:rPr>
          <w:rFonts w:eastAsia="Malgun Gothic"/>
          <w:kern w:val="2"/>
          <w:szCs w:val="22"/>
          <w:lang w:val="fr-FR" w:eastAsia="ko-KR"/>
        </w:rPr>
        <w:t xml:space="preserve">d)). </w:t>
      </w:r>
      <w:r w:rsidR="006B0D9D" w:rsidRPr="002715F2">
        <w:rPr>
          <w:rFonts w:eastAsia="Malgun Gothic"/>
          <w:kern w:val="2"/>
          <w:szCs w:val="22"/>
          <w:lang w:val="fr-FR" w:eastAsia="ko-KR"/>
        </w:rPr>
        <w:t xml:space="preserve">Quand la </w:t>
      </w:r>
      <w:r w:rsidR="006B0D9D" w:rsidRPr="002715F2">
        <w:rPr>
          <w:bCs/>
          <w:lang w:val="fr-FR"/>
        </w:rPr>
        <w:t xml:space="preserve">Commission </w:t>
      </w:r>
      <w:r w:rsidR="006B0D9D" w:rsidRPr="002715F2">
        <w:rPr>
          <w:rFonts w:eastAsia="Malgun Gothic"/>
          <w:kern w:val="2"/>
          <w:szCs w:val="22"/>
          <w:lang w:val="fr-FR" w:eastAsia="ko-KR"/>
        </w:rPr>
        <w:t xml:space="preserve">enquête sur une plainte pour harcèlement sexuel et confirme que celui-ci </w:t>
      </w:r>
      <w:r w:rsidR="00AC2E23" w:rsidRPr="002715F2">
        <w:rPr>
          <w:rFonts w:eastAsia="Malgun Gothic"/>
          <w:kern w:val="2"/>
          <w:szCs w:val="22"/>
          <w:lang w:val="fr-FR" w:eastAsia="ko-KR"/>
        </w:rPr>
        <w:t>est avéré</w:t>
      </w:r>
      <w:r w:rsidR="006B0D9D" w:rsidRPr="002715F2">
        <w:rPr>
          <w:rFonts w:eastAsia="Malgun Gothic"/>
          <w:kern w:val="2"/>
          <w:szCs w:val="22"/>
          <w:lang w:val="fr-FR" w:eastAsia="ko-KR"/>
        </w:rPr>
        <w:t xml:space="preserve">, elle recommande à l’auteur du harcèlement de suivre une formation </w:t>
      </w:r>
      <w:r w:rsidR="00AC2E23" w:rsidRPr="002715F2">
        <w:rPr>
          <w:rFonts w:eastAsia="Malgun Gothic"/>
          <w:kern w:val="2"/>
          <w:szCs w:val="22"/>
          <w:lang w:val="fr-FR" w:eastAsia="ko-KR"/>
        </w:rPr>
        <w:t xml:space="preserve">aux droits de l’homme, </w:t>
      </w:r>
      <w:r w:rsidR="006B0D9D" w:rsidRPr="002715F2">
        <w:rPr>
          <w:rFonts w:eastAsia="Malgun Gothic"/>
          <w:kern w:val="2"/>
          <w:szCs w:val="22"/>
          <w:lang w:val="fr-FR" w:eastAsia="ko-KR"/>
        </w:rPr>
        <w:t xml:space="preserve">de verser </w:t>
      </w:r>
      <w:r w:rsidR="00AC2E23" w:rsidRPr="002715F2">
        <w:rPr>
          <w:rFonts w:eastAsia="Malgun Gothic"/>
          <w:kern w:val="2"/>
          <w:szCs w:val="22"/>
          <w:lang w:val="fr-FR" w:eastAsia="ko-KR"/>
        </w:rPr>
        <w:t>une indemnisation à la victime</w:t>
      </w:r>
      <w:r w:rsidR="006B0D9D" w:rsidRPr="002715F2">
        <w:rPr>
          <w:rFonts w:eastAsia="Malgun Gothic"/>
          <w:kern w:val="2"/>
          <w:szCs w:val="22"/>
          <w:lang w:val="fr-FR" w:eastAsia="ko-KR"/>
        </w:rPr>
        <w:t xml:space="preserve"> </w:t>
      </w:r>
      <w:r w:rsidR="00AC2E23" w:rsidRPr="002715F2">
        <w:rPr>
          <w:rFonts w:eastAsia="Malgun Gothic"/>
          <w:kern w:val="2"/>
          <w:szCs w:val="22"/>
          <w:lang w:val="fr-FR" w:eastAsia="ko-KR"/>
        </w:rPr>
        <w:t>ou</w:t>
      </w:r>
      <w:r w:rsidR="006B0D9D" w:rsidRPr="002715F2">
        <w:rPr>
          <w:rFonts w:eastAsia="Malgun Gothic"/>
          <w:kern w:val="2"/>
          <w:szCs w:val="22"/>
          <w:lang w:val="fr-FR" w:eastAsia="ko-KR"/>
        </w:rPr>
        <w:t xml:space="preserve"> de </w:t>
      </w:r>
      <w:r w:rsidR="00AC2E23" w:rsidRPr="002715F2">
        <w:rPr>
          <w:rFonts w:eastAsia="Malgun Gothic"/>
          <w:kern w:val="2"/>
          <w:szCs w:val="22"/>
          <w:lang w:val="fr-FR" w:eastAsia="ko-KR"/>
        </w:rPr>
        <w:t>ne pas récidiver</w:t>
      </w:r>
      <w:r w:rsidR="000078DA" w:rsidRPr="002715F2">
        <w:rPr>
          <w:rFonts w:eastAsia="Malgun Gothic"/>
          <w:kern w:val="2"/>
          <w:szCs w:val="22"/>
          <w:lang w:val="fr-FR" w:eastAsia="ko-KR"/>
        </w:rPr>
        <w:t xml:space="preserve">. </w:t>
      </w:r>
      <w:r w:rsidR="00AC2E23" w:rsidRPr="002715F2">
        <w:rPr>
          <w:rFonts w:eastAsia="Malgun Gothic"/>
          <w:kern w:val="2"/>
          <w:szCs w:val="22"/>
          <w:lang w:val="fr-FR" w:eastAsia="ko-KR"/>
        </w:rPr>
        <w:t>Elle</w:t>
      </w:r>
      <w:r w:rsidR="006B0D9D" w:rsidRPr="002715F2">
        <w:rPr>
          <w:bCs/>
          <w:lang w:val="fr-FR"/>
        </w:rPr>
        <w:t xml:space="preserve"> </w:t>
      </w:r>
      <w:r w:rsidR="006B0D9D" w:rsidRPr="002715F2">
        <w:rPr>
          <w:rFonts w:eastAsia="Malgun Gothic"/>
          <w:kern w:val="2"/>
          <w:szCs w:val="22"/>
          <w:lang w:val="fr-FR" w:eastAsia="ko-KR"/>
        </w:rPr>
        <w:t xml:space="preserve">recommande également </w:t>
      </w:r>
      <w:r w:rsidR="002B636E" w:rsidRPr="002715F2">
        <w:rPr>
          <w:rFonts w:eastAsia="Malgun Gothic"/>
          <w:kern w:val="2"/>
          <w:szCs w:val="22"/>
          <w:lang w:val="fr-FR" w:eastAsia="ko-KR"/>
        </w:rPr>
        <w:t>au directeur de la structure</w:t>
      </w:r>
      <w:r w:rsidR="00AC2E23" w:rsidRPr="002715F2">
        <w:rPr>
          <w:rFonts w:eastAsia="Malgun Gothic"/>
          <w:kern w:val="2"/>
          <w:szCs w:val="22"/>
          <w:lang w:val="fr-FR" w:eastAsia="ko-KR"/>
        </w:rPr>
        <w:t xml:space="preserve"> qui emploie l’auteur de prendre de nouvelles</w:t>
      </w:r>
      <w:r w:rsidR="006B0D9D" w:rsidRPr="002715F2">
        <w:rPr>
          <w:rFonts w:eastAsia="Malgun Gothic"/>
          <w:kern w:val="2"/>
          <w:szCs w:val="22"/>
          <w:lang w:val="fr-FR" w:eastAsia="ko-KR"/>
        </w:rPr>
        <w:t xml:space="preserve"> mesures pour prévenir </w:t>
      </w:r>
      <w:r w:rsidR="00FB304C" w:rsidRPr="002715F2">
        <w:rPr>
          <w:rFonts w:eastAsia="Malgun Gothic"/>
          <w:kern w:val="2"/>
          <w:szCs w:val="22"/>
          <w:lang w:val="fr-FR" w:eastAsia="ko-KR"/>
        </w:rPr>
        <w:t>les</w:t>
      </w:r>
      <w:r w:rsidR="006B0D9D" w:rsidRPr="002715F2">
        <w:rPr>
          <w:rFonts w:eastAsia="Malgun Gothic"/>
          <w:kern w:val="2"/>
          <w:szCs w:val="22"/>
          <w:lang w:val="fr-FR" w:eastAsia="ko-KR"/>
        </w:rPr>
        <w:t xml:space="preserve"> récidive</w:t>
      </w:r>
      <w:r w:rsidR="00FB304C" w:rsidRPr="002715F2">
        <w:rPr>
          <w:rFonts w:eastAsia="Malgun Gothic"/>
          <w:kern w:val="2"/>
          <w:szCs w:val="22"/>
          <w:lang w:val="fr-FR" w:eastAsia="ko-KR"/>
        </w:rPr>
        <w:t>s</w:t>
      </w:r>
      <w:r w:rsidR="006B0D9D" w:rsidRPr="002715F2">
        <w:rPr>
          <w:rFonts w:eastAsia="Malgun Gothic"/>
          <w:kern w:val="2"/>
          <w:szCs w:val="22"/>
          <w:lang w:val="fr-FR" w:eastAsia="ko-KR"/>
        </w:rPr>
        <w:t xml:space="preserve"> si </w:t>
      </w:r>
      <w:r w:rsidR="00FB304C" w:rsidRPr="002715F2">
        <w:rPr>
          <w:rFonts w:eastAsia="Malgun Gothic"/>
          <w:kern w:val="2"/>
          <w:szCs w:val="22"/>
          <w:lang w:val="fr-FR" w:eastAsia="ko-KR"/>
        </w:rPr>
        <w:t>l</w:t>
      </w:r>
      <w:r w:rsidR="006B0D9D" w:rsidRPr="002715F2">
        <w:rPr>
          <w:rFonts w:eastAsia="Malgun Gothic"/>
          <w:kern w:val="2"/>
          <w:szCs w:val="22"/>
          <w:lang w:val="fr-FR" w:eastAsia="ko-KR"/>
        </w:rPr>
        <w:t xml:space="preserve">es mesures </w:t>
      </w:r>
      <w:r w:rsidR="00AC2E23" w:rsidRPr="002715F2">
        <w:rPr>
          <w:rFonts w:eastAsia="Malgun Gothic"/>
          <w:kern w:val="2"/>
          <w:szCs w:val="22"/>
          <w:lang w:val="fr-FR" w:eastAsia="ko-KR"/>
        </w:rPr>
        <w:t>de prévention existantes</w:t>
      </w:r>
      <w:r w:rsidR="00FB304C" w:rsidRPr="002715F2">
        <w:rPr>
          <w:rFonts w:eastAsia="Malgun Gothic"/>
          <w:kern w:val="2"/>
          <w:szCs w:val="22"/>
          <w:lang w:val="fr-FR" w:eastAsia="ko-KR"/>
        </w:rPr>
        <w:t xml:space="preserve"> ou l</w:t>
      </w:r>
      <w:r w:rsidR="006B0D9D" w:rsidRPr="002715F2">
        <w:rPr>
          <w:rFonts w:eastAsia="Malgun Gothic"/>
          <w:kern w:val="2"/>
          <w:szCs w:val="22"/>
          <w:lang w:val="fr-FR" w:eastAsia="ko-KR"/>
        </w:rPr>
        <w:t xml:space="preserve">es réponses </w:t>
      </w:r>
      <w:r w:rsidR="00FB304C" w:rsidRPr="002715F2">
        <w:rPr>
          <w:rFonts w:eastAsia="Malgun Gothic"/>
          <w:kern w:val="2"/>
          <w:szCs w:val="22"/>
          <w:lang w:val="fr-FR" w:eastAsia="ko-KR"/>
        </w:rPr>
        <w:t xml:space="preserve">apportées par l’employeur </w:t>
      </w:r>
      <w:r w:rsidR="00AC2E23" w:rsidRPr="002715F2">
        <w:rPr>
          <w:rFonts w:eastAsia="Malgun Gothic"/>
          <w:kern w:val="2"/>
          <w:szCs w:val="22"/>
          <w:lang w:val="fr-FR" w:eastAsia="ko-KR"/>
        </w:rPr>
        <w:t xml:space="preserve">dans cette </w:t>
      </w:r>
      <w:r w:rsidR="006B0D9D" w:rsidRPr="002715F2">
        <w:rPr>
          <w:rFonts w:eastAsia="Malgun Gothic"/>
          <w:kern w:val="2"/>
          <w:szCs w:val="22"/>
          <w:lang w:val="fr-FR" w:eastAsia="ko-KR"/>
        </w:rPr>
        <w:t>affaire sont jugées inadéquates</w:t>
      </w:r>
      <w:r w:rsidR="00F60999" w:rsidRPr="002715F2">
        <w:rPr>
          <w:rFonts w:eastAsia="Malgun Gothic"/>
          <w:kern w:val="2"/>
          <w:szCs w:val="22"/>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68.</w:t>
      </w:r>
      <w:r w:rsidRPr="002715F2">
        <w:rPr>
          <w:rFonts w:eastAsia="Batang"/>
          <w:lang w:val="fr-FR" w:eastAsia="ko-KR"/>
        </w:rPr>
        <w:tab/>
      </w:r>
      <w:r w:rsidR="00FB304C" w:rsidRPr="002715F2">
        <w:rPr>
          <w:rFonts w:eastAsia="Batang"/>
          <w:lang w:val="fr-FR" w:eastAsia="ko-KR"/>
        </w:rPr>
        <w:t xml:space="preserve">Si un employeur </w:t>
      </w:r>
      <w:r w:rsidR="002B636E" w:rsidRPr="002715F2">
        <w:rPr>
          <w:rFonts w:eastAsia="Batang"/>
          <w:lang w:val="fr-FR" w:eastAsia="ko-KR"/>
        </w:rPr>
        <w:t>se rend coupable de</w:t>
      </w:r>
      <w:r w:rsidR="00FB304C" w:rsidRPr="002715F2">
        <w:rPr>
          <w:rFonts w:eastAsia="Batang"/>
          <w:lang w:val="fr-FR" w:eastAsia="ko-KR"/>
        </w:rPr>
        <w:t xml:space="preserve"> harcèlement sexuel, ne prend</w:t>
      </w:r>
      <w:r w:rsidR="002B636E" w:rsidRPr="002715F2">
        <w:rPr>
          <w:rFonts w:eastAsia="Batang"/>
          <w:lang w:val="fr-FR" w:eastAsia="ko-KR"/>
        </w:rPr>
        <w:t xml:space="preserve"> pas</w:t>
      </w:r>
      <w:r w:rsidR="00FB304C" w:rsidRPr="002715F2">
        <w:rPr>
          <w:rFonts w:eastAsia="Batang"/>
          <w:lang w:val="fr-FR" w:eastAsia="ko-KR"/>
        </w:rPr>
        <w:t xml:space="preserve"> les mesures nécessaires contre un auteur ou </w:t>
      </w:r>
      <w:r w:rsidR="002B636E" w:rsidRPr="002715F2">
        <w:rPr>
          <w:rFonts w:eastAsia="Batang"/>
          <w:lang w:val="fr-FR" w:eastAsia="ko-KR"/>
        </w:rPr>
        <w:t>traite de manière désavantageuse</w:t>
      </w:r>
      <w:r w:rsidR="006D69BF" w:rsidRPr="002715F2">
        <w:rPr>
          <w:rFonts w:eastAsia="Batang"/>
          <w:lang w:val="fr-FR" w:eastAsia="ko-KR"/>
        </w:rPr>
        <w:t xml:space="preserve"> un employé qui réclame des dommages-intérêts</w:t>
      </w:r>
      <w:r w:rsidR="00FB304C" w:rsidRPr="002715F2">
        <w:rPr>
          <w:rFonts w:eastAsia="Batang"/>
          <w:lang w:val="fr-FR" w:eastAsia="ko-KR"/>
        </w:rPr>
        <w:t xml:space="preserve">, l’employé peut porter plainte contre </w:t>
      </w:r>
      <w:r w:rsidR="006D69BF" w:rsidRPr="002715F2">
        <w:rPr>
          <w:rFonts w:eastAsia="Batang"/>
          <w:lang w:val="fr-FR" w:eastAsia="ko-KR"/>
        </w:rPr>
        <w:t>lui</w:t>
      </w:r>
      <w:r w:rsidR="00FB304C" w:rsidRPr="002715F2">
        <w:rPr>
          <w:rFonts w:eastAsia="Batang"/>
          <w:lang w:val="fr-FR" w:eastAsia="ko-KR"/>
        </w:rPr>
        <w:t xml:space="preserve"> </w:t>
      </w:r>
      <w:r w:rsidR="006D69BF" w:rsidRPr="002715F2">
        <w:rPr>
          <w:rFonts w:eastAsia="Batang"/>
          <w:lang w:val="fr-FR" w:eastAsia="ko-KR"/>
        </w:rPr>
        <w:t>auprès du</w:t>
      </w:r>
      <w:r w:rsidR="00FB304C" w:rsidRPr="002715F2">
        <w:rPr>
          <w:rFonts w:eastAsia="Batang"/>
          <w:lang w:val="fr-FR" w:eastAsia="ko-KR"/>
        </w:rPr>
        <w:t xml:space="preserve"> bureau du travail du district compétent ou </w:t>
      </w:r>
      <w:r w:rsidR="006D69BF" w:rsidRPr="002715F2">
        <w:rPr>
          <w:rFonts w:eastAsia="Batang"/>
          <w:lang w:val="fr-FR" w:eastAsia="ko-KR"/>
        </w:rPr>
        <w:t>de</w:t>
      </w:r>
      <w:r w:rsidR="00FB304C" w:rsidRPr="002715F2">
        <w:rPr>
          <w:rFonts w:eastAsia="Batang"/>
          <w:lang w:val="fr-FR" w:eastAsia="ko-KR"/>
        </w:rPr>
        <w:t xml:space="preserve"> </w:t>
      </w:r>
      <w:r w:rsidR="00FB304C" w:rsidRPr="002715F2">
        <w:rPr>
          <w:rFonts w:eastAsia="Malgun Gothic"/>
          <w:kern w:val="2"/>
          <w:szCs w:val="22"/>
          <w:lang w:val="fr-FR" w:eastAsia="ko-KR"/>
        </w:rPr>
        <w:t xml:space="preserve">la </w:t>
      </w:r>
      <w:r w:rsidR="00FB304C" w:rsidRPr="002715F2">
        <w:rPr>
          <w:bCs/>
          <w:lang w:val="fr-FR"/>
        </w:rPr>
        <w:t>Commission nationale des droits de l’homme</w:t>
      </w:r>
      <w:r w:rsidR="000078DA" w:rsidRPr="002715F2">
        <w:rPr>
          <w:rFonts w:eastAsia="Batang"/>
          <w:lang w:val="fr-FR" w:eastAsia="ko-KR"/>
        </w:rPr>
        <w:t>.</w:t>
      </w:r>
      <w:bookmarkStart w:id="1" w:name="_top"/>
      <w:bookmarkEnd w:id="1"/>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6B5B32" w:rsidRPr="002715F2">
        <w:rPr>
          <w:rFonts w:eastAsia="Batang"/>
          <w:lang w:val="fr-FR" w:eastAsia="ko-KR"/>
        </w:rPr>
        <w:t>Prévention du harcèlement sexuel sur le lieu de travail et sensibilisation</w:t>
      </w:r>
      <w:r w:rsidR="000078DA" w:rsidRPr="002715F2">
        <w:rPr>
          <w:rFonts w:eastAsia="Batang"/>
          <w:lang w:val="fr-FR" w:eastAsia="ko-KR"/>
        </w:rPr>
        <w:t xml:space="preserve"> </w:t>
      </w:r>
      <w:r w:rsidR="006B5B32" w:rsidRPr="002715F2">
        <w:rPr>
          <w:rFonts w:eastAsia="Batang"/>
          <w:lang w:val="fr-FR" w:eastAsia="ko-KR"/>
        </w:rPr>
        <w:t>à cette question</w:t>
      </w:r>
    </w:p>
    <w:p w:rsidR="000078DA" w:rsidRPr="002715F2" w:rsidRDefault="007026FB" w:rsidP="007026FB">
      <w:pPr>
        <w:pStyle w:val="SingleTxtG"/>
        <w:rPr>
          <w:rFonts w:eastAsia="Batang"/>
          <w:lang w:val="fr-FR" w:eastAsia="ko-KR"/>
        </w:rPr>
      </w:pPr>
      <w:r w:rsidRPr="002715F2">
        <w:rPr>
          <w:rFonts w:eastAsia="Batang"/>
          <w:lang w:val="fr-FR" w:eastAsia="ko-KR"/>
        </w:rPr>
        <w:t>69.</w:t>
      </w:r>
      <w:r w:rsidRPr="002715F2">
        <w:rPr>
          <w:rFonts w:eastAsia="Batang"/>
          <w:lang w:val="fr-FR" w:eastAsia="ko-KR"/>
        </w:rPr>
        <w:tab/>
      </w:r>
      <w:r w:rsidR="0032460A" w:rsidRPr="002715F2">
        <w:rPr>
          <w:rFonts w:eastAsia="Batang"/>
          <w:lang w:val="fr-FR" w:eastAsia="ko-KR"/>
        </w:rPr>
        <w:t>Le Gouvernement</w:t>
      </w:r>
      <w:r w:rsidR="006B5B32" w:rsidRPr="002715F2">
        <w:rPr>
          <w:rFonts w:eastAsia="Batang"/>
          <w:lang w:val="fr-FR" w:eastAsia="ko-KR"/>
        </w:rPr>
        <w:t xml:space="preserve">, les </w:t>
      </w:r>
      <w:r w:rsidR="00505F2B" w:rsidRPr="002715F2">
        <w:rPr>
          <w:rFonts w:eastAsia="Gulim"/>
          <w:lang w:val="fr-FR" w:eastAsia="ko-KR"/>
        </w:rPr>
        <w:t xml:space="preserve">autorités </w:t>
      </w:r>
      <w:r w:rsidR="006B5B32" w:rsidRPr="002715F2">
        <w:rPr>
          <w:rFonts w:eastAsia="Batang"/>
          <w:lang w:val="fr-FR" w:eastAsia="ko-KR"/>
        </w:rPr>
        <w:t xml:space="preserve">locales, les organismes publics et les entreprises sont tenus de dispenser </w:t>
      </w:r>
      <w:r w:rsidR="00EF40DA" w:rsidRPr="002715F2">
        <w:rPr>
          <w:rFonts w:eastAsia="Batang"/>
          <w:lang w:val="fr-FR" w:eastAsia="ko-KR"/>
        </w:rPr>
        <w:t xml:space="preserve">au moins une fois par an </w:t>
      </w:r>
      <w:r w:rsidR="006B5B32" w:rsidRPr="002715F2">
        <w:rPr>
          <w:rFonts w:eastAsia="Batang"/>
          <w:lang w:val="fr-FR" w:eastAsia="ko-KR"/>
        </w:rPr>
        <w:t xml:space="preserve">une </w:t>
      </w:r>
      <w:r w:rsidR="00837094" w:rsidRPr="002715F2">
        <w:rPr>
          <w:rFonts w:eastAsia="Batang"/>
          <w:lang w:val="fr-FR" w:eastAsia="ko-KR"/>
        </w:rPr>
        <w:t>éducation</w:t>
      </w:r>
      <w:r w:rsidR="006B5B32" w:rsidRPr="002715F2">
        <w:rPr>
          <w:rFonts w:eastAsia="Batang"/>
          <w:lang w:val="fr-FR" w:eastAsia="ko-KR"/>
        </w:rPr>
        <w:t xml:space="preserve"> préventi</w:t>
      </w:r>
      <w:r w:rsidR="0032460A" w:rsidRPr="002715F2">
        <w:rPr>
          <w:rFonts w:eastAsia="Batang"/>
          <w:lang w:val="fr-FR" w:eastAsia="ko-KR"/>
        </w:rPr>
        <w:t>ve</w:t>
      </w:r>
      <w:r w:rsidR="006B5B32" w:rsidRPr="002715F2">
        <w:rPr>
          <w:rFonts w:eastAsia="Batang"/>
          <w:lang w:val="fr-FR" w:eastAsia="ko-KR"/>
        </w:rPr>
        <w:t xml:space="preserve"> </w:t>
      </w:r>
      <w:r w:rsidR="0032460A" w:rsidRPr="002715F2">
        <w:rPr>
          <w:rFonts w:eastAsia="Batang"/>
          <w:lang w:val="fr-FR" w:eastAsia="ko-KR"/>
        </w:rPr>
        <w:t>en matière de</w:t>
      </w:r>
      <w:r w:rsidR="006B5B32" w:rsidRPr="002715F2">
        <w:rPr>
          <w:rFonts w:eastAsia="Batang"/>
          <w:lang w:val="fr-FR" w:eastAsia="ko-KR"/>
        </w:rPr>
        <w:t xml:space="preserve"> harcèlement sexuel</w:t>
      </w:r>
      <w:r w:rsidR="000078DA" w:rsidRPr="002715F2">
        <w:rPr>
          <w:rFonts w:eastAsia="Batang"/>
          <w:lang w:val="fr-FR" w:eastAsia="ko-KR"/>
        </w:rPr>
        <w:t>.</w:t>
      </w:r>
      <w:r w:rsidR="00837094" w:rsidRPr="002715F2">
        <w:rPr>
          <w:rFonts w:eastAsia="Batang"/>
          <w:lang w:val="fr-FR" w:eastAsia="ko-KR"/>
        </w:rPr>
        <w:t xml:space="preserve"> </w:t>
      </w:r>
      <w:r w:rsidR="00E81315" w:rsidRPr="002715F2">
        <w:rPr>
          <w:rFonts w:eastAsia="Batang"/>
          <w:lang w:val="fr-FR" w:eastAsia="ko-KR"/>
        </w:rPr>
        <w:t>L’éducation prodiguée par l</w:t>
      </w:r>
      <w:r w:rsidR="00837094" w:rsidRPr="002715F2">
        <w:rPr>
          <w:rFonts w:eastAsia="Batang"/>
          <w:lang w:val="fr-FR" w:eastAsia="ko-KR"/>
        </w:rPr>
        <w:t xml:space="preserve">es organismes publics </w:t>
      </w:r>
      <w:r w:rsidR="00E81315" w:rsidRPr="002715F2">
        <w:rPr>
          <w:rFonts w:eastAsia="Batang"/>
          <w:lang w:val="fr-FR" w:eastAsia="ko-KR"/>
        </w:rPr>
        <w:t>porte plus</w:t>
      </w:r>
      <w:r w:rsidR="00BF0098" w:rsidRPr="002715F2">
        <w:rPr>
          <w:rFonts w:eastAsia="Batang"/>
          <w:lang w:val="fr-FR" w:eastAsia="ko-KR"/>
        </w:rPr>
        <w:t xml:space="preserve"> </w:t>
      </w:r>
      <w:r w:rsidR="00E81315" w:rsidRPr="002715F2">
        <w:rPr>
          <w:rFonts w:eastAsia="Batang"/>
          <w:lang w:val="fr-FR" w:eastAsia="ko-KR"/>
        </w:rPr>
        <w:t xml:space="preserve">particulièrement sur les thèmes </w:t>
      </w:r>
      <w:r w:rsidR="00D25E1D" w:rsidRPr="002715F2">
        <w:rPr>
          <w:rFonts w:eastAsia="Batang"/>
          <w:lang w:val="fr-FR" w:eastAsia="ko-KR"/>
        </w:rPr>
        <w:t>suivant</w:t>
      </w:r>
      <w:r w:rsidR="00EF40DA" w:rsidRPr="002715F2">
        <w:rPr>
          <w:rFonts w:eastAsia="Batang"/>
          <w:lang w:val="fr-FR" w:eastAsia="ko-KR"/>
        </w:rPr>
        <w:t>s</w:t>
      </w:r>
      <w:r w:rsidR="00E97B1A" w:rsidRPr="002715F2">
        <w:rPr>
          <w:rFonts w:eastAsia="Batang"/>
          <w:lang w:val="fr-FR" w:eastAsia="ko-KR"/>
        </w:rPr>
        <w:t>:</w:t>
      </w:r>
      <w:r w:rsidR="0032460A" w:rsidRPr="002715F2">
        <w:rPr>
          <w:rFonts w:eastAsia="Batang"/>
          <w:lang w:val="fr-FR" w:eastAsia="ko-KR"/>
        </w:rPr>
        <w:t xml:space="preserve"> </w:t>
      </w:r>
      <w:r w:rsidR="00BF0098" w:rsidRPr="002715F2">
        <w:rPr>
          <w:rFonts w:eastAsia="Batang"/>
          <w:lang w:val="fr-FR" w:eastAsia="ko-KR"/>
        </w:rPr>
        <w:t xml:space="preserve">la </w:t>
      </w:r>
      <w:r w:rsidR="009966B6" w:rsidRPr="002715F2">
        <w:rPr>
          <w:rFonts w:eastAsia="Batang"/>
          <w:lang w:val="fr-FR" w:eastAsia="ko-KR"/>
        </w:rPr>
        <w:t>législation</w:t>
      </w:r>
      <w:r w:rsidR="00BB2372" w:rsidRPr="002715F2">
        <w:rPr>
          <w:rFonts w:eastAsia="Batang"/>
          <w:lang w:val="fr-FR" w:eastAsia="ko-KR"/>
        </w:rPr>
        <w:t xml:space="preserve"> pertinente</w:t>
      </w:r>
      <w:r w:rsidR="00E97B1A" w:rsidRPr="002715F2">
        <w:rPr>
          <w:rFonts w:eastAsia="Batang"/>
          <w:lang w:val="fr-FR" w:eastAsia="ko-KR"/>
        </w:rPr>
        <w:t>;</w:t>
      </w:r>
      <w:r w:rsidR="00BB2372" w:rsidRPr="002715F2">
        <w:rPr>
          <w:rFonts w:eastAsia="Batang"/>
          <w:lang w:val="fr-FR" w:eastAsia="ko-KR"/>
        </w:rPr>
        <w:t xml:space="preserve"> le traitement des</w:t>
      </w:r>
      <w:r w:rsidR="0032460A" w:rsidRPr="002715F2">
        <w:rPr>
          <w:rFonts w:eastAsia="Batang"/>
          <w:lang w:val="fr-FR" w:eastAsia="ko-KR"/>
        </w:rPr>
        <w:t xml:space="preserve"> </w:t>
      </w:r>
      <w:r w:rsidR="00BB2372" w:rsidRPr="002715F2">
        <w:rPr>
          <w:rFonts w:eastAsia="Batang"/>
          <w:lang w:val="fr-FR" w:eastAsia="ko-KR"/>
        </w:rPr>
        <w:t>cas</w:t>
      </w:r>
      <w:r w:rsidR="00837094" w:rsidRPr="002715F2">
        <w:rPr>
          <w:rFonts w:eastAsia="Batang"/>
          <w:lang w:val="fr-FR" w:eastAsia="ko-KR"/>
        </w:rPr>
        <w:t xml:space="preserve"> de harcèlement </w:t>
      </w:r>
      <w:r w:rsidR="00002A9F" w:rsidRPr="002715F2">
        <w:rPr>
          <w:rFonts w:eastAsia="Batang"/>
          <w:lang w:val="fr-FR" w:eastAsia="ko-KR"/>
        </w:rPr>
        <w:t xml:space="preserve">sexuel </w:t>
      </w:r>
      <w:r w:rsidR="00BF0098" w:rsidRPr="002715F2">
        <w:rPr>
          <w:rFonts w:eastAsia="Batang"/>
          <w:lang w:val="fr-FR" w:eastAsia="ko-KR"/>
        </w:rPr>
        <w:t>et les critères en la matière</w:t>
      </w:r>
      <w:r w:rsidR="00E97B1A" w:rsidRPr="002715F2">
        <w:rPr>
          <w:rFonts w:eastAsia="Batang"/>
          <w:lang w:val="fr-FR" w:eastAsia="ko-KR"/>
        </w:rPr>
        <w:t>;</w:t>
      </w:r>
      <w:r w:rsidR="00837094" w:rsidRPr="002715F2">
        <w:rPr>
          <w:rFonts w:eastAsia="Batang"/>
          <w:lang w:val="fr-FR" w:eastAsia="ko-KR"/>
        </w:rPr>
        <w:t xml:space="preserve"> </w:t>
      </w:r>
      <w:r w:rsidR="0032460A" w:rsidRPr="002715F2">
        <w:rPr>
          <w:rFonts w:eastAsia="Batang"/>
          <w:lang w:val="fr-FR" w:eastAsia="ko-KR"/>
        </w:rPr>
        <w:t>les services de conseil</w:t>
      </w:r>
      <w:r w:rsidR="00BB2372" w:rsidRPr="002715F2">
        <w:rPr>
          <w:rFonts w:eastAsia="Batang"/>
          <w:lang w:val="fr-FR" w:eastAsia="ko-KR"/>
        </w:rPr>
        <w:t>s</w:t>
      </w:r>
      <w:r w:rsidR="00837094" w:rsidRPr="002715F2">
        <w:rPr>
          <w:rFonts w:eastAsia="Batang"/>
          <w:lang w:val="fr-FR" w:eastAsia="ko-KR"/>
        </w:rPr>
        <w:t xml:space="preserve"> et les procédures de recours </w:t>
      </w:r>
      <w:r w:rsidR="00EF40DA" w:rsidRPr="002715F2">
        <w:rPr>
          <w:rFonts w:eastAsia="Batang"/>
          <w:lang w:val="fr-FR" w:eastAsia="ko-KR"/>
        </w:rPr>
        <w:t>pour les</w:t>
      </w:r>
      <w:r w:rsidR="00837094" w:rsidRPr="002715F2">
        <w:rPr>
          <w:rFonts w:eastAsia="Batang"/>
          <w:lang w:val="fr-FR" w:eastAsia="ko-KR"/>
        </w:rPr>
        <w:t xml:space="preserve"> victimes</w:t>
      </w:r>
      <w:r w:rsidR="00E97B1A" w:rsidRPr="002715F2">
        <w:rPr>
          <w:rFonts w:eastAsia="Batang"/>
          <w:lang w:val="fr-FR" w:eastAsia="ko-KR"/>
        </w:rPr>
        <w:t>;</w:t>
      </w:r>
      <w:r w:rsidR="00837094" w:rsidRPr="002715F2">
        <w:rPr>
          <w:rFonts w:eastAsia="Batang"/>
          <w:lang w:val="fr-FR" w:eastAsia="ko-KR"/>
        </w:rPr>
        <w:t xml:space="preserve"> les </w:t>
      </w:r>
      <w:r w:rsidR="00BB2372" w:rsidRPr="002715F2">
        <w:rPr>
          <w:rFonts w:eastAsia="Batang"/>
          <w:lang w:val="fr-FR" w:eastAsia="ko-KR"/>
        </w:rPr>
        <w:t>sanctions</w:t>
      </w:r>
      <w:r w:rsidR="00837094" w:rsidRPr="002715F2">
        <w:rPr>
          <w:rFonts w:eastAsia="Batang"/>
          <w:lang w:val="fr-FR" w:eastAsia="ko-KR"/>
        </w:rPr>
        <w:t xml:space="preserve"> disciplinaires </w:t>
      </w:r>
      <w:r w:rsidR="0032460A" w:rsidRPr="002715F2">
        <w:rPr>
          <w:rFonts w:eastAsia="Batang"/>
          <w:lang w:val="fr-FR" w:eastAsia="ko-KR"/>
        </w:rPr>
        <w:t xml:space="preserve">contre </w:t>
      </w:r>
      <w:r w:rsidR="00D25E1D" w:rsidRPr="002715F2">
        <w:rPr>
          <w:rFonts w:eastAsia="Batang"/>
          <w:lang w:val="fr-FR" w:eastAsia="ko-KR"/>
        </w:rPr>
        <w:t>le</w:t>
      </w:r>
      <w:r w:rsidR="00837094" w:rsidRPr="002715F2">
        <w:rPr>
          <w:rFonts w:eastAsia="Batang"/>
          <w:lang w:val="fr-FR" w:eastAsia="ko-KR"/>
        </w:rPr>
        <w:t>s auteurs</w:t>
      </w:r>
      <w:r w:rsidR="000078DA" w:rsidRPr="002715F2">
        <w:rPr>
          <w:rFonts w:eastAsia="Batang"/>
          <w:lang w:val="fr-FR" w:eastAsia="ko-KR"/>
        </w:rPr>
        <w:t xml:space="preserve">. </w:t>
      </w:r>
      <w:r w:rsidR="00837094" w:rsidRPr="002715F2">
        <w:rPr>
          <w:rFonts w:eastAsia="Batang"/>
          <w:lang w:val="fr-FR" w:eastAsia="ko-KR"/>
        </w:rPr>
        <w:t xml:space="preserve">Des outils </w:t>
      </w:r>
      <w:r w:rsidR="00EF40DA" w:rsidRPr="002715F2">
        <w:rPr>
          <w:rFonts w:eastAsia="Batang"/>
          <w:lang w:val="fr-FR" w:eastAsia="ko-KR"/>
        </w:rPr>
        <w:t>d’</w:t>
      </w:r>
      <w:r w:rsidR="00837094" w:rsidRPr="002715F2">
        <w:rPr>
          <w:rFonts w:eastAsia="Batang"/>
          <w:lang w:val="fr-FR" w:eastAsia="ko-KR"/>
        </w:rPr>
        <w:t>éducati</w:t>
      </w:r>
      <w:r w:rsidR="00EF40DA" w:rsidRPr="002715F2">
        <w:rPr>
          <w:rFonts w:eastAsia="Batang"/>
          <w:lang w:val="fr-FR" w:eastAsia="ko-KR"/>
        </w:rPr>
        <w:t>on</w:t>
      </w:r>
      <w:r w:rsidR="00837094" w:rsidRPr="002715F2">
        <w:rPr>
          <w:rFonts w:eastAsia="Batang"/>
          <w:lang w:val="fr-FR" w:eastAsia="ko-KR"/>
        </w:rPr>
        <w:t xml:space="preserve"> </w:t>
      </w:r>
      <w:r w:rsidR="00BF0098" w:rsidRPr="002715F2">
        <w:rPr>
          <w:rFonts w:eastAsia="Batang"/>
          <w:lang w:val="fr-FR" w:eastAsia="ko-KR"/>
        </w:rPr>
        <w:t>sont régulièrement</w:t>
      </w:r>
      <w:r w:rsidR="00837094" w:rsidRPr="002715F2">
        <w:rPr>
          <w:rFonts w:eastAsia="Batang"/>
          <w:lang w:val="fr-FR" w:eastAsia="ko-KR"/>
        </w:rPr>
        <w:t xml:space="preserve"> élaborés et </w:t>
      </w:r>
      <w:r w:rsidR="00C44DAE" w:rsidRPr="002715F2">
        <w:rPr>
          <w:rFonts w:eastAsia="Batang"/>
          <w:lang w:val="fr-FR" w:eastAsia="ko-KR"/>
        </w:rPr>
        <w:t>diffusés</w:t>
      </w:r>
      <w:r w:rsidR="000078DA" w:rsidRPr="002715F2">
        <w:rPr>
          <w:rFonts w:eastAsia="Batang"/>
          <w:lang w:val="fr-FR" w:eastAsia="ko-KR"/>
        </w:rPr>
        <w:t xml:space="preserve">. </w:t>
      </w:r>
      <w:r w:rsidR="00837094" w:rsidRPr="002715F2">
        <w:rPr>
          <w:rFonts w:eastAsia="Batang"/>
          <w:lang w:val="fr-FR" w:eastAsia="ko-KR"/>
        </w:rPr>
        <w:t xml:space="preserve">Une formation spéciale est dispensée aux superviseurs des organismes qui n’ont pas mis en place des mesures de </w:t>
      </w:r>
      <w:r w:rsidR="005C6D8E" w:rsidRPr="002715F2">
        <w:rPr>
          <w:rFonts w:eastAsia="Batang"/>
          <w:lang w:val="fr-FR" w:eastAsia="ko-KR"/>
        </w:rPr>
        <w:t>prévention</w:t>
      </w:r>
      <w:r w:rsidR="00837094" w:rsidRPr="002715F2">
        <w:rPr>
          <w:rFonts w:eastAsia="Batang"/>
          <w:lang w:val="fr-FR" w:eastAsia="ko-KR"/>
        </w:rPr>
        <w:t xml:space="preserve"> </w:t>
      </w:r>
      <w:r w:rsidR="00EF40DA" w:rsidRPr="002715F2">
        <w:rPr>
          <w:rFonts w:eastAsia="Batang"/>
          <w:lang w:val="fr-FR" w:eastAsia="ko-KR"/>
        </w:rPr>
        <w:t>suffisantes</w:t>
      </w:r>
      <w:r w:rsidR="000078DA" w:rsidRPr="002715F2">
        <w:rPr>
          <w:rFonts w:eastAsia="Batang"/>
          <w:lang w:val="fr-FR" w:eastAsia="ko-KR"/>
        </w:rPr>
        <w:t xml:space="preserve">. </w:t>
      </w:r>
      <w:r w:rsidR="00D42608" w:rsidRPr="002715F2">
        <w:rPr>
          <w:rFonts w:eastAsia="Batang"/>
          <w:lang w:val="fr-FR" w:eastAsia="ko-KR"/>
        </w:rPr>
        <w:t xml:space="preserve">Tous ces efforts ont permis d’obtenir des taux élevés de formation à la </w:t>
      </w:r>
      <w:r w:rsidR="005C6D8E" w:rsidRPr="002715F2">
        <w:rPr>
          <w:rFonts w:eastAsia="Batang"/>
          <w:lang w:val="fr-FR" w:eastAsia="ko-KR"/>
        </w:rPr>
        <w:t>prévention</w:t>
      </w:r>
      <w:r w:rsidR="00D42608" w:rsidRPr="002715F2">
        <w:rPr>
          <w:rFonts w:eastAsia="Batang"/>
          <w:lang w:val="fr-FR" w:eastAsia="ko-KR"/>
        </w:rPr>
        <w:t xml:space="preserve"> du harcèlement sexuel dans les organismes publics</w:t>
      </w:r>
      <w:r w:rsidR="00E97B1A" w:rsidRPr="002715F2">
        <w:rPr>
          <w:rFonts w:eastAsia="Batang"/>
          <w:lang w:val="fr-FR" w:eastAsia="ko-KR"/>
        </w:rPr>
        <w:t>:</w:t>
      </w:r>
      <w:r w:rsidR="000078DA" w:rsidRPr="002715F2">
        <w:rPr>
          <w:rFonts w:eastAsia="Batang"/>
          <w:lang w:val="fr-FR" w:eastAsia="ko-KR"/>
        </w:rPr>
        <w:t xml:space="preserve"> 99</w:t>
      </w:r>
      <w:r w:rsidR="00D42608" w:rsidRPr="002715F2">
        <w:rPr>
          <w:rFonts w:eastAsia="Batang"/>
          <w:lang w:val="fr-FR" w:eastAsia="ko-KR"/>
        </w:rPr>
        <w:t>,</w:t>
      </w:r>
      <w:r w:rsidR="000078DA" w:rsidRPr="002715F2">
        <w:rPr>
          <w:rFonts w:eastAsia="Batang"/>
          <w:lang w:val="fr-FR" w:eastAsia="ko-KR"/>
        </w:rPr>
        <w:t>6</w:t>
      </w:r>
      <w:r w:rsidR="00EF40DA" w:rsidRPr="002715F2">
        <w:rPr>
          <w:rFonts w:eastAsia="Batang"/>
          <w:lang w:val="fr-FR" w:eastAsia="ko-KR"/>
        </w:rPr>
        <w:t> </w:t>
      </w:r>
      <w:r w:rsidR="000078DA" w:rsidRPr="002715F2">
        <w:rPr>
          <w:rFonts w:eastAsia="Batang"/>
          <w:lang w:val="fr-FR" w:eastAsia="ko-KR"/>
        </w:rPr>
        <w:t xml:space="preserve">% </w:t>
      </w:r>
      <w:r w:rsidR="00D42608" w:rsidRPr="002715F2">
        <w:rPr>
          <w:rFonts w:eastAsia="Batang"/>
          <w:lang w:val="fr-FR" w:eastAsia="ko-KR"/>
        </w:rPr>
        <w:t>en</w:t>
      </w:r>
      <w:r w:rsidR="000078DA" w:rsidRPr="002715F2">
        <w:rPr>
          <w:rFonts w:eastAsia="Batang"/>
          <w:lang w:val="fr-FR" w:eastAsia="ko-KR"/>
        </w:rPr>
        <w:t xml:space="preserve"> 2012, 99</w:t>
      </w:r>
      <w:r w:rsidR="00D42608" w:rsidRPr="002715F2">
        <w:rPr>
          <w:rFonts w:eastAsia="Batang"/>
          <w:lang w:val="fr-FR" w:eastAsia="ko-KR"/>
        </w:rPr>
        <w:t>,</w:t>
      </w:r>
      <w:r w:rsidR="000078DA" w:rsidRPr="002715F2">
        <w:rPr>
          <w:rFonts w:eastAsia="Batang"/>
          <w:lang w:val="fr-FR" w:eastAsia="ko-KR"/>
        </w:rPr>
        <w:t>7</w:t>
      </w:r>
      <w:r w:rsidR="00EF40DA" w:rsidRPr="002715F2">
        <w:rPr>
          <w:rFonts w:eastAsia="Batang"/>
          <w:lang w:val="fr-FR" w:eastAsia="ko-KR"/>
        </w:rPr>
        <w:t> </w:t>
      </w:r>
      <w:r w:rsidR="000078DA" w:rsidRPr="002715F2">
        <w:rPr>
          <w:rFonts w:eastAsia="Batang"/>
          <w:lang w:val="fr-FR" w:eastAsia="ko-KR"/>
        </w:rPr>
        <w:t xml:space="preserve">% </w:t>
      </w:r>
      <w:r w:rsidR="00D42608" w:rsidRPr="002715F2">
        <w:rPr>
          <w:rFonts w:eastAsia="Batang"/>
          <w:lang w:val="fr-FR" w:eastAsia="ko-KR"/>
        </w:rPr>
        <w:t>en</w:t>
      </w:r>
      <w:r w:rsidR="000078DA" w:rsidRPr="002715F2">
        <w:rPr>
          <w:rFonts w:eastAsia="Batang"/>
          <w:lang w:val="fr-FR" w:eastAsia="ko-KR"/>
        </w:rPr>
        <w:t xml:space="preserve"> 2013</w:t>
      </w:r>
      <w:r w:rsidR="00D42608" w:rsidRPr="002715F2">
        <w:rPr>
          <w:rFonts w:eastAsia="Batang"/>
          <w:lang w:val="fr-FR" w:eastAsia="ko-KR"/>
        </w:rPr>
        <w:t xml:space="preserve"> et</w:t>
      </w:r>
      <w:r w:rsidR="000078DA" w:rsidRPr="002715F2">
        <w:rPr>
          <w:rFonts w:eastAsia="Batang"/>
          <w:lang w:val="fr-FR" w:eastAsia="ko-KR"/>
        </w:rPr>
        <w:t xml:space="preserve"> 99</w:t>
      </w:r>
      <w:r w:rsidR="00D42608" w:rsidRPr="002715F2">
        <w:rPr>
          <w:rFonts w:eastAsia="Batang"/>
          <w:lang w:val="fr-FR" w:eastAsia="ko-KR"/>
        </w:rPr>
        <w:t>,</w:t>
      </w:r>
      <w:r w:rsidR="000078DA" w:rsidRPr="002715F2">
        <w:rPr>
          <w:rFonts w:eastAsia="Batang"/>
          <w:lang w:val="fr-FR" w:eastAsia="ko-KR"/>
        </w:rPr>
        <w:t>6</w:t>
      </w:r>
      <w:r w:rsidR="00EF40DA" w:rsidRPr="002715F2">
        <w:rPr>
          <w:rFonts w:eastAsia="Batang"/>
          <w:lang w:val="fr-FR" w:eastAsia="ko-KR"/>
        </w:rPr>
        <w:t> </w:t>
      </w:r>
      <w:r w:rsidR="000078DA" w:rsidRPr="002715F2">
        <w:rPr>
          <w:rFonts w:eastAsia="Batang"/>
          <w:lang w:val="fr-FR" w:eastAsia="ko-KR"/>
        </w:rPr>
        <w:t xml:space="preserve">% </w:t>
      </w:r>
      <w:r w:rsidR="00D42608" w:rsidRPr="002715F2">
        <w:rPr>
          <w:rFonts w:eastAsia="Batang"/>
          <w:lang w:val="fr-FR" w:eastAsia="ko-KR"/>
        </w:rPr>
        <w:t>en</w:t>
      </w:r>
      <w:r w:rsidR="000078DA" w:rsidRPr="002715F2">
        <w:rPr>
          <w:rFonts w:eastAsia="Batang"/>
          <w:lang w:val="fr-FR" w:eastAsia="ko-KR"/>
        </w:rPr>
        <w:t xml:space="preserve"> 2014.</w:t>
      </w:r>
      <w:r w:rsidR="00D42608" w:rsidRPr="002715F2">
        <w:rPr>
          <w:rFonts w:eastAsia="Batang"/>
          <w:lang w:val="fr-FR" w:eastAsia="ko-KR"/>
        </w:rPr>
        <w:t xml:space="preserve"> Par ailleurs, pour les entreprises de moins de 30</w:t>
      </w:r>
      <w:r w:rsidR="00EF40DA" w:rsidRPr="002715F2">
        <w:rPr>
          <w:rFonts w:eastAsia="Batang"/>
          <w:lang w:val="fr-FR" w:eastAsia="ko-KR"/>
        </w:rPr>
        <w:t> </w:t>
      </w:r>
      <w:r w:rsidR="00D42608" w:rsidRPr="002715F2">
        <w:rPr>
          <w:rFonts w:eastAsia="Batang"/>
          <w:lang w:val="fr-FR" w:eastAsia="ko-KR"/>
        </w:rPr>
        <w:t>salari</w:t>
      </w:r>
      <w:r w:rsidR="00321C9B" w:rsidRPr="002715F2">
        <w:rPr>
          <w:rFonts w:eastAsia="Batang"/>
          <w:lang w:val="fr-FR" w:eastAsia="ko-KR"/>
        </w:rPr>
        <w:t xml:space="preserve">és, le Gouvernement organise des </w:t>
      </w:r>
      <w:r w:rsidR="00EF40DA" w:rsidRPr="002715F2">
        <w:rPr>
          <w:lang w:val="fr-FR"/>
        </w:rPr>
        <w:t xml:space="preserve">cours </w:t>
      </w:r>
      <w:r w:rsidR="00321C9B" w:rsidRPr="002715F2">
        <w:rPr>
          <w:lang w:val="fr-FR"/>
        </w:rPr>
        <w:t xml:space="preserve">de </w:t>
      </w:r>
      <w:r w:rsidR="00321C9B" w:rsidRPr="002715F2">
        <w:rPr>
          <w:rFonts w:eastAsia="Batang"/>
          <w:lang w:val="fr-FR" w:eastAsia="ko-KR"/>
        </w:rPr>
        <w:t xml:space="preserve">prévention </w:t>
      </w:r>
      <w:r w:rsidR="00D42608" w:rsidRPr="002715F2">
        <w:rPr>
          <w:rFonts w:eastAsia="Batang"/>
          <w:lang w:val="fr-FR" w:eastAsia="ko-KR"/>
        </w:rPr>
        <w:t xml:space="preserve">gratuits afin de </w:t>
      </w:r>
      <w:r w:rsidR="00933D17" w:rsidRPr="002715F2">
        <w:rPr>
          <w:rFonts w:eastAsia="Batang"/>
          <w:lang w:val="fr-FR" w:eastAsia="ko-KR"/>
        </w:rPr>
        <w:t>mieux</w:t>
      </w:r>
      <w:r w:rsidR="006B188F" w:rsidRPr="002715F2">
        <w:rPr>
          <w:rFonts w:eastAsia="Batang"/>
          <w:lang w:val="fr-FR" w:eastAsia="ko-KR"/>
        </w:rPr>
        <w:t xml:space="preserve"> </w:t>
      </w:r>
      <w:r w:rsidR="00933D17" w:rsidRPr="002715F2">
        <w:rPr>
          <w:rFonts w:eastAsia="Batang"/>
          <w:lang w:val="fr-FR" w:eastAsia="ko-KR"/>
        </w:rPr>
        <w:t xml:space="preserve">faire comprendre </w:t>
      </w:r>
      <w:r w:rsidR="006B188F" w:rsidRPr="002715F2">
        <w:rPr>
          <w:rFonts w:eastAsia="Batang"/>
          <w:lang w:val="fr-FR" w:eastAsia="ko-KR"/>
        </w:rPr>
        <w:t>le caractère illégal</w:t>
      </w:r>
      <w:r w:rsidR="00933D17" w:rsidRPr="002715F2">
        <w:rPr>
          <w:rFonts w:eastAsia="Batang"/>
          <w:lang w:val="fr-FR" w:eastAsia="ko-KR"/>
        </w:rPr>
        <w:t xml:space="preserve"> </w:t>
      </w:r>
      <w:r w:rsidR="00ED1BAC" w:rsidRPr="002715F2">
        <w:rPr>
          <w:rFonts w:eastAsia="Batang"/>
          <w:lang w:val="fr-FR" w:eastAsia="ko-KR"/>
        </w:rPr>
        <w:t xml:space="preserve">de </w:t>
      </w:r>
      <w:r w:rsidR="00933D17" w:rsidRPr="002715F2">
        <w:rPr>
          <w:rFonts w:eastAsia="Batang"/>
          <w:lang w:val="fr-FR" w:eastAsia="ko-KR"/>
        </w:rPr>
        <w:t xml:space="preserve">ce type de harcèlement </w:t>
      </w:r>
      <w:r w:rsidR="000078DA" w:rsidRPr="002715F2">
        <w:rPr>
          <w:rFonts w:eastAsia="Batang"/>
          <w:lang w:val="fr-FR" w:eastAsia="ko-KR"/>
        </w:rPr>
        <w:t>(</w:t>
      </w:r>
      <w:r w:rsidR="00D42608" w:rsidRPr="002715F2">
        <w:rPr>
          <w:rFonts w:eastAsia="Gulim"/>
          <w:lang w:val="fr-FR" w:eastAsia="ko-KR"/>
        </w:rPr>
        <w:t>voir</w:t>
      </w:r>
      <w:r w:rsidR="00EF40DA" w:rsidRPr="002715F2">
        <w:rPr>
          <w:rFonts w:eastAsia="Gulim"/>
          <w:lang w:val="fr-FR" w:eastAsia="ko-KR"/>
        </w:rPr>
        <w:t xml:space="preserve"> le</w:t>
      </w:r>
      <w:r w:rsidR="000078DA" w:rsidRPr="002715F2">
        <w:rPr>
          <w:rFonts w:eastAsia="Gulim"/>
          <w:lang w:val="fr-FR" w:eastAsia="ko-KR"/>
        </w:rPr>
        <w:t xml:space="preserve"> t</w:t>
      </w:r>
      <w:r w:rsidR="000078DA" w:rsidRPr="002715F2">
        <w:rPr>
          <w:rFonts w:eastAsia="Batang"/>
          <w:lang w:val="fr-FR" w:eastAsia="ko-KR"/>
        </w:rPr>
        <w:t>able</w:t>
      </w:r>
      <w:r w:rsidR="00D42608" w:rsidRPr="002715F2">
        <w:rPr>
          <w:rFonts w:eastAsia="Batang"/>
          <w:lang w:val="fr-FR" w:eastAsia="ko-KR"/>
        </w:rPr>
        <w:t>au</w:t>
      </w:r>
      <w:r w:rsidR="00EF40DA" w:rsidRPr="002715F2">
        <w:rPr>
          <w:rFonts w:eastAsia="Batang"/>
          <w:lang w:val="fr-FR" w:eastAsia="ko-KR"/>
        </w:rPr>
        <w:t> </w:t>
      </w:r>
      <w:r w:rsidR="000078DA" w:rsidRPr="002715F2">
        <w:rPr>
          <w:rFonts w:eastAsia="Batang"/>
          <w:lang w:val="fr-FR" w:eastAsia="ko-KR"/>
        </w:rPr>
        <w:t>15</w:t>
      </w:r>
      <w:r w:rsidR="00F60999" w:rsidRPr="002715F2">
        <w:rPr>
          <w:rFonts w:eastAsia="Batang"/>
          <w:lang w:val="fr-FR" w:eastAsia="ko-KR"/>
        </w:rPr>
        <w:t>).</w:t>
      </w:r>
    </w:p>
    <w:p w:rsidR="000078DA" w:rsidRPr="002715F2" w:rsidRDefault="007026FB" w:rsidP="00D971A9">
      <w:pPr>
        <w:pStyle w:val="SingleTxtG"/>
        <w:rPr>
          <w:rFonts w:eastAsia="Batang"/>
          <w:lang w:val="fr-FR" w:eastAsia="ko-KR"/>
        </w:rPr>
      </w:pPr>
      <w:r w:rsidRPr="002715F2">
        <w:rPr>
          <w:rFonts w:eastAsia="Batang"/>
          <w:lang w:val="fr-FR" w:eastAsia="ko-KR"/>
        </w:rPr>
        <w:t>70.</w:t>
      </w:r>
      <w:r w:rsidRPr="002715F2">
        <w:rPr>
          <w:rFonts w:eastAsia="Batang"/>
          <w:lang w:val="fr-FR" w:eastAsia="ko-KR"/>
        </w:rPr>
        <w:tab/>
      </w:r>
      <w:r w:rsidR="00D42608" w:rsidRPr="002715F2">
        <w:rPr>
          <w:rFonts w:eastAsia="Batang"/>
          <w:lang w:val="fr-FR" w:eastAsia="ko-KR"/>
        </w:rPr>
        <w:t>Il est constamment rappelé au grand public que le harcèlement sexuel sur le lieu de travail est illégal</w:t>
      </w:r>
      <w:r w:rsidR="000078DA" w:rsidRPr="002715F2">
        <w:rPr>
          <w:rFonts w:eastAsia="Batang"/>
          <w:lang w:val="fr-FR" w:eastAsia="ko-KR"/>
        </w:rPr>
        <w:t xml:space="preserve">. </w:t>
      </w:r>
      <w:r w:rsidR="00A849B3" w:rsidRPr="002715F2">
        <w:rPr>
          <w:rFonts w:eastAsia="Batang"/>
          <w:lang w:val="fr-FR" w:eastAsia="ko-KR"/>
        </w:rPr>
        <w:t>Dans cet esprit, e</w:t>
      </w:r>
      <w:r w:rsidR="00D42608" w:rsidRPr="002715F2">
        <w:rPr>
          <w:rFonts w:eastAsia="Batang"/>
          <w:lang w:val="fr-FR" w:eastAsia="ko-KR"/>
        </w:rPr>
        <w:t>n 2010 et 2011, le Gouvernement a diffusé une campagne</w:t>
      </w:r>
      <w:r w:rsidR="0050004C" w:rsidRPr="002715F2">
        <w:rPr>
          <w:rFonts w:eastAsia="Batang"/>
          <w:lang w:val="fr-FR" w:eastAsia="ko-KR"/>
        </w:rPr>
        <w:t xml:space="preserve"> </w:t>
      </w:r>
      <w:r w:rsidR="00D42608" w:rsidRPr="002715F2">
        <w:rPr>
          <w:rFonts w:eastAsia="Batang"/>
          <w:lang w:val="fr-FR" w:eastAsia="ko-KR"/>
        </w:rPr>
        <w:t xml:space="preserve">radio, élaboré et utilisé des outils d’information (sur les lieux de travail et dans les transports publics) et distribué des </w:t>
      </w:r>
      <w:r w:rsidR="00D971A9" w:rsidRPr="002715F2">
        <w:rPr>
          <w:rFonts w:eastAsia="Batang"/>
          <w:lang w:val="fr-FR" w:eastAsia="ko-KR"/>
        </w:rPr>
        <w:t>imprimés</w:t>
      </w:r>
      <w:r w:rsidR="00401D7D" w:rsidRPr="002715F2">
        <w:rPr>
          <w:rFonts w:eastAsia="Batang"/>
          <w:lang w:val="fr-FR" w:eastAsia="ko-KR"/>
        </w:rPr>
        <w:t xml:space="preserve"> (30 000 </w:t>
      </w:r>
      <w:r w:rsidR="00D42608" w:rsidRPr="002715F2">
        <w:rPr>
          <w:rFonts w:eastAsia="Batang"/>
          <w:lang w:val="fr-FR" w:eastAsia="ko-KR"/>
        </w:rPr>
        <w:t>exemplaires en 2011)</w:t>
      </w:r>
      <w:r w:rsidR="000078DA" w:rsidRPr="002715F2">
        <w:rPr>
          <w:rFonts w:eastAsia="Batang"/>
          <w:lang w:val="fr-FR" w:eastAsia="ko-KR"/>
        </w:rPr>
        <w:t>.</w:t>
      </w:r>
      <w:r w:rsidR="00D42608" w:rsidRPr="002715F2">
        <w:rPr>
          <w:rFonts w:eastAsia="Batang"/>
          <w:lang w:val="fr-FR" w:eastAsia="ko-KR"/>
        </w:rPr>
        <w:t xml:space="preserve"> En 2012, </w:t>
      </w:r>
      <w:r w:rsidR="001F524D" w:rsidRPr="002715F2">
        <w:rPr>
          <w:rFonts w:eastAsia="Batang"/>
          <w:lang w:val="fr-FR" w:eastAsia="ko-KR"/>
        </w:rPr>
        <w:t xml:space="preserve">il </w:t>
      </w:r>
      <w:r w:rsidR="00D42608" w:rsidRPr="002715F2">
        <w:rPr>
          <w:rFonts w:eastAsia="Batang"/>
          <w:lang w:val="fr-FR" w:eastAsia="ko-KR"/>
        </w:rPr>
        <w:t xml:space="preserve">a conçu et distribué des affiches </w:t>
      </w:r>
      <w:r w:rsidR="00C35806" w:rsidRPr="002715F2">
        <w:rPr>
          <w:rFonts w:eastAsia="Batang"/>
          <w:lang w:val="fr-FR" w:eastAsia="ko-KR"/>
        </w:rPr>
        <w:t>expliqu</w:t>
      </w:r>
      <w:r w:rsidR="0050004C" w:rsidRPr="002715F2">
        <w:rPr>
          <w:rFonts w:eastAsia="Batang"/>
          <w:lang w:val="fr-FR" w:eastAsia="ko-KR"/>
        </w:rPr>
        <w:t>a</w:t>
      </w:r>
      <w:r w:rsidR="00C35806" w:rsidRPr="002715F2">
        <w:rPr>
          <w:rFonts w:eastAsia="Batang"/>
          <w:lang w:val="fr-FR" w:eastAsia="ko-KR"/>
        </w:rPr>
        <w:t xml:space="preserve">nt </w:t>
      </w:r>
      <w:r w:rsidR="00C35806" w:rsidRPr="002715F2">
        <w:rPr>
          <w:rFonts w:eastAsia="Batang" w:hAnsi="Malgun Gothic"/>
          <w:lang w:val="fr-FR" w:eastAsia="ko-KR"/>
        </w:rPr>
        <w:t>aux victimes</w:t>
      </w:r>
      <w:r w:rsidR="00C35806" w:rsidRPr="002715F2">
        <w:rPr>
          <w:rFonts w:eastAsia="Batang"/>
          <w:lang w:val="fr-FR" w:eastAsia="ko-KR"/>
        </w:rPr>
        <w:t xml:space="preserve"> comment</w:t>
      </w:r>
      <w:r w:rsidR="00D42608" w:rsidRPr="002715F2">
        <w:rPr>
          <w:rFonts w:eastAsia="Batang"/>
          <w:lang w:val="fr-FR" w:eastAsia="ko-KR"/>
        </w:rPr>
        <w:t xml:space="preserve"> </w:t>
      </w:r>
      <w:r w:rsidR="00162A5D" w:rsidRPr="002715F2">
        <w:rPr>
          <w:rFonts w:eastAsia="Batang"/>
          <w:lang w:val="fr-FR" w:eastAsia="ko-KR"/>
        </w:rPr>
        <w:t>signal</w:t>
      </w:r>
      <w:r w:rsidR="00C35806" w:rsidRPr="002715F2">
        <w:rPr>
          <w:rFonts w:eastAsia="Batang"/>
          <w:lang w:val="fr-FR" w:eastAsia="ko-KR"/>
        </w:rPr>
        <w:t>er l</w:t>
      </w:r>
      <w:r w:rsidR="00162A5D" w:rsidRPr="002715F2">
        <w:rPr>
          <w:rFonts w:eastAsia="Batang"/>
          <w:lang w:val="fr-FR" w:eastAsia="ko-KR"/>
        </w:rPr>
        <w:t>es</w:t>
      </w:r>
      <w:r w:rsidR="00D42608" w:rsidRPr="002715F2">
        <w:rPr>
          <w:rFonts w:eastAsia="Batang"/>
          <w:lang w:val="fr-FR" w:eastAsia="ko-KR"/>
        </w:rPr>
        <w:t xml:space="preserve"> </w:t>
      </w:r>
      <w:r w:rsidR="00162A5D" w:rsidRPr="002715F2">
        <w:rPr>
          <w:rFonts w:eastAsia="Batang"/>
          <w:lang w:val="fr-FR" w:eastAsia="ko-KR"/>
        </w:rPr>
        <w:t xml:space="preserve">cas de </w:t>
      </w:r>
      <w:r w:rsidR="00D42608" w:rsidRPr="002715F2">
        <w:rPr>
          <w:rFonts w:eastAsia="Batang"/>
          <w:lang w:val="fr-FR" w:eastAsia="ko-KR"/>
        </w:rPr>
        <w:t xml:space="preserve">harcèlement sexuel </w:t>
      </w:r>
      <w:r w:rsidR="00162A5D" w:rsidRPr="002715F2">
        <w:rPr>
          <w:rFonts w:eastAsia="Batang"/>
          <w:lang w:val="fr-FR" w:eastAsia="ko-KR"/>
        </w:rPr>
        <w:t xml:space="preserve">et </w:t>
      </w:r>
      <w:r w:rsidR="00C35806" w:rsidRPr="002715F2">
        <w:rPr>
          <w:rFonts w:eastAsia="Batang"/>
          <w:lang w:val="fr-FR" w:eastAsia="ko-KR"/>
        </w:rPr>
        <w:t>se faire aider</w:t>
      </w:r>
      <w:r w:rsidR="00162A5D" w:rsidRPr="002715F2">
        <w:rPr>
          <w:rFonts w:eastAsia="Batang" w:hAnsi="Malgun Gothic"/>
          <w:lang w:val="fr-FR" w:eastAsia="ko-KR"/>
        </w:rPr>
        <w:t xml:space="preserve"> </w:t>
      </w:r>
      <w:r w:rsidR="00401D7D" w:rsidRPr="002715F2">
        <w:rPr>
          <w:rFonts w:eastAsia="Batang"/>
          <w:lang w:val="fr-FR" w:eastAsia="ko-KR"/>
        </w:rPr>
        <w:t>(10 000 </w:t>
      </w:r>
      <w:r w:rsidR="00D42608" w:rsidRPr="002715F2">
        <w:rPr>
          <w:rFonts w:eastAsia="Batang"/>
          <w:lang w:val="fr-FR" w:eastAsia="ko-KR"/>
        </w:rPr>
        <w:t>exemplaires)</w:t>
      </w:r>
      <w:r w:rsidR="0050004C" w:rsidRPr="002715F2">
        <w:rPr>
          <w:rFonts w:eastAsia="Batang"/>
          <w:lang w:val="fr-FR" w:eastAsia="ko-KR"/>
        </w:rPr>
        <w:t xml:space="preserve">, </w:t>
      </w:r>
      <w:r w:rsidR="00E81315" w:rsidRPr="002715F2">
        <w:rPr>
          <w:rFonts w:eastAsia="Batang"/>
          <w:lang w:val="fr-FR" w:eastAsia="ko-KR"/>
        </w:rPr>
        <w:t>de même</w:t>
      </w:r>
      <w:r w:rsidR="0050004C" w:rsidRPr="002715F2">
        <w:rPr>
          <w:rFonts w:eastAsia="Batang"/>
          <w:lang w:val="fr-FR" w:eastAsia="ko-KR"/>
        </w:rPr>
        <w:t xml:space="preserve"> que</w:t>
      </w:r>
      <w:r w:rsidR="00D42608" w:rsidRPr="002715F2">
        <w:rPr>
          <w:rFonts w:eastAsia="Batang"/>
          <w:lang w:val="fr-FR" w:eastAsia="ko-KR"/>
        </w:rPr>
        <w:t xml:space="preserve"> des </w:t>
      </w:r>
      <w:r w:rsidR="00D971A9" w:rsidRPr="002715F2">
        <w:rPr>
          <w:rFonts w:eastAsia="Batang"/>
          <w:lang w:val="fr-FR" w:eastAsia="ko-KR"/>
        </w:rPr>
        <w:t xml:space="preserve">imprimés </w:t>
      </w:r>
      <w:r w:rsidR="00E81315" w:rsidRPr="002715F2">
        <w:rPr>
          <w:rFonts w:eastAsia="Batang"/>
          <w:lang w:val="fr-FR" w:eastAsia="ko-KR"/>
        </w:rPr>
        <w:t>de</w:t>
      </w:r>
      <w:r w:rsidR="00D42608" w:rsidRPr="002715F2">
        <w:rPr>
          <w:rFonts w:eastAsia="Batang"/>
          <w:lang w:val="fr-FR" w:eastAsia="ko-KR"/>
        </w:rPr>
        <w:t xml:space="preserve"> préven</w:t>
      </w:r>
      <w:r w:rsidR="00162A5D" w:rsidRPr="002715F2">
        <w:rPr>
          <w:rFonts w:eastAsia="Batang"/>
          <w:lang w:val="fr-FR" w:eastAsia="ko-KR"/>
        </w:rPr>
        <w:t>tion (100 </w:t>
      </w:r>
      <w:r w:rsidR="00D42608" w:rsidRPr="002715F2">
        <w:rPr>
          <w:rFonts w:eastAsia="Batang"/>
          <w:lang w:val="fr-FR" w:eastAsia="ko-KR"/>
        </w:rPr>
        <w:t>000</w:t>
      </w:r>
      <w:r w:rsidR="00162A5D" w:rsidRPr="002715F2">
        <w:rPr>
          <w:rFonts w:eastAsia="Batang"/>
          <w:lang w:val="fr-FR" w:eastAsia="ko-KR"/>
        </w:rPr>
        <w:t xml:space="preserve"> exemplaires). </w:t>
      </w:r>
      <w:r w:rsidR="00984C16" w:rsidRPr="002715F2">
        <w:rPr>
          <w:rFonts w:eastAsia="Batang"/>
          <w:lang w:val="fr-FR" w:eastAsia="ko-KR"/>
        </w:rPr>
        <w:t xml:space="preserve">Un film </w:t>
      </w:r>
      <w:r w:rsidR="00A849B3" w:rsidRPr="002715F2">
        <w:rPr>
          <w:rFonts w:eastAsia="Batang"/>
          <w:lang w:val="fr-FR" w:eastAsia="ko-KR"/>
        </w:rPr>
        <w:t>DVD de</w:t>
      </w:r>
      <w:r w:rsidR="00D42608" w:rsidRPr="002715F2">
        <w:rPr>
          <w:rFonts w:eastAsia="Batang"/>
          <w:lang w:val="fr-FR" w:eastAsia="ko-KR"/>
        </w:rPr>
        <w:t xml:space="preserve"> p</w:t>
      </w:r>
      <w:r w:rsidR="00162A5D" w:rsidRPr="002715F2">
        <w:rPr>
          <w:rFonts w:eastAsia="Batang"/>
          <w:lang w:val="fr-FR" w:eastAsia="ko-KR"/>
        </w:rPr>
        <w:t xml:space="preserve">révention </w:t>
      </w:r>
      <w:r w:rsidR="00E81315" w:rsidRPr="002715F2">
        <w:rPr>
          <w:rFonts w:eastAsia="Batang"/>
          <w:lang w:val="fr-FR" w:eastAsia="ko-KR"/>
        </w:rPr>
        <w:t xml:space="preserve">a également été réalisé et </w:t>
      </w:r>
      <w:r w:rsidR="00D42608" w:rsidRPr="002715F2">
        <w:rPr>
          <w:rFonts w:eastAsia="Batang"/>
          <w:lang w:val="fr-FR" w:eastAsia="ko-KR"/>
        </w:rPr>
        <w:t xml:space="preserve">distribué </w:t>
      </w:r>
      <w:r w:rsidR="00162A5D" w:rsidRPr="002715F2">
        <w:rPr>
          <w:rFonts w:eastAsia="Batang"/>
          <w:lang w:val="fr-FR" w:eastAsia="ko-KR"/>
        </w:rPr>
        <w:t xml:space="preserve">à </w:t>
      </w:r>
      <w:r w:rsidR="00401D7D" w:rsidRPr="002715F2">
        <w:rPr>
          <w:rFonts w:eastAsia="Batang"/>
          <w:lang w:val="fr-FR" w:eastAsia="ko-KR"/>
        </w:rPr>
        <w:t>10 </w:t>
      </w:r>
      <w:r w:rsidR="00D42608" w:rsidRPr="002715F2">
        <w:rPr>
          <w:rFonts w:eastAsia="Batang"/>
          <w:lang w:val="fr-FR" w:eastAsia="ko-KR"/>
        </w:rPr>
        <w:t>000</w:t>
      </w:r>
      <w:r w:rsidR="00401D7D" w:rsidRPr="002715F2">
        <w:rPr>
          <w:rFonts w:eastAsia="Batang"/>
          <w:lang w:val="fr-FR" w:eastAsia="ko-KR"/>
        </w:rPr>
        <w:t> </w:t>
      </w:r>
      <w:r w:rsidR="00D42608" w:rsidRPr="002715F2">
        <w:rPr>
          <w:rFonts w:eastAsia="Batang"/>
          <w:lang w:val="fr-FR" w:eastAsia="ko-KR"/>
        </w:rPr>
        <w:t>exemplaires</w:t>
      </w:r>
      <w:r w:rsidR="000078DA" w:rsidRPr="002715F2">
        <w:rPr>
          <w:rFonts w:eastAsia="Batang"/>
          <w:lang w:val="fr-FR" w:eastAsia="ko-KR"/>
        </w:rPr>
        <w:t xml:space="preserve">. </w:t>
      </w:r>
      <w:r w:rsidR="00162A5D" w:rsidRPr="002715F2">
        <w:rPr>
          <w:rFonts w:eastAsia="Batang"/>
          <w:lang w:val="fr-FR" w:eastAsia="ko-KR"/>
        </w:rPr>
        <w:t xml:space="preserve">En 2013, des </w:t>
      </w:r>
      <w:r w:rsidR="00D971A9" w:rsidRPr="002715F2">
        <w:rPr>
          <w:rFonts w:eastAsia="Batang"/>
          <w:lang w:val="fr-FR" w:eastAsia="ko-KR"/>
        </w:rPr>
        <w:t xml:space="preserve">imprimés </w:t>
      </w:r>
      <w:r w:rsidR="00E81315" w:rsidRPr="002715F2">
        <w:rPr>
          <w:rFonts w:eastAsia="Batang"/>
          <w:lang w:val="fr-FR" w:eastAsia="ko-KR"/>
        </w:rPr>
        <w:t>de</w:t>
      </w:r>
      <w:r w:rsidR="00162A5D" w:rsidRPr="002715F2">
        <w:rPr>
          <w:rFonts w:eastAsia="Batang"/>
          <w:lang w:val="fr-FR" w:eastAsia="ko-KR"/>
        </w:rPr>
        <w:t xml:space="preserve"> prévention </w:t>
      </w:r>
      <w:r w:rsidR="0050004C" w:rsidRPr="002715F2">
        <w:rPr>
          <w:rFonts w:eastAsia="Batang"/>
          <w:lang w:val="fr-FR" w:eastAsia="ko-KR"/>
        </w:rPr>
        <w:t xml:space="preserve">ont été traduits dans </w:t>
      </w:r>
      <w:r w:rsidR="00735636" w:rsidRPr="002715F2">
        <w:rPr>
          <w:rFonts w:eastAsia="Batang"/>
          <w:lang w:val="fr-FR" w:eastAsia="ko-KR"/>
        </w:rPr>
        <w:t xml:space="preserve">cinq </w:t>
      </w:r>
      <w:r w:rsidR="00162A5D" w:rsidRPr="002715F2">
        <w:rPr>
          <w:rFonts w:eastAsia="Batang"/>
          <w:lang w:val="fr-FR" w:eastAsia="ko-KR"/>
        </w:rPr>
        <w:t>langues étrangères (vietnamien, thaïlandais, chinois, indonésien et ouzbek)</w:t>
      </w:r>
      <w:r w:rsidR="0050004C" w:rsidRPr="002715F2">
        <w:rPr>
          <w:rFonts w:eastAsia="Batang"/>
          <w:lang w:val="fr-FR" w:eastAsia="ko-KR"/>
        </w:rPr>
        <w:t xml:space="preserve"> puis </w:t>
      </w:r>
      <w:r w:rsidR="00162A5D" w:rsidRPr="002715F2">
        <w:rPr>
          <w:rFonts w:eastAsia="Batang"/>
          <w:lang w:val="fr-FR" w:eastAsia="ko-KR"/>
        </w:rPr>
        <w:t>distribués sur 20 000 lieux de travail emplo</w:t>
      </w:r>
      <w:r w:rsidR="00E81315" w:rsidRPr="002715F2">
        <w:rPr>
          <w:rFonts w:eastAsia="Batang"/>
          <w:lang w:val="fr-FR" w:eastAsia="ko-KR"/>
        </w:rPr>
        <w:t>ya</w:t>
      </w:r>
      <w:r w:rsidR="00162A5D" w:rsidRPr="002715F2">
        <w:rPr>
          <w:rFonts w:eastAsia="Batang"/>
          <w:lang w:val="fr-FR" w:eastAsia="ko-KR"/>
        </w:rPr>
        <w:t>nt un grand nombre de travailleurs étrangers</w:t>
      </w:r>
      <w:r w:rsidR="000078DA" w:rsidRPr="002715F2">
        <w:rPr>
          <w:rFonts w:eastAsia="Batang"/>
          <w:lang w:val="fr-FR" w:eastAsia="ko-KR"/>
        </w:rPr>
        <w:t xml:space="preserve">. </w:t>
      </w:r>
      <w:r w:rsidR="00D971A9" w:rsidRPr="002715F2">
        <w:rPr>
          <w:rFonts w:eastAsia="Batang"/>
          <w:lang w:val="fr-FR" w:eastAsia="ko-KR"/>
        </w:rPr>
        <w:t>En 2014,</w:t>
      </w:r>
      <w:r w:rsidR="0050004C" w:rsidRPr="002715F2">
        <w:rPr>
          <w:rFonts w:eastAsia="Batang"/>
          <w:lang w:val="fr-FR" w:eastAsia="ko-KR"/>
        </w:rPr>
        <w:t xml:space="preserve"> le Gouvernement a diffusé</w:t>
      </w:r>
      <w:r w:rsidR="00D971A9" w:rsidRPr="002715F2">
        <w:rPr>
          <w:rFonts w:eastAsia="Batang"/>
          <w:lang w:val="fr-FR" w:eastAsia="ko-KR"/>
        </w:rPr>
        <w:t xml:space="preserve"> </w:t>
      </w:r>
      <w:r w:rsidR="0050004C" w:rsidRPr="002715F2">
        <w:rPr>
          <w:rFonts w:eastAsia="Batang"/>
          <w:lang w:val="fr-FR" w:eastAsia="ko-KR"/>
        </w:rPr>
        <w:t>20 000 </w:t>
      </w:r>
      <w:r w:rsidR="00D971A9" w:rsidRPr="002715F2">
        <w:rPr>
          <w:rFonts w:eastAsia="Batang"/>
          <w:lang w:val="fr-FR" w:eastAsia="ko-KR"/>
        </w:rPr>
        <w:t xml:space="preserve">exemplaires </w:t>
      </w:r>
      <w:r w:rsidR="0050004C" w:rsidRPr="002715F2">
        <w:rPr>
          <w:rFonts w:eastAsia="Batang"/>
          <w:lang w:val="fr-FR" w:eastAsia="ko-KR"/>
        </w:rPr>
        <w:t xml:space="preserve">de cet imprimé </w:t>
      </w:r>
      <w:r w:rsidR="00D971A9" w:rsidRPr="002715F2">
        <w:rPr>
          <w:rFonts w:eastAsia="Batang"/>
          <w:lang w:val="fr-FR" w:eastAsia="ko-KR"/>
        </w:rPr>
        <w:t>en anglais</w:t>
      </w:r>
      <w:r w:rsidR="00257BF0" w:rsidRPr="002715F2">
        <w:rPr>
          <w:rFonts w:eastAsia="Batang"/>
          <w:lang w:val="fr-FR" w:eastAsia="ko-KR"/>
        </w:rPr>
        <w:t>,</w:t>
      </w:r>
      <w:r w:rsidR="00D971A9" w:rsidRPr="002715F2">
        <w:rPr>
          <w:rFonts w:eastAsia="Batang"/>
          <w:lang w:val="fr-FR" w:eastAsia="ko-KR"/>
        </w:rPr>
        <w:t xml:space="preserve"> </w:t>
      </w:r>
      <w:r w:rsidR="0050004C" w:rsidRPr="002715F2">
        <w:rPr>
          <w:rFonts w:eastAsia="Batang"/>
          <w:lang w:val="fr-FR" w:eastAsia="ko-KR"/>
        </w:rPr>
        <w:t xml:space="preserve">et mis au point un </w:t>
      </w:r>
      <w:r w:rsidR="00E97B1A" w:rsidRPr="002715F2">
        <w:rPr>
          <w:rFonts w:eastAsia="Batang"/>
          <w:lang w:val="fr-FR" w:eastAsia="ko-KR"/>
        </w:rPr>
        <w:t>«</w:t>
      </w:r>
      <w:r w:rsidR="00D971A9" w:rsidRPr="002715F2">
        <w:rPr>
          <w:rFonts w:eastAsia="Batang"/>
          <w:lang w:val="fr-FR" w:eastAsia="ko-KR"/>
        </w:rPr>
        <w:t xml:space="preserve">Guide </w:t>
      </w:r>
      <w:r w:rsidR="0050004C" w:rsidRPr="002715F2">
        <w:rPr>
          <w:rFonts w:eastAsia="Batang"/>
          <w:lang w:val="fr-FR" w:eastAsia="ko-KR"/>
        </w:rPr>
        <w:t>de</w:t>
      </w:r>
      <w:r w:rsidR="00D971A9" w:rsidRPr="002715F2">
        <w:rPr>
          <w:rFonts w:eastAsia="Batang"/>
          <w:lang w:val="fr-FR" w:eastAsia="ko-KR"/>
        </w:rPr>
        <w:t xml:space="preserve"> prévention du harcèlement sexuel à l’intention des employeurs</w:t>
      </w:r>
      <w:r w:rsidR="00E97B1A" w:rsidRPr="002715F2">
        <w:rPr>
          <w:rFonts w:eastAsia="Batang"/>
          <w:lang w:val="fr-FR" w:eastAsia="ko-KR"/>
        </w:rPr>
        <w:t>»</w:t>
      </w:r>
      <w:r w:rsidR="0050004C" w:rsidRPr="002715F2">
        <w:rPr>
          <w:rFonts w:eastAsia="Batang"/>
          <w:lang w:val="fr-FR" w:eastAsia="ko-KR"/>
        </w:rPr>
        <w:t xml:space="preserve"> qui a été</w:t>
      </w:r>
      <w:r w:rsidR="00D971A9" w:rsidRPr="002715F2">
        <w:rPr>
          <w:rFonts w:eastAsia="Batang"/>
          <w:lang w:val="fr-FR" w:eastAsia="ko-KR"/>
        </w:rPr>
        <w:t xml:space="preserve"> distribué aux petites entreprises</w:t>
      </w:r>
      <w:r w:rsidR="000078DA" w:rsidRPr="002715F2">
        <w:rPr>
          <w:rFonts w:eastAsia="Batang"/>
          <w:lang w:val="fr-FR" w:eastAsia="ko-KR"/>
        </w:rPr>
        <w:t xml:space="preserve">. </w:t>
      </w:r>
      <w:r w:rsidR="00FB63E3" w:rsidRPr="002715F2">
        <w:rPr>
          <w:rFonts w:eastAsia="Batang"/>
          <w:lang w:val="fr-FR" w:eastAsia="ko-KR"/>
        </w:rPr>
        <w:t>U</w:t>
      </w:r>
      <w:r w:rsidR="00A0343A" w:rsidRPr="002715F2">
        <w:rPr>
          <w:rFonts w:eastAsia="Batang"/>
          <w:lang w:val="fr-FR" w:eastAsia="ko-KR"/>
        </w:rPr>
        <w:t xml:space="preserve">ne bande dessinée </w:t>
      </w:r>
      <w:r w:rsidR="00FB63E3" w:rsidRPr="002715F2">
        <w:rPr>
          <w:rFonts w:eastAsia="Batang"/>
          <w:lang w:val="fr-FR" w:eastAsia="ko-KR"/>
        </w:rPr>
        <w:t>de prévention, accessible en ligne à partir de</w:t>
      </w:r>
      <w:r w:rsidR="00A849B3" w:rsidRPr="002715F2">
        <w:rPr>
          <w:rFonts w:eastAsia="Batang"/>
          <w:lang w:val="fr-FR" w:eastAsia="ko-KR"/>
        </w:rPr>
        <w:t xml:space="preserve"> </w:t>
      </w:r>
      <w:r w:rsidR="00FB63E3" w:rsidRPr="002715F2">
        <w:rPr>
          <w:rFonts w:eastAsia="Batang"/>
          <w:lang w:val="fr-FR" w:eastAsia="ko-KR"/>
        </w:rPr>
        <w:t xml:space="preserve">sites </w:t>
      </w:r>
      <w:r w:rsidR="00A849B3" w:rsidRPr="002715F2">
        <w:rPr>
          <w:rFonts w:eastAsia="Batang"/>
          <w:lang w:val="fr-FR" w:eastAsia="ko-KR"/>
        </w:rPr>
        <w:t>portails</w:t>
      </w:r>
      <w:r w:rsidR="00FB63E3" w:rsidRPr="002715F2">
        <w:rPr>
          <w:rFonts w:eastAsia="Batang"/>
          <w:lang w:val="fr-FR" w:eastAsia="ko-KR"/>
        </w:rPr>
        <w:t>,</w:t>
      </w:r>
      <w:r w:rsidR="00A849B3" w:rsidRPr="002715F2">
        <w:rPr>
          <w:rFonts w:eastAsia="Batang"/>
          <w:lang w:val="fr-FR" w:eastAsia="ko-KR"/>
        </w:rPr>
        <w:t xml:space="preserve"> </w:t>
      </w:r>
      <w:r w:rsidR="00FB63E3" w:rsidRPr="002715F2">
        <w:rPr>
          <w:rFonts w:eastAsia="Batang"/>
          <w:lang w:val="fr-FR" w:eastAsia="ko-KR"/>
        </w:rPr>
        <w:t>a été conçue et</w:t>
      </w:r>
      <w:r w:rsidR="00A849B3" w:rsidRPr="002715F2">
        <w:rPr>
          <w:rFonts w:eastAsia="Batang"/>
          <w:lang w:val="fr-FR" w:eastAsia="ko-KR"/>
        </w:rPr>
        <w:t xml:space="preserve"> annoncée </w:t>
      </w:r>
      <w:r w:rsidR="00FB63E3" w:rsidRPr="002715F2">
        <w:rPr>
          <w:rFonts w:eastAsia="Batang"/>
          <w:lang w:val="fr-FR" w:eastAsia="ko-KR"/>
        </w:rPr>
        <w:t>à l’aide d’une</w:t>
      </w:r>
      <w:r w:rsidR="00A849B3" w:rsidRPr="002715F2">
        <w:rPr>
          <w:rFonts w:eastAsia="Batang"/>
          <w:lang w:val="fr-FR" w:eastAsia="ko-KR"/>
        </w:rPr>
        <w:t xml:space="preserve"> </w:t>
      </w:r>
      <w:r w:rsidR="00FB63E3" w:rsidRPr="002715F2">
        <w:rPr>
          <w:rFonts w:eastAsia="Batang"/>
          <w:lang w:val="fr-FR" w:eastAsia="ko-KR"/>
        </w:rPr>
        <w:t>bannière</w:t>
      </w:r>
      <w:r w:rsidR="00A849B3" w:rsidRPr="002715F2">
        <w:rPr>
          <w:rFonts w:eastAsia="Batang"/>
          <w:lang w:val="fr-FR" w:eastAsia="ko-KR"/>
        </w:rPr>
        <w:t xml:space="preserve"> publicitaire</w:t>
      </w:r>
      <w:r w:rsidR="000078DA" w:rsidRPr="002715F2">
        <w:rPr>
          <w:rFonts w:eastAsia="Batang" w:hAnsi="Malgun Gothic"/>
          <w:lang w:val="fr-FR" w:eastAsia="ko-KR"/>
        </w:rPr>
        <w:t xml:space="preserve">. </w:t>
      </w:r>
      <w:r w:rsidR="00D971A9" w:rsidRPr="002715F2">
        <w:rPr>
          <w:rFonts w:eastAsia="Batang"/>
          <w:lang w:val="fr-FR" w:eastAsia="ko-KR"/>
        </w:rPr>
        <w:t xml:space="preserve">En 2015, </w:t>
      </w:r>
      <w:r w:rsidR="00401D7D" w:rsidRPr="002715F2">
        <w:rPr>
          <w:rFonts w:eastAsia="Batang"/>
          <w:lang w:val="fr-FR" w:eastAsia="ko-KR"/>
        </w:rPr>
        <w:t xml:space="preserve">des </w:t>
      </w:r>
      <w:r w:rsidR="00401D7D" w:rsidRPr="002715F2">
        <w:rPr>
          <w:lang w:val="fr-FR"/>
        </w:rPr>
        <w:t xml:space="preserve">films </w:t>
      </w:r>
      <w:r w:rsidR="00A849B3" w:rsidRPr="002715F2">
        <w:rPr>
          <w:rFonts w:eastAsia="Batang"/>
          <w:lang w:val="fr-FR" w:eastAsia="ko-KR"/>
        </w:rPr>
        <w:t>de</w:t>
      </w:r>
      <w:r w:rsidR="00D971A9" w:rsidRPr="002715F2">
        <w:rPr>
          <w:rFonts w:eastAsia="Batang"/>
          <w:lang w:val="fr-FR" w:eastAsia="ko-KR"/>
        </w:rPr>
        <w:t xml:space="preserve"> prévention </w:t>
      </w:r>
      <w:r w:rsidR="00257BF0" w:rsidRPr="002715F2">
        <w:rPr>
          <w:rFonts w:eastAsia="Batang"/>
          <w:lang w:val="fr-FR" w:eastAsia="ko-KR"/>
        </w:rPr>
        <w:t>ont été réalisés et distribué</w:t>
      </w:r>
      <w:r w:rsidR="00D971A9" w:rsidRPr="002715F2">
        <w:rPr>
          <w:rFonts w:eastAsia="Batang"/>
          <w:lang w:val="fr-FR" w:eastAsia="ko-KR"/>
        </w:rPr>
        <w:t>s aux entreprises afin de sensibiliser le</w:t>
      </w:r>
      <w:r w:rsidR="00257BF0" w:rsidRPr="002715F2">
        <w:rPr>
          <w:rFonts w:eastAsia="Batang"/>
          <w:lang w:val="fr-FR" w:eastAsia="ko-KR"/>
        </w:rPr>
        <w:t>s</w:t>
      </w:r>
      <w:r w:rsidR="00D971A9" w:rsidRPr="002715F2">
        <w:rPr>
          <w:rFonts w:eastAsia="Batang"/>
          <w:lang w:val="fr-FR" w:eastAsia="ko-KR"/>
        </w:rPr>
        <w:t xml:space="preserve"> </w:t>
      </w:r>
      <w:r w:rsidR="00257BF0" w:rsidRPr="002715F2">
        <w:rPr>
          <w:rFonts w:eastAsia="Batang"/>
          <w:lang w:val="fr-FR" w:eastAsia="ko-KR"/>
        </w:rPr>
        <w:t>salariés</w:t>
      </w:r>
      <w:r w:rsidR="00D971A9" w:rsidRPr="002715F2">
        <w:rPr>
          <w:rFonts w:eastAsia="Batang"/>
          <w:lang w:val="fr-FR" w:eastAsia="ko-KR"/>
        </w:rPr>
        <w:t xml:space="preserve"> et de prévenir le harcèlement sexuel </w:t>
      </w:r>
      <w:r w:rsidR="00A849B3" w:rsidRPr="002715F2">
        <w:rPr>
          <w:rFonts w:eastAsia="Batang"/>
          <w:lang w:val="fr-FR" w:eastAsia="ko-KR"/>
        </w:rPr>
        <w:t>sur le lieu de</w:t>
      </w:r>
      <w:r w:rsidR="00257BF0" w:rsidRPr="002715F2">
        <w:rPr>
          <w:rFonts w:eastAsia="Batang"/>
          <w:lang w:val="fr-FR" w:eastAsia="ko-KR"/>
        </w:rPr>
        <w:t xml:space="preserve"> travail</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71.</w:t>
      </w:r>
      <w:r w:rsidRPr="002715F2">
        <w:rPr>
          <w:rFonts w:eastAsia="Batang"/>
          <w:lang w:val="fr-FR" w:eastAsia="ko-KR"/>
        </w:rPr>
        <w:tab/>
      </w:r>
      <w:r w:rsidR="00D83826" w:rsidRPr="002715F2">
        <w:rPr>
          <w:rFonts w:eastAsia="Malgun Gothic"/>
          <w:kern w:val="2"/>
          <w:szCs w:val="22"/>
          <w:lang w:val="fr-FR" w:eastAsia="ko-KR"/>
        </w:rPr>
        <w:t>La Commission nationale des droits de l’homme</w:t>
      </w:r>
      <w:r w:rsidR="000078DA" w:rsidRPr="002715F2">
        <w:rPr>
          <w:rFonts w:eastAsia="Batang"/>
          <w:lang w:val="fr-FR" w:eastAsia="ko-KR"/>
        </w:rPr>
        <w:t xml:space="preserve"> </w:t>
      </w:r>
      <w:r w:rsidR="00D83826" w:rsidRPr="002715F2">
        <w:rPr>
          <w:rFonts w:eastAsia="Batang"/>
          <w:lang w:val="fr-FR" w:eastAsia="ko-KR"/>
        </w:rPr>
        <w:t>a distribué des affiches</w:t>
      </w:r>
      <w:r w:rsidR="00EC43D8" w:rsidRPr="002715F2">
        <w:rPr>
          <w:rFonts w:eastAsia="Batang"/>
          <w:lang w:val="fr-FR" w:eastAsia="ko-KR"/>
        </w:rPr>
        <w:t>,</w:t>
      </w:r>
      <w:r w:rsidR="00D83826" w:rsidRPr="002715F2">
        <w:rPr>
          <w:rFonts w:eastAsia="Batang"/>
          <w:lang w:val="fr-FR" w:eastAsia="ko-KR"/>
        </w:rPr>
        <w:t xml:space="preserve"> des imprimés</w:t>
      </w:r>
      <w:r w:rsidR="00EC43D8" w:rsidRPr="002715F2">
        <w:rPr>
          <w:rFonts w:eastAsia="Batang"/>
          <w:lang w:val="fr-FR" w:eastAsia="ko-KR"/>
        </w:rPr>
        <w:t xml:space="preserve"> et </w:t>
      </w:r>
      <w:r w:rsidR="00EC1256" w:rsidRPr="002715F2">
        <w:rPr>
          <w:rFonts w:eastAsia="Batang"/>
          <w:lang w:val="fr-FR" w:eastAsia="ko-KR"/>
        </w:rPr>
        <w:t xml:space="preserve">une </w:t>
      </w:r>
      <w:r w:rsidR="00E97B1A" w:rsidRPr="002715F2">
        <w:rPr>
          <w:rFonts w:eastAsia="Batang"/>
          <w:lang w:val="fr-FR" w:eastAsia="ko-KR"/>
        </w:rPr>
        <w:t>«</w:t>
      </w:r>
      <w:r w:rsidR="00D83826" w:rsidRPr="002715F2">
        <w:rPr>
          <w:rFonts w:eastAsia="Batang"/>
          <w:lang w:val="fr-FR" w:eastAsia="ko-KR"/>
        </w:rPr>
        <w:t xml:space="preserve">Compilation de recommandations </w:t>
      </w:r>
      <w:r w:rsidR="00B43B5E" w:rsidRPr="002715F2">
        <w:rPr>
          <w:rFonts w:eastAsia="Batang"/>
          <w:lang w:val="fr-FR" w:eastAsia="ko-KR"/>
        </w:rPr>
        <w:t>pour remédier au</w:t>
      </w:r>
      <w:r w:rsidR="00D83826" w:rsidRPr="002715F2">
        <w:rPr>
          <w:rFonts w:eastAsia="Batang"/>
          <w:lang w:val="fr-FR" w:eastAsia="ko-KR"/>
        </w:rPr>
        <w:t xml:space="preserve"> harcèlement sexuel</w:t>
      </w:r>
      <w:r w:rsidR="00E97B1A" w:rsidRPr="002715F2">
        <w:rPr>
          <w:rFonts w:eastAsia="Batang"/>
          <w:lang w:val="fr-FR" w:eastAsia="ko-KR"/>
        </w:rPr>
        <w:t>»</w:t>
      </w:r>
      <w:r w:rsidR="00D83826" w:rsidRPr="002715F2">
        <w:rPr>
          <w:rFonts w:eastAsia="Batang"/>
          <w:lang w:val="fr-FR" w:eastAsia="ko-KR"/>
        </w:rPr>
        <w:t xml:space="preserve"> </w:t>
      </w:r>
      <w:r w:rsidR="00EC43D8" w:rsidRPr="002715F2">
        <w:rPr>
          <w:rFonts w:eastAsia="Batang"/>
          <w:lang w:val="fr-FR" w:eastAsia="ko-KR"/>
        </w:rPr>
        <w:t>visant à sensibiliser l’opinion publique</w:t>
      </w:r>
      <w:r w:rsidR="00EC1256" w:rsidRPr="002715F2">
        <w:rPr>
          <w:rFonts w:eastAsia="Batang"/>
          <w:lang w:val="fr-FR" w:eastAsia="ko-KR"/>
        </w:rPr>
        <w:t xml:space="preserve"> (questions n</w:t>
      </w:r>
      <w:r w:rsidR="00EC1256" w:rsidRPr="002715F2">
        <w:rPr>
          <w:rFonts w:eastAsia="Batang"/>
          <w:vertAlign w:val="superscript"/>
          <w:lang w:val="fr-FR" w:eastAsia="ko-KR"/>
        </w:rPr>
        <w:t>o</w:t>
      </w:r>
      <w:r w:rsidR="00EC1256" w:rsidRPr="002715F2">
        <w:rPr>
          <w:rFonts w:eastAsia="Batang"/>
          <w:lang w:val="fr-FR" w:eastAsia="ko-KR"/>
        </w:rPr>
        <w:t> 1 à 6)</w:t>
      </w:r>
      <w:r w:rsidR="000078DA" w:rsidRPr="002715F2">
        <w:rPr>
          <w:rFonts w:eastAsia="Batang"/>
          <w:lang w:val="fr-FR" w:eastAsia="ko-KR"/>
        </w:rPr>
        <w:t xml:space="preserve">. </w:t>
      </w:r>
      <w:r w:rsidR="00EC1256" w:rsidRPr="002715F2">
        <w:rPr>
          <w:rFonts w:eastAsia="Batang"/>
          <w:lang w:val="fr-FR" w:eastAsia="ko-KR"/>
        </w:rPr>
        <w:t>En</w:t>
      </w:r>
      <w:r w:rsidR="00EC43D8" w:rsidRPr="002715F2">
        <w:rPr>
          <w:rFonts w:eastAsia="Batang"/>
          <w:lang w:val="fr-FR" w:eastAsia="ko-KR"/>
        </w:rPr>
        <w:t xml:space="preserve"> 2015, la Commission a</w:t>
      </w:r>
      <w:r w:rsidR="00EC1256" w:rsidRPr="002715F2">
        <w:rPr>
          <w:rFonts w:eastAsia="Batang"/>
          <w:lang w:val="fr-FR" w:eastAsia="ko-KR"/>
        </w:rPr>
        <w:t>vait</w:t>
      </w:r>
      <w:r w:rsidR="00EC43D8" w:rsidRPr="002715F2">
        <w:rPr>
          <w:rFonts w:eastAsia="Batang"/>
          <w:lang w:val="fr-FR" w:eastAsia="ko-KR"/>
        </w:rPr>
        <w:t xml:space="preserve"> dispens</w:t>
      </w:r>
      <w:r w:rsidR="00167373" w:rsidRPr="002715F2">
        <w:rPr>
          <w:rFonts w:eastAsia="Batang"/>
          <w:lang w:val="fr-FR" w:eastAsia="ko-KR"/>
        </w:rPr>
        <w:t>é</w:t>
      </w:r>
      <w:r w:rsidR="00EC43D8" w:rsidRPr="002715F2">
        <w:rPr>
          <w:rFonts w:eastAsia="Batang"/>
          <w:lang w:val="fr-FR" w:eastAsia="ko-KR"/>
        </w:rPr>
        <w:t xml:space="preserve"> un</w:t>
      </w:r>
      <w:r w:rsidR="00EC1256" w:rsidRPr="002715F2">
        <w:rPr>
          <w:rFonts w:eastAsia="Batang"/>
          <w:lang w:val="fr-FR" w:eastAsia="ko-KR"/>
        </w:rPr>
        <w:t>e</w:t>
      </w:r>
      <w:r w:rsidR="00EC43D8" w:rsidRPr="002715F2">
        <w:rPr>
          <w:rFonts w:eastAsia="Batang"/>
          <w:lang w:val="fr-FR" w:eastAsia="ko-KR"/>
        </w:rPr>
        <w:t xml:space="preserve"> </w:t>
      </w:r>
      <w:r w:rsidR="00EC1256" w:rsidRPr="002715F2">
        <w:rPr>
          <w:rFonts w:eastAsia="Batang"/>
          <w:lang w:val="fr-FR" w:eastAsia="ko-KR"/>
        </w:rPr>
        <w:t>éducation aux</w:t>
      </w:r>
      <w:r w:rsidR="00EC43D8" w:rsidRPr="002715F2">
        <w:rPr>
          <w:rFonts w:eastAsia="Batang"/>
          <w:lang w:val="fr-FR" w:eastAsia="ko-KR"/>
        </w:rPr>
        <w:t xml:space="preserve"> droits de l’homme à 140</w:t>
      </w:r>
      <w:r w:rsidR="00EC1256" w:rsidRPr="002715F2">
        <w:rPr>
          <w:rFonts w:eastAsia="Batang"/>
          <w:lang w:val="fr-FR" w:eastAsia="ko-KR"/>
        </w:rPr>
        <w:t> personnes</w:t>
      </w:r>
      <w:r w:rsidR="00EC43D8" w:rsidRPr="002715F2">
        <w:rPr>
          <w:rFonts w:eastAsia="Batang"/>
          <w:lang w:val="fr-FR" w:eastAsia="ko-KR"/>
        </w:rPr>
        <w:t xml:space="preserve"> vis</w:t>
      </w:r>
      <w:r w:rsidR="00EC1256" w:rsidRPr="002715F2">
        <w:rPr>
          <w:rFonts w:eastAsia="Batang"/>
          <w:lang w:val="fr-FR" w:eastAsia="ko-KR"/>
        </w:rPr>
        <w:t xml:space="preserve">ées par une plainte, et </w:t>
      </w:r>
      <w:r w:rsidR="00EC43D8" w:rsidRPr="002715F2">
        <w:rPr>
          <w:rFonts w:eastAsia="Batang"/>
          <w:lang w:val="fr-FR" w:eastAsia="ko-KR"/>
        </w:rPr>
        <w:t xml:space="preserve">organisé des sessions d’études de cas sur </w:t>
      </w:r>
      <w:r w:rsidR="00EC1256" w:rsidRPr="002715F2">
        <w:rPr>
          <w:rFonts w:eastAsia="Batang"/>
          <w:lang w:val="fr-FR" w:eastAsia="ko-KR"/>
        </w:rPr>
        <w:t>le harcèlement sexuel à la demande de certains instituts de formation</w:t>
      </w:r>
      <w:r w:rsidR="00F60999" w:rsidRPr="002715F2">
        <w:rPr>
          <w:rFonts w:eastAsia="Batang"/>
          <w:lang w:val="fr-FR" w:eastAsia="ko-KR"/>
        </w:rPr>
        <w:t>.</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E91219" w:rsidRPr="002715F2">
        <w:rPr>
          <w:rFonts w:eastAsia="Batang"/>
          <w:lang w:val="fr-FR" w:eastAsia="ko-KR"/>
        </w:rPr>
        <w:t>Réponse aux qu</w:t>
      </w:r>
      <w:r w:rsidR="00EC1256" w:rsidRPr="002715F2">
        <w:rPr>
          <w:rFonts w:eastAsia="Batang"/>
          <w:lang w:val="fr-FR" w:eastAsia="ko-KR"/>
        </w:rPr>
        <w:t xml:space="preserve">estions soulevées au </w:t>
      </w:r>
      <w:r w:rsidR="00675A3D" w:rsidRPr="002715F2">
        <w:rPr>
          <w:rFonts w:eastAsia="Batang"/>
          <w:lang w:val="fr-FR" w:eastAsia="ko-KR"/>
        </w:rPr>
        <w:t xml:space="preserve">paragraphe </w:t>
      </w:r>
      <w:r w:rsidR="00E91219" w:rsidRPr="002715F2">
        <w:rPr>
          <w:rFonts w:eastAsia="Batang"/>
          <w:lang w:val="fr-FR" w:eastAsia="ko-KR"/>
        </w:rPr>
        <w:t>10</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167373" w:rsidRPr="002715F2">
        <w:rPr>
          <w:rFonts w:eastAsia="Batang"/>
          <w:lang w:val="fr-FR" w:eastAsia="ko-KR"/>
        </w:rPr>
        <w:t>Gestion des cas de traite d’êtres humains</w:t>
      </w:r>
    </w:p>
    <w:p w:rsidR="000078DA" w:rsidRPr="002715F2" w:rsidRDefault="007026FB" w:rsidP="007026FB">
      <w:pPr>
        <w:pStyle w:val="SingleTxtG"/>
        <w:rPr>
          <w:rFonts w:eastAsia="Batang"/>
          <w:lang w:val="fr-FR" w:eastAsia="ko-KR"/>
        </w:rPr>
      </w:pPr>
      <w:r w:rsidRPr="002715F2">
        <w:rPr>
          <w:rFonts w:eastAsia="Batang"/>
          <w:lang w:val="fr-FR" w:eastAsia="ko-KR"/>
        </w:rPr>
        <w:t>72.</w:t>
      </w:r>
      <w:r w:rsidRPr="002715F2">
        <w:rPr>
          <w:rFonts w:eastAsia="Batang"/>
          <w:lang w:val="fr-FR" w:eastAsia="ko-KR"/>
        </w:rPr>
        <w:tab/>
      </w:r>
      <w:r w:rsidR="00167373" w:rsidRPr="002715F2">
        <w:rPr>
          <w:rFonts w:eastAsia="Batang"/>
          <w:lang w:val="fr-FR" w:eastAsia="ko-KR"/>
        </w:rPr>
        <w:t xml:space="preserve">Entre 2006 et 2015, </w:t>
      </w:r>
      <w:r w:rsidR="00EC1256" w:rsidRPr="002715F2">
        <w:rPr>
          <w:rFonts w:eastAsia="Batang"/>
          <w:lang w:val="fr-FR" w:eastAsia="ko-KR"/>
        </w:rPr>
        <w:t>2 260 </w:t>
      </w:r>
      <w:r w:rsidR="00193F66" w:rsidRPr="002715F2">
        <w:rPr>
          <w:rFonts w:eastAsia="Batang"/>
          <w:lang w:val="fr-FR" w:eastAsia="ko-KR"/>
        </w:rPr>
        <w:t xml:space="preserve">personnes accusées de </w:t>
      </w:r>
      <w:r w:rsidR="00C44DAE" w:rsidRPr="002715F2">
        <w:rPr>
          <w:rFonts w:eastAsia="Batang"/>
          <w:lang w:val="fr-FR" w:eastAsia="ko-KR"/>
        </w:rPr>
        <w:t>traite</w:t>
      </w:r>
      <w:r w:rsidR="00193F66" w:rsidRPr="002715F2">
        <w:rPr>
          <w:rFonts w:eastAsia="Batang"/>
          <w:lang w:val="fr-FR" w:eastAsia="ko-KR"/>
        </w:rPr>
        <w:t xml:space="preserve"> </w:t>
      </w:r>
      <w:r w:rsidR="00C44DAE" w:rsidRPr="002715F2">
        <w:rPr>
          <w:rFonts w:eastAsia="Batang"/>
          <w:lang w:val="fr-FR" w:eastAsia="ko-KR"/>
        </w:rPr>
        <w:t>de personnes</w:t>
      </w:r>
      <w:r w:rsidR="00193F66" w:rsidRPr="002715F2">
        <w:rPr>
          <w:rFonts w:eastAsia="Batang"/>
          <w:lang w:val="fr-FR" w:eastAsia="ko-KR"/>
        </w:rPr>
        <w:t xml:space="preserve"> ont </w:t>
      </w:r>
      <w:r w:rsidR="00EC1256" w:rsidRPr="002715F2">
        <w:rPr>
          <w:rFonts w:eastAsia="Batang"/>
          <w:lang w:val="fr-FR" w:eastAsia="ko-KR"/>
        </w:rPr>
        <w:t>été jugées</w:t>
      </w:r>
      <w:r w:rsidR="00193F66" w:rsidRPr="002715F2">
        <w:rPr>
          <w:rFonts w:eastAsia="Batang"/>
          <w:lang w:val="fr-FR" w:eastAsia="ko-KR"/>
        </w:rPr>
        <w:t xml:space="preserve"> devant le</w:t>
      </w:r>
      <w:r w:rsidR="00167373" w:rsidRPr="002715F2">
        <w:rPr>
          <w:rFonts w:eastAsia="Batang"/>
          <w:lang w:val="fr-FR" w:eastAsia="ko-KR"/>
        </w:rPr>
        <w:t xml:space="preserve"> tribunal de première instance</w:t>
      </w:r>
      <w:r w:rsidR="000078DA" w:rsidRPr="002715F2">
        <w:rPr>
          <w:rFonts w:eastAsia="Batang"/>
          <w:lang w:val="fr-FR" w:eastAsia="ko-KR"/>
        </w:rPr>
        <w:t xml:space="preserve">. </w:t>
      </w:r>
      <w:r w:rsidR="00EC1256" w:rsidRPr="002715F2">
        <w:rPr>
          <w:rFonts w:eastAsia="Batang"/>
          <w:lang w:val="fr-FR" w:eastAsia="ko-KR"/>
        </w:rPr>
        <w:t>Sur ces 2 260 affaires</w:t>
      </w:r>
      <w:r w:rsidR="00193F66" w:rsidRPr="002715F2">
        <w:rPr>
          <w:rFonts w:eastAsia="Batang"/>
          <w:lang w:val="fr-FR" w:eastAsia="ko-KR"/>
        </w:rPr>
        <w:t xml:space="preserve">, </w:t>
      </w:r>
      <w:r w:rsidR="00735636" w:rsidRPr="002715F2">
        <w:rPr>
          <w:rFonts w:eastAsia="Batang"/>
          <w:lang w:val="fr-FR" w:eastAsia="ko-KR"/>
        </w:rPr>
        <w:t xml:space="preserve">une </w:t>
      </w:r>
      <w:r w:rsidR="00EC1256" w:rsidRPr="002715F2">
        <w:rPr>
          <w:rFonts w:eastAsia="Batang"/>
          <w:lang w:val="fr-FR" w:eastAsia="ko-KR"/>
        </w:rPr>
        <w:t>personne</w:t>
      </w:r>
      <w:r w:rsidR="00193F66" w:rsidRPr="002715F2">
        <w:rPr>
          <w:rFonts w:eastAsia="Batang"/>
          <w:lang w:val="fr-FR" w:eastAsia="ko-KR"/>
        </w:rPr>
        <w:t xml:space="preserve"> a été condamnée à la peine capitale, 630</w:t>
      </w:r>
      <w:r w:rsidR="00EC1256" w:rsidRPr="002715F2">
        <w:rPr>
          <w:rFonts w:eastAsia="Batang"/>
          <w:lang w:val="fr-FR" w:eastAsia="ko-KR"/>
        </w:rPr>
        <w:t> personnes</w:t>
      </w:r>
      <w:r w:rsidR="00193F66" w:rsidRPr="002715F2">
        <w:rPr>
          <w:rFonts w:eastAsia="Batang"/>
          <w:lang w:val="fr-FR" w:eastAsia="ko-KR"/>
        </w:rPr>
        <w:t xml:space="preserve"> </w:t>
      </w:r>
      <w:r w:rsidR="00EC1256" w:rsidRPr="002715F2">
        <w:rPr>
          <w:rFonts w:eastAsia="Batang"/>
          <w:lang w:val="fr-FR" w:eastAsia="ko-KR"/>
        </w:rPr>
        <w:t>ont reçu</w:t>
      </w:r>
      <w:r w:rsidR="00193F66" w:rsidRPr="002715F2">
        <w:rPr>
          <w:rFonts w:eastAsia="Batang"/>
          <w:lang w:val="fr-FR" w:eastAsia="ko-KR"/>
        </w:rPr>
        <w:t xml:space="preserve"> </w:t>
      </w:r>
      <w:r w:rsidR="00EC1256" w:rsidRPr="002715F2">
        <w:rPr>
          <w:rFonts w:eastAsia="Batang"/>
          <w:lang w:val="fr-FR" w:eastAsia="ko-KR"/>
        </w:rPr>
        <w:t>une peine d’emp</w:t>
      </w:r>
      <w:r w:rsidR="006B6450" w:rsidRPr="002715F2">
        <w:rPr>
          <w:rFonts w:eastAsia="Batang"/>
          <w:lang w:val="fr-FR" w:eastAsia="ko-KR"/>
        </w:rPr>
        <w:t xml:space="preserve">risonnement, </w:t>
      </w:r>
      <w:r w:rsidR="00735636" w:rsidRPr="002715F2">
        <w:rPr>
          <w:rFonts w:eastAsia="Batang"/>
          <w:lang w:val="fr-FR" w:eastAsia="ko-KR"/>
        </w:rPr>
        <w:t xml:space="preserve"> 880 </w:t>
      </w:r>
      <w:r w:rsidR="006B6450" w:rsidRPr="002715F2">
        <w:rPr>
          <w:rFonts w:eastAsia="Batang"/>
          <w:lang w:val="fr-FR" w:eastAsia="ko-KR"/>
        </w:rPr>
        <w:t>ont bénéficié d’un sursis à l’exécution de leur peine</w:t>
      </w:r>
      <w:r w:rsidR="00EC1256" w:rsidRPr="002715F2">
        <w:rPr>
          <w:rFonts w:eastAsia="Batang"/>
          <w:lang w:val="fr-FR" w:eastAsia="ko-KR"/>
        </w:rPr>
        <w:t xml:space="preserve">, </w:t>
      </w:r>
      <w:r w:rsidR="00735636" w:rsidRPr="002715F2">
        <w:rPr>
          <w:rFonts w:eastAsia="Batang"/>
          <w:lang w:val="fr-FR" w:eastAsia="ko-KR"/>
        </w:rPr>
        <w:t xml:space="preserve"> 394 </w:t>
      </w:r>
      <w:r w:rsidR="00EC1256" w:rsidRPr="002715F2">
        <w:rPr>
          <w:rFonts w:eastAsia="Batang"/>
          <w:lang w:val="fr-FR" w:eastAsia="ko-KR"/>
        </w:rPr>
        <w:t xml:space="preserve">ont eu une amende, </w:t>
      </w:r>
      <w:r w:rsidR="00735636" w:rsidRPr="002715F2">
        <w:rPr>
          <w:rFonts w:eastAsia="Batang"/>
          <w:lang w:val="fr-FR" w:eastAsia="ko-KR"/>
        </w:rPr>
        <w:t xml:space="preserve">20 </w:t>
      </w:r>
      <w:r w:rsidR="00EC1256" w:rsidRPr="002715F2">
        <w:rPr>
          <w:rFonts w:eastAsia="Batang"/>
          <w:lang w:val="fr-FR" w:eastAsia="ko-KR"/>
        </w:rPr>
        <w:t xml:space="preserve">ont </w:t>
      </w:r>
      <w:r w:rsidR="006B6450" w:rsidRPr="002715F2">
        <w:rPr>
          <w:rFonts w:eastAsia="Batang"/>
          <w:lang w:val="fr-FR" w:eastAsia="ko-KR"/>
        </w:rPr>
        <w:t>obtenu un sursis au prononcé de la peine</w:t>
      </w:r>
      <w:r w:rsidR="00EC1256" w:rsidRPr="002715F2">
        <w:rPr>
          <w:rFonts w:eastAsia="Batang"/>
          <w:lang w:val="fr-FR" w:eastAsia="ko-KR"/>
        </w:rPr>
        <w:t xml:space="preserve">, </w:t>
      </w:r>
      <w:r w:rsidR="00735636" w:rsidRPr="002715F2">
        <w:rPr>
          <w:rFonts w:eastAsia="Batang"/>
          <w:lang w:val="fr-FR" w:eastAsia="ko-KR"/>
        </w:rPr>
        <w:t xml:space="preserve">44 </w:t>
      </w:r>
      <w:r w:rsidR="00193F66" w:rsidRPr="002715F2">
        <w:rPr>
          <w:rFonts w:eastAsia="Batang"/>
          <w:lang w:val="fr-FR" w:eastAsia="ko-KR"/>
        </w:rPr>
        <w:t xml:space="preserve">ont été </w:t>
      </w:r>
      <w:r w:rsidR="00EC1256" w:rsidRPr="002715F2">
        <w:rPr>
          <w:rFonts w:eastAsia="Batang"/>
          <w:lang w:val="fr-FR" w:eastAsia="ko-KR"/>
        </w:rPr>
        <w:t>déclarées</w:t>
      </w:r>
      <w:r w:rsidR="00193F66" w:rsidRPr="002715F2">
        <w:rPr>
          <w:rFonts w:eastAsia="Batang"/>
          <w:lang w:val="fr-FR" w:eastAsia="ko-KR"/>
        </w:rPr>
        <w:t xml:space="preserve"> non coupables </w:t>
      </w:r>
      <w:r w:rsidR="00EC1256" w:rsidRPr="002715F2">
        <w:rPr>
          <w:rFonts w:eastAsia="Batang"/>
          <w:lang w:val="fr-FR" w:eastAsia="ko-KR"/>
        </w:rPr>
        <w:t xml:space="preserve">et </w:t>
      </w:r>
      <w:r w:rsidR="00735636" w:rsidRPr="002715F2">
        <w:rPr>
          <w:rFonts w:eastAsia="Batang"/>
          <w:lang w:val="fr-FR" w:eastAsia="ko-KR"/>
        </w:rPr>
        <w:t xml:space="preserve"> 291 </w:t>
      </w:r>
      <w:r w:rsidR="00193F66" w:rsidRPr="002715F2">
        <w:rPr>
          <w:rFonts w:eastAsia="Batang"/>
          <w:lang w:val="fr-FR" w:eastAsia="ko-KR"/>
        </w:rPr>
        <w:t xml:space="preserve">ont fait l’objet d’autres </w:t>
      </w:r>
      <w:r w:rsidR="005C6D8E" w:rsidRPr="002715F2">
        <w:rPr>
          <w:rFonts w:eastAsia="Batang"/>
          <w:lang w:val="fr-FR" w:eastAsia="ko-KR"/>
        </w:rPr>
        <w:t>décisions</w:t>
      </w:r>
      <w:r w:rsidR="000078DA" w:rsidRPr="002715F2">
        <w:rPr>
          <w:rStyle w:val="FootnoteReference"/>
          <w:rFonts w:eastAsia="Dotum"/>
          <w:lang w:val="fr-FR"/>
        </w:rPr>
        <w:footnoteReference w:id="9"/>
      </w:r>
      <w:r w:rsidR="000078DA" w:rsidRPr="002715F2">
        <w:rPr>
          <w:rFonts w:eastAsia="Dotum"/>
          <w:lang w:val="fr-FR" w:eastAsia="ko-KR"/>
        </w:rPr>
        <w:t xml:space="preserve"> </w:t>
      </w:r>
      <w:r w:rsidR="000078DA" w:rsidRPr="002715F2">
        <w:rPr>
          <w:rFonts w:eastAsia="Batang"/>
          <w:lang w:val="fr-FR" w:eastAsia="ko-KR"/>
        </w:rPr>
        <w:t>(</w:t>
      </w:r>
      <w:r w:rsidR="00193F66" w:rsidRPr="002715F2">
        <w:rPr>
          <w:rFonts w:eastAsia="Batang"/>
          <w:lang w:val="fr-FR" w:eastAsia="ko-KR"/>
        </w:rPr>
        <w:t>voir</w:t>
      </w:r>
      <w:r w:rsidR="000078DA" w:rsidRPr="002715F2">
        <w:rPr>
          <w:rFonts w:eastAsia="Batang"/>
          <w:lang w:val="fr-FR" w:eastAsia="ko-KR"/>
        </w:rPr>
        <w:t xml:space="preserve"> </w:t>
      </w:r>
      <w:r w:rsidR="00EC1256" w:rsidRPr="002715F2">
        <w:rPr>
          <w:rFonts w:eastAsia="Batang"/>
          <w:lang w:val="fr-FR" w:eastAsia="ko-KR"/>
        </w:rPr>
        <w:t xml:space="preserve">le </w:t>
      </w:r>
      <w:r w:rsidR="000078DA" w:rsidRPr="002715F2">
        <w:rPr>
          <w:rFonts w:eastAsia="Batang"/>
          <w:lang w:val="fr-FR" w:eastAsia="ko-KR"/>
        </w:rPr>
        <w:t>table</w:t>
      </w:r>
      <w:r w:rsidR="00193F66" w:rsidRPr="002715F2">
        <w:rPr>
          <w:rFonts w:eastAsia="Batang"/>
          <w:lang w:val="fr-FR" w:eastAsia="ko-KR"/>
        </w:rPr>
        <w:t>au</w:t>
      </w:r>
      <w:r w:rsidR="00EC1256" w:rsidRPr="002715F2">
        <w:rPr>
          <w:rFonts w:eastAsia="Batang"/>
          <w:lang w:val="fr-FR" w:eastAsia="ko-KR"/>
        </w:rPr>
        <w:t> </w:t>
      </w:r>
      <w:r w:rsidR="000078DA" w:rsidRPr="002715F2">
        <w:rPr>
          <w:rFonts w:eastAsia="Batang"/>
          <w:lang w:val="fr-FR" w:eastAsia="ko-KR"/>
        </w:rPr>
        <w:t>16).</w:t>
      </w:r>
      <w:r w:rsidR="000078DA" w:rsidRPr="002715F2" w:rsidDel="00813A33">
        <w:rPr>
          <w:rFonts w:eastAsia="Batang"/>
          <w:lang w:val="fr-FR" w:eastAsia="ko-KR"/>
        </w:rPr>
        <w:t xml:space="preserve"> </w:t>
      </w:r>
      <w:r w:rsidR="00EC1256" w:rsidRPr="002715F2">
        <w:rPr>
          <w:rFonts w:eastAsia="Batang"/>
          <w:lang w:val="fr-FR" w:eastAsia="ko-KR"/>
        </w:rPr>
        <w:t>La liste des</w:t>
      </w:r>
      <w:r w:rsidR="00193F66" w:rsidRPr="002715F2">
        <w:rPr>
          <w:rFonts w:eastAsia="Batang"/>
          <w:lang w:val="fr-FR" w:eastAsia="ko-KR"/>
        </w:rPr>
        <w:t xml:space="preserve"> crimes </w:t>
      </w:r>
      <w:r w:rsidR="00EC1256" w:rsidRPr="002715F2">
        <w:rPr>
          <w:rFonts w:eastAsia="Batang"/>
          <w:lang w:val="fr-FR" w:eastAsia="ko-KR"/>
        </w:rPr>
        <w:t xml:space="preserve">concernés </w:t>
      </w:r>
      <w:r w:rsidR="00193F66" w:rsidRPr="002715F2">
        <w:rPr>
          <w:rFonts w:eastAsia="Batang"/>
          <w:lang w:val="fr-FR" w:eastAsia="ko-KR"/>
        </w:rPr>
        <w:t>est la suivante</w:t>
      </w:r>
      <w:r w:rsidR="00E97B1A" w:rsidRPr="002715F2">
        <w:rPr>
          <w:rFonts w:eastAsia="Batang"/>
          <w:lang w:val="fr-FR" w:eastAsia="ko-KR"/>
        </w:rPr>
        <w:t>:</w:t>
      </w:r>
      <w:r w:rsidR="00193F66" w:rsidRPr="002715F2">
        <w:rPr>
          <w:rFonts w:eastAsia="Batang"/>
          <w:lang w:val="fr-FR" w:eastAsia="ko-KR"/>
        </w:rPr>
        <w:t xml:space="preserve"> crimes </w:t>
      </w:r>
      <w:r w:rsidR="00EC1256" w:rsidRPr="002715F2">
        <w:rPr>
          <w:rFonts w:eastAsia="Batang"/>
          <w:lang w:val="fr-FR" w:eastAsia="ko-KR"/>
        </w:rPr>
        <w:t>sanctionnés par le Code</w:t>
      </w:r>
      <w:r w:rsidR="00193F66" w:rsidRPr="002715F2">
        <w:rPr>
          <w:rFonts w:eastAsia="Batang"/>
          <w:lang w:val="fr-FR" w:eastAsia="ko-KR"/>
        </w:rPr>
        <w:t xml:space="preserve"> pénal (enlèvement ou </w:t>
      </w:r>
      <w:r w:rsidR="005C6D8E" w:rsidRPr="002715F2">
        <w:rPr>
          <w:rFonts w:eastAsia="Batang"/>
          <w:lang w:val="fr-FR" w:eastAsia="ko-KR"/>
        </w:rPr>
        <w:t>manœuvre</w:t>
      </w:r>
      <w:r w:rsidR="005D59D8" w:rsidRPr="002715F2">
        <w:rPr>
          <w:rFonts w:eastAsia="Batang"/>
          <w:lang w:val="fr-FR" w:eastAsia="ko-KR"/>
        </w:rPr>
        <w:t xml:space="preserve"> captatoire</w:t>
      </w:r>
      <w:r w:rsidR="00193F66" w:rsidRPr="002715F2">
        <w:rPr>
          <w:rFonts w:eastAsia="Batang"/>
          <w:lang w:val="fr-FR" w:eastAsia="ko-KR"/>
        </w:rPr>
        <w:t>, traite d</w:t>
      </w:r>
      <w:r w:rsidR="005D59D8" w:rsidRPr="002715F2">
        <w:rPr>
          <w:rFonts w:eastAsia="Batang"/>
          <w:lang w:val="fr-FR" w:eastAsia="ko-KR"/>
        </w:rPr>
        <w:t xml:space="preserve">es </w:t>
      </w:r>
      <w:r w:rsidR="00193F66" w:rsidRPr="002715F2">
        <w:rPr>
          <w:rFonts w:eastAsia="Batang"/>
          <w:lang w:val="fr-FR" w:eastAsia="ko-KR"/>
        </w:rPr>
        <w:t>être</w:t>
      </w:r>
      <w:r w:rsidR="005D59D8" w:rsidRPr="002715F2">
        <w:rPr>
          <w:rFonts w:eastAsia="Batang"/>
          <w:lang w:val="fr-FR" w:eastAsia="ko-KR"/>
        </w:rPr>
        <w:t>s</w:t>
      </w:r>
      <w:r w:rsidR="00611A03" w:rsidRPr="002715F2">
        <w:rPr>
          <w:rFonts w:eastAsia="Batang"/>
          <w:lang w:val="fr-FR" w:eastAsia="ko-KR"/>
        </w:rPr>
        <w:t xml:space="preserve"> humains, etc.)</w:t>
      </w:r>
      <w:r w:rsidR="00E97B1A" w:rsidRPr="002715F2">
        <w:rPr>
          <w:rFonts w:eastAsia="Batang"/>
          <w:lang w:val="fr-FR" w:eastAsia="ko-KR"/>
        </w:rPr>
        <w:t>;</w:t>
      </w:r>
      <w:r w:rsidR="00193F66" w:rsidRPr="002715F2">
        <w:rPr>
          <w:rFonts w:eastAsia="Batang"/>
          <w:lang w:val="fr-FR" w:eastAsia="ko-KR"/>
        </w:rPr>
        <w:t xml:space="preserve"> crimes </w:t>
      </w:r>
      <w:r w:rsidR="00611A03" w:rsidRPr="002715F2">
        <w:rPr>
          <w:rFonts w:eastAsia="Batang"/>
          <w:lang w:val="fr-FR" w:eastAsia="ko-KR"/>
        </w:rPr>
        <w:t>punis par</w:t>
      </w:r>
      <w:r w:rsidR="00193F66" w:rsidRPr="002715F2">
        <w:rPr>
          <w:rFonts w:eastAsia="Batang"/>
          <w:lang w:val="fr-FR" w:eastAsia="ko-KR"/>
        </w:rPr>
        <w:t xml:space="preserve"> la </w:t>
      </w:r>
      <w:r w:rsidR="00611A03" w:rsidRPr="002715F2">
        <w:rPr>
          <w:rFonts w:eastAsia="Batang"/>
          <w:lang w:val="fr-FR" w:eastAsia="ko-KR"/>
        </w:rPr>
        <w:t>loi sur la répression de la traite à des fins d’exploitation sexuelle</w:t>
      </w:r>
      <w:r w:rsidR="00193F66" w:rsidRPr="002715F2">
        <w:rPr>
          <w:rFonts w:eastAsia="Batang"/>
          <w:lang w:val="fr-FR" w:eastAsia="ko-KR"/>
        </w:rPr>
        <w:t xml:space="preserve"> (</w:t>
      </w:r>
      <w:r w:rsidR="00611A03" w:rsidRPr="002715F2">
        <w:rPr>
          <w:rFonts w:eastAsia="Batang"/>
          <w:lang w:val="fr-FR" w:eastAsia="ko-KR"/>
        </w:rPr>
        <w:t>prostitution forcée</w:t>
      </w:r>
      <w:r w:rsidR="00193F66" w:rsidRPr="002715F2">
        <w:rPr>
          <w:rFonts w:eastAsia="Batang"/>
          <w:lang w:val="fr-FR" w:eastAsia="ko-KR"/>
        </w:rPr>
        <w:t>)</w:t>
      </w:r>
      <w:r w:rsidR="00E97B1A" w:rsidRPr="002715F2">
        <w:rPr>
          <w:rFonts w:eastAsia="Batang"/>
          <w:lang w:val="fr-FR" w:eastAsia="ko-KR"/>
        </w:rPr>
        <w:t>;</w:t>
      </w:r>
      <w:r w:rsidR="00193F66" w:rsidRPr="002715F2">
        <w:rPr>
          <w:rFonts w:eastAsia="Batang"/>
          <w:lang w:val="fr-FR" w:eastAsia="ko-KR"/>
        </w:rPr>
        <w:t xml:space="preserve"> crimes </w:t>
      </w:r>
      <w:r w:rsidR="00611A03" w:rsidRPr="002715F2">
        <w:rPr>
          <w:rFonts w:eastAsia="Batang"/>
          <w:lang w:val="fr-FR" w:eastAsia="ko-KR"/>
        </w:rPr>
        <w:t xml:space="preserve">sanctionnés </w:t>
      </w:r>
      <w:r w:rsidR="00193F66" w:rsidRPr="002715F2">
        <w:rPr>
          <w:rFonts w:eastAsia="Batang"/>
          <w:lang w:val="fr-FR" w:eastAsia="ko-KR"/>
        </w:rPr>
        <w:t xml:space="preserve">par la loi sur la protection des mineurs contre les agressions sexuelles (comportement coercitif, </w:t>
      </w:r>
      <w:r w:rsidR="00611A03" w:rsidRPr="002715F2">
        <w:rPr>
          <w:rFonts w:eastAsia="Batang"/>
          <w:lang w:val="fr-FR" w:eastAsia="ko-KR"/>
        </w:rPr>
        <w:t>traite</w:t>
      </w:r>
      <w:r w:rsidR="00193F66" w:rsidRPr="002715F2">
        <w:rPr>
          <w:rFonts w:eastAsia="Batang"/>
          <w:lang w:val="fr-FR" w:eastAsia="ko-KR"/>
        </w:rPr>
        <w:t xml:space="preserve"> de mineurs)</w:t>
      </w:r>
      <w:r w:rsidR="00E97B1A" w:rsidRPr="002715F2">
        <w:rPr>
          <w:rFonts w:eastAsia="Batang"/>
          <w:lang w:val="fr-FR" w:eastAsia="ko-KR"/>
        </w:rPr>
        <w:t>;</w:t>
      </w:r>
      <w:r w:rsidR="00193F66" w:rsidRPr="002715F2">
        <w:rPr>
          <w:rFonts w:eastAsia="Batang"/>
          <w:lang w:val="fr-FR" w:eastAsia="ko-KR"/>
        </w:rPr>
        <w:t xml:space="preserve"> et crimes punis par </w:t>
      </w:r>
      <w:r w:rsidR="00A40AE5" w:rsidRPr="002715F2">
        <w:rPr>
          <w:rFonts w:eastAsia="Batang"/>
          <w:lang w:val="fr-FR" w:eastAsia="ko-KR"/>
        </w:rPr>
        <w:t xml:space="preserve">loi relative aux peines aggravées pour des crimes spécifiques </w:t>
      </w:r>
      <w:r w:rsidR="00193F66" w:rsidRPr="002715F2">
        <w:rPr>
          <w:rFonts w:eastAsia="Batang"/>
          <w:lang w:val="fr-FR" w:eastAsia="ko-KR"/>
        </w:rPr>
        <w:t xml:space="preserve">(enlèvement ou </w:t>
      </w:r>
      <w:r w:rsidR="009966B6" w:rsidRPr="002715F2">
        <w:rPr>
          <w:rFonts w:eastAsia="Batang"/>
          <w:lang w:val="fr-FR" w:eastAsia="ko-KR"/>
        </w:rPr>
        <w:t>manœuvre</w:t>
      </w:r>
      <w:r w:rsidR="00CB0FC8" w:rsidRPr="002715F2">
        <w:rPr>
          <w:rFonts w:eastAsia="Batang"/>
          <w:lang w:val="fr-FR" w:eastAsia="ko-KR"/>
        </w:rPr>
        <w:t xml:space="preserve"> captatoire </w:t>
      </w:r>
      <w:r w:rsidR="00193F66" w:rsidRPr="002715F2">
        <w:rPr>
          <w:rFonts w:eastAsia="Batang"/>
          <w:lang w:val="fr-FR" w:eastAsia="ko-KR"/>
        </w:rPr>
        <w:t xml:space="preserve">dans </w:t>
      </w:r>
      <w:r w:rsidR="00611A03" w:rsidRPr="002715F2">
        <w:rPr>
          <w:rFonts w:eastAsia="Batang"/>
          <w:lang w:val="fr-FR" w:eastAsia="ko-KR"/>
        </w:rPr>
        <w:t>un but lucratif</w:t>
      </w:r>
      <w:r w:rsidR="00193F66" w:rsidRPr="002715F2">
        <w:rPr>
          <w:rFonts w:eastAsia="Batang"/>
          <w:lang w:val="fr-FR" w:eastAsia="ko-KR"/>
        </w:rPr>
        <w:t>, etc.)</w:t>
      </w:r>
      <w:r w:rsidR="000078DA" w:rsidRPr="002715F2">
        <w:rPr>
          <w:rFonts w:eastAsia="Batang"/>
          <w:lang w:val="fr-FR" w:eastAsia="ko-KR"/>
        </w:rPr>
        <w:t xml:space="preserve">. </w:t>
      </w:r>
      <w:r w:rsidR="005D59D8" w:rsidRPr="002715F2">
        <w:rPr>
          <w:rFonts w:eastAsia="Batang"/>
          <w:lang w:val="fr-FR" w:eastAsia="ko-KR"/>
        </w:rPr>
        <w:t xml:space="preserve">Pour plus </w:t>
      </w:r>
      <w:r w:rsidR="00611A03" w:rsidRPr="002715F2">
        <w:rPr>
          <w:rFonts w:eastAsia="Batang"/>
          <w:lang w:val="fr-FR" w:eastAsia="ko-KR"/>
        </w:rPr>
        <w:t>de renseignements</w:t>
      </w:r>
      <w:r w:rsidR="005D59D8" w:rsidRPr="002715F2">
        <w:rPr>
          <w:rFonts w:eastAsia="Batang"/>
          <w:lang w:val="fr-FR" w:eastAsia="ko-KR"/>
        </w:rPr>
        <w:t xml:space="preserve"> sur les crimes</w:t>
      </w:r>
      <w:r w:rsidR="00611A03" w:rsidRPr="002715F2">
        <w:rPr>
          <w:lang w:val="fr-FR"/>
        </w:rPr>
        <w:t xml:space="preserve"> liés à la traite d’êtres humains</w:t>
      </w:r>
      <w:r w:rsidR="005D59D8" w:rsidRPr="002715F2">
        <w:rPr>
          <w:rFonts w:eastAsia="Batang"/>
          <w:lang w:val="fr-FR" w:eastAsia="ko-KR"/>
        </w:rPr>
        <w:t xml:space="preserve"> </w:t>
      </w:r>
      <w:r w:rsidR="00CB0FC8" w:rsidRPr="002715F2">
        <w:rPr>
          <w:rFonts w:eastAsia="Batang"/>
          <w:lang w:val="fr-FR" w:eastAsia="ko-KR"/>
        </w:rPr>
        <w:t>prévus</w:t>
      </w:r>
      <w:r w:rsidR="005D59D8" w:rsidRPr="002715F2">
        <w:rPr>
          <w:rFonts w:eastAsia="Batang"/>
          <w:lang w:val="fr-FR" w:eastAsia="ko-KR"/>
        </w:rPr>
        <w:t xml:space="preserve"> </w:t>
      </w:r>
      <w:r w:rsidR="00611A03" w:rsidRPr="002715F2">
        <w:rPr>
          <w:rFonts w:eastAsia="Batang"/>
          <w:lang w:val="fr-FR" w:eastAsia="ko-KR"/>
        </w:rPr>
        <w:t>par</w:t>
      </w:r>
      <w:r w:rsidR="005D59D8" w:rsidRPr="002715F2">
        <w:rPr>
          <w:rFonts w:eastAsia="Batang"/>
          <w:lang w:val="fr-FR" w:eastAsia="ko-KR"/>
        </w:rPr>
        <w:t xml:space="preserve"> le </w:t>
      </w:r>
      <w:r w:rsidR="00611A03" w:rsidRPr="002715F2">
        <w:rPr>
          <w:rFonts w:eastAsia="Batang"/>
          <w:lang w:val="fr-FR" w:eastAsia="ko-KR"/>
        </w:rPr>
        <w:t>C</w:t>
      </w:r>
      <w:r w:rsidR="005D59D8" w:rsidRPr="002715F2">
        <w:rPr>
          <w:rFonts w:eastAsia="Batang"/>
          <w:lang w:val="fr-FR" w:eastAsia="ko-KR"/>
        </w:rPr>
        <w:t xml:space="preserve">ode pénal, on se reportera au paragraphe 81 du </w:t>
      </w:r>
      <w:r w:rsidR="005C6D8E" w:rsidRPr="002715F2">
        <w:rPr>
          <w:rFonts w:eastAsia="Batang"/>
          <w:lang w:val="fr-FR" w:eastAsia="ko-KR"/>
        </w:rPr>
        <w:t>présent</w:t>
      </w:r>
      <w:r w:rsidR="005D59D8" w:rsidRPr="002715F2">
        <w:rPr>
          <w:rFonts w:eastAsia="Batang"/>
          <w:lang w:val="fr-FR" w:eastAsia="ko-KR"/>
        </w:rPr>
        <w:t xml:space="preserve"> rapport</w:t>
      </w:r>
      <w:r w:rsidR="000078DA" w:rsidRPr="002715F2">
        <w:rPr>
          <w:rFonts w:eastAsia="Batang"/>
          <w:lang w:val="fr-FR" w:eastAsia="ko-KR"/>
        </w:rPr>
        <w:t>.</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5D59D8" w:rsidRPr="002715F2">
        <w:rPr>
          <w:rFonts w:eastAsia="Batang"/>
          <w:lang w:val="fr-FR" w:eastAsia="ko-KR"/>
        </w:rPr>
        <w:t xml:space="preserve">Prise en charge des femmes </w:t>
      </w:r>
      <w:r w:rsidR="005C6D8E" w:rsidRPr="002715F2">
        <w:rPr>
          <w:rFonts w:eastAsia="Batang"/>
          <w:lang w:val="fr-FR" w:eastAsia="ko-KR"/>
        </w:rPr>
        <w:t>étrangères</w:t>
      </w:r>
      <w:r w:rsidR="005D59D8" w:rsidRPr="002715F2">
        <w:rPr>
          <w:rFonts w:eastAsia="Batang"/>
          <w:lang w:val="fr-FR" w:eastAsia="ko-KR"/>
        </w:rPr>
        <w:t xml:space="preserve"> victimes de la traite des êtres humains</w:t>
      </w:r>
    </w:p>
    <w:p w:rsidR="000078DA" w:rsidRPr="002715F2" w:rsidRDefault="007026FB" w:rsidP="00CB0FC8">
      <w:pPr>
        <w:pStyle w:val="SingleTxtG"/>
        <w:rPr>
          <w:rFonts w:eastAsia="Batang"/>
          <w:lang w:val="fr-FR" w:eastAsia="ko-KR"/>
        </w:rPr>
      </w:pPr>
      <w:r w:rsidRPr="002715F2">
        <w:rPr>
          <w:rFonts w:eastAsia="Batang"/>
          <w:lang w:val="fr-FR" w:eastAsia="ko-KR"/>
        </w:rPr>
        <w:t>73.</w:t>
      </w:r>
      <w:r w:rsidRPr="002715F2">
        <w:rPr>
          <w:rFonts w:eastAsia="Batang"/>
          <w:lang w:val="fr-FR" w:eastAsia="ko-KR"/>
        </w:rPr>
        <w:tab/>
      </w:r>
      <w:r w:rsidR="00CB0FC8" w:rsidRPr="002715F2">
        <w:rPr>
          <w:rFonts w:eastAsia="Malgun Gothic"/>
          <w:kern w:val="2"/>
          <w:szCs w:val="22"/>
          <w:lang w:val="fr-FR" w:eastAsia="ko-KR"/>
        </w:rPr>
        <w:t xml:space="preserve">Un centre d’aide </w:t>
      </w:r>
      <w:r w:rsidR="00CB0FC8" w:rsidRPr="002715F2">
        <w:rPr>
          <w:rFonts w:eastAsia="Batang"/>
          <w:lang w:val="fr-FR" w:eastAsia="ko-KR"/>
        </w:rPr>
        <w:t xml:space="preserve">aux femmes </w:t>
      </w:r>
      <w:r w:rsidR="00847AA5" w:rsidRPr="002715F2">
        <w:rPr>
          <w:rFonts w:eastAsia="Batang"/>
          <w:lang w:val="fr-FR" w:eastAsia="ko-KR"/>
        </w:rPr>
        <w:t xml:space="preserve">étrangères </w:t>
      </w:r>
      <w:r w:rsidR="00CB0FC8" w:rsidRPr="002715F2">
        <w:rPr>
          <w:rFonts w:eastAsia="Batang"/>
          <w:lang w:val="fr-FR" w:eastAsia="ko-KR"/>
        </w:rPr>
        <w:t xml:space="preserve">a été </w:t>
      </w:r>
      <w:r w:rsidR="00611A03" w:rsidRPr="002715F2">
        <w:rPr>
          <w:rFonts w:eastAsia="Batang"/>
          <w:lang w:val="fr-FR" w:eastAsia="ko-KR"/>
        </w:rPr>
        <w:t>créé</w:t>
      </w:r>
      <w:r w:rsidR="00CB0FC8" w:rsidRPr="002715F2">
        <w:rPr>
          <w:rFonts w:eastAsia="Batang"/>
          <w:lang w:val="fr-FR" w:eastAsia="ko-KR"/>
        </w:rPr>
        <w:t xml:space="preserve"> en 2009 pour apporter un soutien ciblé aux victimes </w:t>
      </w:r>
      <w:r w:rsidR="00CB0FC8" w:rsidRPr="002715F2">
        <w:rPr>
          <w:lang w:val="fr-FR" w:eastAsia="en-GB"/>
        </w:rPr>
        <w:t>de la prostitution forc</w:t>
      </w:r>
      <w:r w:rsidR="0032684B" w:rsidRPr="002715F2">
        <w:rPr>
          <w:lang w:val="fr-FR" w:eastAsia="en-GB"/>
        </w:rPr>
        <w:t>é</w:t>
      </w:r>
      <w:r w:rsidR="00CB0FC8" w:rsidRPr="002715F2">
        <w:rPr>
          <w:lang w:val="fr-FR" w:eastAsia="en-GB"/>
        </w:rPr>
        <w:t>e</w:t>
      </w:r>
      <w:r w:rsidR="00B9371E" w:rsidRPr="002715F2">
        <w:rPr>
          <w:lang w:val="fr-FR" w:eastAsia="en-GB"/>
        </w:rPr>
        <w:t xml:space="preserve"> ou</w:t>
      </w:r>
      <w:r w:rsidR="00B9371E" w:rsidRPr="002715F2">
        <w:rPr>
          <w:rFonts w:eastAsia="Batang"/>
          <w:lang w:val="fr-FR" w:eastAsia="ko-KR"/>
        </w:rPr>
        <w:t xml:space="preserve"> </w:t>
      </w:r>
      <w:r w:rsidR="00CB0FC8" w:rsidRPr="002715F2">
        <w:rPr>
          <w:rFonts w:eastAsia="Batang"/>
          <w:lang w:val="fr-FR" w:eastAsia="ko-KR"/>
        </w:rPr>
        <w:t xml:space="preserve">de </w:t>
      </w:r>
      <w:r w:rsidR="00847AA5" w:rsidRPr="002715F2">
        <w:rPr>
          <w:rFonts w:eastAsia="Batang"/>
          <w:lang w:val="fr-FR" w:eastAsia="ko-KR"/>
        </w:rPr>
        <w:t xml:space="preserve">la </w:t>
      </w:r>
      <w:r w:rsidR="004B364E" w:rsidRPr="002715F2">
        <w:rPr>
          <w:rFonts w:eastAsia="Batang"/>
          <w:lang w:val="fr-FR" w:eastAsia="ko-KR"/>
        </w:rPr>
        <w:t>traite</w:t>
      </w:r>
      <w:r w:rsidR="00CB0FC8" w:rsidRPr="002715F2">
        <w:rPr>
          <w:rFonts w:eastAsia="Batang"/>
          <w:lang w:val="fr-FR" w:eastAsia="ko-KR"/>
        </w:rPr>
        <w:t xml:space="preserve"> </w:t>
      </w:r>
      <w:r w:rsidR="004B364E" w:rsidRPr="002715F2">
        <w:rPr>
          <w:rFonts w:eastAsia="Batang"/>
          <w:lang w:val="fr-FR" w:eastAsia="ko-KR"/>
        </w:rPr>
        <w:t>à des fins d’exploitation</w:t>
      </w:r>
      <w:r w:rsidR="0032684B" w:rsidRPr="002715F2">
        <w:rPr>
          <w:rFonts w:eastAsia="Batang"/>
          <w:lang w:val="fr-FR" w:eastAsia="ko-KR"/>
        </w:rPr>
        <w:t xml:space="preserve"> </w:t>
      </w:r>
      <w:r w:rsidR="00CB0FC8" w:rsidRPr="002715F2">
        <w:rPr>
          <w:rFonts w:eastAsia="Batang"/>
          <w:lang w:val="fr-FR" w:eastAsia="ko-KR"/>
        </w:rPr>
        <w:t>sexuel</w:t>
      </w:r>
      <w:r w:rsidR="004B364E" w:rsidRPr="002715F2">
        <w:rPr>
          <w:rFonts w:eastAsia="Batang"/>
          <w:lang w:val="fr-FR" w:eastAsia="ko-KR"/>
        </w:rPr>
        <w:t>le</w:t>
      </w:r>
      <w:r w:rsidR="000078DA" w:rsidRPr="002715F2">
        <w:rPr>
          <w:rFonts w:eastAsia="Batang"/>
          <w:lang w:val="fr-FR" w:eastAsia="ko-KR"/>
        </w:rPr>
        <w:t xml:space="preserve">. </w:t>
      </w:r>
      <w:r w:rsidR="00847AA5" w:rsidRPr="002715F2">
        <w:rPr>
          <w:rFonts w:eastAsia="Batang"/>
          <w:lang w:val="fr-FR" w:eastAsia="ko-KR"/>
        </w:rPr>
        <w:t xml:space="preserve">Plus de renseignements sur </w:t>
      </w:r>
      <w:r w:rsidR="00CB0FC8" w:rsidRPr="002715F2">
        <w:rPr>
          <w:rFonts w:eastAsia="Batang"/>
          <w:lang w:val="fr-FR" w:eastAsia="ko-KR"/>
        </w:rPr>
        <w:t xml:space="preserve">ce </w:t>
      </w:r>
      <w:r w:rsidR="00847AA5" w:rsidRPr="002715F2">
        <w:rPr>
          <w:rFonts w:eastAsia="Malgun Gothic"/>
          <w:kern w:val="2"/>
          <w:szCs w:val="22"/>
          <w:lang w:val="fr-FR" w:eastAsia="ko-KR"/>
        </w:rPr>
        <w:t xml:space="preserve">centre </w:t>
      </w:r>
      <w:r w:rsidR="00847AA5" w:rsidRPr="002715F2">
        <w:rPr>
          <w:rFonts w:eastAsia="Batang"/>
          <w:lang w:val="fr-FR" w:eastAsia="ko-KR"/>
        </w:rPr>
        <w:t>figurent</w:t>
      </w:r>
      <w:r w:rsidR="00CB0FC8" w:rsidRPr="002715F2">
        <w:rPr>
          <w:rFonts w:eastAsia="Batang"/>
          <w:lang w:val="fr-FR" w:eastAsia="ko-KR"/>
        </w:rPr>
        <w:t xml:space="preserve"> dans les </w:t>
      </w:r>
      <w:r w:rsidR="00C44DAE" w:rsidRPr="002715F2">
        <w:rPr>
          <w:rFonts w:eastAsia="Batang"/>
          <w:lang w:val="fr-FR" w:eastAsia="ko-KR"/>
        </w:rPr>
        <w:t>q</w:t>
      </w:r>
      <w:r w:rsidR="00CB0FC8" w:rsidRPr="002715F2">
        <w:rPr>
          <w:rFonts w:eastAsia="Batang"/>
          <w:lang w:val="fr-FR" w:eastAsia="ko-KR"/>
        </w:rPr>
        <w:t xml:space="preserve">uinzième et seizième rapports périodiques </w:t>
      </w:r>
      <w:r w:rsidR="004B364E" w:rsidRPr="002715F2">
        <w:rPr>
          <w:rFonts w:eastAsia="Batang"/>
          <w:lang w:val="fr-FR" w:eastAsia="ko-KR"/>
        </w:rPr>
        <w:t>soumis par</w:t>
      </w:r>
      <w:r w:rsidR="00CB0FC8" w:rsidRPr="002715F2">
        <w:rPr>
          <w:rFonts w:eastAsia="Batang"/>
          <w:lang w:val="fr-FR" w:eastAsia="ko-KR"/>
        </w:rPr>
        <w:t xml:space="preserve"> la </w:t>
      </w:r>
      <w:r w:rsidR="005C6D8E" w:rsidRPr="002715F2">
        <w:rPr>
          <w:rFonts w:eastAsia="Batang"/>
          <w:lang w:val="fr-FR" w:eastAsia="ko-KR"/>
        </w:rPr>
        <w:t>République</w:t>
      </w:r>
      <w:r w:rsidR="00CB0FC8" w:rsidRPr="002715F2">
        <w:rPr>
          <w:rFonts w:eastAsia="Batang"/>
          <w:lang w:val="fr-FR" w:eastAsia="ko-KR"/>
        </w:rPr>
        <w:t xml:space="preserve"> de Corée </w:t>
      </w:r>
      <w:r w:rsidR="004B364E" w:rsidRPr="002715F2">
        <w:rPr>
          <w:rFonts w:eastAsia="Batang"/>
          <w:lang w:val="fr-FR" w:eastAsia="ko-KR"/>
        </w:rPr>
        <w:t>au titre de</w:t>
      </w:r>
      <w:r w:rsidR="00CB0FC8" w:rsidRPr="002715F2">
        <w:rPr>
          <w:rFonts w:eastAsia="Batang"/>
          <w:lang w:val="fr-FR" w:eastAsia="ko-KR"/>
        </w:rPr>
        <w:t xml:space="preserve"> la Convention internationale sur l’élimination de toutes les formes de discrimination raciale </w:t>
      </w:r>
      <w:r w:rsidR="000078DA" w:rsidRPr="002715F2">
        <w:rPr>
          <w:rFonts w:eastAsia="Batang"/>
          <w:lang w:val="fr-FR" w:eastAsia="ko-KR"/>
        </w:rPr>
        <w:t>(CERD/C/KOR/15-16</w:t>
      </w:r>
      <w:r w:rsidR="00CB0FC8"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 xml:space="preserve">100). </w:t>
      </w:r>
      <w:r w:rsidR="0032684B" w:rsidRPr="002715F2">
        <w:rPr>
          <w:rFonts w:eastAsia="Batang"/>
          <w:lang w:val="fr-FR" w:eastAsia="ko-KR"/>
        </w:rPr>
        <w:t xml:space="preserve">En principe, les </w:t>
      </w:r>
      <w:r w:rsidR="00B9371E" w:rsidRPr="002715F2">
        <w:rPr>
          <w:rFonts w:eastAsia="Batang"/>
          <w:lang w:val="fr-FR" w:eastAsia="ko-KR"/>
        </w:rPr>
        <w:t xml:space="preserve">victimes étrangères </w:t>
      </w:r>
      <w:r w:rsidR="0032684B" w:rsidRPr="002715F2">
        <w:rPr>
          <w:rFonts w:eastAsia="Batang"/>
          <w:lang w:val="fr-FR" w:eastAsia="ko-KR"/>
        </w:rPr>
        <w:t xml:space="preserve">peuvent </w:t>
      </w:r>
      <w:r w:rsidR="00B9371E" w:rsidRPr="002715F2">
        <w:rPr>
          <w:rFonts w:eastAsia="Batang"/>
          <w:lang w:val="fr-FR" w:eastAsia="ko-KR"/>
        </w:rPr>
        <w:t>loger</w:t>
      </w:r>
      <w:r w:rsidR="0032684B" w:rsidRPr="002715F2">
        <w:rPr>
          <w:rFonts w:eastAsia="Batang"/>
          <w:lang w:val="fr-FR" w:eastAsia="ko-KR"/>
        </w:rPr>
        <w:t xml:space="preserve"> dans ce centre pendant </w:t>
      </w:r>
      <w:r w:rsidR="00AD2CD0" w:rsidRPr="002715F2">
        <w:rPr>
          <w:rFonts w:eastAsia="Batang"/>
          <w:lang w:val="fr-FR" w:eastAsia="ko-KR"/>
        </w:rPr>
        <w:t xml:space="preserve">trois </w:t>
      </w:r>
      <w:r w:rsidR="0032684B" w:rsidRPr="002715F2">
        <w:rPr>
          <w:rFonts w:eastAsia="Batang"/>
          <w:lang w:val="fr-FR" w:eastAsia="ko-KR"/>
        </w:rPr>
        <w:t>mois</w:t>
      </w:r>
      <w:r w:rsidR="00B9371E" w:rsidRPr="002715F2">
        <w:rPr>
          <w:rFonts w:eastAsia="Batang"/>
          <w:lang w:val="fr-FR" w:eastAsia="ko-KR"/>
        </w:rPr>
        <w:t xml:space="preserve"> maximum</w:t>
      </w:r>
      <w:r w:rsidR="0032684B" w:rsidRPr="002715F2">
        <w:rPr>
          <w:rFonts w:eastAsia="Batang"/>
          <w:lang w:val="fr-FR" w:eastAsia="ko-KR"/>
        </w:rPr>
        <w:t xml:space="preserve">, mais </w:t>
      </w:r>
      <w:r w:rsidR="00B9371E" w:rsidRPr="002715F2">
        <w:rPr>
          <w:rFonts w:eastAsia="Batang"/>
          <w:lang w:val="fr-FR" w:eastAsia="ko-KR"/>
        </w:rPr>
        <w:t>leur séjour peut être prolongé</w:t>
      </w:r>
      <w:r w:rsidR="0032684B" w:rsidRPr="002715F2">
        <w:rPr>
          <w:rFonts w:eastAsia="Batang"/>
          <w:lang w:val="fr-FR" w:eastAsia="ko-KR"/>
        </w:rPr>
        <w:t xml:space="preserve"> si des enquêtes </w:t>
      </w:r>
      <w:r w:rsidR="00B9371E" w:rsidRPr="002715F2">
        <w:rPr>
          <w:rFonts w:eastAsia="Batang"/>
          <w:lang w:val="fr-FR" w:eastAsia="ko-KR"/>
        </w:rPr>
        <w:t xml:space="preserve">les concernant </w:t>
      </w:r>
      <w:r w:rsidR="0032684B" w:rsidRPr="002715F2">
        <w:rPr>
          <w:rFonts w:eastAsia="Batang"/>
          <w:lang w:val="fr-FR" w:eastAsia="ko-KR"/>
        </w:rPr>
        <w:t>sont encore en cours</w:t>
      </w:r>
      <w:r w:rsidR="000078DA" w:rsidRPr="002715F2">
        <w:rPr>
          <w:rFonts w:eastAsia="Batang"/>
          <w:lang w:val="fr-FR" w:eastAsia="ko-KR"/>
        </w:rPr>
        <w:t xml:space="preserve">. </w:t>
      </w:r>
      <w:r w:rsidR="0032684B" w:rsidRPr="002715F2">
        <w:rPr>
          <w:rFonts w:eastAsia="Batang"/>
          <w:lang w:val="fr-FR" w:eastAsia="ko-KR"/>
        </w:rPr>
        <w:t>Cinquante-trois femmes étrangères ont été prises en charge dans ce centre en 2010, 39 en 2011, 69 en 2012, 36 en 2013, 58 en 2014 et 77 en 2015</w:t>
      </w:r>
      <w:r w:rsidR="00F60999" w:rsidRPr="002715F2">
        <w:rPr>
          <w:rFonts w:eastAsia="Batang"/>
          <w:lang w:val="fr-FR" w:eastAsia="ko-KR"/>
        </w:rPr>
        <w:t>.</w:t>
      </w:r>
    </w:p>
    <w:p w:rsidR="000078DA" w:rsidRPr="002715F2" w:rsidRDefault="007026FB" w:rsidP="007026FB">
      <w:pPr>
        <w:pStyle w:val="SingleTxtG"/>
        <w:rPr>
          <w:rFonts w:eastAsia="Batang"/>
          <w:strike/>
          <w:lang w:val="fr-FR" w:eastAsia="ko-KR"/>
        </w:rPr>
      </w:pPr>
      <w:r w:rsidRPr="002715F2">
        <w:rPr>
          <w:rFonts w:eastAsia="Batang"/>
          <w:lang w:val="fr-FR" w:eastAsia="ko-KR"/>
        </w:rPr>
        <w:t>74.</w:t>
      </w:r>
      <w:r w:rsidRPr="002715F2">
        <w:rPr>
          <w:rFonts w:eastAsia="Batang"/>
          <w:lang w:val="fr-FR" w:eastAsia="ko-KR"/>
        </w:rPr>
        <w:tab/>
      </w:r>
      <w:r w:rsidR="00B9371E" w:rsidRPr="002715F2">
        <w:rPr>
          <w:rFonts w:eastAsia="Batang"/>
          <w:lang w:val="fr-FR" w:eastAsia="ko-KR"/>
        </w:rPr>
        <w:t>Selon l</w:t>
      </w:r>
      <w:r w:rsidR="0032684B" w:rsidRPr="002715F2">
        <w:rPr>
          <w:rFonts w:eastAsia="Batang"/>
          <w:lang w:val="fr-FR" w:eastAsia="ko-KR"/>
        </w:rPr>
        <w:t xml:space="preserve">a </w:t>
      </w:r>
      <w:r w:rsidR="00611A03" w:rsidRPr="002715F2">
        <w:rPr>
          <w:rFonts w:eastAsia="Batang"/>
          <w:lang w:val="fr-FR" w:eastAsia="ko-KR"/>
        </w:rPr>
        <w:t>loi sur la répression de la traite à des fins d’exploitation sexuelle</w:t>
      </w:r>
      <w:r w:rsidR="00B9371E" w:rsidRPr="002715F2">
        <w:rPr>
          <w:rFonts w:eastAsia="Batang"/>
          <w:lang w:val="fr-FR" w:eastAsia="ko-KR"/>
        </w:rPr>
        <w:t xml:space="preserve">, </w:t>
      </w:r>
      <w:r w:rsidR="0032684B" w:rsidRPr="002715F2">
        <w:rPr>
          <w:rFonts w:eastAsia="Batang"/>
          <w:lang w:val="fr-FR" w:eastAsia="ko-KR"/>
        </w:rPr>
        <w:t xml:space="preserve">les victimes de </w:t>
      </w:r>
      <w:r w:rsidR="00B9371E" w:rsidRPr="002715F2">
        <w:rPr>
          <w:rFonts w:eastAsia="Batang"/>
          <w:lang w:val="fr-FR" w:eastAsia="ko-KR"/>
        </w:rPr>
        <w:t>ce</w:t>
      </w:r>
      <w:r w:rsidR="00611A03" w:rsidRPr="002715F2">
        <w:rPr>
          <w:rFonts w:eastAsia="Batang"/>
          <w:lang w:val="fr-FR" w:eastAsia="ko-KR"/>
        </w:rPr>
        <w:t>tte</w:t>
      </w:r>
      <w:r w:rsidR="0032684B" w:rsidRPr="002715F2">
        <w:rPr>
          <w:rFonts w:eastAsia="Batang"/>
          <w:lang w:val="fr-FR" w:eastAsia="ko-KR"/>
        </w:rPr>
        <w:t xml:space="preserve"> traite </w:t>
      </w:r>
      <w:r w:rsidR="00B9371E" w:rsidRPr="002715F2">
        <w:rPr>
          <w:rFonts w:eastAsia="Batang"/>
          <w:lang w:val="fr-FR" w:eastAsia="ko-KR"/>
        </w:rPr>
        <w:t>sont</w:t>
      </w:r>
      <w:r w:rsidR="0032684B" w:rsidRPr="002715F2">
        <w:rPr>
          <w:rFonts w:eastAsia="Batang"/>
          <w:lang w:val="fr-FR" w:eastAsia="ko-KR"/>
        </w:rPr>
        <w:t xml:space="preserve"> </w:t>
      </w:r>
      <w:r w:rsidR="00B9371E" w:rsidRPr="002715F2">
        <w:rPr>
          <w:rFonts w:eastAsia="Batang"/>
          <w:lang w:val="fr-FR" w:eastAsia="ko-KR"/>
        </w:rPr>
        <w:t xml:space="preserve">des </w:t>
      </w:r>
      <w:r w:rsidR="0032684B" w:rsidRPr="002715F2">
        <w:rPr>
          <w:rFonts w:eastAsia="Batang"/>
          <w:lang w:val="fr-FR" w:eastAsia="ko-KR"/>
        </w:rPr>
        <w:t xml:space="preserve">victimes de la </w:t>
      </w:r>
      <w:r w:rsidR="00B9371E" w:rsidRPr="002715F2">
        <w:rPr>
          <w:rFonts w:eastAsia="Batang"/>
          <w:lang w:val="fr-FR" w:eastAsia="ko-KR"/>
        </w:rPr>
        <w:t>prostitution forcée</w:t>
      </w:r>
      <w:r w:rsidR="0032684B" w:rsidRPr="002715F2">
        <w:rPr>
          <w:rFonts w:eastAsia="Batang"/>
          <w:lang w:val="fr-FR" w:eastAsia="ko-KR"/>
        </w:rPr>
        <w:t xml:space="preserve"> (art.</w:t>
      </w:r>
      <w:r w:rsidR="00B9371E" w:rsidRPr="002715F2">
        <w:rPr>
          <w:rFonts w:eastAsia="Batang"/>
          <w:lang w:val="fr-FR" w:eastAsia="ko-KR"/>
        </w:rPr>
        <w:t> </w:t>
      </w:r>
      <w:r w:rsidR="0032684B" w:rsidRPr="002715F2">
        <w:rPr>
          <w:rFonts w:eastAsia="Batang"/>
          <w:lang w:val="fr-FR" w:eastAsia="ko-KR"/>
        </w:rPr>
        <w:t xml:space="preserve">2, par. 1 4) d)) </w:t>
      </w:r>
      <w:r w:rsidR="00B9371E" w:rsidRPr="002715F2">
        <w:rPr>
          <w:rFonts w:eastAsia="Batang"/>
          <w:lang w:val="fr-FR" w:eastAsia="ko-KR"/>
        </w:rPr>
        <w:t>qui ne doivent pas</w:t>
      </w:r>
      <w:r w:rsidR="0032684B" w:rsidRPr="002715F2">
        <w:rPr>
          <w:rFonts w:eastAsia="Batang"/>
          <w:lang w:val="fr-FR" w:eastAsia="ko-KR"/>
        </w:rPr>
        <w:t xml:space="preserve"> être </w:t>
      </w:r>
      <w:r w:rsidR="00B9371E" w:rsidRPr="002715F2">
        <w:rPr>
          <w:rFonts w:eastAsia="Batang"/>
          <w:lang w:val="fr-FR" w:eastAsia="ko-KR"/>
        </w:rPr>
        <w:t>sanctionnées pour commerce sexuel</w:t>
      </w:r>
      <w:r w:rsidR="0032684B" w:rsidRPr="002715F2">
        <w:rPr>
          <w:rFonts w:eastAsia="Batang"/>
          <w:lang w:val="fr-FR" w:eastAsia="ko-KR"/>
        </w:rPr>
        <w:t xml:space="preserve"> (art.</w:t>
      </w:r>
      <w:r w:rsidR="00B9371E" w:rsidRPr="002715F2">
        <w:rPr>
          <w:rFonts w:eastAsia="Batang"/>
          <w:lang w:val="fr-FR" w:eastAsia="ko-KR"/>
        </w:rPr>
        <w:t> </w:t>
      </w:r>
      <w:r w:rsidR="0032684B" w:rsidRPr="002715F2">
        <w:rPr>
          <w:rFonts w:eastAsia="Batang"/>
          <w:lang w:val="fr-FR" w:eastAsia="ko-KR"/>
        </w:rPr>
        <w:t>6, par 1)</w:t>
      </w:r>
      <w:r w:rsidR="000078DA" w:rsidRPr="002715F2">
        <w:rPr>
          <w:rFonts w:eastAsia="Batang"/>
          <w:lang w:val="fr-FR" w:eastAsia="ko-KR"/>
        </w:rPr>
        <w:t xml:space="preserve">. </w:t>
      </w:r>
      <w:r w:rsidR="0032684B" w:rsidRPr="002715F2">
        <w:rPr>
          <w:rFonts w:eastAsia="Batang"/>
          <w:lang w:val="fr-FR" w:eastAsia="ko-KR"/>
        </w:rPr>
        <w:t xml:space="preserve">La loi </w:t>
      </w:r>
      <w:r w:rsidR="0097283E" w:rsidRPr="002715F2">
        <w:rPr>
          <w:rFonts w:eastAsia="Batang"/>
          <w:lang w:val="fr-FR" w:eastAsia="ko-KR"/>
        </w:rPr>
        <w:t>prévoit</w:t>
      </w:r>
      <w:r w:rsidR="0032684B" w:rsidRPr="002715F2">
        <w:rPr>
          <w:rFonts w:eastAsia="Batang"/>
          <w:lang w:val="fr-FR" w:eastAsia="ko-KR"/>
        </w:rPr>
        <w:t xml:space="preserve"> également </w:t>
      </w:r>
      <w:r w:rsidR="009966B6" w:rsidRPr="002715F2">
        <w:rPr>
          <w:rFonts w:eastAsia="Batang"/>
          <w:lang w:val="fr-FR" w:eastAsia="ko-KR"/>
        </w:rPr>
        <w:t>le</w:t>
      </w:r>
      <w:r w:rsidR="0097283E" w:rsidRPr="002715F2">
        <w:rPr>
          <w:rFonts w:eastAsia="Batang"/>
          <w:lang w:val="fr-FR" w:eastAsia="ko-KR"/>
        </w:rPr>
        <w:t xml:space="preserve"> cas</w:t>
      </w:r>
      <w:r w:rsidR="0032684B" w:rsidRPr="002715F2">
        <w:rPr>
          <w:rFonts w:eastAsia="Batang"/>
          <w:lang w:val="fr-FR" w:eastAsia="ko-KR"/>
        </w:rPr>
        <w:t xml:space="preserve"> des victimes </w:t>
      </w:r>
      <w:r w:rsidR="005C6D8E" w:rsidRPr="002715F2">
        <w:rPr>
          <w:rFonts w:eastAsia="Batang"/>
          <w:lang w:val="fr-FR" w:eastAsia="ko-KR"/>
        </w:rPr>
        <w:t>étrangères</w:t>
      </w:r>
      <w:r w:rsidR="0032684B" w:rsidRPr="002715F2">
        <w:rPr>
          <w:rFonts w:eastAsia="Batang"/>
          <w:lang w:val="fr-FR" w:eastAsia="ko-KR"/>
        </w:rPr>
        <w:t xml:space="preserve"> sans papiers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 xml:space="preserve">11). </w:t>
      </w:r>
      <w:r w:rsidR="0032684B" w:rsidRPr="002715F2">
        <w:rPr>
          <w:rFonts w:eastAsia="Batang"/>
          <w:lang w:val="fr-FR" w:eastAsia="ko-KR"/>
        </w:rPr>
        <w:t xml:space="preserve">Quand une femme étrangère signale </w:t>
      </w:r>
      <w:r w:rsidR="004B364E" w:rsidRPr="002715F2">
        <w:rPr>
          <w:rFonts w:eastAsia="Batang"/>
          <w:lang w:val="fr-FR" w:eastAsia="ko-KR"/>
        </w:rPr>
        <w:t xml:space="preserve">un crime </w:t>
      </w:r>
      <w:r w:rsidR="00A85BE9" w:rsidRPr="002715F2">
        <w:rPr>
          <w:rFonts w:eastAsia="Batang"/>
          <w:lang w:val="fr-FR" w:eastAsia="ko-KR"/>
        </w:rPr>
        <w:t>sanctionné</w:t>
      </w:r>
      <w:r w:rsidR="0032684B" w:rsidRPr="002715F2">
        <w:rPr>
          <w:rFonts w:eastAsia="Batang"/>
          <w:lang w:val="fr-FR" w:eastAsia="ko-KR"/>
        </w:rPr>
        <w:t xml:space="preserve"> par cette loi ou </w:t>
      </w:r>
      <w:r w:rsidR="00A85BE9" w:rsidRPr="002715F2">
        <w:rPr>
          <w:rFonts w:eastAsia="Batang"/>
          <w:lang w:val="fr-FR" w:eastAsia="ko-KR"/>
        </w:rPr>
        <w:t>fait l’objet d’</w:t>
      </w:r>
      <w:r w:rsidR="0032684B" w:rsidRPr="002715F2">
        <w:rPr>
          <w:rFonts w:eastAsia="Batang"/>
          <w:lang w:val="fr-FR" w:eastAsia="ko-KR"/>
        </w:rPr>
        <w:t>une enquête en tant que victime de traite sexuel</w:t>
      </w:r>
      <w:r w:rsidR="004B364E" w:rsidRPr="002715F2">
        <w:rPr>
          <w:rFonts w:eastAsia="Batang"/>
          <w:lang w:val="fr-FR" w:eastAsia="ko-KR"/>
        </w:rPr>
        <w:t>le</w:t>
      </w:r>
      <w:r w:rsidR="0032684B" w:rsidRPr="002715F2">
        <w:rPr>
          <w:rFonts w:eastAsia="Batang"/>
          <w:lang w:val="fr-FR" w:eastAsia="ko-KR"/>
        </w:rPr>
        <w:t xml:space="preserve">, tout </w:t>
      </w:r>
      <w:r w:rsidR="00A85BE9" w:rsidRPr="002715F2">
        <w:rPr>
          <w:rFonts w:eastAsia="Batang"/>
          <w:lang w:val="fr-FR" w:eastAsia="ko-KR"/>
        </w:rPr>
        <w:t>arrêté</w:t>
      </w:r>
      <w:r w:rsidR="0032684B" w:rsidRPr="002715F2">
        <w:rPr>
          <w:rFonts w:eastAsia="Batang"/>
          <w:lang w:val="fr-FR" w:eastAsia="ko-KR"/>
        </w:rPr>
        <w:t xml:space="preserve"> d’expulsion ou mandat de dépôt la concernant doit être suspendu jusqu’à ce qu’il soit décidé s</w:t>
      </w:r>
      <w:r w:rsidR="004B364E" w:rsidRPr="002715F2">
        <w:rPr>
          <w:rFonts w:eastAsia="Batang"/>
          <w:lang w:val="fr-FR" w:eastAsia="ko-KR"/>
        </w:rPr>
        <w:t>’</w:t>
      </w:r>
      <w:r w:rsidR="0032684B" w:rsidRPr="002715F2">
        <w:rPr>
          <w:rFonts w:eastAsia="Batang"/>
          <w:lang w:val="fr-FR" w:eastAsia="ko-KR"/>
        </w:rPr>
        <w:t>i</w:t>
      </w:r>
      <w:r w:rsidR="004B364E" w:rsidRPr="002715F2">
        <w:rPr>
          <w:rFonts w:eastAsia="Batang"/>
          <w:lang w:val="fr-FR" w:eastAsia="ko-KR"/>
        </w:rPr>
        <w:t>l y a lieu de poursuivre</w:t>
      </w:r>
      <w:r w:rsidR="0032684B" w:rsidRPr="002715F2">
        <w:rPr>
          <w:rFonts w:eastAsia="Batang"/>
          <w:lang w:val="fr-FR" w:eastAsia="ko-KR"/>
        </w:rPr>
        <w:t xml:space="preserve"> l’auteur </w:t>
      </w:r>
      <w:r w:rsidR="004B364E" w:rsidRPr="002715F2">
        <w:rPr>
          <w:rFonts w:eastAsia="Batang"/>
          <w:lang w:val="fr-FR" w:eastAsia="ko-KR"/>
        </w:rPr>
        <w:t>du crime</w:t>
      </w:r>
      <w:r w:rsidR="0032684B" w:rsidRPr="002715F2">
        <w:rPr>
          <w:rFonts w:eastAsia="Batang"/>
          <w:lang w:val="fr-FR" w:eastAsia="ko-KR"/>
        </w:rPr>
        <w:t xml:space="preserve"> </w:t>
      </w:r>
      <w:r w:rsidR="000078DA" w:rsidRPr="002715F2">
        <w:rPr>
          <w:rFonts w:eastAsia="Batang"/>
          <w:lang w:val="fr-FR" w:eastAsia="ko-KR"/>
        </w:rPr>
        <w:t>(</w:t>
      </w:r>
      <w:r w:rsidR="00BD1A84" w:rsidRPr="002715F2">
        <w:rPr>
          <w:rFonts w:eastAsia="Batang"/>
          <w:lang w:val="fr-FR" w:eastAsia="ko-KR"/>
        </w:rPr>
        <w:t>par. </w:t>
      </w:r>
      <w:r w:rsidR="000078DA" w:rsidRPr="002715F2">
        <w:rPr>
          <w:rFonts w:eastAsia="Batang"/>
          <w:lang w:val="fr-FR" w:eastAsia="ko-KR"/>
        </w:rPr>
        <w:t xml:space="preserve">1). </w:t>
      </w:r>
      <w:r w:rsidR="00B9371E" w:rsidRPr="002715F2">
        <w:rPr>
          <w:rFonts w:eastAsia="Batang"/>
          <w:lang w:val="fr-FR" w:eastAsia="ko-KR"/>
        </w:rPr>
        <w:t xml:space="preserve">Un procureur qui </w:t>
      </w:r>
      <w:r w:rsidR="00A85BE9" w:rsidRPr="002715F2">
        <w:rPr>
          <w:rFonts w:eastAsia="Batang"/>
          <w:lang w:val="fr-FR" w:eastAsia="ko-KR"/>
        </w:rPr>
        <w:t xml:space="preserve">a </w:t>
      </w:r>
      <w:r w:rsidR="00B9371E" w:rsidRPr="002715F2">
        <w:rPr>
          <w:rFonts w:eastAsia="Batang"/>
          <w:lang w:val="fr-FR" w:eastAsia="ko-KR"/>
        </w:rPr>
        <w:t>ouv</w:t>
      </w:r>
      <w:r w:rsidR="00A85BE9" w:rsidRPr="002715F2">
        <w:rPr>
          <w:rFonts w:eastAsia="Batang"/>
          <w:lang w:val="fr-FR" w:eastAsia="ko-KR"/>
        </w:rPr>
        <w:t>ert</w:t>
      </w:r>
      <w:r w:rsidR="00B9371E" w:rsidRPr="002715F2">
        <w:rPr>
          <w:rFonts w:eastAsia="Batang"/>
          <w:lang w:val="fr-FR" w:eastAsia="ko-KR"/>
        </w:rPr>
        <w:t xml:space="preserve"> des poursuites dans une affaire</w:t>
      </w:r>
      <w:r w:rsidR="004B364E" w:rsidRPr="002715F2">
        <w:rPr>
          <w:rFonts w:eastAsia="Batang"/>
          <w:lang w:val="fr-FR" w:eastAsia="ko-KR"/>
        </w:rPr>
        <w:t xml:space="preserve"> peut demander au directeur des services d</w:t>
      </w:r>
      <w:r w:rsidR="0097283E" w:rsidRPr="002715F2">
        <w:rPr>
          <w:rFonts w:eastAsia="Batang"/>
          <w:lang w:val="fr-FR" w:eastAsia="ko-KR"/>
        </w:rPr>
        <w:t>e l</w:t>
      </w:r>
      <w:r w:rsidR="004B364E" w:rsidRPr="002715F2">
        <w:rPr>
          <w:rFonts w:eastAsia="Batang"/>
          <w:lang w:val="fr-FR" w:eastAsia="ko-KR"/>
        </w:rPr>
        <w:t xml:space="preserve">’immigration </w:t>
      </w:r>
      <w:r w:rsidR="00A85BE9" w:rsidRPr="002715F2">
        <w:rPr>
          <w:rFonts w:eastAsia="Batang"/>
          <w:lang w:val="fr-FR" w:eastAsia="ko-KR"/>
        </w:rPr>
        <w:t>de</w:t>
      </w:r>
      <w:r w:rsidR="004B364E" w:rsidRPr="002715F2">
        <w:rPr>
          <w:rFonts w:eastAsia="Batang"/>
          <w:lang w:val="fr-FR" w:eastAsia="ko-KR"/>
        </w:rPr>
        <w:t xml:space="preserve"> </w:t>
      </w:r>
      <w:r w:rsidR="00A85BE9" w:rsidRPr="002715F2">
        <w:rPr>
          <w:rFonts w:eastAsia="Batang"/>
          <w:lang w:val="fr-FR" w:eastAsia="ko-KR"/>
        </w:rPr>
        <w:t>suspendre une</w:t>
      </w:r>
      <w:r w:rsidR="004B364E" w:rsidRPr="002715F2">
        <w:rPr>
          <w:rFonts w:eastAsia="Batang"/>
          <w:lang w:val="fr-FR" w:eastAsia="ko-KR"/>
        </w:rPr>
        <w:t xml:space="preserve"> </w:t>
      </w:r>
      <w:r w:rsidR="004C2082" w:rsidRPr="002715F2">
        <w:rPr>
          <w:rFonts w:eastAsia="Batang"/>
          <w:lang w:val="fr-FR" w:eastAsia="ko-KR"/>
        </w:rPr>
        <w:t>décision</w:t>
      </w:r>
      <w:r w:rsidR="004B364E" w:rsidRPr="002715F2">
        <w:rPr>
          <w:rFonts w:eastAsia="Batang"/>
          <w:lang w:val="fr-FR" w:eastAsia="ko-KR"/>
        </w:rPr>
        <w:t xml:space="preserve"> d’expulsion ou </w:t>
      </w:r>
      <w:r w:rsidR="00A85BE9" w:rsidRPr="002715F2">
        <w:rPr>
          <w:rFonts w:eastAsia="Batang"/>
          <w:lang w:val="fr-FR" w:eastAsia="ko-KR"/>
        </w:rPr>
        <w:t>d’accorder une</w:t>
      </w:r>
      <w:r w:rsidR="004B364E" w:rsidRPr="002715F2">
        <w:rPr>
          <w:rFonts w:eastAsia="Batang"/>
          <w:lang w:val="fr-FR" w:eastAsia="ko-KR"/>
        </w:rPr>
        <w:t xml:space="preserve"> mise en liberté provisoire</w:t>
      </w:r>
      <w:r w:rsidR="00A85BE9" w:rsidRPr="002715F2">
        <w:rPr>
          <w:rFonts w:eastAsia="Batang"/>
          <w:lang w:val="fr-FR" w:eastAsia="ko-KR"/>
        </w:rPr>
        <w:t xml:space="preserve"> à la victime si son </w:t>
      </w:r>
      <w:r w:rsidR="004B364E" w:rsidRPr="002715F2">
        <w:rPr>
          <w:rFonts w:eastAsia="Batang"/>
          <w:lang w:val="fr-FR" w:eastAsia="ko-KR"/>
        </w:rPr>
        <w:t>témoignage ou une inde</w:t>
      </w:r>
      <w:r w:rsidR="00B9371E" w:rsidRPr="002715F2">
        <w:rPr>
          <w:rFonts w:eastAsia="Batang"/>
          <w:lang w:val="fr-FR" w:eastAsia="ko-KR"/>
        </w:rPr>
        <w:t xml:space="preserve">mnisation </w:t>
      </w:r>
      <w:r w:rsidR="00A85BE9" w:rsidRPr="002715F2">
        <w:rPr>
          <w:rFonts w:eastAsia="Batang"/>
          <w:lang w:val="fr-FR" w:eastAsia="ko-KR"/>
        </w:rPr>
        <w:t>est</w:t>
      </w:r>
      <w:r w:rsidR="00B9371E" w:rsidRPr="002715F2">
        <w:rPr>
          <w:rFonts w:eastAsia="Batang"/>
          <w:lang w:val="fr-FR" w:eastAsia="ko-KR"/>
        </w:rPr>
        <w:t xml:space="preserve"> nécessaire (par. </w:t>
      </w:r>
      <w:r w:rsidR="004B364E" w:rsidRPr="002715F2">
        <w:rPr>
          <w:rFonts w:eastAsia="Batang"/>
          <w:lang w:val="fr-FR" w:eastAsia="ko-KR"/>
        </w:rPr>
        <w:t>2)</w:t>
      </w:r>
      <w:r w:rsidR="00F60999" w:rsidRPr="002715F2">
        <w:rPr>
          <w:rFonts w:eastAsia="Batang"/>
          <w:lang w:val="fr-FR" w:eastAsia="ko-KR"/>
        </w:rPr>
        <w:t>.</w:t>
      </w:r>
    </w:p>
    <w:p w:rsidR="000078DA" w:rsidRPr="002715F2" w:rsidRDefault="007026FB" w:rsidP="0024142B">
      <w:pPr>
        <w:pStyle w:val="SingleTxtG"/>
        <w:rPr>
          <w:rFonts w:eastAsia="Batang"/>
          <w:lang w:val="fr-FR" w:eastAsia="ko-KR"/>
        </w:rPr>
      </w:pPr>
      <w:r w:rsidRPr="002715F2">
        <w:rPr>
          <w:rFonts w:eastAsia="Batang"/>
          <w:lang w:val="fr-FR" w:eastAsia="ko-KR"/>
        </w:rPr>
        <w:t>75.</w:t>
      </w:r>
      <w:r w:rsidRPr="002715F2">
        <w:rPr>
          <w:rFonts w:eastAsia="Batang"/>
          <w:lang w:val="fr-FR" w:eastAsia="ko-KR"/>
        </w:rPr>
        <w:tab/>
      </w:r>
      <w:r w:rsidR="009A500C" w:rsidRPr="002715F2">
        <w:rPr>
          <w:rFonts w:eastAsia="Batang"/>
          <w:lang w:val="fr-FR" w:eastAsia="ko-KR"/>
        </w:rPr>
        <w:t>Le Gouvernement accorde aux femmes étrangères victimes de traite des permis de séjour</w:t>
      </w:r>
      <w:r w:rsidR="0097283E" w:rsidRPr="002715F2">
        <w:rPr>
          <w:rFonts w:eastAsia="Batang"/>
          <w:lang w:val="fr-FR" w:eastAsia="ko-KR"/>
        </w:rPr>
        <w:t> </w:t>
      </w:r>
      <w:r w:rsidR="009A500C" w:rsidRPr="002715F2">
        <w:rPr>
          <w:rFonts w:eastAsia="Batang"/>
          <w:lang w:val="fr-FR" w:eastAsia="ko-KR"/>
        </w:rPr>
        <w:t xml:space="preserve">G-1 pour raisons humanitaires si celles-ci ont besoin </w:t>
      </w:r>
      <w:r w:rsidR="0097283E" w:rsidRPr="002715F2">
        <w:rPr>
          <w:rFonts w:eastAsia="Batang"/>
          <w:lang w:val="fr-FR" w:eastAsia="ko-KR"/>
        </w:rPr>
        <w:t>de</w:t>
      </w:r>
      <w:r w:rsidR="009A500C" w:rsidRPr="002715F2">
        <w:rPr>
          <w:rFonts w:eastAsia="Batang"/>
          <w:lang w:val="fr-FR" w:eastAsia="ko-KR"/>
        </w:rPr>
        <w:t xml:space="preserve"> rester en République de Corée </w:t>
      </w:r>
      <w:r w:rsidR="0024142B" w:rsidRPr="002715F2">
        <w:rPr>
          <w:rFonts w:eastAsia="Batang"/>
          <w:lang w:val="fr-FR" w:eastAsia="ko-KR"/>
        </w:rPr>
        <w:t>pour obtenir des indemnisations ou</w:t>
      </w:r>
      <w:r w:rsidR="009A500C" w:rsidRPr="002715F2">
        <w:rPr>
          <w:rFonts w:eastAsia="Batang"/>
          <w:lang w:val="fr-FR" w:eastAsia="ko-KR"/>
        </w:rPr>
        <w:t xml:space="preserve"> </w:t>
      </w:r>
      <w:r w:rsidR="00F601FF" w:rsidRPr="002715F2">
        <w:rPr>
          <w:rFonts w:eastAsia="Batang"/>
          <w:lang w:val="fr-FR" w:eastAsia="ko-KR"/>
        </w:rPr>
        <w:t xml:space="preserve">des </w:t>
      </w:r>
      <w:r w:rsidR="009A500C" w:rsidRPr="002715F2">
        <w:rPr>
          <w:rFonts w:eastAsia="Batang"/>
          <w:lang w:val="fr-FR" w:eastAsia="ko-KR"/>
        </w:rPr>
        <w:t>réparation</w:t>
      </w:r>
      <w:r w:rsidR="0024142B" w:rsidRPr="002715F2">
        <w:rPr>
          <w:rFonts w:eastAsia="Batang"/>
          <w:lang w:val="fr-FR" w:eastAsia="ko-KR"/>
        </w:rPr>
        <w:t>s</w:t>
      </w:r>
      <w:r w:rsidR="000078DA" w:rsidRPr="002715F2">
        <w:rPr>
          <w:rFonts w:eastAsia="Batang"/>
          <w:lang w:val="fr-FR" w:eastAsia="ko-KR"/>
        </w:rPr>
        <w:t xml:space="preserve">. </w:t>
      </w:r>
      <w:r w:rsidR="0024142B" w:rsidRPr="002715F2">
        <w:rPr>
          <w:rFonts w:eastAsia="Batang"/>
          <w:lang w:val="fr-FR" w:eastAsia="ko-KR"/>
        </w:rPr>
        <w:t xml:space="preserve">Le Gouvernement les autorise </w:t>
      </w:r>
      <w:r w:rsidR="0097283E" w:rsidRPr="002715F2">
        <w:rPr>
          <w:rFonts w:eastAsia="Batang"/>
          <w:lang w:val="fr-FR" w:eastAsia="ko-KR"/>
        </w:rPr>
        <w:t xml:space="preserve">à </w:t>
      </w:r>
      <w:r w:rsidR="0024142B" w:rsidRPr="002715F2">
        <w:rPr>
          <w:rFonts w:eastAsia="Batang"/>
          <w:lang w:val="fr-FR" w:eastAsia="ko-KR"/>
        </w:rPr>
        <w:t xml:space="preserve">prolonger légalement leur séjour jusqu’à ce que leurs demandes </w:t>
      </w:r>
      <w:r w:rsidR="00F601FF" w:rsidRPr="002715F2">
        <w:rPr>
          <w:rFonts w:eastAsia="Batang"/>
          <w:lang w:val="fr-FR" w:eastAsia="ko-KR"/>
        </w:rPr>
        <w:t>soient</w:t>
      </w:r>
      <w:r w:rsidR="0024142B" w:rsidRPr="002715F2">
        <w:rPr>
          <w:rFonts w:eastAsia="Batang"/>
          <w:lang w:val="fr-FR" w:eastAsia="ko-KR"/>
        </w:rPr>
        <w:t xml:space="preserve"> traitées</w:t>
      </w:r>
      <w:r w:rsidR="000078DA" w:rsidRPr="002715F2">
        <w:rPr>
          <w:rFonts w:eastAsia="Batang"/>
          <w:lang w:val="fr-FR" w:eastAsia="ko-KR"/>
        </w:rPr>
        <w:t xml:space="preserve">. </w:t>
      </w:r>
      <w:r w:rsidR="00895F1A" w:rsidRPr="002715F2">
        <w:rPr>
          <w:rFonts w:eastAsia="Batang"/>
          <w:lang w:val="fr-FR" w:eastAsia="ko-KR"/>
        </w:rPr>
        <w:t>Et</w:t>
      </w:r>
      <w:r w:rsidR="0097283E" w:rsidRPr="002715F2">
        <w:rPr>
          <w:rFonts w:eastAsia="Batang"/>
          <w:lang w:val="fr-FR" w:eastAsia="ko-KR"/>
        </w:rPr>
        <w:t>, depuis mai </w:t>
      </w:r>
      <w:r w:rsidR="0024142B" w:rsidRPr="002715F2">
        <w:rPr>
          <w:rFonts w:eastAsia="Batang"/>
          <w:lang w:val="fr-FR" w:eastAsia="ko-KR"/>
        </w:rPr>
        <w:t xml:space="preserve">2007, </w:t>
      </w:r>
      <w:r w:rsidR="0097283E" w:rsidRPr="002715F2">
        <w:rPr>
          <w:rFonts w:eastAsia="Batang"/>
          <w:lang w:val="fr-FR" w:eastAsia="ko-KR"/>
        </w:rPr>
        <w:t>les</w:t>
      </w:r>
      <w:r w:rsidR="0024142B" w:rsidRPr="002715F2">
        <w:rPr>
          <w:rFonts w:eastAsia="Batang"/>
          <w:lang w:val="fr-FR" w:eastAsia="ko-KR"/>
        </w:rPr>
        <w:t xml:space="preserve"> victimes </w:t>
      </w:r>
      <w:r w:rsidR="0097283E" w:rsidRPr="002715F2">
        <w:rPr>
          <w:rFonts w:eastAsia="Batang"/>
          <w:lang w:val="fr-FR" w:eastAsia="ko-KR"/>
        </w:rPr>
        <w:t>peuvent travailler en attendant si elles le souhaitent</w:t>
      </w:r>
      <w:r w:rsidR="00F601FF" w:rsidRPr="002715F2">
        <w:rPr>
          <w:rFonts w:eastAsia="Batang"/>
          <w:lang w:val="fr-FR" w:eastAsia="ko-KR"/>
        </w:rPr>
        <w:t xml:space="preserve">, car les procédures </w:t>
      </w:r>
      <w:r w:rsidR="0024142B" w:rsidRPr="002715F2">
        <w:rPr>
          <w:rFonts w:eastAsia="Batang"/>
          <w:lang w:val="fr-FR" w:eastAsia="ko-KR"/>
        </w:rPr>
        <w:t xml:space="preserve">d’indemnisation </w:t>
      </w:r>
      <w:r w:rsidR="00F601FF" w:rsidRPr="002715F2">
        <w:rPr>
          <w:rFonts w:eastAsia="Batang"/>
          <w:lang w:val="fr-FR" w:eastAsia="ko-KR"/>
        </w:rPr>
        <w:t>sont longues</w:t>
      </w:r>
      <w:r w:rsidR="000078DA" w:rsidRPr="002715F2">
        <w:rPr>
          <w:rFonts w:eastAsia="Batang"/>
          <w:lang w:val="fr-FR" w:eastAsia="ko-KR"/>
        </w:rPr>
        <w:t xml:space="preserve">. </w:t>
      </w:r>
      <w:r w:rsidR="0097283E" w:rsidRPr="002715F2">
        <w:rPr>
          <w:rFonts w:eastAsia="Batang"/>
          <w:lang w:val="fr-FR" w:eastAsia="ko-KR"/>
        </w:rPr>
        <w:t>Au 31 </w:t>
      </w:r>
      <w:r w:rsidR="00100B59" w:rsidRPr="002715F2">
        <w:rPr>
          <w:rFonts w:eastAsia="Batang"/>
          <w:lang w:val="fr-FR" w:eastAsia="ko-KR"/>
        </w:rPr>
        <w:t>décembre 20</w:t>
      </w:r>
      <w:r w:rsidR="0097283E" w:rsidRPr="002715F2">
        <w:rPr>
          <w:rFonts w:eastAsia="Batang"/>
          <w:lang w:val="fr-FR" w:eastAsia="ko-KR"/>
        </w:rPr>
        <w:t>15, 19 </w:t>
      </w:r>
      <w:r w:rsidR="00100B59" w:rsidRPr="002715F2">
        <w:rPr>
          <w:rFonts w:eastAsia="Batang"/>
          <w:lang w:val="fr-FR" w:eastAsia="ko-KR"/>
        </w:rPr>
        <w:t>victimes de la</w:t>
      </w:r>
      <w:r w:rsidR="0097283E" w:rsidRPr="002715F2">
        <w:rPr>
          <w:rFonts w:eastAsia="Batang"/>
          <w:lang w:val="fr-FR" w:eastAsia="ko-KR"/>
        </w:rPr>
        <w:t xml:space="preserve"> traite sexuelle avaient obtenu un titre de </w:t>
      </w:r>
      <w:r w:rsidR="00984C16" w:rsidRPr="002715F2">
        <w:rPr>
          <w:rFonts w:eastAsia="Batang"/>
          <w:lang w:val="fr-FR" w:eastAsia="ko-KR"/>
        </w:rPr>
        <w:t xml:space="preserve">séjour </w:t>
      </w:r>
      <w:r w:rsidR="00100B59" w:rsidRPr="002715F2">
        <w:rPr>
          <w:rFonts w:eastAsia="Batang"/>
          <w:lang w:val="fr-FR" w:eastAsia="ko-KR"/>
        </w:rPr>
        <w:t xml:space="preserve">G-1, </w:t>
      </w:r>
      <w:r w:rsidR="0097283E" w:rsidRPr="002715F2">
        <w:rPr>
          <w:rFonts w:eastAsia="Batang"/>
          <w:lang w:val="fr-FR" w:eastAsia="ko-KR"/>
        </w:rPr>
        <w:t xml:space="preserve">et </w:t>
      </w:r>
      <w:r w:rsidR="00100B59" w:rsidRPr="002715F2">
        <w:rPr>
          <w:rFonts w:eastAsia="Batang"/>
          <w:lang w:val="fr-FR" w:eastAsia="ko-KR"/>
        </w:rPr>
        <w:t xml:space="preserve">10 d’entre elles travaillent maintenant avec des </w:t>
      </w:r>
      <w:r w:rsidR="00895F1A" w:rsidRPr="002715F2">
        <w:rPr>
          <w:rFonts w:eastAsia="Batang"/>
          <w:lang w:val="fr-FR" w:eastAsia="ko-KR"/>
        </w:rPr>
        <w:t>titres de séjour </w:t>
      </w:r>
      <w:r w:rsidR="00100B59" w:rsidRPr="002715F2">
        <w:rPr>
          <w:rFonts w:eastAsia="Batang"/>
          <w:lang w:val="fr-FR" w:eastAsia="ko-KR"/>
        </w:rPr>
        <w:t>E-7</w:t>
      </w:r>
      <w:r w:rsidR="000078DA" w:rsidRPr="002715F2">
        <w:rPr>
          <w:rFonts w:eastAsia="Batang"/>
          <w:lang w:val="fr-FR" w:eastAsia="ko-KR"/>
        </w:rPr>
        <w:t xml:space="preserve">. </w:t>
      </w:r>
      <w:r w:rsidR="00100B59" w:rsidRPr="002715F2">
        <w:rPr>
          <w:rFonts w:eastAsia="Batang"/>
          <w:lang w:val="fr-FR" w:eastAsia="ko-KR"/>
        </w:rPr>
        <w:t xml:space="preserve">Le Gouvernement prévoit de renforcer les aides à l’emploi pour les </w:t>
      </w:r>
      <w:r w:rsidR="0097283E" w:rsidRPr="002715F2">
        <w:rPr>
          <w:rFonts w:eastAsia="Batang"/>
          <w:lang w:val="fr-FR" w:eastAsia="ko-KR"/>
        </w:rPr>
        <w:t xml:space="preserve">victimes </w:t>
      </w:r>
      <w:r w:rsidR="005C6D8E" w:rsidRPr="002715F2">
        <w:rPr>
          <w:rFonts w:eastAsia="Batang"/>
          <w:lang w:val="fr-FR" w:eastAsia="ko-KR"/>
        </w:rPr>
        <w:t>étrangères</w:t>
      </w:r>
      <w:r w:rsidR="00100B59" w:rsidRPr="002715F2">
        <w:rPr>
          <w:rFonts w:eastAsia="Batang"/>
          <w:lang w:val="fr-FR" w:eastAsia="ko-KR"/>
        </w:rPr>
        <w:t xml:space="preserve"> en établissant des partenariats avec les organisations </w:t>
      </w:r>
      <w:r w:rsidR="00895F1A" w:rsidRPr="002715F2">
        <w:rPr>
          <w:rFonts w:eastAsia="Batang"/>
          <w:lang w:val="fr-FR" w:eastAsia="ko-KR"/>
        </w:rPr>
        <w:t>compétentes en la matière</w:t>
      </w:r>
      <w:r w:rsidR="00961BE3"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76.</w:t>
      </w:r>
      <w:r w:rsidRPr="002715F2">
        <w:rPr>
          <w:rFonts w:eastAsia="Batang"/>
          <w:lang w:val="fr-FR" w:eastAsia="ko-KR"/>
        </w:rPr>
        <w:tab/>
      </w:r>
      <w:r w:rsidR="001B6768" w:rsidRPr="002715F2">
        <w:rPr>
          <w:rFonts w:eastAsia="Batang"/>
          <w:lang w:val="fr-FR" w:eastAsia="ko-KR"/>
        </w:rPr>
        <w:t>Afin de protéger et de soutenir les victimes de la traite, l</w:t>
      </w:r>
      <w:r w:rsidR="00100B59" w:rsidRPr="002715F2">
        <w:rPr>
          <w:rFonts w:eastAsia="Batang"/>
          <w:lang w:val="fr-FR" w:eastAsia="ko-KR"/>
        </w:rPr>
        <w:t xml:space="preserve">e Gouvernement </w:t>
      </w:r>
      <w:r w:rsidR="001B6768" w:rsidRPr="002715F2">
        <w:rPr>
          <w:rFonts w:eastAsia="Batang"/>
          <w:lang w:val="fr-FR" w:eastAsia="ko-KR"/>
        </w:rPr>
        <w:t xml:space="preserve">les identifie </w:t>
      </w:r>
      <w:r w:rsidR="00100B59" w:rsidRPr="002715F2">
        <w:rPr>
          <w:rFonts w:eastAsia="Batang"/>
          <w:lang w:val="fr-FR" w:eastAsia="ko-KR"/>
        </w:rPr>
        <w:t xml:space="preserve">en passant en revue les cas signalés aux centres </w:t>
      </w:r>
      <w:r w:rsidR="001B6768" w:rsidRPr="002715F2">
        <w:rPr>
          <w:rFonts w:eastAsia="Batang"/>
          <w:lang w:val="fr-FR" w:eastAsia="ko-KR"/>
        </w:rPr>
        <w:t>d’aide</w:t>
      </w:r>
      <w:r w:rsidR="00100B59" w:rsidRPr="002715F2">
        <w:rPr>
          <w:rFonts w:eastAsia="Batang"/>
          <w:lang w:val="fr-FR" w:eastAsia="ko-KR"/>
        </w:rPr>
        <w:t xml:space="preserve"> des services de l’immigration et aux 1 345</w:t>
      </w:r>
      <w:r w:rsidR="001B6768" w:rsidRPr="002715F2">
        <w:rPr>
          <w:rFonts w:eastAsia="Batang"/>
          <w:lang w:val="fr-FR" w:eastAsia="ko-KR"/>
        </w:rPr>
        <w:t> </w:t>
      </w:r>
      <w:r w:rsidR="00100B59" w:rsidRPr="002715F2">
        <w:rPr>
          <w:rFonts w:eastAsia="Batang"/>
          <w:lang w:val="fr-FR" w:eastAsia="ko-KR"/>
        </w:rPr>
        <w:t>centres de contacts pour les immigrés</w:t>
      </w:r>
      <w:r w:rsidR="00F60999" w:rsidRPr="002715F2">
        <w:rPr>
          <w:rFonts w:eastAsia="Batang"/>
          <w:lang w:val="fr-FR" w:eastAsia="ko-KR"/>
        </w:rPr>
        <w:t>.</w:t>
      </w:r>
    </w:p>
    <w:p w:rsidR="000078DA" w:rsidRPr="002715F2" w:rsidRDefault="00F410E3"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E91219" w:rsidRPr="002715F2">
        <w:rPr>
          <w:rFonts w:eastAsia="Batang"/>
          <w:lang w:val="fr-FR" w:eastAsia="ko-KR"/>
        </w:rPr>
        <w:t>Efforts visant à prévenir la traite des êtres humains</w:t>
      </w:r>
    </w:p>
    <w:p w:rsidR="000078DA" w:rsidRPr="002715F2" w:rsidRDefault="007026FB" w:rsidP="007026FB">
      <w:pPr>
        <w:pStyle w:val="SingleTxtG"/>
        <w:rPr>
          <w:rFonts w:eastAsia="Batang"/>
          <w:lang w:val="fr-FR" w:eastAsia="ko-KR"/>
        </w:rPr>
      </w:pPr>
      <w:r w:rsidRPr="002715F2">
        <w:rPr>
          <w:rFonts w:eastAsia="Batang"/>
          <w:lang w:val="fr-FR" w:eastAsia="ko-KR"/>
        </w:rPr>
        <w:t>77.</w:t>
      </w:r>
      <w:r w:rsidRPr="002715F2">
        <w:rPr>
          <w:rFonts w:eastAsia="Batang"/>
          <w:lang w:val="fr-FR" w:eastAsia="ko-KR"/>
        </w:rPr>
        <w:tab/>
      </w:r>
      <w:r w:rsidR="00100B59" w:rsidRPr="002715F2">
        <w:rPr>
          <w:rFonts w:eastAsia="Batang"/>
          <w:lang w:val="fr-FR" w:eastAsia="ko-KR"/>
        </w:rPr>
        <w:t xml:space="preserve">En 2015, pour la quinzième année consécutive, la République de Corée </w:t>
      </w:r>
      <w:r w:rsidR="000C5CFD" w:rsidRPr="002715F2">
        <w:rPr>
          <w:rFonts w:eastAsia="Batang"/>
          <w:lang w:val="fr-FR" w:eastAsia="ko-KR"/>
        </w:rPr>
        <w:t>s’est</w:t>
      </w:r>
      <w:r w:rsidR="00100B59" w:rsidRPr="002715F2">
        <w:rPr>
          <w:rFonts w:eastAsia="Batang"/>
          <w:lang w:val="fr-FR" w:eastAsia="ko-KR"/>
        </w:rPr>
        <w:t xml:space="preserve"> maintenu</w:t>
      </w:r>
      <w:r w:rsidR="000C5CFD" w:rsidRPr="002715F2">
        <w:rPr>
          <w:rFonts w:eastAsia="Batang"/>
          <w:lang w:val="fr-FR" w:eastAsia="ko-KR"/>
        </w:rPr>
        <w:t>e</w:t>
      </w:r>
      <w:r w:rsidR="00100B59" w:rsidRPr="002715F2">
        <w:rPr>
          <w:rFonts w:eastAsia="Batang"/>
          <w:lang w:val="fr-FR" w:eastAsia="ko-KR"/>
        </w:rPr>
        <w:t xml:space="preserve"> </w:t>
      </w:r>
      <w:r w:rsidR="000C5CFD" w:rsidRPr="002715F2">
        <w:rPr>
          <w:rFonts w:eastAsia="Batang"/>
          <w:lang w:val="fr-FR" w:eastAsia="ko-KR"/>
        </w:rPr>
        <w:t>dans le 1</w:t>
      </w:r>
      <w:r w:rsidR="000C5CFD" w:rsidRPr="002715F2">
        <w:rPr>
          <w:rFonts w:eastAsia="Batang"/>
          <w:vertAlign w:val="superscript"/>
          <w:lang w:val="fr-FR" w:eastAsia="ko-KR"/>
        </w:rPr>
        <w:t>er</w:t>
      </w:r>
      <w:r w:rsidR="000C5CFD" w:rsidRPr="002715F2">
        <w:rPr>
          <w:rFonts w:eastAsia="Batang"/>
          <w:lang w:val="fr-FR" w:eastAsia="ko-KR"/>
        </w:rPr>
        <w:t xml:space="preserve"> groupe (le plus haut niveau) du </w:t>
      </w:r>
      <w:r w:rsidR="00100B59" w:rsidRPr="002715F2">
        <w:rPr>
          <w:rFonts w:eastAsia="Batang"/>
          <w:lang w:val="fr-FR" w:eastAsia="ko-KR"/>
        </w:rPr>
        <w:t>classement</w:t>
      </w:r>
      <w:r w:rsidR="000C5CFD" w:rsidRPr="002715F2">
        <w:rPr>
          <w:rFonts w:eastAsia="Batang"/>
          <w:lang w:val="fr-FR" w:eastAsia="ko-KR"/>
        </w:rPr>
        <w:t xml:space="preserve"> établi dans le</w:t>
      </w:r>
      <w:r w:rsidR="00100B59" w:rsidRPr="002715F2">
        <w:rPr>
          <w:rFonts w:eastAsia="Batang"/>
          <w:lang w:val="fr-FR" w:eastAsia="ko-KR"/>
        </w:rPr>
        <w:t xml:space="preserve"> </w:t>
      </w:r>
      <w:r w:rsidR="000C5CFD" w:rsidRPr="002715F2">
        <w:rPr>
          <w:rFonts w:eastAsia="Batang"/>
          <w:lang w:val="fr-FR" w:eastAsia="ko-KR"/>
        </w:rPr>
        <w:t xml:space="preserve">rapport annuel </w:t>
      </w:r>
      <w:r w:rsidR="00100B59" w:rsidRPr="002715F2">
        <w:rPr>
          <w:rFonts w:eastAsia="Batang"/>
          <w:lang w:val="fr-FR" w:eastAsia="ko-KR"/>
        </w:rPr>
        <w:t>du département d</w:t>
      </w:r>
      <w:r w:rsidR="000C5CFD" w:rsidRPr="002715F2">
        <w:rPr>
          <w:rFonts w:eastAsia="Batang"/>
          <w:lang w:val="fr-FR" w:eastAsia="ko-KR"/>
        </w:rPr>
        <w:t>’É</w:t>
      </w:r>
      <w:r w:rsidR="00100B59" w:rsidRPr="002715F2">
        <w:rPr>
          <w:rFonts w:eastAsia="Batang"/>
          <w:lang w:val="fr-FR" w:eastAsia="ko-KR"/>
        </w:rPr>
        <w:t xml:space="preserve">tat américain </w:t>
      </w:r>
      <w:r w:rsidR="000C5CFD" w:rsidRPr="002715F2">
        <w:rPr>
          <w:rFonts w:eastAsia="Batang"/>
          <w:lang w:val="fr-FR" w:eastAsia="ko-KR"/>
        </w:rPr>
        <w:t>sur la traite des personnes</w:t>
      </w:r>
      <w:r w:rsidR="000078DA" w:rsidRPr="002715F2">
        <w:rPr>
          <w:rFonts w:eastAsia="Batang"/>
          <w:lang w:val="fr-FR" w:eastAsia="ko-KR"/>
        </w:rPr>
        <w:t xml:space="preserve">. </w:t>
      </w:r>
      <w:r w:rsidR="00CA7949" w:rsidRPr="002715F2">
        <w:rPr>
          <w:rFonts w:eastAsia="Batang"/>
          <w:lang w:val="fr-FR" w:eastAsia="ko-KR"/>
        </w:rPr>
        <w:t xml:space="preserve">Afin de renforcer la coopération internationale </w:t>
      </w:r>
      <w:r w:rsidR="00474102" w:rsidRPr="002715F2">
        <w:rPr>
          <w:rFonts w:eastAsia="Batang"/>
          <w:lang w:val="fr-FR" w:eastAsia="ko-KR"/>
        </w:rPr>
        <w:t>en matière de</w:t>
      </w:r>
      <w:r w:rsidR="00CA7949" w:rsidRPr="002715F2">
        <w:rPr>
          <w:rFonts w:eastAsia="Batang"/>
          <w:lang w:val="fr-FR" w:eastAsia="ko-KR"/>
        </w:rPr>
        <w:t xml:space="preserve"> prévention, le Gouvernement </w:t>
      </w:r>
      <w:r w:rsidR="00474102" w:rsidRPr="002715F2">
        <w:rPr>
          <w:rFonts w:eastAsia="Batang"/>
          <w:lang w:val="fr-FR" w:eastAsia="ko-KR"/>
        </w:rPr>
        <w:t>prendra part</w:t>
      </w:r>
      <w:r w:rsidR="00CA7949" w:rsidRPr="002715F2">
        <w:rPr>
          <w:rFonts w:eastAsia="Batang"/>
          <w:lang w:val="fr-FR" w:eastAsia="ko-KR"/>
        </w:rPr>
        <w:t xml:space="preserve"> </w:t>
      </w:r>
      <w:r w:rsidR="00474102" w:rsidRPr="002715F2">
        <w:rPr>
          <w:rFonts w:eastAsia="Batang"/>
          <w:lang w:val="fr-FR" w:eastAsia="ko-KR"/>
        </w:rPr>
        <w:t>aux réunions</w:t>
      </w:r>
      <w:r w:rsidR="00CA7949" w:rsidRPr="002715F2">
        <w:rPr>
          <w:rFonts w:eastAsia="Batang"/>
          <w:lang w:val="fr-FR" w:eastAsia="ko-KR"/>
        </w:rPr>
        <w:t xml:space="preserve"> des Parties à la Convention des Nations Unies contre la criminalité transnationale organisée</w:t>
      </w:r>
      <w:r w:rsidR="000078DA" w:rsidRPr="002715F2">
        <w:rPr>
          <w:rFonts w:eastAsia="Batang"/>
          <w:lang w:val="fr-FR" w:eastAsia="ko-KR"/>
        </w:rPr>
        <w:t xml:space="preserve">. </w:t>
      </w:r>
      <w:r w:rsidR="009D0F63" w:rsidRPr="002715F2">
        <w:rPr>
          <w:rFonts w:eastAsia="Batang"/>
          <w:lang w:val="fr-FR" w:eastAsia="ko-KR"/>
        </w:rPr>
        <w:t xml:space="preserve">De plus, chaque année, il </w:t>
      </w:r>
      <w:r w:rsidR="00CA7949" w:rsidRPr="002715F2">
        <w:rPr>
          <w:rFonts w:eastAsia="Batang"/>
          <w:lang w:val="fr-FR" w:eastAsia="ko-KR"/>
        </w:rPr>
        <w:t>participe activement aux réunions ministérielles de l’</w:t>
      </w:r>
      <w:r w:rsidR="00984C16" w:rsidRPr="002715F2">
        <w:rPr>
          <w:rFonts w:eastAsia="Batang"/>
          <w:lang w:val="fr-FR" w:eastAsia="ko-KR"/>
        </w:rPr>
        <w:t>«</w:t>
      </w:r>
      <w:r w:rsidR="00CA7949" w:rsidRPr="002715F2">
        <w:rPr>
          <w:rFonts w:eastAsia="Batang"/>
          <w:lang w:val="fr-FR" w:eastAsia="ko-KR"/>
        </w:rPr>
        <w:t>ASEAN</w:t>
      </w:r>
      <w:r w:rsidR="00891ACD" w:rsidRPr="002715F2">
        <w:rPr>
          <w:rFonts w:eastAsia="Batang"/>
          <w:lang w:val="fr-FR" w:eastAsia="ko-KR"/>
        </w:rPr>
        <w:t xml:space="preserve"> </w:t>
      </w:r>
      <w:r w:rsidR="00984C16" w:rsidRPr="002715F2">
        <w:rPr>
          <w:rFonts w:eastAsia="Batang"/>
          <w:lang w:val="fr-FR" w:eastAsia="ko-KR"/>
        </w:rPr>
        <w:t xml:space="preserve">plus </w:t>
      </w:r>
      <w:r w:rsidR="00CA7949" w:rsidRPr="002715F2">
        <w:rPr>
          <w:rFonts w:eastAsia="Batang"/>
          <w:lang w:val="fr-FR" w:eastAsia="ko-KR"/>
        </w:rPr>
        <w:t>3</w:t>
      </w:r>
      <w:r w:rsidR="00E97B1A" w:rsidRPr="002715F2">
        <w:rPr>
          <w:rFonts w:eastAsia="Batang"/>
          <w:lang w:val="fr-FR" w:eastAsia="ko-KR"/>
        </w:rPr>
        <w:t>»</w:t>
      </w:r>
      <w:r w:rsidR="00CA7949" w:rsidRPr="002715F2">
        <w:rPr>
          <w:rFonts w:eastAsia="Batang"/>
          <w:lang w:val="fr-FR" w:eastAsia="ko-KR"/>
        </w:rPr>
        <w:t xml:space="preserve"> (Corée, Chine, Japon) sur la criminalité transnationale organisée </w:t>
      </w:r>
      <w:r w:rsidR="00785324" w:rsidRPr="002715F2">
        <w:rPr>
          <w:rFonts w:eastAsia="Batang"/>
          <w:lang w:val="fr-FR" w:eastAsia="ko-KR"/>
        </w:rPr>
        <w:t xml:space="preserve">pour </w:t>
      </w:r>
      <w:r w:rsidR="009D0F63" w:rsidRPr="002715F2">
        <w:rPr>
          <w:rFonts w:eastAsia="Batang"/>
          <w:lang w:val="fr-FR" w:eastAsia="ko-KR"/>
        </w:rPr>
        <w:t xml:space="preserve">développer </w:t>
      </w:r>
      <w:r w:rsidR="00CA7949" w:rsidRPr="002715F2">
        <w:rPr>
          <w:rFonts w:eastAsia="Batang"/>
          <w:lang w:val="fr-FR" w:eastAsia="ko-KR"/>
        </w:rPr>
        <w:t xml:space="preserve">la coopération régionale </w:t>
      </w:r>
      <w:r w:rsidR="000C5ED4" w:rsidRPr="002715F2">
        <w:rPr>
          <w:rFonts w:eastAsia="Batang"/>
          <w:lang w:val="fr-FR" w:eastAsia="ko-KR"/>
        </w:rPr>
        <w:t>en matière de</w:t>
      </w:r>
      <w:r w:rsidR="00CA7949" w:rsidRPr="002715F2">
        <w:rPr>
          <w:rFonts w:eastAsia="Batang"/>
          <w:lang w:val="fr-FR" w:eastAsia="ko-KR"/>
        </w:rPr>
        <w:t xml:space="preserve"> prévention </w:t>
      </w:r>
      <w:r w:rsidR="00785324" w:rsidRPr="002715F2">
        <w:rPr>
          <w:rFonts w:eastAsia="Batang"/>
          <w:lang w:val="fr-FR" w:eastAsia="ko-KR"/>
        </w:rPr>
        <w:t>de ces crimes y compris de</w:t>
      </w:r>
      <w:r w:rsidR="00CA7949" w:rsidRPr="002715F2">
        <w:rPr>
          <w:rFonts w:eastAsia="Batang"/>
          <w:lang w:val="fr-FR" w:eastAsia="ko-KR"/>
        </w:rPr>
        <w:t xml:space="preserve"> la traite des êtres humains en Asie du Sud-Est</w:t>
      </w:r>
      <w:r w:rsidR="000078DA" w:rsidRPr="002715F2">
        <w:rPr>
          <w:rFonts w:eastAsia="Batang"/>
          <w:lang w:val="fr-FR" w:eastAsia="ko-KR"/>
        </w:rPr>
        <w:t xml:space="preserve">. </w:t>
      </w:r>
      <w:r w:rsidR="00CA7949" w:rsidRPr="002715F2">
        <w:rPr>
          <w:rFonts w:eastAsia="Batang"/>
          <w:lang w:val="fr-FR" w:eastAsia="ko-KR"/>
        </w:rPr>
        <w:t xml:space="preserve">De </w:t>
      </w:r>
      <w:r w:rsidR="005C6D8E" w:rsidRPr="002715F2">
        <w:rPr>
          <w:rFonts w:eastAsia="Batang"/>
          <w:lang w:val="fr-FR" w:eastAsia="ko-KR"/>
        </w:rPr>
        <w:t>surcroît</w:t>
      </w:r>
      <w:r w:rsidR="000078DA" w:rsidRPr="002715F2">
        <w:rPr>
          <w:rFonts w:eastAsia="Batang"/>
          <w:lang w:val="fr-FR" w:eastAsia="ko-KR"/>
        </w:rPr>
        <w:t xml:space="preserve">, </w:t>
      </w:r>
      <w:r w:rsidR="00CA7949" w:rsidRPr="002715F2">
        <w:rPr>
          <w:rFonts w:eastAsia="Batang"/>
          <w:lang w:val="fr-FR" w:eastAsia="ko-KR"/>
        </w:rPr>
        <w:t>le parquet suprême a accueilli la 16</w:t>
      </w:r>
      <w:r w:rsidR="00CA7949" w:rsidRPr="002715F2">
        <w:rPr>
          <w:rFonts w:eastAsia="Batang"/>
          <w:vertAlign w:val="superscript"/>
          <w:lang w:val="fr-FR" w:eastAsia="ko-KR"/>
        </w:rPr>
        <w:t>e</w:t>
      </w:r>
      <w:r w:rsidR="00785324" w:rsidRPr="002715F2">
        <w:rPr>
          <w:rFonts w:eastAsia="Batang"/>
          <w:lang w:val="fr-FR" w:eastAsia="ko-KR"/>
        </w:rPr>
        <w:t> </w:t>
      </w:r>
      <w:r w:rsidR="00891ACD" w:rsidRPr="002715F2">
        <w:rPr>
          <w:rFonts w:eastAsia="Batang"/>
          <w:lang w:val="fr-FR" w:eastAsia="ko-KR"/>
        </w:rPr>
        <w:t>assemblée</w:t>
      </w:r>
      <w:r w:rsidR="00CA7949" w:rsidRPr="002715F2">
        <w:rPr>
          <w:rFonts w:eastAsia="Batang"/>
          <w:lang w:val="fr-FR" w:eastAsia="ko-KR"/>
        </w:rPr>
        <w:t xml:space="preserve"> annuelle</w:t>
      </w:r>
      <w:r w:rsidR="00891ACD" w:rsidRPr="002715F2">
        <w:rPr>
          <w:rFonts w:eastAsia="Batang"/>
          <w:lang w:val="fr-FR" w:eastAsia="ko-KR"/>
        </w:rPr>
        <w:t xml:space="preserve"> </w:t>
      </w:r>
      <w:r w:rsidR="00CA7949" w:rsidRPr="002715F2">
        <w:rPr>
          <w:rFonts w:eastAsia="Batang"/>
          <w:lang w:val="fr-FR" w:eastAsia="ko-KR"/>
        </w:rPr>
        <w:t xml:space="preserve">de </w:t>
      </w:r>
      <w:r w:rsidR="008E5739" w:rsidRPr="002715F2">
        <w:rPr>
          <w:rFonts w:eastAsia="Batang"/>
          <w:lang w:val="fr-FR" w:eastAsia="ko-KR"/>
        </w:rPr>
        <w:t xml:space="preserve">l’Association internationale des </w:t>
      </w:r>
      <w:r w:rsidR="00785324" w:rsidRPr="002715F2">
        <w:rPr>
          <w:rFonts w:eastAsia="Batang"/>
          <w:lang w:val="fr-FR" w:eastAsia="ko-KR"/>
        </w:rPr>
        <w:t>procureurs</w:t>
      </w:r>
      <w:r w:rsidR="008E5739" w:rsidRPr="002715F2">
        <w:rPr>
          <w:rFonts w:eastAsia="Batang"/>
          <w:lang w:val="fr-FR" w:eastAsia="ko-KR"/>
        </w:rPr>
        <w:t xml:space="preserve"> </w:t>
      </w:r>
      <w:r w:rsidR="00CA7949" w:rsidRPr="002715F2">
        <w:rPr>
          <w:rFonts w:eastAsia="Batang"/>
          <w:lang w:val="fr-FR" w:eastAsia="ko-KR"/>
        </w:rPr>
        <w:t>et le 4</w:t>
      </w:r>
      <w:r w:rsidR="00CA7949" w:rsidRPr="002715F2">
        <w:rPr>
          <w:rFonts w:eastAsia="Batang"/>
          <w:vertAlign w:val="superscript"/>
          <w:lang w:val="fr-FR" w:eastAsia="ko-KR"/>
        </w:rPr>
        <w:t>e</w:t>
      </w:r>
      <w:r w:rsidR="00785324" w:rsidRPr="002715F2">
        <w:rPr>
          <w:rFonts w:eastAsia="Batang"/>
          <w:lang w:val="fr-FR" w:eastAsia="ko-KR"/>
        </w:rPr>
        <w:t> </w:t>
      </w:r>
      <w:r w:rsidR="00CA7949" w:rsidRPr="002715F2">
        <w:rPr>
          <w:rFonts w:eastAsia="Batang"/>
          <w:lang w:val="fr-FR" w:eastAsia="ko-KR"/>
        </w:rPr>
        <w:t xml:space="preserve">sommet mondial </w:t>
      </w:r>
      <w:r w:rsidR="008E5739" w:rsidRPr="002715F2">
        <w:rPr>
          <w:rFonts w:eastAsia="Batang"/>
          <w:lang w:val="fr-FR" w:eastAsia="ko-KR"/>
        </w:rPr>
        <w:t xml:space="preserve">des procureurs généraux </w:t>
      </w:r>
      <w:r w:rsidR="00CA7949" w:rsidRPr="002715F2">
        <w:rPr>
          <w:rFonts w:eastAsia="Batang"/>
          <w:lang w:val="fr-FR" w:eastAsia="ko-KR"/>
        </w:rPr>
        <w:t xml:space="preserve">et </w:t>
      </w:r>
      <w:r w:rsidR="00891ACD" w:rsidRPr="002715F2">
        <w:rPr>
          <w:rFonts w:eastAsia="Batang"/>
          <w:lang w:val="fr-FR" w:eastAsia="ko-KR"/>
        </w:rPr>
        <w:t xml:space="preserve">des </w:t>
      </w:r>
      <w:r w:rsidR="00CA7949" w:rsidRPr="002715F2">
        <w:rPr>
          <w:rFonts w:eastAsia="Batang"/>
          <w:lang w:val="fr-FR" w:eastAsia="ko-KR"/>
        </w:rPr>
        <w:t xml:space="preserve">procureurs </w:t>
      </w:r>
      <w:r w:rsidR="00785324" w:rsidRPr="002715F2">
        <w:rPr>
          <w:rFonts w:eastAsia="Batang"/>
          <w:lang w:val="fr-FR" w:eastAsia="ko-KR"/>
        </w:rPr>
        <w:t>en</w:t>
      </w:r>
      <w:r w:rsidR="00CA7949" w:rsidRPr="002715F2">
        <w:rPr>
          <w:rFonts w:eastAsia="Batang"/>
          <w:lang w:val="fr-FR" w:eastAsia="ko-KR"/>
        </w:rPr>
        <w:t xml:space="preserve"> chef</w:t>
      </w:r>
      <w:r w:rsidR="00891ACD" w:rsidRPr="002715F2">
        <w:rPr>
          <w:rFonts w:eastAsia="Batang"/>
          <w:lang w:val="fr-FR" w:eastAsia="ko-KR"/>
        </w:rPr>
        <w:t>,</w:t>
      </w:r>
      <w:r w:rsidR="00CA7949" w:rsidRPr="002715F2">
        <w:rPr>
          <w:rFonts w:eastAsia="Batang"/>
          <w:lang w:val="fr-FR" w:eastAsia="ko-KR"/>
        </w:rPr>
        <w:t xml:space="preserve"> à Séoul</w:t>
      </w:r>
      <w:r w:rsidR="000078DA" w:rsidRPr="002715F2">
        <w:rPr>
          <w:rFonts w:eastAsia="Batang"/>
          <w:lang w:val="fr-FR" w:eastAsia="ko-KR"/>
        </w:rPr>
        <w:t xml:space="preserve">. </w:t>
      </w:r>
      <w:r w:rsidR="00785324" w:rsidRPr="002715F2">
        <w:rPr>
          <w:rFonts w:eastAsia="Batang"/>
          <w:lang w:val="fr-FR" w:eastAsia="ko-KR"/>
        </w:rPr>
        <w:t>À l’occasion</w:t>
      </w:r>
      <w:r w:rsidR="00891ACD" w:rsidRPr="002715F2">
        <w:rPr>
          <w:rFonts w:eastAsia="Batang"/>
          <w:lang w:val="fr-FR" w:eastAsia="ko-KR"/>
        </w:rPr>
        <w:t xml:space="preserve"> de ces rencontres, les participants ont </w:t>
      </w:r>
      <w:r w:rsidR="005C6D8E" w:rsidRPr="002715F2">
        <w:rPr>
          <w:rFonts w:eastAsia="Batang"/>
          <w:lang w:val="fr-FR" w:eastAsia="ko-KR"/>
        </w:rPr>
        <w:t>examiné</w:t>
      </w:r>
      <w:r w:rsidR="00891ACD" w:rsidRPr="002715F2">
        <w:rPr>
          <w:rFonts w:eastAsia="Batang"/>
          <w:lang w:val="fr-FR" w:eastAsia="ko-KR"/>
        </w:rPr>
        <w:t xml:space="preserve"> </w:t>
      </w:r>
      <w:r w:rsidR="005C6D8E" w:rsidRPr="002715F2">
        <w:rPr>
          <w:rFonts w:eastAsia="Batang"/>
          <w:lang w:val="fr-FR" w:eastAsia="ko-KR"/>
        </w:rPr>
        <w:t>l</w:t>
      </w:r>
      <w:r w:rsidR="00891ACD" w:rsidRPr="002715F2">
        <w:rPr>
          <w:rFonts w:eastAsia="Batang"/>
          <w:lang w:val="fr-FR" w:eastAsia="ko-KR"/>
        </w:rPr>
        <w:t xml:space="preserve">es moyens nécessaires </w:t>
      </w:r>
      <w:r w:rsidR="005C6D8E" w:rsidRPr="002715F2">
        <w:rPr>
          <w:rFonts w:eastAsia="Batang"/>
          <w:lang w:val="fr-FR" w:eastAsia="ko-KR"/>
        </w:rPr>
        <w:t xml:space="preserve">pour </w:t>
      </w:r>
      <w:r w:rsidR="00785324" w:rsidRPr="002715F2">
        <w:rPr>
          <w:rFonts w:eastAsia="Batang"/>
          <w:lang w:val="fr-FR" w:eastAsia="ko-KR"/>
        </w:rPr>
        <w:t>améliorer</w:t>
      </w:r>
      <w:r w:rsidR="00891ACD" w:rsidRPr="002715F2">
        <w:rPr>
          <w:rFonts w:eastAsia="Batang"/>
          <w:lang w:val="fr-FR" w:eastAsia="ko-KR"/>
        </w:rPr>
        <w:t xml:space="preserve"> la coopération internationale </w:t>
      </w:r>
      <w:r w:rsidR="00785324" w:rsidRPr="002715F2">
        <w:rPr>
          <w:rFonts w:eastAsia="Batang"/>
          <w:lang w:val="fr-FR" w:eastAsia="ko-KR"/>
        </w:rPr>
        <w:t>en vue de</w:t>
      </w:r>
      <w:r w:rsidR="00891ACD" w:rsidRPr="002715F2">
        <w:rPr>
          <w:rFonts w:eastAsia="Batang"/>
          <w:lang w:val="fr-FR" w:eastAsia="ko-KR"/>
        </w:rPr>
        <w:t xml:space="preserve"> lutte</w:t>
      </w:r>
      <w:r w:rsidR="00785324" w:rsidRPr="002715F2">
        <w:rPr>
          <w:rFonts w:eastAsia="Batang"/>
          <w:lang w:val="fr-FR" w:eastAsia="ko-KR"/>
        </w:rPr>
        <w:t>r</w:t>
      </w:r>
      <w:r w:rsidR="00891ACD" w:rsidRPr="002715F2">
        <w:rPr>
          <w:rFonts w:eastAsia="Batang"/>
          <w:lang w:val="fr-FR" w:eastAsia="ko-KR"/>
        </w:rPr>
        <w:t xml:space="preserve"> contre la criminalité transnationale</w:t>
      </w:r>
      <w:r w:rsidR="00F60999" w:rsidRPr="002715F2">
        <w:rPr>
          <w:rFonts w:eastAsia="Batang"/>
          <w:lang w:val="fr-FR" w:eastAsia="ko-KR"/>
        </w:rPr>
        <w:t>.</w:t>
      </w:r>
    </w:p>
    <w:p w:rsidR="000078DA" w:rsidRPr="002715F2" w:rsidRDefault="007026FB" w:rsidP="007026FB">
      <w:pPr>
        <w:pStyle w:val="SingleTxtG"/>
        <w:rPr>
          <w:rFonts w:eastAsia="Batang"/>
          <w:strike/>
          <w:lang w:val="fr-FR" w:eastAsia="ko-KR"/>
        </w:rPr>
      </w:pPr>
      <w:r w:rsidRPr="002715F2">
        <w:rPr>
          <w:rFonts w:eastAsia="Batang"/>
          <w:lang w:val="fr-FR" w:eastAsia="ko-KR"/>
        </w:rPr>
        <w:t>78.</w:t>
      </w:r>
      <w:r w:rsidRPr="002715F2">
        <w:rPr>
          <w:rFonts w:eastAsia="Batang"/>
          <w:lang w:val="fr-FR" w:eastAsia="ko-KR"/>
        </w:rPr>
        <w:tab/>
      </w:r>
      <w:r w:rsidR="00891ACD" w:rsidRPr="002715F2">
        <w:rPr>
          <w:rFonts w:eastAsia="Batang"/>
          <w:lang w:val="fr-FR" w:eastAsia="ko-KR"/>
        </w:rPr>
        <w:t xml:space="preserve">Depuis 2006, les </w:t>
      </w:r>
      <w:r w:rsidR="000C5ED4" w:rsidRPr="002715F2">
        <w:rPr>
          <w:rFonts w:eastAsia="Batang"/>
          <w:lang w:val="fr-FR" w:eastAsia="ko-KR"/>
        </w:rPr>
        <w:t xml:space="preserve">représentants des </w:t>
      </w:r>
      <w:r w:rsidR="000D4C71" w:rsidRPr="002715F2">
        <w:rPr>
          <w:rFonts w:eastAsia="Batang"/>
          <w:lang w:val="fr-FR" w:eastAsia="ko-KR"/>
        </w:rPr>
        <w:t>m</w:t>
      </w:r>
      <w:r w:rsidR="00891ACD" w:rsidRPr="002715F2">
        <w:rPr>
          <w:rFonts w:eastAsia="Batang"/>
          <w:lang w:val="fr-FR" w:eastAsia="ko-KR"/>
        </w:rPr>
        <w:t xml:space="preserve">inistères compétents, </w:t>
      </w:r>
      <w:r w:rsidR="00785324" w:rsidRPr="002715F2">
        <w:rPr>
          <w:rFonts w:eastAsia="Batang"/>
          <w:lang w:val="fr-FR" w:eastAsia="ko-KR"/>
        </w:rPr>
        <w:t>notamment</w:t>
      </w:r>
      <w:r w:rsidR="00891ACD" w:rsidRPr="002715F2">
        <w:rPr>
          <w:rFonts w:eastAsia="Batang"/>
          <w:lang w:val="fr-FR" w:eastAsia="ko-KR"/>
        </w:rPr>
        <w:t xml:space="preserve"> </w:t>
      </w:r>
      <w:r w:rsidR="000C5ED4" w:rsidRPr="002715F2">
        <w:rPr>
          <w:rFonts w:eastAsia="Batang"/>
          <w:lang w:val="fr-FR" w:eastAsia="ko-KR"/>
        </w:rPr>
        <w:t>du</w:t>
      </w:r>
      <w:r w:rsidR="00891ACD" w:rsidRPr="002715F2">
        <w:rPr>
          <w:rFonts w:eastAsia="Batang"/>
          <w:lang w:val="fr-FR" w:eastAsia="ko-KR"/>
        </w:rPr>
        <w:t xml:space="preserve"> Ministère de la justice, </w:t>
      </w:r>
      <w:r w:rsidR="000C5ED4" w:rsidRPr="002715F2">
        <w:rPr>
          <w:rFonts w:eastAsia="Batang"/>
          <w:lang w:val="fr-FR" w:eastAsia="ko-KR"/>
        </w:rPr>
        <w:t>du</w:t>
      </w:r>
      <w:r w:rsidR="00891ACD" w:rsidRPr="002715F2">
        <w:rPr>
          <w:rFonts w:eastAsia="Batang"/>
          <w:lang w:val="fr-FR" w:eastAsia="ko-KR"/>
        </w:rPr>
        <w:t xml:space="preserve"> Ministère des affaires étrangères, </w:t>
      </w:r>
      <w:r w:rsidR="000C5ED4" w:rsidRPr="002715F2">
        <w:rPr>
          <w:rFonts w:eastAsia="Batang"/>
          <w:lang w:val="fr-FR" w:eastAsia="ko-KR"/>
        </w:rPr>
        <w:t>du</w:t>
      </w:r>
      <w:r w:rsidR="00891ACD" w:rsidRPr="002715F2">
        <w:rPr>
          <w:rFonts w:eastAsia="Batang"/>
          <w:lang w:val="fr-FR" w:eastAsia="ko-KR"/>
        </w:rPr>
        <w:t xml:space="preserve"> Ministère de l’emploi et du travail, </w:t>
      </w:r>
      <w:r w:rsidR="000C5ED4" w:rsidRPr="002715F2">
        <w:rPr>
          <w:rFonts w:eastAsia="Batang"/>
          <w:lang w:val="fr-FR" w:eastAsia="ko-KR"/>
        </w:rPr>
        <w:t>du</w:t>
      </w:r>
      <w:r w:rsidR="00891ACD" w:rsidRPr="002715F2">
        <w:rPr>
          <w:rFonts w:eastAsia="Batang"/>
          <w:lang w:val="fr-FR" w:eastAsia="ko-KR"/>
        </w:rPr>
        <w:t xml:space="preserve"> Ministère de l’égalité entre les sexes et de la famille</w:t>
      </w:r>
      <w:r w:rsidR="00785324" w:rsidRPr="002715F2">
        <w:rPr>
          <w:rFonts w:eastAsia="Batang"/>
          <w:lang w:val="fr-FR" w:eastAsia="ko-KR"/>
        </w:rPr>
        <w:t>,</w:t>
      </w:r>
      <w:r w:rsidR="00891ACD" w:rsidRPr="002715F2">
        <w:rPr>
          <w:rFonts w:eastAsia="Batang"/>
          <w:lang w:val="fr-FR" w:eastAsia="ko-KR"/>
        </w:rPr>
        <w:t xml:space="preserve"> et </w:t>
      </w:r>
      <w:r w:rsidR="000C5ED4" w:rsidRPr="002715F2">
        <w:rPr>
          <w:rFonts w:eastAsia="Batang"/>
          <w:lang w:val="fr-FR" w:eastAsia="ko-KR"/>
        </w:rPr>
        <w:t>d</w:t>
      </w:r>
      <w:r w:rsidR="00891ACD" w:rsidRPr="002715F2">
        <w:rPr>
          <w:rFonts w:eastAsia="Batang"/>
          <w:lang w:val="fr-FR" w:eastAsia="ko-KR"/>
        </w:rPr>
        <w:t xml:space="preserve">es ambassades concernées </w:t>
      </w:r>
      <w:r w:rsidR="001C1496" w:rsidRPr="002715F2">
        <w:rPr>
          <w:rFonts w:eastAsia="Batang"/>
          <w:lang w:val="fr-FR" w:eastAsia="ko-KR"/>
        </w:rPr>
        <w:t>se réunissent</w:t>
      </w:r>
      <w:r w:rsidR="00891ACD" w:rsidRPr="002715F2">
        <w:rPr>
          <w:rFonts w:eastAsia="Batang"/>
          <w:lang w:val="fr-FR" w:eastAsia="ko-KR"/>
        </w:rPr>
        <w:t xml:space="preserve"> une ou deux fois par an </w:t>
      </w:r>
      <w:r w:rsidR="001C1496" w:rsidRPr="002715F2">
        <w:rPr>
          <w:lang w:val="fr-FR"/>
        </w:rPr>
        <w:t>pour examiner les mesures de prévention de la traite des êtres humains</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79.</w:t>
      </w:r>
      <w:r w:rsidRPr="002715F2">
        <w:rPr>
          <w:rFonts w:eastAsia="Batang"/>
          <w:lang w:val="fr-FR" w:eastAsia="ko-KR"/>
        </w:rPr>
        <w:tab/>
      </w:r>
      <w:r w:rsidR="000C5ED4" w:rsidRPr="002715F2">
        <w:rPr>
          <w:rFonts w:eastAsia="Batang"/>
          <w:iCs/>
          <w:lang w:val="fr-FR" w:eastAsia="ko-KR"/>
        </w:rPr>
        <w:t xml:space="preserve">La loi </w:t>
      </w:r>
      <w:r w:rsidR="00023EE4" w:rsidRPr="002715F2">
        <w:rPr>
          <w:rFonts w:eastAsia="Batang"/>
          <w:iCs/>
          <w:lang w:val="fr-FR" w:eastAsia="ko-KR"/>
        </w:rPr>
        <w:t>relative à l’encadrement des activités des</w:t>
      </w:r>
      <w:r w:rsidR="000C5ED4" w:rsidRPr="002715F2">
        <w:rPr>
          <w:rFonts w:eastAsia="Batang"/>
          <w:iCs/>
          <w:lang w:val="fr-FR" w:eastAsia="ko-KR"/>
        </w:rPr>
        <w:t xml:space="preserve"> agences matrimoniales a été promulguée le 14 décembre 2007 </w:t>
      </w:r>
      <w:r w:rsidR="00023EE4" w:rsidRPr="002715F2">
        <w:rPr>
          <w:rFonts w:eastAsia="Batang"/>
          <w:iCs/>
          <w:lang w:val="fr-FR" w:eastAsia="ko-KR"/>
        </w:rPr>
        <w:t>afin de</w:t>
      </w:r>
      <w:r w:rsidR="000C5ED4" w:rsidRPr="002715F2">
        <w:rPr>
          <w:rFonts w:eastAsia="Batang"/>
          <w:iCs/>
          <w:lang w:val="fr-FR" w:eastAsia="ko-KR"/>
        </w:rPr>
        <w:t xml:space="preserve"> prévenir les mariages internationaux </w:t>
      </w:r>
      <w:r w:rsidR="001C1496" w:rsidRPr="002715F2">
        <w:rPr>
          <w:rFonts w:eastAsia="Batang"/>
          <w:iCs/>
          <w:lang w:val="fr-FR" w:eastAsia="ko-KR"/>
        </w:rPr>
        <w:t xml:space="preserve">susceptibles de s’apparenter à de la </w:t>
      </w:r>
      <w:r w:rsidR="000C5ED4" w:rsidRPr="002715F2">
        <w:rPr>
          <w:rFonts w:eastAsia="Batang"/>
          <w:iCs/>
          <w:lang w:val="fr-FR" w:eastAsia="ko-KR"/>
        </w:rPr>
        <w:t>traite</w:t>
      </w:r>
      <w:r w:rsidR="000078DA" w:rsidRPr="002715F2">
        <w:rPr>
          <w:rFonts w:eastAsia="Batang"/>
          <w:lang w:val="fr-FR" w:eastAsia="ko-KR"/>
        </w:rPr>
        <w:t xml:space="preserve">. </w:t>
      </w:r>
      <w:r w:rsidR="00023EE4" w:rsidRPr="002715F2">
        <w:rPr>
          <w:rFonts w:eastAsia="Batang"/>
          <w:lang w:val="fr-FR" w:eastAsia="ko-KR"/>
        </w:rPr>
        <w:t xml:space="preserve">Depuis la </w:t>
      </w:r>
      <w:r w:rsidR="009970B3" w:rsidRPr="002715F2">
        <w:rPr>
          <w:rFonts w:eastAsia="Batang"/>
          <w:lang w:val="fr-FR" w:eastAsia="ko-KR"/>
        </w:rPr>
        <w:t>modification</w:t>
      </w:r>
      <w:r w:rsidR="00023EE4" w:rsidRPr="002715F2">
        <w:rPr>
          <w:rFonts w:eastAsia="Batang"/>
          <w:lang w:val="fr-FR" w:eastAsia="ko-KR"/>
        </w:rPr>
        <w:t xml:space="preserve"> de celle loi, le 1</w:t>
      </w:r>
      <w:r w:rsidR="000078DA" w:rsidRPr="002715F2">
        <w:rPr>
          <w:rFonts w:eastAsia="Batang"/>
          <w:lang w:val="fr-FR" w:eastAsia="ko-KR"/>
        </w:rPr>
        <w:t>7</w:t>
      </w:r>
      <w:r w:rsidR="00023EE4" w:rsidRPr="002715F2">
        <w:rPr>
          <w:rFonts w:eastAsia="Batang"/>
          <w:lang w:val="fr-FR" w:eastAsia="ko-KR"/>
        </w:rPr>
        <w:t> mai</w:t>
      </w:r>
      <w:r w:rsidR="000078DA" w:rsidRPr="002715F2">
        <w:rPr>
          <w:rFonts w:eastAsia="Batang"/>
          <w:lang w:val="fr-FR" w:eastAsia="ko-KR"/>
        </w:rPr>
        <w:t xml:space="preserve"> 2010</w:t>
      </w:r>
      <w:r w:rsidR="00023EE4" w:rsidRPr="002715F2">
        <w:rPr>
          <w:rFonts w:eastAsia="Batang"/>
          <w:lang w:val="fr-FR" w:eastAsia="ko-KR"/>
        </w:rPr>
        <w:t xml:space="preserve">, les </w:t>
      </w:r>
      <w:r w:rsidR="004F428C" w:rsidRPr="002715F2">
        <w:rPr>
          <w:rFonts w:eastAsia="Batang"/>
          <w:lang w:val="fr-FR" w:eastAsia="ko-KR"/>
        </w:rPr>
        <w:t xml:space="preserve">deux </w:t>
      </w:r>
      <w:r w:rsidR="00023EE4" w:rsidRPr="002715F2">
        <w:rPr>
          <w:rFonts w:eastAsia="Batang"/>
          <w:lang w:val="fr-FR" w:eastAsia="ko-KR"/>
        </w:rPr>
        <w:t>parties sont tenues d’échanger des</w:t>
      </w:r>
      <w:r w:rsidR="000078DA" w:rsidRPr="002715F2">
        <w:rPr>
          <w:rFonts w:eastAsia="Batang"/>
          <w:lang w:val="fr-FR" w:eastAsia="ko-KR"/>
        </w:rPr>
        <w:t xml:space="preserve"> </w:t>
      </w:r>
      <w:r w:rsidR="00023EE4" w:rsidRPr="002715F2">
        <w:rPr>
          <w:rFonts w:eastAsia="Batang"/>
          <w:lang w:val="fr-FR" w:eastAsia="ko-KR"/>
        </w:rPr>
        <w:t>renseignements personnels</w:t>
      </w:r>
      <w:r w:rsidR="000078DA" w:rsidRPr="002715F2">
        <w:rPr>
          <w:rFonts w:eastAsia="Batang"/>
          <w:lang w:val="fr-FR" w:eastAsia="ko-KR"/>
        </w:rPr>
        <w:t xml:space="preserve"> (</w:t>
      </w:r>
      <w:r w:rsidR="00BD1A84" w:rsidRPr="002715F2">
        <w:rPr>
          <w:rFonts w:eastAsia="Batang"/>
          <w:lang w:val="fr-FR" w:eastAsia="ko-KR"/>
        </w:rPr>
        <w:t>art. </w:t>
      </w:r>
      <w:r w:rsidR="000078DA" w:rsidRPr="002715F2">
        <w:rPr>
          <w:rFonts w:eastAsia="Batang"/>
          <w:lang w:val="fr-FR" w:eastAsia="ko-KR"/>
        </w:rPr>
        <w:t xml:space="preserve">10-2). </w:t>
      </w:r>
      <w:r w:rsidR="001C1496" w:rsidRPr="002715F2">
        <w:rPr>
          <w:rFonts w:eastAsia="Batang"/>
          <w:lang w:val="fr-FR" w:eastAsia="ko-KR"/>
        </w:rPr>
        <w:t>Une autre modification adoptée</w:t>
      </w:r>
      <w:r w:rsidR="00023EE4" w:rsidRPr="002715F2">
        <w:rPr>
          <w:rFonts w:eastAsia="Batang"/>
          <w:lang w:val="fr-FR" w:eastAsia="ko-KR"/>
        </w:rPr>
        <w:t xml:space="preserve"> </w:t>
      </w:r>
      <w:r w:rsidR="001C1496" w:rsidRPr="002715F2">
        <w:rPr>
          <w:rFonts w:eastAsia="Batang"/>
          <w:lang w:val="fr-FR" w:eastAsia="ko-KR"/>
        </w:rPr>
        <w:t>le</w:t>
      </w:r>
      <w:r w:rsidR="00023EE4" w:rsidRPr="002715F2">
        <w:rPr>
          <w:rFonts w:eastAsia="Batang"/>
          <w:lang w:val="fr-FR" w:eastAsia="ko-KR"/>
        </w:rPr>
        <w:t xml:space="preserve"> 1</w:t>
      </w:r>
      <w:r w:rsidR="001C1496" w:rsidRPr="002715F2">
        <w:rPr>
          <w:rFonts w:eastAsia="Batang"/>
          <w:vertAlign w:val="superscript"/>
          <w:lang w:val="fr-FR" w:eastAsia="ko-KR"/>
        </w:rPr>
        <w:t>er </w:t>
      </w:r>
      <w:r w:rsidR="00023EE4" w:rsidRPr="002715F2">
        <w:rPr>
          <w:rFonts w:eastAsia="Batang"/>
          <w:lang w:val="fr-FR" w:eastAsia="ko-KR"/>
        </w:rPr>
        <w:t xml:space="preserve">février 2012 durcit les </w:t>
      </w:r>
      <w:r w:rsidR="00725DF6" w:rsidRPr="002715F2">
        <w:rPr>
          <w:rFonts w:eastAsia="Batang"/>
          <w:lang w:val="fr-FR" w:eastAsia="ko-KR"/>
        </w:rPr>
        <w:t xml:space="preserve">critères d’inscription </w:t>
      </w:r>
      <w:r w:rsidR="001C1496" w:rsidRPr="002715F2">
        <w:rPr>
          <w:rFonts w:eastAsia="Batang"/>
          <w:lang w:val="fr-FR" w:eastAsia="ko-KR"/>
        </w:rPr>
        <w:t>dans les</w:t>
      </w:r>
      <w:r w:rsidR="00023EE4" w:rsidRPr="002715F2">
        <w:rPr>
          <w:rFonts w:eastAsia="Batang"/>
          <w:lang w:val="fr-FR" w:eastAsia="ko-KR"/>
        </w:rPr>
        <w:t xml:space="preserve"> </w:t>
      </w:r>
      <w:r w:rsidR="00023EE4" w:rsidRPr="002715F2">
        <w:rPr>
          <w:rFonts w:eastAsia="Batang"/>
          <w:iCs/>
          <w:lang w:val="fr-FR" w:eastAsia="ko-KR"/>
        </w:rPr>
        <w:t xml:space="preserve">agences matrimoniales internationales </w:t>
      </w:r>
      <w:r w:rsidR="000078DA" w:rsidRPr="002715F2">
        <w:rPr>
          <w:rFonts w:eastAsia="Batang"/>
          <w:lang w:val="fr-FR" w:eastAsia="ko-KR"/>
        </w:rPr>
        <w:t>(</w:t>
      </w:r>
      <w:r w:rsidR="007C5014" w:rsidRPr="002715F2">
        <w:rPr>
          <w:rFonts w:eastAsia="Batang"/>
          <w:lang w:val="fr-FR" w:eastAsia="ko-KR"/>
        </w:rPr>
        <w:t>art. </w:t>
      </w:r>
      <w:r w:rsidR="001C1496" w:rsidRPr="002715F2">
        <w:rPr>
          <w:rFonts w:eastAsia="Batang"/>
          <w:lang w:val="fr-FR" w:eastAsia="ko-KR"/>
        </w:rPr>
        <w:t>4, 24-3)</w:t>
      </w:r>
      <w:r w:rsidR="00B95883" w:rsidRPr="002715F2">
        <w:rPr>
          <w:rFonts w:eastAsia="Batang"/>
          <w:lang w:val="fr-FR" w:eastAsia="ko-KR"/>
        </w:rPr>
        <w:t xml:space="preserve"> </w:t>
      </w:r>
      <w:r w:rsidR="001C1496" w:rsidRPr="002715F2">
        <w:rPr>
          <w:rFonts w:eastAsia="Batang"/>
          <w:lang w:val="fr-FR" w:eastAsia="ko-KR"/>
        </w:rPr>
        <w:t>et interdit la participation de</w:t>
      </w:r>
      <w:r w:rsidR="00725DF6" w:rsidRPr="002715F2">
        <w:rPr>
          <w:rFonts w:eastAsia="Batang"/>
          <w:lang w:val="fr-FR" w:eastAsia="ko-KR"/>
        </w:rPr>
        <w:t xml:space="preserve"> personnes</w:t>
      </w:r>
      <w:r w:rsidR="001C1496" w:rsidRPr="002715F2">
        <w:rPr>
          <w:rFonts w:eastAsia="Batang"/>
          <w:lang w:val="fr-FR" w:eastAsia="ko-KR"/>
        </w:rPr>
        <w:t xml:space="preserve"> âgées</w:t>
      </w:r>
      <w:r w:rsidR="00725DF6" w:rsidRPr="002715F2">
        <w:rPr>
          <w:rFonts w:eastAsia="Batang"/>
          <w:lang w:val="fr-FR" w:eastAsia="ko-KR"/>
        </w:rPr>
        <w:t xml:space="preserve"> de moins de 18</w:t>
      </w:r>
      <w:r w:rsidR="001C1496" w:rsidRPr="002715F2">
        <w:rPr>
          <w:rFonts w:eastAsia="Batang"/>
          <w:lang w:val="fr-FR" w:eastAsia="ko-KR"/>
        </w:rPr>
        <w:t> </w:t>
      </w:r>
      <w:r w:rsidR="00725DF6" w:rsidRPr="002715F2">
        <w:rPr>
          <w:rFonts w:eastAsia="Batang"/>
          <w:lang w:val="fr-FR" w:eastAsia="ko-KR"/>
        </w:rPr>
        <w:t xml:space="preserve">ans </w:t>
      </w:r>
      <w:r w:rsidR="001C1496" w:rsidRPr="002715F2">
        <w:rPr>
          <w:rFonts w:eastAsia="Batang"/>
          <w:lang w:val="fr-FR" w:eastAsia="ko-KR"/>
        </w:rPr>
        <w:t>de même que</w:t>
      </w:r>
      <w:r w:rsidR="00725DF6" w:rsidRPr="002715F2">
        <w:rPr>
          <w:rFonts w:eastAsia="Batang"/>
          <w:lang w:val="fr-FR" w:eastAsia="ko-KR"/>
        </w:rPr>
        <w:t xml:space="preserve"> l’organisation de réunions de groupe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12-2).</w:t>
      </w:r>
      <w:r w:rsidR="00725DF6" w:rsidRPr="002715F2">
        <w:rPr>
          <w:rFonts w:eastAsia="Batang"/>
          <w:lang w:val="fr-FR" w:eastAsia="ko-KR"/>
        </w:rPr>
        <w:t xml:space="preserve"> En outre, le Gouvernement encourage la coopération avec les pays dont les ressortissants contractent fréquemment des mariages internationaux avec des Coréens. Ainsi,</w:t>
      </w:r>
      <w:r w:rsidR="000078DA" w:rsidRPr="002715F2">
        <w:rPr>
          <w:rFonts w:eastAsia="Batang"/>
          <w:lang w:val="fr-FR" w:eastAsia="ko-KR"/>
        </w:rPr>
        <w:t xml:space="preserve"> </w:t>
      </w:r>
      <w:r w:rsidR="00725DF6" w:rsidRPr="002715F2">
        <w:rPr>
          <w:rFonts w:eastAsia="Batang"/>
          <w:lang w:val="fr-FR" w:eastAsia="ko-KR"/>
        </w:rPr>
        <w:t>il a établi un organe consultatif composé des ambassadeurs des principaux pays en poste en République de Corée</w:t>
      </w:r>
      <w:r w:rsidR="00E97B1A" w:rsidRPr="002715F2">
        <w:rPr>
          <w:rFonts w:eastAsia="Batang"/>
          <w:lang w:val="fr-FR" w:eastAsia="ko-KR"/>
        </w:rPr>
        <w:t>;</w:t>
      </w:r>
      <w:r w:rsidR="000078DA" w:rsidRPr="002715F2">
        <w:rPr>
          <w:rFonts w:eastAsia="Batang"/>
          <w:lang w:val="fr-FR" w:eastAsia="ko-KR"/>
        </w:rPr>
        <w:t xml:space="preserve"> </w:t>
      </w:r>
      <w:r w:rsidR="00725DF6" w:rsidRPr="002715F2">
        <w:rPr>
          <w:rFonts w:eastAsia="Batang"/>
          <w:lang w:val="fr-FR" w:eastAsia="ko-KR"/>
        </w:rPr>
        <w:t xml:space="preserve">désigné un fonctionnaire chargé des mariages </w:t>
      </w:r>
      <w:r w:rsidR="00377089" w:rsidRPr="002715F2">
        <w:rPr>
          <w:rFonts w:eastAsia="Batang"/>
          <w:lang w:val="fr-FR" w:eastAsia="ko-KR"/>
        </w:rPr>
        <w:t xml:space="preserve">internationaux avec le </w:t>
      </w:r>
      <w:r w:rsidR="00725DF6" w:rsidRPr="002715F2">
        <w:rPr>
          <w:rFonts w:eastAsia="Batang"/>
          <w:lang w:val="fr-FR" w:eastAsia="ko-KR"/>
        </w:rPr>
        <w:t>Vietnam</w:t>
      </w:r>
      <w:r w:rsidR="00E97B1A" w:rsidRPr="002715F2">
        <w:rPr>
          <w:rFonts w:eastAsia="Batang"/>
          <w:lang w:val="fr-FR" w:eastAsia="ko-KR"/>
        </w:rPr>
        <w:t>;</w:t>
      </w:r>
      <w:r w:rsidR="000078DA" w:rsidRPr="002715F2">
        <w:rPr>
          <w:rFonts w:eastAsia="Batang"/>
          <w:lang w:val="fr-FR" w:eastAsia="ko-KR"/>
        </w:rPr>
        <w:t xml:space="preserve"> </w:t>
      </w:r>
      <w:r w:rsidR="00725DF6" w:rsidRPr="002715F2">
        <w:rPr>
          <w:rFonts w:eastAsia="Batang"/>
          <w:lang w:val="fr-FR" w:eastAsia="ko-KR"/>
        </w:rPr>
        <w:t xml:space="preserve">et signé un </w:t>
      </w:r>
      <w:r w:rsidR="00B553A7" w:rsidRPr="002715F2">
        <w:rPr>
          <w:rFonts w:eastAsia="Batang"/>
          <w:lang w:val="fr-FR" w:eastAsia="ko-KR"/>
        </w:rPr>
        <w:t xml:space="preserve">mémorandum </w:t>
      </w:r>
      <w:r w:rsidR="00377089" w:rsidRPr="002715F2">
        <w:rPr>
          <w:rFonts w:eastAsia="Batang"/>
          <w:lang w:val="fr-FR" w:eastAsia="ko-KR"/>
        </w:rPr>
        <w:t xml:space="preserve">d’entente avec le </w:t>
      </w:r>
      <w:r w:rsidR="004F428C" w:rsidRPr="002715F2">
        <w:rPr>
          <w:rFonts w:eastAsia="Batang"/>
          <w:lang w:val="fr-FR" w:eastAsia="ko-KR"/>
        </w:rPr>
        <w:t xml:space="preserve">Vietnam </w:t>
      </w:r>
      <w:r w:rsidR="00725DF6" w:rsidRPr="002715F2">
        <w:rPr>
          <w:rFonts w:eastAsia="Batang"/>
          <w:lang w:val="fr-FR" w:eastAsia="ko-KR"/>
        </w:rPr>
        <w:t>en 2010 et les Philippines en 2011</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80.</w:t>
      </w:r>
      <w:r w:rsidRPr="002715F2">
        <w:rPr>
          <w:rFonts w:eastAsia="Batang"/>
          <w:lang w:val="fr-FR" w:eastAsia="ko-KR"/>
        </w:rPr>
        <w:tab/>
      </w:r>
      <w:r w:rsidR="003B2F15" w:rsidRPr="002715F2">
        <w:rPr>
          <w:rFonts w:eastAsia="Batang"/>
          <w:lang w:val="fr-FR" w:eastAsia="ko-KR"/>
        </w:rPr>
        <w:t>En ce qui concerne</w:t>
      </w:r>
      <w:r w:rsidR="00B95883" w:rsidRPr="002715F2">
        <w:rPr>
          <w:rFonts w:eastAsia="Batang"/>
          <w:lang w:val="fr-FR" w:eastAsia="ko-KR"/>
        </w:rPr>
        <w:t xml:space="preserve"> les retards de paiement des salaires et les violences dont sont victimes les </w:t>
      </w:r>
      <w:r w:rsidR="003B2F15" w:rsidRPr="002715F2">
        <w:rPr>
          <w:rFonts w:eastAsia="Batang"/>
          <w:lang w:val="fr-FR" w:eastAsia="ko-KR"/>
        </w:rPr>
        <w:t>équipages</w:t>
      </w:r>
      <w:r w:rsidR="00B95883" w:rsidRPr="002715F2">
        <w:rPr>
          <w:rFonts w:eastAsia="Batang"/>
          <w:lang w:val="fr-FR" w:eastAsia="ko-KR"/>
        </w:rPr>
        <w:t xml:space="preserve"> indonésiens employés sur les bateaux coréens en pêche au large des eaux de la Nouvelle-Zélande, le Gouvernement a </w:t>
      </w:r>
      <w:r w:rsidR="00377089" w:rsidRPr="002715F2">
        <w:rPr>
          <w:rFonts w:eastAsia="Batang"/>
          <w:lang w:val="fr-FR" w:eastAsia="ko-KR"/>
        </w:rPr>
        <w:t>entre autres</w:t>
      </w:r>
      <w:r w:rsidR="00B95883" w:rsidRPr="002715F2">
        <w:rPr>
          <w:rFonts w:eastAsia="Batang"/>
          <w:lang w:val="fr-FR" w:eastAsia="ko-KR"/>
        </w:rPr>
        <w:t xml:space="preserve"> mis en place un</w:t>
      </w:r>
      <w:r w:rsidR="00377089" w:rsidRPr="002715F2">
        <w:rPr>
          <w:rFonts w:eastAsia="Batang"/>
          <w:lang w:val="fr-FR" w:eastAsia="ko-KR"/>
        </w:rPr>
        <w:t xml:space="preserve">e équipe d’enquête mixte en </w:t>
      </w:r>
      <w:r w:rsidR="00984C16" w:rsidRPr="002715F2">
        <w:rPr>
          <w:rFonts w:eastAsia="Batang"/>
          <w:lang w:val="fr-FR" w:eastAsia="ko-KR"/>
        </w:rPr>
        <w:t xml:space="preserve">mai </w:t>
      </w:r>
      <w:r w:rsidR="00B95883" w:rsidRPr="002715F2">
        <w:rPr>
          <w:rFonts w:eastAsia="Batang"/>
          <w:lang w:val="fr-FR" w:eastAsia="ko-KR"/>
        </w:rPr>
        <w:t>2012 et mené une enquête approfondie en se rendant en Nouvelle-Zélande</w:t>
      </w:r>
      <w:r w:rsidR="000078DA" w:rsidRPr="002715F2">
        <w:rPr>
          <w:rFonts w:eastAsia="Batang"/>
          <w:lang w:val="fr-FR" w:eastAsia="ko-KR"/>
        </w:rPr>
        <w:t xml:space="preserve">. </w:t>
      </w:r>
      <w:r w:rsidR="00377089" w:rsidRPr="002715F2">
        <w:rPr>
          <w:rFonts w:eastAsia="Batang"/>
          <w:lang w:val="fr-FR" w:eastAsia="ko-KR"/>
        </w:rPr>
        <w:t>En conséquence, cinq C</w:t>
      </w:r>
      <w:r w:rsidR="003B2F15" w:rsidRPr="002715F2">
        <w:rPr>
          <w:rFonts w:eastAsia="Batang"/>
          <w:lang w:val="fr-FR" w:eastAsia="ko-KR"/>
        </w:rPr>
        <w:t>oréens soupçonnés d’avoir agressé des marins étrangers ont été déférés devant le parquet</w:t>
      </w:r>
      <w:r w:rsidR="000078DA" w:rsidRPr="002715F2">
        <w:rPr>
          <w:rFonts w:eastAsia="Batang"/>
          <w:lang w:val="fr-FR" w:eastAsia="ko-KR"/>
        </w:rPr>
        <w:t xml:space="preserve">. </w:t>
      </w:r>
      <w:r w:rsidR="003B2F15" w:rsidRPr="002715F2">
        <w:rPr>
          <w:rFonts w:eastAsia="Batang"/>
          <w:lang w:val="fr-FR" w:eastAsia="ko-KR"/>
        </w:rPr>
        <w:t>Il a été constaté que les salaires n’avaient pas été payés en totalité</w:t>
      </w:r>
      <w:r w:rsidR="00E97B1A" w:rsidRPr="002715F2">
        <w:rPr>
          <w:rFonts w:eastAsia="Batang"/>
          <w:lang w:val="fr-FR" w:eastAsia="ko-KR"/>
        </w:rPr>
        <w:t>;</w:t>
      </w:r>
      <w:r w:rsidR="003B2F15" w:rsidRPr="002715F2">
        <w:rPr>
          <w:rFonts w:eastAsia="Batang"/>
          <w:lang w:val="fr-FR" w:eastAsia="ko-KR"/>
        </w:rPr>
        <w:t xml:space="preserve"> </w:t>
      </w:r>
      <w:r w:rsidR="00FF78BD" w:rsidRPr="002715F2">
        <w:rPr>
          <w:rFonts w:eastAsia="Batang"/>
          <w:lang w:val="fr-FR" w:eastAsia="ko-KR"/>
        </w:rPr>
        <w:t xml:space="preserve">le </w:t>
      </w:r>
      <w:r w:rsidR="003B2F15" w:rsidRPr="002715F2">
        <w:rPr>
          <w:rFonts w:eastAsia="Batang"/>
          <w:lang w:val="fr-FR" w:eastAsia="ko-KR"/>
        </w:rPr>
        <w:t xml:space="preserve">propriétaire a </w:t>
      </w:r>
      <w:r w:rsidR="00FF78BD" w:rsidRPr="002715F2">
        <w:rPr>
          <w:rFonts w:eastAsia="Batang"/>
          <w:lang w:val="fr-FR" w:eastAsia="ko-KR"/>
        </w:rPr>
        <w:t xml:space="preserve">donc </w:t>
      </w:r>
      <w:r w:rsidR="003B2F15" w:rsidRPr="002715F2">
        <w:rPr>
          <w:rFonts w:eastAsia="Batang"/>
          <w:lang w:val="fr-FR" w:eastAsia="ko-KR"/>
        </w:rPr>
        <w:t xml:space="preserve">été condamné à verser la somme </w:t>
      </w:r>
      <w:r w:rsidR="00FF78BD" w:rsidRPr="002715F2">
        <w:rPr>
          <w:rFonts w:eastAsia="Batang"/>
          <w:lang w:val="fr-FR" w:eastAsia="ko-KR"/>
        </w:rPr>
        <w:t>prévue</w:t>
      </w:r>
      <w:r w:rsidR="003B2F15" w:rsidRPr="002715F2">
        <w:rPr>
          <w:rFonts w:eastAsia="Batang"/>
          <w:lang w:val="fr-FR" w:eastAsia="ko-KR"/>
        </w:rPr>
        <w:t xml:space="preserve"> au contrat</w:t>
      </w:r>
      <w:r w:rsidR="000078DA" w:rsidRPr="002715F2">
        <w:rPr>
          <w:rFonts w:eastAsia="Batang"/>
          <w:lang w:val="fr-FR" w:eastAsia="ko-KR"/>
        </w:rPr>
        <w:t xml:space="preserve">. </w:t>
      </w:r>
      <w:r w:rsidR="003B2F15" w:rsidRPr="002715F2">
        <w:rPr>
          <w:rFonts w:eastAsia="Batang"/>
          <w:lang w:val="fr-FR" w:eastAsia="ko-KR"/>
        </w:rPr>
        <w:t>D</w:t>
      </w:r>
      <w:r w:rsidR="00FF78BD" w:rsidRPr="002715F2">
        <w:rPr>
          <w:rFonts w:eastAsia="Batang"/>
          <w:lang w:val="fr-FR" w:eastAsia="ko-KR"/>
        </w:rPr>
        <w:t xml:space="preserve">es mesures </w:t>
      </w:r>
      <w:r w:rsidR="005A2E92" w:rsidRPr="002715F2">
        <w:rPr>
          <w:rFonts w:eastAsia="Batang"/>
          <w:lang w:val="fr-FR" w:eastAsia="ko-KR"/>
        </w:rPr>
        <w:t>globales</w:t>
      </w:r>
      <w:r w:rsidR="00FF78BD" w:rsidRPr="002715F2">
        <w:rPr>
          <w:rFonts w:eastAsia="Batang"/>
          <w:lang w:val="fr-FR" w:eastAsia="ko-KR"/>
        </w:rPr>
        <w:t xml:space="preserve"> pour </w:t>
      </w:r>
      <w:r w:rsidR="003B2F15" w:rsidRPr="002715F2">
        <w:rPr>
          <w:rFonts w:eastAsia="Batang"/>
          <w:lang w:val="fr-FR" w:eastAsia="ko-KR"/>
        </w:rPr>
        <w:t>amélior</w:t>
      </w:r>
      <w:r w:rsidR="00FF78BD" w:rsidRPr="002715F2">
        <w:rPr>
          <w:rFonts w:eastAsia="Batang"/>
          <w:lang w:val="fr-FR" w:eastAsia="ko-KR"/>
        </w:rPr>
        <w:t>er</w:t>
      </w:r>
      <w:r w:rsidR="001B54BD" w:rsidRPr="002715F2">
        <w:rPr>
          <w:rFonts w:eastAsia="Batang"/>
          <w:lang w:val="fr-FR" w:eastAsia="ko-KR"/>
        </w:rPr>
        <w:t xml:space="preserve"> l</w:t>
      </w:r>
      <w:r w:rsidR="003B2F15" w:rsidRPr="002715F2">
        <w:rPr>
          <w:rFonts w:eastAsia="Batang"/>
          <w:lang w:val="fr-FR" w:eastAsia="ko-KR"/>
        </w:rPr>
        <w:t xml:space="preserve">es conditions de travail et </w:t>
      </w:r>
      <w:r w:rsidR="00FF78BD" w:rsidRPr="002715F2">
        <w:rPr>
          <w:rFonts w:eastAsia="Batang"/>
          <w:lang w:val="fr-FR" w:eastAsia="ko-KR"/>
        </w:rPr>
        <w:t>l</w:t>
      </w:r>
      <w:r w:rsidR="003B2F15" w:rsidRPr="002715F2">
        <w:rPr>
          <w:rFonts w:eastAsia="Batang"/>
          <w:lang w:val="fr-FR" w:eastAsia="ko-KR"/>
        </w:rPr>
        <w:t>es droits des marins étrangers</w:t>
      </w:r>
      <w:r w:rsidR="00377089" w:rsidRPr="002715F2">
        <w:rPr>
          <w:rFonts w:eastAsia="Batang"/>
          <w:lang w:val="fr-FR" w:eastAsia="ko-KR"/>
        </w:rPr>
        <w:t xml:space="preserve"> ont été</w:t>
      </w:r>
      <w:r w:rsidR="003B2F15" w:rsidRPr="002715F2">
        <w:rPr>
          <w:rFonts w:eastAsia="Batang"/>
          <w:lang w:val="fr-FR" w:eastAsia="ko-KR"/>
        </w:rPr>
        <w:t xml:space="preserve"> </w:t>
      </w:r>
      <w:r w:rsidR="001B54BD" w:rsidRPr="002715F2">
        <w:rPr>
          <w:rFonts w:eastAsia="Batang"/>
          <w:lang w:val="fr-FR" w:eastAsia="ko-KR"/>
        </w:rPr>
        <w:t>élaborées</w:t>
      </w:r>
      <w:r w:rsidR="003B2F15" w:rsidRPr="002715F2">
        <w:rPr>
          <w:rFonts w:eastAsia="Batang"/>
          <w:lang w:val="fr-FR" w:eastAsia="ko-KR"/>
        </w:rPr>
        <w:t xml:space="preserve"> </w:t>
      </w:r>
      <w:r w:rsidR="00FF78BD" w:rsidRPr="002715F2">
        <w:rPr>
          <w:rFonts w:eastAsia="Batang"/>
          <w:lang w:val="fr-FR" w:eastAsia="ko-KR"/>
        </w:rPr>
        <w:t>sur la base de</w:t>
      </w:r>
      <w:r w:rsidR="00933D17" w:rsidRPr="002715F2">
        <w:rPr>
          <w:rFonts w:eastAsia="Batang"/>
          <w:lang w:val="fr-FR" w:eastAsia="ko-KR"/>
        </w:rPr>
        <w:t>s résultats de</w:t>
      </w:r>
      <w:r w:rsidR="003B2F15" w:rsidRPr="002715F2">
        <w:rPr>
          <w:rFonts w:eastAsia="Batang"/>
          <w:lang w:val="fr-FR" w:eastAsia="ko-KR"/>
        </w:rPr>
        <w:t xml:space="preserve"> l’enquête susmentionnée</w:t>
      </w:r>
      <w:r w:rsidR="00377089" w:rsidRPr="002715F2">
        <w:rPr>
          <w:rFonts w:eastAsia="Batang"/>
          <w:lang w:val="fr-FR" w:eastAsia="ko-KR"/>
        </w:rPr>
        <w:t>. Ces mesures</w:t>
      </w:r>
      <w:r w:rsidR="003B2F15" w:rsidRPr="002715F2">
        <w:rPr>
          <w:rFonts w:eastAsia="Batang"/>
          <w:lang w:val="fr-FR" w:eastAsia="ko-KR"/>
        </w:rPr>
        <w:t xml:space="preserve"> </w:t>
      </w:r>
      <w:r w:rsidR="00377089" w:rsidRPr="002715F2">
        <w:rPr>
          <w:rFonts w:eastAsia="Batang"/>
          <w:lang w:val="fr-FR" w:eastAsia="ko-KR"/>
        </w:rPr>
        <w:t>ont ensuite été</w:t>
      </w:r>
      <w:r w:rsidR="003B2F15" w:rsidRPr="002715F2">
        <w:rPr>
          <w:rFonts w:eastAsia="Batang"/>
          <w:lang w:val="fr-FR" w:eastAsia="ko-KR"/>
        </w:rPr>
        <w:t xml:space="preserve"> confirmées </w:t>
      </w:r>
      <w:r w:rsidR="00377089" w:rsidRPr="002715F2">
        <w:rPr>
          <w:rFonts w:eastAsia="Batang"/>
          <w:lang w:val="fr-FR" w:eastAsia="ko-KR"/>
        </w:rPr>
        <w:t xml:space="preserve">en </w:t>
      </w:r>
      <w:r w:rsidR="004F428C" w:rsidRPr="002715F2">
        <w:rPr>
          <w:rFonts w:eastAsia="Batang"/>
          <w:lang w:val="fr-FR" w:eastAsia="ko-KR"/>
        </w:rPr>
        <w:t xml:space="preserve">septembre </w:t>
      </w:r>
      <w:r w:rsidR="00377089" w:rsidRPr="002715F2">
        <w:rPr>
          <w:rFonts w:eastAsia="Batang"/>
          <w:lang w:val="fr-FR" w:eastAsia="ko-KR"/>
        </w:rPr>
        <w:t xml:space="preserve">2012 </w:t>
      </w:r>
      <w:r w:rsidR="00FF78BD" w:rsidRPr="002715F2">
        <w:rPr>
          <w:rFonts w:eastAsia="Batang"/>
          <w:lang w:val="fr-FR" w:eastAsia="ko-KR"/>
        </w:rPr>
        <w:t>au Conseil</w:t>
      </w:r>
      <w:r w:rsidR="003B2F15" w:rsidRPr="002715F2">
        <w:rPr>
          <w:rFonts w:eastAsia="Batang"/>
          <w:lang w:val="fr-FR" w:eastAsia="ko-KR"/>
        </w:rPr>
        <w:t xml:space="preserve"> des ministres </w:t>
      </w:r>
      <w:r w:rsidR="001B54BD" w:rsidRPr="002715F2">
        <w:rPr>
          <w:rFonts w:eastAsia="Batang"/>
          <w:lang w:val="fr-FR" w:eastAsia="ko-KR"/>
        </w:rPr>
        <w:t xml:space="preserve">tenu et présidé par le Premier </w:t>
      </w:r>
      <w:r w:rsidR="004F428C" w:rsidRPr="002715F2">
        <w:rPr>
          <w:rFonts w:eastAsia="Batang"/>
          <w:lang w:val="fr-FR" w:eastAsia="ko-KR"/>
        </w:rPr>
        <w:t xml:space="preserve">Ministre </w:t>
      </w:r>
      <w:r w:rsidR="00FF78BD" w:rsidRPr="002715F2">
        <w:rPr>
          <w:rFonts w:eastAsia="Batang"/>
          <w:lang w:val="fr-FR" w:eastAsia="ko-KR"/>
        </w:rPr>
        <w:t>pour</w:t>
      </w:r>
      <w:r w:rsidR="003B2F15" w:rsidRPr="002715F2">
        <w:rPr>
          <w:rFonts w:eastAsia="Batang"/>
          <w:lang w:val="fr-FR" w:eastAsia="ko-KR"/>
        </w:rPr>
        <w:t xml:space="preserve"> coordonner les politiques de</w:t>
      </w:r>
      <w:r w:rsidR="00377089" w:rsidRPr="002715F2">
        <w:rPr>
          <w:rFonts w:eastAsia="Batang"/>
          <w:lang w:val="fr-FR" w:eastAsia="ko-KR"/>
        </w:rPr>
        <w:t>s</w:t>
      </w:r>
      <w:r w:rsidR="003B2F15" w:rsidRPr="002715F2">
        <w:rPr>
          <w:rFonts w:eastAsia="Batang"/>
          <w:lang w:val="fr-FR" w:eastAsia="ko-KR"/>
        </w:rPr>
        <w:t xml:space="preserve"> </w:t>
      </w:r>
      <w:r w:rsidR="000D4C71" w:rsidRPr="002715F2">
        <w:rPr>
          <w:rFonts w:eastAsia="Batang"/>
          <w:lang w:val="fr-FR" w:eastAsia="ko-KR"/>
        </w:rPr>
        <w:t>m</w:t>
      </w:r>
      <w:r w:rsidR="003B2F15" w:rsidRPr="002715F2">
        <w:rPr>
          <w:rFonts w:eastAsia="Batang"/>
          <w:lang w:val="fr-FR" w:eastAsia="ko-KR"/>
        </w:rPr>
        <w:t xml:space="preserve">inistères et </w:t>
      </w:r>
      <w:r w:rsidR="00FF78BD" w:rsidRPr="002715F2">
        <w:rPr>
          <w:rFonts w:eastAsia="Batang"/>
          <w:lang w:val="fr-FR" w:eastAsia="ko-KR"/>
        </w:rPr>
        <w:t xml:space="preserve">des </w:t>
      </w:r>
      <w:r w:rsidR="003B2F15" w:rsidRPr="002715F2">
        <w:rPr>
          <w:rFonts w:eastAsia="Batang"/>
          <w:lang w:val="fr-FR" w:eastAsia="ko-KR"/>
        </w:rPr>
        <w:t xml:space="preserve">agences </w:t>
      </w:r>
      <w:r w:rsidR="001B54BD" w:rsidRPr="002715F2">
        <w:rPr>
          <w:rFonts w:eastAsia="Batang"/>
          <w:lang w:val="fr-FR" w:eastAsia="ko-KR"/>
        </w:rPr>
        <w:t>gouvernementales</w:t>
      </w:r>
      <w:r w:rsidR="000078DA" w:rsidRPr="002715F2">
        <w:rPr>
          <w:rFonts w:eastAsia="Batang"/>
          <w:lang w:val="fr-FR" w:eastAsia="ko-KR"/>
        </w:rPr>
        <w:t xml:space="preserve">. </w:t>
      </w:r>
      <w:r w:rsidR="003B2F15" w:rsidRPr="002715F2">
        <w:rPr>
          <w:rFonts w:eastAsia="Batang"/>
          <w:lang w:val="fr-FR" w:eastAsia="ko-KR"/>
        </w:rPr>
        <w:t>Les suspects dans l’affaire précitée ont nié les accusations d’agression, et les victimes sont retournées en Indonésie</w:t>
      </w:r>
      <w:r w:rsidR="000078DA" w:rsidRPr="002715F2">
        <w:rPr>
          <w:rFonts w:eastAsia="Batang"/>
          <w:lang w:val="fr-FR" w:eastAsia="ko-KR"/>
        </w:rPr>
        <w:t xml:space="preserve">. </w:t>
      </w:r>
      <w:r w:rsidR="00FF78BD" w:rsidRPr="002715F2">
        <w:rPr>
          <w:rFonts w:eastAsia="Batang"/>
          <w:lang w:val="fr-FR" w:eastAsia="ko-KR"/>
        </w:rPr>
        <w:t xml:space="preserve">Dans ce contexte, le Gouvernement a </w:t>
      </w:r>
      <w:r w:rsidR="002E65A1" w:rsidRPr="002715F2">
        <w:rPr>
          <w:rFonts w:eastAsia="Batang"/>
          <w:lang w:val="fr-FR" w:eastAsia="ko-KR"/>
        </w:rPr>
        <w:t>adressé une demande d’</w:t>
      </w:r>
      <w:r w:rsidR="00FF78BD" w:rsidRPr="002715F2">
        <w:rPr>
          <w:rFonts w:eastAsia="Batang"/>
          <w:lang w:val="fr-FR" w:eastAsia="ko-KR"/>
        </w:rPr>
        <w:t xml:space="preserve">entraide judiciaire en matière pénale </w:t>
      </w:r>
      <w:r w:rsidR="002E65A1" w:rsidRPr="002715F2">
        <w:rPr>
          <w:rFonts w:eastAsia="Batang"/>
          <w:lang w:val="fr-FR" w:eastAsia="ko-KR"/>
        </w:rPr>
        <w:t xml:space="preserve">aux </w:t>
      </w:r>
      <w:r w:rsidR="00FF78BD" w:rsidRPr="002715F2">
        <w:rPr>
          <w:rFonts w:eastAsia="Batang"/>
          <w:lang w:val="fr-FR" w:eastAsia="ko-KR"/>
        </w:rPr>
        <w:t>autorité</w:t>
      </w:r>
      <w:r w:rsidR="002E65A1" w:rsidRPr="002715F2">
        <w:rPr>
          <w:rFonts w:eastAsia="Batang"/>
          <w:lang w:val="fr-FR" w:eastAsia="ko-KR"/>
        </w:rPr>
        <w:t>s</w:t>
      </w:r>
      <w:r w:rsidR="00FF78BD" w:rsidRPr="002715F2">
        <w:rPr>
          <w:rFonts w:eastAsia="Batang"/>
          <w:lang w:val="fr-FR" w:eastAsia="ko-KR"/>
        </w:rPr>
        <w:t xml:space="preserve"> judiciaire</w:t>
      </w:r>
      <w:r w:rsidR="002E65A1" w:rsidRPr="002715F2">
        <w:rPr>
          <w:rFonts w:eastAsia="Batang"/>
          <w:lang w:val="fr-FR" w:eastAsia="ko-KR"/>
        </w:rPr>
        <w:t>s</w:t>
      </w:r>
      <w:r w:rsidR="00FF78BD" w:rsidRPr="002715F2">
        <w:rPr>
          <w:rFonts w:eastAsia="Batang"/>
          <w:lang w:val="fr-FR" w:eastAsia="ko-KR"/>
        </w:rPr>
        <w:t xml:space="preserve"> indonésienne</w:t>
      </w:r>
      <w:r w:rsidR="002E65A1" w:rsidRPr="002715F2">
        <w:rPr>
          <w:rFonts w:eastAsia="Batang"/>
          <w:lang w:val="fr-FR" w:eastAsia="ko-KR"/>
        </w:rPr>
        <w:t>s</w:t>
      </w:r>
      <w:r w:rsidR="00FF78BD" w:rsidRPr="002715F2">
        <w:rPr>
          <w:rFonts w:eastAsia="Batang"/>
          <w:lang w:val="fr-FR" w:eastAsia="ko-KR"/>
        </w:rPr>
        <w:t xml:space="preserve"> afin de clarifier le sort des victimes</w:t>
      </w:r>
      <w:r w:rsidR="002E65A1" w:rsidRPr="002715F2">
        <w:rPr>
          <w:rFonts w:eastAsia="Batang"/>
          <w:lang w:val="fr-FR" w:eastAsia="ko-KR"/>
        </w:rPr>
        <w:t>,</w:t>
      </w:r>
      <w:r w:rsidR="00FF78BD" w:rsidRPr="002715F2">
        <w:rPr>
          <w:rFonts w:eastAsia="Batang"/>
          <w:lang w:val="fr-FR" w:eastAsia="ko-KR"/>
        </w:rPr>
        <w:t xml:space="preserve"> et le procureur a </w:t>
      </w:r>
      <w:r w:rsidR="002E65A1" w:rsidRPr="002715F2">
        <w:rPr>
          <w:rFonts w:eastAsia="Batang"/>
          <w:lang w:val="fr-FR" w:eastAsia="ko-KR"/>
        </w:rPr>
        <w:t xml:space="preserve">suspendu les </w:t>
      </w:r>
      <w:r w:rsidR="00FF78BD" w:rsidRPr="002715F2">
        <w:rPr>
          <w:rFonts w:eastAsia="Batang"/>
          <w:lang w:val="fr-FR" w:eastAsia="ko-KR"/>
        </w:rPr>
        <w:t>poursuites pour une période limitée</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81.</w:t>
      </w:r>
      <w:r w:rsidRPr="002715F2">
        <w:rPr>
          <w:rFonts w:eastAsia="Batang"/>
          <w:lang w:val="fr-FR" w:eastAsia="ko-KR"/>
        </w:rPr>
        <w:tab/>
      </w:r>
      <w:r w:rsidR="00947E2F" w:rsidRPr="002715F2">
        <w:rPr>
          <w:rFonts w:eastAsia="Batang" w:cs="Gulim"/>
          <w:lang w:val="fr-FR" w:eastAsia="ko-KR"/>
        </w:rPr>
        <w:t>Le Gouvernement a modifié le Code pénal et criminalisé la traite des êtres humains le 5 avril 2013 e</w:t>
      </w:r>
      <w:r w:rsidR="004D5B01" w:rsidRPr="002715F2">
        <w:rPr>
          <w:rFonts w:eastAsia="Batang" w:cs="Gulim"/>
          <w:lang w:val="fr-FR" w:eastAsia="ko-KR"/>
        </w:rPr>
        <w:t>n vue de</w:t>
      </w:r>
      <w:r w:rsidR="002E65A1" w:rsidRPr="002715F2">
        <w:rPr>
          <w:rFonts w:eastAsia="Batang" w:cs="Gulim"/>
          <w:lang w:val="fr-FR" w:eastAsia="ko-KR"/>
        </w:rPr>
        <w:t xml:space="preserve"> </w:t>
      </w:r>
      <w:r w:rsidR="00947E2F" w:rsidRPr="002715F2">
        <w:rPr>
          <w:rFonts w:eastAsia="Batang" w:cs="Gulim"/>
          <w:lang w:val="fr-FR" w:eastAsia="ko-KR"/>
        </w:rPr>
        <w:t xml:space="preserve">la </w:t>
      </w:r>
      <w:r w:rsidR="002E65A1" w:rsidRPr="002715F2">
        <w:rPr>
          <w:rFonts w:eastAsia="Batang" w:cs="Gulim"/>
          <w:lang w:val="fr-FR" w:eastAsia="ko-KR"/>
        </w:rPr>
        <w:t>ratifi</w:t>
      </w:r>
      <w:r w:rsidR="00947E2F" w:rsidRPr="002715F2">
        <w:rPr>
          <w:rFonts w:eastAsia="Batang" w:cs="Gulim"/>
          <w:lang w:val="fr-FR" w:eastAsia="ko-KR"/>
        </w:rPr>
        <w:t>cation de</w:t>
      </w:r>
      <w:r w:rsidR="002E65A1" w:rsidRPr="002715F2">
        <w:rPr>
          <w:rFonts w:eastAsia="Batang" w:cs="Gulim"/>
          <w:lang w:val="fr-FR" w:eastAsia="ko-KR"/>
        </w:rPr>
        <w:t xml:space="preserve"> la Convention des Nations Unies contre la criminalité transnationale organisée et </w:t>
      </w:r>
      <w:r w:rsidR="00947E2F" w:rsidRPr="002715F2">
        <w:rPr>
          <w:rFonts w:eastAsia="Batang" w:cs="Gulim"/>
          <w:lang w:val="fr-FR" w:eastAsia="ko-KR"/>
        </w:rPr>
        <w:t xml:space="preserve">de </w:t>
      </w:r>
      <w:r w:rsidR="00947E2F" w:rsidRPr="002715F2">
        <w:rPr>
          <w:lang w:val="fr-FR"/>
        </w:rPr>
        <w:t>son Protocole visant à prévenir, réprimer et punir la traite des personnes, en particulier des femmes et des enfants</w:t>
      </w:r>
      <w:r w:rsidR="000078DA" w:rsidRPr="002715F2">
        <w:rPr>
          <w:rFonts w:eastAsia="Batang" w:cs="Gulim"/>
          <w:lang w:val="fr-FR" w:eastAsia="ko-KR"/>
        </w:rPr>
        <w:t xml:space="preserve">. </w:t>
      </w:r>
      <w:r w:rsidR="00947E2F" w:rsidRPr="002715F2">
        <w:rPr>
          <w:rFonts w:eastAsia="Batang" w:cs="Gulim"/>
          <w:lang w:val="fr-FR" w:eastAsia="ko-KR"/>
        </w:rPr>
        <w:t>Quiconque</w:t>
      </w:r>
      <w:r w:rsidR="002E65A1" w:rsidRPr="002715F2">
        <w:rPr>
          <w:rFonts w:eastAsia="Batang" w:cs="Gulim"/>
          <w:lang w:val="fr-FR" w:eastAsia="ko-KR"/>
        </w:rPr>
        <w:t xml:space="preserve"> achète ou vend une personne </w:t>
      </w:r>
      <w:r w:rsidR="00947E2F" w:rsidRPr="002715F2">
        <w:rPr>
          <w:rFonts w:eastAsia="Batang" w:cs="Gulim"/>
          <w:lang w:val="fr-FR" w:eastAsia="ko-KR"/>
        </w:rPr>
        <w:t>sera punie</w:t>
      </w:r>
      <w:r w:rsidR="002E65A1" w:rsidRPr="002715F2">
        <w:rPr>
          <w:rFonts w:eastAsia="Batang" w:cs="Gulim"/>
          <w:lang w:val="fr-FR" w:eastAsia="ko-KR"/>
        </w:rPr>
        <w:t xml:space="preserve"> d’une</w:t>
      </w:r>
      <w:r w:rsidR="00947E2F" w:rsidRPr="002715F2">
        <w:rPr>
          <w:rFonts w:eastAsia="Batang" w:cs="Gulim"/>
          <w:lang w:val="fr-FR" w:eastAsia="ko-KR"/>
        </w:rPr>
        <w:t xml:space="preserve"> peine d’emprisonnement de sept </w:t>
      </w:r>
      <w:r w:rsidR="002E65A1" w:rsidRPr="002715F2">
        <w:rPr>
          <w:rFonts w:eastAsia="Batang" w:cs="Gulim"/>
          <w:lang w:val="fr-FR" w:eastAsia="ko-KR"/>
        </w:rPr>
        <w:t>ans maximum</w:t>
      </w:r>
      <w:r w:rsidR="000078DA" w:rsidRPr="002715F2">
        <w:rPr>
          <w:rFonts w:eastAsia="Batang" w:cs="Gulim"/>
          <w:lang w:val="fr-FR" w:eastAsia="ko-KR"/>
        </w:rPr>
        <w:t xml:space="preserve">. </w:t>
      </w:r>
      <w:r w:rsidR="00947E2F" w:rsidRPr="002715F2">
        <w:rPr>
          <w:rFonts w:eastAsia="Batang" w:cs="Gulim"/>
          <w:lang w:val="fr-FR" w:eastAsia="ko-KR"/>
        </w:rPr>
        <w:t>Quiconque</w:t>
      </w:r>
      <w:r w:rsidR="002E65A1" w:rsidRPr="002715F2">
        <w:rPr>
          <w:rFonts w:eastAsia="Batang" w:cs="Gulim"/>
          <w:lang w:val="fr-FR" w:eastAsia="ko-KR"/>
        </w:rPr>
        <w:t xml:space="preserve"> achète ou vend </w:t>
      </w:r>
      <w:r w:rsidR="00947E2F" w:rsidRPr="002715F2">
        <w:rPr>
          <w:rFonts w:eastAsia="Batang" w:cs="Gulim"/>
          <w:lang w:val="fr-FR" w:eastAsia="ko-KR"/>
        </w:rPr>
        <w:t>une personne</w:t>
      </w:r>
      <w:r w:rsidR="002E65A1" w:rsidRPr="002715F2">
        <w:rPr>
          <w:rFonts w:eastAsia="Batang" w:cs="Gulim"/>
          <w:lang w:val="fr-FR" w:eastAsia="ko-KR"/>
        </w:rPr>
        <w:t xml:space="preserve"> </w:t>
      </w:r>
      <w:r w:rsidR="00947E2F" w:rsidRPr="002715F2">
        <w:rPr>
          <w:rFonts w:eastAsia="Batang" w:cs="Gulim"/>
          <w:lang w:val="fr-FR" w:eastAsia="ko-KR"/>
        </w:rPr>
        <w:t>aux fins</w:t>
      </w:r>
      <w:r w:rsidR="002E65A1" w:rsidRPr="002715F2">
        <w:rPr>
          <w:rFonts w:eastAsia="Batang" w:cs="Gulim"/>
          <w:lang w:val="fr-FR" w:eastAsia="ko-KR"/>
        </w:rPr>
        <w:t xml:space="preserve"> de lui imposer un acte </w:t>
      </w:r>
      <w:r w:rsidR="005C6D8E" w:rsidRPr="002715F2">
        <w:rPr>
          <w:rFonts w:eastAsia="Batang" w:cs="Gulim"/>
          <w:lang w:val="fr-FR" w:eastAsia="ko-KR"/>
        </w:rPr>
        <w:t>indécent</w:t>
      </w:r>
      <w:r w:rsidR="002E65A1" w:rsidRPr="002715F2">
        <w:rPr>
          <w:rFonts w:eastAsia="Batang" w:cs="Gulim"/>
          <w:lang w:val="fr-FR" w:eastAsia="ko-KR"/>
        </w:rPr>
        <w:t xml:space="preserve">, un rapport sexuel ou un mariage, ou </w:t>
      </w:r>
      <w:r w:rsidR="00947E2F" w:rsidRPr="002715F2">
        <w:rPr>
          <w:rFonts w:eastAsia="Batang" w:cs="Gulim"/>
          <w:lang w:val="fr-FR" w:eastAsia="ko-KR"/>
        </w:rPr>
        <w:t>dans un but lucratif</w:t>
      </w:r>
      <w:r w:rsidR="002E65A1" w:rsidRPr="002715F2">
        <w:rPr>
          <w:rFonts w:eastAsia="Batang" w:cs="Gulim"/>
          <w:lang w:val="fr-FR" w:eastAsia="ko-KR"/>
        </w:rPr>
        <w:t xml:space="preserve">, </w:t>
      </w:r>
      <w:r w:rsidR="00947E2F" w:rsidRPr="002715F2">
        <w:rPr>
          <w:rFonts w:eastAsia="Batang" w:cs="Gulim"/>
          <w:lang w:val="fr-FR" w:eastAsia="ko-KR"/>
        </w:rPr>
        <w:t>sera</w:t>
      </w:r>
      <w:r w:rsidR="002E65A1" w:rsidRPr="002715F2">
        <w:rPr>
          <w:rFonts w:eastAsia="Batang" w:cs="Gulim"/>
          <w:lang w:val="fr-FR" w:eastAsia="ko-KR"/>
        </w:rPr>
        <w:t xml:space="preserve"> passible d’un</w:t>
      </w:r>
      <w:r w:rsidR="00947E2F" w:rsidRPr="002715F2">
        <w:rPr>
          <w:rFonts w:eastAsia="Batang" w:cs="Gulim"/>
          <w:lang w:val="fr-FR" w:eastAsia="ko-KR"/>
        </w:rPr>
        <w:t>e peine d’emprisonnement de dix </w:t>
      </w:r>
      <w:r w:rsidR="002E65A1" w:rsidRPr="002715F2">
        <w:rPr>
          <w:rFonts w:eastAsia="Batang" w:cs="Gulim"/>
          <w:lang w:val="fr-FR" w:eastAsia="ko-KR"/>
        </w:rPr>
        <w:t>ans maximum</w:t>
      </w:r>
      <w:r w:rsidR="000078DA" w:rsidRPr="002715F2">
        <w:rPr>
          <w:rFonts w:eastAsia="Batang" w:cs="Gulim"/>
          <w:lang w:val="fr-FR" w:eastAsia="ko-KR"/>
        </w:rPr>
        <w:t xml:space="preserve">. </w:t>
      </w:r>
      <w:r w:rsidR="00947E2F" w:rsidRPr="002715F2">
        <w:rPr>
          <w:rFonts w:eastAsia="Batang" w:cs="Gulim"/>
          <w:lang w:val="fr-FR" w:eastAsia="ko-KR"/>
        </w:rPr>
        <w:t xml:space="preserve">Quiconque </w:t>
      </w:r>
      <w:r w:rsidR="002E65A1" w:rsidRPr="002715F2">
        <w:rPr>
          <w:rFonts w:eastAsia="Batang" w:cs="Gulim"/>
          <w:lang w:val="fr-FR" w:eastAsia="ko-KR"/>
        </w:rPr>
        <w:t xml:space="preserve">achète ou vend une personne à des fins </w:t>
      </w:r>
      <w:r w:rsidR="00947E2F" w:rsidRPr="002715F2">
        <w:rPr>
          <w:rFonts w:eastAsia="Batang" w:cs="Gulim"/>
          <w:lang w:val="fr-FR" w:eastAsia="ko-KR"/>
        </w:rPr>
        <w:t>de travail</w:t>
      </w:r>
      <w:r w:rsidR="002E65A1" w:rsidRPr="002715F2">
        <w:rPr>
          <w:rFonts w:eastAsia="Batang" w:cs="Gulim"/>
          <w:lang w:val="fr-FR" w:eastAsia="ko-KR"/>
        </w:rPr>
        <w:t xml:space="preserve"> </w:t>
      </w:r>
      <w:r w:rsidR="00947E2F" w:rsidRPr="002715F2">
        <w:rPr>
          <w:rFonts w:eastAsia="Batang" w:cs="Gulim"/>
          <w:lang w:val="fr-FR" w:eastAsia="ko-KR"/>
        </w:rPr>
        <w:t>forcé</w:t>
      </w:r>
      <w:r w:rsidR="002E65A1" w:rsidRPr="002715F2">
        <w:rPr>
          <w:rFonts w:eastAsia="Batang" w:cs="Gulim"/>
          <w:lang w:val="fr-FR" w:eastAsia="ko-KR"/>
        </w:rPr>
        <w:t xml:space="preserve">, de </w:t>
      </w:r>
      <w:r w:rsidR="00947E2F" w:rsidRPr="002715F2">
        <w:rPr>
          <w:rFonts w:eastAsia="Batang" w:cs="Gulim"/>
          <w:lang w:val="fr-FR" w:eastAsia="ko-KR"/>
        </w:rPr>
        <w:t>commerce</w:t>
      </w:r>
      <w:r w:rsidR="002E65A1" w:rsidRPr="002715F2">
        <w:rPr>
          <w:rFonts w:eastAsia="Batang" w:cs="Gulim"/>
          <w:lang w:val="fr-FR" w:eastAsia="ko-KR"/>
        </w:rPr>
        <w:t xml:space="preserve"> sexuel, d’exploitation sexuelle ou de </w:t>
      </w:r>
      <w:r w:rsidR="00947E2F" w:rsidRPr="002715F2">
        <w:rPr>
          <w:rFonts w:eastAsia="Batang" w:cs="Gulim"/>
          <w:lang w:val="fr-FR" w:eastAsia="ko-KR"/>
        </w:rPr>
        <w:t>vol</w:t>
      </w:r>
      <w:r w:rsidR="002E65A1" w:rsidRPr="002715F2">
        <w:rPr>
          <w:rFonts w:eastAsia="Batang" w:cs="Gulim"/>
          <w:lang w:val="fr-FR" w:eastAsia="ko-KR"/>
        </w:rPr>
        <w:t xml:space="preserve"> d’organes </w:t>
      </w:r>
      <w:r w:rsidR="00947E2F" w:rsidRPr="002715F2">
        <w:rPr>
          <w:rFonts w:eastAsia="Batang" w:cs="Gulim"/>
          <w:lang w:val="fr-FR" w:eastAsia="ko-KR"/>
        </w:rPr>
        <w:t xml:space="preserve">recevra </w:t>
      </w:r>
      <w:r w:rsidR="002E65A1" w:rsidRPr="002715F2">
        <w:rPr>
          <w:rFonts w:eastAsia="Batang" w:cs="Gulim"/>
          <w:lang w:val="fr-FR" w:eastAsia="ko-KR"/>
        </w:rPr>
        <w:t xml:space="preserve">une peine </w:t>
      </w:r>
      <w:r w:rsidR="00930F66" w:rsidRPr="002715F2">
        <w:rPr>
          <w:rFonts w:eastAsia="Batang" w:cs="Gulim"/>
          <w:lang w:val="fr-FR" w:eastAsia="ko-KR"/>
        </w:rPr>
        <w:t>de prison</w:t>
      </w:r>
      <w:r w:rsidR="002E65A1" w:rsidRPr="002715F2">
        <w:rPr>
          <w:rFonts w:eastAsia="Batang" w:cs="Gulim"/>
          <w:lang w:val="fr-FR" w:eastAsia="ko-KR"/>
        </w:rPr>
        <w:t xml:space="preserve"> </w:t>
      </w:r>
      <w:r w:rsidR="00947E2F" w:rsidRPr="002715F2">
        <w:rPr>
          <w:rFonts w:eastAsia="Batang" w:cs="Gulim"/>
          <w:lang w:val="fr-FR" w:eastAsia="ko-KR"/>
        </w:rPr>
        <w:t xml:space="preserve">allant </w:t>
      </w:r>
      <w:r w:rsidR="002E65A1" w:rsidRPr="002715F2">
        <w:rPr>
          <w:rFonts w:eastAsia="Batang" w:cs="Gulim"/>
          <w:lang w:val="fr-FR" w:eastAsia="ko-KR"/>
        </w:rPr>
        <w:t xml:space="preserve">de deux à quinze ans </w:t>
      </w:r>
      <w:r w:rsidR="000078DA" w:rsidRPr="002715F2">
        <w:rPr>
          <w:rFonts w:eastAsia="Batang" w:cs="Gulim"/>
          <w:lang w:val="fr-FR" w:eastAsia="ko-KR"/>
        </w:rPr>
        <w:t>(</w:t>
      </w:r>
      <w:r w:rsidR="00BD1A84" w:rsidRPr="002715F2">
        <w:rPr>
          <w:rFonts w:eastAsia="Batang" w:cs="Gulim"/>
          <w:lang w:val="fr-FR" w:eastAsia="ko-KR"/>
        </w:rPr>
        <w:t>art. </w:t>
      </w:r>
      <w:r w:rsidR="002E65A1" w:rsidRPr="002715F2">
        <w:rPr>
          <w:rFonts w:eastAsia="Batang" w:cs="Gulim"/>
          <w:lang w:val="fr-FR" w:eastAsia="ko-KR"/>
        </w:rPr>
        <w:t>289)</w:t>
      </w:r>
      <w:r w:rsidR="00F60999" w:rsidRPr="002715F2">
        <w:rPr>
          <w:rFonts w:eastAsia="Batang"/>
          <w:lang w:val="fr-FR" w:eastAsia="ko-KR"/>
        </w:rPr>
        <w:t>.</w:t>
      </w:r>
    </w:p>
    <w:p w:rsidR="000078DA" w:rsidRPr="002715F2" w:rsidRDefault="00947E2F">
      <w:pPr>
        <w:pStyle w:val="H1G"/>
        <w:rPr>
          <w:rFonts w:eastAsia="Batang"/>
          <w:lang w:val="fr-FR"/>
        </w:rPr>
      </w:pPr>
      <w:r w:rsidRPr="002715F2">
        <w:rPr>
          <w:rFonts w:eastAsia="Batang"/>
          <w:lang w:val="fr-FR"/>
        </w:rPr>
        <w:tab/>
      </w:r>
      <w:r w:rsidRPr="002715F2">
        <w:rPr>
          <w:rFonts w:eastAsia="Batang"/>
          <w:lang w:val="fr-FR"/>
        </w:rPr>
        <w:tab/>
        <w:t>Article </w:t>
      </w:r>
      <w:r w:rsidR="00F410E3" w:rsidRPr="002715F2">
        <w:rPr>
          <w:rFonts w:eastAsia="Batang"/>
          <w:lang w:val="fr-FR"/>
        </w:rPr>
        <w:t>3</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421948"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421948" w:rsidRPr="002715F2">
        <w:rPr>
          <w:rFonts w:eastAsia="Batang"/>
          <w:lang w:val="fr-FR" w:eastAsia="ko-KR"/>
        </w:rPr>
        <w:t>11</w:t>
      </w:r>
    </w:p>
    <w:p w:rsidR="000078DA" w:rsidRPr="002715F2" w:rsidRDefault="007026FB" w:rsidP="007026FB">
      <w:pPr>
        <w:pStyle w:val="SingleTxtG"/>
        <w:rPr>
          <w:rFonts w:eastAsia="Batang"/>
          <w:lang w:val="fr-FR" w:eastAsia="ko-KR"/>
        </w:rPr>
      </w:pPr>
      <w:r w:rsidRPr="002715F2">
        <w:rPr>
          <w:rFonts w:eastAsia="Batang"/>
          <w:lang w:val="fr-FR" w:eastAsia="ko-KR"/>
        </w:rPr>
        <w:t>82.</w:t>
      </w:r>
      <w:r w:rsidRPr="002715F2">
        <w:rPr>
          <w:rFonts w:eastAsia="Batang"/>
          <w:lang w:val="fr-FR" w:eastAsia="ko-KR"/>
        </w:rPr>
        <w:tab/>
      </w:r>
      <w:r w:rsidR="002C4CA3" w:rsidRPr="002715F2">
        <w:rPr>
          <w:rFonts w:eastAsia="Batang"/>
          <w:lang w:val="fr-FR" w:eastAsia="ko-KR"/>
        </w:rPr>
        <w:t>Conformément au principe de non-refoulement, l</w:t>
      </w:r>
      <w:r w:rsidR="00933D17" w:rsidRPr="002715F2">
        <w:rPr>
          <w:rFonts w:eastAsia="Batang"/>
          <w:lang w:val="fr-FR" w:eastAsia="ko-KR"/>
        </w:rPr>
        <w:t>a loi sur l’immigration</w:t>
      </w:r>
      <w:r w:rsidR="000078DA" w:rsidRPr="002715F2">
        <w:rPr>
          <w:rFonts w:eastAsia="Batang"/>
          <w:i/>
          <w:iCs/>
          <w:lang w:val="fr-FR" w:eastAsia="ko-KR"/>
        </w:rPr>
        <w:t xml:space="preserve">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64</w:t>
      </w:r>
      <w:r w:rsidR="00933D17" w:rsidRPr="002715F2">
        <w:rPr>
          <w:rFonts w:eastAsia="Batang"/>
          <w:lang w:val="fr-FR" w:eastAsia="ko-KR"/>
        </w:rPr>
        <w:t>,</w:t>
      </w:r>
      <w:r w:rsidR="000078DA" w:rsidRPr="002715F2">
        <w:rPr>
          <w:rFonts w:eastAsia="Batang"/>
          <w:lang w:val="fr-FR" w:eastAsia="ko-KR"/>
        </w:rPr>
        <w:t xml:space="preserve"> </w:t>
      </w:r>
      <w:r w:rsidR="00BD1A84" w:rsidRPr="002715F2">
        <w:rPr>
          <w:rFonts w:eastAsia="Batang"/>
          <w:lang w:val="fr-FR" w:eastAsia="ko-KR"/>
        </w:rPr>
        <w:t>par. </w:t>
      </w:r>
      <w:r w:rsidR="000078DA" w:rsidRPr="002715F2">
        <w:rPr>
          <w:rFonts w:eastAsia="Batang"/>
          <w:lang w:val="fr-FR" w:eastAsia="ko-KR"/>
        </w:rPr>
        <w:t>3</w:t>
      </w:r>
      <w:r w:rsidR="002C4CA3" w:rsidRPr="002715F2">
        <w:rPr>
          <w:rFonts w:eastAsia="Batang"/>
          <w:lang w:val="fr-FR" w:eastAsia="ko-KR"/>
        </w:rPr>
        <w:t>)</w:t>
      </w:r>
      <w:r w:rsidR="008607C8" w:rsidRPr="002715F2">
        <w:rPr>
          <w:rFonts w:eastAsia="Batang"/>
          <w:lang w:val="fr-FR" w:eastAsia="ko-KR"/>
        </w:rPr>
        <w:t xml:space="preserve"> </w:t>
      </w:r>
      <w:r w:rsidR="00513DD2" w:rsidRPr="002715F2">
        <w:rPr>
          <w:rFonts w:eastAsia="Batang"/>
          <w:lang w:val="fr-FR" w:eastAsia="ko-KR"/>
        </w:rPr>
        <w:t xml:space="preserve">interdit de </w:t>
      </w:r>
      <w:r w:rsidR="009966B6" w:rsidRPr="002715F2">
        <w:rPr>
          <w:rFonts w:eastAsia="Batang"/>
          <w:lang w:val="fr-FR" w:eastAsia="ko-KR"/>
        </w:rPr>
        <w:t>déporter</w:t>
      </w:r>
      <w:r w:rsidR="00513DD2" w:rsidRPr="002715F2">
        <w:rPr>
          <w:rFonts w:eastAsia="Batang"/>
          <w:lang w:val="fr-FR" w:eastAsia="ko-KR"/>
        </w:rPr>
        <w:t xml:space="preserve"> de</w:t>
      </w:r>
      <w:r w:rsidR="008607C8" w:rsidRPr="002715F2">
        <w:rPr>
          <w:rFonts w:eastAsia="Batang"/>
          <w:lang w:val="fr-FR" w:eastAsia="ko-KR"/>
        </w:rPr>
        <w:t>s réfugiés vers des pays où les expulsions ou les retours sont prohibés par l’article 33, paragraphe 1, de la Convention relative au statut des réfugiés (ci-après</w:t>
      </w:r>
      <w:r w:rsidR="00AD2CD0" w:rsidRPr="002715F2">
        <w:rPr>
          <w:rFonts w:eastAsia="Batang"/>
          <w:lang w:val="fr-FR" w:eastAsia="ko-KR"/>
        </w:rPr>
        <w:t xml:space="preserve"> </w:t>
      </w:r>
      <w:r w:rsidR="00E97B1A" w:rsidRPr="002715F2">
        <w:rPr>
          <w:rFonts w:eastAsia="Batang"/>
          <w:lang w:val="fr-FR" w:eastAsia="ko-KR"/>
        </w:rPr>
        <w:t>«</w:t>
      </w:r>
      <w:r w:rsidR="00984C16" w:rsidRPr="002715F2">
        <w:rPr>
          <w:rFonts w:eastAsia="Batang"/>
          <w:lang w:val="fr-FR" w:eastAsia="ko-KR"/>
        </w:rPr>
        <w:t xml:space="preserve">la </w:t>
      </w:r>
      <w:r w:rsidR="008607C8" w:rsidRPr="002715F2">
        <w:rPr>
          <w:rFonts w:eastAsia="Batang"/>
          <w:lang w:val="fr-FR" w:eastAsia="ko-KR"/>
        </w:rPr>
        <w:t>Convention sur les réfugiés</w:t>
      </w:r>
      <w:r w:rsidR="00E97B1A" w:rsidRPr="002715F2">
        <w:rPr>
          <w:rFonts w:eastAsia="Batang"/>
          <w:lang w:val="fr-FR" w:eastAsia="ko-KR"/>
        </w:rPr>
        <w:t>»</w:t>
      </w:r>
      <w:r w:rsidR="008607C8" w:rsidRPr="002715F2">
        <w:rPr>
          <w:rFonts w:eastAsia="Batang"/>
          <w:lang w:val="fr-FR" w:eastAsia="ko-KR"/>
        </w:rPr>
        <w:t xml:space="preserve">). De plus, </w:t>
      </w:r>
      <w:r w:rsidR="00513DD2" w:rsidRPr="002715F2">
        <w:rPr>
          <w:rFonts w:eastAsia="Batang"/>
          <w:lang w:val="fr-FR" w:eastAsia="ko-KR"/>
        </w:rPr>
        <w:t xml:space="preserve">le principe de non-refoulement et sa mise en œuvre </w:t>
      </w:r>
      <w:r w:rsidR="00AA6FC4" w:rsidRPr="002715F2">
        <w:rPr>
          <w:rFonts w:eastAsia="Batang"/>
          <w:lang w:val="fr-FR" w:eastAsia="ko-KR"/>
        </w:rPr>
        <w:t xml:space="preserve">sont </w:t>
      </w:r>
      <w:r w:rsidR="00513DD2" w:rsidRPr="002715F2">
        <w:rPr>
          <w:rFonts w:eastAsia="Batang"/>
          <w:lang w:val="fr-FR" w:eastAsia="ko-KR"/>
        </w:rPr>
        <w:t xml:space="preserve">expressément inscrits dans </w:t>
      </w:r>
      <w:r w:rsidR="008607C8" w:rsidRPr="002715F2">
        <w:rPr>
          <w:rFonts w:eastAsia="Batang"/>
          <w:lang w:val="fr-FR" w:eastAsia="ko-KR"/>
        </w:rPr>
        <w:t>la loi sur les réfugiés</w:t>
      </w:r>
      <w:r w:rsidR="00513DD2" w:rsidRPr="002715F2">
        <w:rPr>
          <w:rFonts w:eastAsia="Batang"/>
          <w:lang w:val="fr-FR" w:eastAsia="ko-KR"/>
        </w:rPr>
        <w:t>,</w:t>
      </w:r>
      <w:r w:rsidR="008607C8" w:rsidRPr="002715F2">
        <w:rPr>
          <w:rFonts w:eastAsia="Batang"/>
          <w:lang w:val="fr-FR" w:eastAsia="ko-KR"/>
        </w:rPr>
        <w:t xml:space="preserve"> </w:t>
      </w:r>
      <w:r w:rsidR="00513DD2" w:rsidRPr="002715F2">
        <w:rPr>
          <w:rFonts w:eastAsia="Batang"/>
          <w:lang w:val="fr-FR" w:eastAsia="ko-KR"/>
        </w:rPr>
        <w:t>adoptée le 10 </w:t>
      </w:r>
      <w:r w:rsidR="00DC51C1" w:rsidRPr="002715F2">
        <w:rPr>
          <w:rFonts w:eastAsia="Batang"/>
          <w:lang w:val="fr-FR" w:eastAsia="ko-KR"/>
        </w:rPr>
        <w:t>février 2012</w:t>
      </w:r>
      <w:r w:rsidR="00513DD2" w:rsidRPr="002715F2">
        <w:rPr>
          <w:rFonts w:eastAsia="Batang"/>
          <w:lang w:val="fr-FR" w:eastAsia="ko-KR"/>
        </w:rPr>
        <w:t>,</w:t>
      </w:r>
      <w:r w:rsidR="00DC51C1" w:rsidRPr="002715F2">
        <w:rPr>
          <w:rFonts w:eastAsia="Batang"/>
          <w:lang w:val="fr-FR" w:eastAsia="ko-KR"/>
        </w:rPr>
        <w:t xml:space="preserve"> </w:t>
      </w:r>
      <w:r w:rsidR="00513DD2" w:rsidRPr="002715F2">
        <w:rPr>
          <w:rFonts w:eastAsia="Batang"/>
          <w:lang w:val="fr-FR" w:eastAsia="ko-KR"/>
        </w:rPr>
        <w:t xml:space="preserve">qui régit le statut </w:t>
      </w:r>
      <w:r w:rsidR="008607C8" w:rsidRPr="002715F2">
        <w:rPr>
          <w:rFonts w:eastAsia="Batang"/>
          <w:lang w:val="fr-FR" w:eastAsia="ko-KR"/>
        </w:rPr>
        <w:t xml:space="preserve">et </w:t>
      </w:r>
      <w:r w:rsidR="00513DD2" w:rsidRPr="002715F2">
        <w:rPr>
          <w:rFonts w:eastAsia="Batang"/>
          <w:lang w:val="fr-FR" w:eastAsia="ko-KR"/>
        </w:rPr>
        <w:t>le</w:t>
      </w:r>
      <w:r w:rsidR="008607C8" w:rsidRPr="002715F2">
        <w:rPr>
          <w:rFonts w:eastAsia="Batang"/>
          <w:lang w:val="fr-FR" w:eastAsia="ko-KR"/>
        </w:rPr>
        <w:t xml:space="preserve"> traitement </w:t>
      </w:r>
      <w:r w:rsidR="00974D91" w:rsidRPr="002715F2">
        <w:rPr>
          <w:rFonts w:eastAsia="Batang"/>
          <w:lang w:val="fr-FR" w:eastAsia="ko-KR"/>
        </w:rPr>
        <w:t>de</w:t>
      </w:r>
      <w:r w:rsidR="000D4C71" w:rsidRPr="002715F2">
        <w:rPr>
          <w:rFonts w:eastAsia="Batang"/>
          <w:lang w:val="fr-FR" w:eastAsia="ko-KR"/>
        </w:rPr>
        <w:t xml:space="preserve"> ce</w:t>
      </w:r>
      <w:r w:rsidR="00974D91" w:rsidRPr="002715F2">
        <w:rPr>
          <w:rFonts w:eastAsia="Batang"/>
          <w:lang w:val="fr-FR" w:eastAsia="ko-KR"/>
        </w:rPr>
        <w:t xml:space="preserve">s </w:t>
      </w:r>
      <w:r w:rsidR="000D4C71" w:rsidRPr="002715F2">
        <w:rPr>
          <w:rFonts w:eastAsia="Batang"/>
          <w:lang w:val="fr-FR" w:eastAsia="ko-KR"/>
        </w:rPr>
        <w:t>personnes</w:t>
      </w:r>
      <w:r w:rsidR="00974D91" w:rsidRPr="002715F2">
        <w:rPr>
          <w:rFonts w:eastAsia="Batang"/>
          <w:lang w:val="fr-FR" w:eastAsia="ko-KR"/>
        </w:rPr>
        <w:t xml:space="preserve">. </w:t>
      </w:r>
      <w:r w:rsidR="00AA6FC4" w:rsidRPr="002715F2">
        <w:rPr>
          <w:rFonts w:eastAsia="Batang"/>
          <w:lang w:val="fr-FR" w:eastAsia="ko-KR"/>
        </w:rPr>
        <w:t xml:space="preserve">Selon cette </w:t>
      </w:r>
      <w:r w:rsidR="00974D91" w:rsidRPr="002715F2">
        <w:rPr>
          <w:rFonts w:eastAsia="Batang"/>
          <w:lang w:val="fr-FR" w:eastAsia="ko-KR"/>
        </w:rPr>
        <w:t>loi</w:t>
      </w:r>
      <w:r w:rsidR="00AA6FC4" w:rsidRPr="002715F2">
        <w:rPr>
          <w:rFonts w:eastAsia="Batang"/>
          <w:lang w:val="fr-FR" w:eastAsia="ko-KR"/>
        </w:rPr>
        <w:t>,</w:t>
      </w:r>
      <w:r w:rsidR="00974D91" w:rsidRPr="002715F2">
        <w:rPr>
          <w:rFonts w:eastAsia="Batang"/>
          <w:lang w:val="fr-FR" w:eastAsia="ko-KR"/>
        </w:rPr>
        <w:t xml:space="preserve"> </w:t>
      </w:r>
      <w:r w:rsidR="00AA6FC4" w:rsidRPr="002715F2">
        <w:rPr>
          <w:rFonts w:eastAsia="Batang"/>
          <w:lang w:val="fr-FR" w:eastAsia="ko-KR"/>
        </w:rPr>
        <w:t>quiconque n’est pas reconnu comme</w:t>
      </w:r>
      <w:r w:rsidR="00974D91" w:rsidRPr="002715F2">
        <w:rPr>
          <w:rFonts w:eastAsia="Batang"/>
          <w:lang w:val="fr-FR" w:eastAsia="ko-KR"/>
        </w:rPr>
        <w:t xml:space="preserve"> réfugié peut obtenir un permis de séjou</w:t>
      </w:r>
      <w:r w:rsidR="005A2E92" w:rsidRPr="002715F2">
        <w:rPr>
          <w:rFonts w:eastAsia="Batang"/>
          <w:lang w:val="fr-FR" w:eastAsia="ko-KR"/>
        </w:rPr>
        <w:t>r pour des raisons humanitaires</w:t>
      </w:r>
      <w:r w:rsidR="00AA6FC4" w:rsidRPr="002715F2">
        <w:rPr>
          <w:rFonts w:eastAsia="Batang"/>
          <w:lang w:val="fr-FR" w:eastAsia="ko-KR"/>
        </w:rPr>
        <w:t xml:space="preserve"> s’</w:t>
      </w:r>
      <w:r w:rsidR="00974D91" w:rsidRPr="002715F2">
        <w:rPr>
          <w:rFonts w:eastAsia="Batang"/>
          <w:lang w:val="fr-FR" w:eastAsia="ko-KR"/>
        </w:rPr>
        <w:t xml:space="preserve">il y a lieu raisonnablement de </w:t>
      </w:r>
      <w:r w:rsidR="002C4CA3" w:rsidRPr="002715F2">
        <w:rPr>
          <w:rFonts w:eastAsia="Batang"/>
          <w:lang w:val="fr-FR" w:eastAsia="ko-KR"/>
        </w:rPr>
        <w:t>penser</w:t>
      </w:r>
      <w:r w:rsidR="00974D91" w:rsidRPr="002715F2">
        <w:rPr>
          <w:rFonts w:eastAsia="Batang"/>
          <w:lang w:val="fr-FR" w:eastAsia="ko-KR"/>
        </w:rPr>
        <w:t xml:space="preserve"> que sa vie ou sa liberté personnelle sont susceptibles d’être violées de manière flagrante par des tortures ou </w:t>
      </w:r>
      <w:r w:rsidR="00AA6FC4" w:rsidRPr="002715F2">
        <w:rPr>
          <w:rFonts w:eastAsia="Batang"/>
          <w:lang w:val="fr-FR" w:eastAsia="ko-KR"/>
        </w:rPr>
        <w:t>d’</w:t>
      </w:r>
      <w:r w:rsidR="00974D91" w:rsidRPr="002715F2">
        <w:rPr>
          <w:rFonts w:eastAsia="Batang"/>
          <w:lang w:val="fr-FR" w:eastAsia="ko-KR"/>
        </w:rPr>
        <w:t xml:space="preserve">autres traitements inhumains ou </w:t>
      </w:r>
      <w:r w:rsidR="002C4CA3" w:rsidRPr="002715F2">
        <w:rPr>
          <w:rFonts w:eastAsia="Batang"/>
          <w:lang w:val="fr-FR" w:eastAsia="ko-KR"/>
        </w:rPr>
        <w:t>dans d’autres</w:t>
      </w:r>
      <w:r w:rsidR="00974D91" w:rsidRPr="002715F2">
        <w:rPr>
          <w:rFonts w:eastAsia="Batang"/>
          <w:lang w:val="fr-FR" w:eastAsia="ko-KR"/>
        </w:rPr>
        <w:t xml:space="preserve"> circonstances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2</w:t>
      </w:r>
      <w:r w:rsidR="00974D91" w:rsidRPr="002715F2">
        <w:rPr>
          <w:rFonts w:eastAsia="Batang"/>
          <w:lang w:val="fr-FR" w:eastAsia="ko-KR"/>
        </w:rPr>
        <w:t> </w:t>
      </w:r>
      <w:r w:rsidR="000078DA" w:rsidRPr="002715F2">
        <w:rPr>
          <w:rFonts w:eastAsia="Batang"/>
          <w:lang w:val="fr-FR" w:eastAsia="ko-KR"/>
        </w:rPr>
        <w:t>3))</w:t>
      </w:r>
      <w:r w:rsidR="00974D91" w:rsidRPr="002715F2">
        <w:rPr>
          <w:rFonts w:eastAsia="Batang"/>
          <w:lang w:val="fr-FR" w:eastAsia="ko-KR"/>
        </w:rPr>
        <w:t>.</w:t>
      </w:r>
      <w:r w:rsidR="000078DA" w:rsidRPr="002715F2">
        <w:rPr>
          <w:rFonts w:eastAsia="Batang"/>
          <w:lang w:val="fr-FR" w:eastAsia="ko-KR"/>
        </w:rPr>
        <w:t xml:space="preserve"> </w:t>
      </w:r>
      <w:r w:rsidR="00AA6FC4" w:rsidRPr="002715F2">
        <w:rPr>
          <w:rFonts w:eastAsia="Batang"/>
          <w:lang w:val="fr-FR" w:eastAsia="ko-KR"/>
        </w:rPr>
        <w:t>Cette loi</w:t>
      </w:r>
      <w:r w:rsidR="00974D91" w:rsidRPr="002715F2">
        <w:rPr>
          <w:rFonts w:eastAsia="Batang"/>
          <w:lang w:val="fr-FR" w:eastAsia="ko-KR"/>
        </w:rPr>
        <w:t xml:space="preserve"> prévoit également que les </w:t>
      </w:r>
      <w:r w:rsidR="00914DE6" w:rsidRPr="002715F2">
        <w:rPr>
          <w:lang w:val="fr-FR"/>
        </w:rPr>
        <w:t>réfugié</w:t>
      </w:r>
      <w:r w:rsidR="000D4C71" w:rsidRPr="002715F2">
        <w:rPr>
          <w:lang w:val="fr-FR"/>
        </w:rPr>
        <w:t>s</w:t>
      </w:r>
      <w:r w:rsidR="00914DE6" w:rsidRPr="002715F2">
        <w:rPr>
          <w:lang w:val="fr-FR"/>
        </w:rPr>
        <w:t xml:space="preserve"> reconnus comme tel, les titulaires d’un statut humanitaire </w:t>
      </w:r>
      <w:r w:rsidR="00914DE6" w:rsidRPr="002715F2">
        <w:rPr>
          <w:rFonts w:eastAsia="Batang"/>
          <w:lang w:val="fr-FR" w:eastAsia="ko-KR"/>
        </w:rPr>
        <w:t>et les demandeurs d’asile ne</w:t>
      </w:r>
      <w:r w:rsidR="00974D91" w:rsidRPr="002715F2">
        <w:rPr>
          <w:rFonts w:eastAsia="Batang"/>
          <w:lang w:val="fr-FR" w:eastAsia="ko-KR"/>
        </w:rPr>
        <w:t xml:space="preserve"> peuvent pas être </w:t>
      </w:r>
      <w:r w:rsidR="009966B6" w:rsidRPr="002715F2">
        <w:rPr>
          <w:rFonts w:eastAsia="Batang"/>
          <w:lang w:val="fr-FR" w:eastAsia="ko-KR"/>
        </w:rPr>
        <w:t>expulsés</w:t>
      </w:r>
      <w:r w:rsidR="00974D91" w:rsidRPr="002715F2">
        <w:rPr>
          <w:rFonts w:eastAsia="Batang"/>
          <w:lang w:val="fr-FR" w:eastAsia="ko-KR"/>
        </w:rPr>
        <w:t xml:space="preserve"> contre leu</w:t>
      </w:r>
      <w:r w:rsidR="00AA6FC4" w:rsidRPr="002715F2">
        <w:rPr>
          <w:rFonts w:eastAsia="Batang"/>
          <w:lang w:val="fr-FR" w:eastAsia="ko-KR"/>
        </w:rPr>
        <w:t>r gré, conformément à l’article </w:t>
      </w:r>
      <w:r w:rsidR="00974D91" w:rsidRPr="002715F2">
        <w:rPr>
          <w:rFonts w:eastAsia="Batang"/>
          <w:lang w:val="fr-FR" w:eastAsia="ko-KR"/>
        </w:rPr>
        <w:t>33 de la Convention sur les réfugiés et à l’article 3 de la Convention</w:t>
      </w:r>
      <w:r w:rsidR="000078DA" w:rsidRPr="002715F2">
        <w:rPr>
          <w:rFonts w:eastAsia="Batang"/>
          <w:lang w:val="fr-FR" w:eastAsia="ko-KR"/>
        </w:rPr>
        <w:t xml:space="preserve"> (</w:t>
      </w:r>
      <w:r w:rsidR="00BD1A84" w:rsidRPr="002715F2">
        <w:rPr>
          <w:rFonts w:eastAsia="Batang"/>
          <w:lang w:val="fr-FR" w:eastAsia="ko-KR"/>
        </w:rPr>
        <w:t>art. </w:t>
      </w:r>
      <w:r w:rsidR="000078DA" w:rsidRPr="002715F2">
        <w:rPr>
          <w:rFonts w:eastAsia="Batang"/>
          <w:lang w:val="fr-FR" w:eastAsia="ko-KR"/>
        </w:rPr>
        <w:t xml:space="preserve">3). </w:t>
      </w:r>
      <w:r w:rsidR="00974D91" w:rsidRPr="002715F2">
        <w:rPr>
          <w:rFonts w:eastAsia="Batang"/>
          <w:lang w:val="fr-FR" w:eastAsia="ko-KR"/>
        </w:rPr>
        <w:t xml:space="preserve">Dans la pratique, </w:t>
      </w:r>
      <w:r w:rsidR="009E1092" w:rsidRPr="002715F2">
        <w:rPr>
          <w:rFonts w:eastAsia="Batang"/>
          <w:lang w:val="fr-FR" w:eastAsia="ko-KR"/>
        </w:rPr>
        <w:t>lorsqu’un</w:t>
      </w:r>
      <w:r w:rsidR="0023594B" w:rsidRPr="002715F2">
        <w:rPr>
          <w:rFonts w:eastAsia="Batang"/>
          <w:lang w:val="fr-FR" w:eastAsia="ko-KR"/>
        </w:rPr>
        <w:t xml:space="preserve"> </w:t>
      </w:r>
      <w:r w:rsidR="00AA6FC4" w:rsidRPr="002715F2">
        <w:rPr>
          <w:rFonts w:eastAsia="Batang"/>
          <w:lang w:val="fr-FR" w:eastAsia="ko-KR"/>
        </w:rPr>
        <w:t>demandeur d’asile</w:t>
      </w:r>
      <w:r w:rsidR="0023594B" w:rsidRPr="002715F2">
        <w:rPr>
          <w:rFonts w:eastAsia="Batang"/>
          <w:lang w:val="fr-FR" w:eastAsia="ko-KR"/>
        </w:rPr>
        <w:t xml:space="preserve"> </w:t>
      </w:r>
      <w:r w:rsidR="00974D91" w:rsidRPr="002715F2">
        <w:rPr>
          <w:rFonts w:eastAsia="Batang"/>
          <w:lang w:val="fr-FR" w:eastAsia="ko-KR"/>
        </w:rPr>
        <w:t xml:space="preserve">affirme </w:t>
      </w:r>
      <w:r w:rsidR="00914DE6" w:rsidRPr="002715F2">
        <w:rPr>
          <w:rFonts w:eastAsia="Batang"/>
          <w:lang w:val="fr-FR" w:eastAsia="ko-KR"/>
        </w:rPr>
        <w:t>que son rapatriement l’expose à des risques de</w:t>
      </w:r>
      <w:r w:rsidR="0023594B" w:rsidRPr="002715F2">
        <w:rPr>
          <w:rFonts w:eastAsia="Batang"/>
          <w:lang w:val="fr-FR" w:eastAsia="ko-KR"/>
        </w:rPr>
        <w:t xml:space="preserve"> torture</w:t>
      </w:r>
      <w:r w:rsidR="00974D91" w:rsidRPr="002715F2">
        <w:rPr>
          <w:rFonts w:eastAsia="Batang"/>
          <w:lang w:val="fr-FR" w:eastAsia="ko-KR"/>
        </w:rPr>
        <w:t xml:space="preserve">, des enquêtes et des examens </w:t>
      </w:r>
      <w:r w:rsidR="0023594B" w:rsidRPr="002715F2">
        <w:rPr>
          <w:rFonts w:eastAsia="Batang"/>
          <w:lang w:val="fr-FR" w:eastAsia="ko-KR"/>
        </w:rPr>
        <w:t xml:space="preserve">approfondis </w:t>
      </w:r>
      <w:r w:rsidR="00974D91" w:rsidRPr="002715F2">
        <w:rPr>
          <w:rFonts w:eastAsia="Batang"/>
          <w:lang w:val="fr-FR" w:eastAsia="ko-KR"/>
        </w:rPr>
        <w:t xml:space="preserve">sont </w:t>
      </w:r>
      <w:r w:rsidR="0023594B" w:rsidRPr="002715F2">
        <w:rPr>
          <w:rFonts w:eastAsia="Batang"/>
          <w:lang w:val="fr-FR" w:eastAsia="ko-KR"/>
        </w:rPr>
        <w:t>réalisés</w:t>
      </w:r>
      <w:r w:rsidR="00974D91" w:rsidRPr="002715F2">
        <w:rPr>
          <w:rFonts w:eastAsia="Batang"/>
          <w:lang w:val="fr-FR" w:eastAsia="ko-KR"/>
        </w:rPr>
        <w:t xml:space="preserve"> </w:t>
      </w:r>
      <w:r w:rsidR="0023594B" w:rsidRPr="002715F2">
        <w:rPr>
          <w:rFonts w:eastAsia="Batang"/>
          <w:lang w:val="fr-FR" w:eastAsia="ko-KR"/>
        </w:rPr>
        <w:t xml:space="preserve">afin de </w:t>
      </w:r>
      <w:r w:rsidR="005C6D8E" w:rsidRPr="002715F2">
        <w:rPr>
          <w:rFonts w:eastAsia="Batang"/>
          <w:lang w:val="fr-FR" w:eastAsia="ko-KR"/>
        </w:rPr>
        <w:t>déterminer</w:t>
      </w:r>
      <w:r w:rsidR="002C4CA3" w:rsidRPr="002715F2">
        <w:rPr>
          <w:rFonts w:eastAsia="Batang"/>
          <w:lang w:val="fr-FR" w:eastAsia="ko-KR"/>
        </w:rPr>
        <w:t xml:space="preserve"> si </w:t>
      </w:r>
      <w:r w:rsidR="009E1092" w:rsidRPr="002715F2">
        <w:rPr>
          <w:rFonts w:eastAsia="Batang"/>
          <w:lang w:val="fr-FR" w:eastAsia="ko-KR"/>
        </w:rPr>
        <w:t>ce</w:t>
      </w:r>
      <w:r w:rsidR="00974D91" w:rsidRPr="002715F2">
        <w:rPr>
          <w:rFonts w:eastAsia="Batang"/>
          <w:lang w:val="fr-FR" w:eastAsia="ko-KR"/>
        </w:rPr>
        <w:t xml:space="preserve"> danger </w:t>
      </w:r>
      <w:r w:rsidR="009E1092" w:rsidRPr="002715F2">
        <w:rPr>
          <w:rFonts w:eastAsia="Batang"/>
          <w:lang w:val="fr-FR" w:eastAsia="ko-KR"/>
        </w:rPr>
        <w:t>est avéré</w:t>
      </w:r>
      <w:r w:rsidR="000078DA"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83.</w:t>
      </w:r>
      <w:r w:rsidRPr="002715F2">
        <w:rPr>
          <w:rFonts w:eastAsia="Batang"/>
          <w:lang w:val="fr-FR" w:eastAsia="ko-KR"/>
        </w:rPr>
        <w:tab/>
      </w:r>
      <w:r w:rsidR="002C37D1" w:rsidRPr="002715F2">
        <w:rPr>
          <w:rFonts w:eastAsia="Malgun Gothic"/>
          <w:kern w:val="2"/>
          <w:szCs w:val="22"/>
          <w:lang w:val="fr-FR" w:eastAsia="ko-KR"/>
        </w:rPr>
        <w:t xml:space="preserve">Les </w:t>
      </w:r>
      <w:r w:rsidR="00146FB4" w:rsidRPr="002715F2">
        <w:rPr>
          <w:rFonts w:eastAsia="Malgun Gothic"/>
          <w:kern w:val="2"/>
          <w:szCs w:val="22"/>
          <w:lang w:val="fr-FR" w:eastAsia="ko-KR"/>
        </w:rPr>
        <w:t>fonctionnaires</w:t>
      </w:r>
      <w:r w:rsidR="002C37D1" w:rsidRPr="002715F2">
        <w:rPr>
          <w:rFonts w:eastAsia="Malgun Gothic"/>
          <w:kern w:val="2"/>
          <w:szCs w:val="22"/>
          <w:lang w:val="fr-FR" w:eastAsia="ko-KR"/>
        </w:rPr>
        <w:t xml:space="preserve"> </w:t>
      </w:r>
      <w:r w:rsidR="001719B6" w:rsidRPr="002715F2">
        <w:rPr>
          <w:rFonts w:eastAsia="Malgun Gothic"/>
          <w:kern w:val="2"/>
          <w:szCs w:val="22"/>
          <w:lang w:val="fr-FR" w:eastAsia="ko-KR"/>
        </w:rPr>
        <w:t>chargés des</w:t>
      </w:r>
      <w:r w:rsidR="00146FB4" w:rsidRPr="002715F2">
        <w:rPr>
          <w:rFonts w:eastAsia="Malgun Gothic"/>
          <w:kern w:val="2"/>
          <w:szCs w:val="22"/>
          <w:lang w:val="fr-FR" w:eastAsia="ko-KR"/>
        </w:rPr>
        <w:t xml:space="preserve"> demandes d’asile</w:t>
      </w:r>
      <w:r w:rsidR="000078DA" w:rsidRPr="002715F2">
        <w:rPr>
          <w:rFonts w:eastAsia="Batang"/>
          <w:lang w:val="fr-FR" w:eastAsia="ko-KR"/>
        </w:rPr>
        <w:t xml:space="preserve"> </w:t>
      </w:r>
      <w:r w:rsidR="002C37D1" w:rsidRPr="002715F2">
        <w:rPr>
          <w:rFonts w:eastAsia="Batang"/>
          <w:lang w:val="fr-FR" w:eastAsia="ko-KR"/>
        </w:rPr>
        <w:t xml:space="preserve">participent au moins une fois par an à des ateliers sur les réfugiés organisés en partenariat avec le Bureau du </w:t>
      </w:r>
      <w:r w:rsidR="005C6D8E" w:rsidRPr="002715F2">
        <w:rPr>
          <w:rFonts w:eastAsia="Batang"/>
          <w:lang w:val="fr-FR" w:eastAsia="ko-KR"/>
        </w:rPr>
        <w:t>Haut-Commissaire</w:t>
      </w:r>
      <w:r w:rsidR="002C37D1" w:rsidRPr="002715F2">
        <w:rPr>
          <w:rFonts w:eastAsia="Batang"/>
          <w:lang w:val="fr-FR" w:eastAsia="ko-KR"/>
        </w:rPr>
        <w:t xml:space="preserve"> des Nations Unies pour les réfugiés (HCR) et des organisations compétentes</w:t>
      </w:r>
      <w:r w:rsidR="000078DA" w:rsidRPr="002715F2">
        <w:rPr>
          <w:rFonts w:eastAsia="Batang"/>
          <w:lang w:val="fr-FR" w:eastAsia="ko-KR"/>
        </w:rPr>
        <w:t xml:space="preserve">. </w:t>
      </w:r>
      <w:r w:rsidR="00146FB4" w:rsidRPr="002715F2">
        <w:rPr>
          <w:rFonts w:eastAsia="Batang"/>
          <w:lang w:val="fr-FR" w:eastAsia="ko-KR"/>
        </w:rPr>
        <w:t>À l’heure actuelle, l</w:t>
      </w:r>
      <w:r w:rsidR="002C37D1" w:rsidRPr="002715F2">
        <w:rPr>
          <w:rFonts w:eastAsia="HyhwpEQ"/>
          <w:lang w:val="fr-FR" w:eastAsia="ko-KR"/>
        </w:rPr>
        <w:t xml:space="preserve">’Institut </w:t>
      </w:r>
      <w:r w:rsidR="00146FB4" w:rsidRPr="002715F2">
        <w:rPr>
          <w:rFonts w:eastAsia="HyhwpEQ"/>
          <w:lang w:val="fr-FR" w:eastAsia="ko-KR"/>
        </w:rPr>
        <w:t>judiciaire dispense six </w:t>
      </w:r>
      <w:r w:rsidR="002C37D1" w:rsidRPr="002715F2">
        <w:rPr>
          <w:rFonts w:eastAsia="HyhwpEQ"/>
          <w:lang w:val="fr-FR" w:eastAsia="ko-KR"/>
        </w:rPr>
        <w:t>formations</w:t>
      </w:r>
      <w:r w:rsidR="00146FB4" w:rsidRPr="002715F2">
        <w:rPr>
          <w:rFonts w:eastAsia="HyhwpEQ"/>
          <w:lang w:val="fr-FR" w:eastAsia="ko-KR"/>
        </w:rPr>
        <w:t xml:space="preserve"> à l’intention des fonctionnaires des services d</w:t>
      </w:r>
      <w:r w:rsidR="001719B6" w:rsidRPr="002715F2">
        <w:rPr>
          <w:rFonts w:eastAsia="HyhwpEQ"/>
          <w:lang w:val="fr-FR" w:eastAsia="ko-KR"/>
        </w:rPr>
        <w:t>e l’immigration</w:t>
      </w:r>
      <w:r w:rsidR="002C609B" w:rsidRPr="002715F2">
        <w:rPr>
          <w:rFonts w:eastAsia="HyhwpEQ"/>
          <w:lang w:val="fr-FR" w:eastAsia="ko-KR"/>
        </w:rPr>
        <w:t>, dont</w:t>
      </w:r>
      <w:r w:rsidR="001719B6" w:rsidRPr="002715F2">
        <w:rPr>
          <w:rFonts w:eastAsia="HyhwpEQ"/>
          <w:lang w:val="fr-FR" w:eastAsia="ko-KR"/>
        </w:rPr>
        <w:t xml:space="preserve"> </w:t>
      </w:r>
      <w:r w:rsidR="002C37D1" w:rsidRPr="002715F2">
        <w:rPr>
          <w:rFonts w:eastAsia="HyhwpEQ"/>
          <w:lang w:val="fr-FR" w:eastAsia="ko-KR"/>
        </w:rPr>
        <w:t xml:space="preserve">une </w:t>
      </w:r>
      <w:r w:rsidR="00E97B1A" w:rsidRPr="002715F2">
        <w:rPr>
          <w:rFonts w:eastAsia="HyhwpEQ"/>
          <w:lang w:val="fr-FR" w:eastAsia="ko-KR"/>
        </w:rPr>
        <w:t>«</w:t>
      </w:r>
      <w:r w:rsidR="002C37D1" w:rsidRPr="002715F2">
        <w:rPr>
          <w:rFonts w:eastAsia="HyhwpEQ"/>
          <w:lang w:val="fr-FR" w:eastAsia="ko-KR"/>
        </w:rPr>
        <w:t xml:space="preserve">Formation pratique aux procédures </w:t>
      </w:r>
      <w:r w:rsidR="00146FB4" w:rsidRPr="002715F2">
        <w:rPr>
          <w:rFonts w:eastAsia="HyhwpEQ"/>
          <w:lang w:val="fr-FR" w:eastAsia="ko-KR"/>
        </w:rPr>
        <w:t>régissant l’octroi</w:t>
      </w:r>
      <w:r w:rsidR="00146FB4" w:rsidRPr="002715F2">
        <w:rPr>
          <w:rFonts w:eastAsia="Malgun Gothic"/>
          <w:kern w:val="2"/>
          <w:szCs w:val="22"/>
          <w:lang w:val="fr-FR" w:eastAsia="ko-KR"/>
        </w:rPr>
        <w:t xml:space="preserve"> du statut de</w:t>
      </w:r>
      <w:r w:rsidR="002C37D1" w:rsidRPr="002715F2">
        <w:rPr>
          <w:rFonts w:eastAsia="Malgun Gothic"/>
          <w:kern w:val="2"/>
          <w:szCs w:val="22"/>
          <w:lang w:val="fr-FR" w:eastAsia="ko-KR"/>
        </w:rPr>
        <w:t xml:space="preserve"> réfugié</w:t>
      </w:r>
      <w:r w:rsidR="00E97B1A" w:rsidRPr="002715F2">
        <w:rPr>
          <w:rFonts w:eastAsia="HyhwpEQ"/>
          <w:lang w:val="fr-FR" w:eastAsia="ko-KR"/>
        </w:rPr>
        <w:t>»</w:t>
      </w:r>
      <w:r w:rsidR="002C37D1" w:rsidRPr="002715F2">
        <w:rPr>
          <w:rFonts w:eastAsia="HyhwpEQ"/>
          <w:lang w:val="fr-FR" w:eastAsia="ko-KR"/>
        </w:rPr>
        <w:t xml:space="preserve"> et un programme de formation en ligne </w:t>
      </w:r>
      <w:r w:rsidR="00146FB4" w:rsidRPr="002715F2">
        <w:rPr>
          <w:rFonts w:eastAsia="HyhwpEQ"/>
          <w:lang w:val="fr-FR" w:eastAsia="ko-KR"/>
        </w:rPr>
        <w:t>intitulé</w:t>
      </w:r>
      <w:r w:rsidR="002C37D1" w:rsidRPr="002715F2">
        <w:rPr>
          <w:rFonts w:eastAsia="HyhwpEQ"/>
          <w:lang w:val="fr-FR" w:eastAsia="ko-KR"/>
        </w:rPr>
        <w:t xml:space="preserve"> </w:t>
      </w:r>
      <w:r w:rsidR="00E97B1A" w:rsidRPr="002715F2">
        <w:rPr>
          <w:rFonts w:eastAsia="HyhwpEQ"/>
          <w:lang w:val="fr-FR" w:eastAsia="ko-KR"/>
        </w:rPr>
        <w:t>«</w:t>
      </w:r>
      <w:r w:rsidR="002C37D1" w:rsidRPr="002715F2">
        <w:rPr>
          <w:rFonts w:eastAsia="HyhwpEQ"/>
          <w:lang w:val="fr-FR" w:eastAsia="ko-KR"/>
        </w:rPr>
        <w:t>Loi sur les réfugiés et politique migratoire</w:t>
      </w:r>
      <w:r w:rsidR="00E97B1A" w:rsidRPr="002715F2">
        <w:rPr>
          <w:rFonts w:eastAsia="HyhwpEQ"/>
          <w:lang w:val="fr-FR" w:eastAsia="ko-KR"/>
        </w:rPr>
        <w:t>»</w:t>
      </w:r>
      <w:r w:rsidR="000078DA" w:rsidRPr="002715F2">
        <w:rPr>
          <w:rFonts w:eastAsia="HyhwpEQ"/>
          <w:lang w:val="fr-FR" w:eastAsia="ko-KR"/>
        </w:rPr>
        <w:t xml:space="preserve">. </w:t>
      </w:r>
      <w:r w:rsidR="002C37D1" w:rsidRPr="002715F2">
        <w:rPr>
          <w:rFonts w:eastAsia="Batang"/>
          <w:lang w:val="fr-FR" w:eastAsia="ko-KR"/>
        </w:rPr>
        <w:t xml:space="preserve">En outre, </w:t>
      </w:r>
      <w:r w:rsidR="001719B6" w:rsidRPr="002715F2">
        <w:rPr>
          <w:rFonts w:eastAsia="Batang"/>
          <w:lang w:val="fr-FR" w:eastAsia="ko-KR"/>
        </w:rPr>
        <w:t xml:space="preserve">les </w:t>
      </w:r>
      <w:r w:rsidR="001719B6" w:rsidRPr="002715F2">
        <w:rPr>
          <w:rFonts w:eastAsia="Malgun Gothic"/>
          <w:kern w:val="2"/>
          <w:szCs w:val="22"/>
          <w:lang w:val="fr-FR" w:eastAsia="ko-KR"/>
        </w:rPr>
        <w:t>fonctionnaires affectés aux demandes d’asile</w:t>
      </w:r>
      <w:r w:rsidR="001719B6" w:rsidRPr="002715F2">
        <w:rPr>
          <w:rFonts w:eastAsia="Batang"/>
          <w:lang w:val="fr-FR" w:eastAsia="ko-KR"/>
        </w:rPr>
        <w:t xml:space="preserve"> </w:t>
      </w:r>
      <w:r w:rsidR="00146FB4" w:rsidRPr="002715F2">
        <w:rPr>
          <w:rFonts w:eastAsia="Batang"/>
          <w:lang w:val="fr-FR" w:eastAsia="ko-KR"/>
        </w:rPr>
        <w:t xml:space="preserve">suivent au moins une fois par an </w:t>
      </w:r>
      <w:r w:rsidR="002C37D1" w:rsidRPr="002715F2">
        <w:rPr>
          <w:rFonts w:eastAsia="Batang"/>
          <w:lang w:val="fr-FR" w:eastAsia="ko-KR"/>
        </w:rPr>
        <w:t xml:space="preserve">une formation au droit international des réfugiés </w:t>
      </w:r>
      <w:r w:rsidR="005A2E92" w:rsidRPr="002715F2">
        <w:rPr>
          <w:rFonts w:eastAsia="Batang"/>
          <w:lang w:val="fr-FR" w:eastAsia="ko-KR"/>
        </w:rPr>
        <w:t xml:space="preserve">dispensée </w:t>
      </w:r>
      <w:r w:rsidR="00146FB4" w:rsidRPr="002715F2">
        <w:rPr>
          <w:rFonts w:eastAsia="Batang"/>
          <w:lang w:val="fr-FR" w:eastAsia="ko-KR"/>
        </w:rPr>
        <w:t>à</w:t>
      </w:r>
      <w:r w:rsidR="002C37D1" w:rsidRPr="002715F2">
        <w:rPr>
          <w:rFonts w:eastAsia="Batang"/>
          <w:lang w:val="fr-FR" w:eastAsia="ko-KR"/>
        </w:rPr>
        <w:t xml:space="preserve"> l’Institut international de droit humanitaire de San Remo</w:t>
      </w:r>
      <w:r w:rsidR="00F60999" w:rsidRPr="002715F2">
        <w:rPr>
          <w:rFonts w:eastAsia="Batang"/>
          <w:lang w:val="fr-FR" w:eastAsia="ko-KR"/>
        </w:rPr>
        <w:t>.</w:t>
      </w:r>
    </w:p>
    <w:p w:rsidR="000078DA" w:rsidRPr="002715F2" w:rsidRDefault="00F410E3" w:rsidP="00F410E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2C37D1" w:rsidRPr="002715F2">
        <w:rPr>
          <w:rFonts w:eastAsia="Batang"/>
          <w:lang w:val="fr-FR" w:eastAsia="ko-KR"/>
        </w:rPr>
        <w:t xml:space="preserve">Réponse aux questions </w:t>
      </w:r>
      <w:r w:rsidR="001719B6" w:rsidRPr="002715F2">
        <w:rPr>
          <w:rFonts w:eastAsia="Batang"/>
          <w:lang w:val="fr-FR" w:eastAsia="ko-KR"/>
        </w:rPr>
        <w:t xml:space="preserve">soulevées au </w:t>
      </w:r>
      <w:r w:rsidR="00675A3D" w:rsidRPr="002715F2">
        <w:rPr>
          <w:rFonts w:eastAsia="Batang"/>
          <w:lang w:val="fr-FR" w:eastAsia="ko-KR"/>
        </w:rPr>
        <w:t xml:space="preserve">paragraphe </w:t>
      </w:r>
      <w:r w:rsidR="002C37D1" w:rsidRPr="002715F2">
        <w:rPr>
          <w:rFonts w:eastAsia="Batang"/>
          <w:lang w:val="fr-FR" w:eastAsia="ko-KR"/>
        </w:rPr>
        <w:t>12</w:t>
      </w:r>
    </w:p>
    <w:p w:rsidR="000078DA" w:rsidRPr="002715F2" w:rsidRDefault="007026FB" w:rsidP="007026FB">
      <w:pPr>
        <w:pStyle w:val="SingleTxtG"/>
        <w:rPr>
          <w:rFonts w:eastAsia="Batang"/>
          <w:lang w:val="fr-FR" w:eastAsia="ko-KR"/>
        </w:rPr>
      </w:pPr>
      <w:r w:rsidRPr="002715F2">
        <w:rPr>
          <w:rFonts w:eastAsia="Batang"/>
          <w:lang w:val="fr-FR" w:eastAsia="ko-KR"/>
        </w:rPr>
        <w:t>84.</w:t>
      </w:r>
      <w:r w:rsidRPr="002715F2">
        <w:rPr>
          <w:rFonts w:eastAsia="Batang"/>
          <w:lang w:val="fr-FR" w:eastAsia="ko-KR"/>
        </w:rPr>
        <w:tab/>
      </w:r>
      <w:r w:rsidR="002C609B" w:rsidRPr="002715F2">
        <w:rPr>
          <w:rFonts w:eastAsia="Batang"/>
          <w:lang w:val="fr-FR" w:eastAsia="ko-KR"/>
        </w:rPr>
        <w:t>Pour la période allant de</w:t>
      </w:r>
      <w:r w:rsidR="002C37D1" w:rsidRPr="002715F2">
        <w:rPr>
          <w:rFonts w:eastAsia="Batang"/>
          <w:lang w:val="fr-FR" w:eastAsia="ko-KR"/>
        </w:rPr>
        <w:t xml:space="preserve"> 2006 </w:t>
      </w:r>
      <w:r w:rsidR="002C609B" w:rsidRPr="002715F2">
        <w:rPr>
          <w:rFonts w:eastAsia="Batang"/>
          <w:lang w:val="fr-FR" w:eastAsia="ko-KR"/>
        </w:rPr>
        <w:t>à</w:t>
      </w:r>
      <w:r w:rsidR="002C37D1" w:rsidRPr="002715F2">
        <w:rPr>
          <w:rFonts w:eastAsia="Batang"/>
          <w:lang w:val="fr-FR" w:eastAsia="ko-KR"/>
        </w:rPr>
        <w:t xml:space="preserve"> 2015, l</w:t>
      </w:r>
      <w:r w:rsidR="002C609B" w:rsidRPr="002715F2">
        <w:rPr>
          <w:rFonts w:eastAsia="Batang"/>
          <w:lang w:val="fr-FR" w:eastAsia="ko-KR"/>
        </w:rPr>
        <w:t>e Gouvernement ne possède pas de données</w:t>
      </w:r>
      <w:r w:rsidR="002C37D1" w:rsidRPr="002715F2">
        <w:rPr>
          <w:rFonts w:eastAsia="Batang"/>
          <w:lang w:val="fr-FR" w:eastAsia="ko-KR"/>
        </w:rPr>
        <w:t xml:space="preserve"> statistiques </w:t>
      </w:r>
      <w:r w:rsidR="002C609B" w:rsidRPr="002715F2">
        <w:rPr>
          <w:rFonts w:eastAsia="Batang"/>
          <w:lang w:val="fr-FR" w:eastAsia="ko-KR"/>
        </w:rPr>
        <w:t xml:space="preserve">distinctes sur le nombre de </w:t>
      </w:r>
      <w:r w:rsidR="002C37D1" w:rsidRPr="002715F2">
        <w:rPr>
          <w:rFonts w:eastAsia="Batang"/>
          <w:lang w:val="fr-FR" w:eastAsia="ko-KR"/>
        </w:rPr>
        <w:t xml:space="preserve">cas dans lesquels </w:t>
      </w:r>
      <w:r w:rsidR="002C609B" w:rsidRPr="002715F2">
        <w:rPr>
          <w:lang w:val="fr-FR"/>
        </w:rPr>
        <w:t>il</w:t>
      </w:r>
      <w:r w:rsidR="002C37D1" w:rsidRPr="002715F2">
        <w:rPr>
          <w:lang w:val="fr-FR"/>
        </w:rPr>
        <w:t xml:space="preserve"> a refusé de </w:t>
      </w:r>
      <w:r w:rsidR="002C37D1" w:rsidRPr="002715F2">
        <w:rPr>
          <w:rFonts w:eastAsia="Batang"/>
          <w:lang w:val="fr-FR" w:eastAsia="ko-KR"/>
        </w:rPr>
        <w:t xml:space="preserve">rapatrier des personnes </w:t>
      </w:r>
      <w:r w:rsidR="00181E77" w:rsidRPr="002715F2">
        <w:rPr>
          <w:rFonts w:eastAsia="Batang"/>
          <w:lang w:val="fr-FR" w:eastAsia="ko-KR"/>
        </w:rPr>
        <w:t>qui</w:t>
      </w:r>
      <w:r w:rsidR="002C37D1" w:rsidRPr="002715F2">
        <w:rPr>
          <w:rFonts w:eastAsia="Batang"/>
          <w:lang w:val="fr-FR" w:eastAsia="ko-KR"/>
        </w:rPr>
        <w:t xml:space="preserve"> risquaient </w:t>
      </w:r>
      <w:r w:rsidR="002C37D1" w:rsidRPr="002715F2">
        <w:rPr>
          <w:lang w:val="fr-FR"/>
        </w:rPr>
        <w:t>d’être t</w:t>
      </w:r>
      <w:r w:rsidR="002C609B" w:rsidRPr="002715F2">
        <w:rPr>
          <w:lang w:val="fr-FR"/>
        </w:rPr>
        <w:t>orturées dans le</w:t>
      </w:r>
      <w:r w:rsidR="00181E77" w:rsidRPr="002715F2">
        <w:rPr>
          <w:lang w:val="fr-FR"/>
        </w:rPr>
        <w:t>ur</w:t>
      </w:r>
      <w:r w:rsidR="002C609B" w:rsidRPr="002715F2">
        <w:rPr>
          <w:lang w:val="fr-FR"/>
        </w:rPr>
        <w:t xml:space="preserve"> pays de renvoi</w:t>
      </w:r>
      <w:r w:rsidR="000078DA" w:rsidRPr="002715F2">
        <w:rPr>
          <w:rFonts w:eastAsia="Batang"/>
          <w:lang w:val="fr-FR" w:eastAsia="ko-KR"/>
        </w:rPr>
        <w:t xml:space="preserve">. </w:t>
      </w:r>
      <w:r w:rsidR="002C37D1" w:rsidRPr="002715F2">
        <w:rPr>
          <w:rFonts w:eastAsia="Batang"/>
          <w:lang w:val="fr-FR" w:eastAsia="ko-KR"/>
        </w:rPr>
        <w:t xml:space="preserve">Aucune </w:t>
      </w:r>
      <w:r w:rsidR="005C6D8E" w:rsidRPr="002715F2">
        <w:rPr>
          <w:rFonts w:eastAsia="Batang"/>
          <w:lang w:val="fr-FR" w:eastAsia="ko-KR"/>
        </w:rPr>
        <w:t>extradition</w:t>
      </w:r>
      <w:r w:rsidR="002C37D1" w:rsidRPr="002715F2">
        <w:rPr>
          <w:rFonts w:eastAsia="Batang"/>
          <w:lang w:val="fr-FR" w:eastAsia="ko-KR"/>
        </w:rPr>
        <w:t xml:space="preserve"> n’a été refusée pour ce motif</w:t>
      </w:r>
      <w:r w:rsidR="000078DA" w:rsidRPr="002715F2">
        <w:rPr>
          <w:rFonts w:eastAsia="Batang"/>
          <w:lang w:val="fr-FR" w:eastAsia="ko-KR"/>
        </w:rPr>
        <w:t xml:space="preserve">. </w:t>
      </w:r>
      <w:r w:rsidR="00181E77" w:rsidRPr="002715F2">
        <w:rPr>
          <w:rFonts w:eastAsia="Batang"/>
          <w:lang w:val="fr-FR" w:eastAsia="ko-KR"/>
        </w:rPr>
        <w:t xml:space="preserve">Le Gouvernement </w:t>
      </w:r>
      <w:r w:rsidR="002C37D1" w:rsidRPr="002715F2">
        <w:rPr>
          <w:rFonts w:eastAsia="Batang"/>
          <w:lang w:val="fr-FR" w:eastAsia="ko-KR"/>
        </w:rPr>
        <w:t>a</w:t>
      </w:r>
      <w:r w:rsidR="000078DA" w:rsidRPr="002715F2">
        <w:rPr>
          <w:rFonts w:eastAsia="Batang"/>
          <w:lang w:val="fr-FR" w:eastAsia="ko-KR"/>
        </w:rPr>
        <w:t xml:space="preserve"> </w:t>
      </w:r>
      <w:r w:rsidR="00914A30" w:rsidRPr="002715F2">
        <w:rPr>
          <w:rFonts w:eastAsia="Batang"/>
          <w:lang w:val="fr-FR" w:eastAsia="ko-KR"/>
        </w:rPr>
        <w:t xml:space="preserve">accordé l’asile humanitaire aux personnes dont </w:t>
      </w:r>
      <w:r w:rsidR="00181E77" w:rsidRPr="002715F2">
        <w:rPr>
          <w:rFonts w:eastAsia="Batang"/>
          <w:lang w:val="fr-FR" w:eastAsia="ko-KR"/>
        </w:rPr>
        <w:t xml:space="preserve">le droit à </w:t>
      </w:r>
      <w:r w:rsidR="00914A30" w:rsidRPr="002715F2">
        <w:rPr>
          <w:rFonts w:eastAsia="Batang"/>
          <w:lang w:val="fr-FR" w:eastAsia="ko-KR"/>
        </w:rPr>
        <w:t xml:space="preserve">la vie ou </w:t>
      </w:r>
      <w:r w:rsidR="00181E77" w:rsidRPr="002715F2">
        <w:rPr>
          <w:rFonts w:eastAsia="Batang"/>
          <w:lang w:val="fr-FR" w:eastAsia="ko-KR"/>
        </w:rPr>
        <w:t xml:space="preserve">à </w:t>
      </w:r>
      <w:r w:rsidR="00914A30" w:rsidRPr="002715F2">
        <w:rPr>
          <w:rFonts w:eastAsia="Batang"/>
          <w:lang w:val="fr-FR" w:eastAsia="ko-KR"/>
        </w:rPr>
        <w:t xml:space="preserve">la liberté risquait d’être violé de manière flagrante par </w:t>
      </w:r>
      <w:r w:rsidR="00181E77" w:rsidRPr="002715F2">
        <w:rPr>
          <w:rFonts w:eastAsia="Batang"/>
          <w:lang w:val="fr-FR" w:eastAsia="ko-KR"/>
        </w:rPr>
        <w:t>la</w:t>
      </w:r>
      <w:r w:rsidR="00914A30" w:rsidRPr="002715F2">
        <w:rPr>
          <w:rFonts w:eastAsia="Batang"/>
          <w:lang w:val="fr-FR" w:eastAsia="ko-KR"/>
        </w:rPr>
        <w:t xml:space="preserve"> torture</w:t>
      </w:r>
      <w:r w:rsidR="00181E77" w:rsidRPr="002715F2">
        <w:rPr>
          <w:rFonts w:eastAsia="Batang"/>
          <w:lang w:val="fr-FR" w:eastAsia="ko-KR"/>
        </w:rPr>
        <w:t xml:space="preserve"> ou </w:t>
      </w:r>
      <w:r w:rsidR="00914A30" w:rsidRPr="002715F2">
        <w:rPr>
          <w:rFonts w:eastAsia="Batang"/>
          <w:lang w:val="fr-FR" w:eastAsia="ko-KR"/>
        </w:rPr>
        <w:t xml:space="preserve">autres peines </w:t>
      </w:r>
      <w:r w:rsidR="00181E77" w:rsidRPr="002715F2">
        <w:rPr>
          <w:rFonts w:eastAsia="Batang"/>
          <w:lang w:val="fr-FR" w:eastAsia="ko-KR"/>
        </w:rPr>
        <w:t>ou</w:t>
      </w:r>
      <w:r w:rsidR="00914A30" w:rsidRPr="002715F2">
        <w:rPr>
          <w:rFonts w:eastAsia="Batang"/>
          <w:lang w:val="fr-FR" w:eastAsia="ko-KR"/>
        </w:rPr>
        <w:t xml:space="preserve"> traitements inhumains, même si </w:t>
      </w:r>
      <w:r w:rsidR="00181E77" w:rsidRPr="002715F2">
        <w:rPr>
          <w:rFonts w:eastAsia="Batang"/>
          <w:lang w:val="fr-FR" w:eastAsia="ko-KR"/>
        </w:rPr>
        <w:t>celles-ci</w:t>
      </w:r>
      <w:r w:rsidR="00914A30" w:rsidRPr="002715F2">
        <w:rPr>
          <w:rFonts w:eastAsia="Batang"/>
          <w:lang w:val="fr-FR" w:eastAsia="ko-KR"/>
        </w:rPr>
        <w:t xml:space="preserve"> </w:t>
      </w:r>
      <w:r w:rsidR="00181E77" w:rsidRPr="002715F2">
        <w:rPr>
          <w:rFonts w:eastAsia="Batang"/>
          <w:lang w:val="fr-FR" w:eastAsia="ko-KR"/>
        </w:rPr>
        <w:t>ne possédaient pas le statut de</w:t>
      </w:r>
      <w:r w:rsidR="00914A30" w:rsidRPr="002715F2">
        <w:rPr>
          <w:rFonts w:eastAsia="Batang"/>
          <w:lang w:val="fr-FR" w:eastAsia="ko-KR"/>
        </w:rPr>
        <w:t xml:space="preserve"> réfugié</w:t>
      </w:r>
      <w:r w:rsidR="000078DA" w:rsidRPr="002715F2">
        <w:rPr>
          <w:rFonts w:eastAsia="Batang"/>
          <w:lang w:val="fr-FR" w:eastAsia="ko-KR"/>
        </w:rPr>
        <w:t xml:space="preserve">. </w:t>
      </w:r>
      <w:r w:rsidR="00914A30" w:rsidRPr="002715F2">
        <w:rPr>
          <w:rFonts w:eastAsia="Batang"/>
          <w:lang w:val="fr-FR" w:eastAsia="ko-KR"/>
        </w:rPr>
        <w:t>Entre 2006 et 2015, 883</w:t>
      </w:r>
      <w:r w:rsidR="00181E77" w:rsidRPr="002715F2">
        <w:rPr>
          <w:rFonts w:eastAsia="Batang"/>
          <w:lang w:val="fr-FR" w:eastAsia="ko-KR"/>
        </w:rPr>
        <w:t> </w:t>
      </w:r>
      <w:r w:rsidR="00914A30" w:rsidRPr="002715F2">
        <w:rPr>
          <w:rFonts w:eastAsia="Batang"/>
          <w:lang w:val="fr-FR" w:eastAsia="ko-KR"/>
        </w:rPr>
        <w:t xml:space="preserve">personnes ont obtenu l’asile humanitaire (voir </w:t>
      </w:r>
      <w:r w:rsidR="00181E77" w:rsidRPr="002715F2">
        <w:rPr>
          <w:rFonts w:eastAsia="Batang"/>
          <w:lang w:val="fr-FR" w:eastAsia="ko-KR"/>
        </w:rPr>
        <w:t xml:space="preserve">le </w:t>
      </w:r>
      <w:r w:rsidR="00914A30" w:rsidRPr="002715F2">
        <w:rPr>
          <w:rFonts w:eastAsia="Batang"/>
          <w:lang w:val="fr-FR" w:eastAsia="ko-KR"/>
        </w:rPr>
        <w:t>tableau</w:t>
      </w:r>
      <w:r w:rsidR="00181E77" w:rsidRPr="002715F2">
        <w:rPr>
          <w:rFonts w:eastAsia="Batang"/>
          <w:lang w:val="fr-FR" w:eastAsia="ko-KR"/>
        </w:rPr>
        <w:t> </w:t>
      </w:r>
      <w:r w:rsidR="00914A30" w:rsidRPr="002715F2">
        <w:rPr>
          <w:rFonts w:eastAsia="Batang"/>
          <w:lang w:val="fr-FR" w:eastAsia="ko-KR"/>
        </w:rPr>
        <w:t>17)</w:t>
      </w:r>
      <w:r w:rsidR="000078DA" w:rsidRPr="002715F2">
        <w:rPr>
          <w:rFonts w:eastAsia="Batang"/>
          <w:lang w:val="fr-FR" w:eastAsia="ko-KR"/>
        </w:rPr>
        <w:t>.</w:t>
      </w:r>
      <w:r w:rsidR="00B351C0" w:rsidRPr="002715F2">
        <w:rPr>
          <w:rFonts w:eastAsia="Batang"/>
          <w:lang w:val="fr-FR" w:eastAsia="ko-KR"/>
        </w:rPr>
        <w:t xml:space="preserve"> </w:t>
      </w:r>
      <w:r w:rsidR="00F3230D" w:rsidRPr="002715F2">
        <w:rPr>
          <w:rFonts w:eastAsia="Batang"/>
          <w:lang w:val="fr-FR" w:eastAsia="ko-KR"/>
        </w:rPr>
        <w:t xml:space="preserve">Toutefois, le </w:t>
      </w:r>
      <w:r w:rsidR="005C6D8E" w:rsidRPr="002715F2">
        <w:rPr>
          <w:rFonts w:eastAsia="Batang"/>
          <w:lang w:val="fr-FR" w:eastAsia="ko-KR"/>
        </w:rPr>
        <w:t>Gouvernement</w:t>
      </w:r>
      <w:r w:rsidR="00F3230D" w:rsidRPr="002715F2">
        <w:rPr>
          <w:rFonts w:eastAsia="Batang"/>
          <w:lang w:val="fr-FR" w:eastAsia="ko-KR"/>
        </w:rPr>
        <w:t xml:space="preserve"> ne possède pas de données statistiques distinctes</w:t>
      </w:r>
      <w:r w:rsidR="00B351C0" w:rsidRPr="002715F2">
        <w:rPr>
          <w:rFonts w:eastAsia="Batang"/>
          <w:lang w:val="fr-FR" w:eastAsia="ko-KR"/>
        </w:rPr>
        <w:t xml:space="preserve"> </w:t>
      </w:r>
      <w:r w:rsidR="00181E77" w:rsidRPr="002715F2">
        <w:rPr>
          <w:rFonts w:eastAsia="Batang"/>
          <w:lang w:val="fr-FR" w:eastAsia="ko-KR"/>
        </w:rPr>
        <w:t>concernant l’octroi de</w:t>
      </w:r>
      <w:r w:rsidR="00B351C0" w:rsidRPr="002715F2">
        <w:rPr>
          <w:rFonts w:eastAsia="Batang"/>
          <w:lang w:val="fr-FR" w:eastAsia="ko-KR"/>
        </w:rPr>
        <w:t xml:space="preserve"> l’asile humanitaire en raison du risque de torture</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85.</w:t>
      </w:r>
      <w:r w:rsidRPr="002715F2">
        <w:rPr>
          <w:rFonts w:eastAsia="Batang"/>
          <w:lang w:val="fr-FR" w:eastAsia="ko-KR"/>
        </w:rPr>
        <w:tab/>
      </w:r>
      <w:r w:rsidR="00181E77" w:rsidRPr="002715F2">
        <w:rPr>
          <w:rFonts w:eastAsia="Batang"/>
          <w:lang w:val="fr-FR" w:eastAsia="ko-KR"/>
        </w:rPr>
        <w:t>Conformément aux</w:t>
      </w:r>
      <w:r w:rsidR="00DC51C1" w:rsidRPr="002715F2">
        <w:rPr>
          <w:rFonts w:eastAsia="Batang"/>
          <w:lang w:val="fr-FR" w:eastAsia="ko-KR"/>
        </w:rPr>
        <w:t xml:space="preserve"> traités d’extradition que la République de Corée a conclus avec d’autres pays, </w:t>
      </w:r>
      <w:r w:rsidR="00181E77" w:rsidRPr="002715F2">
        <w:rPr>
          <w:rFonts w:eastAsia="Batang"/>
          <w:lang w:val="fr-FR" w:eastAsia="ko-KR"/>
        </w:rPr>
        <w:t>tout</w:t>
      </w:r>
      <w:r w:rsidR="00DC51C1" w:rsidRPr="002715F2">
        <w:rPr>
          <w:rFonts w:eastAsia="Batang"/>
          <w:lang w:val="fr-FR" w:eastAsia="ko-KR"/>
        </w:rPr>
        <w:t xml:space="preserve"> pays </w:t>
      </w:r>
      <w:r w:rsidR="003B1AFF" w:rsidRPr="002715F2">
        <w:rPr>
          <w:rFonts w:eastAsia="Batang"/>
          <w:lang w:val="fr-FR" w:eastAsia="ko-KR"/>
        </w:rPr>
        <w:t>qui a accueilli un criminel et souhaite le réextrader vers un autre pays</w:t>
      </w:r>
      <w:r w:rsidR="00DC51C1" w:rsidRPr="002715F2">
        <w:rPr>
          <w:rFonts w:eastAsia="Batang"/>
          <w:lang w:val="fr-FR" w:eastAsia="ko-KR"/>
        </w:rPr>
        <w:t xml:space="preserve"> doit obtenir</w:t>
      </w:r>
      <w:r w:rsidR="003B1AFF" w:rsidRPr="002715F2">
        <w:rPr>
          <w:rFonts w:eastAsia="Batang"/>
          <w:lang w:val="fr-FR" w:eastAsia="ko-KR"/>
        </w:rPr>
        <w:t xml:space="preserve"> au préalable</w:t>
      </w:r>
      <w:r w:rsidR="00DC51C1" w:rsidRPr="002715F2">
        <w:rPr>
          <w:rFonts w:eastAsia="Batang"/>
          <w:lang w:val="fr-FR" w:eastAsia="ko-KR"/>
        </w:rPr>
        <w:t xml:space="preserve"> l’approbation du pays </w:t>
      </w:r>
      <w:r w:rsidR="003B1AFF" w:rsidRPr="002715F2">
        <w:rPr>
          <w:rFonts w:eastAsia="Batang"/>
          <w:lang w:val="fr-FR" w:eastAsia="ko-KR"/>
        </w:rPr>
        <w:t>qui l’a</w:t>
      </w:r>
      <w:r w:rsidR="00DC51C1" w:rsidRPr="002715F2">
        <w:rPr>
          <w:rFonts w:eastAsia="Batang"/>
          <w:lang w:val="fr-FR" w:eastAsia="ko-KR"/>
        </w:rPr>
        <w:t xml:space="preserve"> initialement extradé</w:t>
      </w:r>
      <w:r w:rsidR="000078DA" w:rsidRPr="002715F2">
        <w:rPr>
          <w:rFonts w:eastAsia="Batang"/>
          <w:lang w:val="fr-FR" w:eastAsia="ko-KR"/>
        </w:rPr>
        <w:t>.</w:t>
      </w:r>
      <w:r w:rsidR="00910148" w:rsidRPr="002715F2">
        <w:rPr>
          <w:rFonts w:eastAsia="Batang"/>
          <w:lang w:val="fr-FR" w:eastAsia="ko-KR"/>
        </w:rPr>
        <w:t xml:space="preserve"> La République de Corée possède ainsi un mécanisme pour empêcher </w:t>
      </w:r>
      <w:r w:rsidR="003B1AFF" w:rsidRPr="002715F2">
        <w:rPr>
          <w:rFonts w:eastAsia="Batang"/>
          <w:lang w:val="fr-FR" w:eastAsia="ko-KR"/>
        </w:rPr>
        <w:t>les</w:t>
      </w:r>
      <w:r w:rsidR="00910148" w:rsidRPr="002715F2">
        <w:rPr>
          <w:rFonts w:eastAsia="Batang"/>
          <w:lang w:val="fr-FR" w:eastAsia="ko-KR"/>
        </w:rPr>
        <w:t xml:space="preserve"> pays vers le</w:t>
      </w:r>
      <w:r w:rsidR="003B1AFF" w:rsidRPr="002715F2">
        <w:rPr>
          <w:rFonts w:eastAsia="Batang"/>
          <w:lang w:val="fr-FR" w:eastAsia="ko-KR"/>
        </w:rPr>
        <w:t>s</w:t>
      </w:r>
      <w:r w:rsidR="00910148" w:rsidRPr="002715F2">
        <w:rPr>
          <w:rFonts w:eastAsia="Batang"/>
          <w:lang w:val="fr-FR" w:eastAsia="ko-KR"/>
        </w:rPr>
        <w:t>quel</w:t>
      </w:r>
      <w:r w:rsidR="003B1AFF" w:rsidRPr="002715F2">
        <w:rPr>
          <w:rFonts w:eastAsia="Batang"/>
          <w:lang w:val="fr-FR" w:eastAsia="ko-KR"/>
        </w:rPr>
        <w:t>s</w:t>
      </w:r>
      <w:r w:rsidR="00910148" w:rsidRPr="002715F2">
        <w:rPr>
          <w:rFonts w:eastAsia="Batang"/>
          <w:lang w:val="fr-FR" w:eastAsia="ko-KR"/>
        </w:rPr>
        <w:t xml:space="preserve"> elle extrad</w:t>
      </w:r>
      <w:r w:rsidR="003B1AFF" w:rsidRPr="002715F2">
        <w:rPr>
          <w:rFonts w:eastAsia="Batang"/>
          <w:lang w:val="fr-FR" w:eastAsia="ko-KR"/>
        </w:rPr>
        <w:t>e des</w:t>
      </w:r>
      <w:r w:rsidR="00910148" w:rsidRPr="002715F2">
        <w:rPr>
          <w:rFonts w:eastAsia="Batang"/>
          <w:lang w:val="fr-FR" w:eastAsia="ko-KR"/>
        </w:rPr>
        <w:t xml:space="preserve"> criminel</w:t>
      </w:r>
      <w:r w:rsidR="003B1AFF" w:rsidRPr="002715F2">
        <w:rPr>
          <w:rFonts w:eastAsia="Batang"/>
          <w:lang w:val="fr-FR" w:eastAsia="ko-KR"/>
        </w:rPr>
        <w:t>s</w:t>
      </w:r>
      <w:r w:rsidR="00910148" w:rsidRPr="002715F2">
        <w:rPr>
          <w:rFonts w:eastAsia="Batang"/>
          <w:lang w:val="fr-FR" w:eastAsia="ko-KR"/>
        </w:rPr>
        <w:t xml:space="preserve"> de </w:t>
      </w:r>
      <w:r w:rsidR="005C6D8E" w:rsidRPr="002715F2">
        <w:rPr>
          <w:rFonts w:eastAsia="Batang"/>
          <w:lang w:val="fr-FR" w:eastAsia="ko-KR"/>
        </w:rPr>
        <w:t>ré</w:t>
      </w:r>
      <w:r w:rsidR="00910148" w:rsidRPr="002715F2">
        <w:rPr>
          <w:rFonts w:eastAsia="Batang"/>
          <w:lang w:val="fr-FR" w:eastAsia="ko-KR"/>
        </w:rPr>
        <w:t xml:space="preserve">extrader </w:t>
      </w:r>
      <w:r w:rsidR="003B1AFF" w:rsidRPr="002715F2">
        <w:rPr>
          <w:rFonts w:eastAsia="Batang"/>
          <w:lang w:val="fr-FR" w:eastAsia="ko-KR"/>
        </w:rPr>
        <w:t xml:space="preserve">ces derniers </w:t>
      </w:r>
      <w:r w:rsidR="00910148" w:rsidRPr="002715F2">
        <w:rPr>
          <w:rFonts w:eastAsia="Batang"/>
          <w:lang w:val="fr-FR" w:eastAsia="ko-KR"/>
        </w:rPr>
        <w:t>vers un pays</w:t>
      </w:r>
      <w:r w:rsidR="003B1AFF" w:rsidRPr="002715F2">
        <w:rPr>
          <w:rFonts w:eastAsia="Batang"/>
          <w:lang w:val="fr-FR" w:eastAsia="ko-KR"/>
        </w:rPr>
        <w:t xml:space="preserve"> tiers</w:t>
      </w:r>
      <w:r w:rsidR="00910148" w:rsidRPr="002715F2">
        <w:rPr>
          <w:rFonts w:eastAsia="Batang"/>
          <w:lang w:val="fr-FR" w:eastAsia="ko-KR"/>
        </w:rPr>
        <w:t xml:space="preserve"> sans </w:t>
      </w:r>
      <w:r w:rsidR="003B1AFF" w:rsidRPr="002715F2">
        <w:rPr>
          <w:rFonts w:eastAsia="Batang"/>
          <w:lang w:val="fr-FR" w:eastAsia="ko-KR"/>
        </w:rPr>
        <w:t>son</w:t>
      </w:r>
      <w:r w:rsidR="00910148" w:rsidRPr="002715F2">
        <w:rPr>
          <w:rFonts w:eastAsia="Batang"/>
          <w:lang w:val="fr-FR" w:eastAsia="ko-KR"/>
        </w:rPr>
        <w:t xml:space="preserve"> consent</w:t>
      </w:r>
      <w:r w:rsidR="003B1AFF" w:rsidRPr="002715F2">
        <w:rPr>
          <w:rFonts w:eastAsia="Batang"/>
          <w:lang w:val="fr-FR" w:eastAsia="ko-KR"/>
        </w:rPr>
        <w:t>ement</w:t>
      </w:r>
      <w:r w:rsidR="000078DA" w:rsidRPr="002715F2">
        <w:rPr>
          <w:rFonts w:eastAsia="Batang"/>
          <w:lang w:val="fr-FR" w:eastAsia="ko-KR"/>
        </w:rPr>
        <w:t xml:space="preserve">. </w:t>
      </w:r>
      <w:r w:rsidR="003B1AFF" w:rsidRPr="002715F2">
        <w:rPr>
          <w:rFonts w:eastAsia="Batang"/>
          <w:lang w:val="fr-FR" w:eastAsia="ko-KR"/>
        </w:rPr>
        <w:t>A</w:t>
      </w:r>
      <w:r w:rsidR="00910148" w:rsidRPr="002715F2">
        <w:rPr>
          <w:rFonts w:eastAsia="Batang"/>
          <w:lang w:val="fr-FR" w:eastAsia="ko-KR"/>
        </w:rPr>
        <w:t xml:space="preserve">ucun cas de criminel extradé de la République de Corée puis </w:t>
      </w:r>
      <w:r w:rsidR="005C6D8E" w:rsidRPr="002715F2">
        <w:rPr>
          <w:rFonts w:eastAsia="Batang"/>
          <w:lang w:val="fr-FR" w:eastAsia="ko-KR"/>
        </w:rPr>
        <w:t>ré</w:t>
      </w:r>
      <w:r w:rsidR="00910148" w:rsidRPr="002715F2">
        <w:rPr>
          <w:rFonts w:eastAsia="Batang"/>
          <w:lang w:val="fr-FR" w:eastAsia="ko-KR"/>
        </w:rPr>
        <w:t xml:space="preserve">extradé vers un </w:t>
      </w:r>
      <w:r w:rsidR="003B1AFF" w:rsidRPr="002715F2">
        <w:rPr>
          <w:rFonts w:eastAsia="Batang"/>
          <w:lang w:val="fr-FR" w:eastAsia="ko-KR"/>
        </w:rPr>
        <w:t xml:space="preserve">autre </w:t>
      </w:r>
      <w:r w:rsidR="00910148" w:rsidRPr="002715F2">
        <w:rPr>
          <w:rFonts w:eastAsia="Batang"/>
          <w:lang w:val="fr-FR" w:eastAsia="ko-KR"/>
        </w:rPr>
        <w:t>pays</w:t>
      </w:r>
      <w:r w:rsidR="003B1AFF" w:rsidRPr="002715F2">
        <w:rPr>
          <w:rFonts w:eastAsia="Batang"/>
          <w:lang w:val="fr-FR" w:eastAsia="ko-KR"/>
        </w:rPr>
        <w:t xml:space="preserve"> n’a été confirmé</w:t>
      </w:r>
      <w:r w:rsidR="00F60999" w:rsidRPr="002715F2">
        <w:rPr>
          <w:rFonts w:eastAsia="Batang"/>
          <w:lang w:val="fr-FR" w:eastAsia="ko-KR"/>
        </w:rPr>
        <w:t>.</w:t>
      </w:r>
    </w:p>
    <w:p w:rsidR="000078DA" w:rsidRPr="002715F2" w:rsidRDefault="00961BE3">
      <w:pPr>
        <w:pStyle w:val="H1G"/>
        <w:rPr>
          <w:rFonts w:eastAsia="Batang"/>
          <w:lang w:val="fr-FR"/>
        </w:rPr>
      </w:pPr>
      <w:r w:rsidRPr="002715F2">
        <w:rPr>
          <w:rFonts w:eastAsia="Batang"/>
          <w:lang w:val="fr-FR"/>
        </w:rPr>
        <w:tab/>
      </w:r>
      <w:r w:rsidRPr="002715F2">
        <w:rPr>
          <w:rFonts w:eastAsia="Batang"/>
          <w:lang w:val="fr-FR"/>
        </w:rPr>
        <w:tab/>
      </w:r>
      <w:r w:rsidR="003B1AFF" w:rsidRPr="002715F2">
        <w:rPr>
          <w:rFonts w:eastAsia="Batang"/>
          <w:lang w:val="fr-FR"/>
        </w:rPr>
        <w:t>Articles </w:t>
      </w:r>
      <w:r w:rsidR="000078DA" w:rsidRPr="002715F2">
        <w:rPr>
          <w:rFonts w:eastAsia="Batang"/>
          <w:lang w:val="fr-FR"/>
        </w:rPr>
        <w:t>5</w:t>
      </w:r>
      <w:r w:rsidR="00643BBE" w:rsidRPr="002715F2">
        <w:rPr>
          <w:rFonts w:eastAsia="Batang"/>
          <w:lang w:val="fr-FR"/>
        </w:rPr>
        <w:t xml:space="preserve">, 7 </w:t>
      </w:r>
      <w:r w:rsidR="00AA4323" w:rsidRPr="002715F2">
        <w:rPr>
          <w:rFonts w:eastAsia="Batang"/>
          <w:lang w:val="fr-FR"/>
        </w:rPr>
        <w:t>et</w:t>
      </w:r>
      <w:r w:rsidR="00643BBE" w:rsidRPr="002715F2">
        <w:rPr>
          <w:rFonts w:eastAsia="Batang"/>
          <w:lang w:val="fr-FR"/>
        </w:rPr>
        <w:t xml:space="preserve"> 8</w:t>
      </w:r>
    </w:p>
    <w:p w:rsidR="000078DA" w:rsidRPr="002715F2" w:rsidRDefault="00961BE3" w:rsidP="00643BBE">
      <w:pPr>
        <w:pStyle w:val="H23G"/>
        <w:rPr>
          <w:rFonts w:eastAsia="Malgun Gothic"/>
          <w:lang w:val="fr-FR" w:eastAsia="ko-KR"/>
        </w:rPr>
      </w:pPr>
      <w:r w:rsidRPr="002715F2">
        <w:rPr>
          <w:rFonts w:eastAsia="Batang"/>
          <w:lang w:val="fr-FR" w:eastAsia="ko-KR"/>
        </w:rPr>
        <w:tab/>
      </w:r>
      <w:r w:rsidRPr="002715F2">
        <w:rPr>
          <w:rFonts w:eastAsia="Batang"/>
          <w:lang w:val="fr-FR" w:eastAsia="ko-KR"/>
        </w:rPr>
        <w:tab/>
      </w:r>
      <w:r w:rsidR="00AA4323" w:rsidRPr="002715F2">
        <w:rPr>
          <w:rFonts w:eastAsia="Malgun Gothic"/>
          <w:lang w:val="fr-FR" w:eastAsia="ko-KR"/>
        </w:rPr>
        <w:t>Réponse aux qu</w:t>
      </w:r>
      <w:r w:rsidR="003B1AFF" w:rsidRPr="002715F2">
        <w:rPr>
          <w:rFonts w:eastAsia="Malgun Gothic"/>
          <w:lang w:val="fr-FR" w:eastAsia="ko-KR"/>
        </w:rPr>
        <w:t xml:space="preserve">estions soulevées au </w:t>
      </w:r>
      <w:r w:rsidR="00675A3D" w:rsidRPr="002715F2">
        <w:rPr>
          <w:rFonts w:eastAsia="Malgun Gothic"/>
          <w:lang w:val="fr-FR" w:eastAsia="ko-KR"/>
        </w:rPr>
        <w:t xml:space="preserve">paragraphe </w:t>
      </w:r>
      <w:r w:rsidR="00AA4323" w:rsidRPr="002715F2">
        <w:rPr>
          <w:rFonts w:eastAsia="Malgun Gothic"/>
          <w:lang w:val="fr-FR" w:eastAsia="ko-KR"/>
        </w:rPr>
        <w:t>13</w:t>
      </w:r>
    </w:p>
    <w:p w:rsidR="000078DA" w:rsidRPr="002715F2" w:rsidRDefault="007026FB" w:rsidP="007026FB">
      <w:pPr>
        <w:pStyle w:val="SingleTxtG"/>
        <w:rPr>
          <w:rFonts w:eastAsia="Batang"/>
          <w:lang w:val="fr-FR" w:eastAsia="ko-KR"/>
        </w:rPr>
      </w:pPr>
      <w:r w:rsidRPr="002715F2">
        <w:rPr>
          <w:rFonts w:eastAsia="Batang"/>
          <w:lang w:val="fr-FR" w:eastAsia="ko-KR"/>
        </w:rPr>
        <w:t>86.</w:t>
      </w:r>
      <w:r w:rsidRPr="002715F2">
        <w:rPr>
          <w:rFonts w:eastAsia="Batang"/>
          <w:lang w:val="fr-FR" w:eastAsia="ko-KR"/>
        </w:rPr>
        <w:tab/>
      </w:r>
      <w:r w:rsidR="003B1AFF" w:rsidRPr="002715F2">
        <w:rPr>
          <w:rFonts w:eastAsia="Batang"/>
          <w:lang w:val="fr-FR" w:eastAsia="ko-KR"/>
        </w:rPr>
        <w:t>Entre 2006 et 2015, i</w:t>
      </w:r>
      <w:r w:rsidR="00AA4323" w:rsidRPr="002715F2">
        <w:rPr>
          <w:rFonts w:eastAsia="Batang"/>
          <w:lang w:val="fr-FR" w:eastAsia="ko-KR"/>
        </w:rPr>
        <w:t>l n’y a eu aucun cas signalé ou confirmé</w:t>
      </w:r>
      <w:r w:rsidR="003B1AFF" w:rsidRPr="002715F2">
        <w:rPr>
          <w:rFonts w:eastAsia="Batang"/>
          <w:lang w:val="fr-FR" w:eastAsia="ko-KR"/>
        </w:rPr>
        <w:t xml:space="preserve"> dans lequel le Gouvernement</w:t>
      </w:r>
      <w:r w:rsidR="00AA4323" w:rsidRPr="002715F2">
        <w:rPr>
          <w:rFonts w:eastAsia="Batang"/>
          <w:lang w:val="fr-FR" w:eastAsia="ko-KR"/>
        </w:rPr>
        <w:t xml:space="preserve"> a</w:t>
      </w:r>
      <w:r w:rsidR="003B1AFF" w:rsidRPr="002715F2">
        <w:rPr>
          <w:rFonts w:eastAsia="Batang"/>
          <w:lang w:val="fr-FR" w:eastAsia="ko-KR"/>
        </w:rPr>
        <w:t>urait</w:t>
      </w:r>
      <w:r w:rsidR="00AA4323" w:rsidRPr="002715F2">
        <w:rPr>
          <w:rFonts w:eastAsia="Batang"/>
          <w:lang w:val="fr-FR" w:eastAsia="ko-KR"/>
        </w:rPr>
        <w:t xml:space="preserve"> rejet</w:t>
      </w:r>
      <w:r w:rsidR="00974D91" w:rsidRPr="002715F2">
        <w:rPr>
          <w:rFonts w:eastAsia="Batang"/>
          <w:lang w:val="fr-FR" w:eastAsia="ko-KR"/>
        </w:rPr>
        <w:t>é</w:t>
      </w:r>
      <w:r w:rsidR="00AA4323" w:rsidRPr="002715F2">
        <w:rPr>
          <w:rFonts w:eastAsia="Batang"/>
          <w:lang w:val="fr-FR" w:eastAsia="ko-KR"/>
        </w:rPr>
        <w:t xml:space="preserve"> une demande d’extradition et engagé des poursuites </w:t>
      </w:r>
      <w:r w:rsidR="00974D91" w:rsidRPr="002715F2">
        <w:rPr>
          <w:rFonts w:eastAsia="Batang"/>
          <w:lang w:val="fr-FR" w:eastAsia="ko-KR"/>
        </w:rPr>
        <w:t xml:space="preserve">contre </w:t>
      </w:r>
      <w:r w:rsidR="00AA4323" w:rsidRPr="002715F2">
        <w:rPr>
          <w:rFonts w:eastAsia="Batang"/>
          <w:lang w:val="fr-FR" w:eastAsia="ko-KR"/>
        </w:rPr>
        <w:t>une personne soupçonnée d’avoir commis des actes de torture</w:t>
      </w:r>
      <w:r w:rsidR="000078DA" w:rsidRPr="002715F2">
        <w:rPr>
          <w:rFonts w:eastAsia="Batang"/>
          <w:lang w:val="fr-FR" w:eastAsia="ko-KR"/>
        </w:rPr>
        <w:t>.</w:t>
      </w:r>
    </w:p>
    <w:p w:rsidR="000078DA" w:rsidRPr="002715F2" w:rsidRDefault="00961BE3" w:rsidP="00643BBE">
      <w:pPr>
        <w:pStyle w:val="H23G"/>
        <w:rPr>
          <w:rFonts w:eastAsia="Batang" w:cs="Gulim"/>
          <w:bCs/>
          <w:lang w:val="fr-FR" w:eastAsia="ko-KR"/>
        </w:rPr>
      </w:pPr>
      <w:r w:rsidRPr="002715F2">
        <w:rPr>
          <w:rFonts w:eastAsia="Batang"/>
          <w:lang w:val="fr-FR" w:eastAsia="ko-KR"/>
        </w:rPr>
        <w:tab/>
      </w:r>
      <w:r w:rsidRPr="002715F2">
        <w:rPr>
          <w:rFonts w:eastAsia="Batang"/>
          <w:lang w:val="fr-FR" w:eastAsia="ko-KR"/>
        </w:rPr>
        <w:tab/>
      </w:r>
      <w:r w:rsidR="00AA4323" w:rsidRPr="002715F2">
        <w:rPr>
          <w:rFonts w:eastAsia="Batang" w:cs="Gulim"/>
          <w:bCs/>
          <w:lang w:val="fr-FR" w:eastAsia="ko-KR"/>
        </w:rPr>
        <w:t xml:space="preserve">Réponse aux questions soulevées au </w:t>
      </w:r>
      <w:r w:rsidR="00675A3D" w:rsidRPr="002715F2">
        <w:rPr>
          <w:rFonts w:eastAsia="Batang" w:cs="Gulim"/>
          <w:bCs/>
          <w:lang w:val="fr-FR" w:eastAsia="ko-KR"/>
        </w:rPr>
        <w:t xml:space="preserve">paragraphe </w:t>
      </w:r>
      <w:r w:rsidR="00AA4323" w:rsidRPr="002715F2">
        <w:rPr>
          <w:rFonts w:eastAsia="Batang" w:cs="Gulim"/>
          <w:bCs/>
          <w:lang w:val="fr-FR" w:eastAsia="ko-KR"/>
        </w:rPr>
        <w:t>14</w:t>
      </w:r>
    </w:p>
    <w:p w:rsidR="000078DA" w:rsidRPr="002715F2" w:rsidRDefault="007026FB" w:rsidP="007026FB">
      <w:pPr>
        <w:pStyle w:val="SingleTxtG"/>
        <w:rPr>
          <w:rFonts w:eastAsia="Batang"/>
          <w:lang w:val="fr-FR" w:eastAsia="ko-KR"/>
        </w:rPr>
      </w:pPr>
      <w:r w:rsidRPr="002715F2">
        <w:rPr>
          <w:rFonts w:eastAsia="Batang"/>
          <w:lang w:val="fr-FR" w:eastAsia="ko-KR"/>
        </w:rPr>
        <w:t>87.</w:t>
      </w:r>
      <w:r w:rsidRPr="002715F2">
        <w:rPr>
          <w:rFonts w:eastAsia="Batang"/>
          <w:lang w:val="fr-FR" w:eastAsia="ko-KR"/>
        </w:rPr>
        <w:tab/>
      </w:r>
      <w:r w:rsidR="00231DB2" w:rsidRPr="002715F2">
        <w:rPr>
          <w:rFonts w:eastAsia="Batang"/>
          <w:lang w:val="fr-FR" w:eastAsia="ko-KR"/>
        </w:rPr>
        <w:t>S’agissant d</w:t>
      </w:r>
      <w:r w:rsidR="00231DB2" w:rsidRPr="002715F2">
        <w:rPr>
          <w:lang w:val="fr-FR"/>
        </w:rPr>
        <w:t>es infractions visées dans le Protocole facultatif à la Convention relative aux droits de l’enfant, concernant la vente d’enfants, la prostitution des enfants et la pornographie mettant en scène des enfants</w:t>
      </w:r>
      <w:r w:rsidR="00E97B1A" w:rsidRPr="002715F2">
        <w:rPr>
          <w:lang w:val="fr-FR"/>
        </w:rPr>
        <w:t>:</w:t>
      </w:r>
      <w:r w:rsidR="002C37D1" w:rsidRPr="002715F2">
        <w:rPr>
          <w:lang w:val="fr-FR"/>
        </w:rPr>
        <w:t xml:space="preserve"> </w:t>
      </w:r>
      <w:r w:rsidR="00231DB2" w:rsidRPr="002715F2">
        <w:rPr>
          <w:lang w:val="fr-FR"/>
        </w:rPr>
        <w:t xml:space="preserve">si </w:t>
      </w:r>
      <w:r w:rsidR="00232A32" w:rsidRPr="002715F2">
        <w:rPr>
          <w:lang w:val="fr-FR"/>
        </w:rPr>
        <w:t>ces infractions</w:t>
      </w:r>
      <w:r w:rsidR="00231DB2" w:rsidRPr="002715F2">
        <w:rPr>
          <w:lang w:val="fr-FR"/>
        </w:rPr>
        <w:t xml:space="preserve"> sont </w:t>
      </w:r>
      <w:r w:rsidR="002C37D1" w:rsidRPr="002715F2">
        <w:rPr>
          <w:lang w:val="fr-FR"/>
        </w:rPr>
        <w:t xml:space="preserve">commises par </w:t>
      </w:r>
      <w:r w:rsidR="005A2E92" w:rsidRPr="002715F2">
        <w:rPr>
          <w:lang w:val="fr-FR"/>
        </w:rPr>
        <w:t xml:space="preserve">ou contre </w:t>
      </w:r>
      <w:r w:rsidR="002C37D1" w:rsidRPr="002715F2">
        <w:rPr>
          <w:lang w:val="fr-FR"/>
        </w:rPr>
        <w:t>un</w:t>
      </w:r>
      <w:r w:rsidR="00231DB2" w:rsidRPr="002715F2">
        <w:rPr>
          <w:rFonts w:eastAsia="Batang"/>
          <w:lang w:val="fr-FR" w:eastAsia="ko-KR"/>
        </w:rPr>
        <w:t xml:space="preserve"> </w:t>
      </w:r>
      <w:r w:rsidR="00231DB2" w:rsidRPr="002715F2">
        <w:rPr>
          <w:lang w:val="fr-FR"/>
        </w:rPr>
        <w:t xml:space="preserve">ressortissant de la République de Corée, </w:t>
      </w:r>
      <w:r w:rsidR="002C37D1" w:rsidRPr="002715F2">
        <w:rPr>
          <w:rFonts w:eastAsia="Batang"/>
          <w:lang w:val="fr-FR" w:eastAsia="ko-KR"/>
        </w:rPr>
        <w:t>l</w:t>
      </w:r>
      <w:r w:rsidR="00231DB2" w:rsidRPr="002715F2">
        <w:rPr>
          <w:rFonts w:eastAsia="Batang"/>
          <w:lang w:val="fr-FR" w:eastAsia="ko-KR"/>
        </w:rPr>
        <w:t xml:space="preserve">eur </w:t>
      </w:r>
      <w:r w:rsidR="002C37D1" w:rsidRPr="002715F2">
        <w:rPr>
          <w:rFonts w:eastAsia="Batang"/>
          <w:lang w:val="fr-FR" w:eastAsia="ko-KR"/>
        </w:rPr>
        <w:t xml:space="preserve">auteur </w:t>
      </w:r>
      <w:r w:rsidR="00231DB2" w:rsidRPr="002715F2">
        <w:rPr>
          <w:rFonts w:eastAsia="Batang"/>
          <w:lang w:val="fr-FR" w:eastAsia="ko-KR"/>
        </w:rPr>
        <w:t xml:space="preserve">sera </w:t>
      </w:r>
      <w:r w:rsidR="002C37D1" w:rsidRPr="002715F2">
        <w:rPr>
          <w:rFonts w:eastAsia="Batang"/>
          <w:lang w:val="fr-FR" w:eastAsia="ko-KR"/>
        </w:rPr>
        <w:t>passible des sanctions prévues par le Code pénal</w:t>
      </w:r>
      <w:r w:rsidR="00231DB2" w:rsidRPr="002715F2">
        <w:rPr>
          <w:rFonts w:eastAsia="Batang"/>
          <w:lang w:val="fr-FR" w:eastAsia="ko-KR"/>
        </w:rPr>
        <w:t xml:space="preserve"> complété</w:t>
      </w:r>
      <w:r w:rsidR="002C37D1" w:rsidRPr="002715F2">
        <w:rPr>
          <w:rFonts w:eastAsia="Batang"/>
          <w:lang w:val="fr-FR" w:eastAsia="ko-KR"/>
        </w:rPr>
        <w:t xml:space="preserve"> notamment </w:t>
      </w:r>
      <w:r w:rsidR="00231DB2" w:rsidRPr="002715F2">
        <w:rPr>
          <w:rFonts w:eastAsia="Batang"/>
          <w:lang w:val="fr-FR" w:eastAsia="ko-KR"/>
        </w:rPr>
        <w:t>par le</w:t>
      </w:r>
      <w:r w:rsidR="002C37D1" w:rsidRPr="002715F2">
        <w:rPr>
          <w:rFonts w:eastAsia="Batang"/>
          <w:lang w:val="fr-FR" w:eastAsia="ko-KR"/>
        </w:rPr>
        <w:t xml:space="preserve"> principe de la nationalité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 xml:space="preserve">3) </w:t>
      </w:r>
      <w:r w:rsidR="002C37D1" w:rsidRPr="002715F2">
        <w:rPr>
          <w:rFonts w:eastAsia="Batang"/>
          <w:lang w:val="fr-FR" w:eastAsia="ko-KR"/>
        </w:rPr>
        <w:t xml:space="preserve">et </w:t>
      </w:r>
      <w:r w:rsidR="00231DB2" w:rsidRPr="002715F2">
        <w:rPr>
          <w:rFonts w:eastAsia="Batang"/>
          <w:lang w:val="fr-FR" w:eastAsia="ko-KR"/>
        </w:rPr>
        <w:t>le</w:t>
      </w:r>
      <w:r w:rsidR="002C37D1" w:rsidRPr="002715F2">
        <w:rPr>
          <w:rFonts w:eastAsia="Batang"/>
          <w:lang w:val="fr-FR" w:eastAsia="ko-KR"/>
        </w:rPr>
        <w:t xml:space="preserve"> </w:t>
      </w:r>
      <w:r w:rsidR="005C6D8E" w:rsidRPr="002715F2">
        <w:rPr>
          <w:rFonts w:eastAsia="Batang"/>
          <w:lang w:val="fr-FR" w:eastAsia="ko-KR"/>
        </w:rPr>
        <w:t>principe</w:t>
      </w:r>
      <w:r w:rsidR="002C37D1" w:rsidRPr="002715F2">
        <w:rPr>
          <w:rFonts w:eastAsia="Batang"/>
          <w:lang w:val="fr-FR" w:eastAsia="ko-KR"/>
        </w:rPr>
        <w:t xml:space="preserve"> de </w:t>
      </w:r>
      <w:r w:rsidR="00231DB2" w:rsidRPr="002715F2">
        <w:rPr>
          <w:rFonts w:eastAsia="Batang"/>
          <w:lang w:val="fr-FR" w:eastAsia="ko-KR"/>
        </w:rPr>
        <w:t xml:space="preserve">la </w:t>
      </w:r>
      <w:r w:rsidR="002C37D1" w:rsidRPr="002715F2">
        <w:rPr>
          <w:rFonts w:eastAsia="Batang"/>
          <w:lang w:val="fr-FR" w:eastAsia="ko-KR"/>
        </w:rPr>
        <w:t>protection</w:t>
      </w:r>
      <w:r w:rsidR="000078DA" w:rsidRPr="002715F2">
        <w:rPr>
          <w:rFonts w:eastAsia="Batang"/>
          <w:lang w:val="fr-FR" w:eastAsia="ko-KR"/>
        </w:rPr>
        <w:t xml:space="preserve"> (</w:t>
      </w:r>
      <w:r w:rsidR="00BD1A84" w:rsidRPr="002715F2">
        <w:rPr>
          <w:rFonts w:eastAsia="Batang"/>
          <w:lang w:val="fr-FR" w:eastAsia="ko-KR"/>
        </w:rPr>
        <w:t>art. </w:t>
      </w:r>
      <w:r w:rsidR="000078DA" w:rsidRPr="002715F2">
        <w:rPr>
          <w:rFonts w:eastAsia="Batang"/>
          <w:lang w:val="fr-FR" w:eastAsia="ko-KR"/>
        </w:rPr>
        <w:t xml:space="preserve">6). </w:t>
      </w:r>
      <w:r w:rsidR="005A2E92" w:rsidRPr="002715F2">
        <w:rPr>
          <w:rFonts w:eastAsia="Batang"/>
          <w:lang w:val="fr-FR" w:eastAsia="ko-KR"/>
        </w:rPr>
        <w:t>L</w:t>
      </w:r>
      <w:r w:rsidR="002C37D1" w:rsidRPr="002715F2">
        <w:rPr>
          <w:rFonts w:eastAsia="Batang"/>
          <w:lang w:val="fr-FR" w:eastAsia="ko-KR"/>
        </w:rPr>
        <w:t xml:space="preserve">e </w:t>
      </w:r>
      <w:r w:rsidR="00984C16" w:rsidRPr="002715F2">
        <w:rPr>
          <w:rFonts w:eastAsia="Batang"/>
          <w:lang w:val="fr-FR" w:eastAsia="ko-KR"/>
        </w:rPr>
        <w:t xml:space="preserve">Gouvernement </w:t>
      </w:r>
      <w:r w:rsidR="00232A32" w:rsidRPr="002715F2">
        <w:rPr>
          <w:rFonts w:eastAsia="Batang"/>
          <w:lang w:val="fr-FR" w:eastAsia="ko-KR"/>
        </w:rPr>
        <w:t xml:space="preserve">a modifié le </w:t>
      </w:r>
      <w:r w:rsidR="002C37D1" w:rsidRPr="002715F2">
        <w:rPr>
          <w:rFonts w:eastAsia="Batang"/>
          <w:lang w:val="fr-FR" w:eastAsia="ko-KR"/>
        </w:rPr>
        <w:t xml:space="preserve">Code </w:t>
      </w:r>
      <w:r w:rsidR="005C6D8E" w:rsidRPr="002715F2">
        <w:rPr>
          <w:rFonts w:eastAsia="Batang"/>
          <w:lang w:val="fr-FR" w:eastAsia="ko-KR"/>
        </w:rPr>
        <w:t>pénal</w:t>
      </w:r>
      <w:r w:rsidR="002C37D1" w:rsidRPr="002715F2">
        <w:rPr>
          <w:rFonts w:eastAsia="Batang"/>
          <w:lang w:val="fr-FR" w:eastAsia="ko-KR"/>
        </w:rPr>
        <w:t xml:space="preserve"> </w:t>
      </w:r>
      <w:r w:rsidR="00231DB2" w:rsidRPr="002715F2">
        <w:rPr>
          <w:rFonts w:eastAsia="Batang"/>
          <w:lang w:val="fr-FR" w:eastAsia="ko-KR"/>
        </w:rPr>
        <w:t>le 5 </w:t>
      </w:r>
      <w:r w:rsidR="002C37D1" w:rsidRPr="002715F2">
        <w:rPr>
          <w:rFonts w:eastAsia="Batang"/>
          <w:lang w:val="fr-FR" w:eastAsia="ko-KR"/>
        </w:rPr>
        <w:t xml:space="preserve">avril 2013 afin </w:t>
      </w:r>
      <w:r w:rsidR="002C37D1" w:rsidRPr="002715F2">
        <w:rPr>
          <w:lang w:val="fr-FR"/>
        </w:rPr>
        <w:t xml:space="preserve">d’établir </w:t>
      </w:r>
      <w:r w:rsidR="00232A32" w:rsidRPr="002715F2">
        <w:rPr>
          <w:lang w:val="fr-FR"/>
        </w:rPr>
        <w:t>sa</w:t>
      </w:r>
      <w:r w:rsidR="002C37D1" w:rsidRPr="002715F2">
        <w:rPr>
          <w:lang w:val="fr-FR"/>
        </w:rPr>
        <w:t xml:space="preserve"> compétence </w:t>
      </w:r>
      <w:r w:rsidR="00232A32" w:rsidRPr="002715F2">
        <w:rPr>
          <w:lang w:val="fr-FR"/>
        </w:rPr>
        <w:t xml:space="preserve">pénale </w:t>
      </w:r>
      <w:r w:rsidR="002C37D1" w:rsidRPr="002715F2">
        <w:rPr>
          <w:lang w:val="fr-FR"/>
        </w:rPr>
        <w:t xml:space="preserve">extraterritoriale </w:t>
      </w:r>
      <w:r w:rsidR="00232A32" w:rsidRPr="002715F2">
        <w:rPr>
          <w:lang w:val="fr-FR"/>
        </w:rPr>
        <w:t>pour l</w:t>
      </w:r>
      <w:r w:rsidR="002C37D1" w:rsidRPr="002715F2">
        <w:rPr>
          <w:rFonts w:eastAsia="Batang"/>
          <w:lang w:val="fr-FR" w:eastAsia="ko-KR"/>
        </w:rPr>
        <w:t>es crimes</w:t>
      </w:r>
      <w:r w:rsidR="00232A32" w:rsidRPr="002715F2">
        <w:rPr>
          <w:rFonts w:eastAsia="Batang"/>
          <w:lang w:val="fr-FR" w:eastAsia="ko-KR"/>
        </w:rPr>
        <w:t xml:space="preserve"> commis</w:t>
      </w:r>
      <w:r w:rsidR="002C37D1" w:rsidRPr="002715F2">
        <w:rPr>
          <w:rFonts w:eastAsia="Batang"/>
          <w:lang w:val="fr-FR" w:eastAsia="ko-KR"/>
        </w:rPr>
        <w:t xml:space="preserve"> </w:t>
      </w:r>
      <w:r w:rsidR="00232A32" w:rsidRPr="002715F2">
        <w:rPr>
          <w:rFonts w:eastAsia="Batang"/>
          <w:lang w:val="fr-FR" w:eastAsia="ko-KR"/>
        </w:rPr>
        <w:t>à l’étranger par des personnes non coréennes lorsque ceux-ci</w:t>
      </w:r>
      <w:r w:rsidR="002C37D1" w:rsidRPr="002715F2">
        <w:rPr>
          <w:rFonts w:eastAsia="Batang"/>
          <w:lang w:val="fr-FR" w:eastAsia="ko-KR"/>
        </w:rPr>
        <w:t xml:space="preserve"> portent atteinte à des </w:t>
      </w:r>
      <w:r w:rsidR="00232A32" w:rsidRPr="002715F2">
        <w:rPr>
          <w:rFonts w:eastAsia="Batang"/>
          <w:lang w:val="fr-FR" w:eastAsia="ko-KR"/>
        </w:rPr>
        <w:t>principes</w:t>
      </w:r>
      <w:r w:rsidR="002C37D1" w:rsidRPr="002715F2">
        <w:rPr>
          <w:rFonts w:eastAsia="Batang"/>
          <w:lang w:val="fr-FR" w:eastAsia="ko-KR"/>
        </w:rPr>
        <w:t xml:space="preserve"> juridiques universels, notamment en cas d’enlèvement ou </w:t>
      </w:r>
      <w:r w:rsidR="005A2E92" w:rsidRPr="002715F2">
        <w:rPr>
          <w:rFonts w:eastAsia="Batang"/>
          <w:lang w:val="fr-FR" w:eastAsia="ko-KR"/>
        </w:rPr>
        <w:t xml:space="preserve">de </w:t>
      </w:r>
      <w:r w:rsidR="005C6D8E" w:rsidRPr="002715F2">
        <w:rPr>
          <w:rFonts w:eastAsia="Batang"/>
          <w:lang w:val="fr-FR" w:eastAsia="ko-KR"/>
        </w:rPr>
        <w:t>manœuvre</w:t>
      </w:r>
      <w:r w:rsidR="005A2E92" w:rsidRPr="002715F2">
        <w:rPr>
          <w:rFonts w:eastAsia="Batang"/>
          <w:lang w:val="fr-FR" w:eastAsia="ko-KR"/>
        </w:rPr>
        <w:t xml:space="preserve"> </w:t>
      </w:r>
      <w:r w:rsidR="005C6D8E" w:rsidRPr="002715F2">
        <w:rPr>
          <w:rFonts w:eastAsia="Batang"/>
          <w:lang w:val="fr-FR" w:eastAsia="ko-KR"/>
        </w:rPr>
        <w:t>captatoire</w:t>
      </w:r>
      <w:r w:rsidR="002C37D1" w:rsidRPr="002715F2">
        <w:rPr>
          <w:rFonts w:eastAsia="Batang"/>
          <w:lang w:val="fr-FR" w:eastAsia="ko-KR"/>
        </w:rPr>
        <w:t xml:space="preserve"> de mineurs (art. 296-2)</w:t>
      </w:r>
      <w:r w:rsidR="00F60999" w:rsidRPr="002715F2">
        <w:rPr>
          <w:rFonts w:eastAsia="Batang"/>
          <w:lang w:val="fr-FR" w:eastAsia="ko-KR"/>
        </w:rPr>
        <w:t>.</w:t>
      </w:r>
    </w:p>
    <w:p w:rsidR="000078DA" w:rsidRPr="002715F2" w:rsidRDefault="00643BBE">
      <w:pPr>
        <w:pStyle w:val="H1G"/>
        <w:rPr>
          <w:rFonts w:eastAsia="Batang"/>
          <w:lang w:val="fr-FR"/>
        </w:rPr>
      </w:pPr>
      <w:r w:rsidRPr="002715F2">
        <w:rPr>
          <w:rFonts w:eastAsia="Batang"/>
          <w:lang w:val="fr-FR"/>
        </w:rPr>
        <w:tab/>
      </w:r>
      <w:r w:rsidRPr="002715F2">
        <w:rPr>
          <w:rFonts w:eastAsia="Batang"/>
          <w:lang w:val="fr-FR"/>
        </w:rPr>
        <w:tab/>
        <w:t>Article</w:t>
      </w:r>
      <w:r w:rsidR="00232A32" w:rsidRPr="002715F2">
        <w:rPr>
          <w:rFonts w:eastAsia="Batang"/>
          <w:lang w:val="fr-FR"/>
        </w:rPr>
        <w:t> </w:t>
      </w:r>
      <w:r w:rsidRPr="002715F2">
        <w:rPr>
          <w:rFonts w:eastAsia="Batang"/>
          <w:lang w:val="fr-FR"/>
        </w:rPr>
        <w:t>10</w:t>
      </w:r>
    </w:p>
    <w:p w:rsidR="000078DA" w:rsidRPr="002715F2" w:rsidRDefault="00643BBE"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5A2E92" w:rsidRPr="002715F2">
        <w:rPr>
          <w:rFonts w:eastAsia="Batang"/>
          <w:lang w:val="fr-FR" w:eastAsia="ko-KR"/>
        </w:rPr>
        <w:t>Réponse aux question</w:t>
      </w:r>
      <w:r w:rsidR="00232A32" w:rsidRPr="002715F2">
        <w:rPr>
          <w:rFonts w:eastAsia="Batang"/>
          <w:lang w:val="fr-FR" w:eastAsia="ko-KR"/>
        </w:rPr>
        <w:t xml:space="preserve">s soulevées au </w:t>
      </w:r>
      <w:r w:rsidR="00675A3D" w:rsidRPr="002715F2">
        <w:rPr>
          <w:rFonts w:eastAsia="Batang"/>
          <w:lang w:val="fr-FR" w:eastAsia="ko-KR"/>
        </w:rPr>
        <w:t xml:space="preserve">paragraphe </w:t>
      </w:r>
      <w:r w:rsidR="005A2E92" w:rsidRPr="002715F2">
        <w:rPr>
          <w:rFonts w:eastAsia="Batang"/>
          <w:lang w:val="fr-FR" w:eastAsia="ko-KR"/>
        </w:rPr>
        <w:t>15</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604BE2" w:rsidRPr="002715F2">
        <w:rPr>
          <w:rFonts w:eastAsia="Batang"/>
          <w:lang w:val="fr-FR" w:eastAsia="ko-KR"/>
        </w:rPr>
        <w:t xml:space="preserve">Éducation aux droits de l’homme </w:t>
      </w:r>
      <w:r w:rsidR="00232A32" w:rsidRPr="002715F2">
        <w:rPr>
          <w:rFonts w:eastAsia="Batang"/>
          <w:lang w:val="fr-FR" w:eastAsia="ko-KR"/>
        </w:rPr>
        <w:t>à l’intention du</w:t>
      </w:r>
      <w:r w:rsidR="00604BE2" w:rsidRPr="002715F2">
        <w:rPr>
          <w:rFonts w:eastAsia="Batang"/>
          <w:lang w:val="fr-FR" w:eastAsia="ko-KR"/>
        </w:rPr>
        <w:t xml:space="preserve"> personnel judiciaire</w:t>
      </w:r>
    </w:p>
    <w:p w:rsidR="000078DA" w:rsidRPr="002715F2" w:rsidRDefault="007026FB" w:rsidP="007026FB">
      <w:pPr>
        <w:pStyle w:val="SingleTxtG"/>
        <w:rPr>
          <w:rFonts w:eastAsia="Batang"/>
          <w:lang w:val="fr-FR" w:eastAsia="ko-KR"/>
        </w:rPr>
      </w:pPr>
      <w:r w:rsidRPr="002715F2">
        <w:rPr>
          <w:rFonts w:eastAsia="Batang"/>
          <w:lang w:val="fr-FR" w:eastAsia="ko-KR"/>
        </w:rPr>
        <w:t>88.</w:t>
      </w:r>
      <w:r w:rsidRPr="002715F2">
        <w:rPr>
          <w:rFonts w:eastAsia="Batang"/>
          <w:lang w:val="fr-FR" w:eastAsia="ko-KR"/>
        </w:rPr>
        <w:tab/>
      </w:r>
      <w:r w:rsidR="00604BE2" w:rsidRPr="002715F2">
        <w:rPr>
          <w:rFonts w:eastAsia="Batang"/>
          <w:lang w:val="fr-FR" w:eastAsia="ko-KR"/>
        </w:rPr>
        <w:t xml:space="preserve">Depuis </w:t>
      </w:r>
      <w:r w:rsidR="00A624D6" w:rsidRPr="002715F2">
        <w:rPr>
          <w:rFonts w:eastAsia="Batang"/>
          <w:lang w:val="fr-FR" w:eastAsia="ko-KR"/>
        </w:rPr>
        <w:t>la création du</w:t>
      </w:r>
      <w:r w:rsidR="00604BE2" w:rsidRPr="002715F2">
        <w:rPr>
          <w:rFonts w:eastAsia="Batang"/>
          <w:lang w:val="fr-FR" w:eastAsia="ko-KR"/>
        </w:rPr>
        <w:t xml:space="preserve"> Bureau des droits de l’homme </w:t>
      </w:r>
      <w:r w:rsidR="00A624D6" w:rsidRPr="002715F2">
        <w:rPr>
          <w:rFonts w:eastAsia="Batang"/>
          <w:lang w:val="fr-FR" w:eastAsia="ko-KR"/>
        </w:rPr>
        <w:t>du</w:t>
      </w:r>
      <w:r w:rsidR="00604BE2" w:rsidRPr="002715F2">
        <w:rPr>
          <w:rFonts w:eastAsia="Batang"/>
          <w:lang w:val="fr-FR" w:eastAsia="ko-KR"/>
        </w:rPr>
        <w:t xml:space="preserve"> Ministère de la justice</w:t>
      </w:r>
      <w:r w:rsidR="00A624D6" w:rsidRPr="002715F2">
        <w:rPr>
          <w:rFonts w:eastAsia="Batang"/>
          <w:lang w:val="fr-FR" w:eastAsia="ko-KR"/>
        </w:rPr>
        <w:t xml:space="preserve"> en mai </w:t>
      </w:r>
      <w:r w:rsidR="00604BE2" w:rsidRPr="002715F2">
        <w:rPr>
          <w:rFonts w:eastAsia="Batang"/>
          <w:lang w:val="fr-FR" w:eastAsia="ko-KR"/>
        </w:rPr>
        <w:t xml:space="preserve">2006, divers programmes d’éducation </w:t>
      </w:r>
      <w:r w:rsidR="00A624D6" w:rsidRPr="002715F2">
        <w:rPr>
          <w:rFonts w:eastAsia="Batang"/>
          <w:lang w:val="fr-FR" w:eastAsia="ko-KR"/>
        </w:rPr>
        <w:t>aux</w:t>
      </w:r>
      <w:r w:rsidR="00604BE2" w:rsidRPr="002715F2">
        <w:rPr>
          <w:rFonts w:eastAsia="Batang"/>
          <w:lang w:val="fr-FR" w:eastAsia="ko-KR"/>
        </w:rPr>
        <w:t xml:space="preserve"> droits de l’homme ont été mis au point</w:t>
      </w:r>
      <w:r w:rsidR="00E97B1A" w:rsidRPr="002715F2">
        <w:rPr>
          <w:rFonts w:eastAsia="Batang"/>
          <w:lang w:val="fr-FR" w:eastAsia="ko-KR"/>
        </w:rPr>
        <w:t>;</w:t>
      </w:r>
      <w:r w:rsidR="000078DA" w:rsidRPr="002715F2">
        <w:rPr>
          <w:rFonts w:eastAsia="Batang"/>
          <w:lang w:val="fr-FR" w:eastAsia="ko-KR"/>
        </w:rPr>
        <w:t xml:space="preserve"> </w:t>
      </w:r>
      <w:r w:rsidR="00604BE2" w:rsidRPr="002715F2">
        <w:rPr>
          <w:rFonts w:eastAsia="Batang"/>
          <w:lang w:val="fr-FR" w:eastAsia="ko-KR"/>
        </w:rPr>
        <w:t xml:space="preserve">la formation </w:t>
      </w:r>
      <w:r w:rsidR="00A624D6" w:rsidRPr="002715F2">
        <w:rPr>
          <w:rFonts w:eastAsia="Batang"/>
          <w:lang w:val="fr-FR" w:eastAsia="ko-KR"/>
        </w:rPr>
        <w:t>dispensée</w:t>
      </w:r>
      <w:r w:rsidR="00604BE2" w:rsidRPr="002715F2">
        <w:rPr>
          <w:rFonts w:eastAsia="Batang"/>
          <w:lang w:val="fr-FR" w:eastAsia="ko-KR"/>
        </w:rPr>
        <w:t xml:space="preserve"> au personnel judiciaire </w:t>
      </w:r>
      <w:r w:rsidR="00A624D6" w:rsidRPr="002715F2">
        <w:rPr>
          <w:rFonts w:eastAsia="Batang"/>
          <w:lang w:val="fr-FR" w:eastAsia="ko-KR"/>
        </w:rPr>
        <w:t xml:space="preserve">en la matière </w:t>
      </w:r>
      <w:r w:rsidR="00604BE2" w:rsidRPr="002715F2">
        <w:rPr>
          <w:rFonts w:eastAsia="Batang"/>
          <w:lang w:val="fr-FR" w:eastAsia="ko-KR"/>
        </w:rPr>
        <w:t xml:space="preserve">a été </w:t>
      </w:r>
      <w:r w:rsidR="00046D72" w:rsidRPr="002715F2">
        <w:rPr>
          <w:rFonts w:eastAsia="Batang"/>
          <w:lang w:val="fr-FR" w:eastAsia="ko-KR"/>
        </w:rPr>
        <w:t>étoffée</w:t>
      </w:r>
      <w:r w:rsidR="00604BE2" w:rsidRPr="002715F2">
        <w:rPr>
          <w:rFonts w:eastAsia="Batang"/>
          <w:lang w:val="fr-FR" w:eastAsia="ko-KR"/>
        </w:rPr>
        <w:t xml:space="preserve"> afin de prévenir la torture et les mauvais traitements</w:t>
      </w:r>
      <w:r w:rsidR="000078DA"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89.</w:t>
      </w:r>
      <w:r w:rsidRPr="002715F2">
        <w:rPr>
          <w:rFonts w:eastAsia="Batang"/>
          <w:lang w:val="fr-FR" w:eastAsia="ko-KR"/>
        </w:rPr>
        <w:tab/>
      </w:r>
      <w:r w:rsidR="00604BE2" w:rsidRPr="002715F2">
        <w:rPr>
          <w:rFonts w:eastAsia="Malgun Gothic"/>
          <w:kern w:val="2"/>
          <w:szCs w:val="22"/>
          <w:lang w:val="fr-FR" w:eastAsia="ko-KR"/>
        </w:rPr>
        <w:t>Les formations de sensibilisation aux droits de l’homme dispensées au personnel judiciaire</w:t>
      </w:r>
      <w:r w:rsidR="000078DA" w:rsidRPr="002715F2">
        <w:rPr>
          <w:rFonts w:eastAsia="Batang"/>
          <w:lang w:val="fr-FR" w:eastAsia="ko-KR"/>
        </w:rPr>
        <w:t xml:space="preserve"> (</w:t>
      </w:r>
      <w:r w:rsidR="00604BE2" w:rsidRPr="002715F2">
        <w:rPr>
          <w:rFonts w:eastAsia="Batang"/>
          <w:lang w:val="fr-FR" w:eastAsia="ko-KR"/>
        </w:rPr>
        <w:t xml:space="preserve">y compris aux </w:t>
      </w:r>
      <w:r w:rsidR="00604BE2" w:rsidRPr="002715F2">
        <w:rPr>
          <w:lang w:val="fr-FR"/>
        </w:rPr>
        <w:t xml:space="preserve">fonctionnaires des établissements </w:t>
      </w:r>
      <w:r w:rsidR="00730B36" w:rsidRPr="002715F2">
        <w:rPr>
          <w:rFonts w:eastAsia="Batang"/>
          <w:lang w:val="fr-FR" w:eastAsia="ko-KR"/>
        </w:rPr>
        <w:t>pénitentiaires</w:t>
      </w:r>
      <w:r w:rsidR="000078DA" w:rsidRPr="002715F2">
        <w:rPr>
          <w:rFonts w:eastAsia="Batang"/>
          <w:lang w:val="fr-FR" w:eastAsia="ko-KR"/>
        </w:rPr>
        <w:t xml:space="preserve">) </w:t>
      </w:r>
      <w:r w:rsidR="00604BE2" w:rsidRPr="002715F2">
        <w:rPr>
          <w:rFonts w:eastAsia="Batang"/>
          <w:lang w:val="fr-FR" w:eastAsia="ko-KR"/>
        </w:rPr>
        <w:t xml:space="preserve">développent l’empathie, l’écoute et la communication entre les détenus et les fonctionnaires, et </w:t>
      </w:r>
      <w:r w:rsidR="005C6D8E" w:rsidRPr="002715F2">
        <w:rPr>
          <w:rFonts w:eastAsia="Batang"/>
          <w:lang w:val="fr-FR" w:eastAsia="ko-KR"/>
        </w:rPr>
        <w:t>requièrent</w:t>
      </w:r>
      <w:r w:rsidR="00604BE2" w:rsidRPr="002715F2">
        <w:rPr>
          <w:rFonts w:eastAsia="Batang"/>
          <w:lang w:val="fr-FR" w:eastAsia="ko-KR"/>
        </w:rPr>
        <w:t xml:space="preserve"> la participation active des </w:t>
      </w:r>
      <w:r w:rsidR="00A84C79" w:rsidRPr="002715F2">
        <w:rPr>
          <w:rFonts w:eastAsia="Batang"/>
          <w:lang w:val="fr-FR" w:eastAsia="ko-KR"/>
        </w:rPr>
        <w:t>personnes qui y prennent part</w:t>
      </w:r>
      <w:r w:rsidR="000078DA" w:rsidRPr="002715F2">
        <w:rPr>
          <w:rFonts w:eastAsia="Batang"/>
          <w:lang w:val="fr-FR" w:eastAsia="ko-KR"/>
        </w:rPr>
        <w:t xml:space="preserve">. </w:t>
      </w:r>
      <w:r w:rsidR="00A84C79" w:rsidRPr="002715F2">
        <w:rPr>
          <w:rFonts w:eastAsia="Batang"/>
          <w:lang w:val="fr-FR" w:eastAsia="ko-KR"/>
        </w:rPr>
        <w:t>Entre</w:t>
      </w:r>
      <w:r w:rsidR="000078DA" w:rsidRPr="002715F2">
        <w:rPr>
          <w:rFonts w:eastAsia="Batang"/>
          <w:lang w:val="fr-FR" w:eastAsia="ko-KR"/>
        </w:rPr>
        <w:t xml:space="preserve"> 2008 </w:t>
      </w:r>
      <w:r w:rsidR="00A84C79" w:rsidRPr="002715F2">
        <w:rPr>
          <w:rFonts w:eastAsia="Batang"/>
          <w:lang w:val="fr-FR" w:eastAsia="ko-KR"/>
        </w:rPr>
        <w:t>et</w:t>
      </w:r>
      <w:r w:rsidR="000078DA" w:rsidRPr="002715F2">
        <w:rPr>
          <w:rFonts w:eastAsia="Batang"/>
          <w:lang w:val="fr-FR" w:eastAsia="ko-KR"/>
        </w:rPr>
        <w:t xml:space="preserve"> 2009, 903</w:t>
      </w:r>
      <w:r w:rsidR="00A84C79" w:rsidRPr="002715F2">
        <w:rPr>
          <w:rFonts w:eastAsia="Batang"/>
          <w:lang w:val="fr-FR" w:eastAsia="ko-KR"/>
        </w:rPr>
        <w:t xml:space="preserve"> fonctionnaires ont suivi </w:t>
      </w:r>
      <w:r w:rsidR="000078DA" w:rsidRPr="002715F2">
        <w:rPr>
          <w:rFonts w:eastAsia="Batang"/>
          <w:lang w:val="fr-FR" w:eastAsia="ko-KR"/>
        </w:rPr>
        <w:t>30</w:t>
      </w:r>
      <w:r w:rsidR="00046D72" w:rsidRPr="002715F2">
        <w:rPr>
          <w:rFonts w:eastAsia="Batang"/>
          <w:lang w:val="fr-FR" w:eastAsia="ko-KR"/>
        </w:rPr>
        <w:t> </w:t>
      </w:r>
      <w:r w:rsidR="000078DA" w:rsidRPr="002715F2">
        <w:rPr>
          <w:rFonts w:eastAsia="Batang"/>
          <w:lang w:val="fr-FR" w:eastAsia="ko-KR"/>
        </w:rPr>
        <w:t xml:space="preserve">sessions </w:t>
      </w:r>
      <w:r w:rsidR="00A84C79" w:rsidRPr="002715F2">
        <w:rPr>
          <w:rFonts w:eastAsia="Batang"/>
          <w:lang w:val="fr-FR" w:eastAsia="ko-KR"/>
        </w:rPr>
        <w:t>de formation dispens</w:t>
      </w:r>
      <w:r w:rsidR="00046D72" w:rsidRPr="002715F2">
        <w:rPr>
          <w:rFonts w:eastAsia="Batang"/>
          <w:lang w:val="fr-FR" w:eastAsia="ko-KR"/>
        </w:rPr>
        <w:t>é</w:t>
      </w:r>
      <w:r w:rsidR="00A84C79" w:rsidRPr="002715F2">
        <w:rPr>
          <w:rFonts w:eastAsia="Batang"/>
          <w:lang w:val="fr-FR" w:eastAsia="ko-KR"/>
        </w:rPr>
        <w:t xml:space="preserve">es par </w:t>
      </w:r>
      <w:r w:rsidR="0005113C" w:rsidRPr="002715F2">
        <w:rPr>
          <w:rFonts w:eastAsia="Batang"/>
          <w:lang w:val="fr-FR" w:eastAsia="ko-KR"/>
        </w:rPr>
        <w:t>une organisation de défense des droits de l’homme extérieure</w:t>
      </w:r>
      <w:r w:rsidR="00E97B1A" w:rsidRPr="002715F2">
        <w:rPr>
          <w:rFonts w:eastAsia="Batang"/>
          <w:lang w:val="fr-FR" w:eastAsia="ko-KR"/>
        </w:rPr>
        <w:t>;</w:t>
      </w:r>
      <w:r w:rsidR="00A84C79" w:rsidRPr="002715F2">
        <w:rPr>
          <w:rFonts w:eastAsia="Batang"/>
          <w:lang w:val="fr-FR" w:eastAsia="ko-KR"/>
        </w:rPr>
        <w:t xml:space="preserve"> entre 2010 et 2015, des fonctionnaires instructeurs des droits de l’homme ont </w:t>
      </w:r>
      <w:r w:rsidR="001F69EB" w:rsidRPr="002715F2">
        <w:rPr>
          <w:rFonts w:eastAsia="Batang"/>
          <w:lang w:val="fr-FR" w:eastAsia="ko-KR"/>
        </w:rPr>
        <w:t xml:space="preserve">formé </w:t>
      </w:r>
      <w:r w:rsidR="00046D72" w:rsidRPr="002715F2">
        <w:rPr>
          <w:rFonts w:eastAsia="Batang"/>
          <w:lang w:val="fr-FR" w:eastAsia="ko-KR"/>
        </w:rPr>
        <w:t>3 </w:t>
      </w:r>
      <w:r w:rsidR="00A84C79" w:rsidRPr="002715F2">
        <w:rPr>
          <w:rFonts w:eastAsia="Batang"/>
          <w:lang w:val="fr-FR" w:eastAsia="ko-KR"/>
        </w:rPr>
        <w:t>436</w:t>
      </w:r>
      <w:r w:rsidR="00046D72" w:rsidRPr="002715F2">
        <w:rPr>
          <w:rFonts w:eastAsia="Batang"/>
          <w:lang w:val="fr-FR" w:eastAsia="ko-KR"/>
        </w:rPr>
        <w:t> </w:t>
      </w:r>
      <w:r w:rsidR="00A84C79" w:rsidRPr="002715F2">
        <w:rPr>
          <w:rFonts w:eastAsia="Batang"/>
          <w:lang w:val="fr-FR" w:eastAsia="ko-KR"/>
        </w:rPr>
        <w:t>fonctionnaires dans le cadre de 135 sessions</w:t>
      </w:r>
      <w:r w:rsidR="000078DA" w:rsidRPr="002715F2">
        <w:rPr>
          <w:rFonts w:eastAsia="Batang"/>
          <w:lang w:val="fr-FR" w:eastAsia="ko-KR"/>
        </w:rPr>
        <w:t xml:space="preserve">. </w:t>
      </w:r>
      <w:r w:rsidR="00A84C79" w:rsidRPr="002715F2">
        <w:rPr>
          <w:rFonts w:eastAsia="Batang"/>
          <w:lang w:val="fr-FR" w:eastAsia="ko-KR"/>
        </w:rPr>
        <w:t>Entre</w:t>
      </w:r>
      <w:r w:rsidR="000078DA" w:rsidRPr="002715F2">
        <w:rPr>
          <w:rFonts w:eastAsia="Batang"/>
          <w:lang w:val="fr-FR" w:eastAsia="ko-KR"/>
        </w:rPr>
        <w:t xml:space="preserve"> 2008 </w:t>
      </w:r>
      <w:r w:rsidR="00A84C79" w:rsidRPr="002715F2">
        <w:rPr>
          <w:rFonts w:eastAsia="Batang"/>
          <w:lang w:val="fr-FR" w:eastAsia="ko-KR"/>
        </w:rPr>
        <w:t>et</w:t>
      </w:r>
      <w:r w:rsidR="000078DA" w:rsidRPr="002715F2">
        <w:rPr>
          <w:rFonts w:eastAsia="Batang"/>
          <w:lang w:val="fr-FR" w:eastAsia="ko-KR"/>
        </w:rPr>
        <w:t xml:space="preserve"> 2013, </w:t>
      </w:r>
      <w:r w:rsidR="000078DA" w:rsidRPr="002715F2">
        <w:rPr>
          <w:rFonts w:eastAsia="휴먼명조"/>
          <w:spacing w:val="4"/>
          <w:lang w:val="fr-FR" w:eastAsia="ko-KR"/>
        </w:rPr>
        <w:t>91</w:t>
      </w:r>
      <w:r w:rsidR="00046D72" w:rsidRPr="002715F2">
        <w:rPr>
          <w:rFonts w:eastAsia="Batang"/>
          <w:lang w:val="fr-FR" w:eastAsia="ko-KR"/>
        </w:rPr>
        <w:t> </w:t>
      </w:r>
      <w:r w:rsidR="0005113C" w:rsidRPr="002715F2">
        <w:rPr>
          <w:rFonts w:eastAsia="Batang"/>
          <w:lang w:val="fr-FR" w:eastAsia="ko-KR"/>
        </w:rPr>
        <w:t xml:space="preserve">instructeurs </w:t>
      </w:r>
      <w:r w:rsidR="00A84C79" w:rsidRPr="002715F2">
        <w:rPr>
          <w:rFonts w:eastAsia="Batang"/>
          <w:lang w:val="fr-FR" w:eastAsia="ko-KR"/>
        </w:rPr>
        <w:t>des droits de l’homme ont été formés</w:t>
      </w:r>
      <w:r w:rsidR="000078DA" w:rsidRPr="002715F2">
        <w:rPr>
          <w:rFonts w:eastAsia="Batang"/>
          <w:lang w:val="fr-FR" w:eastAsia="ko-KR"/>
        </w:rPr>
        <w:t xml:space="preserve">. </w:t>
      </w:r>
      <w:r w:rsidR="00A84C79" w:rsidRPr="002715F2">
        <w:rPr>
          <w:rFonts w:eastAsia="Batang"/>
          <w:lang w:val="fr-FR" w:eastAsia="ko-KR"/>
        </w:rPr>
        <w:t>Entre 2009 et 2015, un grou</w:t>
      </w:r>
      <w:r w:rsidR="0005113C" w:rsidRPr="002715F2">
        <w:rPr>
          <w:rFonts w:eastAsia="Batang"/>
          <w:lang w:val="fr-FR" w:eastAsia="ko-KR"/>
        </w:rPr>
        <w:t>pe d’instructeurs extérieurs composé d’enseignants</w:t>
      </w:r>
      <w:r w:rsidR="00A84C79" w:rsidRPr="002715F2">
        <w:rPr>
          <w:rFonts w:eastAsia="Batang"/>
          <w:lang w:val="fr-FR" w:eastAsia="ko-KR"/>
        </w:rPr>
        <w:t>, d’avocats et d</w:t>
      </w:r>
      <w:r w:rsidR="0005113C" w:rsidRPr="002715F2">
        <w:rPr>
          <w:rFonts w:eastAsia="Batang"/>
          <w:lang w:val="fr-FR" w:eastAsia="ko-KR"/>
        </w:rPr>
        <w:t>e</w:t>
      </w:r>
      <w:r w:rsidR="00220C2E" w:rsidRPr="002715F2">
        <w:rPr>
          <w:rFonts w:eastAsia="Batang"/>
          <w:lang w:val="fr-FR" w:eastAsia="ko-KR"/>
        </w:rPr>
        <w:t xml:space="preserve"> spécialistes</w:t>
      </w:r>
      <w:r w:rsidR="00A84C79" w:rsidRPr="002715F2">
        <w:rPr>
          <w:rFonts w:eastAsia="Batang"/>
          <w:lang w:val="fr-FR" w:eastAsia="ko-KR"/>
        </w:rPr>
        <w:t xml:space="preserve"> des droits de l’homme</w:t>
      </w:r>
      <w:r w:rsidR="0005113C" w:rsidRPr="002715F2">
        <w:rPr>
          <w:rFonts w:eastAsia="Batang"/>
          <w:lang w:val="fr-FR" w:eastAsia="ko-KR"/>
        </w:rPr>
        <w:t xml:space="preserve"> (soit 65 personnes au 31 décembre 2015)</w:t>
      </w:r>
      <w:r w:rsidR="00A84C79" w:rsidRPr="002715F2">
        <w:rPr>
          <w:rFonts w:eastAsia="Batang"/>
          <w:lang w:val="fr-FR" w:eastAsia="ko-KR"/>
        </w:rPr>
        <w:t xml:space="preserve"> a été constitué et a </w:t>
      </w:r>
      <w:r w:rsidR="0005113C" w:rsidRPr="002715F2">
        <w:rPr>
          <w:rFonts w:eastAsia="Batang"/>
          <w:lang w:val="fr-FR" w:eastAsia="ko-KR"/>
        </w:rPr>
        <w:t>prodigué 217 sessions d’éducation aux</w:t>
      </w:r>
      <w:r w:rsidR="00A84C79" w:rsidRPr="002715F2">
        <w:rPr>
          <w:rFonts w:eastAsia="Batang"/>
          <w:lang w:val="fr-FR" w:eastAsia="ko-KR"/>
        </w:rPr>
        <w:t xml:space="preserve"> droits </w:t>
      </w:r>
      <w:r w:rsidR="0005113C" w:rsidRPr="002715F2">
        <w:rPr>
          <w:rFonts w:eastAsia="Batang"/>
          <w:lang w:val="fr-FR" w:eastAsia="ko-KR"/>
        </w:rPr>
        <w:t>fondamentaux</w:t>
      </w:r>
      <w:r w:rsidR="00A84C79" w:rsidRPr="002715F2">
        <w:rPr>
          <w:rFonts w:eastAsia="Batang"/>
          <w:lang w:val="fr-FR" w:eastAsia="ko-KR"/>
        </w:rPr>
        <w:t xml:space="preserve"> à 10</w:t>
      </w:r>
      <w:r w:rsidR="00046D72" w:rsidRPr="002715F2">
        <w:rPr>
          <w:rFonts w:eastAsia="Batang"/>
          <w:lang w:val="fr-FR" w:eastAsia="ko-KR"/>
        </w:rPr>
        <w:t> </w:t>
      </w:r>
      <w:r w:rsidR="001F69EB" w:rsidRPr="002715F2">
        <w:rPr>
          <w:rFonts w:eastAsia="Batang"/>
          <w:lang w:val="fr-FR" w:eastAsia="ko-KR"/>
        </w:rPr>
        <w:t xml:space="preserve"> 520 </w:t>
      </w:r>
      <w:r w:rsidR="00A84C79" w:rsidRPr="002715F2">
        <w:rPr>
          <w:rFonts w:eastAsia="Batang"/>
          <w:lang w:val="fr-FR" w:eastAsia="ko-KR"/>
        </w:rPr>
        <w:t>fonctionnaires</w:t>
      </w:r>
      <w:r w:rsidR="000078DA" w:rsidRPr="002715F2">
        <w:rPr>
          <w:rFonts w:eastAsia="휴먼명조"/>
          <w:spacing w:val="-2"/>
          <w:lang w:val="fr-FR" w:eastAsia="ko-KR"/>
        </w:rPr>
        <w:t xml:space="preserve">. </w:t>
      </w:r>
      <w:r w:rsidR="00A84C79" w:rsidRPr="002715F2">
        <w:rPr>
          <w:rFonts w:eastAsia="휴먼명조"/>
          <w:spacing w:val="-2"/>
          <w:lang w:val="fr-FR" w:eastAsia="ko-KR"/>
        </w:rPr>
        <w:t>Entre</w:t>
      </w:r>
      <w:r w:rsidR="000078DA" w:rsidRPr="002715F2">
        <w:rPr>
          <w:rFonts w:eastAsia="Batang"/>
          <w:lang w:val="fr-FR" w:eastAsia="ko-KR"/>
        </w:rPr>
        <w:t xml:space="preserve"> </w:t>
      </w:r>
      <w:r w:rsidR="001F69EB" w:rsidRPr="002715F2">
        <w:rPr>
          <w:rFonts w:eastAsia="Batang"/>
          <w:lang w:val="fr-FR" w:eastAsia="ko-KR"/>
        </w:rPr>
        <w:t xml:space="preserve">septembre </w:t>
      </w:r>
      <w:r w:rsidR="000078DA" w:rsidRPr="002715F2">
        <w:rPr>
          <w:rFonts w:eastAsia="Batang"/>
          <w:lang w:val="fr-FR" w:eastAsia="ko-KR"/>
        </w:rPr>
        <w:t xml:space="preserve">2012 </w:t>
      </w:r>
      <w:r w:rsidR="00A84C79" w:rsidRPr="002715F2">
        <w:rPr>
          <w:rFonts w:eastAsia="Batang"/>
          <w:lang w:val="fr-FR" w:eastAsia="ko-KR"/>
        </w:rPr>
        <w:t>et</w:t>
      </w:r>
      <w:r w:rsidR="000078DA" w:rsidRPr="002715F2">
        <w:rPr>
          <w:rFonts w:eastAsia="Batang"/>
          <w:lang w:val="fr-FR" w:eastAsia="ko-KR"/>
        </w:rPr>
        <w:t xml:space="preserve"> 2015, </w:t>
      </w:r>
      <w:r w:rsidR="00A84C79" w:rsidRPr="002715F2">
        <w:rPr>
          <w:rFonts w:eastAsia="Batang"/>
          <w:lang w:val="fr-FR" w:eastAsia="ko-KR"/>
        </w:rPr>
        <w:t>546</w:t>
      </w:r>
      <w:r w:rsidR="00046D72" w:rsidRPr="002715F2">
        <w:rPr>
          <w:rFonts w:eastAsia="Batang"/>
          <w:lang w:val="fr-FR" w:eastAsia="ko-KR"/>
        </w:rPr>
        <w:t> </w:t>
      </w:r>
      <w:r w:rsidR="0005113C" w:rsidRPr="002715F2">
        <w:rPr>
          <w:rFonts w:eastAsia="Batang"/>
          <w:lang w:val="fr-FR" w:eastAsia="ko-KR"/>
        </w:rPr>
        <w:t xml:space="preserve">stagiaires, </w:t>
      </w:r>
      <w:r w:rsidR="00A84C79" w:rsidRPr="002715F2">
        <w:rPr>
          <w:rFonts w:eastAsia="Batang"/>
          <w:lang w:val="fr-FR" w:eastAsia="ko-KR"/>
        </w:rPr>
        <w:t>dont des procureurs</w:t>
      </w:r>
      <w:r w:rsidR="0005113C" w:rsidRPr="002715F2">
        <w:rPr>
          <w:rFonts w:eastAsia="Batang"/>
          <w:lang w:val="fr-FR" w:eastAsia="ko-KR"/>
        </w:rPr>
        <w:t>,</w:t>
      </w:r>
      <w:r w:rsidR="00A84C79" w:rsidRPr="002715F2">
        <w:rPr>
          <w:rFonts w:eastAsia="Batang"/>
          <w:lang w:val="fr-FR" w:eastAsia="ko-KR"/>
        </w:rPr>
        <w:t xml:space="preserve"> ont </w:t>
      </w:r>
      <w:r w:rsidR="004F5E25" w:rsidRPr="002715F2">
        <w:rPr>
          <w:rFonts w:eastAsia="Batang"/>
          <w:lang w:val="fr-FR" w:eastAsia="ko-KR"/>
        </w:rPr>
        <w:t xml:space="preserve">également </w:t>
      </w:r>
      <w:r w:rsidR="00A84C79" w:rsidRPr="002715F2">
        <w:rPr>
          <w:rFonts w:eastAsia="Batang"/>
          <w:lang w:val="fr-FR" w:eastAsia="ko-KR"/>
        </w:rPr>
        <w:t xml:space="preserve">suivi </w:t>
      </w:r>
      <w:r w:rsidR="000078DA" w:rsidRPr="002715F2">
        <w:rPr>
          <w:rFonts w:eastAsia="Batang"/>
          <w:lang w:val="fr-FR" w:eastAsia="ko-KR"/>
        </w:rPr>
        <w:t>74</w:t>
      </w:r>
      <w:r w:rsidR="0005113C" w:rsidRPr="002715F2">
        <w:rPr>
          <w:rFonts w:eastAsia="Batang"/>
          <w:lang w:val="fr-FR" w:eastAsia="ko-KR"/>
        </w:rPr>
        <w:t> </w:t>
      </w:r>
      <w:r w:rsidR="00A84C79" w:rsidRPr="002715F2">
        <w:rPr>
          <w:rFonts w:eastAsia="Batang"/>
          <w:lang w:val="fr-FR" w:eastAsia="ko-KR"/>
        </w:rPr>
        <w:t xml:space="preserve">sessions d’éducation </w:t>
      </w:r>
      <w:r w:rsidR="00F87BEA" w:rsidRPr="002715F2">
        <w:rPr>
          <w:rFonts w:eastAsia="Batang"/>
          <w:lang w:val="fr-FR" w:eastAsia="ko-KR"/>
        </w:rPr>
        <w:t>sur cette question</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90.</w:t>
      </w:r>
      <w:r w:rsidRPr="002715F2">
        <w:rPr>
          <w:rFonts w:eastAsia="Batang"/>
          <w:lang w:val="fr-FR" w:eastAsia="ko-KR"/>
        </w:rPr>
        <w:tab/>
      </w:r>
      <w:r w:rsidR="005171FE" w:rsidRPr="002715F2">
        <w:rPr>
          <w:rFonts w:eastAsia="Batang"/>
          <w:lang w:val="fr-FR" w:eastAsia="ko-KR"/>
        </w:rPr>
        <w:t xml:space="preserve">En </w:t>
      </w:r>
      <w:r w:rsidR="001F69EB" w:rsidRPr="002715F2">
        <w:rPr>
          <w:rFonts w:eastAsia="Batang"/>
          <w:lang w:val="fr-FR" w:eastAsia="ko-KR"/>
        </w:rPr>
        <w:t xml:space="preserve">décembre </w:t>
      </w:r>
      <w:r w:rsidR="005171FE" w:rsidRPr="002715F2">
        <w:rPr>
          <w:rFonts w:eastAsia="Batang"/>
          <w:lang w:val="fr-FR" w:eastAsia="ko-KR"/>
        </w:rPr>
        <w:t xml:space="preserve">2008, des </w:t>
      </w:r>
      <w:r w:rsidR="003D7D36" w:rsidRPr="002715F2">
        <w:rPr>
          <w:rFonts w:ascii="TimesNewRomanPSMT" w:hAnsi="TimesNewRomanPSMT" w:cs="TimesNewRomanPSMT"/>
          <w:lang w:val="fr-FR" w:eastAsia="en-GB"/>
        </w:rPr>
        <w:t>matériels didactiques</w:t>
      </w:r>
      <w:r w:rsidR="003D7D36" w:rsidRPr="002715F2">
        <w:rPr>
          <w:rFonts w:eastAsia="Batang"/>
          <w:lang w:val="fr-FR" w:eastAsia="ko-KR"/>
        </w:rPr>
        <w:t xml:space="preserve"> </w:t>
      </w:r>
      <w:r w:rsidR="005171FE" w:rsidRPr="002715F2">
        <w:rPr>
          <w:rFonts w:eastAsia="Batang"/>
          <w:lang w:val="fr-FR" w:eastAsia="ko-KR"/>
        </w:rPr>
        <w:t xml:space="preserve">sur les traités internationaux relatifs aux droits de </w:t>
      </w:r>
      <w:r w:rsidR="003D7D36" w:rsidRPr="002715F2">
        <w:rPr>
          <w:rFonts w:eastAsia="Batang"/>
          <w:lang w:val="fr-FR" w:eastAsia="ko-KR"/>
        </w:rPr>
        <w:t>la personne</w:t>
      </w:r>
      <w:r w:rsidR="005171FE" w:rsidRPr="002715F2">
        <w:rPr>
          <w:rFonts w:eastAsia="Batang"/>
          <w:lang w:val="fr-FR" w:eastAsia="ko-KR"/>
        </w:rPr>
        <w:t xml:space="preserve"> et leur mise en œuvre ont été élaborés </w:t>
      </w:r>
      <w:r w:rsidR="00F56292" w:rsidRPr="002715F2">
        <w:rPr>
          <w:rFonts w:eastAsia="Batang"/>
          <w:lang w:val="fr-FR" w:eastAsia="ko-KR"/>
        </w:rPr>
        <w:t>à l’intention de</w:t>
      </w:r>
      <w:r w:rsidR="005171FE" w:rsidRPr="002715F2">
        <w:rPr>
          <w:rFonts w:eastAsia="Batang"/>
          <w:lang w:val="fr-FR" w:eastAsia="ko-KR"/>
        </w:rPr>
        <w:t xml:space="preserve"> chaque </w:t>
      </w:r>
      <w:r w:rsidR="00AC452C" w:rsidRPr="002715F2">
        <w:rPr>
          <w:rFonts w:eastAsia="Batang"/>
          <w:lang w:val="fr-FR" w:eastAsia="ko-KR"/>
        </w:rPr>
        <w:t>acteur</w:t>
      </w:r>
      <w:r w:rsidR="005171FE" w:rsidRPr="002715F2">
        <w:rPr>
          <w:rFonts w:eastAsia="Batang"/>
          <w:lang w:val="fr-FR" w:eastAsia="ko-KR"/>
        </w:rPr>
        <w:t xml:space="preserve"> des affaires juridiques</w:t>
      </w:r>
      <w:r w:rsidR="000078DA" w:rsidRPr="002715F2">
        <w:rPr>
          <w:rFonts w:eastAsia="Batang"/>
          <w:lang w:val="fr-FR" w:eastAsia="ko-KR"/>
        </w:rPr>
        <w:t xml:space="preserve">. </w:t>
      </w:r>
      <w:r w:rsidR="00AC452C" w:rsidRPr="002715F2">
        <w:rPr>
          <w:rFonts w:eastAsia="Batang"/>
          <w:lang w:val="fr-FR" w:eastAsia="ko-KR"/>
        </w:rPr>
        <w:t xml:space="preserve">Ces </w:t>
      </w:r>
      <w:r w:rsidR="003D7D36" w:rsidRPr="002715F2">
        <w:rPr>
          <w:rFonts w:ascii="TimesNewRomanPSMT" w:hAnsi="TimesNewRomanPSMT" w:cs="TimesNewRomanPSMT"/>
          <w:lang w:val="fr-FR" w:eastAsia="en-GB"/>
        </w:rPr>
        <w:t xml:space="preserve">matériels </w:t>
      </w:r>
      <w:r w:rsidR="00AC452C" w:rsidRPr="002715F2">
        <w:rPr>
          <w:rFonts w:eastAsia="Batang"/>
          <w:lang w:val="fr-FR" w:eastAsia="ko-KR"/>
        </w:rPr>
        <w:t>ont été distribués à l’Institut ju</w:t>
      </w:r>
      <w:r w:rsidR="00F56292" w:rsidRPr="002715F2">
        <w:rPr>
          <w:rFonts w:eastAsia="Batang"/>
          <w:lang w:val="fr-FR" w:eastAsia="ko-KR"/>
        </w:rPr>
        <w:t>diciaire</w:t>
      </w:r>
      <w:r w:rsidR="00AC452C" w:rsidRPr="002715F2">
        <w:rPr>
          <w:rFonts w:eastAsia="Batang"/>
          <w:lang w:val="fr-FR" w:eastAsia="ko-KR"/>
        </w:rPr>
        <w:t xml:space="preserve">, aux organisations compétentes, aux </w:t>
      </w:r>
      <w:r w:rsidR="003D7D36" w:rsidRPr="002715F2">
        <w:rPr>
          <w:rFonts w:eastAsia="Batang"/>
          <w:lang w:val="fr-FR" w:eastAsia="ko-KR"/>
        </w:rPr>
        <w:t>instructeurs</w:t>
      </w:r>
      <w:r w:rsidR="00AC452C" w:rsidRPr="002715F2">
        <w:rPr>
          <w:rFonts w:eastAsia="Batang"/>
          <w:lang w:val="fr-FR" w:eastAsia="ko-KR"/>
        </w:rPr>
        <w:t xml:space="preserve"> </w:t>
      </w:r>
      <w:r w:rsidR="003D7D36" w:rsidRPr="002715F2">
        <w:rPr>
          <w:rFonts w:eastAsia="Batang"/>
          <w:lang w:val="fr-FR" w:eastAsia="ko-KR"/>
        </w:rPr>
        <w:t>internes et</w:t>
      </w:r>
      <w:r w:rsidR="00F56292" w:rsidRPr="002715F2">
        <w:rPr>
          <w:rFonts w:eastAsia="Batang"/>
          <w:lang w:val="fr-FR" w:eastAsia="ko-KR"/>
        </w:rPr>
        <w:t xml:space="preserve"> </w:t>
      </w:r>
      <w:r w:rsidR="00AC452C" w:rsidRPr="002715F2">
        <w:rPr>
          <w:rFonts w:eastAsia="Batang"/>
          <w:lang w:val="fr-FR" w:eastAsia="ko-KR"/>
        </w:rPr>
        <w:t>e</w:t>
      </w:r>
      <w:r w:rsidR="00F56292" w:rsidRPr="002715F2">
        <w:rPr>
          <w:rFonts w:eastAsia="Batang"/>
          <w:lang w:val="fr-FR" w:eastAsia="ko-KR"/>
        </w:rPr>
        <w:t>xt</w:t>
      </w:r>
      <w:r w:rsidR="003D7D36" w:rsidRPr="002715F2">
        <w:rPr>
          <w:rFonts w:eastAsia="Batang"/>
          <w:lang w:val="fr-FR" w:eastAsia="ko-KR"/>
        </w:rPr>
        <w:t>é</w:t>
      </w:r>
      <w:r w:rsidR="00F56292" w:rsidRPr="002715F2">
        <w:rPr>
          <w:rFonts w:eastAsia="Batang"/>
          <w:lang w:val="fr-FR" w:eastAsia="ko-KR"/>
        </w:rPr>
        <w:t>r</w:t>
      </w:r>
      <w:r w:rsidR="003D7D36" w:rsidRPr="002715F2">
        <w:rPr>
          <w:rFonts w:eastAsia="Batang"/>
          <w:lang w:val="fr-FR" w:eastAsia="ko-KR"/>
        </w:rPr>
        <w:t>ieurs</w:t>
      </w:r>
      <w:r w:rsidR="00F56292" w:rsidRPr="002715F2">
        <w:rPr>
          <w:rFonts w:eastAsia="Batang"/>
          <w:lang w:val="fr-FR" w:eastAsia="ko-KR"/>
        </w:rPr>
        <w:t xml:space="preserve"> des droits de l’homme</w:t>
      </w:r>
      <w:r w:rsidR="003D7D36" w:rsidRPr="002715F2">
        <w:rPr>
          <w:rFonts w:eastAsia="Batang"/>
          <w:lang w:val="fr-FR" w:eastAsia="ko-KR"/>
        </w:rPr>
        <w:t xml:space="preserve"> et </w:t>
      </w:r>
      <w:r w:rsidR="00F56292" w:rsidRPr="002715F2">
        <w:rPr>
          <w:rFonts w:eastAsia="Batang"/>
          <w:lang w:val="fr-FR" w:eastAsia="ko-KR"/>
        </w:rPr>
        <w:t xml:space="preserve">aux </w:t>
      </w:r>
      <w:r w:rsidR="00AC452C" w:rsidRPr="002715F2">
        <w:rPr>
          <w:rFonts w:eastAsia="Batang"/>
          <w:lang w:val="fr-FR" w:eastAsia="ko-KR"/>
        </w:rPr>
        <w:t>professeurs de</w:t>
      </w:r>
      <w:r w:rsidR="00F56292" w:rsidRPr="002715F2">
        <w:rPr>
          <w:rFonts w:eastAsia="Batang"/>
          <w:lang w:val="fr-FR" w:eastAsia="ko-KR"/>
        </w:rPr>
        <w:t xml:space="preserve">s </w:t>
      </w:r>
      <w:r w:rsidR="00AC452C" w:rsidRPr="002715F2">
        <w:rPr>
          <w:rFonts w:eastAsia="Batang"/>
          <w:lang w:val="fr-FR" w:eastAsia="ko-KR"/>
        </w:rPr>
        <w:t>école</w:t>
      </w:r>
      <w:r w:rsidR="00F56292" w:rsidRPr="002715F2">
        <w:rPr>
          <w:rFonts w:eastAsia="Batang"/>
          <w:lang w:val="fr-FR" w:eastAsia="ko-KR"/>
        </w:rPr>
        <w:t>s</w:t>
      </w:r>
      <w:r w:rsidR="00AC452C" w:rsidRPr="002715F2">
        <w:rPr>
          <w:rFonts w:eastAsia="Batang"/>
          <w:lang w:val="fr-FR" w:eastAsia="ko-KR"/>
        </w:rPr>
        <w:t xml:space="preserve"> de droit</w:t>
      </w:r>
      <w:r w:rsidR="000078DA" w:rsidRPr="002715F2">
        <w:rPr>
          <w:rFonts w:eastAsia="Batang"/>
          <w:lang w:val="fr-FR" w:eastAsia="ko-KR"/>
        </w:rPr>
        <w:t xml:space="preserve">. </w:t>
      </w:r>
      <w:r w:rsidR="00F56292" w:rsidRPr="002715F2">
        <w:rPr>
          <w:rFonts w:eastAsia="Batang"/>
          <w:lang w:val="fr-FR" w:eastAsia="ko-KR"/>
        </w:rPr>
        <w:t xml:space="preserve">En outre, des documentaires sur les droits de l’homme ont été réalisés, </w:t>
      </w:r>
      <w:r w:rsidR="00841690" w:rsidRPr="002715F2">
        <w:rPr>
          <w:rFonts w:eastAsia="Batang"/>
          <w:lang w:val="fr-FR" w:eastAsia="ko-KR"/>
        </w:rPr>
        <w:t>diffusés</w:t>
      </w:r>
      <w:r w:rsidR="00F56292" w:rsidRPr="002715F2">
        <w:rPr>
          <w:rFonts w:eastAsia="Batang"/>
          <w:lang w:val="fr-FR" w:eastAsia="ko-KR"/>
        </w:rPr>
        <w:t xml:space="preserve"> et projetés aux organismes compétents pour sensibiliser les agents des forces de l’ordre </w:t>
      </w:r>
      <w:r w:rsidR="003D7D36" w:rsidRPr="002715F2">
        <w:rPr>
          <w:rFonts w:eastAsia="Batang"/>
          <w:lang w:val="fr-FR" w:eastAsia="ko-KR"/>
        </w:rPr>
        <w:t>à cette question</w:t>
      </w:r>
      <w:r w:rsidR="000078DA" w:rsidRPr="002715F2">
        <w:rPr>
          <w:rFonts w:eastAsia="Batang"/>
          <w:lang w:val="fr-FR" w:eastAsia="ko-KR"/>
        </w:rPr>
        <w:t xml:space="preserve">. </w:t>
      </w:r>
      <w:r w:rsidR="00F56292" w:rsidRPr="002715F2">
        <w:rPr>
          <w:rFonts w:eastAsia="Batang"/>
          <w:lang w:val="fr-FR" w:eastAsia="ko-KR"/>
        </w:rPr>
        <w:t xml:space="preserve">Ces documentaires </w:t>
      </w:r>
      <w:r w:rsidR="00572AC4" w:rsidRPr="002715F2">
        <w:rPr>
          <w:rFonts w:eastAsia="Batang"/>
          <w:lang w:val="fr-FR" w:eastAsia="ko-KR"/>
        </w:rPr>
        <w:t>avaient pour thème le</w:t>
      </w:r>
      <w:r w:rsidR="00F56292" w:rsidRPr="002715F2">
        <w:rPr>
          <w:rFonts w:eastAsia="Batang"/>
          <w:lang w:val="fr-FR" w:eastAsia="ko-KR"/>
        </w:rPr>
        <w:t xml:space="preserve"> domaine correctionnel en 2008, </w:t>
      </w:r>
      <w:r w:rsidR="00572AC4" w:rsidRPr="002715F2">
        <w:rPr>
          <w:rFonts w:eastAsia="Batang"/>
          <w:lang w:val="fr-FR" w:eastAsia="ko-KR"/>
        </w:rPr>
        <w:t>les</w:t>
      </w:r>
      <w:r w:rsidR="00F56292" w:rsidRPr="002715F2">
        <w:rPr>
          <w:rFonts w:eastAsia="Batang"/>
          <w:lang w:val="fr-FR" w:eastAsia="ko-KR"/>
        </w:rPr>
        <w:t xml:space="preserve"> poursuites en 2009, la protection des mineurs et l’immigration en 2010 et la probation en 2012</w:t>
      </w:r>
      <w:r w:rsidR="00F60999" w:rsidRPr="002715F2">
        <w:rPr>
          <w:rFonts w:eastAsia="Batang"/>
          <w:lang w:val="fr-FR" w:eastAsia="ko-KR"/>
        </w:rPr>
        <w:t>.</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F56292" w:rsidRPr="002715F2">
        <w:rPr>
          <w:rFonts w:eastAsia="Batang"/>
          <w:lang w:val="fr-FR" w:eastAsia="ko-KR"/>
        </w:rPr>
        <w:t xml:space="preserve">Éducation aux droits de l’homme </w:t>
      </w:r>
      <w:r w:rsidR="0026458C" w:rsidRPr="002715F2">
        <w:rPr>
          <w:rFonts w:eastAsia="Batang"/>
          <w:lang w:val="fr-FR" w:eastAsia="ko-KR"/>
        </w:rPr>
        <w:t xml:space="preserve">à l’intention du </w:t>
      </w:r>
      <w:r w:rsidR="00F56292" w:rsidRPr="002715F2">
        <w:rPr>
          <w:rFonts w:eastAsia="Batang"/>
          <w:lang w:val="fr-FR" w:eastAsia="ko-KR"/>
        </w:rPr>
        <w:t>personnel militaire</w:t>
      </w:r>
    </w:p>
    <w:p w:rsidR="000078DA" w:rsidRPr="002715F2" w:rsidRDefault="007026FB" w:rsidP="007026FB">
      <w:pPr>
        <w:pStyle w:val="SingleTxtG"/>
        <w:rPr>
          <w:rFonts w:eastAsia="Batang"/>
          <w:strike/>
          <w:lang w:val="fr-FR" w:eastAsia="ko-KR"/>
        </w:rPr>
      </w:pPr>
      <w:r w:rsidRPr="002715F2">
        <w:rPr>
          <w:rFonts w:eastAsia="Batang"/>
          <w:lang w:val="fr-FR" w:eastAsia="ko-KR"/>
        </w:rPr>
        <w:t>91.</w:t>
      </w:r>
      <w:r w:rsidRPr="002715F2">
        <w:rPr>
          <w:rFonts w:eastAsia="Batang"/>
          <w:lang w:val="fr-FR" w:eastAsia="ko-KR"/>
        </w:rPr>
        <w:tab/>
      </w:r>
      <w:r w:rsidR="00F56292" w:rsidRPr="002715F2">
        <w:rPr>
          <w:rFonts w:eastAsia="Batang"/>
          <w:lang w:val="fr-FR" w:eastAsia="ko-KR"/>
        </w:rPr>
        <w:t xml:space="preserve">La Directive sur les droits de l’homme dans les affaires militaires a été </w:t>
      </w:r>
      <w:r w:rsidR="008572D5" w:rsidRPr="002715F2">
        <w:rPr>
          <w:rFonts w:eastAsia="Batang"/>
          <w:lang w:val="fr-FR" w:eastAsia="ko-KR"/>
        </w:rPr>
        <w:t>adoptée</w:t>
      </w:r>
      <w:r w:rsidR="00F56292" w:rsidRPr="002715F2">
        <w:rPr>
          <w:rFonts w:eastAsia="Batang"/>
          <w:lang w:val="fr-FR" w:eastAsia="ko-KR"/>
        </w:rPr>
        <w:t xml:space="preserve"> </w:t>
      </w:r>
      <w:r w:rsidR="00572AC4" w:rsidRPr="002715F2">
        <w:rPr>
          <w:rFonts w:eastAsia="Batang"/>
          <w:lang w:val="fr-FR" w:eastAsia="ko-KR"/>
        </w:rPr>
        <w:t>en vue de</w:t>
      </w:r>
      <w:r w:rsidR="00F56292" w:rsidRPr="002715F2">
        <w:rPr>
          <w:rFonts w:eastAsia="Batang"/>
          <w:lang w:val="fr-FR" w:eastAsia="ko-KR"/>
        </w:rPr>
        <w:t xml:space="preserve"> fournir une formation aux droits de l’homme adaptée aux devoirs </w:t>
      </w:r>
      <w:r w:rsidR="008572D5" w:rsidRPr="002715F2">
        <w:rPr>
          <w:rFonts w:eastAsia="Batang"/>
          <w:lang w:val="fr-FR" w:eastAsia="ko-KR"/>
        </w:rPr>
        <w:t xml:space="preserve">du personnel militaire d’encadrement et subalterne, notamment des </w:t>
      </w:r>
      <w:r w:rsidR="00F56292" w:rsidRPr="002715F2">
        <w:rPr>
          <w:rFonts w:eastAsia="Batang"/>
          <w:lang w:val="fr-FR" w:eastAsia="ko-KR"/>
        </w:rPr>
        <w:t xml:space="preserve">enquêteurs militaires, </w:t>
      </w:r>
      <w:r w:rsidR="008572D5" w:rsidRPr="002715F2">
        <w:rPr>
          <w:rFonts w:eastAsia="Batang"/>
          <w:lang w:val="fr-FR" w:eastAsia="ko-KR"/>
        </w:rPr>
        <w:t xml:space="preserve">du </w:t>
      </w:r>
      <w:r w:rsidR="00F56292" w:rsidRPr="002715F2">
        <w:rPr>
          <w:rFonts w:eastAsia="Batang"/>
          <w:lang w:val="fr-FR" w:eastAsia="ko-KR"/>
        </w:rPr>
        <w:t xml:space="preserve">personnel </w:t>
      </w:r>
      <w:r w:rsidR="00730B36" w:rsidRPr="002715F2">
        <w:rPr>
          <w:rFonts w:eastAsia="Batang"/>
          <w:lang w:val="fr-FR" w:eastAsia="ko-KR"/>
        </w:rPr>
        <w:t>pénitentiaire</w:t>
      </w:r>
      <w:r w:rsidR="00F56292" w:rsidRPr="002715F2">
        <w:rPr>
          <w:rFonts w:eastAsia="Batang"/>
          <w:lang w:val="fr-FR" w:eastAsia="ko-KR"/>
        </w:rPr>
        <w:t xml:space="preserve"> et </w:t>
      </w:r>
      <w:r w:rsidR="008572D5" w:rsidRPr="002715F2">
        <w:rPr>
          <w:rFonts w:eastAsia="Batang"/>
          <w:lang w:val="fr-FR" w:eastAsia="ko-KR"/>
        </w:rPr>
        <w:t>d</w:t>
      </w:r>
      <w:r w:rsidR="00F56292" w:rsidRPr="002715F2">
        <w:rPr>
          <w:rFonts w:eastAsia="Batang"/>
          <w:lang w:val="fr-FR" w:eastAsia="ko-KR"/>
        </w:rPr>
        <w:t xml:space="preserve">es </w:t>
      </w:r>
      <w:r w:rsidR="00572AC4" w:rsidRPr="002715F2">
        <w:rPr>
          <w:rFonts w:eastAsia="Batang"/>
          <w:lang w:val="fr-FR" w:eastAsia="ko-KR"/>
        </w:rPr>
        <w:t>officiers</w:t>
      </w:r>
      <w:r w:rsidR="00F56292" w:rsidRPr="002715F2">
        <w:rPr>
          <w:rFonts w:eastAsia="Batang"/>
          <w:lang w:val="fr-FR" w:eastAsia="ko-KR"/>
        </w:rPr>
        <w:t xml:space="preserve"> de justice</w:t>
      </w:r>
      <w:r w:rsidR="00F60999" w:rsidRPr="002715F2">
        <w:rPr>
          <w:rFonts w:eastAsia="Batang"/>
          <w:lang w:val="fr-FR" w:eastAsia="ko-KR"/>
        </w:rPr>
        <w:t>.</w:t>
      </w:r>
    </w:p>
    <w:p w:rsidR="000078DA" w:rsidRPr="002715F2" w:rsidRDefault="007026FB" w:rsidP="007026FB">
      <w:pPr>
        <w:pStyle w:val="SingleTxtG"/>
        <w:rPr>
          <w:rFonts w:eastAsia="Malgun Gothic"/>
          <w:kern w:val="2"/>
          <w:szCs w:val="22"/>
          <w:lang w:val="fr-FR" w:eastAsia="ko-KR"/>
        </w:rPr>
      </w:pPr>
      <w:r w:rsidRPr="002715F2">
        <w:rPr>
          <w:rFonts w:eastAsia="Malgun Gothic"/>
          <w:kern w:val="2"/>
          <w:szCs w:val="22"/>
          <w:lang w:val="fr-FR" w:eastAsia="ko-KR"/>
        </w:rPr>
        <w:t>92.</w:t>
      </w:r>
      <w:r w:rsidRPr="002715F2">
        <w:rPr>
          <w:rFonts w:eastAsia="Malgun Gothic"/>
          <w:kern w:val="2"/>
          <w:szCs w:val="22"/>
          <w:lang w:val="fr-FR" w:eastAsia="ko-KR"/>
        </w:rPr>
        <w:tab/>
      </w:r>
      <w:r w:rsidR="008572D5" w:rsidRPr="002715F2">
        <w:rPr>
          <w:rFonts w:eastAsia="Malgun Gothic"/>
          <w:kern w:val="2"/>
          <w:lang w:val="fr-FR" w:eastAsia="ko-KR"/>
        </w:rPr>
        <w:t xml:space="preserve">Les programmes de formation aux droits de l’homme </w:t>
      </w:r>
      <w:r w:rsidR="00572AC4" w:rsidRPr="002715F2">
        <w:rPr>
          <w:rFonts w:eastAsia="Malgun Gothic"/>
          <w:kern w:val="2"/>
          <w:lang w:val="fr-FR" w:eastAsia="ko-KR"/>
        </w:rPr>
        <w:t>dis</w:t>
      </w:r>
      <w:r w:rsidR="0026458C" w:rsidRPr="002715F2">
        <w:rPr>
          <w:rFonts w:eastAsia="Malgun Gothic"/>
          <w:kern w:val="2"/>
          <w:lang w:val="fr-FR" w:eastAsia="ko-KR"/>
        </w:rPr>
        <w:t>p</w:t>
      </w:r>
      <w:r w:rsidR="00572AC4" w:rsidRPr="002715F2">
        <w:rPr>
          <w:rFonts w:eastAsia="Malgun Gothic"/>
          <w:kern w:val="2"/>
          <w:lang w:val="fr-FR" w:eastAsia="ko-KR"/>
        </w:rPr>
        <w:t>ensés au</w:t>
      </w:r>
      <w:r w:rsidR="008572D5" w:rsidRPr="002715F2">
        <w:rPr>
          <w:rFonts w:eastAsia="Malgun Gothic"/>
          <w:kern w:val="2"/>
          <w:lang w:val="fr-FR" w:eastAsia="ko-KR"/>
        </w:rPr>
        <w:t xml:space="preserve"> personnel militaire sont les suivants</w:t>
      </w:r>
      <w:r w:rsidR="00E97B1A" w:rsidRPr="002715F2">
        <w:rPr>
          <w:rFonts w:eastAsia="Malgun Gothic"/>
          <w:kern w:val="2"/>
          <w:lang w:val="fr-FR" w:eastAsia="ko-KR"/>
        </w:rPr>
        <w:t>:</w:t>
      </w:r>
      <w:r w:rsidR="000078DA" w:rsidRPr="002715F2">
        <w:rPr>
          <w:rFonts w:eastAsia="Malgun Gothic"/>
          <w:kern w:val="2"/>
          <w:lang w:val="fr-FR" w:eastAsia="ko-KR"/>
        </w:rPr>
        <w:t xml:space="preserve"> </w:t>
      </w:r>
      <w:r w:rsidR="008572D5" w:rsidRPr="002715F2">
        <w:rPr>
          <w:rFonts w:eastAsia="Malgun Gothic"/>
          <w:kern w:val="2"/>
          <w:lang w:val="fr-FR" w:eastAsia="ko-KR"/>
        </w:rPr>
        <w:t xml:space="preserve">cours tels que </w:t>
      </w:r>
      <w:r w:rsidR="00E97B1A" w:rsidRPr="002715F2">
        <w:rPr>
          <w:rFonts w:eastAsia="Malgun Gothic"/>
          <w:kern w:val="2"/>
          <w:lang w:val="fr-FR" w:eastAsia="ko-KR"/>
        </w:rPr>
        <w:t>«</w:t>
      </w:r>
      <w:r w:rsidR="008572D5" w:rsidRPr="002715F2">
        <w:rPr>
          <w:rFonts w:eastAsia="Malgun Gothic"/>
          <w:kern w:val="2"/>
          <w:lang w:val="fr-FR" w:eastAsia="ko-KR"/>
        </w:rPr>
        <w:t xml:space="preserve">Protection des droits de l’homme </w:t>
      </w:r>
      <w:r w:rsidR="0026458C" w:rsidRPr="002715F2">
        <w:rPr>
          <w:rFonts w:eastAsia="Malgun Gothic"/>
          <w:kern w:val="2"/>
          <w:lang w:val="fr-FR" w:eastAsia="ko-KR"/>
        </w:rPr>
        <w:t>pendant les</w:t>
      </w:r>
      <w:r w:rsidR="008572D5" w:rsidRPr="002715F2">
        <w:rPr>
          <w:rFonts w:eastAsia="Malgun Gothic"/>
          <w:kern w:val="2"/>
          <w:lang w:val="fr-FR" w:eastAsia="ko-KR"/>
        </w:rPr>
        <w:t xml:space="preserve"> enquêtes militaires</w:t>
      </w:r>
      <w:r w:rsidR="00E97B1A" w:rsidRPr="002715F2">
        <w:rPr>
          <w:rFonts w:eastAsia="Malgun Gothic"/>
          <w:kern w:val="2"/>
          <w:lang w:val="fr-FR" w:eastAsia="ko-KR"/>
        </w:rPr>
        <w:t>»</w:t>
      </w:r>
      <w:r w:rsidR="008572D5" w:rsidRPr="002715F2">
        <w:rPr>
          <w:rFonts w:eastAsia="Malgun Gothic"/>
          <w:kern w:val="2"/>
          <w:lang w:val="fr-FR" w:eastAsia="ko-KR"/>
        </w:rPr>
        <w:t xml:space="preserve"> pour les enquêteurs militaires</w:t>
      </w:r>
      <w:r w:rsidR="00E97B1A" w:rsidRPr="002715F2">
        <w:rPr>
          <w:rFonts w:eastAsia="Malgun Gothic"/>
          <w:kern w:val="2"/>
          <w:lang w:val="fr-FR" w:eastAsia="ko-KR"/>
        </w:rPr>
        <w:t>;</w:t>
      </w:r>
      <w:r w:rsidR="000078DA" w:rsidRPr="002715F2">
        <w:rPr>
          <w:rFonts w:eastAsia="Malgun Gothic"/>
          <w:kern w:val="2"/>
          <w:lang w:val="fr-FR" w:eastAsia="ko-KR"/>
        </w:rPr>
        <w:t xml:space="preserve"> </w:t>
      </w:r>
      <w:r w:rsidR="00E97B1A" w:rsidRPr="002715F2">
        <w:rPr>
          <w:rFonts w:eastAsia="Malgun Gothic"/>
          <w:kern w:val="2"/>
          <w:lang w:val="fr-FR" w:eastAsia="ko-KR"/>
        </w:rPr>
        <w:t>«</w:t>
      </w:r>
      <w:r w:rsidR="0026458C" w:rsidRPr="002715F2">
        <w:rPr>
          <w:rFonts w:eastAsia="Malgun Gothic"/>
          <w:kern w:val="2"/>
          <w:lang w:val="fr-FR" w:eastAsia="ko-KR"/>
        </w:rPr>
        <w:t>P</w:t>
      </w:r>
      <w:r w:rsidR="0026458C" w:rsidRPr="002715F2">
        <w:rPr>
          <w:lang w:val="fr-FR"/>
        </w:rPr>
        <w:t xml:space="preserve">rotection des droits de l’homme </w:t>
      </w:r>
      <w:r w:rsidR="0026458C" w:rsidRPr="002715F2">
        <w:rPr>
          <w:rFonts w:eastAsia="Malgun Gothic"/>
          <w:kern w:val="2"/>
          <w:lang w:val="fr-FR" w:eastAsia="ko-KR"/>
        </w:rPr>
        <w:t>dans les établissements</w:t>
      </w:r>
      <w:r w:rsidR="008572D5" w:rsidRPr="002715F2">
        <w:rPr>
          <w:rFonts w:eastAsia="Malgun Gothic"/>
          <w:kern w:val="2"/>
          <w:lang w:val="fr-FR" w:eastAsia="ko-KR"/>
        </w:rPr>
        <w:t xml:space="preserve"> mili</w:t>
      </w:r>
      <w:r w:rsidR="00B17709" w:rsidRPr="002715F2">
        <w:rPr>
          <w:rFonts w:eastAsia="Malgun Gothic"/>
          <w:kern w:val="2"/>
          <w:lang w:val="fr-FR" w:eastAsia="ko-KR"/>
        </w:rPr>
        <w:t>t</w:t>
      </w:r>
      <w:r w:rsidR="008572D5" w:rsidRPr="002715F2">
        <w:rPr>
          <w:rFonts w:eastAsia="Malgun Gothic"/>
          <w:kern w:val="2"/>
          <w:lang w:val="fr-FR" w:eastAsia="ko-KR"/>
        </w:rPr>
        <w:t>aires correctionnels</w:t>
      </w:r>
      <w:r w:rsidR="00E97B1A" w:rsidRPr="002715F2">
        <w:rPr>
          <w:rFonts w:eastAsia="Malgun Gothic"/>
          <w:kern w:val="2"/>
          <w:lang w:val="fr-FR" w:eastAsia="ko-KR"/>
        </w:rPr>
        <w:t>»</w:t>
      </w:r>
      <w:r w:rsidR="000078DA" w:rsidRPr="002715F2">
        <w:rPr>
          <w:rFonts w:eastAsia="Malgun Gothic"/>
          <w:kern w:val="2"/>
          <w:lang w:val="fr-FR" w:eastAsia="ko-KR"/>
        </w:rPr>
        <w:t xml:space="preserve"> </w:t>
      </w:r>
      <w:r w:rsidR="0026458C" w:rsidRPr="002715F2">
        <w:rPr>
          <w:rFonts w:eastAsia="Malgun Gothic"/>
          <w:kern w:val="2"/>
          <w:lang w:val="fr-FR" w:eastAsia="ko-KR"/>
        </w:rPr>
        <w:t>à l’intention du</w:t>
      </w:r>
      <w:r w:rsidR="00B17709" w:rsidRPr="002715F2">
        <w:rPr>
          <w:rFonts w:eastAsia="Malgun Gothic"/>
          <w:kern w:val="2"/>
          <w:lang w:val="fr-FR" w:eastAsia="ko-KR"/>
        </w:rPr>
        <w:t xml:space="preserve"> </w:t>
      </w:r>
      <w:r w:rsidR="000078DA" w:rsidRPr="002715F2">
        <w:rPr>
          <w:rFonts w:eastAsia="Malgun Gothic"/>
          <w:kern w:val="2"/>
          <w:lang w:val="fr-FR" w:eastAsia="ko-KR"/>
        </w:rPr>
        <w:t>personnel</w:t>
      </w:r>
      <w:r w:rsidR="008572D5" w:rsidRPr="002715F2">
        <w:rPr>
          <w:rFonts w:eastAsia="Malgun Gothic"/>
          <w:kern w:val="2"/>
          <w:lang w:val="fr-FR" w:eastAsia="ko-KR"/>
        </w:rPr>
        <w:t xml:space="preserve"> </w:t>
      </w:r>
      <w:r w:rsidR="0026458C" w:rsidRPr="002715F2">
        <w:rPr>
          <w:rFonts w:eastAsia="Malgun Gothic"/>
          <w:kern w:val="2"/>
          <w:lang w:val="fr-FR" w:eastAsia="ko-KR"/>
        </w:rPr>
        <w:t>militaire de ces structures</w:t>
      </w:r>
      <w:r w:rsidR="00E97B1A" w:rsidRPr="002715F2">
        <w:rPr>
          <w:rFonts w:eastAsia="Malgun Gothic"/>
          <w:kern w:val="2"/>
          <w:lang w:val="fr-FR" w:eastAsia="ko-KR"/>
        </w:rPr>
        <w:t>;</w:t>
      </w:r>
      <w:r w:rsidR="000078DA" w:rsidRPr="002715F2">
        <w:rPr>
          <w:rFonts w:eastAsia="Malgun Gothic"/>
          <w:kern w:val="2"/>
          <w:lang w:val="fr-FR" w:eastAsia="ko-KR"/>
        </w:rPr>
        <w:t xml:space="preserve"> </w:t>
      </w:r>
      <w:r w:rsidR="00E97B1A" w:rsidRPr="002715F2">
        <w:rPr>
          <w:rFonts w:eastAsia="Malgun Gothic"/>
          <w:kern w:val="2"/>
          <w:lang w:val="fr-FR" w:eastAsia="ko-KR"/>
        </w:rPr>
        <w:t>«</w:t>
      </w:r>
      <w:r w:rsidR="005C6D8E" w:rsidRPr="002715F2">
        <w:rPr>
          <w:rFonts w:eastAsia="Malgun Gothic"/>
          <w:kern w:val="2"/>
          <w:lang w:val="fr-FR" w:eastAsia="ko-KR"/>
        </w:rPr>
        <w:t>Législation</w:t>
      </w:r>
      <w:r w:rsidR="00B17709" w:rsidRPr="002715F2">
        <w:rPr>
          <w:rFonts w:eastAsia="Malgun Gothic"/>
          <w:kern w:val="2"/>
          <w:lang w:val="fr-FR" w:eastAsia="ko-KR"/>
        </w:rPr>
        <w:t xml:space="preserve"> nationale relative aux droits de l’homme</w:t>
      </w:r>
      <w:r w:rsidR="00E97B1A" w:rsidRPr="002715F2">
        <w:rPr>
          <w:rFonts w:eastAsia="Malgun Gothic"/>
          <w:kern w:val="2"/>
          <w:lang w:val="fr-FR" w:eastAsia="ko-KR"/>
        </w:rPr>
        <w:t>»</w:t>
      </w:r>
      <w:r w:rsidR="00B17709" w:rsidRPr="002715F2">
        <w:rPr>
          <w:rFonts w:eastAsia="Malgun Gothic"/>
          <w:kern w:val="2"/>
          <w:lang w:val="fr-FR" w:eastAsia="ko-KR"/>
        </w:rPr>
        <w:t xml:space="preserve"> pour les officiers de justice militaires</w:t>
      </w:r>
      <w:r w:rsidR="00E97B1A" w:rsidRPr="002715F2">
        <w:rPr>
          <w:rFonts w:eastAsia="Malgun Gothic"/>
          <w:kern w:val="2"/>
          <w:lang w:val="fr-FR" w:eastAsia="ko-KR"/>
        </w:rPr>
        <w:t>;</w:t>
      </w:r>
      <w:r w:rsidR="00B17709" w:rsidRPr="002715F2">
        <w:rPr>
          <w:rFonts w:eastAsia="Malgun Gothic"/>
          <w:kern w:val="2"/>
          <w:lang w:val="fr-FR" w:eastAsia="ko-KR"/>
        </w:rPr>
        <w:t xml:space="preserve"> </w:t>
      </w:r>
      <w:r w:rsidR="00E97B1A" w:rsidRPr="002715F2">
        <w:rPr>
          <w:rFonts w:eastAsia="Malgun Gothic"/>
          <w:kern w:val="2"/>
          <w:lang w:val="fr-FR" w:eastAsia="ko-KR"/>
        </w:rPr>
        <w:t>«</w:t>
      </w:r>
      <w:r w:rsidR="00B17709" w:rsidRPr="002715F2">
        <w:rPr>
          <w:rFonts w:eastAsia="Malgun Gothic"/>
          <w:kern w:val="2"/>
          <w:lang w:val="fr-FR" w:eastAsia="ko-KR"/>
        </w:rPr>
        <w:t>Droits de l’homme et armée</w:t>
      </w:r>
      <w:r w:rsidR="00E97B1A" w:rsidRPr="002715F2">
        <w:rPr>
          <w:rFonts w:eastAsia="Malgun Gothic"/>
          <w:kern w:val="2"/>
          <w:lang w:val="fr-FR" w:eastAsia="ko-KR"/>
        </w:rPr>
        <w:t>»</w:t>
      </w:r>
      <w:r w:rsidR="00B17709" w:rsidRPr="002715F2">
        <w:rPr>
          <w:rFonts w:eastAsia="Malgun Gothic"/>
          <w:kern w:val="2"/>
          <w:lang w:val="fr-FR" w:eastAsia="ko-KR"/>
        </w:rPr>
        <w:t xml:space="preserve"> </w:t>
      </w:r>
      <w:r w:rsidR="0026458C" w:rsidRPr="002715F2">
        <w:rPr>
          <w:rFonts w:eastAsia="Malgun Gothic"/>
          <w:kern w:val="2"/>
          <w:lang w:val="fr-FR" w:eastAsia="ko-KR"/>
        </w:rPr>
        <w:t>destinés aux</w:t>
      </w:r>
      <w:r w:rsidR="00B17709" w:rsidRPr="002715F2">
        <w:rPr>
          <w:rFonts w:eastAsia="Malgun Gothic"/>
          <w:kern w:val="2"/>
          <w:lang w:val="fr-FR" w:eastAsia="ko-KR"/>
        </w:rPr>
        <w:t xml:space="preserve"> instructeurs des droits de </w:t>
      </w:r>
      <w:r w:rsidR="0026458C" w:rsidRPr="002715F2">
        <w:rPr>
          <w:rFonts w:eastAsia="Malgun Gothic"/>
          <w:kern w:val="2"/>
          <w:lang w:val="fr-FR" w:eastAsia="ko-KR"/>
        </w:rPr>
        <w:t>la personne</w:t>
      </w:r>
      <w:r w:rsidR="00E97B1A" w:rsidRPr="002715F2">
        <w:rPr>
          <w:rFonts w:eastAsia="Malgun Gothic"/>
          <w:kern w:val="2"/>
          <w:lang w:val="fr-FR" w:eastAsia="ko-KR"/>
        </w:rPr>
        <w:t>;</w:t>
      </w:r>
      <w:r w:rsidR="00B17709" w:rsidRPr="002715F2">
        <w:rPr>
          <w:rFonts w:eastAsia="Malgun Gothic"/>
          <w:kern w:val="2"/>
          <w:lang w:val="fr-FR" w:eastAsia="ko-KR"/>
        </w:rPr>
        <w:t xml:space="preserve"> </w:t>
      </w:r>
      <w:r w:rsidR="00E97B1A" w:rsidRPr="002715F2">
        <w:rPr>
          <w:rFonts w:eastAsia="Malgun Gothic"/>
          <w:kern w:val="2"/>
          <w:lang w:val="fr-FR" w:eastAsia="ko-KR"/>
        </w:rPr>
        <w:t>«</w:t>
      </w:r>
      <w:r w:rsidR="00B17709" w:rsidRPr="002715F2">
        <w:rPr>
          <w:rFonts w:eastAsia="Malgun Gothic"/>
          <w:kern w:val="2"/>
          <w:lang w:val="fr-FR" w:eastAsia="ko-KR"/>
        </w:rPr>
        <w:t xml:space="preserve">Droits des patients en </w:t>
      </w:r>
      <w:r w:rsidR="005C6D8E" w:rsidRPr="002715F2">
        <w:rPr>
          <w:rFonts w:eastAsia="Malgun Gothic"/>
          <w:kern w:val="2"/>
          <w:lang w:val="fr-FR" w:eastAsia="ko-KR"/>
        </w:rPr>
        <w:t>général</w:t>
      </w:r>
      <w:r w:rsidR="00E97B1A" w:rsidRPr="002715F2">
        <w:rPr>
          <w:rFonts w:eastAsia="Malgun Gothic"/>
          <w:kern w:val="2"/>
          <w:lang w:val="fr-FR" w:eastAsia="ko-KR"/>
        </w:rPr>
        <w:t>»</w:t>
      </w:r>
      <w:r w:rsidR="00B17709" w:rsidRPr="002715F2">
        <w:rPr>
          <w:rFonts w:eastAsia="Malgun Gothic"/>
          <w:kern w:val="2"/>
          <w:lang w:val="fr-FR" w:eastAsia="ko-KR"/>
        </w:rPr>
        <w:t xml:space="preserve"> pour le personnel médical militaire</w:t>
      </w:r>
      <w:r w:rsidR="00E97B1A" w:rsidRPr="002715F2">
        <w:rPr>
          <w:rFonts w:eastAsia="Malgun Gothic"/>
          <w:kern w:val="2"/>
          <w:lang w:val="fr-FR" w:eastAsia="ko-KR"/>
        </w:rPr>
        <w:t>;</w:t>
      </w:r>
      <w:r w:rsidR="000078DA" w:rsidRPr="002715F2">
        <w:rPr>
          <w:rFonts w:eastAsia="Malgun Gothic"/>
          <w:kern w:val="2"/>
          <w:lang w:val="fr-FR" w:eastAsia="ko-KR"/>
        </w:rPr>
        <w:t xml:space="preserve"> </w:t>
      </w:r>
      <w:r w:rsidR="00E97B1A" w:rsidRPr="002715F2">
        <w:rPr>
          <w:rFonts w:eastAsia="Malgun Gothic"/>
          <w:kern w:val="2"/>
          <w:lang w:val="fr-FR" w:eastAsia="ko-KR"/>
        </w:rPr>
        <w:t>«</w:t>
      </w:r>
      <w:r w:rsidR="00B17709" w:rsidRPr="002715F2">
        <w:rPr>
          <w:rFonts w:eastAsia="Malgun Gothic"/>
          <w:kern w:val="2"/>
          <w:lang w:val="fr-FR" w:eastAsia="ko-KR"/>
        </w:rPr>
        <w:t xml:space="preserve">Minorités </w:t>
      </w:r>
      <w:r w:rsidR="00474481" w:rsidRPr="002715F2">
        <w:rPr>
          <w:rFonts w:eastAsia="Malgun Gothic"/>
          <w:kern w:val="2"/>
          <w:lang w:val="fr-FR" w:eastAsia="ko-KR"/>
        </w:rPr>
        <w:t xml:space="preserve">sexuelles </w:t>
      </w:r>
      <w:r w:rsidR="00B17709" w:rsidRPr="002715F2">
        <w:rPr>
          <w:rFonts w:eastAsia="Malgun Gothic"/>
          <w:kern w:val="2"/>
          <w:lang w:val="fr-FR" w:eastAsia="ko-KR"/>
        </w:rPr>
        <w:t>et droits de l’homme dans l’armée</w:t>
      </w:r>
      <w:r w:rsidR="00E97B1A" w:rsidRPr="002715F2">
        <w:rPr>
          <w:rFonts w:eastAsia="Malgun Gothic"/>
          <w:kern w:val="2"/>
          <w:lang w:val="fr-FR" w:eastAsia="ko-KR"/>
        </w:rPr>
        <w:t>»</w:t>
      </w:r>
      <w:r w:rsidR="00B17709" w:rsidRPr="002715F2">
        <w:rPr>
          <w:rFonts w:eastAsia="Malgun Gothic"/>
          <w:kern w:val="2"/>
          <w:lang w:val="fr-FR" w:eastAsia="ko-KR"/>
        </w:rPr>
        <w:t xml:space="preserve"> </w:t>
      </w:r>
      <w:r w:rsidR="0026458C" w:rsidRPr="002715F2">
        <w:rPr>
          <w:rFonts w:eastAsia="Malgun Gothic"/>
          <w:kern w:val="2"/>
          <w:lang w:val="fr-FR" w:eastAsia="ko-KR"/>
        </w:rPr>
        <w:t>à l’intention d</w:t>
      </w:r>
      <w:r w:rsidR="00B17709" w:rsidRPr="002715F2">
        <w:rPr>
          <w:rFonts w:eastAsia="Malgun Gothic"/>
          <w:kern w:val="2"/>
          <w:lang w:val="fr-FR" w:eastAsia="ko-KR"/>
        </w:rPr>
        <w:t xml:space="preserve">es conseillers militaires, y compris </w:t>
      </w:r>
      <w:r w:rsidR="0026458C" w:rsidRPr="002715F2">
        <w:rPr>
          <w:rFonts w:eastAsia="Malgun Gothic"/>
          <w:kern w:val="2"/>
          <w:lang w:val="fr-FR" w:eastAsia="ko-KR"/>
        </w:rPr>
        <w:t>du</w:t>
      </w:r>
      <w:r w:rsidR="00B17709" w:rsidRPr="002715F2">
        <w:rPr>
          <w:rFonts w:eastAsia="Malgun Gothic"/>
          <w:kern w:val="2"/>
          <w:lang w:val="fr-FR" w:eastAsia="ko-KR"/>
        </w:rPr>
        <w:t xml:space="preserve"> conseiller à l’égalité entre les sexes et </w:t>
      </w:r>
      <w:r w:rsidR="0026458C" w:rsidRPr="002715F2">
        <w:rPr>
          <w:rFonts w:eastAsia="Malgun Gothic"/>
          <w:kern w:val="2"/>
          <w:lang w:val="fr-FR" w:eastAsia="ko-KR"/>
        </w:rPr>
        <w:t>du</w:t>
      </w:r>
      <w:r w:rsidR="00B17709" w:rsidRPr="002715F2">
        <w:rPr>
          <w:rFonts w:eastAsia="Malgun Gothic"/>
          <w:kern w:val="2"/>
          <w:lang w:val="fr-FR" w:eastAsia="ko-KR"/>
        </w:rPr>
        <w:t xml:space="preserve"> conseiller professionnel pour la vie de cas</w:t>
      </w:r>
      <w:r w:rsidR="0026458C" w:rsidRPr="002715F2">
        <w:rPr>
          <w:rFonts w:eastAsia="Malgun Gothic"/>
          <w:kern w:val="2"/>
          <w:lang w:val="fr-FR" w:eastAsia="ko-KR"/>
        </w:rPr>
        <w:t>erne. Entre 2008 et 2015, 2 269 </w:t>
      </w:r>
      <w:r w:rsidR="00B17709" w:rsidRPr="002715F2">
        <w:rPr>
          <w:rFonts w:eastAsia="Malgun Gothic"/>
          <w:kern w:val="2"/>
          <w:lang w:val="fr-FR" w:eastAsia="ko-KR"/>
        </w:rPr>
        <w:t>officiers ont suivi ces programmes (voir</w:t>
      </w:r>
      <w:r w:rsidR="0026458C" w:rsidRPr="002715F2">
        <w:rPr>
          <w:rFonts w:eastAsia="Malgun Gothic"/>
          <w:kern w:val="2"/>
          <w:lang w:val="fr-FR" w:eastAsia="ko-KR"/>
        </w:rPr>
        <w:t xml:space="preserve"> le</w:t>
      </w:r>
      <w:r w:rsidR="00B17709" w:rsidRPr="002715F2">
        <w:rPr>
          <w:rFonts w:eastAsia="Malgun Gothic"/>
          <w:kern w:val="2"/>
          <w:lang w:val="fr-FR" w:eastAsia="ko-KR"/>
        </w:rPr>
        <w:t xml:space="preserve"> tableau 18).</w:t>
      </w:r>
    </w:p>
    <w:p w:rsidR="000078DA" w:rsidRPr="002715F2" w:rsidRDefault="007026FB" w:rsidP="007026FB">
      <w:pPr>
        <w:pStyle w:val="SingleTxtG"/>
        <w:rPr>
          <w:rFonts w:eastAsia="Batang"/>
          <w:lang w:val="fr-FR" w:eastAsia="ko-KR"/>
        </w:rPr>
      </w:pPr>
      <w:r w:rsidRPr="002715F2">
        <w:rPr>
          <w:rFonts w:eastAsia="Batang"/>
          <w:lang w:val="fr-FR" w:eastAsia="ko-KR"/>
        </w:rPr>
        <w:t>93.</w:t>
      </w:r>
      <w:r w:rsidRPr="002715F2">
        <w:rPr>
          <w:rFonts w:eastAsia="Batang"/>
          <w:lang w:val="fr-FR" w:eastAsia="ko-KR"/>
        </w:rPr>
        <w:tab/>
      </w:r>
      <w:r w:rsidR="003210EA" w:rsidRPr="002715F2">
        <w:rPr>
          <w:rFonts w:eastAsia="Batang" w:cs="Gulim"/>
          <w:color w:val="000000"/>
          <w:lang w:val="fr-FR" w:eastAsia="ko-KR"/>
        </w:rPr>
        <w:t xml:space="preserve">Les militaires et les employés civils </w:t>
      </w:r>
      <w:r w:rsidR="0026458C" w:rsidRPr="002715F2">
        <w:rPr>
          <w:rFonts w:eastAsia="Batang" w:cs="Gulim"/>
          <w:color w:val="000000"/>
          <w:lang w:val="fr-FR" w:eastAsia="ko-KR"/>
        </w:rPr>
        <w:t>sont</w:t>
      </w:r>
      <w:r w:rsidR="003210EA" w:rsidRPr="002715F2">
        <w:rPr>
          <w:rFonts w:eastAsia="Batang" w:cs="Gulim"/>
          <w:color w:val="000000"/>
          <w:lang w:val="fr-FR" w:eastAsia="ko-KR"/>
        </w:rPr>
        <w:t xml:space="preserve"> également </w:t>
      </w:r>
      <w:r w:rsidR="0026458C" w:rsidRPr="002715F2">
        <w:rPr>
          <w:rFonts w:eastAsia="Batang" w:cs="Gulim"/>
          <w:color w:val="000000"/>
          <w:lang w:val="fr-FR" w:eastAsia="ko-KR"/>
        </w:rPr>
        <w:t>formés</w:t>
      </w:r>
      <w:r w:rsidR="003210EA" w:rsidRPr="002715F2">
        <w:rPr>
          <w:rFonts w:eastAsia="Batang" w:cs="Gulim"/>
          <w:color w:val="000000"/>
          <w:lang w:val="fr-FR" w:eastAsia="ko-KR"/>
        </w:rPr>
        <w:t xml:space="preserve"> aux droits de l’homme </w:t>
      </w:r>
      <w:r w:rsidR="0026458C" w:rsidRPr="002715F2">
        <w:rPr>
          <w:rFonts w:eastAsia="Batang" w:cs="Gulim"/>
          <w:color w:val="000000"/>
          <w:lang w:val="fr-FR" w:eastAsia="ko-KR"/>
        </w:rPr>
        <w:t xml:space="preserve">sous la houlette des </w:t>
      </w:r>
      <w:r w:rsidR="003210EA" w:rsidRPr="002715F2">
        <w:rPr>
          <w:rFonts w:eastAsia="Batang" w:cs="Gulim"/>
          <w:color w:val="000000"/>
          <w:lang w:val="fr-FR" w:eastAsia="ko-KR"/>
        </w:rPr>
        <w:t xml:space="preserve">chefs d’état-major et </w:t>
      </w:r>
      <w:r w:rsidR="0026458C" w:rsidRPr="002715F2">
        <w:rPr>
          <w:rFonts w:eastAsia="Batang" w:cs="Gulim"/>
          <w:color w:val="000000"/>
          <w:lang w:val="fr-FR" w:eastAsia="ko-KR"/>
        </w:rPr>
        <w:t>d</w:t>
      </w:r>
      <w:r w:rsidR="003210EA" w:rsidRPr="002715F2">
        <w:rPr>
          <w:rFonts w:eastAsia="Batang" w:cs="Gulim"/>
          <w:color w:val="000000"/>
          <w:lang w:val="fr-FR" w:eastAsia="ko-KR"/>
        </w:rPr>
        <w:t xml:space="preserve">es commandants d’unités, conformément à la </w:t>
      </w:r>
      <w:r w:rsidR="003210EA" w:rsidRPr="002715F2">
        <w:rPr>
          <w:rFonts w:eastAsia="Batang"/>
          <w:lang w:val="fr-FR" w:eastAsia="ko-KR"/>
        </w:rPr>
        <w:t>Directive sur les droits de l’homme dans les affaires militaires</w:t>
      </w:r>
      <w:r w:rsidR="000078DA" w:rsidRPr="002715F2">
        <w:rPr>
          <w:rFonts w:eastAsia="Batang" w:cs="Gulim"/>
          <w:color w:val="000000"/>
          <w:lang w:val="fr-FR" w:eastAsia="ko-KR"/>
        </w:rPr>
        <w:t>.</w:t>
      </w:r>
      <w:r w:rsidR="003210EA" w:rsidRPr="002715F2">
        <w:rPr>
          <w:rFonts w:eastAsia="Batang" w:cs="Gulim"/>
          <w:color w:val="000000"/>
          <w:lang w:val="fr-FR" w:eastAsia="ko-KR"/>
        </w:rPr>
        <w:t xml:space="preserve"> En outre, un</w:t>
      </w:r>
      <w:r w:rsidR="0026458C" w:rsidRPr="002715F2">
        <w:rPr>
          <w:rFonts w:eastAsia="Batang" w:cs="Gulim"/>
          <w:color w:val="000000"/>
          <w:lang w:val="fr-FR" w:eastAsia="ko-KR"/>
        </w:rPr>
        <w:t>e</w:t>
      </w:r>
      <w:r w:rsidR="003210EA" w:rsidRPr="002715F2">
        <w:rPr>
          <w:rFonts w:eastAsia="Batang" w:cs="Gulim"/>
          <w:color w:val="000000"/>
          <w:lang w:val="fr-FR" w:eastAsia="ko-KR"/>
        </w:rPr>
        <w:t xml:space="preserve"> </w:t>
      </w:r>
      <w:r w:rsidR="0026458C" w:rsidRPr="002715F2">
        <w:rPr>
          <w:rFonts w:eastAsia="Batang" w:cs="Gulim"/>
          <w:color w:val="000000"/>
          <w:lang w:val="fr-FR" w:eastAsia="ko-KR"/>
        </w:rPr>
        <w:t>éducation</w:t>
      </w:r>
      <w:r w:rsidR="003210EA" w:rsidRPr="002715F2">
        <w:rPr>
          <w:rFonts w:eastAsia="Batang" w:cs="Gulim"/>
          <w:color w:val="000000"/>
          <w:lang w:val="fr-FR" w:eastAsia="ko-KR"/>
        </w:rPr>
        <w:t xml:space="preserve"> en ligne est </w:t>
      </w:r>
      <w:r w:rsidR="0026458C" w:rsidRPr="002715F2">
        <w:rPr>
          <w:rFonts w:eastAsia="Batang" w:cs="Gulim"/>
          <w:color w:val="000000"/>
          <w:lang w:val="fr-FR" w:eastAsia="ko-KR"/>
        </w:rPr>
        <w:t>dispensée</w:t>
      </w:r>
      <w:r w:rsidR="003210EA" w:rsidRPr="002715F2">
        <w:rPr>
          <w:rFonts w:eastAsia="Batang" w:cs="Gulim"/>
          <w:color w:val="000000"/>
          <w:lang w:val="fr-FR" w:eastAsia="ko-KR"/>
        </w:rPr>
        <w:t xml:space="preserve"> tout au long de l’année au</w:t>
      </w:r>
      <w:r w:rsidR="003210EA" w:rsidRPr="002715F2">
        <w:rPr>
          <w:rFonts w:eastAsia="Batang"/>
          <w:lang w:val="fr-FR" w:eastAsia="ko-KR"/>
        </w:rPr>
        <w:t xml:space="preserve"> personnel militaire d’encadrement et </w:t>
      </w:r>
      <w:r w:rsidR="005C6D8E" w:rsidRPr="002715F2">
        <w:rPr>
          <w:rFonts w:eastAsia="Batang"/>
          <w:lang w:val="fr-FR" w:eastAsia="ko-KR"/>
        </w:rPr>
        <w:t>subalterne</w:t>
      </w:r>
      <w:r w:rsidR="003210EA" w:rsidRPr="002715F2">
        <w:rPr>
          <w:rFonts w:eastAsia="Batang"/>
          <w:lang w:val="fr-FR" w:eastAsia="ko-KR"/>
        </w:rPr>
        <w:t>,</w:t>
      </w:r>
      <w:r w:rsidR="003210EA" w:rsidRPr="002715F2">
        <w:rPr>
          <w:rFonts w:eastAsia="Batang" w:cs="Gulim"/>
          <w:color w:val="000000"/>
          <w:lang w:val="fr-FR" w:eastAsia="ko-KR"/>
        </w:rPr>
        <w:t xml:space="preserve"> ainsi qu’aux travailleurs civils</w:t>
      </w:r>
      <w:r w:rsidR="000078DA" w:rsidRPr="002715F2">
        <w:rPr>
          <w:rFonts w:eastAsia="Batang" w:cs="Gulim"/>
          <w:color w:val="000000"/>
          <w:lang w:val="fr-FR" w:eastAsia="ko-KR"/>
        </w:rPr>
        <w:t xml:space="preserve">. </w:t>
      </w:r>
      <w:r w:rsidR="003210EA" w:rsidRPr="002715F2">
        <w:rPr>
          <w:rFonts w:eastAsia="Batang" w:cs="Gulim"/>
          <w:color w:val="000000"/>
          <w:lang w:val="fr-FR" w:eastAsia="ko-KR"/>
        </w:rPr>
        <w:t>Par ailleurs</w:t>
      </w:r>
      <w:r w:rsidR="000078DA" w:rsidRPr="002715F2">
        <w:rPr>
          <w:rFonts w:eastAsia="Batang" w:cs="Gulim"/>
          <w:color w:val="000000"/>
          <w:lang w:val="fr-FR" w:eastAsia="ko-KR"/>
        </w:rPr>
        <w:t xml:space="preserve">, </w:t>
      </w:r>
      <w:r w:rsidR="003210EA" w:rsidRPr="002715F2">
        <w:rPr>
          <w:rFonts w:eastAsia="Batang" w:cs="Gulim"/>
          <w:color w:val="000000"/>
          <w:lang w:val="fr-FR" w:eastAsia="ko-KR"/>
        </w:rPr>
        <w:t xml:space="preserve">les </w:t>
      </w:r>
      <w:r w:rsidR="0026458C" w:rsidRPr="002715F2">
        <w:rPr>
          <w:rFonts w:eastAsia="Batang" w:cs="Gulim"/>
          <w:color w:val="000000"/>
          <w:lang w:val="fr-FR" w:eastAsia="ko-KR"/>
        </w:rPr>
        <w:t>enseignants</w:t>
      </w:r>
      <w:r w:rsidR="003210EA" w:rsidRPr="002715F2">
        <w:rPr>
          <w:rFonts w:eastAsia="Batang" w:cs="Gulim"/>
          <w:color w:val="000000"/>
          <w:lang w:val="fr-FR" w:eastAsia="ko-KR"/>
        </w:rPr>
        <w:t xml:space="preserve"> et spécialistes de la Commission nationale des droits de l’homme sont invités à </w:t>
      </w:r>
      <w:r w:rsidR="000A2A76" w:rsidRPr="002715F2">
        <w:rPr>
          <w:rFonts w:eastAsia="Batang" w:cs="Gulim"/>
          <w:color w:val="000000"/>
          <w:lang w:val="fr-FR" w:eastAsia="ko-KR"/>
        </w:rPr>
        <w:t>organiser des tournées de conférences</w:t>
      </w:r>
      <w:r w:rsidR="003210EA" w:rsidRPr="002715F2">
        <w:rPr>
          <w:rFonts w:eastAsia="Batang" w:cs="Gulim"/>
          <w:color w:val="000000"/>
          <w:lang w:val="fr-FR" w:eastAsia="ko-KR"/>
        </w:rPr>
        <w:t xml:space="preserve"> </w:t>
      </w:r>
      <w:r w:rsidR="000A2A76" w:rsidRPr="002715F2">
        <w:rPr>
          <w:rFonts w:eastAsia="Batang" w:cs="Gulim"/>
          <w:color w:val="000000"/>
          <w:lang w:val="fr-FR" w:eastAsia="ko-KR"/>
        </w:rPr>
        <w:t xml:space="preserve">sur les </w:t>
      </w:r>
      <w:r w:rsidR="003210EA" w:rsidRPr="002715F2">
        <w:rPr>
          <w:rFonts w:eastAsia="Batang" w:cs="Gulim"/>
          <w:color w:val="000000"/>
          <w:lang w:val="fr-FR" w:eastAsia="ko-KR"/>
        </w:rPr>
        <w:t xml:space="preserve">droits de l’homme </w:t>
      </w:r>
      <w:r w:rsidR="000A2A76" w:rsidRPr="002715F2">
        <w:rPr>
          <w:rFonts w:eastAsia="Batang" w:cs="Gulim"/>
          <w:color w:val="000000"/>
          <w:lang w:val="fr-FR" w:eastAsia="ko-KR"/>
        </w:rPr>
        <w:t>à l’intention des</w:t>
      </w:r>
      <w:r w:rsidR="003210EA" w:rsidRPr="002715F2">
        <w:rPr>
          <w:rFonts w:eastAsia="Batang" w:cs="Gulim"/>
          <w:color w:val="000000"/>
          <w:lang w:val="fr-FR" w:eastAsia="ko-KR"/>
        </w:rPr>
        <w:t xml:space="preserve"> </w:t>
      </w:r>
      <w:r w:rsidR="000A2A76" w:rsidRPr="002715F2">
        <w:rPr>
          <w:rFonts w:eastAsia="Batang" w:cs="Gulim"/>
          <w:color w:val="000000"/>
          <w:lang w:val="fr-FR" w:eastAsia="ko-KR"/>
        </w:rPr>
        <w:t>officiers</w:t>
      </w:r>
      <w:r w:rsidR="003210EA" w:rsidRPr="002715F2">
        <w:rPr>
          <w:rFonts w:eastAsia="Batang" w:cs="Gulim"/>
          <w:color w:val="000000"/>
          <w:lang w:val="fr-FR" w:eastAsia="ko-KR"/>
        </w:rPr>
        <w:t xml:space="preserve"> de</w:t>
      </w:r>
      <w:r w:rsidR="000A2A76" w:rsidRPr="002715F2">
        <w:rPr>
          <w:rFonts w:eastAsia="Batang" w:cs="Gulim"/>
          <w:color w:val="000000"/>
          <w:lang w:val="fr-FR" w:eastAsia="ko-KR"/>
        </w:rPr>
        <w:t>s</w:t>
      </w:r>
      <w:r w:rsidR="003210EA" w:rsidRPr="002715F2">
        <w:rPr>
          <w:rFonts w:eastAsia="Batang" w:cs="Gulim"/>
          <w:color w:val="000000"/>
          <w:lang w:val="fr-FR" w:eastAsia="ko-KR"/>
        </w:rPr>
        <w:t xml:space="preserve"> unités </w:t>
      </w:r>
      <w:r w:rsidR="000A2A76" w:rsidRPr="002715F2">
        <w:rPr>
          <w:rFonts w:eastAsia="Batang" w:cs="Gulim"/>
          <w:color w:val="000000"/>
          <w:lang w:val="fr-FR" w:eastAsia="ko-KR"/>
        </w:rPr>
        <w:t>les plus importantes</w:t>
      </w:r>
      <w:r w:rsidR="00F60999" w:rsidRPr="002715F2">
        <w:rPr>
          <w:rFonts w:eastAsia="Batang" w:cs="Gulim"/>
          <w:color w:val="000000"/>
          <w:lang w:val="fr-FR" w:eastAsia="ko-KR"/>
        </w:rPr>
        <w:t>.</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0A2A76" w:rsidRPr="002715F2">
        <w:rPr>
          <w:rFonts w:eastAsia="Batang"/>
          <w:lang w:val="fr-FR" w:eastAsia="ko-KR"/>
        </w:rPr>
        <w:t xml:space="preserve">Éducation aux droits de l’homme </w:t>
      </w:r>
      <w:r w:rsidR="0026458C" w:rsidRPr="002715F2">
        <w:rPr>
          <w:rFonts w:eastAsia="Batang"/>
          <w:lang w:val="fr-FR" w:eastAsia="ko-KR"/>
        </w:rPr>
        <w:t xml:space="preserve">à l’intention des </w:t>
      </w:r>
      <w:r w:rsidR="000A2A76" w:rsidRPr="002715F2">
        <w:rPr>
          <w:rFonts w:eastAsia="Batang"/>
          <w:lang w:val="fr-FR" w:eastAsia="ko-KR"/>
        </w:rPr>
        <w:t>fonctionnaires de police</w:t>
      </w:r>
    </w:p>
    <w:p w:rsidR="000078DA" w:rsidRPr="002715F2" w:rsidRDefault="007026FB" w:rsidP="007026FB">
      <w:pPr>
        <w:pStyle w:val="SingleTxtG"/>
        <w:rPr>
          <w:rFonts w:eastAsia="Batang"/>
          <w:lang w:val="fr-FR" w:eastAsia="ko-KR"/>
        </w:rPr>
      </w:pPr>
      <w:r w:rsidRPr="002715F2">
        <w:rPr>
          <w:rFonts w:eastAsia="Batang"/>
          <w:lang w:val="fr-FR" w:eastAsia="ko-KR"/>
        </w:rPr>
        <w:t>94.</w:t>
      </w:r>
      <w:r w:rsidRPr="002715F2">
        <w:rPr>
          <w:rFonts w:eastAsia="Batang"/>
          <w:lang w:val="fr-FR" w:eastAsia="ko-KR"/>
        </w:rPr>
        <w:tab/>
      </w:r>
      <w:r w:rsidR="002F08A5" w:rsidRPr="002715F2">
        <w:rPr>
          <w:rFonts w:eastAsia="Batang"/>
          <w:lang w:val="fr-FR" w:eastAsia="ko-KR"/>
        </w:rPr>
        <w:t xml:space="preserve">L’Agence de police nationale </w:t>
      </w:r>
      <w:r w:rsidR="000A2A76" w:rsidRPr="002715F2">
        <w:rPr>
          <w:rFonts w:eastAsia="Batang"/>
          <w:lang w:val="fr-FR" w:eastAsia="ko-KR"/>
        </w:rPr>
        <w:t xml:space="preserve">a </w:t>
      </w:r>
      <w:r w:rsidR="00263096" w:rsidRPr="002715F2">
        <w:rPr>
          <w:rFonts w:eastAsia="Batang"/>
          <w:lang w:val="fr-FR" w:eastAsia="ko-KR"/>
        </w:rPr>
        <w:t xml:space="preserve">créé en 2005 </w:t>
      </w:r>
      <w:r w:rsidR="000A2A76" w:rsidRPr="002715F2">
        <w:rPr>
          <w:rFonts w:eastAsia="Batang"/>
          <w:lang w:val="fr-FR" w:eastAsia="ko-KR"/>
        </w:rPr>
        <w:t>un</w:t>
      </w:r>
      <w:r w:rsidR="0023355D" w:rsidRPr="002715F2">
        <w:rPr>
          <w:rFonts w:eastAsia="Batang"/>
          <w:lang w:val="fr-FR" w:eastAsia="ko-KR"/>
        </w:rPr>
        <w:t xml:space="preserve"> département</w:t>
      </w:r>
      <w:r w:rsidR="000A2A76" w:rsidRPr="002715F2">
        <w:rPr>
          <w:rFonts w:eastAsia="Batang"/>
          <w:lang w:val="fr-FR" w:eastAsia="ko-KR"/>
        </w:rPr>
        <w:t xml:space="preserve"> de</w:t>
      </w:r>
      <w:r w:rsidR="00263096" w:rsidRPr="002715F2">
        <w:rPr>
          <w:rFonts w:eastAsia="Batang"/>
          <w:lang w:val="fr-FR" w:eastAsia="ko-KR"/>
        </w:rPr>
        <w:t xml:space="preserve"> protection de</w:t>
      </w:r>
      <w:r w:rsidR="000A2A76" w:rsidRPr="002715F2">
        <w:rPr>
          <w:rFonts w:eastAsia="Batang"/>
          <w:lang w:val="fr-FR" w:eastAsia="ko-KR"/>
        </w:rPr>
        <w:t xml:space="preserve">s droits de l’homme et </w:t>
      </w:r>
      <w:r w:rsidR="005C6D8E" w:rsidRPr="002715F2">
        <w:rPr>
          <w:rFonts w:eastAsia="Batang"/>
          <w:lang w:val="fr-FR" w:eastAsia="ko-KR"/>
        </w:rPr>
        <w:t>élaboré</w:t>
      </w:r>
      <w:r w:rsidR="000A2A76" w:rsidRPr="002715F2">
        <w:rPr>
          <w:rFonts w:eastAsia="Batang"/>
          <w:lang w:val="fr-FR" w:eastAsia="ko-KR"/>
        </w:rPr>
        <w:t xml:space="preserve"> un plan de base pour amélior</w:t>
      </w:r>
      <w:r w:rsidR="00263096" w:rsidRPr="002715F2">
        <w:rPr>
          <w:rFonts w:eastAsia="Batang"/>
          <w:lang w:val="fr-FR" w:eastAsia="ko-KR"/>
        </w:rPr>
        <w:t xml:space="preserve">er </w:t>
      </w:r>
      <w:r w:rsidR="000A2A76" w:rsidRPr="002715F2">
        <w:rPr>
          <w:rFonts w:eastAsia="Batang"/>
          <w:lang w:val="fr-FR" w:eastAsia="ko-KR"/>
        </w:rPr>
        <w:t xml:space="preserve">l’éducation </w:t>
      </w:r>
      <w:r w:rsidR="00263096" w:rsidRPr="002715F2">
        <w:rPr>
          <w:rFonts w:eastAsia="Batang"/>
          <w:lang w:val="fr-FR" w:eastAsia="ko-KR"/>
        </w:rPr>
        <w:t>sur cette question</w:t>
      </w:r>
      <w:r w:rsidR="000078DA" w:rsidRPr="002715F2">
        <w:rPr>
          <w:rFonts w:eastAsia="Batang"/>
          <w:lang w:val="fr-FR" w:eastAsia="ko-KR"/>
        </w:rPr>
        <w:t xml:space="preserve">. </w:t>
      </w:r>
      <w:r w:rsidR="00263096" w:rsidRPr="002715F2">
        <w:rPr>
          <w:rFonts w:eastAsia="Batang"/>
          <w:lang w:val="fr-FR" w:eastAsia="ko-KR"/>
        </w:rPr>
        <w:t xml:space="preserve">L’Agence </w:t>
      </w:r>
      <w:r w:rsidR="000A2A76" w:rsidRPr="002715F2">
        <w:rPr>
          <w:rFonts w:eastAsia="Batang"/>
          <w:lang w:val="fr-FR" w:eastAsia="ko-KR"/>
        </w:rPr>
        <w:t>sensibilise les fonctionnaires de police aux droits de l’homme en enseignant cette matière dans les établissements de formation des policiers</w:t>
      </w:r>
      <w:r w:rsidR="00F60999" w:rsidRPr="002715F2">
        <w:rPr>
          <w:rFonts w:eastAsia="Batang"/>
          <w:lang w:val="fr-FR" w:eastAsia="ko-KR"/>
        </w:rPr>
        <w:t>.</w:t>
      </w:r>
    </w:p>
    <w:p w:rsidR="000078DA" w:rsidRPr="002715F2" w:rsidRDefault="007026FB" w:rsidP="007026FB">
      <w:pPr>
        <w:pStyle w:val="SingleTxtG"/>
        <w:rPr>
          <w:rFonts w:eastAsia="Gulim"/>
          <w:lang w:val="fr-FR" w:eastAsia="ko-KR"/>
        </w:rPr>
      </w:pPr>
      <w:r w:rsidRPr="002715F2">
        <w:rPr>
          <w:rFonts w:eastAsia="Gulim"/>
          <w:lang w:val="fr-FR" w:eastAsia="ko-KR"/>
        </w:rPr>
        <w:t>95.</w:t>
      </w:r>
      <w:r w:rsidRPr="002715F2">
        <w:rPr>
          <w:rFonts w:eastAsia="Gulim"/>
          <w:lang w:val="fr-FR" w:eastAsia="ko-KR"/>
        </w:rPr>
        <w:tab/>
      </w:r>
      <w:r w:rsidR="000A2A76" w:rsidRPr="002715F2">
        <w:rPr>
          <w:rFonts w:eastAsia="Malgun Gothic"/>
          <w:kern w:val="2"/>
          <w:szCs w:val="22"/>
          <w:lang w:val="fr-FR" w:eastAsia="ko-KR"/>
        </w:rPr>
        <w:t>Entre</w:t>
      </w:r>
      <w:r w:rsidR="000078DA" w:rsidRPr="002715F2">
        <w:rPr>
          <w:rFonts w:eastAsia="HyhwpEQ"/>
          <w:lang w:val="fr-FR" w:eastAsia="ko-KR"/>
        </w:rPr>
        <w:t xml:space="preserve"> 2006 </w:t>
      </w:r>
      <w:r w:rsidR="000A2A76" w:rsidRPr="002715F2">
        <w:rPr>
          <w:rFonts w:eastAsia="HyhwpEQ"/>
          <w:lang w:val="fr-FR" w:eastAsia="ko-KR"/>
        </w:rPr>
        <w:t>et</w:t>
      </w:r>
      <w:r w:rsidR="000078DA" w:rsidRPr="002715F2">
        <w:rPr>
          <w:rFonts w:eastAsia="HyhwpEQ"/>
          <w:lang w:val="fr-FR" w:eastAsia="ko-KR"/>
        </w:rPr>
        <w:t xml:space="preserve"> 2014, </w:t>
      </w:r>
      <w:r w:rsidR="000A2A76" w:rsidRPr="002715F2">
        <w:rPr>
          <w:rFonts w:eastAsia="HyhwpEQ"/>
          <w:lang w:val="fr-FR" w:eastAsia="ko-KR"/>
        </w:rPr>
        <w:t xml:space="preserve">l’Institut de formation de la police a dispensé </w:t>
      </w:r>
      <w:r w:rsidR="00474481" w:rsidRPr="002715F2">
        <w:rPr>
          <w:rFonts w:eastAsia="HyhwpEQ"/>
          <w:lang w:val="fr-FR" w:eastAsia="ko-KR"/>
        </w:rPr>
        <w:t>64 «</w:t>
      </w:r>
      <w:r w:rsidR="00936D0A" w:rsidRPr="002715F2">
        <w:rPr>
          <w:rFonts w:eastAsia="HyhwpEQ"/>
          <w:lang w:val="fr-FR" w:eastAsia="ko-KR"/>
        </w:rPr>
        <w:t>S</w:t>
      </w:r>
      <w:r w:rsidR="000A2A76" w:rsidRPr="002715F2">
        <w:rPr>
          <w:rFonts w:eastAsia="HyhwpEQ"/>
          <w:lang w:val="fr-FR" w:eastAsia="ko-KR"/>
        </w:rPr>
        <w:t xml:space="preserve">tages de formation </w:t>
      </w:r>
      <w:r w:rsidR="00936D0A" w:rsidRPr="002715F2">
        <w:rPr>
          <w:rFonts w:eastAsia="HyhwpEQ"/>
          <w:kern w:val="2"/>
          <w:szCs w:val="22"/>
          <w:lang w:val="fr-FR"/>
        </w:rPr>
        <w:t xml:space="preserve">des </w:t>
      </w:r>
      <w:r w:rsidR="0033652E" w:rsidRPr="002715F2">
        <w:rPr>
          <w:rFonts w:eastAsia="HyhwpEQ"/>
          <w:kern w:val="2"/>
          <w:szCs w:val="22"/>
          <w:lang w:val="fr-FR"/>
        </w:rPr>
        <w:t>instructeurs</w:t>
      </w:r>
      <w:r w:rsidR="00936D0A" w:rsidRPr="002715F2">
        <w:rPr>
          <w:rFonts w:eastAsia="HyhwpEQ"/>
          <w:lang w:val="fr-FR" w:eastAsia="ko-KR"/>
        </w:rPr>
        <w:t xml:space="preserve"> </w:t>
      </w:r>
      <w:r w:rsidR="0033652E" w:rsidRPr="002715F2">
        <w:rPr>
          <w:rFonts w:eastAsia="HyhwpEQ"/>
          <w:lang w:val="fr-FR" w:eastAsia="ko-KR"/>
        </w:rPr>
        <w:t>des</w:t>
      </w:r>
      <w:r w:rsidR="000A2A76" w:rsidRPr="002715F2">
        <w:rPr>
          <w:rFonts w:eastAsia="HyhwpEQ"/>
          <w:lang w:val="fr-FR" w:eastAsia="ko-KR"/>
        </w:rPr>
        <w:t xml:space="preserve"> droits de l’homme</w:t>
      </w:r>
      <w:r w:rsidR="00E97B1A" w:rsidRPr="002715F2">
        <w:rPr>
          <w:rFonts w:eastAsia="HyhwpEQ"/>
          <w:lang w:val="fr-FR" w:eastAsia="ko-KR"/>
        </w:rPr>
        <w:t>»</w:t>
      </w:r>
      <w:r w:rsidR="000A2A76" w:rsidRPr="002715F2">
        <w:rPr>
          <w:rFonts w:eastAsia="HyhwpEQ"/>
          <w:lang w:val="fr-FR" w:eastAsia="ko-KR"/>
        </w:rPr>
        <w:t xml:space="preserve"> à 1</w:t>
      </w:r>
      <w:r w:rsidR="00263096" w:rsidRPr="002715F2">
        <w:rPr>
          <w:rFonts w:eastAsia="HyhwpEQ"/>
          <w:lang w:val="fr-FR" w:eastAsia="ko-KR"/>
        </w:rPr>
        <w:t> </w:t>
      </w:r>
      <w:r w:rsidR="000A2A76" w:rsidRPr="002715F2">
        <w:rPr>
          <w:rFonts w:eastAsia="HyhwpEQ"/>
          <w:lang w:val="fr-FR" w:eastAsia="ko-KR"/>
        </w:rPr>
        <w:t>802 </w:t>
      </w:r>
      <w:r w:rsidR="000A2A76" w:rsidRPr="002715F2">
        <w:rPr>
          <w:rFonts w:eastAsia="Batang"/>
          <w:lang w:val="fr-FR" w:eastAsia="ko-KR"/>
        </w:rPr>
        <w:t>fonctionnaires de police</w:t>
      </w:r>
      <w:r w:rsidR="000A2A76" w:rsidRPr="002715F2">
        <w:rPr>
          <w:rFonts w:eastAsia="Malgun Gothic"/>
          <w:kern w:val="2"/>
          <w:szCs w:val="22"/>
          <w:lang w:val="fr-FR" w:eastAsia="ko-KR"/>
        </w:rPr>
        <w:t>.</w:t>
      </w:r>
      <w:r w:rsidR="000078DA" w:rsidRPr="002715F2">
        <w:rPr>
          <w:rFonts w:eastAsia="HyhwpEQ"/>
          <w:lang w:val="fr-FR" w:eastAsia="ko-KR"/>
        </w:rPr>
        <w:t xml:space="preserve"> </w:t>
      </w:r>
      <w:r w:rsidR="000A2A76" w:rsidRPr="002715F2">
        <w:rPr>
          <w:rFonts w:eastAsia="HyhwpEQ"/>
          <w:lang w:val="fr-FR" w:eastAsia="ko-KR"/>
        </w:rPr>
        <w:t xml:space="preserve">L’Institut a élaboré de nouveaux cours tels que </w:t>
      </w:r>
      <w:r w:rsidR="00E97B1A" w:rsidRPr="002715F2">
        <w:rPr>
          <w:rFonts w:eastAsia="HyhwpEQ"/>
          <w:lang w:val="fr-FR" w:eastAsia="ko-KR"/>
        </w:rPr>
        <w:t>«</w:t>
      </w:r>
      <w:r w:rsidR="00936D0A" w:rsidRPr="002715F2">
        <w:rPr>
          <w:rFonts w:eastAsia="HyhwpEQ"/>
          <w:lang w:val="fr-FR" w:eastAsia="ko-KR"/>
        </w:rPr>
        <w:t>C</w:t>
      </w:r>
      <w:r w:rsidR="000A2A76" w:rsidRPr="002715F2">
        <w:rPr>
          <w:rFonts w:eastAsia="HyhwpEQ"/>
          <w:lang w:val="fr-FR" w:eastAsia="ko-KR"/>
        </w:rPr>
        <w:t xml:space="preserve">ours de sensibilisation </w:t>
      </w:r>
      <w:r w:rsidR="00936D0A" w:rsidRPr="002715F2">
        <w:rPr>
          <w:rFonts w:eastAsia="HyhwpEQ"/>
          <w:lang w:val="fr-FR" w:eastAsia="ko-KR"/>
        </w:rPr>
        <w:t>des policiers aux droits de l’homme</w:t>
      </w:r>
      <w:r w:rsidR="00E97B1A" w:rsidRPr="002715F2">
        <w:rPr>
          <w:rFonts w:eastAsia="HyhwpEQ"/>
          <w:lang w:val="fr-FR" w:eastAsia="ko-KR"/>
        </w:rPr>
        <w:t>»</w:t>
      </w:r>
      <w:r w:rsidR="000A2A76" w:rsidRPr="002715F2">
        <w:rPr>
          <w:rFonts w:eastAsia="HyhwpEQ"/>
          <w:lang w:val="fr-FR" w:eastAsia="ko-KR"/>
        </w:rPr>
        <w:t xml:space="preserve"> et </w:t>
      </w:r>
      <w:r w:rsidR="00E97B1A" w:rsidRPr="002715F2">
        <w:rPr>
          <w:rFonts w:eastAsia="HyhwpEQ"/>
          <w:lang w:val="fr-FR" w:eastAsia="ko-KR"/>
        </w:rPr>
        <w:t>«</w:t>
      </w:r>
      <w:r w:rsidR="0097150B" w:rsidRPr="002715F2">
        <w:rPr>
          <w:rFonts w:eastAsia="HyhwpEQ"/>
          <w:lang w:val="fr-FR" w:eastAsia="ko-KR"/>
        </w:rPr>
        <w:t>A</w:t>
      </w:r>
      <w:r w:rsidR="000A2A76" w:rsidRPr="002715F2">
        <w:rPr>
          <w:rFonts w:eastAsia="HyhwpEQ"/>
          <w:lang w:val="fr-FR" w:eastAsia="ko-KR"/>
        </w:rPr>
        <w:t>ctivités de</w:t>
      </w:r>
      <w:r w:rsidR="0097150B" w:rsidRPr="002715F2">
        <w:rPr>
          <w:rFonts w:eastAsia="HyhwpEQ"/>
          <w:lang w:val="fr-FR" w:eastAsia="ko-KR"/>
        </w:rPr>
        <w:t xml:space="preserve"> la p</w:t>
      </w:r>
      <w:r w:rsidR="000A2A76" w:rsidRPr="002715F2">
        <w:rPr>
          <w:rFonts w:eastAsia="HyhwpEQ"/>
          <w:lang w:val="fr-FR" w:eastAsia="ko-KR"/>
        </w:rPr>
        <w:t>olice et droits de l’homme</w:t>
      </w:r>
      <w:r w:rsidR="00E97B1A" w:rsidRPr="002715F2">
        <w:rPr>
          <w:rFonts w:eastAsia="HyhwpEQ"/>
          <w:lang w:val="fr-FR" w:eastAsia="ko-KR"/>
        </w:rPr>
        <w:t>»</w:t>
      </w:r>
      <w:r w:rsidR="000A2A76" w:rsidRPr="002715F2">
        <w:rPr>
          <w:rFonts w:eastAsia="HyhwpEQ"/>
          <w:lang w:val="fr-FR" w:eastAsia="ko-KR"/>
        </w:rPr>
        <w:t xml:space="preserve"> en 2015</w:t>
      </w:r>
      <w:r w:rsidR="0097150B" w:rsidRPr="002715F2">
        <w:rPr>
          <w:rFonts w:eastAsia="HyhwpEQ"/>
          <w:lang w:val="fr-FR" w:eastAsia="ko-KR"/>
        </w:rPr>
        <w:t>,</w:t>
      </w:r>
      <w:r w:rsidR="000A2A76" w:rsidRPr="002715F2">
        <w:rPr>
          <w:rFonts w:eastAsia="HyhwpEQ"/>
          <w:lang w:val="fr-FR" w:eastAsia="ko-KR"/>
        </w:rPr>
        <w:t xml:space="preserve"> et formé </w:t>
      </w:r>
      <w:r w:rsidR="0097150B" w:rsidRPr="002715F2">
        <w:rPr>
          <w:rFonts w:eastAsia="HyhwpEQ"/>
          <w:lang w:val="fr-FR" w:eastAsia="ko-KR"/>
        </w:rPr>
        <w:t>100 </w:t>
      </w:r>
      <w:r w:rsidR="000A2A76" w:rsidRPr="002715F2">
        <w:rPr>
          <w:rFonts w:eastAsia="HyhwpEQ"/>
          <w:lang w:val="fr-FR" w:eastAsia="ko-KR"/>
        </w:rPr>
        <w:t xml:space="preserve">stagiaires </w:t>
      </w:r>
      <w:r w:rsidR="0033652E" w:rsidRPr="002715F2">
        <w:rPr>
          <w:rFonts w:eastAsia="HyhwpEQ"/>
          <w:lang w:val="fr-FR" w:eastAsia="ko-KR"/>
        </w:rPr>
        <w:t>dans le cadre de</w:t>
      </w:r>
      <w:r w:rsidR="000A2A76" w:rsidRPr="002715F2">
        <w:rPr>
          <w:rFonts w:eastAsia="HyhwpEQ"/>
          <w:lang w:val="fr-FR" w:eastAsia="ko-KR"/>
        </w:rPr>
        <w:t xml:space="preserve"> </w:t>
      </w:r>
      <w:r w:rsidR="00936D0A" w:rsidRPr="002715F2">
        <w:rPr>
          <w:rFonts w:eastAsia="HyhwpEQ"/>
          <w:lang w:val="fr-FR" w:eastAsia="ko-KR"/>
        </w:rPr>
        <w:t>deux</w:t>
      </w:r>
      <w:r w:rsidR="00263096" w:rsidRPr="002715F2">
        <w:rPr>
          <w:rFonts w:eastAsia="HyhwpEQ"/>
          <w:lang w:val="fr-FR" w:eastAsia="ko-KR"/>
        </w:rPr>
        <w:t> </w:t>
      </w:r>
      <w:r w:rsidR="000A2A76" w:rsidRPr="002715F2">
        <w:rPr>
          <w:rFonts w:eastAsia="HyhwpEQ"/>
          <w:lang w:val="fr-FR" w:eastAsia="ko-KR"/>
        </w:rPr>
        <w:t>sessions</w:t>
      </w:r>
      <w:r w:rsidR="0033652E" w:rsidRPr="002715F2">
        <w:rPr>
          <w:rFonts w:eastAsia="HyhwpEQ"/>
          <w:lang w:val="fr-FR" w:eastAsia="ko-KR"/>
        </w:rPr>
        <w:t xml:space="preserve"> (une session pour chaque cours)</w:t>
      </w:r>
      <w:r w:rsidR="000078DA" w:rsidRPr="002715F2">
        <w:rPr>
          <w:rFonts w:eastAsia="HyhwpEQ"/>
          <w:lang w:val="fr-FR" w:eastAsia="ko-KR"/>
        </w:rPr>
        <w:t xml:space="preserve">. </w:t>
      </w:r>
      <w:r w:rsidR="00474481" w:rsidRPr="002715F2">
        <w:rPr>
          <w:rFonts w:eastAsia="HyhwpEQ"/>
          <w:lang w:val="fr-FR" w:eastAsia="ko-KR"/>
        </w:rPr>
        <w:t xml:space="preserve">Depuis </w:t>
      </w:r>
      <w:r w:rsidR="0097150B" w:rsidRPr="002715F2">
        <w:rPr>
          <w:rFonts w:eastAsia="HyhwpEQ"/>
          <w:lang w:val="fr-FR" w:eastAsia="ko-KR"/>
        </w:rPr>
        <w:t xml:space="preserve">2012, plus de </w:t>
      </w:r>
      <w:r w:rsidR="00474481" w:rsidRPr="002715F2">
        <w:rPr>
          <w:rFonts w:eastAsia="HyhwpEQ"/>
          <w:lang w:val="fr-FR" w:eastAsia="ko-KR"/>
        </w:rPr>
        <w:t xml:space="preserve">deux </w:t>
      </w:r>
      <w:r w:rsidR="0097150B" w:rsidRPr="002715F2">
        <w:rPr>
          <w:rFonts w:eastAsia="HyhwpEQ"/>
          <w:lang w:val="fr-FR" w:eastAsia="ko-KR"/>
        </w:rPr>
        <w:t xml:space="preserve">heures </w:t>
      </w:r>
      <w:r w:rsidR="0033652E" w:rsidRPr="002715F2">
        <w:rPr>
          <w:rFonts w:eastAsia="HyhwpEQ"/>
          <w:lang w:val="fr-FR" w:eastAsia="ko-KR"/>
        </w:rPr>
        <w:t>d’éducation</w:t>
      </w:r>
      <w:r w:rsidR="00F412D6" w:rsidRPr="002715F2">
        <w:rPr>
          <w:rFonts w:eastAsia="HyhwpEQ"/>
          <w:lang w:val="fr-FR" w:eastAsia="ko-KR"/>
        </w:rPr>
        <w:t xml:space="preserve"> obligatoire</w:t>
      </w:r>
      <w:r w:rsidR="0033652E" w:rsidRPr="002715F2">
        <w:rPr>
          <w:rFonts w:eastAsia="HyhwpEQ"/>
          <w:lang w:val="fr-FR" w:eastAsia="ko-KR"/>
        </w:rPr>
        <w:t xml:space="preserve"> aux</w:t>
      </w:r>
      <w:r w:rsidR="0097150B" w:rsidRPr="002715F2">
        <w:rPr>
          <w:rFonts w:eastAsia="HyhwpEQ"/>
          <w:lang w:val="fr-FR" w:eastAsia="ko-KR"/>
        </w:rPr>
        <w:t xml:space="preserve"> droits de </w:t>
      </w:r>
      <w:r w:rsidR="0033652E" w:rsidRPr="002715F2">
        <w:rPr>
          <w:rFonts w:eastAsia="HyhwpEQ"/>
          <w:lang w:val="fr-FR" w:eastAsia="ko-KR"/>
        </w:rPr>
        <w:t>la personne</w:t>
      </w:r>
      <w:r w:rsidR="0097150B" w:rsidRPr="002715F2">
        <w:rPr>
          <w:rFonts w:eastAsia="HyhwpEQ"/>
          <w:lang w:val="fr-FR" w:eastAsia="ko-KR"/>
        </w:rPr>
        <w:t xml:space="preserve"> ont </w:t>
      </w:r>
      <w:r w:rsidR="00F412D6" w:rsidRPr="002715F2">
        <w:rPr>
          <w:rFonts w:eastAsia="HyhwpEQ"/>
          <w:lang w:val="fr-FR" w:eastAsia="ko-KR"/>
        </w:rPr>
        <w:t xml:space="preserve">été </w:t>
      </w:r>
      <w:r w:rsidR="0033652E" w:rsidRPr="002715F2">
        <w:rPr>
          <w:rFonts w:eastAsia="HyhwpEQ"/>
          <w:lang w:val="fr-FR" w:eastAsia="ko-KR"/>
        </w:rPr>
        <w:t xml:space="preserve">ajoutées à plus de </w:t>
      </w:r>
      <w:r w:rsidR="00474481" w:rsidRPr="002715F2">
        <w:rPr>
          <w:rFonts w:eastAsia="HyhwpEQ"/>
          <w:lang w:val="fr-FR" w:eastAsia="ko-KR"/>
        </w:rPr>
        <w:t xml:space="preserve">deux </w:t>
      </w:r>
      <w:r w:rsidR="0097150B" w:rsidRPr="002715F2">
        <w:rPr>
          <w:rFonts w:eastAsia="HyhwpEQ"/>
          <w:lang w:val="fr-FR" w:eastAsia="ko-KR"/>
        </w:rPr>
        <w:t>semaines de formation prat</w:t>
      </w:r>
      <w:r w:rsidR="0033652E" w:rsidRPr="002715F2">
        <w:rPr>
          <w:rFonts w:eastAsia="HyhwpEQ"/>
          <w:lang w:val="fr-FR" w:eastAsia="ko-KR"/>
        </w:rPr>
        <w:t xml:space="preserve">ique (sur le terrain) </w:t>
      </w:r>
      <w:r w:rsidR="0097150B" w:rsidRPr="002715F2">
        <w:rPr>
          <w:rFonts w:eastAsia="HyhwpEQ"/>
          <w:lang w:val="fr-FR" w:eastAsia="ko-KR"/>
        </w:rPr>
        <w:t xml:space="preserve">dans </w:t>
      </w:r>
      <w:r w:rsidR="0033652E" w:rsidRPr="002715F2">
        <w:rPr>
          <w:rFonts w:eastAsia="HyhwpEQ"/>
          <w:lang w:val="fr-FR" w:eastAsia="ko-KR"/>
        </w:rPr>
        <w:t>l</w:t>
      </w:r>
      <w:r w:rsidR="0097150B" w:rsidRPr="002715F2">
        <w:rPr>
          <w:rFonts w:eastAsia="HyhwpEQ"/>
          <w:lang w:val="fr-FR" w:eastAsia="ko-KR"/>
        </w:rPr>
        <w:t xml:space="preserve">es établissements de formation des </w:t>
      </w:r>
      <w:r w:rsidR="0097150B" w:rsidRPr="002715F2">
        <w:rPr>
          <w:rFonts w:eastAsia="Batang"/>
          <w:lang w:val="fr-FR" w:eastAsia="ko-KR"/>
        </w:rPr>
        <w:t>fonctionnaires de police</w:t>
      </w:r>
      <w:r w:rsidR="0033652E" w:rsidRPr="002715F2">
        <w:rPr>
          <w:rFonts w:eastAsia="HyhwpEQ"/>
          <w:lang w:val="fr-FR" w:eastAsia="ko-KR"/>
        </w:rPr>
        <w:t xml:space="preserve">, notamment à </w:t>
      </w:r>
      <w:r w:rsidR="00F412D6" w:rsidRPr="002715F2">
        <w:rPr>
          <w:rFonts w:eastAsia="HyhwpEQ"/>
          <w:lang w:val="fr-FR" w:eastAsia="ko-KR"/>
        </w:rPr>
        <w:t>l’Université de la Police nationale de Corée</w:t>
      </w:r>
      <w:r w:rsidR="000078DA" w:rsidRPr="002715F2">
        <w:rPr>
          <w:rFonts w:eastAsia="HyhwpEQ"/>
          <w:lang w:val="fr-FR" w:eastAsia="ko-KR"/>
        </w:rPr>
        <w:t xml:space="preserve">. </w:t>
      </w:r>
      <w:r w:rsidR="00F412D6" w:rsidRPr="002715F2">
        <w:rPr>
          <w:rFonts w:eastAsia="HyhwpEQ"/>
          <w:lang w:val="fr-FR" w:eastAsia="ko-KR"/>
        </w:rPr>
        <w:t xml:space="preserve">De </w:t>
      </w:r>
      <w:r w:rsidR="005C6D8E" w:rsidRPr="002715F2">
        <w:rPr>
          <w:rFonts w:eastAsia="HyhwpEQ"/>
          <w:lang w:val="fr-FR" w:eastAsia="ko-KR"/>
        </w:rPr>
        <w:t>surcroît</w:t>
      </w:r>
      <w:r w:rsidR="000078DA" w:rsidRPr="002715F2">
        <w:rPr>
          <w:rFonts w:eastAsia="HyhwpEQ"/>
          <w:lang w:val="fr-FR" w:eastAsia="ko-KR"/>
        </w:rPr>
        <w:t xml:space="preserve">, </w:t>
      </w:r>
      <w:r w:rsidR="00F412D6" w:rsidRPr="002715F2">
        <w:rPr>
          <w:rFonts w:eastAsia="HyhwpEQ"/>
          <w:lang w:val="fr-FR" w:eastAsia="ko-KR"/>
        </w:rPr>
        <w:t>en</w:t>
      </w:r>
      <w:r w:rsidR="00263096" w:rsidRPr="002715F2">
        <w:rPr>
          <w:rFonts w:eastAsia="HyhwpEQ"/>
          <w:lang w:val="fr-FR" w:eastAsia="ko-KR"/>
        </w:rPr>
        <w:t xml:space="preserve"> 2015, 33 </w:t>
      </w:r>
      <w:r w:rsidR="0033652E" w:rsidRPr="002715F2">
        <w:rPr>
          <w:rFonts w:eastAsia="HyhwpEQ"/>
          <w:lang w:val="fr-FR" w:eastAsia="ko-KR"/>
        </w:rPr>
        <w:t>instructeurs internes</w:t>
      </w:r>
      <w:r w:rsidR="00F412D6" w:rsidRPr="002715F2">
        <w:rPr>
          <w:rFonts w:eastAsia="HyhwpEQ"/>
          <w:lang w:val="fr-FR" w:eastAsia="ko-KR"/>
        </w:rPr>
        <w:t xml:space="preserve"> de</w:t>
      </w:r>
      <w:r w:rsidR="0033652E" w:rsidRPr="002715F2">
        <w:rPr>
          <w:rFonts w:eastAsia="HyhwpEQ"/>
          <w:lang w:val="fr-FR" w:eastAsia="ko-KR"/>
        </w:rPr>
        <w:t>s</w:t>
      </w:r>
      <w:r w:rsidR="00F412D6" w:rsidRPr="002715F2">
        <w:rPr>
          <w:rFonts w:eastAsia="HyhwpEQ"/>
          <w:lang w:val="fr-FR" w:eastAsia="ko-KR"/>
        </w:rPr>
        <w:t xml:space="preserve"> d</w:t>
      </w:r>
      <w:r w:rsidR="00263096" w:rsidRPr="002715F2">
        <w:rPr>
          <w:rFonts w:eastAsia="HyhwpEQ"/>
          <w:lang w:val="fr-FR" w:eastAsia="ko-KR"/>
        </w:rPr>
        <w:t>roits de l’homme ont été nommés</w:t>
      </w:r>
      <w:r w:rsidR="00E97B1A" w:rsidRPr="002715F2">
        <w:rPr>
          <w:rFonts w:eastAsia="HyhwpEQ"/>
          <w:lang w:val="fr-FR" w:eastAsia="ko-KR"/>
        </w:rPr>
        <w:t>;</w:t>
      </w:r>
      <w:r w:rsidR="00F412D6" w:rsidRPr="002715F2">
        <w:rPr>
          <w:rFonts w:eastAsia="HyhwpEQ"/>
          <w:lang w:val="fr-FR" w:eastAsia="ko-KR"/>
        </w:rPr>
        <w:t xml:space="preserve"> c</w:t>
      </w:r>
      <w:r w:rsidR="00263096" w:rsidRPr="002715F2">
        <w:rPr>
          <w:rFonts w:eastAsia="HyhwpEQ"/>
          <w:lang w:val="fr-FR" w:eastAsia="ko-KR"/>
        </w:rPr>
        <w:t xml:space="preserve">es </w:t>
      </w:r>
      <w:r w:rsidR="0033652E" w:rsidRPr="002715F2">
        <w:rPr>
          <w:rFonts w:eastAsia="HyhwpEQ"/>
          <w:lang w:val="fr-FR" w:eastAsia="ko-KR"/>
        </w:rPr>
        <w:t xml:space="preserve">instructeurs </w:t>
      </w:r>
      <w:r w:rsidR="00263096" w:rsidRPr="002715F2">
        <w:rPr>
          <w:rFonts w:eastAsia="HyhwpEQ"/>
          <w:lang w:val="fr-FR" w:eastAsia="ko-KR"/>
        </w:rPr>
        <w:t xml:space="preserve">ont dispensé </w:t>
      </w:r>
      <w:r w:rsidR="0033652E" w:rsidRPr="002715F2">
        <w:rPr>
          <w:rFonts w:eastAsia="HyhwpEQ"/>
          <w:lang w:val="fr-FR" w:eastAsia="ko-KR"/>
        </w:rPr>
        <w:t xml:space="preserve">à 26 354 fonctionnaires de police </w:t>
      </w:r>
      <w:r w:rsidR="00263096" w:rsidRPr="002715F2">
        <w:rPr>
          <w:rFonts w:eastAsia="HyhwpEQ"/>
          <w:lang w:val="fr-FR" w:eastAsia="ko-KR"/>
        </w:rPr>
        <w:t>332 </w:t>
      </w:r>
      <w:r w:rsidR="00F412D6" w:rsidRPr="002715F2">
        <w:rPr>
          <w:rFonts w:eastAsia="HyhwpEQ"/>
          <w:lang w:val="fr-FR" w:eastAsia="ko-KR"/>
        </w:rPr>
        <w:t xml:space="preserve">sessions de formation </w:t>
      </w:r>
      <w:r w:rsidR="0033652E" w:rsidRPr="002715F2">
        <w:rPr>
          <w:rFonts w:eastAsia="HyhwpEQ"/>
          <w:lang w:val="fr-FR" w:eastAsia="ko-KR"/>
        </w:rPr>
        <w:t>relative aux</w:t>
      </w:r>
      <w:r w:rsidR="00F412D6" w:rsidRPr="002715F2">
        <w:rPr>
          <w:rFonts w:eastAsia="HyhwpEQ"/>
          <w:lang w:val="fr-FR" w:eastAsia="ko-KR"/>
        </w:rPr>
        <w:t xml:space="preserve"> violation</w:t>
      </w:r>
      <w:r w:rsidR="0033652E" w:rsidRPr="002715F2">
        <w:rPr>
          <w:rFonts w:eastAsia="HyhwpEQ"/>
          <w:lang w:val="fr-FR" w:eastAsia="ko-KR"/>
        </w:rPr>
        <w:t>s</w:t>
      </w:r>
      <w:r w:rsidR="00263096" w:rsidRPr="002715F2">
        <w:rPr>
          <w:rFonts w:eastAsia="HyhwpEQ"/>
          <w:lang w:val="fr-FR" w:eastAsia="ko-KR"/>
        </w:rPr>
        <w:t xml:space="preserve"> des droits de </w:t>
      </w:r>
      <w:r w:rsidR="0033652E" w:rsidRPr="002715F2">
        <w:rPr>
          <w:rFonts w:eastAsia="HyhwpEQ"/>
          <w:lang w:val="fr-FR" w:eastAsia="ko-KR"/>
        </w:rPr>
        <w:t>la personne</w:t>
      </w:r>
      <w:r w:rsidR="000078DA" w:rsidRPr="002715F2">
        <w:rPr>
          <w:rFonts w:eastAsia="HyhwpEQ"/>
          <w:lang w:val="fr-FR" w:eastAsia="ko-KR"/>
        </w:rPr>
        <w:t xml:space="preserve">. </w:t>
      </w:r>
      <w:r w:rsidR="00F412D6" w:rsidRPr="002715F2">
        <w:rPr>
          <w:rFonts w:eastAsia="HyhwpEQ"/>
          <w:lang w:val="fr-FR" w:eastAsia="ko-KR"/>
        </w:rPr>
        <w:t xml:space="preserve">Tous les policiers doivent </w:t>
      </w:r>
      <w:r w:rsidR="0033652E" w:rsidRPr="002715F2">
        <w:rPr>
          <w:rFonts w:eastAsia="HyhwpEQ"/>
          <w:lang w:val="fr-FR" w:eastAsia="ko-KR"/>
        </w:rPr>
        <w:t>recevoir</w:t>
      </w:r>
      <w:r w:rsidR="00F412D6" w:rsidRPr="002715F2">
        <w:rPr>
          <w:rFonts w:eastAsia="HyhwpEQ"/>
          <w:lang w:val="fr-FR" w:eastAsia="ko-KR"/>
        </w:rPr>
        <w:t xml:space="preserve"> plus de </w:t>
      </w:r>
      <w:r w:rsidR="00474481" w:rsidRPr="002715F2">
        <w:rPr>
          <w:rFonts w:eastAsia="HyhwpEQ"/>
          <w:lang w:val="fr-FR" w:eastAsia="ko-KR"/>
        </w:rPr>
        <w:t xml:space="preserve">deux </w:t>
      </w:r>
      <w:r w:rsidR="00F412D6" w:rsidRPr="002715F2">
        <w:rPr>
          <w:rFonts w:eastAsia="HyhwpEQ"/>
          <w:lang w:val="fr-FR" w:eastAsia="ko-KR"/>
        </w:rPr>
        <w:t>heures d’éducation chaque trimestre (cours en ligne, formation sur le terrain</w:t>
      </w:r>
      <w:r w:rsidR="00220C2E" w:rsidRPr="002715F2">
        <w:rPr>
          <w:rFonts w:eastAsia="HyhwpEQ"/>
          <w:lang w:val="fr-FR" w:eastAsia="ko-KR"/>
        </w:rPr>
        <w:t>) afin de</w:t>
      </w:r>
      <w:r w:rsidR="00F412D6" w:rsidRPr="002715F2">
        <w:rPr>
          <w:rFonts w:eastAsia="HyhwpEQ"/>
          <w:lang w:val="fr-FR" w:eastAsia="ko-KR"/>
        </w:rPr>
        <w:t xml:space="preserve"> les sensibiliser </w:t>
      </w:r>
      <w:r w:rsidR="005C6D8E" w:rsidRPr="002715F2">
        <w:rPr>
          <w:rFonts w:eastAsia="HyhwpEQ"/>
          <w:lang w:val="fr-FR" w:eastAsia="ko-KR"/>
        </w:rPr>
        <w:t>davantage</w:t>
      </w:r>
      <w:r w:rsidR="00220C2E" w:rsidRPr="002715F2">
        <w:rPr>
          <w:rFonts w:eastAsia="HyhwpEQ"/>
          <w:lang w:val="fr-FR" w:eastAsia="ko-KR"/>
        </w:rPr>
        <w:t xml:space="preserve"> </w:t>
      </w:r>
      <w:r w:rsidR="00F412D6" w:rsidRPr="002715F2">
        <w:rPr>
          <w:rFonts w:eastAsia="HyhwpEQ"/>
          <w:lang w:val="fr-FR" w:eastAsia="ko-KR"/>
        </w:rPr>
        <w:t xml:space="preserve">aux droits de l’homme et </w:t>
      </w:r>
      <w:r w:rsidR="00220C2E" w:rsidRPr="002715F2">
        <w:rPr>
          <w:rFonts w:eastAsia="HyhwpEQ"/>
          <w:lang w:val="fr-FR" w:eastAsia="ko-KR"/>
        </w:rPr>
        <w:t xml:space="preserve">de </w:t>
      </w:r>
      <w:r w:rsidR="00F412D6" w:rsidRPr="002715F2">
        <w:rPr>
          <w:rFonts w:eastAsia="HyhwpEQ"/>
          <w:lang w:val="fr-FR" w:eastAsia="ko-KR"/>
        </w:rPr>
        <w:t>prévenir les violations dans ce domaine</w:t>
      </w:r>
      <w:r w:rsidR="00F60999" w:rsidRPr="002715F2">
        <w:rPr>
          <w:rFonts w:eastAsia="HyhwpEQ"/>
          <w:lang w:val="fr-FR" w:eastAsia="ko-KR"/>
        </w:rPr>
        <w:t>.</w:t>
      </w:r>
    </w:p>
    <w:p w:rsidR="000078DA" w:rsidRPr="002715F2" w:rsidRDefault="007026FB" w:rsidP="007026FB">
      <w:pPr>
        <w:pStyle w:val="SingleTxtG"/>
        <w:rPr>
          <w:rFonts w:eastAsia="HyhwpEQ"/>
          <w:kern w:val="2"/>
          <w:shd w:val="clear" w:color="auto" w:fill="FFFFFF"/>
          <w:lang w:val="fr-FR" w:eastAsia="ko-KR"/>
        </w:rPr>
      </w:pPr>
      <w:r w:rsidRPr="002715F2">
        <w:rPr>
          <w:rFonts w:eastAsia="HyhwpEQ"/>
          <w:kern w:val="2"/>
          <w:lang w:val="fr-FR" w:eastAsia="ko-KR"/>
        </w:rPr>
        <w:t>96.</w:t>
      </w:r>
      <w:r w:rsidRPr="002715F2">
        <w:rPr>
          <w:rFonts w:eastAsia="HyhwpEQ"/>
          <w:kern w:val="2"/>
          <w:lang w:val="fr-FR" w:eastAsia="ko-KR"/>
        </w:rPr>
        <w:tab/>
      </w:r>
      <w:r w:rsidR="00BE042A" w:rsidRPr="002715F2">
        <w:rPr>
          <w:rFonts w:eastAsia="HyhwpEQ"/>
          <w:lang w:val="fr-FR" w:eastAsia="ko-KR"/>
        </w:rPr>
        <w:t>Depuis 2011, une ou deux séances d’ateliers d’éducation aux droits de l’homme sont organisées chaque année pour les policiers de combats et conscrits qui exercent des fonctions de direction ou d’encadrement</w:t>
      </w:r>
      <w:r w:rsidR="000078DA" w:rsidRPr="002715F2">
        <w:rPr>
          <w:rFonts w:eastAsia="HyhwpEQ"/>
          <w:lang w:val="fr-FR"/>
        </w:rPr>
        <w:t>.</w:t>
      </w:r>
      <w:r w:rsidR="0033652E" w:rsidRPr="002715F2">
        <w:rPr>
          <w:rFonts w:eastAsia="HyhwpEQ"/>
          <w:lang w:val="fr-FR"/>
        </w:rPr>
        <w:t xml:space="preserve"> En outre, l’</w:t>
      </w:r>
      <w:r w:rsidR="00984C16" w:rsidRPr="002715F2">
        <w:rPr>
          <w:rFonts w:eastAsia="HyhwpEQ"/>
          <w:lang w:val="fr-FR"/>
        </w:rPr>
        <w:t>«</w:t>
      </w:r>
      <w:r w:rsidR="00BE042A" w:rsidRPr="002715F2">
        <w:rPr>
          <w:rFonts w:eastAsia="HyhwpEQ"/>
          <w:lang w:val="fr-FR"/>
        </w:rPr>
        <w:t xml:space="preserve">École de tutorat </w:t>
      </w:r>
      <w:r w:rsidR="0033652E" w:rsidRPr="002715F2">
        <w:rPr>
          <w:rFonts w:eastAsia="HyhwpEQ"/>
          <w:lang w:val="fr-FR"/>
        </w:rPr>
        <w:t>d</w:t>
      </w:r>
      <w:r w:rsidR="00BE042A" w:rsidRPr="002715F2">
        <w:rPr>
          <w:rFonts w:eastAsia="HyhwpEQ"/>
          <w:lang w:val="fr-FR"/>
        </w:rPr>
        <w:t>es policiers de combats et conscrits en postes de direction ou d’encadrement</w:t>
      </w:r>
      <w:r w:rsidR="00E97B1A" w:rsidRPr="002715F2">
        <w:rPr>
          <w:rFonts w:eastAsia="HyhwpEQ"/>
          <w:lang w:val="fr-FR"/>
        </w:rPr>
        <w:t>»</w:t>
      </w:r>
      <w:r w:rsidR="00BE042A" w:rsidRPr="002715F2">
        <w:rPr>
          <w:rFonts w:eastAsia="HyhwpEQ"/>
          <w:lang w:val="fr-FR"/>
        </w:rPr>
        <w:t xml:space="preserve"> a été mise en place </w:t>
      </w:r>
      <w:r w:rsidR="0033652E" w:rsidRPr="002715F2">
        <w:rPr>
          <w:rFonts w:eastAsia="HyhwpEQ"/>
          <w:lang w:val="fr-FR"/>
        </w:rPr>
        <w:t>au sein d</w:t>
      </w:r>
      <w:r w:rsidR="00BE042A" w:rsidRPr="002715F2">
        <w:rPr>
          <w:rFonts w:eastAsia="HyhwpEQ"/>
          <w:lang w:val="fr-FR"/>
        </w:rPr>
        <w:t>es établissements de formation des policiers</w:t>
      </w:r>
      <w:r w:rsidR="000078DA" w:rsidRPr="002715F2">
        <w:rPr>
          <w:rFonts w:eastAsia="HyhwpEQ"/>
          <w:lang w:val="fr-FR"/>
        </w:rPr>
        <w:t xml:space="preserve">. </w:t>
      </w:r>
      <w:r w:rsidR="0033652E" w:rsidRPr="002715F2">
        <w:rPr>
          <w:rFonts w:eastAsia="HyhwpEQ"/>
          <w:lang w:val="fr-FR"/>
        </w:rPr>
        <w:t>Enfin</w:t>
      </w:r>
      <w:r w:rsidR="00BE042A" w:rsidRPr="002715F2">
        <w:rPr>
          <w:rFonts w:eastAsia="HyhwpEQ"/>
          <w:lang w:val="fr-FR"/>
        </w:rPr>
        <w:t xml:space="preserve">, des conseillers et des </w:t>
      </w:r>
      <w:r w:rsidR="0033652E" w:rsidRPr="002715F2">
        <w:rPr>
          <w:rFonts w:eastAsia="HyhwpEQ"/>
          <w:lang w:val="fr-FR"/>
        </w:rPr>
        <w:t>enseignants</w:t>
      </w:r>
      <w:r w:rsidR="00BE042A" w:rsidRPr="002715F2">
        <w:rPr>
          <w:rFonts w:eastAsia="HyhwpEQ"/>
          <w:lang w:val="fr-FR"/>
        </w:rPr>
        <w:t xml:space="preserve"> extérieurs enseignent cette matière aux policiers nouvellement déployés, et </w:t>
      </w:r>
      <w:r w:rsidR="002B2D31" w:rsidRPr="002715F2">
        <w:rPr>
          <w:rFonts w:eastAsia="HyhwpEQ"/>
          <w:lang w:val="fr-FR"/>
        </w:rPr>
        <w:t xml:space="preserve">une éducation à </w:t>
      </w:r>
      <w:r w:rsidR="00BE042A" w:rsidRPr="002715F2">
        <w:rPr>
          <w:rFonts w:eastAsia="HyhwpEQ"/>
          <w:lang w:val="fr-FR"/>
        </w:rPr>
        <w:t xml:space="preserve">ce sujet </w:t>
      </w:r>
      <w:r w:rsidR="002B2D31" w:rsidRPr="002715F2">
        <w:rPr>
          <w:rFonts w:eastAsia="HyhwpEQ"/>
          <w:lang w:val="fr-FR"/>
        </w:rPr>
        <w:t>est</w:t>
      </w:r>
      <w:r w:rsidR="00BE042A" w:rsidRPr="002715F2">
        <w:rPr>
          <w:rFonts w:eastAsia="HyhwpEQ"/>
          <w:lang w:val="fr-FR"/>
        </w:rPr>
        <w:t xml:space="preserve"> fréquemment dispens</w:t>
      </w:r>
      <w:r w:rsidR="0033652E" w:rsidRPr="002715F2">
        <w:rPr>
          <w:rFonts w:eastAsia="HyhwpEQ"/>
          <w:lang w:val="fr-FR"/>
        </w:rPr>
        <w:t>é</w:t>
      </w:r>
      <w:r w:rsidR="002B2D31" w:rsidRPr="002715F2">
        <w:rPr>
          <w:rFonts w:eastAsia="HyhwpEQ"/>
          <w:lang w:val="fr-FR"/>
        </w:rPr>
        <w:t>e</w:t>
      </w:r>
      <w:r w:rsidR="00BE042A" w:rsidRPr="002715F2">
        <w:rPr>
          <w:rFonts w:eastAsia="HyhwpEQ"/>
          <w:lang w:val="fr-FR"/>
        </w:rPr>
        <w:t xml:space="preserve"> après les déploiements</w:t>
      </w:r>
      <w:r w:rsidR="00F60999" w:rsidRPr="002715F2">
        <w:rPr>
          <w:rFonts w:eastAsia="HyhwpEQ"/>
          <w:lang w:val="fr-FR"/>
        </w:rPr>
        <w:t>.</w:t>
      </w:r>
    </w:p>
    <w:p w:rsidR="000078DA" w:rsidRPr="002715F2" w:rsidRDefault="00643BBE" w:rsidP="00D90B15">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F56292" w:rsidRPr="002715F2">
        <w:rPr>
          <w:rFonts w:eastAsia="Batang"/>
          <w:lang w:val="fr-FR" w:eastAsia="ko-KR"/>
        </w:rPr>
        <w:t xml:space="preserve">Éducation </w:t>
      </w:r>
      <w:r w:rsidR="00F56292" w:rsidRPr="002715F2">
        <w:rPr>
          <w:rFonts w:eastAsia="Batang"/>
          <w:lang w:val="fr-FR"/>
        </w:rPr>
        <w:t>aux</w:t>
      </w:r>
      <w:r w:rsidR="00F56292" w:rsidRPr="002715F2">
        <w:rPr>
          <w:rFonts w:eastAsia="Batang"/>
          <w:lang w:val="fr-FR" w:eastAsia="ko-KR"/>
        </w:rPr>
        <w:t xml:space="preserve"> droits de l’homme dispensée par l</w:t>
      </w:r>
      <w:r w:rsidR="00D83826" w:rsidRPr="002715F2">
        <w:rPr>
          <w:rFonts w:eastAsia="Batang"/>
          <w:lang w:val="fr-FR" w:eastAsia="ko-KR"/>
        </w:rPr>
        <w:t>a Commission nationale des droit</w:t>
      </w:r>
      <w:r w:rsidR="00D90B15" w:rsidRPr="002715F2">
        <w:rPr>
          <w:rFonts w:eastAsia="Batang"/>
          <w:lang w:val="fr-FR" w:eastAsia="ko-KR"/>
        </w:rPr>
        <w:t>s de </w:t>
      </w:r>
      <w:r w:rsidR="00D83826" w:rsidRPr="002715F2">
        <w:rPr>
          <w:rFonts w:eastAsia="Batang"/>
          <w:lang w:val="fr-FR" w:eastAsia="ko-KR"/>
        </w:rPr>
        <w:t>l’homme</w:t>
      </w:r>
    </w:p>
    <w:p w:rsidR="000078DA" w:rsidRPr="002715F2" w:rsidRDefault="007026FB" w:rsidP="007026FB">
      <w:pPr>
        <w:pStyle w:val="SingleTxtG"/>
        <w:rPr>
          <w:rFonts w:eastAsia="Malgun Gothic"/>
          <w:kern w:val="2"/>
          <w:szCs w:val="22"/>
          <w:lang w:val="fr-FR" w:eastAsia="ko-KR"/>
        </w:rPr>
      </w:pPr>
      <w:r w:rsidRPr="002715F2">
        <w:rPr>
          <w:rFonts w:eastAsia="Malgun Gothic"/>
          <w:kern w:val="2"/>
          <w:szCs w:val="22"/>
          <w:lang w:val="fr-FR" w:eastAsia="ko-KR"/>
        </w:rPr>
        <w:t>97.</w:t>
      </w:r>
      <w:r w:rsidRPr="002715F2">
        <w:rPr>
          <w:rFonts w:eastAsia="Malgun Gothic"/>
          <w:kern w:val="2"/>
          <w:szCs w:val="22"/>
          <w:lang w:val="fr-FR" w:eastAsia="ko-KR"/>
        </w:rPr>
        <w:tab/>
      </w:r>
      <w:r w:rsidR="004A51AC" w:rsidRPr="002715F2">
        <w:rPr>
          <w:rFonts w:eastAsia="Malgun Gothic"/>
          <w:kern w:val="2"/>
          <w:szCs w:val="22"/>
          <w:lang w:val="fr-FR" w:eastAsia="ko-KR"/>
        </w:rPr>
        <w:t xml:space="preserve">Entre </w:t>
      </w:r>
      <w:r w:rsidR="004A51AC" w:rsidRPr="002715F2">
        <w:rPr>
          <w:rFonts w:eastAsia="HyhwpEQ"/>
          <w:lang w:val="fr-FR" w:eastAsia="ko-KR"/>
        </w:rPr>
        <w:t>2006 et 2014, l</w:t>
      </w:r>
      <w:r w:rsidR="00D83826" w:rsidRPr="002715F2">
        <w:rPr>
          <w:rFonts w:eastAsia="HyhwpEQ"/>
          <w:lang w:val="fr-FR" w:eastAsia="ko-KR"/>
        </w:rPr>
        <w:t>a Commission nationale des droits de l’homme</w:t>
      </w:r>
      <w:r w:rsidR="004A51AC" w:rsidRPr="002715F2">
        <w:rPr>
          <w:rFonts w:eastAsia="HyhwpEQ"/>
          <w:lang w:val="fr-FR" w:eastAsia="ko-KR"/>
        </w:rPr>
        <w:t xml:space="preserve"> a </w:t>
      </w:r>
      <w:r w:rsidR="00002D0C" w:rsidRPr="002715F2">
        <w:rPr>
          <w:rFonts w:eastAsia="HyhwpEQ"/>
          <w:lang w:val="fr-FR" w:eastAsia="ko-KR"/>
        </w:rPr>
        <w:t>dispensé</w:t>
      </w:r>
      <w:r w:rsidR="004A51AC" w:rsidRPr="002715F2">
        <w:rPr>
          <w:rFonts w:eastAsia="HyhwpEQ"/>
          <w:lang w:val="fr-FR" w:eastAsia="ko-KR"/>
        </w:rPr>
        <w:t xml:space="preserve"> un programme d’</w:t>
      </w:r>
      <w:r w:rsidR="002B2D31" w:rsidRPr="002715F2">
        <w:rPr>
          <w:rFonts w:eastAsia="HyhwpEQ"/>
          <w:lang w:val="fr-FR" w:eastAsia="ko-KR"/>
        </w:rPr>
        <w:t>éducation aux</w:t>
      </w:r>
      <w:r w:rsidR="004A51AC" w:rsidRPr="002715F2">
        <w:rPr>
          <w:rFonts w:eastAsia="HyhwpEQ"/>
          <w:lang w:val="fr-FR" w:eastAsia="ko-KR"/>
        </w:rPr>
        <w:t xml:space="preserve"> droits de l’homme </w:t>
      </w:r>
      <w:r w:rsidR="002B2D31" w:rsidRPr="002715F2">
        <w:rPr>
          <w:rFonts w:eastAsia="HyhwpEQ"/>
          <w:lang w:val="fr-FR" w:eastAsia="ko-KR"/>
        </w:rPr>
        <w:t>à</w:t>
      </w:r>
      <w:r w:rsidR="000078DA" w:rsidRPr="002715F2">
        <w:rPr>
          <w:rFonts w:eastAsia="HyhwpEQ"/>
          <w:lang w:val="fr-FR" w:eastAsia="ko-KR"/>
        </w:rPr>
        <w:t xml:space="preserve"> </w:t>
      </w:r>
      <w:r w:rsidR="004A51AC" w:rsidRPr="002715F2">
        <w:rPr>
          <w:rFonts w:eastAsia="HyhwpEQ"/>
          <w:lang w:val="fr-FR" w:eastAsia="ko-KR"/>
        </w:rPr>
        <w:t xml:space="preserve">1 294 personnes, dont des commandants de bataillon, des instructeurs militaires des droits de l’homme, des membres du personnel correctionnel militaire, des enquêteurs militaires et </w:t>
      </w:r>
      <w:r w:rsidR="002C0EB8" w:rsidRPr="002715F2">
        <w:rPr>
          <w:rFonts w:eastAsia="HyhwpEQ"/>
          <w:lang w:val="fr-FR" w:eastAsia="ko-KR"/>
        </w:rPr>
        <w:t xml:space="preserve">des </w:t>
      </w:r>
      <w:r w:rsidR="004A51AC" w:rsidRPr="002715F2">
        <w:rPr>
          <w:rFonts w:eastAsia="HyhwpEQ"/>
          <w:lang w:val="fr-FR" w:eastAsia="ko-KR"/>
        </w:rPr>
        <w:t xml:space="preserve">officiers </w:t>
      </w:r>
      <w:r w:rsidR="00987A96" w:rsidRPr="002715F2">
        <w:rPr>
          <w:rFonts w:eastAsia="HyhwpEQ"/>
          <w:lang w:val="fr-FR" w:eastAsia="ko-KR"/>
        </w:rPr>
        <w:t>de justice</w:t>
      </w:r>
      <w:r w:rsidR="000078DA" w:rsidRPr="002715F2">
        <w:rPr>
          <w:rFonts w:eastAsia="HyhwpEQ"/>
          <w:lang w:val="fr-FR" w:eastAsia="ko-KR"/>
        </w:rPr>
        <w:t xml:space="preserve">. </w:t>
      </w:r>
      <w:r w:rsidR="004A51AC" w:rsidRPr="002715F2">
        <w:rPr>
          <w:rFonts w:eastAsia="Malgun Gothic"/>
          <w:kern w:val="2"/>
          <w:szCs w:val="22"/>
          <w:lang w:val="fr-FR" w:eastAsia="ko-KR"/>
        </w:rPr>
        <w:t>E</w:t>
      </w:r>
      <w:r w:rsidR="000078DA" w:rsidRPr="002715F2">
        <w:rPr>
          <w:rFonts w:eastAsia="Malgun Gothic"/>
          <w:kern w:val="2"/>
          <w:szCs w:val="22"/>
          <w:lang w:val="fr-FR" w:eastAsia="ko-KR"/>
        </w:rPr>
        <w:t xml:space="preserve">n 2009, </w:t>
      </w:r>
      <w:r w:rsidR="004A51AC" w:rsidRPr="002715F2">
        <w:rPr>
          <w:rFonts w:eastAsia="Malgun Gothic"/>
          <w:kern w:val="2"/>
          <w:szCs w:val="22"/>
          <w:lang w:val="fr-FR" w:eastAsia="ko-KR"/>
        </w:rPr>
        <w:t>l</w:t>
      </w:r>
      <w:r w:rsidR="00D83826" w:rsidRPr="002715F2">
        <w:rPr>
          <w:rFonts w:eastAsia="Malgun Gothic"/>
          <w:kern w:val="2"/>
          <w:szCs w:val="22"/>
          <w:lang w:val="fr-FR" w:eastAsia="ko-KR"/>
        </w:rPr>
        <w:t xml:space="preserve">a Commission </w:t>
      </w:r>
      <w:r w:rsidR="004A51AC" w:rsidRPr="002715F2">
        <w:rPr>
          <w:rFonts w:eastAsia="Malgun Gothic"/>
          <w:kern w:val="2"/>
          <w:szCs w:val="22"/>
          <w:lang w:val="fr-FR" w:eastAsia="ko-KR"/>
        </w:rPr>
        <w:t>a créé l’Organe militaire consultatif en matière d’éducation aux droits de l’homme</w:t>
      </w:r>
      <w:r w:rsidR="00002D0C" w:rsidRPr="002715F2">
        <w:rPr>
          <w:rFonts w:eastAsia="Malgun Gothic"/>
          <w:kern w:val="2"/>
          <w:szCs w:val="22"/>
          <w:lang w:val="fr-FR" w:eastAsia="ko-KR"/>
        </w:rPr>
        <w:t xml:space="preserve">, avec le Spécialiste des droits de l’homme et les </w:t>
      </w:r>
      <w:r w:rsidR="0023355D" w:rsidRPr="002715F2">
        <w:rPr>
          <w:rFonts w:eastAsia="Batang"/>
          <w:lang w:val="fr-FR" w:eastAsia="ko-KR"/>
        </w:rPr>
        <w:t>départements des droits</w:t>
      </w:r>
      <w:r w:rsidR="00002D0C" w:rsidRPr="002715F2">
        <w:rPr>
          <w:rFonts w:eastAsia="Malgun Gothic"/>
          <w:kern w:val="2"/>
          <w:szCs w:val="22"/>
          <w:lang w:val="fr-FR" w:eastAsia="ko-KR"/>
        </w:rPr>
        <w:t xml:space="preserve"> de l’homme de l’armée de terre, de la marine et de l’armée de l’air. Entre 2009 et 2015,</w:t>
      </w:r>
      <w:r w:rsidR="004A51AC" w:rsidRPr="002715F2">
        <w:rPr>
          <w:rFonts w:eastAsia="Malgun Gothic"/>
          <w:kern w:val="2"/>
          <w:szCs w:val="22"/>
          <w:lang w:val="fr-FR" w:eastAsia="ko-KR"/>
        </w:rPr>
        <w:t xml:space="preserve"> </w:t>
      </w:r>
      <w:r w:rsidR="001A4B2F" w:rsidRPr="002715F2">
        <w:rPr>
          <w:rFonts w:eastAsia="Malgun Gothic"/>
          <w:kern w:val="2"/>
          <w:szCs w:val="22"/>
          <w:lang w:val="fr-FR" w:eastAsia="ko-KR"/>
        </w:rPr>
        <w:t>la</w:t>
      </w:r>
      <w:r w:rsidR="00002D0C" w:rsidRPr="002715F2">
        <w:rPr>
          <w:rFonts w:eastAsia="Malgun Gothic"/>
          <w:kern w:val="2"/>
          <w:szCs w:val="22"/>
          <w:lang w:val="fr-FR" w:eastAsia="ko-KR"/>
        </w:rPr>
        <w:t xml:space="preserve"> Commission a</w:t>
      </w:r>
      <w:r w:rsidR="004A51AC" w:rsidRPr="002715F2">
        <w:rPr>
          <w:rFonts w:eastAsia="Malgun Gothic"/>
          <w:kern w:val="2"/>
          <w:szCs w:val="22"/>
          <w:lang w:val="fr-FR" w:eastAsia="ko-KR"/>
        </w:rPr>
        <w:t xml:space="preserve"> </w:t>
      </w:r>
      <w:r w:rsidR="00002D0C" w:rsidRPr="002715F2">
        <w:rPr>
          <w:rFonts w:eastAsia="Malgun Gothic"/>
          <w:kern w:val="2"/>
          <w:szCs w:val="22"/>
          <w:lang w:val="fr-FR" w:eastAsia="ko-KR"/>
        </w:rPr>
        <w:t>organisé</w:t>
      </w:r>
      <w:r w:rsidR="004A51AC" w:rsidRPr="002715F2">
        <w:rPr>
          <w:rFonts w:eastAsia="Malgun Gothic"/>
          <w:kern w:val="2"/>
          <w:szCs w:val="22"/>
          <w:lang w:val="fr-FR" w:eastAsia="ko-KR"/>
        </w:rPr>
        <w:t xml:space="preserve"> une ou deux réunions </w:t>
      </w:r>
      <w:r w:rsidR="00002D0C" w:rsidRPr="002715F2">
        <w:rPr>
          <w:rFonts w:eastAsia="Malgun Gothic"/>
          <w:kern w:val="2"/>
          <w:szCs w:val="22"/>
          <w:lang w:val="fr-FR" w:eastAsia="ko-KR"/>
        </w:rPr>
        <w:t xml:space="preserve">par an afin de </w:t>
      </w:r>
      <w:r w:rsidR="001A4B2F" w:rsidRPr="002715F2">
        <w:rPr>
          <w:rFonts w:eastAsia="Malgun Gothic"/>
          <w:kern w:val="2"/>
          <w:szCs w:val="22"/>
          <w:lang w:val="fr-FR" w:eastAsia="ko-KR"/>
        </w:rPr>
        <w:t>renforcer</w:t>
      </w:r>
      <w:r w:rsidR="00002D0C" w:rsidRPr="002715F2">
        <w:rPr>
          <w:rFonts w:eastAsia="Malgun Gothic"/>
          <w:kern w:val="2"/>
          <w:szCs w:val="22"/>
          <w:lang w:val="fr-FR" w:eastAsia="ko-KR"/>
        </w:rPr>
        <w:t xml:space="preserve"> l’</w:t>
      </w:r>
      <w:r w:rsidR="001A4B2F" w:rsidRPr="002715F2">
        <w:rPr>
          <w:rFonts w:eastAsia="Malgun Gothic"/>
          <w:kern w:val="2"/>
          <w:szCs w:val="22"/>
          <w:lang w:val="fr-FR" w:eastAsia="ko-KR"/>
        </w:rPr>
        <w:t>éducation</w:t>
      </w:r>
      <w:r w:rsidR="00002D0C" w:rsidRPr="002715F2">
        <w:rPr>
          <w:rFonts w:eastAsia="Malgun Gothic"/>
          <w:kern w:val="2"/>
          <w:szCs w:val="22"/>
          <w:lang w:val="fr-FR" w:eastAsia="ko-KR"/>
        </w:rPr>
        <w:t xml:space="preserve"> </w:t>
      </w:r>
      <w:r w:rsidR="001A4B2F" w:rsidRPr="002715F2">
        <w:rPr>
          <w:rFonts w:eastAsia="Malgun Gothic"/>
          <w:kern w:val="2"/>
          <w:szCs w:val="22"/>
          <w:lang w:val="fr-FR" w:eastAsia="ko-KR"/>
        </w:rPr>
        <w:t>aux</w:t>
      </w:r>
      <w:r w:rsidR="004A51AC" w:rsidRPr="002715F2">
        <w:rPr>
          <w:rFonts w:eastAsia="Malgun Gothic"/>
          <w:kern w:val="2"/>
          <w:szCs w:val="22"/>
          <w:lang w:val="fr-FR" w:eastAsia="ko-KR"/>
        </w:rPr>
        <w:t xml:space="preserve"> droits de l’</w:t>
      </w:r>
      <w:r w:rsidR="00F10848" w:rsidRPr="002715F2">
        <w:rPr>
          <w:rFonts w:eastAsia="Malgun Gothic"/>
          <w:kern w:val="2"/>
          <w:szCs w:val="22"/>
          <w:lang w:val="fr-FR" w:eastAsia="ko-KR"/>
        </w:rPr>
        <w:t xml:space="preserve">homme </w:t>
      </w:r>
      <w:r w:rsidR="00002D0C" w:rsidRPr="002715F2">
        <w:rPr>
          <w:rFonts w:eastAsia="Malgun Gothic"/>
          <w:kern w:val="2"/>
          <w:szCs w:val="22"/>
          <w:lang w:val="fr-FR" w:eastAsia="ko-KR"/>
        </w:rPr>
        <w:t>au sein des forces armées</w:t>
      </w:r>
      <w:r w:rsidR="00F10848" w:rsidRPr="002715F2">
        <w:rPr>
          <w:rFonts w:eastAsia="Malgun Gothic"/>
          <w:kern w:val="2"/>
          <w:szCs w:val="22"/>
          <w:lang w:val="fr-FR" w:eastAsia="ko-KR"/>
        </w:rPr>
        <w:t xml:space="preserve"> et </w:t>
      </w:r>
      <w:r w:rsidR="00002D0C" w:rsidRPr="002715F2">
        <w:rPr>
          <w:rFonts w:eastAsia="Malgun Gothic"/>
          <w:kern w:val="2"/>
          <w:szCs w:val="22"/>
          <w:lang w:val="fr-FR" w:eastAsia="ko-KR"/>
        </w:rPr>
        <w:t>d’</w:t>
      </w:r>
      <w:r w:rsidR="00F10848" w:rsidRPr="002715F2">
        <w:rPr>
          <w:rFonts w:eastAsia="Malgun Gothic"/>
          <w:kern w:val="2"/>
          <w:szCs w:val="22"/>
          <w:lang w:val="fr-FR" w:eastAsia="ko-KR"/>
        </w:rPr>
        <w:t>apporte</w:t>
      </w:r>
      <w:r w:rsidR="00002D0C" w:rsidRPr="002715F2">
        <w:rPr>
          <w:rFonts w:eastAsia="Malgun Gothic"/>
          <w:kern w:val="2"/>
          <w:szCs w:val="22"/>
          <w:lang w:val="fr-FR" w:eastAsia="ko-KR"/>
        </w:rPr>
        <w:t xml:space="preserve">r son </w:t>
      </w:r>
      <w:r w:rsidR="001A4B2F" w:rsidRPr="002715F2">
        <w:rPr>
          <w:rFonts w:eastAsia="Malgun Gothic"/>
          <w:kern w:val="2"/>
          <w:szCs w:val="22"/>
          <w:lang w:val="fr-FR" w:eastAsia="ko-KR"/>
        </w:rPr>
        <w:t>aide</w:t>
      </w:r>
      <w:r w:rsidR="00F10848" w:rsidRPr="002715F2">
        <w:rPr>
          <w:rFonts w:eastAsia="Malgun Gothic"/>
          <w:kern w:val="2"/>
          <w:szCs w:val="22"/>
          <w:lang w:val="fr-FR" w:eastAsia="ko-KR"/>
        </w:rPr>
        <w:t xml:space="preserve"> et sa </w:t>
      </w:r>
      <w:r w:rsidR="005C6D8E" w:rsidRPr="002715F2">
        <w:rPr>
          <w:rFonts w:eastAsia="Malgun Gothic"/>
          <w:kern w:val="2"/>
          <w:szCs w:val="22"/>
          <w:lang w:val="fr-FR" w:eastAsia="ko-KR"/>
        </w:rPr>
        <w:t>coopération</w:t>
      </w:r>
      <w:r w:rsidR="00F10848" w:rsidRPr="002715F2">
        <w:rPr>
          <w:rFonts w:eastAsia="Malgun Gothic"/>
          <w:kern w:val="2"/>
          <w:szCs w:val="22"/>
          <w:lang w:val="fr-FR" w:eastAsia="ko-KR"/>
        </w:rPr>
        <w:t xml:space="preserve"> </w:t>
      </w:r>
      <w:r w:rsidR="00002D0C" w:rsidRPr="002715F2">
        <w:rPr>
          <w:rFonts w:eastAsia="Malgun Gothic"/>
          <w:kern w:val="2"/>
          <w:szCs w:val="22"/>
          <w:lang w:val="fr-FR" w:eastAsia="ko-KR"/>
        </w:rPr>
        <w:t>aux cours</w:t>
      </w:r>
      <w:r w:rsidR="00F10848" w:rsidRPr="002715F2">
        <w:rPr>
          <w:rFonts w:eastAsia="Malgun Gothic"/>
          <w:kern w:val="2"/>
          <w:szCs w:val="22"/>
          <w:lang w:val="fr-FR" w:eastAsia="ko-KR"/>
        </w:rPr>
        <w:t xml:space="preserve"> </w:t>
      </w:r>
      <w:r w:rsidR="001A4B2F" w:rsidRPr="002715F2">
        <w:rPr>
          <w:rFonts w:eastAsia="Malgun Gothic"/>
          <w:kern w:val="2"/>
          <w:szCs w:val="22"/>
          <w:lang w:val="fr-FR" w:eastAsia="ko-KR"/>
        </w:rPr>
        <w:t>proposés en la matière</w:t>
      </w:r>
      <w:r w:rsidR="00F60999" w:rsidRPr="002715F2">
        <w:rPr>
          <w:rFonts w:eastAsia="Malgun Gothic"/>
          <w:kern w:val="2"/>
          <w:szCs w:val="22"/>
          <w:lang w:val="fr-FR" w:eastAsia="ko-KR"/>
        </w:rPr>
        <w:t>.</w:t>
      </w:r>
    </w:p>
    <w:p w:rsidR="000078DA" w:rsidRPr="002715F2" w:rsidRDefault="007026FB" w:rsidP="007026FB">
      <w:pPr>
        <w:pStyle w:val="SingleTxtG"/>
        <w:rPr>
          <w:rFonts w:eastAsia="Batang" w:cs="Gulim"/>
          <w:color w:val="000000"/>
          <w:lang w:val="fr-FR" w:eastAsia="ko-KR"/>
        </w:rPr>
      </w:pPr>
      <w:r w:rsidRPr="002715F2">
        <w:rPr>
          <w:rFonts w:eastAsia="Batang"/>
          <w:color w:val="000000"/>
          <w:lang w:val="fr-FR" w:eastAsia="ko-KR"/>
        </w:rPr>
        <w:t>98.</w:t>
      </w:r>
      <w:r w:rsidRPr="002715F2">
        <w:rPr>
          <w:rFonts w:eastAsia="Batang"/>
          <w:color w:val="000000"/>
          <w:lang w:val="fr-FR" w:eastAsia="ko-KR"/>
        </w:rPr>
        <w:tab/>
      </w:r>
      <w:r w:rsidR="00002D0C" w:rsidRPr="002715F2">
        <w:rPr>
          <w:rFonts w:eastAsia="Batang"/>
          <w:color w:val="000000"/>
          <w:lang w:val="fr-FR" w:eastAsia="ko-KR"/>
        </w:rPr>
        <w:t xml:space="preserve">Afin de prévenir les </w:t>
      </w:r>
      <w:r w:rsidR="005C6D8E" w:rsidRPr="002715F2">
        <w:rPr>
          <w:rFonts w:eastAsia="Batang"/>
          <w:color w:val="000000"/>
          <w:lang w:val="fr-FR" w:eastAsia="ko-KR"/>
        </w:rPr>
        <w:t>violations</w:t>
      </w:r>
      <w:r w:rsidR="00002D0C" w:rsidRPr="002715F2">
        <w:rPr>
          <w:rFonts w:eastAsia="Batang"/>
          <w:color w:val="000000"/>
          <w:lang w:val="fr-FR" w:eastAsia="ko-KR"/>
        </w:rPr>
        <w:t xml:space="preserve"> des droits de l’homme et les</w:t>
      </w:r>
      <w:r w:rsidR="000078DA" w:rsidRPr="002715F2">
        <w:rPr>
          <w:rFonts w:eastAsia="Batang"/>
          <w:lang w:val="fr-FR" w:eastAsia="ko-KR"/>
        </w:rPr>
        <w:t xml:space="preserve"> discriminations, </w:t>
      </w:r>
      <w:r w:rsidR="00002D0C" w:rsidRPr="002715F2">
        <w:rPr>
          <w:rFonts w:eastAsia="Batang"/>
          <w:lang w:val="fr-FR" w:eastAsia="ko-KR"/>
        </w:rPr>
        <w:t>l</w:t>
      </w:r>
      <w:r w:rsidR="00D83826" w:rsidRPr="002715F2">
        <w:rPr>
          <w:rFonts w:eastAsia="Batang"/>
          <w:lang w:val="fr-FR" w:eastAsia="ko-KR"/>
        </w:rPr>
        <w:t>a Commission nationale des droits de l’homme</w:t>
      </w:r>
      <w:r w:rsidR="000078DA" w:rsidRPr="002715F2">
        <w:rPr>
          <w:rFonts w:eastAsia="Batang"/>
          <w:lang w:val="fr-FR" w:eastAsia="ko-KR"/>
        </w:rPr>
        <w:t xml:space="preserve"> </w:t>
      </w:r>
      <w:r w:rsidR="00002D0C" w:rsidRPr="002715F2">
        <w:rPr>
          <w:rFonts w:eastAsia="Batang"/>
          <w:lang w:val="fr-FR" w:eastAsia="ko-KR"/>
        </w:rPr>
        <w:t>soutient l’</w:t>
      </w:r>
      <w:r w:rsidR="00431C6D" w:rsidRPr="002715F2">
        <w:rPr>
          <w:rFonts w:eastAsia="Batang"/>
          <w:lang w:val="fr-FR" w:eastAsia="ko-KR"/>
        </w:rPr>
        <w:t>éducation aux</w:t>
      </w:r>
      <w:r w:rsidR="00002D0C" w:rsidRPr="002715F2">
        <w:rPr>
          <w:rFonts w:eastAsia="Batang"/>
          <w:lang w:val="fr-FR" w:eastAsia="ko-KR"/>
        </w:rPr>
        <w:t xml:space="preserve"> droits de l’homme </w:t>
      </w:r>
      <w:r w:rsidR="00431C6D" w:rsidRPr="002715F2">
        <w:rPr>
          <w:rFonts w:eastAsia="Batang"/>
          <w:lang w:val="fr-FR" w:eastAsia="ko-KR"/>
        </w:rPr>
        <w:t>dans la</w:t>
      </w:r>
      <w:r w:rsidR="00002D0C" w:rsidRPr="002715F2">
        <w:rPr>
          <w:rFonts w:eastAsia="Batang"/>
          <w:lang w:val="fr-FR" w:eastAsia="ko-KR"/>
        </w:rPr>
        <w:t xml:space="preserve"> police</w:t>
      </w:r>
      <w:r w:rsidR="000078DA" w:rsidRPr="002715F2">
        <w:rPr>
          <w:rFonts w:eastAsia="Batang"/>
          <w:lang w:val="fr-FR" w:eastAsia="ko-KR"/>
        </w:rPr>
        <w:t xml:space="preserve">. </w:t>
      </w:r>
      <w:r w:rsidR="00C66FB2" w:rsidRPr="002715F2">
        <w:rPr>
          <w:rFonts w:eastAsia="Batang"/>
          <w:lang w:val="fr-FR" w:eastAsia="ko-KR"/>
        </w:rPr>
        <w:t xml:space="preserve">Suite aux passages à tabac et aux décès de </w:t>
      </w:r>
      <w:r w:rsidR="00C66FB2" w:rsidRPr="002715F2">
        <w:rPr>
          <w:rFonts w:eastAsia="HyhwpEQ"/>
          <w:lang w:val="fr-FR" w:eastAsia="ko-KR"/>
        </w:rPr>
        <w:t>policiers de combats et conscrits</w:t>
      </w:r>
      <w:r w:rsidR="000078DA" w:rsidRPr="002715F2">
        <w:rPr>
          <w:rFonts w:eastAsia="Batang"/>
          <w:lang w:val="fr-FR" w:eastAsia="ko-KR"/>
        </w:rPr>
        <w:t xml:space="preserve">, </w:t>
      </w:r>
      <w:r w:rsidR="00C66FB2" w:rsidRPr="002715F2">
        <w:rPr>
          <w:rFonts w:eastAsia="Batang"/>
          <w:lang w:val="fr-FR" w:eastAsia="ko-KR"/>
        </w:rPr>
        <w:t>l</w:t>
      </w:r>
      <w:r w:rsidR="00D83826" w:rsidRPr="002715F2">
        <w:rPr>
          <w:rFonts w:eastAsia="Batang"/>
          <w:lang w:val="fr-FR" w:eastAsia="ko-KR"/>
        </w:rPr>
        <w:t xml:space="preserve">a Commission </w:t>
      </w:r>
      <w:r w:rsidR="00C66FB2" w:rsidRPr="002715F2">
        <w:rPr>
          <w:rFonts w:eastAsia="Batang"/>
          <w:lang w:val="fr-FR" w:eastAsia="ko-KR"/>
        </w:rPr>
        <w:t xml:space="preserve">a </w:t>
      </w:r>
      <w:r w:rsidR="005C6D8E" w:rsidRPr="002715F2">
        <w:rPr>
          <w:rFonts w:eastAsia="Batang"/>
          <w:lang w:val="fr-FR" w:eastAsia="ko-KR"/>
        </w:rPr>
        <w:t>dispensé</w:t>
      </w:r>
      <w:r w:rsidR="00C66FB2" w:rsidRPr="002715F2">
        <w:rPr>
          <w:rFonts w:eastAsia="Batang"/>
          <w:lang w:val="fr-FR" w:eastAsia="ko-KR"/>
        </w:rPr>
        <w:t xml:space="preserve"> des cours consacrés </w:t>
      </w:r>
      <w:r w:rsidR="00431C6D" w:rsidRPr="002715F2">
        <w:rPr>
          <w:rFonts w:eastAsia="Batang"/>
          <w:lang w:val="fr-FR" w:eastAsia="ko-KR"/>
        </w:rPr>
        <w:t xml:space="preserve">aux droits de l’homme à </w:t>
      </w:r>
      <w:r w:rsidR="00474481" w:rsidRPr="002715F2">
        <w:rPr>
          <w:rFonts w:eastAsia="Batang"/>
          <w:lang w:val="fr-FR" w:eastAsia="ko-KR"/>
        </w:rPr>
        <w:t xml:space="preserve">quelque </w:t>
      </w:r>
      <w:r w:rsidR="000078DA" w:rsidRPr="002715F2">
        <w:rPr>
          <w:rFonts w:eastAsia="Batang"/>
          <w:lang w:val="fr-FR" w:eastAsia="ko-KR"/>
        </w:rPr>
        <w:t>3</w:t>
      </w:r>
      <w:r w:rsidR="00C66FB2" w:rsidRPr="002715F2">
        <w:rPr>
          <w:rFonts w:eastAsia="Batang"/>
          <w:lang w:val="fr-FR" w:eastAsia="ko-KR"/>
        </w:rPr>
        <w:t> </w:t>
      </w:r>
      <w:r w:rsidR="00431C6D" w:rsidRPr="002715F2">
        <w:rPr>
          <w:rFonts w:eastAsia="Batang"/>
          <w:lang w:val="fr-FR" w:eastAsia="ko-KR"/>
        </w:rPr>
        <w:t>000 </w:t>
      </w:r>
      <w:r w:rsidR="00C66FB2" w:rsidRPr="002715F2">
        <w:rPr>
          <w:rFonts w:eastAsia="HyhwpEQ"/>
          <w:lang w:val="fr-FR" w:eastAsia="ko-KR"/>
        </w:rPr>
        <w:t>policiers de combats et conscrits</w:t>
      </w:r>
      <w:r w:rsidR="00C66FB2" w:rsidRPr="002715F2">
        <w:rPr>
          <w:rFonts w:eastAsia="Batang"/>
          <w:lang w:val="fr-FR" w:eastAsia="ko-KR"/>
        </w:rPr>
        <w:t xml:space="preserve"> en postes de direction ou d’encadrement, ainsi qu’à</w:t>
      </w:r>
      <w:r w:rsidR="000078DA" w:rsidRPr="002715F2">
        <w:rPr>
          <w:rFonts w:eastAsia="Batang"/>
          <w:lang w:val="fr-FR" w:eastAsia="ko-KR"/>
        </w:rPr>
        <w:t xml:space="preserve"> 360</w:t>
      </w:r>
      <w:r w:rsidR="00C66FB2" w:rsidRPr="002715F2">
        <w:rPr>
          <w:rFonts w:eastAsia="Batang"/>
          <w:lang w:val="fr-FR" w:eastAsia="ko-KR"/>
        </w:rPr>
        <w:t> auteurs de violences</w:t>
      </w:r>
      <w:r w:rsidR="000078DA" w:rsidRPr="002715F2">
        <w:rPr>
          <w:rFonts w:eastAsia="Batang"/>
          <w:lang w:val="fr-FR" w:eastAsia="ko-KR"/>
        </w:rPr>
        <w:t xml:space="preserve">, </w:t>
      </w:r>
      <w:r w:rsidR="00C66FB2" w:rsidRPr="002715F2">
        <w:rPr>
          <w:rFonts w:eastAsia="Batang"/>
          <w:lang w:val="fr-FR" w:eastAsia="ko-KR"/>
        </w:rPr>
        <w:t xml:space="preserve">dans le cadre </w:t>
      </w:r>
      <w:r w:rsidR="00220C2E" w:rsidRPr="002715F2">
        <w:rPr>
          <w:rFonts w:eastAsia="Batang"/>
          <w:lang w:val="fr-FR" w:eastAsia="ko-KR"/>
        </w:rPr>
        <w:t xml:space="preserve">du </w:t>
      </w:r>
      <w:r w:rsidR="00431C6D" w:rsidRPr="002715F2">
        <w:rPr>
          <w:rFonts w:eastAsia="Batang"/>
          <w:lang w:val="fr-FR" w:eastAsia="ko-KR"/>
        </w:rPr>
        <w:t>programme</w:t>
      </w:r>
      <w:r w:rsidR="00220C2E" w:rsidRPr="002715F2">
        <w:rPr>
          <w:rFonts w:eastAsia="Batang"/>
          <w:lang w:val="fr-FR" w:eastAsia="ko-KR"/>
        </w:rPr>
        <w:t xml:space="preserve"> d’</w:t>
      </w:r>
      <w:r w:rsidR="00431C6D" w:rsidRPr="002715F2">
        <w:rPr>
          <w:rFonts w:eastAsia="Batang"/>
          <w:lang w:val="fr-FR" w:eastAsia="ko-KR"/>
        </w:rPr>
        <w:t>éducation</w:t>
      </w:r>
      <w:r w:rsidR="00220C2E" w:rsidRPr="002715F2">
        <w:rPr>
          <w:rFonts w:eastAsia="Batang"/>
          <w:lang w:val="fr-FR" w:eastAsia="ko-KR"/>
        </w:rPr>
        <w:t xml:space="preserve"> </w:t>
      </w:r>
      <w:r w:rsidR="00C66FB2" w:rsidRPr="002715F2">
        <w:rPr>
          <w:rFonts w:eastAsia="Batang"/>
          <w:lang w:val="fr-FR" w:eastAsia="ko-KR"/>
        </w:rPr>
        <w:t xml:space="preserve">élaboré par </w:t>
      </w:r>
      <w:r w:rsidR="002F08A5" w:rsidRPr="002715F2">
        <w:rPr>
          <w:rFonts w:eastAsia="Batang"/>
          <w:lang w:val="fr-FR" w:eastAsia="ko-KR"/>
        </w:rPr>
        <w:t xml:space="preserve">l’Agence de police nationale </w:t>
      </w:r>
      <w:r w:rsidR="00C66FB2" w:rsidRPr="002715F2">
        <w:rPr>
          <w:rFonts w:eastAsia="Batang"/>
          <w:lang w:val="fr-FR" w:eastAsia="ko-KR"/>
        </w:rPr>
        <w:t>en 2011. E</w:t>
      </w:r>
      <w:r w:rsidR="000078DA" w:rsidRPr="002715F2">
        <w:rPr>
          <w:rFonts w:eastAsia="Batang"/>
          <w:lang w:val="fr-FR" w:eastAsia="ko-KR"/>
        </w:rPr>
        <w:t xml:space="preserve">n </w:t>
      </w:r>
      <w:r w:rsidR="00474481" w:rsidRPr="002715F2">
        <w:rPr>
          <w:rFonts w:eastAsia="Batang"/>
          <w:lang w:val="fr-FR" w:eastAsia="ko-KR"/>
        </w:rPr>
        <w:t xml:space="preserve">février </w:t>
      </w:r>
      <w:r w:rsidR="000078DA" w:rsidRPr="002715F2">
        <w:rPr>
          <w:rFonts w:eastAsia="Batang"/>
          <w:lang w:val="fr-FR" w:eastAsia="ko-KR"/>
        </w:rPr>
        <w:t xml:space="preserve">2011, </w:t>
      </w:r>
      <w:r w:rsidR="00220C2E" w:rsidRPr="002715F2">
        <w:rPr>
          <w:rFonts w:eastAsia="Batang"/>
          <w:lang w:val="fr-FR" w:eastAsia="ko-KR"/>
        </w:rPr>
        <w:t>l</w:t>
      </w:r>
      <w:r w:rsidR="00D83826" w:rsidRPr="002715F2">
        <w:rPr>
          <w:rFonts w:eastAsia="Batang"/>
          <w:lang w:val="fr-FR" w:eastAsia="ko-KR"/>
        </w:rPr>
        <w:t xml:space="preserve">a Commission </w:t>
      </w:r>
      <w:r w:rsidR="00431C6D" w:rsidRPr="002715F2">
        <w:rPr>
          <w:rFonts w:eastAsia="Batang"/>
          <w:lang w:val="fr-FR" w:eastAsia="ko-KR"/>
        </w:rPr>
        <w:t>a prodigué</w:t>
      </w:r>
      <w:r w:rsidR="00220C2E" w:rsidRPr="002715F2">
        <w:rPr>
          <w:rFonts w:eastAsia="Batang"/>
          <w:lang w:val="fr-FR" w:eastAsia="ko-KR"/>
        </w:rPr>
        <w:t xml:space="preserve"> des cours sur les droits </w:t>
      </w:r>
      <w:r w:rsidR="00296C14" w:rsidRPr="002715F2">
        <w:rPr>
          <w:rFonts w:eastAsia="Batang"/>
          <w:lang w:val="fr-FR" w:eastAsia="ko-KR"/>
        </w:rPr>
        <w:t>fondamentaux</w:t>
      </w:r>
      <w:r w:rsidR="00220C2E" w:rsidRPr="002715F2">
        <w:rPr>
          <w:rFonts w:eastAsia="Batang"/>
          <w:lang w:val="fr-FR" w:eastAsia="ko-KR"/>
        </w:rPr>
        <w:t xml:space="preserve"> à</w:t>
      </w:r>
      <w:r w:rsidR="00431C6D" w:rsidRPr="002715F2">
        <w:rPr>
          <w:rFonts w:eastAsia="Batang"/>
          <w:lang w:val="fr-FR" w:eastAsia="ko-KR"/>
        </w:rPr>
        <w:t xml:space="preserve"> 52 </w:t>
      </w:r>
      <w:r w:rsidR="00474481" w:rsidRPr="002715F2">
        <w:rPr>
          <w:rFonts w:eastAsia="Batang"/>
          <w:lang w:val="fr-FR" w:eastAsia="ko-KR"/>
        </w:rPr>
        <w:t xml:space="preserve">hauts </w:t>
      </w:r>
      <w:r w:rsidR="00220C2E" w:rsidRPr="002715F2">
        <w:rPr>
          <w:rFonts w:eastAsia="Batang"/>
          <w:lang w:val="fr-FR" w:eastAsia="ko-KR"/>
        </w:rPr>
        <w:t xml:space="preserve">commissaires de l’Université </w:t>
      </w:r>
      <w:r w:rsidR="00220C2E" w:rsidRPr="002715F2">
        <w:rPr>
          <w:rFonts w:eastAsia="HyhwpEQ"/>
          <w:lang w:val="fr-FR" w:eastAsia="ko-KR"/>
        </w:rPr>
        <w:t>de la Police nationale de Corée</w:t>
      </w:r>
      <w:r w:rsidR="000078DA" w:rsidRPr="002715F2">
        <w:rPr>
          <w:rFonts w:eastAsia="Batang"/>
          <w:lang w:val="fr-FR" w:eastAsia="ko-KR"/>
        </w:rPr>
        <w:t xml:space="preserve">. </w:t>
      </w:r>
      <w:r w:rsidR="008F104E" w:rsidRPr="002715F2">
        <w:rPr>
          <w:rFonts w:eastAsia="Batang"/>
          <w:lang w:val="fr-FR" w:eastAsia="ko-KR"/>
        </w:rPr>
        <w:t>En</w:t>
      </w:r>
      <w:r w:rsidR="00220C2E" w:rsidRPr="002715F2">
        <w:rPr>
          <w:rFonts w:eastAsia="Batang"/>
          <w:lang w:val="fr-FR" w:eastAsia="ko-KR"/>
        </w:rPr>
        <w:t xml:space="preserve"> </w:t>
      </w:r>
      <w:r w:rsidR="00474481" w:rsidRPr="002715F2">
        <w:rPr>
          <w:rFonts w:eastAsia="Batang"/>
          <w:lang w:val="fr-FR" w:eastAsia="ko-KR"/>
        </w:rPr>
        <w:t xml:space="preserve">décembre </w:t>
      </w:r>
      <w:r w:rsidR="000078DA" w:rsidRPr="002715F2">
        <w:rPr>
          <w:rFonts w:eastAsia="Batang"/>
          <w:lang w:val="fr-FR" w:eastAsia="ko-KR"/>
        </w:rPr>
        <w:t xml:space="preserve">2011, </w:t>
      </w:r>
      <w:r w:rsidR="00431C6D" w:rsidRPr="002715F2">
        <w:rPr>
          <w:rFonts w:eastAsia="Batang"/>
          <w:lang w:val="fr-FR" w:eastAsia="ko-KR"/>
        </w:rPr>
        <w:t>elle avait</w:t>
      </w:r>
      <w:r w:rsidR="008F104E" w:rsidRPr="002715F2">
        <w:rPr>
          <w:rFonts w:eastAsia="Batang"/>
          <w:lang w:val="fr-FR" w:eastAsia="ko-KR"/>
        </w:rPr>
        <w:t xml:space="preserve"> </w:t>
      </w:r>
      <w:r w:rsidR="00402F06" w:rsidRPr="002715F2">
        <w:rPr>
          <w:rFonts w:eastAsia="Batang"/>
          <w:lang w:val="fr-FR" w:eastAsia="ko-KR"/>
        </w:rPr>
        <w:t>organisé</w:t>
      </w:r>
      <w:r w:rsidR="00220C2E" w:rsidRPr="002715F2">
        <w:rPr>
          <w:rFonts w:eastAsia="Batang"/>
          <w:lang w:val="fr-FR" w:eastAsia="ko-KR"/>
        </w:rPr>
        <w:t xml:space="preserve"> 89 </w:t>
      </w:r>
      <w:r w:rsidR="00402F06" w:rsidRPr="002715F2">
        <w:rPr>
          <w:rFonts w:eastAsia="Batang"/>
          <w:lang w:val="fr-FR" w:eastAsia="ko-KR"/>
        </w:rPr>
        <w:t>cours</w:t>
      </w:r>
      <w:r w:rsidR="008F104E" w:rsidRPr="002715F2">
        <w:rPr>
          <w:rFonts w:eastAsia="Batang"/>
          <w:lang w:val="fr-FR" w:eastAsia="ko-KR"/>
        </w:rPr>
        <w:t xml:space="preserve"> </w:t>
      </w:r>
      <w:r w:rsidR="00220C2E" w:rsidRPr="002715F2">
        <w:rPr>
          <w:rFonts w:eastAsia="Batang"/>
          <w:lang w:val="fr-FR" w:eastAsia="ko-KR"/>
        </w:rPr>
        <w:t xml:space="preserve">sur </w:t>
      </w:r>
      <w:r w:rsidR="00296C14" w:rsidRPr="002715F2">
        <w:rPr>
          <w:rFonts w:eastAsia="Batang"/>
          <w:lang w:val="fr-FR" w:eastAsia="ko-KR"/>
        </w:rPr>
        <w:t>cette question</w:t>
      </w:r>
      <w:r w:rsidR="00220C2E" w:rsidRPr="002715F2">
        <w:rPr>
          <w:rFonts w:eastAsia="Batang"/>
          <w:lang w:val="fr-FR" w:eastAsia="ko-KR"/>
        </w:rPr>
        <w:t>,</w:t>
      </w:r>
      <w:r w:rsidR="00402F06" w:rsidRPr="002715F2">
        <w:rPr>
          <w:rFonts w:eastAsia="Batang"/>
          <w:lang w:val="fr-FR" w:eastAsia="ko-KR"/>
        </w:rPr>
        <w:t xml:space="preserve"> qui ont été</w:t>
      </w:r>
      <w:r w:rsidR="00220C2E" w:rsidRPr="002715F2">
        <w:rPr>
          <w:rFonts w:eastAsia="Batang"/>
          <w:lang w:val="fr-FR" w:eastAsia="ko-KR"/>
        </w:rPr>
        <w:t xml:space="preserve"> </w:t>
      </w:r>
      <w:r w:rsidR="00402F06" w:rsidRPr="002715F2">
        <w:rPr>
          <w:rFonts w:eastAsia="Batang"/>
          <w:lang w:val="fr-FR" w:eastAsia="ko-KR"/>
        </w:rPr>
        <w:t>suivis par</w:t>
      </w:r>
      <w:r w:rsidR="00431C6D" w:rsidRPr="002715F2">
        <w:rPr>
          <w:rFonts w:eastAsia="Batang"/>
          <w:lang w:val="fr-FR" w:eastAsia="ko-KR"/>
        </w:rPr>
        <w:t xml:space="preserve"> 8 </w:t>
      </w:r>
      <w:r w:rsidR="00220C2E" w:rsidRPr="002715F2">
        <w:rPr>
          <w:rFonts w:eastAsia="Batang"/>
          <w:lang w:val="fr-FR" w:eastAsia="ko-KR"/>
        </w:rPr>
        <w:t>399</w:t>
      </w:r>
      <w:r w:rsidR="008F104E" w:rsidRPr="002715F2">
        <w:rPr>
          <w:rFonts w:eastAsia="Batang"/>
          <w:lang w:val="fr-FR" w:eastAsia="ko-KR"/>
        </w:rPr>
        <w:t> </w:t>
      </w:r>
      <w:r w:rsidR="005C6D8E" w:rsidRPr="002715F2">
        <w:rPr>
          <w:rFonts w:eastAsia="Batang"/>
          <w:lang w:val="fr-FR" w:eastAsia="ko-KR"/>
        </w:rPr>
        <w:t>fonctionnaires</w:t>
      </w:r>
      <w:r w:rsidR="008F104E" w:rsidRPr="002715F2">
        <w:rPr>
          <w:rFonts w:eastAsia="Batang"/>
          <w:lang w:val="fr-FR" w:eastAsia="ko-KR"/>
        </w:rPr>
        <w:t xml:space="preserve"> de police</w:t>
      </w:r>
      <w:r w:rsidR="00E97B1A" w:rsidRPr="002715F2">
        <w:rPr>
          <w:rFonts w:eastAsia="Batang"/>
          <w:lang w:val="fr-FR" w:eastAsia="ko-KR"/>
        </w:rPr>
        <w:t>;</w:t>
      </w:r>
      <w:r w:rsidR="000078DA" w:rsidRPr="002715F2">
        <w:rPr>
          <w:rFonts w:eastAsia="Batang"/>
          <w:lang w:val="fr-FR" w:eastAsia="ko-KR"/>
        </w:rPr>
        <w:t xml:space="preserve"> 24</w:t>
      </w:r>
      <w:r w:rsidR="008F104E" w:rsidRPr="002715F2">
        <w:rPr>
          <w:rFonts w:eastAsia="Batang"/>
          <w:lang w:val="fr-FR" w:eastAsia="ko-KR"/>
        </w:rPr>
        <w:t xml:space="preserve"> de ces </w:t>
      </w:r>
      <w:r w:rsidR="00402F06" w:rsidRPr="002715F2">
        <w:rPr>
          <w:rFonts w:eastAsia="Batang"/>
          <w:lang w:val="fr-FR" w:eastAsia="ko-KR"/>
        </w:rPr>
        <w:t>cours se sont déroulé</w:t>
      </w:r>
      <w:r w:rsidR="008F104E" w:rsidRPr="002715F2">
        <w:rPr>
          <w:rFonts w:eastAsia="Batang"/>
          <w:lang w:val="fr-FR" w:eastAsia="ko-KR"/>
        </w:rPr>
        <w:t xml:space="preserve">s dans des </w:t>
      </w:r>
      <w:r w:rsidR="005C6D8E" w:rsidRPr="002715F2">
        <w:rPr>
          <w:rFonts w:eastAsia="Batang"/>
          <w:lang w:val="fr-FR" w:eastAsia="ko-KR"/>
        </w:rPr>
        <w:t>établissements</w:t>
      </w:r>
      <w:r w:rsidR="008F104E" w:rsidRPr="002715F2">
        <w:rPr>
          <w:rFonts w:eastAsia="Batang"/>
          <w:lang w:val="fr-FR" w:eastAsia="ko-KR"/>
        </w:rPr>
        <w:t xml:space="preserve"> de formation des policiers</w:t>
      </w:r>
      <w:r w:rsidR="00431C6D" w:rsidRPr="002715F2">
        <w:rPr>
          <w:rFonts w:eastAsia="Batang"/>
          <w:lang w:val="fr-FR" w:eastAsia="ko-KR"/>
        </w:rPr>
        <w:t>, notamment à</w:t>
      </w:r>
      <w:r w:rsidR="008F104E" w:rsidRPr="002715F2">
        <w:rPr>
          <w:rFonts w:eastAsia="Batang"/>
          <w:lang w:val="fr-FR" w:eastAsia="ko-KR"/>
        </w:rPr>
        <w:t xml:space="preserve"> l’Université de la Police nationale de Corée</w:t>
      </w:r>
      <w:r w:rsidR="00402F06" w:rsidRPr="002715F2">
        <w:rPr>
          <w:rFonts w:eastAsia="Batang"/>
          <w:lang w:val="fr-FR" w:eastAsia="ko-KR"/>
        </w:rPr>
        <w:t xml:space="preserve"> et à l’Institut de formation de la police</w:t>
      </w:r>
      <w:r w:rsidR="000078DA" w:rsidRPr="002715F2">
        <w:rPr>
          <w:rFonts w:eastAsia="Batang"/>
          <w:lang w:val="fr-FR" w:eastAsia="ko-KR"/>
        </w:rPr>
        <w:t xml:space="preserve">. </w:t>
      </w:r>
      <w:r w:rsidR="00474481" w:rsidRPr="002715F2">
        <w:rPr>
          <w:rFonts w:eastAsia="Batang"/>
          <w:lang w:val="fr-FR" w:eastAsia="ko-KR"/>
        </w:rPr>
        <w:t xml:space="preserve">Depuis </w:t>
      </w:r>
      <w:r w:rsidR="000078DA" w:rsidRPr="002715F2">
        <w:rPr>
          <w:rFonts w:eastAsia="HyhwpEQ"/>
          <w:lang w:val="fr-FR" w:eastAsia="ko-KR"/>
        </w:rPr>
        <w:t xml:space="preserve">2013, </w:t>
      </w:r>
      <w:r w:rsidR="00431C6D" w:rsidRPr="002715F2">
        <w:rPr>
          <w:rFonts w:eastAsia="HyhwpEQ"/>
          <w:lang w:val="fr-FR" w:eastAsia="ko-KR"/>
        </w:rPr>
        <w:t>l</w:t>
      </w:r>
      <w:r w:rsidR="00D83826" w:rsidRPr="002715F2">
        <w:rPr>
          <w:rFonts w:eastAsia="HyhwpEQ"/>
          <w:lang w:val="fr-FR" w:eastAsia="ko-KR"/>
        </w:rPr>
        <w:t xml:space="preserve">a Commission </w:t>
      </w:r>
      <w:r w:rsidR="00402F06" w:rsidRPr="002715F2">
        <w:rPr>
          <w:rFonts w:eastAsia="HyhwpEQ"/>
          <w:lang w:val="fr-FR" w:eastAsia="ko-KR"/>
        </w:rPr>
        <w:t>offre</w:t>
      </w:r>
      <w:r w:rsidR="00223FB6" w:rsidRPr="002715F2">
        <w:rPr>
          <w:rFonts w:eastAsia="HyhwpEQ"/>
          <w:lang w:val="fr-FR" w:eastAsia="ko-KR"/>
        </w:rPr>
        <w:t xml:space="preserve"> chaque année aux fonctionnaires de police un </w:t>
      </w:r>
      <w:r w:rsidR="00E97B1A" w:rsidRPr="002715F2">
        <w:rPr>
          <w:rFonts w:eastAsia="HyhwpEQ"/>
          <w:lang w:val="fr-FR" w:eastAsia="ko-KR"/>
        </w:rPr>
        <w:t>«</w:t>
      </w:r>
      <w:r w:rsidR="00223FB6" w:rsidRPr="002715F2">
        <w:rPr>
          <w:rFonts w:eastAsia="HyhwpEQ"/>
          <w:lang w:val="fr-FR" w:eastAsia="ko-KR"/>
        </w:rPr>
        <w:t xml:space="preserve">Stage de formation des </w:t>
      </w:r>
      <w:r w:rsidR="00431C6D" w:rsidRPr="002715F2">
        <w:rPr>
          <w:rFonts w:eastAsia="HyhwpEQ"/>
          <w:lang w:val="fr-FR" w:eastAsia="ko-KR"/>
        </w:rPr>
        <w:t>instructeurs des droits de l’homme</w:t>
      </w:r>
      <w:r w:rsidR="00E97B1A" w:rsidRPr="002715F2">
        <w:rPr>
          <w:rFonts w:eastAsia="HyhwpEQ"/>
          <w:lang w:val="fr-FR" w:eastAsia="ko-KR"/>
        </w:rPr>
        <w:t>»</w:t>
      </w:r>
      <w:r w:rsidR="000078DA" w:rsidRPr="002715F2">
        <w:rPr>
          <w:rFonts w:eastAsia="Batang"/>
          <w:lang w:val="fr-FR" w:eastAsia="ko-KR"/>
        </w:rPr>
        <w:t>.</w:t>
      </w:r>
    </w:p>
    <w:p w:rsidR="000078DA" w:rsidRPr="002715F2" w:rsidRDefault="00643BBE" w:rsidP="00D90B15">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223FB6" w:rsidRPr="002715F2">
        <w:rPr>
          <w:rFonts w:eastAsia="Batang"/>
          <w:lang w:val="fr-FR" w:eastAsia="ko-KR"/>
        </w:rPr>
        <w:t xml:space="preserve">Nombre de </w:t>
      </w:r>
      <w:r w:rsidR="00223FB6" w:rsidRPr="002715F2">
        <w:rPr>
          <w:rFonts w:eastAsia="Batang"/>
          <w:lang w:val="fr-FR"/>
        </w:rPr>
        <w:t>plaintes</w:t>
      </w:r>
      <w:r w:rsidR="00223FB6" w:rsidRPr="002715F2">
        <w:rPr>
          <w:rFonts w:eastAsia="Batang"/>
          <w:lang w:val="fr-FR" w:eastAsia="ko-KR"/>
        </w:rPr>
        <w:t xml:space="preserve"> déposées </w:t>
      </w:r>
      <w:r w:rsidR="005C6D8E" w:rsidRPr="002715F2">
        <w:rPr>
          <w:rFonts w:eastAsia="Batang"/>
          <w:lang w:val="fr-FR" w:eastAsia="ko-KR"/>
        </w:rPr>
        <w:t>concernant</w:t>
      </w:r>
      <w:r w:rsidR="00223FB6" w:rsidRPr="002715F2">
        <w:rPr>
          <w:rFonts w:eastAsia="Batang"/>
          <w:lang w:val="fr-FR" w:eastAsia="ko-KR"/>
        </w:rPr>
        <w:t xml:space="preserve"> des abus commis par des fonctionnaires</w:t>
      </w:r>
    </w:p>
    <w:p w:rsidR="000078DA" w:rsidRPr="002715F2" w:rsidRDefault="007026FB" w:rsidP="007026FB">
      <w:pPr>
        <w:pStyle w:val="SingleTxtG"/>
        <w:rPr>
          <w:rFonts w:eastAsia="휴먼명조"/>
          <w:lang w:val="fr-FR" w:eastAsia="ko-KR"/>
        </w:rPr>
      </w:pPr>
      <w:r w:rsidRPr="002715F2">
        <w:rPr>
          <w:rFonts w:eastAsia="휴먼명조"/>
          <w:lang w:val="fr-FR" w:eastAsia="ko-KR"/>
        </w:rPr>
        <w:t>99.</w:t>
      </w:r>
      <w:r w:rsidRPr="002715F2">
        <w:rPr>
          <w:rFonts w:eastAsia="휴먼명조"/>
          <w:lang w:val="fr-FR" w:eastAsia="ko-KR"/>
        </w:rPr>
        <w:tab/>
      </w:r>
      <w:r w:rsidR="00223FB6" w:rsidRPr="002715F2">
        <w:rPr>
          <w:rFonts w:eastAsia="휴먼명조"/>
          <w:lang w:val="fr-FR" w:eastAsia="ko-KR"/>
        </w:rPr>
        <w:t>Entre</w:t>
      </w:r>
      <w:r w:rsidR="000078DA" w:rsidRPr="002715F2">
        <w:rPr>
          <w:rFonts w:eastAsia="휴먼명조"/>
          <w:lang w:val="fr-FR" w:eastAsia="ko-KR"/>
        </w:rPr>
        <w:t xml:space="preserve"> 2010 </w:t>
      </w:r>
      <w:r w:rsidR="00223FB6" w:rsidRPr="002715F2">
        <w:rPr>
          <w:rFonts w:eastAsia="휴먼명조"/>
          <w:lang w:val="fr-FR" w:eastAsia="ko-KR"/>
        </w:rPr>
        <w:t>et</w:t>
      </w:r>
      <w:r w:rsidR="000078DA" w:rsidRPr="002715F2">
        <w:rPr>
          <w:rFonts w:eastAsia="휴먼명조"/>
          <w:lang w:val="fr-FR" w:eastAsia="ko-KR"/>
        </w:rPr>
        <w:t xml:space="preserve"> 2014, </w:t>
      </w:r>
      <w:r w:rsidR="00223FB6" w:rsidRPr="002715F2">
        <w:rPr>
          <w:rFonts w:eastAsia="휴먼명조"/>
          <w:lang w:val="fr-FR" w:eastAsia="ko-KR"/>
        </w:rPr>
        <w:t xml:space="preserve">les plaintes déposées </w:t>
      </w:r>
      <w:r w:rsidR="000A6EEE" w:rsidRPr="002715F2">
        <w:rPr>
          <w:rFonts w:eastAsia="휴먼명조"/>
          <w:lang w:val="fr-FR" w:eastAsia="ko-KR"/>
        </w:rPr>
        <w:t>auprès de</w:t>
      </w:r>
      <w:r w:rsidR="00223FB6" w:rsidRPr="002715F2">
        <w:rPr>
          <w:rFonts w:eastAsia="휴먼명조"/>
          <w:lang w:val="fr-FR" w:eastAsia="ko-KR"/>
        </w:rPr>
        <w:t xml:space="preserve"> </w:t>
      </w:r>
      <w:r w:rsidR="00505F2B" w:rsidRPr="002715F2">
        <w:rPr>
          <w:rFonts w:eastAsia="휴먼명조"/>
          <w:lang w:val="fr-FR" w:eastAsia="ko-KR"/>
        </w:rPr>
        <w:t>l</w:t>
      </w:r>
      <w:r w:rsidR="00223FB6" w:rsidRPr="002715F2">
        <w:rPr>
          <w:rFonts w:eastAsia="휴먼명조"/>
          <w:lang w:val="fr-FR" w:eastAsia="ko-KR"/>
        </w:rPr>
        <w:t xml:space="preserve">a Commission nationale des droits de l’homme pour violence, actes </w:t>
      </w:r>
      <w:r w:rsidR="000A6EEE" w:rsidRPr="002715F2">
        <w:rPr>
          <w:rFonts w:eastAsia="휴먼명조"/>
          <w:lang w:val="fr-FR" w:eastAsia="ko-KR"/>
        </w:rPr>
        <w:t xml:space="preserve">de </w:t>
      </w:r>
      <w:r w:rsidR="00223FB6" w:rsidRPr="002715F2">
        <w:rPr>
          <w:rFonts w:eastAsia="휴먼명조"/>
          <w:lang w:val="fr-FR" w:eastAsia="ko-KR"/>
        </w:rPr>
        <w:t>cru</w:t>
      </w:r>
      <w:r w:rsidR="000A6EEE" w:rsidRPr="002715F2">
        <w:rPr>
          <w:rFonts w:eastAsia="휴먼명조"/>
          <w:lang w:val="fr-FR" w:eastAsia="ko-KR"/>
        </w:rPr>
        <w:t>auté</w:t>
      </w:r>
      <w:r w:rsidR="00223FB6" w:rsidRPr="002715F2">
        <w:rPr>
          <w:rFonts w:eastAsia="휴먼명조"/>
          <w:lang w:val="fr-FR" w:eastAsia="ko-KR"/>
        </w:rPr>
        <w:t xml:space="preserve"> et utilisation excessive des équipements de protection des </w:t>
      </w:r>
      <w:r w:rsidR="000A6EEE" w:rsidRPr="002715F2">
        <w:rPr>
          <w:rFonts w:eastAsia="휴먼명조"/>
          <w:lang w:val="fr-FR" w:eastAsia="ko-KR"/>
        </w:rPr>
        <w:t>fonctionnaires</w:t>
      </w:r>
      <w:r w:rsidR="00223FB6" w:rsidRPr="002715F2">
        <w:rPr>
          <w:rFonts w:eastAsia="휴먼명조"/>
          <w:lang w:val="fr-FR" w:eastAsia="ko-KR"/>
        </w:rPr>
        <w:t xml:space="preserve"> concernaient les services suivants</w:t>
      </w:r>
      <w:r w:rsidR="00E97B1A" w:rsidRPr="002715F2">
        <w:rPr>
          <w:rFonts w:eastAsia="휴먼명조"/>
          <w:lang w:val="fr-FR" w:eastAsia="ko-KR"/>
        </w:rPr>
        <w:t>:</w:t>
      </w:r>
      <w:r w:rsidR="000078DA" w:rsidRPr="002715F2">
        <w:rPr>
          <w:rFonts w:eastAsia="휴먼명조"/>
          <w:lang w:val="fr-FR" w:eastAsia="ko-KR"/>
        </w:rPr>
        <w:t xml:space="preserve"> </w:t>
      </w:r>
      <w:r w:rsidR="00223FB6" w:rsidRPr="002715F2">
        <w:rPr>
          <w:rFonts w:eastAsia="휴먼명조"/>
          <w:lang w:val="fr-FR" w:eastAsia="ko-KR"/>
        </w:rPr>
        <w:t>3</w:t>
      </w:r>
      <w:r w:rsidR="000A6EEE" w:rsidRPr="002715F2">
        <w:rPr>
          <w:rFonts w:eastAsia="휴먼명조"/>
          <w:lang w:val="fr-FR" w:eastAsia="ko-KR"/>
        </w:rPr>
        <w:t> </w:t>
      </w:r>
      <w:r w:rsidR="00474481" w:rsidRPr="002715F2">
        <w:rPr>
          <w:rFonts w:eastAsia="휴먼명조"/>
          <w:lang w:val="fr-FR" w:eastAsia="ko-KR"/>
        </w:rPr>
        <w:t xml:space="preserve"> 870 </w:t>
      </w:r>
      <w:r w:rsidR="00223FB6" w:rsidRPr="002715F2">
        <w:rPr>
          <w:rFonts w:eastAsia="휴먼명조"/>
          <w:lang w:val="fr-FR" w:eastAsia="ko-KR"/>
        </w:rPr>
        <w:t>contre les se</w:t>
      </w:r>
      <w:r w:rsidR="00505F2B" w:rsidRPr="002715F2">
        <w:rPr>
          <w:rFonts w:eastAsia="휴먼명조"/>
          <w:lang w:val="fr-FR" w:eastAsia="ko-KR"/>
        </w:rPr>
        <w:t>rvices de police, 2</w:t>
      </w:r>
      <w:r w:rsidR="000A6EEE" w:rsidRPr="002715F2">
        <w:rPr>
          <w:rFonts w:eastAsia="휴먼명조"/>
          <w:lang w:val="fr-FR" w:eastAsia="ko-KR"/>
        </w:rPr>
        <w:t> </w:t>
      </w:r>
      <w:r w:rsidR="00474481" w:rsidRPr="002715F2">
        <w:rPr>
          <w:rFonts w:eastAsia="휴먼명조"/>
          <w:lang w:val="fr-FR" w:eastAsia="ko-KR"/>
        </w:rPr>
        <w:t xml:space="preserve"> 103 </w:t>
      </w:r>
      <w:r w:rsidR="00505F2B" w:rsidRPr="002715F2">
        <w:rPr>
          <w:rFonts w:eastAsia="휴먼명조"/>
          <w:lang w:val="fr-FR" w:eastAsia="ko-KR"/>
        </w:rPr>
        <w:t>contre d</w:t>
      </w:r>
      <w:r w:rsidR="00223FB6" w:rsidRPr="002715F2">
        <w:rPr>
          <w:rFonts w:eastAsia="휴먼명조"/>
          <w:lang w:val="fr-FR" w:eastAsia="ko-KR"/>
        </w:rPr>
        <w:t xml:space="preserve">es centres de détention, 262 contre </w:t>
      </w:r>
      <w:r w:rsidR="00505F2B" w:rsidRPr="002715F2">
        <w:rPr>
          <w:rFonts w:eastAsia="휴먼명조"/>
          <w:lang w:val="fr-FR" w:eastAsia="ko-KR"/>
        </w:rPr>
        <w:t>des militaires</w:t>
      </w:r>
      <w:r w:rsidR="00223FB6" w:rsidRPr="002715F2">
        <w:rPr>
          <w:rFonts w:eastAsia="휴먼명조"/>
          <w:lang w:val="fr-FR" w:eastAsia="ko-KR"/>
        </w:rPr>
        <w:t xml:space="preserve">, 123 contre les parquets et 11 contre les </w:t>
      </w:r>
      <w:r w:rsidR="00505F2B" w:rsidRPr="002715F2">
        <w:rPr>
          <w:rFonts w:eastAsia="휴먼명조"/>
          <w:lang w:val="fr-FR" w:eastAsia="ko-KR"/>
        </w:rPr>
        <w:t>services</w:t>
      </w:r>
      <w:r w:rsidR="00223FB6" w:rsidRPr="002715F2">
        <w:rPr>
          <w:rFonts w:eastAsia="휴먼명조"/>
          <w:lang w:val="fr-FR" w:eastAsia="ko-KR"/>
        </w:rPr>
        <w:t xml:space="preserve"> de l’immigration</w:t>
      </w:r>
      <w:r w:rsidR="000078DA" w:rsidRPr="002715F2">
        <w:rPr>
          <w:rFonts w:eastAsia="휴먼명조"/>
          <w:lang w:val="fr-FR" w:eastAsia="ko-KR"/>
        </w:rPr>
        <w:t xml:space="preserve">. </w:t>
      </w:r>
      <w:r w:rsidR="00505F2B" w:rsidRPr="002715F2">
        <w:rPr>
          <w:rFonts w:eastAsia="휴먼명조"/>
          <w:lang w:val="fr-FR" w:eastAsia="ko-KR"/>
        </w:rPr>
        <w:t>La plupart des plaintes visaient les services de police</w:t>
      </w:r>
      <w:r w:rsidR="00E97B1A" w:rsidRPr="002715F2">
        <w:rPr>
          <w:rFonts w:eastAsia="휴먼명조"/>
          <w:lang w:val="fr-FR" w:eastAsia="ko-KR"/>
        </w:rPr>
        <w:t>:</w:t>
      </w:r>
      <w:r w:rsidR="00505F2B" w:rsidRPr="002715F2">
        <w:rPr>
          <w:rFonts w:eastAsia="휴먼명조"/>
          <w:lang w:val="fr-FR" w:eastAsia="ko-KR"/>
        </w:rPr>
        <w:t xml:space="preserve"> ainsi</w:t>
      </w:r>
      <w:r w:rsidR="000A6EEE" w:rsidRPr="002715F2">
        <w:rPr>
          <w:rFonts w:eastAsia="휴먼명조"/>
          <w:lang w:val="fr-FR" w:eastAsia="ko-KR"/>
        </w:rPr>
        <w:t>,</w:t>
      </w:r>
      <w:r w:rsidR="00505F2B" w:rsidRPr="002715F2">
        <w:rPr>
          <w:rFonts w:eastAsia="휴먼명조"/>
          <w:lang w:val="fr-FR" w:eastAsia="ko-KR"/>
        </w:rPr>
        <w:t xml:space="preserve"> 465 plaintes ont été déposées en 2010, 286 en 2011, 280 en 2012, 348 en 2013 et 347 en 2014</w:t>
      </w:r>
      <w:r w:rsidR="00F60999" w:rsidRPr="002715F2">
        <w:rPr>
          <w:rFonts w:eastAsia="휴먼명조"/>
          <w:lang w:val="fr-FR" w:eastAsia="ko-KR"/>
        </w:rPr>
        <w:t>.</w:t>
      </w:r>
    </w:p>
    <w:p w:rsidR="000078DA" w:rsidRPr="002715F2" w:rsidRDefault="00643BBE"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505F2B"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505F2B" w:rsidRPr="002715F2">
        <w:rPr>
          <w:rFonts w:eastAsia="Batang"/>
          <w:lang w:val="fr-FR" w:eastAsia="ko-KR"/>
        </w:rPr>
        <w:t>16</w:t>
      </w:r>
    </w:p>
    <w:p w:rsidR="000078DA" w:rsidRPr="002715F2" w:rsidRDefault="007026FB" w:rsidP="00505F2B">
      <w:pPr>
        <w:pStyle w:val="SingleTxtG"/>
        <w:rPr>
          <w:rFonts w:eastAsia="Batang"/>
          <w:lang w:val="fr-FR" w:eastAsia="ko-KR"/>
        </w:rPr>
      </w:pPr>
      <w:r w:rsidRPr="002715F2">
        <w:rPr>
          <w:rFonts w:eastAsia="Batang"/>
          <w:lang w:val="fr-FR" w:eastAsia="ko-KR"/>
        </w:rPr>
        <w:t>100.</w:t>
      </w:r>
      <w:r w:rsidRPr="002715F2">
        <w:rPr>
          <w:rFonts w:eastAsia="Batang"/>
          <w:lang w:val="fr-FR" w:eastAsia="ko-KR"/>
        </w:rPr>
        <w:tab/>
      </w:r>
      <w:r w:rsidR="000A6EEE" w:rsidRPr="002715F2">
        <w:rPr>
          <w:rFonts w:eastAsia="Batang"/>
          <w:lang w:val="fr-FR" w:eastAsia="ko-KR"/>
        </w:rPr>
        <w:t>À l’heure actuelle, le Gouvernement</w:t>
      </w:r>
      <w:r w:rsidR="00505F2B" w:rsidRPr="002715F2">
        <w:rPr>
          <w:rFonts w:eastAsia="Malgun Gothic"/>
          <w:kern w:val="2"/>
          <w:szCs w:val="22"/>
          <w:lang w:val="fr-FR" w:eastAsia="ko-KR"/>
        </w:rPr>
        <w:t xml:space="preserve"> ne propose pas de programmes de formation</w:t>
      </w:r>
      <w:r w:rsidR="000078DA" w:rsidRPr="002715F2">
        <w:rPr>
          <w:rFonts w:eastAsia="Batang"/>
          <w:lang w:val="fr-FR" w:eastAsia="ko-KR"/>
        </w:rPr>
        <w:t xml:space="preserve"> </w:t>
      </w:r>
      <w:r w:rsidR="00505F2B" w:rsidRPr="002715F2">
        <w:rPr>
          <w:rFonts w:eastAsia="Batang"/>
          <w:lang w:val="fr-FR" w:eastAsia="ko-KR"/>
        </w:rPr>
        <w:t xml:space="preserve">pour </w:t>
      </w:r>
      <w:r w:rsidR="000A6EEE" w:rsidRPr="002715F2">
        <w:rPr>
          <w:lang w:val="fr-FR"/>
        </w:rPr>
        <w:t xml:space="preserve">reconnaître et traiter les blessures </w:t>
      </w:r>
      <w:r w:rsidR="00505F2B" w:rsidRPr="002715F2">
        <w:rPr>
          <w:rFonts w:eastAsia="Batang"/>
          <w:lang w:val="fr-FR" w:eastAsia="ko-KR"/>
        </w:rPr>
        <w:t xml:space="preserve">résultant </w:t>
      </w:r>
      <w:r w:rsidR="000A6EEE" w:rsidRPr="002715F2">
        <w:rPr>
          <w:rFonts w:eastAsia="Batang"/>
          <w:lang w:val="fr-FR" w:eastAsia="ko-KR"/>
        </w:rPr>
        <w:t>d’actes de torture</w:t>
      </w:r>
      <w:r w:rsidR="00505F2B" w:rsidRPr="002715F2">
        <w:rPr>
          <w:rFonts w:eastAsia="Batang"/>
          <w:lang w:val="fr-FR" w:eastAsia="ko-KR"/>
        </w:rPr>
        <w:t xml:space="preserve"> et </w:t>
      </w:r>
      <w:r w:rsidR="000A6EEE" w:rsidRPr="002715F2">
        <w:rPr>
          <w:rFonts w:eastAsia="Batang"/>
          <w:lang w:val="fr-FR" w:eastAsia="ko-KR"/>
        </w:rPr>
        <w:t xml:space="preserve">de </w:t>
      </w:r>
      <w:r w:rsidR="00505F2B" w:rsidRPr="002715F2">
        <w:rPr>
          <w:rFonts w:eastAsia="Batang"/>
          <w:lang w:val="fr-FR" w:eastAsia="ko-KR"/>
        </w:rPr>
        <w:t>mauvais traitements</w:t>
      </w:r>
      <w:r w:rsidR="000078DA" w:rsidRPr="002715F2">
        <w:rPr>
          <w:rFonts w:eastAsia="Batang"/>
          <w:lang w:val="fr-FR" w:eastAsia="ko-KR"/>
        </w:rPr>
        <w:t xml:space="preserve">. </w:t>
      </w:r>
      <w:r w:rsidR="00505F2B" w:rsidRPr="002715F2">
        <w:rPr>
          <w:rFonts w:eastAsia="Batang"/>
          <w:lang w:val="fr-FR" w:eastAsia="ko-KR"/>
        </w:rPr>
        <w:t>En 2008, l</w:t>
      </w:r>
      <w:r w:rsidR="00D83826" w:rsidRPr="002715F2">
        <w:rPr>
          <w:rFonts w:eastAsia="Batang"/>
          <w:lang w:val="fr-FR" w:eastAsia="ko-KR"/>
        </w:rPr>
        <w:t>a Commission nationale des droits de l’homme</w:t>
      </w:r>
      <w:r w:rsidR="000078DA" w:rsidRPr="002715F2">
        <w:rPr>
          <w:rFonts w:eastAsia="Batang"/>
          <w:lang w:val="fr-FR" w:eastAsia="ko-KR"/>
        </w:rPr>
        <w:t xml:space="preserve"> </w:t>
      </w:r>
      <w:r w:rsidR="00505F2B" w:rsidRPr="002715F2">
        <w:rPr>
          <w:rFonts w:eastAsia="Batang"/>
          <w:lang w:val="fr-FR" w:eastAsia="ko-KR"/>
        </w:rPr>
        <w:t xml:space="preserve">a traduit et publié </w:t>
      </w:r>
      <w:r w:rsidR="000D5F5D" w:rsidRPr="002715F2">
        <w:rPr>
          <w:rFonts w:eastAsia="Batang"/>
          <w:lang w:val="fr-FR" w:eastAsia="ko-KR"/>
        </w:rPr>
        <w:t>le</w:t>
      </w:r>
      <w:r w:rsidR="00505F2B" w:rsidRPr="002715F2">
        <w:rPr>
          <w:rFonts w:eastAsia="Batang"/>
          <w:lang w:val="fr-FR" w:eastAsia="ko-KR"/>
        </w:rPr>
        <w:t xml:space="preserve"> </w:t>
      </w:r>
      <w:r w:rsidR="00E97B1A" w:rsidRPr="002715F2">
        <w:rPr>
          <w:rFonts w:eastAsia="Batang"/>
          <w:lang w:val="fr-FR" w:eastAsia="ko-KR"/>
        </w:rPr>
        <w:t>«</w:t>
      </w:r>
      <w:r w:rsidR="00505F2B" w:rsidRPr="002715F2">
        <w:rPr>
          <w:rFonts w:eastAsia="Batang"/>
          <w:lang w:val="fr-FR" w:eastAsia="ko-KR"/>
        </w:rPr>
        <w:t>Manuel pour enquêter efficacement sur la torture et autres peines ou traitements cruels, inhumains ou dégradants</w:t>
      </w:r>
      <w:r w:rsidR="00E97B1A" w:rsidRPr="002715F2">
        <w:rPr>
          <w:rFonts w:eastAsia="Batang"/>
          <w:lang w:val="fr-FR" w:eastAsia="ko-KR"/>
        </w:rPr>
        <w:t>»</w:t>
      </w:r>
      <w:r w:rsidR="00505F2B" w:rsidRPr="002715F2">
        <w:rPr>
          <w:rFonts w:eastAsia="Batang"/>
          <w:lang w:val="fr-FR" w:eastAsia="ko-KR"/>
        </w:rPr>
        <w:t xml:space="preserve"> (</w:t>
      </w:r>
      <w:r w:rsidR="000D5F5D" w:rsidRPr="002715F2">
        <w:rPr>
          <w:rFonts w:eastAsia="Batang"/>
          <w:lang w:val="fr-FR"/>
        </w:rPr>
        <w:t>ci-après</w:t>
      </w:r>
      <w:r w:rsidR="00AD2CD0" w:rsidRPr="002715F2">
        <w:rPr>
          <w:rFonts w:eastAsia="Batang"/>
          <w:lang w:val="fr-FR"/>
        </w:rPr>
        <w:t xml:space="preserve"> </w:t>
      </w:r>
      <w:r w:rsidR="00E97B1A" w:rsidRPr="002715F2">
        <w:rPr>
          <w:rFonts w:eastAsia="Batang"/>
          <w:lang w:val="fr-FR"/>
        </w:rPr>
        <w:t>«</w:t>
      </w:r>
      <w:r w:rsidR="00474481" w:rsidRPr="002715F2">
        <w:rPr>
          <w:rFonts w:eastAsia="Batang"/>
          <w:lang w:val="fr-FR"/>
        </w:rPr>
        <w:t xml:space="preserve">le </w:t>
      </w:r>
      <w:r w:rsidR="00505F2B" w:rsidRPr="002715F2">
        <w:rPr>
          <w:rFonts w:eastAsia="Batang"/>
          <w:lang w:val="fr-FR" w:eastAsia="ko-KR"/>
        </w:rPr>
        <w:t>Protocole d’Istanbul</w:t>
      </w:r>
      <w:r w:rsidR="00E97B1A" w:rsidRPr="002715F2">
        <w:rPr>
          <w:rFonts w:eastAsia="Batang"/>
          <w:lang w:val="fr-FR" w:eastAsia="ko-KR"/>
        </w:rPr>
        <w:t>»</w:t>
      </w:r>
      <w:r w:rsidR="00505F2B" w:rsidRPr="002715F2">
        <w:rPr>
          <w:rFonts w:eastAsia="Batang"/>
          <w:lang w:val="fr-FR" w:eastAsia="ko-KR"/>
        </w:rPr>
        <w:t>)</w:t>
      </w:r>
      <w:r w:rsidR="000078DA" w:rsidRPr="002715F2">
        <w:rPr>
          <w:rFonts w:eastAsia="Batang"/>
          <w:lang w:val="fr-FR" w:eastAsia="ko-KR"/>
        </w:rPr>
        <w:t xml:space="preserve">. </w:t>
      </w:r>
      <w:r w:rsidR="000A6EEE" w:rsidRPr="002715F2">
        <w:rPr>
          <w:rFonts w:eastAsia="Batang"/>
          <w:lang w:val="fr-FR" w:eastAsia="ko-KR"/>
        </w:rPr>
        <w:t>En 2009, e</w:t>
      </w:r>
      <w:r w:rsidR="00505F2B" w:rsidRPr="002715F2">
        <w:rPr>
          <w:rFonts w:eastAsia="Batang"/>
          <w:lang w:val="fr-FR" w:eastAsia="ko-KR"/>
        </w:rPr>
        <w:t xml:space="preserve">lle </w:t>
      </w:r>
      <w:r w:rsidR="00DE0981" w:rsidRPr="002715F2">
        <w:rPr>
          <w:rFonts w:eastAsia="Batang"/>
          <w:lang w:val="fr-FR" w:eastAsia="ko-KR"/>
        </w:rPr>
        <w:t>a également traduit et publié des directives pratiques sur le P</w:t>
      </w:r>
      <w:r w:rsidR="00505F2B" w:rsidRPr="002715F2">
        <w:rPr>
          <w:rFonts w:eastAsia="Batang"/>
          <w:lang w:val="fr-FR" w:eastAsia="ko-KR"/>
        </w:rPr>
        <w:t xml:space="preserve">rotocole </w:t>
      </w:r>
      <w:r w:rsidR="00DE0981" w:rsidRPr="002715F2">
        <w:rPr>
          <w:rFonts w:eastAsia="Batang"/>
          <w:lang w:val="fr-FR" w:eastAsia="ko-KR"/>
        </w:rPr>
        <w:t xml:space="preserve">d’Istanbul, dont </w:t>
      </w:r>
      <w:r w:rsidR="00E97B1A" w:rsidRPr="002715F2">
        <w:rPr>
          <w:rFonts w:eastAsia="Batang"/>
          <w:lang w:val="fr-FR" w:eastAsia="ko-KR"/>
        </w:rPr>
        <w:t>«</w:t>
      </w:r>
      <w:r w:rsidR="00DE0981" w:rsidRPr="002715F2">
        <w:rPr>
          <w:rFonts w:eastAsia="Batang"/>
          <w:lang w:val="fr-FR" w:eastAsia="ko-KR"/>
        </w:rPr>
        <w:t>E</w:t>
      </w:r>
      <w:r w:rsidR="00505F2B" w:rsidRPr="002715F2">
        <w:rPr>
          <w:rFonts w:eastAsia="Batang"/>
          <w:lang w:val="fr-FR" w:eastAsia="ko-KR"/>
        </w:rPr>
        <w:t>nquête</w:t>
      </w:r>
      <w:r w:rsidR="00DE0981" w:rsidRPr="002715F2">
        <w:rPr>
          <w:rFonts w:eastAsia="Batang"/>
          <w:lang w:val="fr-FR" w:eastAsia="ko-KR"/>
        </w:rPr>
        <w:t>s</w:t>
      </w:r>
      <w:r w:rsidR="00505F2B" w:rsidRPr="002715F2">
        <w:rPr>
          <w:rFonts w:eastAsia="Batang"/>
          <w:lang w:val="fr-FR" w:eastAsia="ko-KR"/>
        </w:rPr>
        <w:t xml:space="preserve"> judiciaire</w:t>
      </w:r>
      <w:r w:rsidR="00DE0981" w:rsidRPr="002715F2">
        <w:rPr>
          <w:rFonts w:eastAsia="Batang"/>
          <w:lang w:val="fr-FR" w:eastAsia="ko-KR"/>
        </w:rPr>
        <w:t>s sur les accusations de t</w:t>
      </w:r>
      <w:r w:rsidR="00505F2B" w:rsidRPr="002715F2">
        <w:rPr>
          <w:rFonts w:eastAsia="Batang"/>
          <w:lang w:val="fr-FR" w:eastAsia="ko-KR"/>
        </w:rPr>
        <w:t>orture (</w:t>
      </w:r>
      <w:r w:rsidR="00DE0981" w:rsidRPr="002715F2">
        <w:rPr>
          <w:rFonts w:eastAsia="Batang"/>
          <w:lang w:val="fr-FR" w:eastAsia="ko-KR"/>
        </w:rPr>
        <w:t xml:space="preserve">à l’intention </w:t>
      </w:r>
      <w:r w:rsidR="00505F2B" w:rsidRPr="002715F2">
        <w:rPr>
          <w:rFonts w:eastAsia="Batang"/>
          <w:lang w:val="fr-FR" w:eastAsia="ko-KR"/>
        </w:rPr>
        <w:t>des avocats)</w:t>
      </w:r>
      <w:r w:rsidR="00E97B1A" w:rsidRPr="002715F2">
        <w:rPr>
          <w:rFonts w:eastAsia="Batang"/>
          <w:lang w:val="fr-FR" w:eastAsia="ko-KR"/>
        </w:rPr>
        <w:t>»</w:t>
      </w:r>
      <w:r w:rsidR="00DE0981" w:rsidRPr="002715F2">
        <w:rPr>
          <w:rFonts w:eastAsia="Batang"/>
          <w:lang w:val="fr-FR" w:eastAsia="ko-KR"/>
        </w:rPr>
        <w:t xml:space="preserve">, </w:t>
      </w:r>
      <w:r w:rsidR="00E97B1A" w:rsidRPr="002715F2">
        <w:rPr>
          <w:rFonts w:eastAsia="Batang"/>
          <w:lang w:val="fr-FR" w:eastAsia="ko-KR"/>
        </w:rPr>
        <w:t>«</w:t>
      </w:r>
      <w:r w:rsidR="00505F2B" w:rsidRPr="002715F2">
        <w:rPr>
          <w:rFonts w:eastAsia="Batang"/>
          <w:lang w:val="fr-FR" w:eastAsia="ko-KR"/>
        </w:rPr>
        <w:t xml:space="preserve">Preuves </w:t>
      </w:r>
      <w:r w:rsidR="00DE0981" w:rsidRPr="002715F2">
        <w:rPr>
          <w:rFonts w:eastAsia="Batang"/>
          <w:lang w:val="fr-FR" w:eastAsia="ko-KR"/>
        </w:rPr>
        <w:t>psychologiques de la t</w:t>
      </w:r>
      <w:r w:rsidR="00505F2B" w:rsidRPr="002715F2">
        <w:rPr>
          <w:rFonts w:eastAsia="Batang"/>
          <w:lang w:val="fr-FR" w:eastAsia="ko-KR"/>
        </w:rPr>
        <w:t>orture (</w:t>
      </w:r>
      <w:r w:rsidR="00DE0981" w:rsidRPr="002715F2">
        <w:rPr>
          <w:rFonts w:eastAsia="Batang"/>
          <w:lang w:val="fr-FR" w:eastAsia="ko-KR"/>
        </w:rPr>
        <w:t>à l’intention des</w:t>
      </w:r>
      <w:r w:rsidR="00505F2B" w:rsidRPr="002715F2">
        <w:rPr>
          <w:rFonts w:eastAsia="Batang"/>
          <w:lang w:val="fr-FR" w:eastAsia="ko-KR"/>
        </w:rPr>
        <w:t xml:space="preserve"> psychologues)</w:t>
      </w:r>
      <w:r w:rsidR="00E97B1A" w:rsidRPr="002715F2">
        <w:rPr>
          <w:rFonts w:eastAsia="Batang"/>
          <w:lang w:val="fr-FR" w:eastAsia="ko-KR"/>
        </w:rPr>
        <w:t>»</w:t>
      </w:r>
      <w:r w:rsidR="00DE0981" w:rsidRPr="002715F2">
        <w:rPr>
          <w:rFonts w:eastAsia="Batang"/>
          <w:lang w:val="fr-FR" w:eastAsia="ko-KR"/>
        </w:rPr>
        <w:t xml:space="preserve"> et </w:t>
      </w:r>
      <w:r w:rsidR="00E97B1A" w:rsidRPr="002715F2">
        <w:rPr>
          <w:rFonts w:eastAsia="Batang"/>
          <w:lang w:val="fr-FR" w:eastAsia="ko-KR"/>
        </w:rPr>
        <w:t>«</w:t>
      </w:r>
      <w:r w:rsidR="00DE0981" w:rsidRPr="002715F2">
        <w:rPr>
          <w:rFonts w:eastAsia="Batang"/>
          <w:lang w:val="fr-FR" w:eastAsia="ko-KR"/>
        </w:rPr>
        <w:t xml:space="preserve">Examen </w:t>
      </w:r>
      <w:r w:rsidR="000D5F5D" w:rsidRPr="002715F2">
        <w:rPr>
          <w:rFonts w:eastAsia="Batang"/>
          <w:lang w:val="fr-FR" w:eastAsia="ko-KR"/>
        </w:rPr>
        <w:t xml:space="preserve">médical </w:t>
      </w:r>
      <w:r w:rsidR="00DE0981" w:rsidRPr="002715F2">
        <w:rPr>
          <w:rFonts w:eastAsia="Batang"/>
          <w:lang w:val="fr-FR" w:eastAsia="ko-KR"/>
        </w:rPr>
        <w:t>des victimes de t</w:t>
      </w:r>
      <w:r w:rsidR="00505F2B" w:rsidRPr="002715F2">
        <w:rPr>
          <w:rFonts w:eastAsia="Batang"/>
          <w:lang w:val="fr-FR" w:eastAsia="ko-KR"/>
        </w:rPr>
        <w:t>orture (</w:t>
      </w:r>
      <w:r w:rsidR="00DE0981" w:rsidRPr="002715F2">
        <w:rPr>
          <w:rFonts w:eastAsia="Batang"/>
          <w:lang w:val="fr-FR" w:eastAsia="ko-KR"/>
        </w:rPr>
        <w:t>à l’intention des</w:t>
      </w:r>
      <w:r w:rsidR="00505F2B" w:rsidRPr="002715F2">
        <w:rPr>
          <w:rFonts w:eastAsia="Batang"/>
          <w:lang w:val="fr-FR" w:eastAsia="ko-KR"/>
        </w:rPr>
        <w:t xml:space="preserve"> médecins)</w:t>
      </w:r>
      <w:r w:rsidR="00E97B1A" w:rsidRPr="002715F2">
        <w:rPr>
          <w:rFonts w:eastAsia="Batang"/>
          <w:lang w:val="fr-FR" w:eastAsia="ko-KR"/>
        </w:rPr>
        <w:t>»</w:t>
      </w:r>
      <w:r w:rsidR="00DE0981" w:rsidRPr="002715F2">
        <w:rPr>
          <w:rFonts w:eastAsia="Batang"/>
          <w:lang w:val="fr-FR" w:eastAsia="ko-KR"/>
        </w:rPr>
        <w:t>.</w:t>
      </w:r>
      <w:r w:rsidR="000078DA" w:rsidRPr="002715F2">
        <w:rPr>
          <w:rFonts w:eastAsia="Batang"/>
          <w:lang w:val="fr-FR" w:eastAsia="ko-KR"/>
        </w:rPr>
        <w:t xml:space="preserve"> </w:t>
      </w:r>
      <w:r w:rsidR="00DE0981" w:rsidRPr="002715F2">
        <w:rPr>
          <w:rFonts w:eastAsia="Batang"/>
          <w:lang w:val="fr-FR" w:eastAsia="ko-KR"/>
        </w:rPr>
        <w:t xml:space="preserve">Elle a </w:t>
      </w:r>
      <w:r w:rsidR="000A6EEE" w:rsidRPr="002715F2">
        <w:rPr>
          <w:rFonts w:eastAsia="Batang"/>
          <w:lang w:val="fr-FR" w:eastAsia="ko-KR"/>
        </w:rPr>
        <w:t>en outre</w:t>
      </w:r>
      <w:r w:rsidR="00DE0981" w:rsidRPr="002715F2">
        <w:rPr>
          <w:rFonts w:eastAsia="Batang"/>
          <w:lang w:val="fr-FR" w:eastAsia="ko-KR"/>
        </w:rPr>
        <w:t xml:space="preserve"> publié le </w:t>
      </w:r>
      <w:r w:rsidR="00E97B1A" w:rsidRPr="002715F2">
        <w:rPr>
          <w:rFonts w:eastAsia="Batang"/>
          <w:lang w:val="fr-FR" w:eastAsia="ko-KR"/>
        </w:rPr>
        <w:t>«</w:t>
      </w:r>
      <w:r w:rsidR="00DE0981" w:rsidRPr="002715F2">
        <w:rPr>
          <w:rFonts w:eastAsia="Batang"/>
          <w:lang w:val="fr-FR" w:eastAsia="ko-KR"/>
        </w:rPr>
        <w:t xml:space="preserve">Rapport de </w:t>
      </w:r>
      <w:r w:rsidR="000078DA" w:rsidRPr="002715F2">
        <w:rPr>
          <w:rFonts w:eastAsia="Batang"/>
          <w:lang w:val="fr-FR" w:eastAsia="ko-KR"/>
        </w:rPr>
        <w:t>2011</w:t>
      </w:r>
      <w:r w:rsidR="00DE0981" w:rsidRPr="002715F2">
        <w:rPr>
          <w:rFonts w:eastAsia="Batang"/>
          <w:lang w:val="fr-FR" w:eastAsia="ko-KR"/>
        </w:rPr>
        <w:t xml:space="preserve"> sur la situation des droits des victimes de torture</w:t>
      </w:r>
      <w:r w:rsidR="00E97B1A" w:rsidRPr="002715F2">
        <w:rPr>
          <w:rFonts w:eastAsia="Batang"/>
          <w:lang w:val="fr-FR" w:eastAsia="ko-KR"/>
        </w:rPr>
        <w:t>»</w:t>
      </w:r>
      <w:r w:rsidR="00DE0981" w:rsidRPr="002715F2">
        <w:rPr>
          <w:rFonts w:eastAsia="Batang"/>
          <w:lang w:val="fr-FR" w:eastAsia="ko-KR"/>
        </w:rPr>
        <w:t xml:space="preserve">, qui </w:t>
      </w:r>
      <w:r w:rsidR="000D5F5D" w:rsidRPr="002715F2">
        <w:rPr>
          <w:rFonts w:eastAsia="Batang"/>
          <w:lang w:val="fr-FR" w:eastAsia="ko-KR"/>
        </w:rPr>
        <w:t>fait</w:t>
      </w:r>
      <w:r w:rsidR="00DE0981" w:rsidRPr="002715F2">
        <w:rPr>
          <w:rFonts w:eastAsia="Batang"/>
          <w:lang w:val="fr-FR" w:eastAsia="ko-KR"/>
        </w:rPr>
        <w:t xml:space="preserve"> </w:t>
      </w:r>
      <w:r w:rsidR="005C6D8E" w:rsidRPr="002715F2">
        <w:rPr>
          <w:rFonts w:eastAsia="Batang"/>
          <w:lang w:val="fr-FR" w:eastAsia="ko-KR"/>
        </w:rPr>
        <w:t>expressément</w:t>
      </w:r>
      <w:r w:rsidR="00DE0981" w:rsidRPr="002715F2">
        <w:rPr>
          <w:rFonts w:eastAsia="Batang"/>
          <w:lang w:val="fr-FR" w:eastAsia="ko-KR"/>
        </w:rPr>
        <w:t xml:space="preserve"> </w:t>
      </w:r>
      <w:r w:rsidR="000D5F5D" w:rsidRPr="002715F2">
        <w:rPr>
          <w:rFonts w:eastAsia="Batang"/>
          <w:lang w:val="fr-FR" w:eastAsia="ko-KR"/>
        </w:rPr>
        <w:t xml:space="preserve">référence </w:t>
      </w:r>
      <w:r w:rsidR="00DE0981" w:rsidRPr="002715F2">
        <w:rPr>
          <w:rFonts w:eastAsia="Batang"/>
          <w:lang w:val="fr-FR" w:eastAsia="ko-KR"/>
        </w:rPr>
        <w:t>au Protocole d’</w:t>
      </w:r>
      <w:r w:rsidR="000078DA" w:rsidRPr="002715F2">
        <w:rPr>
          <w:rFonts w:eastAsia="Batang"/>
          <w:iCs/>
          <w:lang w:val="fr-FR" w:eastAsia="ko-KR"/>
        </w:rPr>
        <w:t>Istanbul</w:t>
      </w:r>
      <w:r w:rsidR="000078DA" w:rsidRPr="002715F2">
        <w:rPr>
          <w:rFonts w:eastAsia="Batang"/>
          <w:lang w:val="fr-FR" w:eastAsia="ko-KR"/>
        </w:rPr>
        <w:t xml:space="preserve">. </w:t>
      </w:r>
      <w:r w:rsidR="00DE0981" w:rsidRPr="002715F2">
        <w:rPr>
          <w:rFonts w:eastAsia="Batang"/>
          <w:lang w:val="fr-FR" w:eastAsia="ko-KR"/>
        </w:rPr>
        <w:t xml:space="preserve">Ces </w:t>
      </w:r>
      <w:r w:rsidR="000078DA" w:rsidRPr="002715F2">
        <w:rPr>
          <w:rFonts w:eastAsia="Batang"/>
          <w:lang w:val="fr-FR" w:eastAsia="ko-KR"/>
        </w:rPr>
        <w:t xml:space="preserve">publications </w:t>
      </w:r>
      <w:r w:rsidR="00DE0981" w:rsidRPr="002715F2">
        <w:rPr>
          <w:rFonts w:eastAsia="Batang"/>
          <w:lang w:val="fr-FR" w:eastAsia="ko-KR"/>
        </w:rPr>
        <w:t xml:space="preserve">ont été </w:t>
      </w:r>
      <w:r w:rsidR="000D5F5D" w:rsidRPr="002715F2">
        <w:rPr>
          <w:rFonts w:eastAsia="Batang"/>
          <w:lang w:val="fr-FR" w:eastAsia="ko-KR"/>
        </w:rPr>
        <w:t>communiquées</w:t>
      </w:r>
      <w:r w:rsidR="00DE0981" w:rsidRPr="002715F2">
        <w:rPr>
          <w:rFonts w:eastAsia="Batang"/>
          <w:lang w:val="fr-FR" w:eastAsia="ko-KR"/>
        </w:rPr>
        <w:t xml:space="preserve"> aux </w:t>
      </w:r>
      <w:r w:rsidR="000A6EEE" w:rsidRPr="002715F2">
        <w:rPr>
          <w:rFonts w:eastAsia="Batang"/>
          <w:lang w:val="fr-FR" w:eastAsia="ko-KR"/>
        </w:rPr>
        <w:t>ON</w:t>
      </w:r>
      <w:r w:rsidR="000D5F5D" w:rsidRPr="002715F2">
        <w:rPr>
          <w:rFonts w:eastAsia="Batang"/>
          <w:lang w:val="fr-FR" w:eastAsia="ko-KR"/>
        </w:rPr>
        <w:t xml:space="preserve">G, </w:t>
      </w:r>
      <w:r w:rsidR="000A6EEE" w:rsidRPr="002715F2">
        <w:rPr>
          <w:rFonts w:eastAsia="Batang"/>
          <w:lang w:val="fr-FR" w:eastAsia="ko-KR"/>
        </w:rPr>
        <w:t>aux</w:t>
      </w:r>
      <w:r w:rsidR="000D5F5D" w:rsidRPr="002715F2">
        <w:rPr>
          <w:rFonts w:eastAsia="Batang"/>
          <w:lang w:val="fr-FR" w:eastAsia="ko-KR"/>
        </w:rPr>
        <w:t xml:space="preserve"> organisations médicales et judiciaires</w:t>
      </w:r>
      <w:r w:rsidR="00DE0981" w:rsidRPr="002715F2">
        <w:rPr>
          <w:rFonts w:eastAsia="Batang"/>
          <w:lang w:val="fr-FR" w:eastAsia="ko-KR"/>
        </w:rPr>
        <w:t xml:space="preserve"> et</w:t>
      </w:r>
      <w:r w:rsidR="000D5F5D" w:rsidRPr="002715F2">
        <w:rPr>
          <w:rFonts w:eastAsia="Batang"/>
          <w:lang w:val="fr-FR" w:eastAsia="ko-KR"/>
        </w:rPr>
        <w:t xml:space="preserve"> aux</w:t>
      </w:r>
      <w:r w:rsidR="00DE0981" w:rsidRPr="002715F2">
        <w:rPr>
          <w:rFonts w:eastAsia="Batang"/>
          <w:lang w:val="fr-FR" w:eastAsia="ko-KR"/>
        </w:rPr>
        <w:t xml:space="preserve"> universitaires</w:t>
      </w:r>
      <w:r w:rsidR="000078DA"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101.</w:t>
      </w:r>
      <w:r w:rsidRPr="002715F2">
        <w:rPr>
          <w:rFonts w:eastAsia="Batang"/>
          <w:lang w:val="fr-FR" w:eastAsia="ko-KR"/>
        </w:rPr>
        <w:tab/>
      </w:r>
      <w:r w:rsidR="00DE0981" w:rsidRPr="002715F2">
        <w:rPr>
          <w:rFonts w:eastAsia="Batang"/>
          <w:lang w:val="fr-FR" w:eastAsia="ko-KR"/>
        </w:rPr>
        <w:t xml:space="preserve">En 2010, afin de </w:t>
      </w:r>
      <w:r w:rsidR="00FA037C" w:rsidRPr="002715F2">
        <w:rPr>
          <w:rFonts w:eastAsia="Batang"/>
          <w:lang w:val="fr-FR" w:eastAsia="ko-KR"/>
        </w:rPr>
        <w:t>célébrer</w:t>
      </w:r>
      <w:r w:rsidR="00DE0981" w:rsidRPr="002715F2">
        <w:rPr>
          <w:rFonts w:eastAsia="Batang"/>
          <w:lang w:val="fr-FR" w:eastAsia="ko-KR"/>
        </w:rPr>
        <w:t xml:space="preserve"> la journée internationale des Nations Unies pour le soutien aux victimes de la torture</w:t>
      </w:r>
      <w:r w:rsidR="000078DA" w:rsidRPr="002715F2">
        <w:rPr>
          <w:rFonts w:eastAsia="Batang"/>
          <w:lang w:val="fr-FR" w:eastAsia="ko-KR"/>
        </w:rPr>
        <w:t xml:space="preserve">, </w:t>
      </w:r>
      <w:r w:rsidR="00DE0981" w:rsidRPr="002715F2">
        <w:rPr>
          <w:rFonts w:eastAsia="Batang"/>
          <w:lang w:val="fr-FR" w:eastAsia="ko-KR"/>
        </w:rPr>
        <w:t>l</w:t>
      </w:r>
      <w:r w:rsidR="00D83826" w:rsidRPr="002715F2">
        <w:rPr>
          <w:rFonts w:eastAsia="Batang"/>
          <w:lang w:val="fr-FR" w:eastAsia="ko-KR"/>
        </w:rPr>
        <w:t>a Commission nationale des droits de l’homme</w:t>
      </w:r>
      <w:r w:rsidR="000078DA" w:rsidRPr="002715F2">
        <w:rPr>
          <w:rFonts w:eastAsia="Batang"/>
          <w:lang w:val="fr-FR" w:eastAsia="ko-KR"/>
        </w:rPr>
        <w:t xml:space="preserve"> </w:t>
      </w:r>
      <w:r w:rsidR="00DE0981" w:rsidRPr="002715F2">
        <w:rPr>
          <w:rFonts w:eastAsia="Batang"/>
          <w:lang w:val="fr-FR" w:eastAsia="ko-KR"/>
        </w:rPr>
        <w:t xml:space="preserve">a invité le Conseil international de réadaptation pour </w:t>
      </w:r>
      <w:r w:rsidR="00FA037C" w:rsidRPr="002715F2">
        <w:rPr>
          <w:rFonts w:eastAsia="Batang"/>
          <w:lang w:val="fr-FR" w:eastAsia="ko-KR"/>
        </w:rPr>
        <w:t xml:space="preserve">les victimes de torture à participer au </w:t>
      </w:r>
      <w:r w:rsidR="00E97B1A" w:rsidRPr="002715F2">
        <w:rPr>
          <w:rFonts w:eastAsia="Batang"/>
          <w:lang w:val="fr-FR" w:eastAsia="ko-KR"/>
        </w:rPr>
        <w:t>«</w:t>
      </w:r>
      <w:r w:rsidR="00DE0981" w:rsidRPr="002715F2">
        <w:rPr>
          <w:rFonts w:eastAsia="Batang"/>
          <w:lang w:val="fr-FR" w:eastAsia="ko-KR"/>
        </w:rPr>
        <w:t>Symposium international sur l’</w:t>
      </w:r>
      <w:r w:rsidR="005C6D8E" w:rsidRPr="002715F2">
        <w:rPr>
          <w:rFonts w:eastAsia="Batang"/>
          <w:lang w:val="fr-FR" w:eastAsia="ko-KR"/>
        </w:rPr>
        <w:t>application</w:t>
      </w:r>
      <w:r w:rsidR="00DE0981" w:rsidRPr="002715F2">
        <w:rPr>
          <w:rFonts w:eastAsia="Batang"/>
          <w:lang w:val="fr-FR" w:eastAsia="ko-KR"/>
        </w:rPr>
        <w:t xml:space="preserve"> pratique du Protocole d’Istanbul en Corée</w:t>
      </w:r>
      <w:r w:rsidR="00E97B1A" w:rsidRPr="002715F2">
        <w:rPr>
          <w:rFonts w:eastAsia="Batang"/>
          <w:lang w:val="fr-FR" w:eastAsia="ko-KR"/>
        </w:rPr>
        <w:t>»</w:t>
      </w:r>
      <w:r w:rsidR="00DE0981" w:rsidRPr="002715F2">
        <w:rPr>
          <w:rFonts w:eastAsia="Batang"/>
          <w:lang w:val="fr-FR" w:eastAsia="ko-KR"/>
        </w:rPr>
        <w:t>.</w:t>
      </w:r>
    </w:p>
    <w:p w:rsidR="000078DA" w:rsidRPr="002715F2" w:rsidRDefault="00643BBE"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DE0981" w:rsidRPr="002715F2">
        <w:rPr>
          <w:rFonts w:eastAsia="Batang"/>
          <w:lang w:val="fr-FR" w:eastAsia="ko-KR"/>
        </w:rPr>
        <w:t xml:space="preserve">Réponse aux questions soulevées au </w:t>
      </w:r>
      <w:r w:rsidR="00474481" w:rsidRPr="002715F2">
        <w:rPr>
          <w:rFonts w:eastAsia="Batang"/>
          <w:lang w:val="fr-FR" w:eastAsia="ko-KR"/>
        </w:rPr>
        <w:t xml:space="preserve">paragraphe </w:t>
      </w:r>
      <w:r w:rsidR="00DE0981" w:rsidRPr="002715F2">
        <w:rPr>
          <w:rFonts w:eastAsia="Batang"/>
          <w:lang w:val="fr-FR" w:eastAsia="ko-KR"/>
        </w:rPr>
        <w:t>17</w:t>
      </w:r>
    </w:p>
    <w:p w:rsidR="000078DA" w:rsidRPr="002715F2" w:rsidRDefault="007026FB" w:rsidP="007026FB">
      <w:pPr>
        <w:pStyle w:val="SingleTxtG"/>
        <w:rPr>
          <w:rFonts w:eastAsia="Batang"/>
          <w:lang w:val="fr-FR" w:eastAsia="ko-KR"/>
        </w:rPr>
      </w:pPr>
      <w:r w:rsidRPr="002715F2">
        <w:rPr>
          <w:rFonts w:eastAsia="Batang"/>
          <w:lang w:val="fr-FR" w:eastAsia="ko-KR"/>
        </w:rPr>
        <w:t>102.</w:t>
      </w:r>
      <w:r w:rsidRPr="002715F2">
        <w:rPr>
          <w:rFonts w:eastAsia="Batang"/>
          <w:lang w:val="fr-FR" w:eastAsia="ko-KR"/>
        </w:rPr>
        <w:tab/>
      </w:r>
      <w:r w:rsidR="00DE0981" w:rsidRPr="002715F2">
        <w:rPr>
          <w:rFonts w:eastAsia="Batang"/>
          <w:lang w:val="fr-FR" w:eastAsia="ko-KR"/>
        </w:rPr>
        <w:t xml:space="preserve">Afin de prévenir la traite des êtres humains à des fins d’exploitation sexuelle, </w:t>
      </w:r>
      <w:r w:rsidR="00376F1F" w:rsidRPr="002715F2">
        <w:rPr>
          <w:rFonts w:eastAsia="Batang"/>
          <w:lang w:val="fr-FR" w:eastAsia="ko-KR"/>
        </w:rPr>
        <w:t>le Gouvernement</w:t>
      </w:r>
      <w:r w:rsidR="00DE0981" w:rsidRPr="002715F2">
        <w:rPr>
          <w:rFonts w:eastAsia="Batang"/>
          <w:lang w:val="fr-FR" w:eastAsia="ko-KR"/>
        </w:rPr>
        <w:t xml:space="preserve"> a élaboré et diffusé des </w:t>
      </w:r>
      <w:r w:rsidR="00376F1F" w:rsidRPr="002715F2">
        <w:rPr>
          <w:rFonts w:eastAsia="Batang"/>
          <w:lang w:val="fr-FR" w:eastAsia="ko-KR"/>
        </w:rPr>
        <w:t>matériels</w:t>
      </w:r>
      <w:r w:rsidR="00DE0981" w:rsidRPr="002715F2">
        <w:rPr>
          <w:rFonts w:eastAsia="Batang"/>
          <w:lang w:val="fr-FR" w:eastAsia="ko-KR"/>
        </w:rPr>
        <w:t xml:space="preserve"> </w:t>
      </w:r>
      <w:r w:rsidR="00376F1F" w:rsidRPr="002715F2">
        <w:rPr>
          <w:rFonts w:eastAsia="Batang"/>
          <w:lang w:val="fr-FR" w:eastAsia="ko-KR"/>
        </w:rPr>
        <w:t>didactiques</w:t>
      </w:r>
      <w:r w:rsidR="00DE0981" w:rsidRPr="002715F2">
        <w:rPr>
          <w:rFonts w:eastAsia="Batang"/>
          <w:lang w:val="fr-FR" w:eastAsia="ko-KR"/>
        </w:rPr>
        <w:t xml:space="preserve">, et formé des </w:t>
      </w:r>
      <w:r w:rsidR="00376F1F" w:rsidRPr="002715F2">
        <w:rPr>
          <w:rFonts w:eastAsia="Batang"/>
          <w:lang w:val="fr-FR" w:eastAsia="ko-KR"/>
        </w:rPr>
        <w:t>instructeurs</w:t>
      </w:r>
      <w:r w:rsidR="00DE0981" w:rsidRPr="002715F2">
        <w:rPr>
          <w:rFonts w:eastAsia="Batang"/>
          <w:lang w:val="fr-FR" w:eastAsia="ko-KR"/>
        </w:rPr>
        <w:t>.</w:t>
      </w:r>
      <w:r w:rsidR="000078DA" w:rsidRPr="002715F2">
        <w:rPr>
          <w:rFonts w:eastAsia="Batang"/>
          <w:lang w:val="fr-FR" w:eastAsia="ko-KR"/>
        </w:rPr>
        <w:t xml:space="preserve"> </w:t>
      </w:r>
      <w:r w:rsidR="00DE0981" w:rsidRPr="002715F2">
        <w:rPr>
          <w:rFonts w:eastAsia="Batang"/>
          <w:lang w:val="fr-FR" w:eastAsia="ko-KR"/>
        </w:rPr>
        <w:t xml:space="preserve">Ainsi, </w:t>
      </w:r>
      <w:r w:rsidR="00906A48" w:rsidRPr="002715F2">
        <w:rPr>
          <w:rFonts w:eastAsia="Batang"/>
          <w:lang w:val="fr-FR" w:eastAsia="ko-KR"/>
        </w:rPr>
        <w:t>au</w:t>
      </w:r>
      <w:r w:rsidR="00DE0981" w:rsidRPr="002715F2">
        <w:rPr>
          <w:rFonts w:eastAsia="Batang"/>
          <w:lang w:val="fr-FR" w:eastAsia="ko-KR"/>
        </w:rPr>
        <w:t xml:space="preserve"> 31 décembre</w:t>
      </w:r>
      <w:r w:rsidR="000078DA" w:rsidRPr="002715F2">
        <w:rPr>
          <w:rFonts w:eastAsia="Batang"/>
          <w:lang w:val="fr-FR" w:eastAsia="ko-KR"/>
        </w:rPr>
        <w:t xml:space="preserve"> 2015, </w:t>
      </w:r>
      <w:r w:rsidR="00376F1F" w:rsidRPr="002715F2">
        <w:rPr>
          <w:rFonts w:eastAsia="Batang"/>
          <w:lang w:val="fr-FR" w:eastAsia="ko-KR"/>
        </w:rPr>
        <w:t>il</w:t>
      </w:r>
      <w:r w:rsidR="00BE4A41" w:rsidRPr="002715F2">
        <w:rPr>
          <w:rFonts w:eastAsia="Batang"/>
          <w:lang w:val="fr-FR" w:eastAsia="ko-KR"/>
        </w:rPr>
        <w:t xml:space="preserve"> </w:t>
      </w:r>
      <w:r w:rsidR="00DE0981" w:rsidRPr="002715F2">
        <w:rPr>
          <w:rFonts w:eastAsia="Batang"/>
          <w:lang w:val="fr-FR" w:eastAsia="ko-KR"/>
        </w:rPr>
        <w:t xml:space="preserve">avait formé </w:t>
      </w:r>
      <w:r w:rsidR="000078DA" w:rsidRPr="002715F2">
        <w:rPr>
          <w:rFonts w:eastAsia="Batang"/>
          <w:lang w:val="fr-FR" w:eastAsia="ko-KR"/>
        </w:rPr>
        <w:t>325</w:t>
      </w:r>
      <w:r w:rsidR="00DE0981" w:rsidRPr="002715F2">
        <w:rPr>
          <w:rFonts w:eastAsia="Batang"/>
          <w:lang w:val="fr-FR" w:eastAsia="ko-KR"/>
        </w:rPr>
        <w:t> </w:t>
      </w:r>
      <w:r w:rsidR="00376F1F" w:rsidRPr="002715F2">
        <w:rPr>
          <w:rFonts w:eastAsia="Batang"/>
          <w:lang w:val="fr-FR" w:eastAsia="ko-KR"/>
        </w:rPr>
        <w:t>instructeurs</w:t>
      </w:r>
      <w:r w:rsidR="00DE0981" w:rsidRPr="002715F2">
        <w:rPr>
          <w:rFonts w:eastAsia="Batang"/>
          <w:lang w:val="fr-FR" w:eastAsia="ko-KR"/>
        </w:rPr>
        <w:t xml:space="preserve"> </w:t>
      </w:r>
      <w:r w:rsidR="00376F1F" w:rsidRPr="002715F2">
        <w:rPr>
          <w:rFonts w:eastAsia="Batang"/>
          <w:lang w:val="fr-FR" w:eastAsia="ko-KR"/>
        </w:rPr>
        <w:t>chargés de dispenser une éducation préventive en la matière</w:t>
      </w:r>
      <w:r w:rsidR="000078DA" w:rsidRPr="002715F2">
        <w:rPr>
          <w:rFonts w:eastAsia="Batang"/>
          <w:lang w:val="fr-FR" w:eastAsia="ko-KR"/>
        </w:rPr>
        <w:t xml:space="preserve">. </w:t>
      </w:r>
      <w:r w:rsidR="00DE0981" w:rsidRPr="002715F2">
        <w:rPr>
          <w:rFonts w:eastAsia="Batang"/>
          <w:lang w:val="fr-FR" w:eastAsia="ko-KR"/>
        </w:rPr>
        <w:t>Entre</w:t>
      </w:r>
      <w:r w:rsidR="000078DA" w:rsidRPr="002715F2">
        <w:rPr>
          <w:rFonts w:eastAsia="Batang"/>
          <w:lang w:val="fr-FR" w:eastAsia="ko-KR"/>
        </w:rPr>
        <w:t xml:space="preserve"> 2008 </w:t>
      </w:r>
      <w:r w:rsidR="00DE0981" w:rsidRPr="002715F2">
        <w:rPr>
          <w:rFonts w:eastAsia="Batang"/>
          <w:lang w:val="fr-FR" w:eastAsia="ko-KR"/>
        </w:rPr>
        <w:t xml:space="preserve">et </w:t>
      </w:r>
      <w:r w:rsidR="000078DA" w:rsidRPr="002715F2">
        <w:rPr>
          <w:rFonts w:eastAsia="Batang"/>
          <w:lang w:val="fr-FR" w:eastAsia="ko-KR"/>
        </w:rPr>
        <w:t xml:space="preserve">2015, </w:t>
      </w:r>
      <w:r w:rsidR="00376F1F" w:rsidRPr="002715F2">
        <w:rPr>
          <w:rFonts w:eastAsia="Batang"/>
          <w:lang w:val="fr-FR" w:eastAsia="ko-KR"/>
        </w:rPr>
        <w:t>environ 2 </w:t>
      </w:r>
      <w:r w:rsidR="00474481" w:rsidRPr="002715F2">
        <w:rPr>
          <w:rFonts w:eastAsia="Batang"/>
          <w:lang w:val="fr-FR" w:eastAsia="ko-KR"/>
        </w:rPr>
        <w:t> 600 </w:t>
      </w:r>
      <w:r w:rsidR="00DE0981" w:rsidRPr="002715F2">
        <w:rPr>
          <w:rFonts w:eastAsia="Batang"/>
          <w:lang w:val="fr-FR" w:eastAsia="ko-KR"/>
        </w:rPr>
        <w:t xml:space="preserve">agents de la </w:t>
      </w:r>
      <w:r w:rsidR="005C6D8E" w:rsidRPr="002715F2">
        <w:rPr>
          <w:rFonts w:eastAsia="Batang"/>
          <w:lang w:val="fr-FR" w:eastAsia="ko-KR"/>
        </w:rPr>
        <w:t>prévention</w:t>
      </w:r>
      <w:r w:rsidR="00DE0981" w:rsidRPr="002715F2">
        <w:rPr>
          <w:rFonts w:eastAsia="Batang"/>
          <w:lang w:val="fr-FR" w:eastAsia="ko-KR"/>
        </w:rPr>
        <w:t xml:space="preserve"> </w:t>
      </w:r>
      <w:r w:rsidR="00815872" w:rsidRPr="002715F2">
        <w:rPr>
          <w:rFonts w:eastAsia="Batang"/>
          <w:lang w:val="fr-FR" w:eastAsia="ko-KR"/>
        </w:rPr>
        <w:t>contre</w:t>
      </w:r>
      <w:r w:rsidR="000372B7" w:rsidRPr="002715F2">
        <w:rPr>
          <w:rFonts w:eastAsia="Batang"/>
          <w:lang w:val="fr-FR" w:eastAsia="ko-KR"/>
        </w:rPr>
        <w:t xml:space="preserve"> ce </w:t>
      </w:r>
      <w:r w:rsidR="00376F1F" w:rsidRPr="002715F2">
        <w:rPr>
          <w:rFonts w:eastAsia="Batang"/>
          <w:lang w:val="fr-FR" w:eastAsia="ko-KR"/>
        </w:rPr>
        <w:t>type de traite</w:t>
      </w:r>
      <w:r w:rsidR="00DE0981" w:rsidRPr="002715F2">
        <w:rPr>
          <w:rFonts w:eastAsia="Batang"/>
          <w:lang w:val="fr-FR" w:eastAsia="ko-KR"/>
        </w:rPr>
        <w:t xml:space="preserve"> avaient</w:t>
      </w:r>
      <w:r w:rsidR="00BE4A41" w:rsidRPr="002715F2">
        <w:rPr>
          <w:rFonts w:eastAsia="Batang"/>
          <w:lang w:val="fr-FR" w:eastAsia="ko-KR"/>
        </w:rPr>
        <w:t xml:space="preserve"> également</w:t>
      </w:r>
      <w:r w:rsidR="00DE0981" w:rsidRPr="002715F2">
        <w:rPr>
          <w:rFonts w:eastAsia="Batang"/>
          <w:lang w:val="fr-FR" w:eastAsia="ko-KR"/>
        </w:rPr>
        <w:t xml:space="preserve"> été formés</w:t>
      </w:r>
      <w:r w:rsidR="000078DA" w:rsidRPr="002715F2">
        <w:rPr>
          <w:rFonts w:eastAsia="Batang"/>
          <w:lang w:val="fr-FR" w:eastAsia="ko-KR"/>
        </w:rPr>
        <w:t xml:space="preserve">, </w:t>
      </w:r>
      <w:r w:rsidR="00DE0981" w:rsidRPr="002715F2">
        <w:rPr>
          <w:rFonts w:eastAsia="Batang"/>
          <w:lang w:val="fr-FR" w:eastAsia="ko-KR"/>
        </w:rPr>
        <w:t>y compr</w:t>
      </w:r>
      <w:r w:rsidR="000372B7" w:rsidRPr="002715F2">
        <w:rPr>
          <w:rFonts w:eastAsia="Batang"/>
          <w:lang w:val="fr-FR" w:eastAsia="ko-KR"/>
        </w:rPr>
        <w:t>i</w:t>
      </w:r>
      <w:r w:rsidR="00DE0981" w:rsidRPr="002715F2">
        <w:rPr>
          <w:rFonts w:eastAsia="Batang"/>
          <w:lang w:val="fr-FR" w:eastAsia="ko-KR"/>
        </w:rPr>
        <w:t xml:space="preserve">s des </w:t>
      </w:r>
      <w:r w:rsidR="005C6D8E" w:rsidRPr="002715F2">
        <w:rPr>
          <w:rFonts w:eastAsia="Batang"/>
          <w:lang w:val="fr-FR" w:eastAsia="ko-KR"/>
        </w:rPr>
        <w:t>fonctionnaires</w:t>
      </w:r>
      <w:r w:rsidR="00DE0981" w:rsidRPr="002715F2">
        <w:rPr>
          <w:rFonts w:eastAsia="Batang"/>
          <w:lang w:val="fr-FR" w:eastAsia="ko-KR"/>
        </w:rPr>
        <w:t xml:space="preserve"> de</w:t>
      </w:r>
      <w:r w:rsidR="00376F1F" w:rsidRPr="002715F2">
        <w:rPr>
          <w:rFonts w:eastAsia="Batang"/>
          <w:lang w:val="fr-FR" w:eastAsia="ko-KR"/>
        </w:rPr>
        <w:t xml:space="preserve"> la</w:t>
      </w:r>
      <w:r w:rsidR="00DE0981" w:rsidRPr="002715F2">
        <w:rPr>
          <w:rFonts w:eastAsia="Batang"/>
          <w:lang w:val="fr-FR" w:eastAsia="ko-KR"/>
        </w:rPr>
        <w:t xml:space="preserve"> police et des administrations locales</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103.</w:t>
      </w:r>
      <w:r w:rsidRPr="002715F2">
        <w:rPr>
          <w:rFonts w:eastAsia="Batang"/>
          <w:lang w:val="fr-FR" w:eastAsia="ko-KR"/>
        </w:rPr>
        <w:tab/>
      </w:r>
      <w:r w:rsidR="000372B7" w:rsidRPr="002715F2">
        <w:rPr>
          <w:rFonts w:eastAsia="Batang"/>
          <w:lang w:val="fr-FR" w:eastAsia="ko-KR"/>
        </w:rPr>
        <w:t xml:space="preserve">Entre </w:t>
      </w:r>
      <w:r w:rsidR="000078DA" w:rsidRPr="002715F2">
        <w:rPr>
          <w:rFonts w:eastAsia="Batang"/>
          <w:lang w:val="fr-FR" w:eastAsia="ko-KR"/>
        </w:rPr>
        <w:t xml:space="preserve">2008 </w:t>
      </w:r>
      <w:r w:rsidR="000372B7" w:rsidRPr="002715F2">
        <w:rPr>
          <w:rFonts w:eastAsia="Batang"/>
          <w:lang w:val="fr-FR" w:eastAsia="ko-KR"/>
        </w:rPr>
        <w:t>et</w:t>
      </w:r>
      <w:r w:rsidR="000078DA" w:rsidRPr="002715F2">
        <w:rPr>
          <w:rFonts w:eastAsia="Batang"/>
          <w:lang w:val="fr-FR" w:eastAsia="ko-KR"/>
        </w:rPr>
        <w:t xml:space="preserve"> 2012, </w:t>
      </w:r>
      <w:r w:rsidR="00BE4A41" w:rsidRPr="002715F2">
        <w:rPr>
          <w:rFonts w:eastAsia="Batang"/>
          <w:lang w:val="fr-FR" w:eastAsia="ko-KR"/>
        </w:rPr>
        <w:t xml:space="preserve">de grands affichages électroniques et des </w:t>
      </w:r>
      <w:r w:rsidR="00250784" w:rsidRPr="002715F2">
        <w:rPr>
          <w:rFonts w:eastAsia="Batang"/>
          <w:lang w:val="fr-FR" w:eastAsia="ko-KR"/>
        </w:rPr>
        <w:t>annonces</w:t>
      </w:r>
      <w:r w:rsidR="00BE4A41" w:rsidRPr="002715F2">
        <w:rPr>
          <w:rFonts w:eastAsia="Batang"/>
          <w:lang w:val="fr-FR" w:eastAsia="ko-KR"/>
        </w:rPr>
        <w:t xml:space="preserve"> ont été placés dans le métro afin de renforcer la prise de conscience du </w:t>
      </w:r>
      <w:r w:rsidR="000372B7" w:rsidRPr="002715F2">
        <w:rPr>
          <w:rFonts w:eastAsia="Batang"/>
          <w:lang w:val="fr-FR" w:eastAsia="ko-KR"/>
        </w:rPr>
        <w:t xml:space="preserve">caractère </w:t>
      </w:r>
      <w:r w:rsidR="005C6D8E" w:rsidRPr="002715F2">
        <w:rPr>
          <w:rFonts w:eastAsia="Batang"/>
          <w:lang w:val="fr-FR" w:eastAsia="ko-KR"/>
        </w:rPr>
        <w:t>illégal</w:t>
      </w:r>
      <w:r w:rsidR="00F85F53" w:rsidRPr="002715F2">
        <w:rPr>
          <w:rFonts w:eastAsia="Batang"/>
          <w:lang w:val="fr-FR" w:eastAsia="ko-KR"/>
        </w:rPr>
        <w:t xml:space="preserve"> de</w:t>
      </w:r>
      <w:r w:rsidR="00BE4A41" w:rsidRPr="002715F2">
        <w:rPr>
          <w:rFonts w:eastAsia="Batang"/>
          <w:lang w:val="fr-FR" w:eastAsia="ko-KR"/>
        </w:rPr>
        <w:t xml:space="preserve"> la</w:t>
      </w:r>
      <w:r w:rsidR="00F85F53" w:rsidRPr="002715F2">
        <w:rPr>
          <w:rFonts w:eastAsia="Batang"/>
          <w:lang w:val="fr-FR" w:eastAsia="ko-KR"/>
        </w:rPr>
        <w:t xml:space="preserve"> traite des êtres humains</w:t>
      </w:r>
      <w:r w:rsidR="00BE4A41" w:rsidRPr="002715F2">
        <w:rPr>
          <w:rFonts w:eastAsia="Batang"/>
          <w:lang w:val="fr-FR" w:eastAsia="ko-KR"/>
        </w:rPr>
        <w:t xml:space="preserve"> </w:t>
      </w:r>
      <w:r w:rsidR="0020437F" w:rsidRPr="002715F2">
        <w:rPr>
          <w:rFonts w:eastAsia="Batang"/>
          <w:lang w:val="fr-FR" w:eastAsia="ko-KR"/>
        </w:rPr>
        <w:t>aux</w:t>
      </w:r>
      <w:r w:rsidR="00BE4A41" w:rsidRPr="002715F2">
        <w:rPr>
          <w:rFonts w:eastAsia="Batang"/>
          <w:lang w:val="fr-FR" w:eastAsia="ko-KR"/>
        </w:rPr>
        <w:t xml:space="preserve"> fins d’exploitation sexue</w:t>
      </w:r>
      <w:r w:rsidR="00F04EBF" w:rsidRPr="002715F2">
        <w:rPr>
          <w:rFonts w:eastAsia="Batang"/>
          <w:lang w:val="fr-FR" w:eastAsia="ko-KR"/>
        </w:rPr>
        <w:t>ll</w:t>
      </w:r>
      <w:r w:rsidR="00BE4A41" w:rsidRPr="002715F2">
        <w:rPr>
          <w:rFonts w:eastAsia="Batang"/>
          <w:lang w:val="fr-FR" w:eastAsia="ko-KR"/>
        </w:rPr>
        <w:t>e</w:t>
      </w:r>
      <w:r w:rsidR="000078DA" w:rsidRPr="002715F2">
        <w:rPr>
          <w:rFonts w:eastAsia="Batang"/>
          <w:lang w:val="fr-FR" w:eastAsia="ko-KR"/>
        </w:rPr>
        <w:t xml:space="preserve">. </w:t>
      </w:r>
      <w:r w:rsidR="00BE4A41" w:rsidRPr="002715F2">
        <w:rPr>
          <w:rFonts w:eastAsia="Batang"/>
          <w:lang w:val="fr-FR" w:eastAsia="ko-KR"/>
        </w:rPr>
        <w:t>Depuis</w:t>
      </w:r>
      <w:r w:rsidR="000078DA" w:rsidRPr="002715F2">
        <w:rPr>
          <w:rFonts w:eastAsia="Batang"/>
          <w:lang w:val="fr-FR" w:eastAsia="ko-KR"/>
        </w:rPr>
        <w:t xml:space="preserve"> 2011, </w:t>
      </w:r>
      <w:r w:rsidR="00F04EBF" w:rsidRPr="002715F2">
        <w:rPr>
          <w:rFonts w:eastAsia="Batang"/>
          <w:lang w:val="fr-FR" w:eastAsia="ko-KR"/>
        </w:rPr>
        <w:t xml:space="preserve">une campagne de </w:t>
      </w:r>
      <w:r w:rsidR="005C6D8E" w:rsidRPr="002715F2">
        <w:rPr>
          <w:rFonts w:eastAsia="Batang"/>
          <w:lang w:val="fr-FR" w:eastAsia="ko-KR"/>
        </w:rPr>
        <w:t>lutte</w:t>
      </w:r>
      <w:r w:rsidR="00F04EBF" w:rsidRPr="002715F2">
        <w:rPr>
          <w:rFonts w:eastAsia="Batang"/>
          <w:lang w:val="fr-FR" w:eastAsia="ko-KR"/>
        </w:rPr>
        <w:t xml:space="preserve"> contre </w:t>
      </w:r>
      <w:r w:rsidR="00250784" w:rsidRPr="002715F2">
        <w:rPr>
          <w:rFonts w:eastAsia="Batang"/>
          <w:lang w:val="fr-FR" w:eastAsia="ko-KR"/>
        </w:rPr>
        <w:t>cette forme de</w:t>
      </w:r>
      <w:r w:rsidR="00F04EBF" w:rsidRPr="002715F2">
        <w:rPr>
          <w:rFonts w:eastAsia="Batang"/>
          <w:lang w:val="fr-FR" w:eastAsia="ko-KR"/>
        </w:rPr>
        <w:t xml:space="preserve"> traite est menée chaque année</w:t>
      </w:r>
      <w:r w:rsidR="00250784" w:rsidRPr="002715F2">
        <w:rPr>
          <w:rFonts w:eastAsia="Batang"/>
          <w:lang w:val="fr-FR" w:eastAsia="ko-KR"/>
        </w:rPr>
        <w:t xml:space="preserve"> afin d’</w:t>
      </w:r>
      <w:r w:rsidR="00F04EBF" w:rsidRPr="002715F2">
        <w:rPr>
          <w:rFonts w:eastAsia="Batang"/>
          <w:lang w:val="fr-FR" w:eastAsia="ko-KR"/>
        </w:rPr>
        <w:t xml:space="preserve">aider la population à prendre conscience que </w:t>
      </w:r>
      <w:r w:rsidR="00250784" w:rsidRPr="002715F2">
        <w:rPr>
          <w:rFonts w:eastAsia="Batang"/>
          <w:lang w:val="fr-FR" w:eastAsia="ko-KR"/>
        </w:rPr>
        <w:t>celle-ci</w:t>
      </w:r>
      <w:r w:rsidR="00F04EBF" w:rsidRPr="002715F2">
        <w:rPr>
          <w:rFonts w:eastAsia="Batang"/>
          <w:lang w:val="fr-FR" w:eastAsia="ko-KR"/>
        </w:rPr>
        <w:t xml:space="preserve"> est illégale et </w:t>
      </w:r>
      <w:r w:rsidR="00250784" w:rsidRPr="002715F2">
        <w:rPr>
          <w:rFonts w:eastAsia="Batang"/>
          <w:lang w:val="fr-FR" w:eastAsia="ko-KR"/>
        </w:rPr>
        <w:t>contraire aux</w:t>
      </w:r>
      <w:r w:rsidR="00F04EBF" w:rsidRPr="002715F2">
        <w:rPr>
          <w:rFonts w:eastAsia="Batang"/>
          <w:lang w:val="fr-FR" w:eastAsia="ko-KR"/>
        </w:rPr>
        <w:t xml:space="preserve"> droits de l’homme</w:t>
      </w:r>
      <w:r w:rsidR="000078DA" w:rsidRPr="002715F2">
        <w:rPr>
          <w:rFonts w:eastAsia="Batang"/>
          <w:lang w:val="fr-FR" w:eastAsia="ko-KR"/>
        </w:rPr>
        <w:t xml:space="preserve">. </w:t>
      </w:r>
      <w:r w:rsidR="00F04EBF" w:rsidRPr="002715F2">
        <w:rPr>
          <w:rFonts w:eastAsia="Batang"/>
          <w:lang w:val="fr-FR" w:eastAsia="ko-KR"/>
        </w:rPr>
        <w:t>En</w:t>
      </w:r>
      <w:r w:rsidR="00250784" w:rsidRPr="002715F2">
        <w:rPr>
          <w:rFonts w:eastAsia="Batang"/>
          <w:lang w:val="fr-FR" w:eastAsia="ko-KR"/>
        </w:rPr>
        <w:t xml:space="preserve"> 2015,</w:t>
      </w:r>
      <w:r w:rsidR="00F04EBF" w:rsidRPr="002715F2">
        <w:rPr>
          <w:rFonts w:eastAsia="Batang"/>
          <w:lang w:val="fr-FR" w:eastAsia="ko-KR"/>
        </w:rPr>
        <w:t xml:space="preserve"> </w:t>
      </w:r>
      <w:r w:rsidR="00250784" w:rsidRPr="002715F2">
        <w:rPr>
          <w:rFonts w:eastAsia="Batang"/>
          <w:lang w:val="fr-FR" w:eastAsia="ko-KR"/>
        </w:rPr>
        <w:t xml:space="preserve">une </w:t>
      </w:r>
      <w:r w:rsidR="00E97B1A" w:rsidRPr="002715F2">
        <w:rPr>
          <w:rFonts w:eastAsia="Batang"/>
          <w:lang w:val="fr-FR" w:eastAsia="ko-KR"/>
        </w:rPr>
        <w:t>«</w:t>
      </w:r>
      <w:r w:rsidR="00F04EBF" w:rsidRPr="002715F2">
        <w:rPr>
          <w:rFonts w:eastAsia="Batang"/>
          <w:lang w:val="fr-FR" w:eastAsia="ko-KR"/>
        </w:rPr>
        <w:t>Semaine d’éradication de la traite des êtres humains à des fins d’exploitation sexuelle</w:t>
      </w:r>
      <w:r w:rsidR="00E97B1A" w:rsidRPr="002715F2">
        <w:rPr>
          <w:rFonts w:eastAsia="Batang"/>
          <w:lang w:val="fr-FR" w:eastAsia="ko-KR"/>
        </w:rPr>
        <w:t>»</w:t>
      </w:r>
      <w:r w:rsidR="00F04EBF" w:rsidRPr="002715F2">
        <w:rPr>
          <w:rFonts w:eastAsia="Batang"/>
          <w:lang w:val="fr-FR" w:eastAsia="ko-KR"/>
        </w:rPr>
        <w:t xml:space="preserve"> </w:t>
      </w:r>
      <w:r w:rsidR="00250784" w:rsidRPr="002715F2">
        <w:rPr>
          <w:rFonts w:eastAsia="Batang"/>
          <w:lang w:val="fr-FR" w:eastAsia="ko-KR"/>
        </w:rPr>
        <w:t xml:space="preserve">a été décrétée du 19 au 25 septembre </w:t>
      </w:r>
      <w:r w:rsidR="00A20E49" w:rsidRPr="002715F2">
        <w:rPr>
          <w:rFonts w:eastAsia="Batang"/>
          <w:lang w:val="fr-FR" w:eastAsia="ko-KR"/>
        </w:rPr>
        <w:t xml:space="preserve">pour </w:t>
      </w:r>
      <w:r w:rsidR="00F04EBF" w:rsidRPr="002715F2">
        <w:rPr>
          <w:rFonts w:eastAsia="Batang"/>
          <w:lang w:val="fr-FR" w:eastAsia="ko-KR"/>
        </w:rPr>
        <w:t xml:space="preserve">sensibiliser le public </w:t>
      </w:r>
      <w:r w:rsidR="00BE018B" w:rsidRPr="002715F2">
        <w:rPr>
          <w:rFonts w:eastAsia="Batang"/>
          <w:lang w:val="fr-FR" w:eastAsia="ko-KR"/>
        </w:rPr>
        <w:t>contre</w:t>
      </w:r>
      <w:r w:rsidR="00F04EBF" w:rsidRPr="002715F2">
        <w:rPr>
          <w:rFonts w:eastAsia="Batang"/>
          <w:lang w:val="fr-FR" w:eastAsia="ko-KR"/>
        </w:rPr>
        <w:t xml:space="preserve"> ce type d’</w:t>
      </w:r>
      <w:r w:rsidR="005C6D8E" w:rsidRPr="002715F2">
        <w:rPr>
          <w:rFonts w:eastAsia="Batang"/>
          <w:lang w:val="fr-FR" w:eastAsia="ko-KR"/>
        </w:rPr>
        <w:t>exploitation</w:t>
      </w:r>
      <w:r w:rsidR="00F04EBF" w:rsidRPr="002715F2">
        <w:rPr>
          <w:rFonts w:eastAsia="Batang"/>
          <w:lang w:val="fr-FR" w:eastAsia="ko-KR"/>
        </w:rPr>
        <w:t xml:space="preserve"> et prévenir les crimes </w:t>
      </w:r>
      <w:r w:rsidR="00D90C55" w:rsidRPr="002715F2">
        <w:rPr>
          <w:rFonts w:eastAsia="Batang"/>
          <w:lang w:val="fr-FR" w:eastAsia="ko-KR"/>
        </w:rPr>
        <w:t>qui en découlent</w:t>
      </w:r>
      <w:r w:rsidR="000078DA" w:rsidRPr="002715F2">
        <w:rPr>
          <w:rFonts w:eastAsia="Batang"/>
          <w:lang w:val="fr-FR" w:eastAsia="ko-KR"/>
        </w:rPr>
        <w:t xml:space="preserve">. </w:t>
      </w:r>
      <w:r w:rsidR="00F04EBF" w:rsidRPr="002715F2">
        <w:rPr>
          <w:rFonts w:eastAsia="Batang"/>
          <w:lang w:val="fr-FR" w:eastAsia="ko-KR"/>
        </w:rPr>
        <w:t>Au cours de cette semaine, diverses activités de sensibilisation, notamment des cérémonies de célébration</w:t>
      </w:r>
      <w:r w:rsidR="00A20E49" w:rsidRPr="002715F2">
        <w:rPr>
          <w:rFonts w:eastAsia="Batang"/>
          <w:lang w:val="fr-FR" w:eastAsia="ko-KR"/>
        </w:rPr>
        <w:t xml:space="preserve"> et</w:t>
      </w:r>
      <w:r w:rsidR="00F04EBF" w:rsidRPr="002715F2">
        <w:rPr>
          <w:rFonts w:eastAsia="Batang"/>
          <w:lang w:val="fr-FR" w:eastAsia="ko-KR"/>
        </w:rPr>
        <w:t xml:space="preserve"> des campagnes</w:t>
      </w:r>
      <w:r w:rsidR="00156C88" w:rsidRPr="002715F2">
        <w:rPr>
          <w:rFonts w:eastAsia="Batang"/>
          <w:lang w:val="fr-FR" w:eastAsia="ko-KR"/>
        </w:rPr>
        <w:t xml:space="preserve"> d’information</w:t>
      </w:r>
      <w:r w:rsidR="00F04EBF" w:rsidRPr="002715F2">
        <w:rPr>
          <w:rFonts w:eastAsia="Batang"/>
          <w:lang w:val="fr-FR" w:eastAsia="ko-KR"/>
        </w:rPr>
        <w:t xml:space="preserve"> ont été </w:t>
      </w:r>
      <w:r w:rsidR="00D90C55" w:rsidRPr="002715F2">
        <w:rPr>
          <w:rFonts w:eastAsia="Batang"/>
          <w:lang w:val="fr-FR" w:eastAsia="ko-KR"/>
        </w:rPr>
        <w:t>organisé</w:t>
      </w:r>
      <w:r w:rsidR="00984C16" w:rsidRPr="002715F2">
        <w:rPr>
          <w:rFonts w:eastAsia="Batang"/>
          <w:lang w:val="fr-FR" w:eastAsia="ko-KR"/>
        </w:rPr>
        <w:t>e</w:t>
      </w:r>
      <w:r w:rsidR="00D90C55" w:rsidRPr="002715F2">
        <w:rPr>
          <w:rFonts w:eastAsia="Batang"/>
          <w:lang w:val="fr-FR" w:eastAsia="ko-KR"/>
        </w:rPr>
        <w:t>s</w:t>
      </w:r>
      <w:r w:rsidR="00F04EBF" w:rsidRPr="002715F2">
        <w:rPr>
          <w:rFonts w:eastAsia="Batang"/>
          <w:lang w:val="fr-FR" w:eastAsia="ko-KR"/>
        </w:rPr>
        <w:t xml:space="preserve"> </w:t>
      </w:r>
      <w:r w:rsidR="00BE018B" w:rsidRPr="002715F2">
        <w:rPr>
          <w:rFonts w:eastAsia="Batang"/>
          <w:lang w:val="fr-FR" w:eastAsia="ko-KR"/>
        </w:rPr>
        <w:t>sur</w:t>
      </w:r>
      <w:r w:rsidR="00D90C55" w:rsidRPr="002715F2">
        <w:rPr>
          <w:rFonts w:eastAsia="Batang"/>
          <w:lang w:val="fr-FR" w:eastAsia="ko-KR"/>
        </w:rPr>
        <w:t xml:space="preserve"> ce thème</w:t>
      </w:r>
      <w:r w:rsidR="00BE018B" w:rsidRPr="002715F2">
        <w:rPr>
          <w:rFonts w:eastAsia="Batang"/>
          <w:lang w:val="fr-FR" w:eastAsia="ko-KR"/>
        </w:rPr>
        <w:t>, et des petits films ont été diffusés</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104.</w:t>
      </w:r>
      <w:r w:rsidRPr="002715F2">
        <w:rPr>
          <w:rFonts w:eastAsia="Batang"/>
          <w:lang w:val="fr-FR" w:eastAsia="ko-KR"/>
        </w:rPr>
        <w:tab/>
      </w:r>
      <w:r w:rsidR="00A20E49" w:rsidRPr="002715F2">
        <w:rPr>
          <w:rFonts w:eastAsia="Batang"/>
          <w:lang w:val="fr-FR" w:eastAsia="ko-KR"/>
        </w:rPr>
        <w:t>En vue</w:t>
      </w:r>
      <w:r w:rsidR="00BA53D6" w:rsidRPr="002715F2">
        <w:rPr>
          <w:rFonts w:eastAsia="Batang"/>
          <w:lang w:val="fr-FR" w:eastAsia="ko-KR"/>
        </w:rPr>
        <w:t xml:space="preserve"> de renforcer la protection des victimes et de développer les compétences des fonctionnaires,</w:t>
      </w:r>
      <w:r w:rsidR="00BA53D6" w:rsidRPr="002715F2">
        <w:rPr>
          <w:rFonts w:eastAsia="Malgun Gothic"/>
          <w:kern w:val="2"/>
          <w:szCs w:val="22"/>
          <w:lang w:val="fr-FR" w:eastAsia="ko-KR"/>
        </w:rPr>
        <w:t xml:space="preserve"> l</w:t>
      </w:r>
      <w:r w:rsidR="00D90C55" w:rsidRPr="002715F2">
        <w:rPr>
          <w:rFonts w:eastAsia="Malgun Gothic"/>
          <w:kern w:val="2"/>
          <w:szCs w:val="22"/>
          <w:lang w:val="fr-FR" w:eastAsia="ko-KR"/>
        </w:rPr>
        <w:t>’Institut judiciaire a dispens</w:t>
      </w:r>
      <w:r w:rsidR="00BA53D6" w:rsidRPr="002715F2">
        <w:rPr>
          <w:rFonts w:eastAsia="Malgun Gothic"/>
          <w:kern w:val="2"/>
          <w:szCs w:val="22"/>
          <w:lang w:val="fr-FR" w:eastAsia="ko-KR"/>
        </w:rPr>
        <w:t>é</w:t>
      </w:r>
      <w:r w:rsidR="00D90C55" w:rsidRPr="002715F2">
        <w:rPr>
          <w:rFonts w:eastAsia="Malgun Gothic"/>
          <w:kern w:val="2"/>
          <w:szCs w:val="22"/>
          <w:lang w:val="fr-FR" w:eastAsia="ko-KR"/>
        </w:rPr>
        <w:t xml:space="preserve"> </w:t>
      </w:r>
      <w:r w:rsidR="00BA53D6" w:rsidRPr="002715F2">
        <w:rPr>
          <w:rFonts w:eastAsia="Malgun Gothic"/>
          <w:kern w:val="2"/>
          <w:szCs w:val="22"/>
          <w:lang w:val="fr-FR" w:eastAsia="ko-KR"/>
        </w:rPr>
        <w:t>d</w:t>
      </w:r>
      <w:r w:rsidR="00D90C55" w:rsidRPr="002715F2">
        <w:rPr>
          <w:rFonts w:eastAsia="Malgun Gothic"/>
          <w:kern w:val="2"/>
          <w:szCs w:val="22"/>
          <w:lang w:val="fr-FR" w:eastAsia="ko-KR"/>
        </w:rPr>
        <w:t xml:space="preserve">es </w:t>
      </w:r>
      <w:r w:rsidR="00D90C55" w:rsidRPr="002715F2">
        <w:rPr>
          <w:rFonts w:eastAsia="Batang"/>
          <w:lang w:val="fr-FR" w:eastAsia="ko-KR"/>
        </w:rPr>
        <w:t>programmes de formation aux procureurs et aux enquêteurs des parquets</w:t>
      </w:r>
      <w:r w:rsidR="000078DA" w:rsidRPr="002715F2">
        <w:rPr>
          <w:rFonts w:eastAsia="Batang"/>
          <w:lang w:val="fr-FR" w:eastAsia="ko-KR"/>
        </w:rPr>
        <w:t xml:space="preserve">. </w:t>
      </w:r>
      <w:r w:rsidR="00BA53D6" w:rsidRPr="002715F2">
        <w:rPr>
          <w:rFonts w:eastAsia="Batang"/>
          <w:lang w:val="fr-FR" w:eastAsia="ko-KR"/>
        </w:rPr>
        <w:t>Ainsi, e</w:t>
      </w:r>
      <w:r w:rsidR="00D90C55" w:rsidRPr="002715F2">
        <w:rPr>
          <w:rFonts w:eastAsia="Batang"/>
          <w:lang w:val="fr-FR" w:eastAsia="ko-KR"/>
        </w:rPr>
        <w:t>ntre</w:t>
      </w:r>
      <w:r w:rsidR="000078DA" w:rsidRPr="002715F2">
        <w:rPr>
          <w:rFonts w:eastAsia="Batang"/>
          <w:lang w:val="fr-FR" w:eastAsia="ko-KR"/>
        </w:rPr>
        <w:t xml:space="preserve"> 2006 </w:t>
      </w:r>
      <w:r w:rsidR="00D90C55" w:rsidRPr="002715F2">
        <w:rPr>
          <w:rFonts w:eastAsia="Batang"/>
          <w:lang w:val="fr-FR" w:eastAsia="ko-KR"/>
        </w:rPr>
        <w:t>et</w:t>
      </w:r>
      <w:r w:rsidR="00BA53D6" w:rsidRPr="002715F2">
        <w:rPr>
          <w:rFonts w:eastAsia="Batang"/>
          <w:lang w:val="fr-FR" w:eastAsia="ko-KR"/>
        </w:rPr>
        <w:t xml:space="preserve"> 2015, 388 </w:t>
      </w:r>
      <w:r w:rsidR="00D90C55" w:rsidRPr="002715F2">
        <w:rPr>
          <w:rFonts w:eastAsia="Batang"/>
          <w:lang w:val="fr-FR" w:eastAsia="ko-KR"/>
        </w:rPr>
        <w:t xml:space="preserve">enquêteurs des parquets ont assisté à des </w:t>
      </w:r>
      <w:r w:rsidR="00BA53D6" w:rsidRPr="002715F2">
        <w:rPr>
          <w:rFonts w:eastAsia="Batang"/>
          <w:lang w:val="fr-FR" w:eastAsia="ko-KR"/>
        </w:rPr>
        <w:t>cours qui portaient notamment sur la</w:t>
      </w:r>
      <w:r w:rsidR="00D90C55" w:rsidRPr="002715F2">
        <w:rPr>
          <w:rFonts w:eastAsia="Batang"/>
          <w:lang w:val="fr-FR" w:eastAsia="ko-KR"/>
        </w:rPr>
        <w:t xml:space="preserve"> </w:t>
      </w:r>
      <w:r w:rsidR="00E97B1A" w:rsidRPr="002715F2">
        <w:rPr>
          <w:rFonts w:eastAsia="Batang"/>
          <w:lang w:val="fr-FR" w:eastAsia="ko-KR"/>
        </w:rPr>
        <w:t>«</w:t>
      </w:r>
      <w:r w:rsidR="005C6D8E" w:rsidRPr="002715F2">
        <w:rPr>
          <w:rFonts w:eastAsia="Batang"/>
          <w:lang w:val="fr-FR" w:eastAsia="ko-KR"/>
        </w:rPr>
        <w:t>Législation</w:t>
      </w:r>
      <w:r w:rsidR="00815872" w:rsidRPr="002715F2">
        <w:rPr>
          <w:rFonts w:eastAsia="Batang"/>
          <w:lang w:val="fr-FR" w:eastAsia="ko-KR"/>
        </w:rPr>
        <w:t xml:space="preserve"> sanctionnant l’organisation de la traite à des fins d’exploitation </w:t>
      </w:r>
      <w:r w:rsidR="00D90C55" w:rsidRPr="002715F2">
        <w:rPr>
          <w:rFonts w:eastAsia="Batang"/>
          <w:lang w:val="fr-FR" w:eastAsia="ko-KR"/>
        </w:rPr>
        <w:t>sexuel</w:t>
      </w:r>
      <w:r w:rsidR="00815872" w:rsidRPr="002715F2">
        <w:rPr>
          <w:rFonts w:eastAsia="Batang"/>
          <w:lang w:val="fr-FR" w:eastAsia="ko-KR"/>
        </w:rPr>
        <w:t>le</w:t>
      </w:r>
      <w:r w:rsidR="00E97B1A" w:rsidRPr="002715F2">
        <w:rPr>
          <w:rFonts w:eastAsia="Batang"/>
          <w:lang w:val="fr-FR" w:eastAsia="ko-KR"/>
        </w:rPr>
        <w:t>»</w:t>
      </w:r>
      <w:r w:rsidR="00D90C55" w:rsidRPr="002715F2">
        <w:rPr>
          <w:rFonts w:eastAsia="Batang"/>
          <w:lang w:val="fr-FR" w:eastAsia="ko-KR"/>
        </w:rPr>
        <w:t>.</w:t>
      </w:r>
      <w:r w:rsidR="000078DA" w:rsidRPr="002715F2">
        <w:rPr>
          <w:rFonts w:eastAsia="Batang"/>
          <w:lang w:val="fr-FR" w:eastAsia="ko-KR"/>
        </w:rPr>
        <w:t xml:space="preserve"> </w:t>
      </w:r>
      <w:r w:rsidR="00D90C55" w:rsidRPr="002715F2">
        <w:rPr>
          <w:rFonts w:eastAsia="Batang"/>
          <w:lang w:val="fr-FR" w:eastAsia="ko-KR"/>
        </w:rPr>
        <w:t>Entre</w:t>
      </w:r>
      <w:r w:rsidR="000078DA" w:rsidRPr="002715F2">
        <w:rPr>
          <w:rFonts w:eastAsia="Batang"/>
          <w:lang w:val="fr-FR" w:eastAsia="ko-KR"/>
        </w:rPr>
        <w:t xml:space="preserve"> 2009 </w:t>
      </w:r>
      <w:r w:rsidR="00D90C55" w:rsidRPr="002715F2">
        <w:rPr>
          <w:rFonts w:eastAsia="Batang"/>
          <w:lang w:val="fr-FR" w:eastAsia="ko-KR"/>
        </w:rPr>
        <w:t>et</w:t>
      </w:r>
      <w:r w:rsidR="00BA53D6" w:rsidRPr="002715F2">
        <w:rPr>
          <w:rFonts w:eastAsia="Batang"/>
          <w:lang w:val="fr-FR" w:eastAsia="ko-KR"/>
        </w:rPr>
        <w:t xml:space="preserve"> 2015, 143 </w:t>
      </w:r>
      <w:r w:rsidR="00D90C55" w:rsidRPr="002715F2">
        <w:rPr>
          <w:rFonts w:eastAsia="Batang"/>
          <w:bCs/>
          <w:lang w:val="fr-FR" w:eastAsia="ko-KR"/>
        </w:rPr>
        <w:t xml:space="preserve">procureurs ont </w:t>
      </w:r>
      <w:r w:rsidR="0020437F" w:rsidRPr="002715F2">
        <w:rPr>
          <w:rFonts w:eastAsia="Batang"/>
          <w:bCs/>
          <w:lang w:val="fr-FR" w:eastAsia="ko-KR"/>
        </w:rPr>
        <w:t>suivi</w:t>
      </w:r>
      <w:r w:rsidR="00D90C55" w:rsidRPr="002715F2">
        <w:rPr>
          <w:rFonts w:eastAsia="Batang"/>
          <w:bCs/>
          <w:lang w:val="fr-FR" w:eastAsia="ko-KR"/>
        </w:rPr>
        <w:t xml:space="preserve"> des </w:t>
      </w:r>
      <w:r w:rsidR="0020437F" w:rsidRPr="002715F2">
        <w:rPr>
          <w:rFonts w:eastAsia="Batang"/>
          <w:bCs/>
          <w:lang w:val="fr-FR" w:eastAsia="ko-KR"/>
        </w:rPr>
        <w:t>cours consacré</w:t>
      </w:r>
      <w:r w:rsidR="00D90C55" w:rsidRPr="002715F2">
        <w:rPr>
          <w:rFonts w:eastAsia="Batang"/>
          <w:bCs/>
          <w:lang w:val="fr-FR" w:eastAsia="ko-KR"/>
        </w:rPr>
        <w:t xml:space="preserve">s </w:t>
      </w:r>
      <w:r w:rsidR="00BA53D6" w:rsidRPr="002715F2">
        <w:rPr>
          <w:rFonts w:eastAsia="Batang"/>
          <w:bCs/>
          <w:lang w:val="fr-FR" w:eastAsia="ko-KR"/>
        </w:rPr>
        <w:t>en</w:t>
      </w:r>
      <w:r w:rsidR="00474481" w:rsidRPr="002715F2">
        <w:rPr>
          <w:rFonts w:eastAsia="Batang"/>
          <w:bCs/>
          <w:lang w:val="fr-FR" w:eastAsia="ko-KR"/>
        </w:rPr>
        <w:t>tre</w:t>
      </w:r>
      <w:r w:rsidR="00BA53D6" w:rsidRPr="002715F2">
        <w:rPr>
          <w:rFonts w:eastAsia="Batang"/>
          <w:bCs/>
          <w:lang w:val="fr-FR" w:eastAsia="ko-KR"/>
        </w:rPr>
        <w:t xml:space="preserve"> autres</w:t>
      </w:r>
      <w:r w:rsidR="00D90C55" w:rsidRPr="002715F2">
        <w:rPr>
          <w:rFonts w:eastAsia="Batang"/>
          <w:bCs/>
          <w:lang w:val="fr-FR" w:eastAsia="ko-KR"/>
        </w:rPr>
        <w:t xml:space="preserve"> aux </w:t>
      </w:r>
      <w:r w:rsidR="0020437F" w:rsidRPr="002715F2">
        <w:rPr>
          <w:rFonts w:eastAsia="Batang"/>
          <w:bCs/>
          <w:lang w:val="fr-FR" w:eastAsia="ko-KR"/>
        </w:rPr>
        <w:t>thèmes suivants</w:t>
      </w:r>
      <w:r w:rsidR="00E97B1A" w:rsidRPr="002715F2">
        <w:rPr>
          <w:rFonts w:eastAsia="Batang"/>
          <w:bCs/>
          <w:lang w:val="fr-FR" w:eastAsia="ko-KR"/>
        </w:rPr>
        <w:t>:</w:t>
      </w:r>
      <w:r w:rsidR="0020437F" w:rsidRPr="002715F2">
        <w:rPr>
          <w:rFonts w:eastAsia="Batang"/>
          <w:bCs/>
          <w:lang w:val="fr-FR" w:eastAsia="ko-KR"/>
        </w:rPr>
        <w:t xml:space="preserve"> </w:t>
      </w:r>
      <w:r w:rsidR="00E97B1A" w:rsidRPr="002715F2">
        <w:rPr>
          <w:rFonts w:eastAsia="Batang"/>
          <w:bCs/>
          <w:lang w:val="fr-FR" w:eastAsia="ko-KR"/>
        </w:rPr>
        <w:t>«</w:t>
      </w:r>
      <w:r w:rsidR="00474481" w:rsidRPr="002715F2">
        <w:rPr>
          <w:rFonts w:eastAsia="Batang"/>
          <w:bCs/>
          <w:lang w:val="fr-FR" w:eastAsia="ko-KR"/>
        </w:rPr>
        <w:t xml:space="preserve">Cinq </w:t>
      </w:r>
      <w:r w:rsidR="00D90C55" w:rsidRPr="002715F2">
        <w:rPr>
          <w:rFonts w:eastAsia="Batang"/>
          <w:bCs/>
          <w:lang w:val="fr-FR" w:eastAsia="ko-KR"/>
        </w:rPr>
        <w:t xml:space="preserve">années de mise en œuvre de la loi sur la prévention </w:t>
      </w:r>
      <w:r w:rsidR="00815872" w:rsidRPr="002715F2">
        <w:rPr>
          <w:rFonts w:eastAsia="Batang"/>
          <w:bCs/>
          <w:lang w:val="fr-FR" w:eastAsia="ko-KR"/>
        </w:rPr>
        <w:t xml:space="preserve">de la </w:t>
      </w:r>
      <w:r w:rsidR="00815872" w:rsidRPr="002715F2">
        <w:rPr>
          <w:rFonts w:eastAsia="Batang"/>
          <w:lang w:val="fr-FR" w:eastAsia="ko-KR"/>
        </w:rPr>
        <w:t xml:space="preserve">traite à des fins d’exploitation sexuelle </w:t>
      </w:r>
      <w:r w:rsidR="00D90C55" w:rsidRPr="002715F2">
        <w:rPr>
          <w:rFonts w:eastAsia="Batang"/>
          <w:bCs/>
          <w:lang w:val="fr-FR" w:eastAsia="ko-KR"/>
        </w:rPr>
        <w:t xml:space="preserve">et </w:t>
      </w:r>
      <w:r w:rsidR="0020437F" w:rsidRPr="002715F2">
        <w:rPr>
          <w:rFonts w:eastAsia="Batang"/>
          <w:bCs/>
          <w:lang w:val="fr-FR" w:eastAsia="ko-KR"/>
        </w:rPr>
        <w:t xml:space="preserve">sur </w:t>
      </w:r>
      <w:r w:rsidR="00D90C55" w:rsidRPr="002715F2">
        <w:rPr>
          <w:rFonts w:eastAsia="Batang"/>
          <w:bCs/>
          <w:lang w:val="fr-FR" w:eastAsia="ko-KR"/>
        </w:rPr>
        <w:t>la protection des victimes</w:t>
      </w:r>
      <w:r w:rsidR="00E97B1A" w:rsidRPr="002715F2">
        <w:rPr>
          <w:rFonts w:eastAsia="Batang"/>
          <w:bCs/>
          <w:lang w:val="fr-FR" w:eastAsia="ko-KR"/>
        </w:rPr>
        <w:t>:</w:t>
      </w:r>
      <w:r w:rsidR="00D90C55" w:rsidRPr="002715F2">
        <w:rPr>
          <w:rFonts w:eastAsia="Batang"/>
          <w:bCs/>
          <w:lang w:val="fr-FR" w:eastAsia="ko-KR"/>
        </w:rPr>
        <w:t xml:space="preserve"> résultats obtenus et difficultés rencontrées</w:t>
      </w:r>
      <w:r w:rsidR="00E97B1A" w:rsidRPr="002715F2">
        <w:rPr>
          <w:rFonts w:eastAsia="Batang"/>
          <w:bCs/>
          <w:lang w:val="fr-FR" w:eastAsia="ko-KR"/>
        </w:rPr>
        <w:t>»</w:t>
      </w:r>
      <w:r w:rsidR="00D90C55" w:rsidRPr="002715F2">
        <w:rPr>
          <w:rFonts w:eastAsia="Batang"/>
          <w:bCs/>
          <w:lang w:val="fr-FR" w:eastAsia="ko-KR"/>
        </w:rPr>
        <w:t xml:space="preserve">, </w:t>
      </w:r>
      <w:r w:rsidR="00E97B1A" w:rsidRPr="002715F2">
        <w:rPr>
          <w:rFonts w:eastAsia="Batang"/>
          <w:bCs/>
          <w:lang w:val="fr-FR" w:eastAsia="ko-KR"/>
        </w:rPr>
        <w:t>«</w:t>
      </w:r>
      <w:r w:rsidR="00D90C55" w:rsidRPr="002715F2">
        <w:rPr>
          <w:rFonts w:eastAsia="Batang"/>
          <w:bCs/>
          <w:lang w:val="fr-FR" w:eastAsia="ko-KR"/>
        </w:rPr>
        <w:t>Caractéristiques des affaires de traite sexuelle</w:t>
      </w:r>
      <w:r w:rsidR="00E97B1A" w:rsidRPr="002715F2">
        <w:rPr>
          <w:rFonts w:eastAsia="Batang"/>
          <w:bCs/>
          <w:lang w:val="fr-FR" w:eastAsia="ko-KR"/>
        </w:rPr>
        <w:t>»</w:t>
      </w:r>
      <w:r w:rsidR="00D90C55" w:rsidRPr="002715F2">
        <w:rPr>
          <w:rFonts w:eastAsia="Batang"/>
          <w:bCs/>
          <w:lang w:val="fr-FR" w:eastAsia="ko-KR"/>
        </w:rPr>
        <w:t xml:space="preserve"> et </w:t>
      </w:r>
      <w:r w:rsidR="00E97B1A" w:rsidRPr="002715F2">
        <w:rPr>
          <w:rFonts w:eastAsia="Batang"/>
          <w:bCs/>
          <w:lang w:val="fr-FR" w:eastAsia="ko-KR"/>
        </w:rPr>
        <w:t>«</w:t>
      </w:r>
      <w:r w:rsidR="00D90C55" w:rsidRPr="002715F2">
        <w:rPr>
          <w:rFonts w:eastAsia="Batang"/>
          <w:bCs/>
          <w:lang w:val="fr-FR" w:eastAsia="ko-KR"/>
        </w:rPr>
        <w:t>Traite</w:t>
      </w:r>
      <w:r w:rsidR="00815872" w:rsidRPr="002715F2">
        <w:rPr>
          <w:rFonts w:eastAsia="Batang"/>
          <w:bCs/>
          <w:lang w:val="fr-FR" w:eastAsia="ko-KR"/>
        </w:rPr>
        <w:t xml:space="preserve"> sexuelle</w:t>
      </w:r>
      <w:r w:rsidR="00BA53D6" w:rsidRPr="002715F2">
        <w:rPr>
          <w:rFonts w:eastAsia="Batang"/>
          <w:bCs/>
          <w:lang w:val="fr-FR" w:eastAsia="ko-KR"/>
        </w:rPr>
        <w:t xml:space="preserve"> et droits </w:t>
      </w:r>
      <w:r w:rsidR="0020437F" w:rsidRPr="002715F2">
        <w:rPr>
          <w:rFonts w:eastAsia="Batang"/>
          <w:bCs/>
          <w:lang w:val="fr-FR" w:eastAsia="ko-KR"/>
        </w:rPr>
        <w:t>fondamentaux</w:t>
      </w:r>
      <w:r w:rsidR="00E97B1A" w:rsidRPr="002715F2">
        <w:rPr>
          <w:rFonts w:eastAsia="Batang"/>
          <w:bCs/>
          <w:lang w:val="fr-FR" w:eastAsia="ko-KR"/>
        </w:rPr>
        <w:t>:</w:t>
      </w:r>
      <w:r w:rsidR="00D90C55" w:rsidRPr="002715F2">
        <w:rPr>
          <w:rFonts w:eastAsia="Batang"/>
          <w:bCs/>
          <w:lang w:val="fr-FR" w:eastAsia="ko-KR"/>
        </w:rPr>
        <w:t xml:space="preserve"> études de cas de femmes étrangères et migrantes</w:t>
      </w:r>
      <w:r w:rsidR="00E97B1A" w:rsidRPr="002715F2">
        <w:rPr>
          <w:rFonts w:eastAsia="Batang"/>
          <w:bCs/>
          <w:lang w:val="fr-FR" w:eastAsia="ko-KR"/>
        </w:rPr>
        <w:t>»</w:t>
      </w:r>
      <w:r w:rsidR="000078DA" w:rsidRPr="002715F2">
        <w:rPr>
          <w:rFonts w:eastAsia="Batang"/>
          <w:lang w:val="fr-FR" w:eastAsia="ko-KR"/>
        </w:rPr>
        <w:t xml:space="preserve">. </w:t>
      </w:r>
      <w:r w:rsidR="00D90C55" w:rsidRPr="002715F2">
        <w:rPr>
          <w:rFonts w:eastAsia="Batang"/>
          <w:lang w:val="fr-FR" w:eastAsia="ko-KR"/>
        </w:rPr>
        <w:t xml:space="preserve">Ces cours de formation ont obtenu des taux </w:t>
      </w:r>
      <w:r w:rsidR="00BA53D6" w:rsidRPr="002715F2">
        <w:rPr>
          <w:rFonts w:eastAsia="Batang"/>
          <w:lang w:val="fr-FR" w:eastAsia="ko-KR"/>
        </w:rPr>
        <w:t xml:space="preserve">élevés </w:t>
      </w:r>
      <w:r w:rsidR="00D90C55" w:rsidRPr="002715F2">
        <w:rPr>
          <w:rFonts w:eastAsia="Batang"/>
          <w:lang w:val="fr-FR" w:eastAsia="ko-KR"/>
        </w:rPr>
        <w:t>de satisfaction et de participation</w:t>
      </w:r>
      <w:r w:rsidR="000078DA" w:rsidRPr="002715F2">
        <w:rPr>
          <w:rFonts w:eastAsia="Batang"/>
          <w:lang w:val="fr-FR" w:eastAsia="ko-KR"/>
        </w:rPr>
        <w:t>.</w:t>
      </w:r>
    </w:p>
    <w:p w:rsidR="000078DA" w:rsidRPr="002715F2" w:rsidRDefault="00643BBE">
      <w:pPr>
        <w:pStyle w:val="H1G"/>
        <w:rPr>
          <w:rFonts w:eastAsia="Batang"/>
          <w:lang w:val="fr-FR"/>
        </w:rPr>
      </w:pPr>
      <w:r w:rsidRPr="002715F2">
        <w:rPr>
          <w:rFonts w:eastAsia="Batang"/>
          <w:lang w:val="fr-FR"/>
        </w:rPr>
        <w:tab/>
      </w:r>
      <w:r w:rsidRPr="002715F2">
        <w:rPr>
          <w:rFonts w:eastAsia="Batang"/>
          <w:lang w:val="fr-FR"/>
        </w:rPr>
        <w:tab/>
      </w:r>
      <w:r w:rsidR="003931D4" w:rsidRPr="002715F2">
        <w:rPr>
          <w:rFonts w:eastAsia="Batang"/>
          <w:lang w:val="fr-FR"/>
        </w:rPr>
        <w:t xml:space="preserve">Article </w:t>
      </w:r>
      <w:r w:rsidR="00961BE3" w:rsidRPr="002715F2">
        <w:rPr>
          <w:rFonts w:eastAsia="Batang"/>
          <w:lang w:val="fr-FR"/>
        </w:rPr>
        <w:t>11</w:t>
      </w:r>
    </w:p>
    <w:p w:rsidR="000078DA" w:rsidRPr="002715F2" w:rsidRDefault="00643BBE"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D90C55" w:rsidRPr="002715F2">
        <w:rPr>
          <w:rFonts w:eastAsia="Batang"/>
          <w:lang w:val="fr-FR" w:eastAsia="ko-KR"/>
        </w:rPr>
        <w:t xml:space="preserve">Réponse aux questions soulevées au </w:t>
      </w:r>
      <w:r w:rsidR="003931D4" w:rsidRPr="002715F2">
        <w:rPr>
          <w:rFonts w:eastAsia="Batang"/>
          <w:lang w:val="fr-FR" w:eastAsia="ko-KR"/>
        </w:rPr>
        <w:t xml:space="preserve">paragraphe </w:t>
      </w:r>
      <w:r w:rsidR="00D90C55" w:rsidRPr="002715F2">
        <w:rPr>
          <w:rFonts w:eastAsia="Batang"/>
          <w:lang w:val="fr-FR" w:eastAsia="ko-KR"/>
        </w:rPr>
        <w:t>18</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D90C55" w:rsidRPr="002715F2">
        <w:rPr>
          <w:rFonts w:eastAsia="Batang"/>
          <w:lang w:val="fr-FR" w:eastAsia="ko-KR"/>
        </w:rPr>
        <w:t xml:space="preserve">Mesures prises </w:t>
      </w:r>
      <w:r w:rsidR="00B46881" w:rsidRPr="002715F2">
        <w:rPr>
          <w:rFonts w:eastAsia="Batang"/>
          <w:lang w:val="fr-FR" w:eastAsia="ko-KR"/>
        </w:rPr>
        <w:t xml:space="preserve">pour </w:t>
      </w:r>
      <w:r w:rsidR="00D90C55" w:rsidRPr="002715F2">
        <w:rPr>
          <w:rFonts w:eastAsia="Batang"/>
          <w:lang w:val="fr-FR" w:eastAsia="ko-KR"/>
        </w:rPr>
        <w:t>améliorer les conditions de détention</w:t>
      </w:r>
    </w:p>
    <w:p w:rsidR="000078DA" w:rsidRPr="002715F2" w:rsidRDefault="007026FB" w:rsidP="007026FB">
      <w:pPr>
        <w:pStyle w:val="SingleTxtG"/>
        <w:rPr>
          <w:rFonts w:eastAsia="Malgun Gothic"/>
          <w:lang w:val="fr-FR" w:eastAsia="ko-KR"/>
        </w:rPr>
      </w:pPr>
      <w:r w:rsidRPr="002715F2">
        <w:rPr>
          <w:rFonts w:eastAsia="Malgun Gothic"/>
          <w:lang w:val="fr-FR" w:eastAsia="ko-KR"/>
        </w:rPr>
        <w:t>105.</w:t>
      </w:r>
      <w:r w:rsidRPr="002715F2">
        <w:rPr>
          <w:rFonts w:eastAsia="Malgun Gothic"/>
          <w:lang w:val="fr-FR" w:eastAsia="ko-KR"/>
        </w:rPr>
        <w:tab/>
      </w:r>
      <w:r w:rsidR="00BD7455" w:rsidRPr="002715F2">
        <w:rPr>
          <w:rFonts w:eastAsia="Malgun Gothic"/>
          <w:lang w:val="fr-FR" w:eastAsia="ko-KR"/>
        </w:rPr>
        <w:t>Dans le but</w:t>
      </w:r>
      <w:r w:rsidR="00926854" w:rsidRPr="002715F2">
        <w:rPr>
          <w:rFonts w:eastAsia="Malgun Gothic"/>
          <w:lang w:val="fr-FR" w:eastAsia="ko-KR"/>
        </w:rPr>
        <w:t xml:space="preserve"> de promouvoir les droits fondamentaux des détenus et </w:t>
      </w:r>
      <w:r w:rsidR="00AF37C8" w:rsidRPr="002715F2">
        <w:rPr>
          <w:rFonts w:eastAsia="Malgun Gothic"/>
          <w:lang w:val="fr-FR" w:eastAsia="ko-KR"/>
        </w:rPr>
        <w:t>leur</w:t>
      </w:r>
      <w:r w:rsidR="00926854" w:rsidRPr="002715F2">
        <w:rPr>
          <w:rFonts w:eastAsia="Malgun Gothic"/>
          <w:lang w:val="fr-FR" w:eastAsia="ko-KR"/>
        </w:rPr>
        <w:t xml:space="preserve"> droit à la santé, </w:t>
      </w:r>
      <w:r w:rsidR="00BD7455" w:rsidRPr="002715F2">
        <w:rPr>
          <w:rFonts w:eastAsia="Malgun Gothic"/>
          <w:lang w:val="fr-FR" w:eastAsia="ko-KR"/>
        </w:rPr>
        <w:t>le Règlement</w:t>
      </w:r>
      <w:r w:rsidR="00926854" w:rsidRPr="002715F2">
        <w:rPr>
          <w:rFonts w:eastAsia="Malgun Gothic"/>
          <w:lang w:val="fr-FR" w:eastAsia="ko-KR"/>
        </w:rPr>
        <w:t xml:space="preserve"> </w:t>
      </w:r>
      <w:r w:rsidR="00AF37C8" w:rsidRPr="002715F2">
        <w:rPr>
          <w:rFonts w:eastAsia="Malgun Gothic"/>
          <w:lang w:val="fr-FR" w:eastAsia="ko-KR"/>
        </w:rPr>
        <w:t>relati</w:t>
      </w:r>
      <w:r w:rsidR="00BD7455" w:rsidRPr="002715F2">
        <w:rPr>
          <w:rFonts w:eastAsia="Malgun Gothic"/>
          <w:lang w:val="fr-FR" w:eastAsia="ko-KR"/>
        </w:rPr>
        <w:t>f</w:t>
      </w:r>
      <w:r w:rsidR="00AF37C8" w:rsidRPr="002715F2">
        <w:rPr>
          <w:rFonts w:eastAsia="Malgun Gothic"/>
          <w:lang w:val="fr-FR" w:eastAsia="ko-KR"/>
        </w:rPr>
        <w:t xml:space="preserve"> aux</w:t>
      </w:r>
      <w:r w:rsidR="00926854" w:rsidRPr="002715F2">
        <w:rPr>
          <w:rFonts w:eastAsia="Malgun Gothic"/>
          <w:lang w:val="fr-FR" w:eastAsia="ko-KR"/>
        </w:rPr>
        <w:t xml:space="preserve"> installations du </w:t>
      </w:r>
      <w:r w:rsidR="00AF37C8" w:rsidRPr="002715F2">
        <w:rPr>
          <w:rFonts w:eastAsia="Malgun Gothic"/>
          <w:lang w:val="fr-FR" w:eastAsia="ko-KR"/>
        </w:rPr>
        <w:t>M</w:t>
      </w:r>
      <w:r w:rsidR="00926854" w:rsidRPr="002715F2">
        <w:rPr>
          <w:rFonts w:eastAsia="Malgun Gothic"/>
          <w:lang w:val="fr-FR" w:eastAsia="ko-KR"/>
        </w:rPr>
        <w:t xml:space="preserve">inistère de la </w:t>
      </w:r>
      <w:r w:rsidR="00AF37C8" w:rsidRPr="002715F2">
        <w:rPr>
          <w:rFonts w:eastAsia="Malgun Gothic"/>
          <w:lang w:val="fr-FR" w:eastAsia="ko-KR"/>
        </w:rPr>
        <w:t>j</w:t>
      </w:r>
      <w:r w:rsidR="00926854" w:rsidRPr="002715F2">
        <w:rPr>
          <w:rFonts w:eastAsia="Malgun Gothic"/>
          <w:lang w:val="fr-FR" w:eastAsia="ko-KR"/>
        </w:rPr>
        <w:t>ustice (</w:t>
      </w:r>
      <w:r w:rsidR="00AF37C8" w:rsidRPr="002715F2">
        <w:rPr>
          <w:rFonts w:eastAsia="Malgun Gothic"/>
          <w:lang w:val="fr-FR" w:eastAsia="ko-KR"/>
        </w:rPr>
        <w:t>d</w:t>
      </w:r>
      <w:r w:rsidR="00926854" w:rsidRPr="002715F2">
        <w:rPr>
          <w:rFonts w:eastAsia="Malgun Gothic"/>
          <w:lang w:val="fr-FR" w:eastAsia="ko-KR"/>
        </w:rPr>
        <w:t xml:space="preserve">irective du </w:t>
      </w:r>
      <w:r w:rsidR="00AF37C8" w:rsidRPr="002715F2">
        <w:rPr>
          <w:rFonts w:eastAsia="Malgun Gothic"/>
          <w:lang w:val="fr-FR" w:eastAsia="ko-KR"/>
        </w:rPr>
        <w:t>M</w:t>
      </w:r>
      <w:r w:rsidR="00926854" w:rsidRPr="002715F2">
        <w:rPr>
          <w:rFonts w:eastAsia="Malgun Gothic"/>
          <w:lang w:val="fr-FR" w:eastAsia="ko-KR"/>
        </w:rPr>
        <w:t>inistère de</w:t>
      </w:r>
      <w:r w:rsidR="00BD7455" w:rsidRPr="002715F2">
        <w:rPr>
          <w:rFonts w:eastAsia="Malgun Gothic"/>
          <w:lang w:val="fr-FR" w:eastAsia="ko-KR"/>
        </w:rPr>
        <w:t xml:space="preserve"> la justice) a été modifié deux</w:t>
      </w:r>
      <w:r w:rsidR="003931D4" w:rsidRPr="002715F2">
        <w:rPr>
          <w:rFonts w:eastAsia="Malgun Gothic"/>
          <w:lang w:val="fr-FR" w:eastAsia="ko-KR"/>
        </w:rPr>
        <w:t xml:space="preserve"> f</w:t>
      </w:r>
      <w:r w:rsidR="00926854" w:rsidRPr="002715F2">
        <w:rPr>
          <w:rFonts w:eastAsia="Malgun Gothic"/>
          <w:lang w:val="fr-FR" w:eastAsia="ko-KR"/>
        </w:rPr>
        <w:t>ois</w:t>
      </w:r>
      <w:r w:rsidR="00AF37C8" w:rsidRPr="002715F2">
        <w:rPr>
          <w:rFonts w:eastAsia="Malgun Gothic"/>
          <w:lang w:val="fr-FR" w:eastAsia="ko-KR"/>
        </w:rPr>
        <w:t>,</w:t>
      </w:r>
      <w:r w:rsidR="00A20E49" w:rsidRPr="002715F2">
        <w:rPr>
          <w:rFonts w:eastAsia="Malgun Gothic"/>
          <w:lang w:val="fr-FR" w:eastAsia="ko-KR"/>
        </w:rPr>
        <w:t xml:space="preserve"> le 29 septembre 2006 et le 29 </w:t>
      </w:r>
      <w:r w:rsidR="00926854" w:rsidRPr="002715F2">
        <w:rPr>
          <w:rFonts w:eastAsia="Malgun Gothic"/>
          <w:lang w:val="fr-FR" w:eastAsia="ko-KR"/>
        </w:rPr>
        <w:t>décembre 2014</w:t>
      </w:r>
      <w:r w:rsidR="00A20E49" w:rsidRPr="002715F2">
        <w:rPr>
          <w:rFonts w:eastAsia="Malgun Gothic"/>
          <w:lang w:val="fr-FR" w:eastAsia="ko-KR"/>
        </w:rPr>
        <w:t>,</w:t>
      </w:r>
      <w:r w:rsidR="00926854" w:rsidRPr="002715F2">
        <w:rPr>
          <w:rFonts w:eastAsia="Malgun Gothic"/>
          <w:lang w:val="fr-FR" w:eastAsia="ko-KR"/>
        </w:rPr>
        <w:t xml:space="preserve"> pour agrandir les </w:t>
      </w:r>
      <w:r w:rsidR="00AF37C8" w:rsidRPr="002715F2">
        <w:rPr>
          <w:rFonts w:eastAsia="Malgun Gothic"/>
          <w:lang w:val="fr-FR" w:eastAsia="ko-KR"/>
        </w:rPr>
        <w:t>cellules</w:t>
      </w:r>
      <w:r w:rsidR="00926854" w:rsidRPr="002715F2">
        <w:rPr>
          <w:rFonts w:eastAsia="Malgun Gothic"/>
          <w:lang w:val="fr-FR" w:eastAsia="ko-KR"/>
        </w:rPr>
        <w:t xml:space="preserve"> et améliorer les établissements </w:t>
      </w:r>
      <w:r w:rsidR="00730B36" w:rsidRPr="002715F2">
        <w:rPr>
          <w:rFonts w:eastAsia="Malgun Gothic"/>
          <w:lang w:val="fr-FR" w:eastAsia="ko-KR"/>
        </w:rPr>
        <w:t>pénitentiaires</w:t>
      </w:r>
      <w:r w:rsidR="000078DA" w:rsidRPr="002715F2">
        <w:rPr>
          <w:rFonts w:eastAsia="Dotum"/>
          <w:bCs/>
          <w:lang w:val="fr-FR" w:eastAsia="ko-KR"/>
        </w:rPr>
        <w:t>.</w:t>
      </w:r>
      <w:r w:rsidR="000078DA" w:rsidRPr="002715F2">
        <w:rPr>
          <w:rFonts w:eastAsia="Malgun Gothic"/>
          <w:lang w:val="fr-FR" w:eastAsia="ko-KR"/>
        </w:rPr>
        <w:t xml:space="preserve"> </w:t>
      </w:r>
      <w:r w:rsidR="00AF37C8" w:rsidRPr="002715F2">
        <w:rPr>
          <w:rFonts w:eastAsia="Malgun Gothic"/>
          <w:lang w:val="fr-FR" w:eastAsia="ko-KR"/>
        </w:rPr>
        <w:t>L</w:t>
      </w:r>
      <w:r w:rsidR="007F621F" w:rsidRPr="002715F2">
        <w:rPr>
          <w:rFonts w:eastAsia="Malgun Gothic"/>
          <w:lang w:val="fr-FR" w:eastAsia="ko-KR"/>
        </w:rPr>
        <w:t>a superficie d</w:t>
      </w:r>
      <w:r w:rsidR="00AF37C8" w:rsidRPr="002715F2">
        <w:rPr>
          <w:rFonts w:eastAsia="Malgun Gothic"/>
          <w:lang w:val="fr-FR" w:eastAsia="ko-KR"/>
        </w:rPr>
        <w:t xml:space="preserve">es cellules </w:t>
      </w:r>
      <w:r w:rsidR="00BD7455" w:rsidRPr="002715F2">
        <w:rPr>
          <w:rFonts w:eastAsia="Malgun Gothic"/>
          <w:lang w:val="fr-FR" w:eastAsia="ko-KR"/>
        </w:rPr>
        <w:t>destinées à accueillir</w:t>
      </w:r>
      <w:r w:rsidR="00AF37C8" w:rsidRPr="002715F2">
        <w:rPr>
          <w:rFonts w:eastAsia="Malgun Gothic"/>
          <w:lang w:val="fr-FR" w:eastAsia="ko-KR"/>
        </w:rPr>
        <w:t xml:space="preserve"> plusieurs détenus </w:t>
      </w:r>
      <w:r w:rsidR="007F621F" w:rsidRPr="002715F2">
        <w:rPr>
          <w:rFonts w:eastAsia="Malgun Gothic"/>
          <w:lang w:val="fr-FR" w:eastAsia="ko-KR"/>
        </w:rPr>
        <w:t xml:space="preserve">est passée </w:t>
      </w:r>
      <w:r w:rsidR="00BD7455" w:rsidRPr="002715F2">
        <w:rPr>
          <w:rFonts w:eastAsia="Malgun Gothic"/>
          <w:lang w:val="fr-FR" w:eastAsia="ko-KR"/>
        </w:rPr>
        <w:t>de</w:t>
      </w:r>
      <w:r w:rsidR="00AF37C8" w:rsidRPr="002715F2">
        <w:rPr>
          <w:rFonts w:eastAsia="Malgun Gothic"/>
          <w:lang w:val="fr-FR" w:eastAsia="ko-KR"/>
        </w:rPr>
        <w:t xml:space="preserve"> 2,58 m</w:t>
      </w:r>
      <w:r w:rsidR="00AF37C8" w:rsidRPr="002715F2">
        <w:rPr>
          <w:rFonts w:eastAsia="Malgun Gothic"/>
          <w:vertAlign w:val="superscript"/>
          <w:lang w:val="fr-FR" w:eastAsia="ko-KR"/>
        </w:rPr>
        <w:t>2</w:t>
      </w:r>
      <w:r w:rsidR="00AF37C8" w:rsidRPr="002715F2">
        <w:rPr>
          <w:rFonts w:eastAsia="Malgun Gothic"/>
          <w:lang w:val="fr-FR" w:eastAsia="ko-KR"/>
        </w:rPr>
        <w:t xml:space="preserve"> à 3,4 m</w:t>
      </w:r>
      <w:r w:rsidR="00A20E49" w:rsidRPr="002715F2">
        <w:rPr>
          <w:rFonts w:eastAsia="Malgun Gothic"/>
          <w:vertAlign w:val="superscript"/>
          <w:lang w:val="fr-FR" w:eastAsia="ko-KR"/>
        </w:rPr>
        <w:t>2</w:t>
      </w:r>
      <w:r w:rsidR="00A07298" w:rsidRPr="002715F2">
        <w:rPr>
          <w:rFonts w:eastAsia="Malgun Gothic"/>
          <w:lang w:val="fr-FR" w:eastAsia="ko-KR"/>
        </w:rPr>
        <w:t> par personne</w:t>
      </w:r>
      <w:r w:rsidR="00E97B1A" w:rsidRPr="002715F2">
        <w:rPr>
          <w:rFonts w:eastAsia="Malgun Gothic"/>
          <w:lang w:val="fr-FR" w:eastAsia="ko-KR"/>
        </w:rPr>
        <w:t>;</w:t>
      </w:r>
      <w:r w:rsidR="00A07298" w:rsidRPr="002715F2">
        <w:rPr>
          <w:rFonts w:eastAsia="Malgun Gothic"/>
          <w:lang w:val="fr-FR" w:eastAsia="ko-KR"/>
        </w:rPr>
        <w:t xml:space="preserve"> </w:t>
      </w:r>
      <w:r w:rsidR="007F621F" w:rsidRPr="002715F2">
        <w:rPr>
          <w:rFonts w:eastAsia="Malgun Gothic"/>
          <w:lang w:val="fr-FR" w:eastAsia="ko-KR"/>
        </w:rPr>
        <w:t>celle des cellules</w:t>
      </w:r>
      <w:r w:rsidR="000C6CDE" w:rsidRPr="002715F2">
        <w:rPr>
          <w:rFonts w:eastAsia="Malgun Gothic"/>
          <w:lang w:val="fr-FR" w:eastAsia="ko-KR"/>
        </w:rPr>
        <w:t xml:space="preserve"> disciplin</w:t>
      </w:r>
      <w:r w:rsidR="007F621F" w:rsidRPr="002715F2">
        <w:rPr>
          <w:rFonts w:eastAsia="Malgun Gothic"/>
          <w:lang w:val="fr-FR" w:eastAsia="ko-KR"/>
        </w:rPr>
        <w:t>air</w:t>
      </w:r>
      <w:r w:rsidR="000C6CDE" w:rsidRPr="002715F2">
        <w:rPr>
          <w:rFonts w:eastAsia="Malgun Gothic"/>
          <w:lang w:val="fr-FR" w:eastAsia="ko-KR"/>
        </w:rPr>
        <w:t>e</w:t>
      </w:r>
      <w:r w:rsidR="007F621F" w:rsidRPr="002715F2">
        <w:rPr>
          <w:rFonts w:eastAsia="Malgun Gothic"/>
          <w:lang w:val="fr-FR" w:eastAsia="ko-KR"/>
        </w:rPr>
        <w:t>s</w:t>
      </w:r>
      <w:r w:rsidR="000C6CDE" w:rsidRPr="002715F2">
        <w:rPr>
          <w:rFonts w:eastAsia="Malgun Gothic"/>
          <w:lang w:val="fr-FR" w:eastAsia="ko-KR"/>
        </w:rPr>
        <w:t xml:space="preserve"> de </w:t>
      </w:r>
      <w:r w:rsidR="000C6CDE" w:rsidRPr="002715F2">
        <w:rPr>
          <w:rFonts w:eastAsia="Malgun Gothic"/>
          <w:lang w:val="fr-FR"/>
        </w:rPr>
        <w:t>4,62</w:t>
      </w:r>
      <w:r w:rsidR="000C6CDE" w:rsidRPr="002715F2">
        <w:rPr>
          <w:rFonts w:eastAsia="Malgun Gothic"/>
          <w:lang w:val="fr-FR" w:eastAsia="ko-KR"/>
        </w:rPr>
        <w:t> m</w:t>
      </w:r>
      <w:r w:rsidR="000C6CDE" w:rsidRPr="002715F2">
        <w:rPr>
          <w:rFonts w:eastAsia="Malgun Gothic"/>
          <w:vertAlign w:val="superscript"/>
          <w:lang w:val="fr-FR" w:eastAsia="ko-KR"/>
        </w:rPr>
        <w:t>2</w:t>
      </w:r>
      <w:r w:rsidR="000C6CDE" w:rsidRPr="002715F2">
        <w:rPr>
          <w:rFonts w:eastAsia="Malgun Gothic"/>
          <w:lang w:val="fr-FR"/>
        </w:rPr>
        <w:t xml:space="preserve"> à 5,4 </w:t>
      </w:r>
      <w:r w:rsidR="003931D4" w:rsidRPr="002715F2">
        <w:rPr>
          <w:rFonts w:eastAsia="Malgun Gothic"/>
          <w:lang w:val="fr-FR" w:eastAsia="ko-KR"/>
        </w:rPr>
        <w:t>m</w:t>
      </w:r>
      <w:r w:rsidR="003931D4" w:rsidRPr="002715F2">
        <w:rPr>
          <w:rFonts w:eastAsia="Malgun Gothic"/>
          <w:vertAlign w:val="superscript"/>
          <w:lang w:val="fr-FR" w:eastAsia="ko-KR"/>
        </w:rPr>
        <w:t>2</w:t>
      </w:r>
      <w:r w:rsidR="003931D4" w:rsidRPr="002715F2">
        <w:rPr>
          <w:rFonts w:eastAsia="Malgun Gothic"/>
          <w:lang w:val="fr-FR" w:eastAsia="ko-KR"/>
        </w:rPr>
        <w:t xml:space="preserve"> </w:t>
      </w:r>
      <w:r w:rsidR="000C6CDE" w:rsidRPr="002715F2">
        <w:rPr>
          <w:rFonts w:eastAsia="Malgun Gothic"/>
          <w:lang w:val="fr-FR" w:eastAsia="ko-KR"/>
        </w:rPr>
        <w:t>par personne</w:t>
      </w:r>
      <w:r w:rsidR="000C6CDE" w:rsidRPr="002715F2">
        <w:rPr>
          <w:rFonts w:eastAsia="Malgun Gothic"/>
          <w:lang w:val="fr-FR"/>
        </w:rPr>
        <w:t xml:space="preserve"> et </w:t>
      </w:r>
      <w:r w:rsidR="007F621F" w:rsidRPr="002715F2">
        <w:rPr>
          <w:rFonts w:eastAsia="Malgun Gothic"/>
          <w:lang w:val="fr-FR"/>
        </w:rPr>
        <w:t xml:space="preserve">celle </w:t>
      </w:r>
      <w:r w:rsidR="007F621F" w:rsidRPr="002715F2">
        <w:rPr>
          <w:rFonts w:eastAsia="Malgun Gothic"/>
          <w:lang w:val="fr-FR" w:eastAsia="ko-KR"/>
        </w:rPr>
        <w:t>d</w:t>
      </w:r>
      <w:r w:rsidR="00AF37C8" w:rsidRPr="002715F2">
        <w:rPr>
          <w:rFonts w:eastAsia="Malgun Gothic"/>
          <w:lang w:val="fr-FR" w:eastAsia="ko-KR"/>
        </w:rPr>
        <w:t>es cellules d’isolement de 4,3 </w:t>
      </w:r>
      <w:r w:rsidR="003931D4" w:rsidRPr="002715F2">
        <w:rPr>
          <w:rFonts w:eastAsia="Malgun Gothic"/>
          <w:lang w:val="fr-FR" w:eastAsia="ko-KR"/>
        </w:rPr>
        <w:t>m</w:t>
      </w:r>
      <w:r w:rsidR="003931D4" w:rsidRPr="002715F2">
        <w:rPr>
          <w:rFonts w:eastAsia="Malgun Gothic"/>
          <w:vertAlign w:val="superscript"/>
          <w:lang w:val="fr-FR" w:eastAsia="ko-KR"/>
        </w:rPr>
        <w:t>2</w:t>
      </w:r>
      <w:r w:rsidR="003931D4" w:rsidRPr="002715F2">
        <w:rPr>
          <w:rFonts w:eastAsia="Malgun Gothic"/>
          <w:lang w:val="fr-FR" w:eastAsia="ko-KR"/>
        </w:rPr>
        <w:t xml:space="preserve"> </w:t>
      </w:r>
      <w:r w:rsidR="00AF37C8" w:rsidRPr="002715F2">
        <w:rPr>
          <w:rFonts w:eastAsia="Malgun Gothic"/>
          <w:lang w:val="fr-FR" w:eastAsia="ko-KR"/>
        </w:rPr>
        <w:t>à 6,3 </w:t>
      </w:r>
      <w:r w:rsidR="003931D4" w:rsidRPr="002715F2">
        <w:rPr>
          <w:rFonts w:eastAsia="Malgun Gothic"/>
          <w:lang w:val="fr-FR" w:eastAsia="ko-KR"/>
        </w:rPr>
        <w:t>m</w:t>
      </w:r>
      <w:r w:rsidR="003931D4" w:rsidRPr="002715F2">
        <w:rPr>
          <w:rFonts w:eastAsia="Malgun Gothic"/>
          <w:vertAlign w:val="superscript"/>
          <w:lang w:val="fr-FR" w:eastAsia="ko-KR"/>
        </w:rPr>
        <w:t>2</w:t>
      </w:r>
      <w:r w:rsidR="003931D4" w:rsidRPr="002715F2">
        <w:rPr>
          <w:rFonts w:eastAsia="Malgun Gothic"/>
          <w:lang w:val="fr-FR" w:eastAsia="ko-KR"/>
        </w:rPr>
        <w:t xml:space="preserve"> </w:t>
      </w:r>
      <w:r w:rsidR="00A07298" w:rsidRPr="002715F2">
        <w:rPr>
          <w:rFonts w:eastAsia="Malgun Gothic"/>
          <w:lang w:val="fr-FR" w:eastAsia="ko-KR"/>
        </w:rPr>
        <w:t xml:space="preserve">par personne. </w:t>
      </w:r>
      <w:r w:rsidR="00AF37C8" w:rsidRPr="002715F2">
        <w:rPr>
          <w:rFonts w:eastAsia="Malgun Gothic"/>
          <w:lang w:val="fr-FR" w:eastAsia="ko-KR"/>
        </w:rPr>
        <w:t>Dive</w:t>
      </w:r>
      <w:r w:rsidR="00E900C9" w:rsidRPr="002715F2">
        <w:rPr>
          <w:rFonts w:eastAsia="Malgun Gothic"/>
          <w:lang w:val="fr-FR" w:eastAsia="ko-KR"/>
        </w:rPr>
        <w:t>rs types de</w:t>
      </w:r>
      <w:r w:rsidR="00AF37C8" w:rsidRPr="002715F2">
        <w:rPr>
          <w:rFonts w:eastAsia="Malgun Gothic"/>
          <w:lang w:val="fr-FR" w:eastAsia="ko-KR"/>
        </w:rPr>
        <w:t xml:space="preserve"> salles</w:t>
      </w:r>
      <w:r w:rsidR="00A20E49" w:rsidRPr="002715F2">
        <w:rPr>
          <w:rFonts w:eastAsia="Malgun Gothic"/>
          <w:lang w:val="fr-FR" w:eastAsia="ko-KR"/>
        </w:rPr>
        <w:t xml:space="preserve"> ont récemment été créés</w:t>
      </w:r>
      <w:r w:rsidR="00AF37C8" w:rsidRPr="002715F2">
        <w:rPr>
          <w:rFonts w:eastAsia="Malgun Gothic"/>
          <w:lang w:val="fr-FR" w:eastAsia="ko-KR"/>
        </w:rPr>
        <w:t xml:space="preserve">, notamment des </w:t>
      </w:r>
      <w:r w:rsidR="007F621F" w:rsidRPr="002715F2">
        <w:rPr>
          <w:rFonts w:eastAsia="Malgun Gothic"/>
          <w:lang w:val="fr-FR" w:eastAsia="ko-KR"/>
        </w:rPr>
        <w:t>parloirs familiaux</w:t>
      </w:r>
      <w:r w:rsidR="00AF37C8" w:rsidRPr="002715F2">
        <w:rPr>
          <w:rFonts w:eastAsia="Malgun Gothic"/>
          <w:lang w:val="fr-FR" w:eastAsia="ko-KR"/>
        </w:rPr>
        <w:t xml:space="preserve">, </w:t>
      </w:r>
      <w:r w:rsidR="00E900C9" w:rsidRPr="002715F2">
        <w:rPr>
          <w:rFonts w:eastAsia="Malgun Gothic"/>
          <w:lang w:val="fr-FR" w:eastAsia="ko-KR"/>
        </w:rPr>
        <w:t xml:space="preserve">des </w:t>
      </w:r>
      <w:r w:rsidR="00AF37C8" w:rsidRPr="002715F2">
        <w:rPr>
          <w:rFonts w:eastAsia="Malgun Gothic"/>
          <w:lang w:val="fr-FR" w:eastAsia="ko-KR"/>
        </w:rPr>
        <w:t xml:space="preserve">salles d’attente </w:t>
      </w:r>
      <w:r w:rsidR="00A20E49" w:rsidRPr="002715F2">
        <w:rPr>
          <w:rFonts w:eastAsia="Malgun Gothic"/>
          <w:lang w:val="fr-FR" w:eastAsia="ko-KR"/>
        </w:rPr>
        <w:t>destinés aux</w:t>
      </w:r>
      <w:r w:rsidR="00AF37C8" w:rsidRPr="002715F2">
        <w:rPr>
          <w:rFonts w:eastAsia="Malgun Gothic"/>
          <w:lang w:val="fr-FR" w:eastAsia="ko-KR"/>
        </w:rPr>
        <w:t xml:space="preserve"> détenus </w:t>
      </w:r>
      <w:r w:rsidR="00E900C9" w:rsidRPr="002715F2">
        <w:rPr>
          <w:rFonts w:eastAsia="Malgun Gothic"/>
          <w:lang w:val="fr-FR" w:eastAsia="ko-KR"/>
        </w:rPr>
        <w:t xml:space="preserve">sur le point d’être </w:t>
      </w:r>
      <w:r w:rsidR="00AF37C8" w:rsidRPr="002715F2">
        <w:rPr>
          <w:rFonts w:eastAsia="Malgun Gothic"/>
          <w:lang w:val="fr-FR" w:eastAsia="ko-KR"/>
        </w:rPr>
        <w:t xml:space="preserve">libérés et </w:t>
      </w:r>
      <w:r w:rsidR="00A20E49" w:rsidRPr="002715F2">
        <w:rPr>
          <w:rFonts w:eastAsia="Malgun Gothic"/>
          <w:lang w:val="fr-FR" w:eastAsia="ko-KR"/>
        </w:rPr>
        <w:t>aux</w:t>
      </w:r>
      <w:r w:rsidR="00AF37C8" w:rsidRPr="002715F2">
        <w:rPr>
          <w:rFonts w:eastAsia="Malgun Gothic"/>
          <w:lang w:val="fr-FR" w:eastAsia="ko-KR"/>
        </w:rPr>
        <w:t xml:space="preserve"> nouveaux arrivants, </w:t>
      </w:r>
      <w:r w:rsidR="00E900C9" w:rsidRPr="002715F2">
        <w:rPr>
          <w:rFonts w:eastAsia="Malgun Gothic"/>
          <w:lang w:val="fr-FR" w:eastAsia="ko-KR"/>
        </w:rPr>
        <w:t xml:space="preserve">des </w:t>
      </w:r>
      <w:r w:rsidR="007F621F" w:rsidRPr="002715F2">
        <w:rPr>
          <w:rFonts w:eastAsia="Malgun Gothic"/>
          <w:lang w:val="fr-FR" w:eastAsia="ko-KR"/>
        </w:rPr>
        <w:t>parloirs</w:t>
      </w:r>
      <w:r w:rsidR="00AF37C8" w:rsidRPr="002715F2">
        <w:rPr>
          <w:rFonts w:eastAsia="Malgun Gothic"/>
          <w:lang w:val="fr-FR" w:eastAsia="ko-KR"/>
        </w:rPr>
        <w:t xml:space="preserve"> </w:t>
      </w:r>
      <w:r w:rsidR="00E900C9" w:rsidRPr="002715F2">
        <w:rPr>
          <w:rFonts w:eastAsia="Malgun Gothic"/>
          <w:lang w:val="fr-FR" w:eastAsia="ko-KR"/>
        </w:rPr>
        <w:t xml:space="preserve">ouverts </w:t>
      </w:r>
      <w:r w:rsidR="00AF37C8" w:rsidRPr="002715F2">
        <w:rPr>
          <w:rFonts w:eastAsia="Malgun Gothic"/>
          <w:lang w:val="fr-FR" w:eastAsia="ko-KR"/>
        </w:rPr>
        <w:t xml:space="preserve">et </w:t>
      </w:r>
      <w:r w:rsidR="00E900C9" w:rsidRPr="002715F2">
        <w:rPr>
          <w:rFonts w:eastAsia="Malgun Gothic"/>
          <w:lang w:val="fr-FR" w:eastAsia="ko-KR"/>
        </w:rPr>
        <w:t xml:space="preserve">des </w:t>
      </w:r>
      <w:r w:rsidR="00AF37C8" w:rsidRPr="002715F2">
        <w:rPr>
          <w:rFonts w:eastAsia="Malgun Gothic"/>
          <w:lang w:val="fr-FR" w:eastAsia="ko-KR"/>
        </w:rPr>
        <w:t xml:space="preserve">salles polyvalentes. </w:t>
      </w:r>
      <w:r w:rsidR="00E900C9" w:rsidRPr="002715F2">
        <w:rPr>
          <w:rFonts w:eastAsia="Batang"/>
          <w:lang w:val="fr-FR" w:eastAsia="ko-KR"/>
        </w:rPr>
        <w:t xml:space="preserve">Pour plus </w:t>
      </w:r>
      <w:r w:rsidR="00A20E49" w:rsidRPr="002715F2">
        <w:rPr>
          <w:rFonts w:eastAsia="Batang"/>
          <w:lang w:val="fr-FR" w:eastAsia="ko-KR"/>
        </w:rPr>
        <w:t>de renseignements</w:t>
      </w:r>
      <w:r w:rsidR="00E900C9" w:rsidRPr="002715F2">
        <w:rPr>
          <w:rFonts w:eastAsia="Batang"/>
          <w:lang w:val="fr-FR" w:eastAsia="ko-KR"/>
        </w:rPr>
        <w:t xml:space="preserve"> sur </w:t>
      </w:r>
      <w:r w:rsidR="00E900C9" w:rsidRPr="002715F2">
        <w:rPr>
          <w:rFonts w:eastAsia="Malgun Gothic"/>
          <w:lang w:val="fr-FR" w:eastAsia="ko-KR"/>
        </w:rPr>
        <w:t>la construction et l</w:t>
      </w:r>
      <w:r w:rsidR="000C6CDE" w:rsidRPr="002715F2">
        <w:rPr>
          <w:rFonts w:eastAsia="Malgun Gothic"/>
          <w:lang w:val="fr-FR" w:eastAsia="ko-KR"/>
        </w:rPr>
        <w:t>e déplacement</w:t>
      </w:r>
      <w:r w:rsidR="00E900C9" w:rsidRPr="002715F2">
        <w:rPr>
          <w:rFonts w:eastAsia="Malgun Gothic"/>
          <w:lang w:val="fr-FR" w:eastAsia="ko-KR"/>
        </w:rPr>
        <w:t xml:space="preserve"> des établissements </w:t>
      </w:r>
      <w:r w:rsidR="00730B36" w:rsidRPr="002715F2">
        <w:rPr>
          <w:rFonts w:eastAsia="Malgun Gothic"/>
          <w:lang w:val="fr-FR" w:eastAsia="ko-KR"/>
        </w:rPr>
        <w:t xml:space="preserve">pénitentiaires </w:t>
      </w:r>
      <w:r w:rsidR="00E900C9" w:rsidRPr="002715F2">
        <w:rPr>
          <w:rFonts w:eastAsia="Malgun Gothic"/>
          <w:lang w:val="fr-FR" w:eastAsia="ko-KR"/>
        </w:rPr>
        <w:t>afin de soulager la surpopulation</w:t>
      </w:r>
      <w:r w:rsidR="00E900C9" w:rsidRPr="002715F2">
        <w:rPr>
          <w:rFonts w:eastAsia="Batang"/>
          <w:lang w:val="fr-FR" w:eastAsia="ko-KR"/>
        </w:rPr>
        <w:t xml:space="preserve">, on se reportera au </w:t>
      </w:r>
      <w:r w:rsidR="00AF37C8" w:rsidRPr="002715F2">
        <w:rPr>
          <w:rFonts w:eastAsia="Malgun Gothic"/>
          <w:lang w:val="fr-FR" w:eastAsia="ko-KR"/>
        </w:rPr>
        <w:t>paragraphe</w:t>
      </w:r>
      <w:r w:rsidR="00A20E49" w:rsidRPr="002715F2">
        <w:rPr>
          <w:rFonts w:eastAsia="Malgun Gothic"/>
          <w:lang w:val="fr-FR" w:eastAsia="ko-KR"/>
        </w:rPr>
        <w:t> </w:t>
      </w:r>
      <w:r w:rsidR="00AF37C8" w:rsidRPr="002715F2">
        <w:rPr>
          <w:rFonts w:eastAsia="Malgun Gothic"/>
          <w:lang w:val="fr-FR" w:eastAsia="ko-KR"/>
        </w:rPr>
        <w:t>120 du présent rapport</w:t>
      </w:r>
      <w:r w:rsidR="000078DA" w:rsidRPr="002715F2">
        <w:rPr>
          <w:rFonts w:eastAsia="Malgun Gothic"/>
          <w:bCs/>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106.</w:t>
      </w:r>
      <w:r w:rsidRPr="002715F2">
        <w:rPr>
          <w:rFonts w:eastAsia="Batang"/>
          <w:lang w:val="fr-FR" w:eastAsia="ko-KR"/>
        </w:rPr>
        <w:tab/>
      </w:r>
      <w:r w:rsidR="00E900C9" w:rsidRPr="002715F2">
        <w:rPr>
          <w:rFonts w:eastAsia="Batang"/>
          <w:lang w:val="fr-FR" w:eastAsia="ko-KR"/>
        </w:rPr>
        <w:t xml:space="preserve">Les mineurs </w:t>
      </w:r>
      <w:r w:rsidR="00F84D51" w:rsidRPr="002715F2">
        <w:rPr>
          <w:rFonts w:eastAsia="Batang"/>
          <w:lang w:val="fr-FR" w:eastAsia="ko-KR"/>
        </w:rPr>
        <w:t>accueillis</w:t>
      </w:r>
      <w:r w:rsidR="00E900C9" w:rsidRPr="002715F2">
        <w:rPr>
          <w:rFonts w:eastAsia="Batang"/>
          <w:lang w:val="fr-FR" w:eastAsia="ko-KR"/>
        </w:rPr>
        <w:t xml:space="preserve"> dans des </w:t>
      </w:r>
      <w:r w:rsidR="005F139E" w:rsidRPr="002715F2">
        <w:rPr>
          <w:rFonts w:eastAsia="Batang"/>
          <w:lang w:val="fr-FR" w:eastAsia="ko-KR"/>
        </w:rPr>
        <w:t>structures</w:t>
      </w:r>
      <w:r w:rsidR="00E900C9" w:rsidRPr="002715F2">
        <w:rPr>
          <w:rFonts w:eastAsia="Batang"/>
          <w:lang w:val="fr-FR" w:eastAsia="ko-KR"/>
        </w:rPr>
        <w:t xml:space="preserve"> de protection sont </w:t>
      </w:r>
      <w:r w:rsidR="00F84D51" w:rsidRPr="002715F2">
        <w:rPr>
          <w:rFonts w:eastAsia="Batang"/>
          <w:lang w:val="fr-FR" w:eastAsia="ko-KR"/>
        </w:rPr>
        <w:t xml:space="preserve">détenus </w:t>
      </w:r>
      <w:r w:rsidR="005F139E" w:rsidRPr="002715F2">
        <w:rPr>
          <w:rFonts w:eastAsia="Batang"/>
          <w:lang w:val="fr-FR" w:eastAsia="ko-KR"/>
        </w:rPr>
        <w:t>par groupes plus petits</w:t>
      </w:r>
      <w:r w:rsidR="00E900C9" w:rsidRPr="002715F2">
        <w:rPr>
          <w:rFonts w:eastAsia="Batang"/>
          <w:lang w:val="fr-FR" w:eastAsia="ko-KR"/>
        </w:rPr>
        <w:t xml:space="preserve"> et </w:t>
      </w:r>
      <w:r w:rsidR="005C6D8E" w:rsidRPr="002715F2">
        <w:rPr>
          <w:rFonts w:eastAsia="Batang"/>
          <w:lang w:val="fr-FR" w:eastAsia="ko-KR"/>
        </w:rPr>
        <w:t>bénéficient</w:t>
      </w:r>
      <w:r w:rsidR="005F139E" w:rsidRPr="002715F2">
        <w:rPr>
          <w:rFonts w:eastAsia="Batang"/>
          <w:lang w:val="fr-FR" w:eastAsia="ko-KR"/>
        </w:rPr>
        <w:t xml:space="preserve"> d’un traitement </w:t>
      </w:r>
      <w:r w:rsidR="00F84D51" w:rsidRPr="002715F2">
        <w:rPr>
          <w:rFonts w:eastAsia="Batang"/>
          <w:lang w:val="fr-FR" w:eastAsia="ko-KR"/>
        </w:rPr>
        <w:t>plus</w:t>
      </w:r>
      <w:r w:rsidR="00E900C9" w:rsidRPr="002715F2">
        <w:rPr>
          <w:rFonts w:eastAsia="Batang"/>
          <w:lang w:val="fr-FR" w:eastAsia="ko-KR"/>
        </w:rPr>
        <w:t xml:space="preserve"> </w:t>
      </w:r>
      <w:r w:rsidR="005F139E" w:rsidRPr="002715F2">
        <w:rPr>
          <w:rFonts w:eastAsia="Batang"/>
          <w:lang w:val="fr-FR" w:eastAsia="ko-KR"/>
        </w:rPr>
        <w:t>individuel</w:t>
      </w:r>
      <w:r w:rsidR="000078DA" w:rsidRPr="002715F2">
        <w:rPr>
          <w:rFonts w:eastAsia="Batang"/>
          <w:lang w:val="fr-FR" w:eastAsia="ko-KR"/>
        </w:rPr>
        <w:t xml:space="preserve">. </w:t>
      </w:r>
      <w:r w:rsidR="00E900C9" w:rsidRPr="002715F2">
        <w:rPr>
          <w:rFonts w:eastAsia="Batang"/>
          <w:lang w:val="fr-FR" w:eastAsia="ko-KR"/>
        </w:rPr>
        <w:t xml:space="preserve">Ceux qui ne parviennent pas à s’adapter à la vie collective </w:t>
      </w:r>
      <w:r w:rsidR="00F84D51" w:rsidRPr="002715F2">
        <w:rPr>
          <w:rFonts w:eastAsia="Batang"/>
          <w:lang w:val="fr-FR" w:eastAsia="ko-KR"/>
        </w:rPr>
        <w:t>peuvent obtenir</w:t>
      </w:r>
      <w:r w:rsidR="00E900C9" w:rsidRPr="002715F2">
        <w:rPr>
          <w:rFonts w:eastAsia="Batang"/>
          <w:lang w:val="fr-FR" w:eastAsia="ko-KR"/>
        </w:rPr>
        <w:t xml:space="preserve"> des petits </w:t>
      </w:r>
      <w:r w:rsidR="00C3122C" w:rsidRPr="002715F2">
        <w:rPr>
          <w:rFonts w:eastAsia="Batang"/>
          <w:lang w:val="fr-FR" w:eastAsia="ko-KR"/>
        </w:rPr>
        <w:t>dortoirs</w:t>
      </w:r>
      <w:r w:rsidR="00E900C9" w:rsidRPr="002715F2">
        <w:rPr>
          <w:rFonts w:eastAsia="Batang"/>
          <w:lang w:val="fr-FR" w:eastAsia="ko-KR"/>
        </w:rPr>
        <w:t xml:space="preserve"> ou </w:t>
      </w:r>
      <w:r w:rsidR="00F84D51" w:rsidRPr="002715F2">
        <w:rPr>
          <w:rFonts w:eastAsia="Batang"/>
          <w:lang w:val="fr-FR" w:eastAsia="ko-KR"/>
        </w:rPr>
        <w:t xml:space="preserve">des chambres </w:t>
      </w:r>
      <w:r w:rsidR="00E900C9" w:rsidRPr="002715F2">
        <w:rPr>
          <w:rFonts w:eastAsia="Batang"/>
          <w:lang w:val="fr-FR" w:eastAsia="ko-KR"/>
        </w:rPr>
        <w:t>individuelles</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107.</w:t>
      </w:r>
      <w:r w:rsidRPr="002715F2">
        <w:rPr>
          <w:rFonts w:eastAsia="Batang"/>
          <w:lang w:val="fr-FR" w:eastAsia="ko-KR"/>
        </w:rPr>
        <w:tab/>
      </w:r>
      <w:r w:rsidR="009A0A6D" w:rsidRPr="002715F2">
        <w:rPr>
          <w:rFonts w:eastAsia="Batang"/>
          <w:lang w:val="fr-FR" w:eastAsia="ko-KR"/>
        </w:rPr>
        <w:t>Afin de</w:t>
      </w:r>
      <w:r w:rsidR="00D73F57" w:rsidRPr="002715F2">
        <w:rPr>
          <w:rFonts w:eastAsia="Batang"/>
          <w:lang w:val="fr-FR" w:eastAsia="ko-KR"/>
        </w:rPr>
        <w:t xml:space="preserve"> donner suite aux résultats de l’enquête menée par la Commission nationale des droits de l’homme, l</w:t>
      </w:r>
      <w:r w:rsidR="00F84D51" w:rsidRPr="002715F2">
        <w:rPr>
          <w:rFonts w:eastAsia="Batang"/>
          <w:lang w:val="fr-FR" w:eastAsia="ko-KR"/>
        </w:rPr>
        <w:t>e Mi</w:t>
      </w:r>
      <w:r w:rsidR="00D73F57" w:rsidRPr="002715F2">
        <w:rPr>
          <w:rFonts w:eastAsia="Batang"/>
          <w:lang w:val="fr-FR" w:eastAsia="ko-KR"/>
        </w:rPr>
        <w:t xml:space="preserve">nistère de la défense nationale </w:t>
      </w:r>
      <w:r w:rsidR="00F84D51" w:rsidRPr="002715F2">
        <w:rPr>
          <w:rFonts w:eastAsia="Batang"/>
          <w:lang w:val="fr-FR" w:eastAsia="ko-KR"/>
        </w:rPr>
        <w:t>améliore continuellement les conditions d</w:t>
      </w:r>
      <w:r w:rsidR="00365352" w:rsidRPr="002715F2">
        <w:rPr>
          <w:rFonts w:eastAsia="Batang"/>
          <w:lang w:val="fr-FR" w:eastAsia="ko-KR"/>
        </w:rPr>
        <w:t>ans l</w:t>
      </w:r>
      <w:r w:rsidR="00F84D51" w:rsidRPr="002715F2">
        <w:rPr>
          <w:rFonts w:eastAsia="Batang"/>
          <w:lang w:val="fr-FR" w:eastAsia="ko-KR"/>
        </w:rPr>
        <w:t xml:space="preserve">es centres de détention et </w:t>
      </w:r>
      <w:r w:rsidR="009A0A6D" w:rsidRPr="002715F2">
        <w:rPr>
          <w:rFonts w:eastAsia="Batang"/>
          <w:lang w:val="fr-FR" w:eastAsia="ko-KR"/>
        </w:rPr>
        <w:t>le traitement</w:t>
      </w:r>
      <w:r w:rsidR="00F84D51" w:rsidRPr="002715F2">
        <w:rPr>
          <w:rFonts w:eastAsia="Batang"/>
          <w:lang w:val="fr-FR" w:eastAsia="ko-KR"/>
        </w:rPr>
        <w:t xml:space="preserve"> des détenus</w:t>
      </w:r>
      <w:r w:rsidR="00D73F57" w:rsidRPr="002715F2">
        <w:rPr>
          <w:rFonts w:eastAsia="Batang"/>
          <w:lang w:val="fr-FR" w:eastAsia="ko-KR"/>
        </w:rPr>
        <w:t>,</w:t>
      </w:r>
      <w:r w:rsidR="00F84D51" w:rsidRPr="002715F2">
        <w:rPr>
          <w:rFonts w:eastAsia="Batang"/>
          <w:lang w:val="fr-FR" w:eastAsia="ko-KR"/>
        </w:rPr>
        <w:t xml:space="preserve"> </w:t>
      </w:r>
      <w:r w:rsidR="00D73F57" w:rsidRPr="002715F2">
        <w:rPr>
          <w:rFonts w:eastAsia="Batang"/>
          <w:lang w:val="fr-FR" w:eastAsia="ko-KR"/>
        </w:rPr>
        <w:t>notamment</w:t>
      </w:r>
      <w:r w:rsidR="00F84D51" w:rsidRPr="002715F2">
        <w:rPr>
          <w:rFonts w:eastAsia="Batang"/>
          <w:lang w:val="fr-FR" w:eastAsia="ko-KR"/>
        </w:rPr>
        <w:t xml:space="preserve"> l’hygiène, les services médicaux et l’éclairage naturel</w:t>
      </w:r>
      <w:r w:rsidR="00F60999" w:rsidRPr="002715F2">
        <w:rPr>
          <w:rFonts w:eastAsia="Batang"/>
          <w:lang w:val="fr-FR" w:eastAsia="ko-KR"/>
        </w:rPr>
        <w:t>.</w:t>
      </w:r>
    </w:p>
    <w:p w:rsidR="000078DA" w:rsidRPr="002715F2" w:rsidRDefault="007026FB" w:rsidP="007026FB">
      <w:pPr>
        <w:pStyle w:val="SingleTxtG"/>
        <w:rPr>
          <w:rFonts w:eastAsia="Batang" w:cs="Gulim"/>
          <w:color w:val="000000"/>
          <w:lang w:val="fr-FR" w:eastAsia="ko-KR"/>
        </w:rPr>
      </w:pPr>
      <w:r w:rsidRPr="002715F2">
        <w:rPr>
          <w:rFonts w:eastAsia="Batang"/>
          <w:color w:val="000000"/>
          <w:lang w:val="fr-FR" w:eastAsia="ko-KR"/>
        </w:rPr>
        <w:t>108.</w:t>
      </w:r>
      <w:r w:rsidRPr="002715F2">
        <w:rPr>
          <w:rFonts w:eastAsia="Batang"/>
          <w:color w:val="000000"/>
          <w:lang w:val="fr-FR" w:eastAsia="ko-KR"/>
        </w:rPr>
        <w:tab/>
      </w:r>
      <w:r w:rsidR="00F84D51" w:rsidRPr="002715F2">
        <w:rPr>
          <w:rFonts w:eastAsia="Batang" w:cs="Gulim"/>
          <w:color w:val="000000"/>
          <w:lang w:val="fr-FR" w:eastAsia="ko-KR"/>
        </w:rPr>
        <w:t>L</w:t>
      </w:r>
      <w:r w:rsidR="002F08A5" w:rsidRPr="002715F2">
        <w:rPr>
          <w:rFonts w:eastAsia="Batang" w:cs="Gulim"/>
          <w:color w:val="000000"/>
          <w:lang w:val="fr-FR" w:eastAsia="ko-KR"/>
        </w:rPr>
        <w:t>’</w:t>
      </w:r>
      <w:r w:rsidR="002F08A5" w:rsidRPr="002715F2">
        <w:rPr>
          <w:rFonts w:eastAsia="Batang"/>
          <w:lang w:val="fr-FR" w:eastAsia="ko-KR"/>
        </w:rPr>
        <w:t xml:space="preserve">Agence de police nationale </w:t>
      </w:r>
      <w:r w:rsidR="009F06CD" w:rsidRPr="002715F2">
        <w:rPr>
          <w:rFonts w:eastAsia="Batang" w:cs="Gulim"/>
          <w:color w:val="000000"/>
          <w:lang w:val="fr-FR" w:eastAsia="ko-KR"/>
        </w:rPr>
        <w:t xml:space="preserve">a </w:t>
      </w:r>
      <w:r w:rsidR="00E625E6" w:rsidRPr="002715F2">
        <w:rPr>
          <w:rFonts w:eastAsia="Batang" w:cs="Gulim"/>
          <w:color w:val="000000"/>
          <w:lang w:val="fr-FR" w:eastAsia="ko-KR"/>
        </w:rPr>
        <w:t>agrandi</w:t>
      </w:r>
      <w:r w:rsidR="009F06CD" w:rsidRPr="002715F2">
        <w:rPr>
          <w:rFonts w:eastAsia="Batang" w:cs="Gulim"/>
          <w:color w:val="000000"/>
          <w:lang w:val="fr-FR" w:eastAsia="ko-KR"/>
        </w:rPr>
        <w:t xml:space="preserve"> les </w:t>
      </w:r>
      <w:r w:rsidR="00E625E6" w:rsidRPr="002715F2">
        <w:rPr>
          <w:lang w:val="fr-FR"/>
        </w:rPr>
        <w:t>locaux</w:t>
      </w:r>
      <w:r w:rsidR="009F06CD" w:rsidRPr="002715F2">
        <w:rPr>
          <w:lang w:val="fr-FR"/>
        </w:rPr>
        <w:t xml:space="preserve"> de </w:t>
      </w:r>
      <w:r w:rsidR="00E625E6" w:rsidRPr="002715F2">
        <w:rPr>
          <w:lang w:val="fr-FR"/>
        </w:rPr>
        <w:t>garde à vue</w:t>
      </w:r>
      <w:r w:rsidR="009F06CD" w:rsidRPr="002715F2">
        <w:rPr>
          <w:lang w:val="fr-FR"/>
        </w:rPr>
        <w:t xml:space="preserve"> des postes de police,</w:t>
      </w:r>
      <w:r w:rsidR="009F06CD" w:rsidRPr="002715F2">
        <w:rPr>
          <w:rFonts w:eastAsia="Batang" w:cs="Gulim"/>
          <w:color w:val="000000"/>
          <w:lang w:val="fr-FR" w:eastAsia="ko-KR"/>
        </w:rPr>
        <w:t xml:space="preserve"> en conformité avec </w:t>
      </w:r>
      <w:r w:rsidR="00E625E6" w:rsidRPr="002715F2">
        <w:rPr>
          <w:rFonts w:eastAsia="Batang" w:cs="Gulim"/>
          <w:color w:val="000000"/>
          <w:lang w:val="fr-FR" w:eastAsia="ko-KR"/>
        </w:rPr>
        <w:t>les droits de l’homme. Selon le Règlement relatif</w:t>
      </w:r>
      <w:r w:rsidR="009F06CD" w:rsidRPr="002715F2">
        <w:rPr>
          <w:rFonts w:eastAsia="Batang" w:cs="Gulim"/>
          <w:color w:val="000000"/>
          <w:lang w:val="fr-FR" w:eastAsia="ko-KR"/>
        </w:rPr>
        <w:t xml:space="preserve"> à la conception des </w:t>
      </w:r>
      <w:r w:rsidR="00E625E6" w:rsidRPr="002715F2">
        <w:rPr>
          <w:lang w:val="fr-FR"/>
        </w:rPr>
        <w:t xml:space="preserve">locaux de garde à vue </w:t>
      </w:r>
      <w:r w:rsidR="009F06CD" w:rsidRPr="002715F2">
        <w:rPr>
          <w:lang w:val="fr-FR"/>
        </w:rPr>
        <w:t>des postes de police</w:t>
      </w:r>
      <w:r w:rsidR="009F06CD" w:rsidRPr="002715F2">
        <w:rPr>
          <w:rFonts w:eastAsia="Batang" w:cs="Gulim"/>
          <w:color w:val="000000"/>
          <w:lang w:val="fr-FR" w:eastAsia="ko-KR"/>
        </w:rPr>
        <w:t xml:space="preserve"> (</w:t>
      </w:r>
      <w:r w:rsidR="00E625E6" w:rsidRPr="002715F2">
        <w:rPr>
          <w:rFonts w:eastAsia="Batang" w:cs="Gulim"/>
          <w:color w:val="000000"/>
          <w:lang w:val="fr-FR" w:eastAsia="ko-KR"/>
        </w:rPr>
        <w:t>règlement établi</w:t>
      </w:r>
      <w:r w:rsidR="009F06CD" w:rsidRPr="002715F2">
        <w:rPr>
          <w:rFonts w:eastAsia="Batang" w:cs="Gulim"/>
          <w:color w:val="000000"/>
          <w:lang w:val="fr-FR" w:eastAsia="ko-KR"/>
        </w:rPr>
        <w:t xml:space="preserve"> par </w:t>
      </w:r>
      <w:r w:rsidR="002F08A5" w:rsidRPr="002715F2">
        <w:rPr>
          <w:rFonts w:eastAsia="Batang"/>
          <w:lang w:val="fr-FR" w:eastAsia="ko-KR"/>
        </w:rPr>
        <w:t>l’Agence de police nationale</w:t>
      </w:r>
      <w:r w:rsidR="009F06CD" w:rsidRPr="002715F2">
        <w:rPr>
          <w:rFonts w:eastAsia="Batang" w:cs="Gulim"/>
          <w:color w:val="000000"/>
          <w:lang w:val="fr-FR" w:eastAsia="ko-KR"/>
        </w:rPr>
        <w:t xml:space="preserve">), </w:t>
      </w:r>
      <w:r w:rsidR="00FC2329" w:rsidRPr="002715F2">
        <w:rPr>
          <w:rFonts w:eastAsia="Batang" w:cs="Gulim"/>
          <w:color w:val="000000"/>
          <w:lang w:val="fr-FR" w:eastAsia="ko-KR"/>
        </w:rPr>
        <w:t>c</w:t>
      </w:r>
      <w:r w:rsidR="009F06CD" w:rsidRPr="002715F2">
        <w:rPr>
          <w:rFonts w:eastAsia="Batang" w:cs="Gulim"/>
          <w:color w:val="000000"/>
          <w:lang w:val="fr-FR" w:eastAsia="ko-KR"/>
        </w:rPr>
        <w:t>es cellules doivent mesurer au moins 13,2 m</w:t>
      </w:r>
      <w:r w:rsidR="009F06CD" w:rsidRPr="002715F2">
        <w:rPr>
          <w:rFonts w:eastAsia="Batang" w:cs="Gulim"/>
          <w:color w:val="000000"/>
          <w:vertAlign w:val="superscript"/>
          <w:lang w:val="fr-FR" w:eastAsia="ko-KR"/>
        </w:rPr>
        <w:t>2</w:t>
      </w:r>
      <w:r w:rsidR="00E625E6" w:rsidRPr="002715F2">
        <w:rPr>
          <w:rFonts w:eastAsia="Batang" w:cs="Gulim"/>
          <w:color w:val="000000"/>
          <w:lang w:val="fr-FR" w:eastAsia="ko-KR"/>
        </w:rPr>
        <w:t xml:space="preserve"> et accueillir au maximum cinq </w:t>
      </w:r>
      <w:r w:rsidR="009F06CD" w:rsidRPr="002715F2">
        <w:rPr>
          <w:rFonts w:eastAsia="Batang" w:cs="Gulim"/>
          <w:color w:val="000000"/>
          <w:lang w:val="fr-FR" w:eastAsia="ko-KR"/>
        </w:rPr>
        <w:t>détenus</w:t>
      </w:r>
      <w:r w:rsidR="00E625E6" w:rsidRPr="002715F2">
        <w:rPr>
          <w:rFonts w:eastAsia="Batang" w:cs="Gulim"/>
          <w:color w:val="000000"/>
          <w:lang w:val="fr-FR" w:eastAsia="ko-KR"/>
        </w:rPr>
        <w:t xml:space="preserve">, </w:t>
      </w:r>
      <w:r w:rsidR="00FC2329" w:rsidRPr="002715F2">
        <w:rPr>
          <w:rFonts w:eastAsia="Batang" w:cs="Gulim"/>
          <w:color w:val="000000"/>
          <w:lang w:val="fr-FR" w:eastAsia="ko-KR"/>
        </w:rPr>
        <w:t>pour</w:t>
      </w:r>
      <w:r w:rsidR="009F06CD" w:rsidRPr="002715F2">
        <w:rPr>
          <w:rFonts w:eastAsia="Batang" w:cs="Gulim"/>
          <w:color w:val="000000"/>
          <w:lang w:val="fr-FR" w:eastAsia="ko-KR"/>
        </w:rPr>
        <w:t xml:space="preserve"> </w:t>
      </w:r>
      <w:r w:rsidR="00FC0324" w:rsidRPr="002715F2">
        <w:rPr>
          <w:rFonts w:eastAsia="Batang" w:cs="Gulim"/>
          <w:color w:val="000000"/>
          <w:lang w:val="fr-FR" w:eastAsia="ko-KR"/>
        </w:rPr>
        <w:t xml:space="preserve">une </w:t>
      </w:r>
      <w:r w:rsidR="009F06CD" w:rsidRPr="002715F2">
        <w:rPr>
          <w:rFonts w:eastAsia="Batang" w:cs="Gulim"/>
          <w:color w:val="000000"/>
          <w:lang w:val="fr-FR" w:eastAsia="ko-KR"/>
        </w:rPr>
        <w:t>superficie par occupant de 2,64</w:t>
      </w:r>
      <w:r w:rsidR="00E625E6" w:rsidRPr="002715F2">
        <w:rPr>
          <w:rFonts w:eastAsia="Batang" w:cs="Gulim"/>
          <w:color w:val="000000"/>
          <w:lang w:val="fr-FR" w:eastAsia="ko-KR"/>
        </w:rPr>
        <w:t> </w:t>
      </w:r>
      <w:r w:rsidR="009F06CD" w:rsidRPr="002715F2">
        <w:rPr>
          <w:rFonts w:eastAsia="Batang" w:cs="Gulim"/>
          <w:color w:val="000000"/>
          <w:lang w:val="fr-FR" w:eastAsia="ko-KR"/>
        </w:rPr>
        <w:t>m²</w:t>
      </w:r>
      <w:r w:rsidR="000078DA" w:rsidRPr="002715F2">
        <w:rPr>
          <w:rFonts w:eastAsia="Batang" w:cs="Gulim"/>
          <w:color w:val="000000"/>
          <w:lang w:val="fr-FR" w:eastAsia="ko-KR"/>
        </w:rPr>
        <w:t xml:space="preserve">. </w:t>
      </w:r>
      <w:r w:rsidR="00E625E6" w:rsidRPr="002715F2">
        <w:rPr>
          <w:rFonts w:eastAsia="Batang" w:cs="Gulim"/>
          <w:color w:val="000000"/>
          <w:lang w:val="fr-FR" w:eastAsia="ko-KR"/>
        </w:rPr>
        <w:t>Au moins 3,3 </w:t>
      </w:r>
      <w:r w:rsidR="00695E2D" w:rsidRPr="002715F2">
        <w:rPr>
          <w:rFonts w:eastAsia="Batang" w:cs="Gulim"/>
          <w:color w:val="000000"/>
          <w:lang w:val="fr-FR" w:eastAsia="ko-KR"/>
        </w:rPr>
        <w:t>m</w:t>
      </w:r>
      <w:r w:rsidR="00695E2D" w:rsidRPr="002715F2">
        <w:rPr>
          <w:rFonts w:eastAsia="Batang" w:cs="Gulim"/>
          <w:color w:val="000000"/>
          <w:vertAlign w:val="superscript"/>
          <w:lang w:val="fr-FR" w:eastAsia="ko-KR"/>
        </w:rPr>
        <w:t>2</w:t>
      </w:r>
      <w:r w:rsidR="00695E2D" w:rsidRPr="002715F2">
        <w:rPr>
          <w:rFonts w:eastAsia="Batang" w:cs="Gulim"/>
          <w:color w:val="000000"/>
          <w:lang w:val="fr-FR" w:eastAsia="ko-KR"/>
        </w:rPr>
        <w:t xml:space="preserve"> </w:t>
      </w:r>
      <w:r w:rsidR="00FC0324" w:rsidRPr="002715F2">
        <w:rPr>
          <w:rFonts w:eastAsia="Batang" w:cs="Gulim"/>
          <w:color w:val="000000"/>
          <w:lang w:val="fr-FR" w:eastAsia="ko-KR"/>
        </w:rPr>
        <w:t xml:space="preserve">par personne sont généralement </w:t>
      </w:r>
      <w:r w:rsidR="00E625E6" w:rsidRPr="002715F2">
        <w:rPr>
          <w:rFonts w:eastAsia="Batang" w:cs="Gulim"/>
          <w:color w:val="000000"/>
          <w:lang w:val="fr-FR" w:eastAsia="ko-KR"/>
        </w:rPr>
        <w:t>alloués</w:t>
      </w:r>
      <w:r w:rsidR="000078DA" w:rsidRPr="002715F2">
        <w:rPr>
          <w:rFonts w:eastAsia="Batang" w:cs="Gulim"/>
          <w:color w:val="000000"/>
          <w:lang w:val="fr-FR" w:eastAsia="ko-KR"/>
        </w:rPr>
        <w:t xml:space="preserve">. </w:t>
      </w:r>
      <w:r w:rsidR="00FC0324" w:rsidRPr="002715F2">
        <w:rPr>
          <w:rFonts w:eastAsia="Batang" w:cs="Gulim"/>
          <w:color w:val="000000"/>
          <w:lang w:val="fr-FR" w:eastAsia="ko-KR"/>
        </w:rPr>
        <w:t>Depuis 2011, l</w:t>
      </w:r>
      <w:r w:rsidR="0023355D" w:rsidRPr="002715F2">
        <w:rPr>
          <w:rFonts w:eastAsia="Batang" w:cs="Gulim"/>
          <w:color w:val="000000"/>
          <w:lang w:val="fr-FR" w:eastAsia="ko-KR"/>
        </w:rPr>
        <w:t>e</w:t>
      </w:r>
      <w:r w:rsidR="00FC0324" w:rsidRPr="002715F2">
        <w:rPr>
          <w:rFonts w:eastAsia="Batang" w:cs="Gulim"/>
          <w:color w:val="000000"/>
          <w:lang w:val="fr-FR" w:eastAsia="ko-KR"/>
        </w:rPr>
        <w:t xml:space="preserve"> </w:t>
      </w:r>
      <w:r w:rsidR="0023355D" w:rsidRPr="002715F2">
        <w:rPr>
          <w:rFonts w:eastAsia="Batang"/>
          <w:lang w:val="fr-FR" w:eastAsia="ko-KR"/>
        </w:rPr>
        <w:t xml:space="preserve">département des droits </w:t>
      </w:r>
      <w:r w:rsidR="00FC0324" w:rsidRPr="002715F2">
        <w:rPr>
          <w:rFonts w:eastAsia="Batang" w:cs="Gulim"/>
          <w:color w:val="000000"/>
          <w:lang w:val="fr-FR" w:eastAsia="ko-KR"/>
        </w:rPr>
        <w:t xml:space="preserve">de l’homme de la Police nationale met en </w:t>
      </w:r>
      <w:r w:rsidR="005C6D8E" w:rsidRPr="002715F2">
        <w:rPr>
          <w:rFonts w:eastAsia="Batang" w:cs="Gulim"/>
          <w:color w:val="000000"/>
          <w:lang w:val="fr-FR" w:eastAsia="ko-KR"/>
        </w:rPr>
        <w:t>œuvre</w:t>
      </w:r>
      <w:r w:rsidR="00E625E6" w:rsidRPr="002715F2">
        <w:rPr>
          <w:rFonts w:eastAsia="Batang" w:cs="Gulim"/>
          <w:color w:val="000000"/>
          <w:lang w:val="fr-FR" w:eastAsia="ko-KR"/>
        </w:rPr>
        <w:t xml:space="preserve"> un programme intitulé </w:t>
      </w:r>
      <w:r w:rsidR="00E97B1A" w:rsidRPr="002715F2">
        <w:rPr>
          <w:rFonts w:eastAsia="Batang" w:cs="Gulim"/>
          <w:color w:val="000000"/>
          <w:lang w:val="fr-FR" w:eastAsia="ko-KR"/>
        </w:rPr>
        <w:t>«</w:t>
      </w:r>
      <w:r w:rsidR="00812056" w:rsidRPr="002715F2">
        <w:rPr>
          <w:rFonts w:eastAsia="Batang" w:cs="Gulim"/>
          <w:color w:val="000000"/>
          <w:lang w:val="fr-FR" w:eastAsia="ko-KR"/>
        </w:rPr>
        <w:t>G</w:t>
      </w:r>
      <w:r w:rsidR="00E625E6" w:rsidRPr="002715F2">
        <w:rPr>
          <w:lang w:val="fr-FR"/>
        </w:rPr>
        <w:t xml:space="preserve">arde à vue </w:t>
      </w:r>
      <w:r w:rsidR="00FC0324" w:rsidRPr="002715F2">
        <w:rPr>
          <w:rFonts w:eastAsia="Batang" w:cs="Gulim"/>
          <w:color w:val="000000"/>
          <w:lang w:val="fr-FR" w:eastAsia="ko-KR"/>
        </w:rPr>
        <w:t>sans barreaux</w:t>
      </w:r>
      <w:r w:rsidR="00E97B1A" w:rsidRPr="002715F2">
        <w:rPr>
          <w:rFonts w:eastAsia="Batang" w:cs="Gulim"/>
          <w:color w:val="000000"/>
          <w:lang w:val="fr-FR" w:eastAsia="ko-KR"/>
        </w:rPr>
        <w:t>»</w:t>
      </w:r>
      <w:r w:rsidR="000078DA" w:rsidRPr="002715F2">
        <w:rPr>
          <w:rFonts w:eastAsia="Batang" w:cs="Gulim"/>
          <w:color w:val="000000"/>
          <w:lang w:val="fr-FR" w:eastAsia="ko-KR"/>
        </w:rPr>
        <w:t xml:space="preserve">. </w:t>
      </w:r>
      <w:r w:rsidR="00FC0324" w:rsidRPr="002715F2">
        <w:rPr>
          <w:rFonts w:eastAsia="Batang" w:cs="Gulim"/>
          <w:color w:val="000000"/>
          <w:lang w:val="fr-FR" w:eastAsia="ko-KR"/>
        </w:rPr>
        <w:t>En</w:t>
      </w:r>
      <w:r w:rsidR="00E625E6" w:rsidRPr="002715F2">
        <w:rPr>
          <w:rFonts w:eastAsia="Batang" w:cs="Gulim"/>
          <w:color w:val="000000"/>
          <w:lang w:val="fr-FR" w:eastAsia="ko-KR"/>
        </w:rPr>
        <w:t xml:space="preserve"> 2015, 15 </w:t>
      </w:r>
      <w:r w:rsidR="00F81584" w:rsidRPr="002715F2">
        <w:rPr>
          <w:lang w:val="fr-FR"/>
        </w:rPr>
        <w:t xml:space="preserve">locaux de garde à vue </w:t>
      </w:r>
      <w:r w:rsidR="00FC0324" w:rsidRPr="002715F2">
        <w:rPr>
          <w:rFonts w:eastAsia="Batang" w:cs="Gulim"/>
          <w:color w:val="000000"/>
          <w:lang w:val="fr-FR" w:eastAsia="ko-KR"/>
        </w:rPr>
        <w:t xml:space="preserve">sans </w:t>
      </w:r>
      <w:r w:rsidR="005C6D8E" w:rsidRPr="002715F2">
        <w:rPr>
          <w:rFonts w:eastAsia="Batang" w:cs="Gulim"/>
          <w:color w:val="000000"/>
          <w:lang w:val="fr-FR" w:eastAsia="ko-KR"/>
        </w:rPr>
        <w:t>barreaux</w:t>
      </w:r>
      <w:r w:rsidR="00FC0324" w:rsidRPr="002715F2">
        <w:rPr>
          <w:rFonts w:eastAsia="Batang" w:cs="Gulim"/>
          <w:color w:val="000000"/>
          <w:lang w:val="fr-FR" w:eastAsia="ko-KR"/>
        </w:rPr>
        <w:t xml:space="preserve"> étaient</w:t>
      </w:r>
      <w:r w:rsidR="000078DA" w:rsidRPr="002715F2">
        <w:rPr>
          <w:rFonts w:eastAsia="Batang" w:cs="Gulim"/>
          <w:color w:val="000000"/>
          <w:lang w:val="fr-FR" w:eastAsia="ko-KR"/>
        </w:rPr>
        <w:t xml:space="preserve"> </w:t>
      </w:r>
      <w:r w:rsidR="00FC0324" w:rsidRPr="002715F2">
        <w:rPr>
          <w:rFonts w:eastAsia="Batang" w:cs="Gulim"/>
          <w:color w:val="000000"/>
          <w:lang w:val="fr-FR" w:eastAsia="ko-KR"/>
        </w:rPr>
        <w:t>en</w:t>
      </w:r>
      <w:r w:rsidR="000078DA" w:rsidRPr="002715F2">
        <w:rPr>
          <w:rFonts w:eastAsia="Batang" w:cs="Gulim"/>
          <w:color w:val="000000"/>
          <w:lang w:val="fr-FR" w:eastAsia="ko-KR"/>
        </w:rPr>
        <w:t xml:space="preserve"> </w:t>
      </w:r>
      <w:r w:rsidR="00FC0324" w:rsidRPr="002715F2">
        <w:rPr>
          <w:rFonts w:eastAsia="Batang" w:cs="Gulim"/>
          <w:color w:val="000000"/>
          <w:lang w:val="fr-FR" w:eastAsia="ko-KR"/>
        </w:rPr>
        <w:t>service</w:t>
      </w:r>
      <w:r w:rsidR="000078DA" w:rsidRPr="002715F2">
        <w:rPr>
          <w:rFonts w:eastAsia="Batang" w:cs="Gulim"/>
          <w:color w:val="000000"/>
          <w:lang w:val="fr-FR" w:eastAsia="ko-KR"/>
        </w:rPr>
        <w:t>.</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FC0324" w:rsidRPr="002715F2">
        <w:rPr>
          <w:rFonts w:eastAsia="Batang"/>
          <w:lang w:val="fr-FR" w:eastAsia="ko-KR"/>
        </w:rPr>
        <w:t xml:space="preserve">Fermeture des cellules de substitution et amélioration </w:t>
      </w:r>
      <w:r w:rsidR="00906A48" w:rsidRPr="002715F2">
        <w:rPr>
          <w:rFonts w:eastAsia="Batang"/>
          <w:lang w:val="fr-FR" w:eastAsia="ko-KR"/>
        </w:rPr>
        <w:t>d</w:t>
      </w:r>
      <w:r w:rsidR="00FC0324" w:rsidRPr="002715F2">
        <w:rPr>
          <w:rFonts w:eastAsia="Batang"/>
          <w:lang w:val="fr-FR" w:eastAsia="ko-KR"/>
        </w:rPr>
        <w:t>es conditions de détention</w:t>
      </w:r>
    </w:p>
    <w:p w:rsidR="000078DA" w:rsidRPr="002715F2" w:rsidRDefault="007026FB" w:rsidP="007026FB">
      <w:pPr>
        <w:pStyle w:val="SingleTxtG"/>
        <w:rPr>
          <w:rFonts w:eastAsia="Batang"/>
          <w:lang w:val="fr-FR" w:eastAsia="ko-KR"/>
        </w:rPr>
      </w:pPr>
      <w:r w:rsidRPr="002715F2">
        <w:rPr>
          <w:rFonts w:eastAsia="Batang"/>
          <w:lang w:val="fr-FR" w:eastAsia="ko-KR"/>
        </w:rPr>
        <w:t>109.</w:t>
      </w:r>
      <w:r w:rsidRPr="002715F2">
        <w:rPr>
          <w:rFonts w:eastAsia="Batang"/>
          <w:lang w:val="fr-FR" w:eastAsia="ko-KR"/>
        </w:rPr>
        <w:tab/>
      </w:r>
      <w:r w:rsidR="00766BCF" w:rsidRPr="002715F2">
        <w:rPr>
          <w:rFonts w:eastAsia="Batang"/>
          <w:lang w:val="fr-FR" w:eastAsia="ko-KR"/>
        </w:rPr>
        <w:t>Le 23 janvier 2007, l</w:t>
      </w:r>
      <w:r w:rsidR="002F08A5" w:rsidRPr="002715F2">
        <w:rPr>
          <w:rFonts w:eastAsia="Batang"/>
          <w:lang w:val="fr-FR" w:eastAsia="ko-KR"/>
        </w:rPr>
        <w:t>e Bureau des droits de l’homme du Ministère de la justice a tenu une réunion consultative sur l’amélioratio</w:t>
      </w:r>
      <w:r w:rsidR="00766BCF" w:rsidRPr="002715F2">
        <w:rPr>
          <w:rFonts w:eastAsia="Batang"/>
          <w:lang w:val="fr-FR" w:eastAsia="ko-KR"/>
        </w:rPr>
        <w:t>n des cellules de substitution</w:t>
      </w:r>
      <w:r w:rsidR="002F08A5" w:rsidRPr="002715F2">
        <w:rPr>
          <w:rFonts w:eastAsia="Batang"/>
          <w:lang w:val="fr-FR" w:eastAsia="ko-KR"/>
        </w:rPr>
        <w:t xml:space="preserve"> afin de concevoir des stratégies d’amélioration avec les institutions compétentes, dont l’Agence de police nationale</w:t>
      </w:r>
      <w:r w:rsidR="000078DA" w:rsidRPr="002715F2">
        <w:rPr>
          <w:rFonts w:eastAsia="Batang"/>
          <w:lang w:val="fr-FR" w:eastAsia="ko-KR"/>
        </w:rPr>
        <w:t xml:space="preserve">. </w:t>
      </w:r>
      <w:r w:rsidR="002F08A5" w:rsidRPr="002715F2">
        <w:rPr>
          <w:rFonts w:eastAsia="Batang"/>
          <w:lang w:val="fr-FR" w:eastAsia="ko-KR"/>
        </w:rPr>
        <w:t xml:space="preserve">À </w:t>
      </w:r>
      <w:r w:rsidR="00632CC7" w:rsidRPr="002715F2">
        <w:rPr>
          <w:rFonts w:eastAsia="Batang"/>
          <w:lang w:val="fr-FR" w:eastAsia="ko-KR"/>
        </w:rPr>
        <w:t>l</w:t>
      </w:r>
      <w:r w:rsidR="00766BCF" w:rsidRPr="002715F2">
        <w:rPr>
          <w:rFonts w:eastAsia="Batang"/>
          <w:lang w:val="fr-FR" w:eastAsia="ko-KR"/>
        </w:rPr>
        <w:t xml:space="preserve">’issue </w:t>
      </w:r>
      <w:r w:rsidR="00632CC7" w:rsidRPr="002715F2">
        <w:rPr>
          <w:rFonts w:eastAsia="Batang"/>
          <w:lang w:val="fr-FR" w:eastAsia="ko-KR"/>
        </w:rPr>
        <w:t>de cette</w:t>
      </w:r>
      <w:r w:rsidR="002F08A5" w:rsidRPr="002715F2">
        <w:rPr>
          <w:rFonts w:eastAsia="Batang"/>
          <w:lang w:val="fr-FR" w:eastAsia="ko-KR"/>
        </w:rPr>
        <w:t xml:space="preserve"> réunion, il a été décidé de fermer les cellules de substitution</w:t>
      </w:r>
      <w:r w:rsidR="000078DA" w:rsidRPr="002715F2">
        <w:rPr>
          <w:rFonts w:eastAsia="Batang"/>
          <w:lang w:val="fr-FR" w:eastAsia="ko-KR"/>
        </w:rPr>
        <w:t xml:space="preserve">. </w:t>
      </w:r>
      <w:r w:rsidR="00766BCF" w:rsidRPr="002715F2">
        <w:rPr>
          <w:rFonts w:eastAsia="Batang"/>
          <w:lang w:val="fr-FR" w:eastAsia="ko-KR"/>
        </w:rPr>
        <w:t>Dans</w:t>
      </w:r>
      <w:r w:rsidR="00632CC7" w:rsidRPr="002715F2">
        <w:rPr>
          <w:rFonts w:eastAsia="Batang"/>
          <w:lang w:val="fr-FR" w:eastAsia="ko-KR"/>
        </w:rPr>
        <w:t xml:space="preserve"> les cas où </w:t>
      </w:r>
      <w:r w:rsidR="00766BCF" w:rsidRPr="002715F2">
        <w:rPr>
          <w:rFonts w:eastAsia="Batang"/>
          <w:lang w:val="fr-FR" w:eastAsia="ko-KR"/>
        </w:rPr>
        <w:t>une</w:t>
      </w:r>
      <w:r w:rsidR="00632CC7" w:rsidRPr="002715F2">
        <w:rPr>
          <w:rFonts w:eastAsia="Batang"/>
          <w:lang w:val="fr-FR" w:eastAsia="ko-KR"/>
        </w:rPr>
        <w:t xml:space="preserve"> fermeture immédiate </w:t>
      </w:r>
      <w:r w:rsidR="00766BCF" w:rsidRPr="002715F2">
        <w:rPr>
          <w:rFonts w:eastAsia="Batang"/>
          <w:lang w:val="fr-FR" w:eastAsia="ko-KR"/>
        </w:rPr>
        <w:t>s’avérait</w:t>
      </w:r>
      <w:r w:rsidR="00632CC7" w:rsidRPr="002715F2">
        <w:rPr>
          <w:rFonts w:eastAsia="Batang"/>
          <w:lang w:val="fr-FR" w:eastAsia="ko-KR"/>
        </w:rPr>
        <w:t xml:space="preserve"> difficile, il a été décidé que les cellules devaient être améliorées</w:t>
      </w:r>
      <w:r w:rsidR="000D0857" w:rsidRPr="002715F2">
        <w:rPr>
          <w:rFonts w:eastAsia="Batang"/>
          <w:lang w:val="fr-FR" w:eastAsia="ko-KR"/>
        </w:rPr>
        <w:t xml:space="preserve">, </w:t>
      </w:r>
      <w:r w:rsidR="00766BCF" w:rsidRPr="002715F2">
        <w:rPr>
          <w:rFonts w:eastAsia="Batang"/>
          <w:lang w:val="fr-FR" w:eastAsia="ko-KR"/>
        </w:rPr>
        <w:t>notamment</w:t>
      </w:r>
      <w:r w:rsidR="00632CC7" w:rsidRPr="002715F2">
        <w:rPr>
          <w:rFonts w:eastAsia="Batang"/>
          <w:lang w:val="fr-FR" w:eastAsia="ko-KR"/>
        </w:rPr>
        <w:t xml:space="preserve"> en confiant les interrogato</w:t>
      </w:r>
      <w:r w:rsidR="000D0857" w:rsidRPr="002715F2">
        <w:rPr>
          <w:rFonts w:eastAsia="Batang"/>
          <w:lang w:val="fr-FR" w:eastAsia="ko-KR"/>
        </w:rPr>
        <w:t>ir</w:t>
      </w:r>
      <w:r w:rsidR="00632CC7" w:rsidRPr="002715F2">
        <w:rPr>
          <w:rFonts w:eastAsia="Batang"/>
          <w:lang w:val="fr-FR" w:eastAsia="ko-KR"/>
        </w:rPr>
        <w:t>es des détenues à</w:t>
      </w:r>
      <w:r w:rsidR="00906A48" w:rsidRPr="002715F2">
        <w:rPr>
          <w:rFonts w:eastAsia="Batang"/>
          <w:lang w:val="fr-FR" w:eastAsia="ko-KR"/>
        </w:rPr>
        <w:t xml:space="preserve"> des </w:t>
      </w:r>
      <w:r w:rsidR="00766BCF" w:rsidRPr="002715F2">
        <w:rPr>
          <w:rFonts w:eastAsia="Batang"/>
          <w:lang w:val="fr-FR" w:eastAsia="ko-KR"/>
        </w:rPr>
        <w:t xml:space="preserve">policières et </w:t>
      </w:r>
      <w:r w:rsidR="00632CC7" w:rsidRPr="002715F2">
        <w:rPr>
          <w:rFonts w:eastAsia="Batang"/>
          <w:lang w:val="fr-FR" w:eastAsia="ko-KR"/>
        </w:rPr>
        <w:t xml:space="preserve">en </w:t>
      </w:r>
      <w:r w:rsidR="005C6D8E" w:rsidRPr="002715F2">
        <w:rPr>
          <w:rFonts w:eastAsia="Batang"/>
          <w:lang w:val="fr-FR" w:eastAsia="ko-KR"/>
        </w:rPr>
        <w:t>installant</w:t>
      </w:r>
      <w:r w:rsidR="00632CC7" w:rsidRPr="002715F2">
        <w:rPr>
          <w:rFonts w:eastAsia="Batang"/>
          <w:lang w:val="fr-FR" w:eastAsia="ko-KR"/>
        </w:rPr>
        <w:t xml:space="preserve"> un </w:t>
      </w:r>
      <w:r w:rsidR="00906A48" w:rsidRPr="002715F2">
        <w:rPr>
          <w:rFonts w:eastAsia="Batang"/>
          <w:lang w:val="fr-FR" w:eastAsia="ko-KR"/>
        </w:rPr>
        <w:t>éclairage direct</w:t>
      </w:r>
      <w:r w:rsidR="00632CC7" w:rsidRPr="002715F2">
        <w:rPr>
          <w:rFonts w:eastAsia="Batang"/>
          <w:lang w:val="fr-FR" w:eastAsia="ko-KR"/>
        </w:rPr>
        <w:t xml:space="preserve"> et des équipements sportifs</w:t>
      </w:r>
      <w:r w:rsidR="000078DA" w:rsidRPr="002715F2">
        <w:rPr>
          <w:rFonts w:eastAsia="Batang"/>
          <w:lang w:val="fr-FR" w:eastAsia="ko-KR"/>
        </w:rPr>
        <w:t>.</w:t>
      </w:r>
    </w:p>
    <w:p w:rsidR="000078DA" w:rsidRPr="002715F2" w:rsidRDefault="007026FB" w:rsidP="00906A48">
      <w:pPr>
        <w:pStyle w:val="SingleTxtG"/>
        <w:rPr>
          <w:rFonts w:eastAsia="Batang"/>
          <w:lang w:val="fr-FR" w:eastAsia="ko-KR"/>
        </w:rPr>
      </w:pPr>
      <w:r w:rsidRPr="002715F2">
        <w:rPr>
          <w:rFonts w:eastAsia="Batang"/>
          <w:lang w:val="fr-FR" w:eastAsia="ko-KR"/>
        </w:rPr>
        <w:t>110.</w:t>
      </w:r>
      <w:r w:rsidRPr="002715F2">
        <w:rPr>
          <w:rFonts w:eastAsia="Batang"/>
          <w:lang w:val="fr-FR" w:eastAsia="ko-KR"/>
        </w:rPr>
        <w:tab/>
      </w:r>
      <w:r w:rsidR="00766BCF" w:rsidRPr="002715F2">
        <w:rPr>
          <w:rFonts w:eastAsia="Batang"/>
          <w:lang w:val="fr-FR" w:eastAsia="ko-KR"/>
        </w:rPr>
        <w:t>D</w:t>
      </w:r>
      <w:r w:rsidR="00906A48" w:rsidRPr="002715F2">
        <w:rPr>
          <w:rFonts w:eastAsia="Batang"/>
          <w:lang w:val="fr-FR" w:eastAsia="ko-KR"/>
        </w:rPr>
        <w:t xml:space="preserve">eux cellules de substitution de </w:t>
      </w:r>
      <w:r w:rsidR="000078DA" w:rsidRPr="002715F2">
        <w:rPr>
          <w:rFonts w:eastAsia="Batang"/>
          <w:lang w:val="fr-FR" w:eastAsia="ko-KR"/>
        </w:rPr>
        <w:t xml:space="preserve">Yeong-deok </w:t>
      </w:r>
      <w:r w:rsidR="00906A48" w:rsidRPr="002715F2">
        <w:rPr>
          <w:rFonts w:eastAsia="Batang"/>
          <w:lang w:val="fr-FR" w:eastAsia="ko-KR"/>
        </w:rPr>
        <w:t xml:space="preserve">et </w:t>
      </w:r>
      <w:r w:rsidR="000078DA" w:rsidRPr="002715F2">
        <w:rPr>
          <w:rFonts w:eastAsia="Batang"/>
          <w:lang w:val="fr-FR" w:eastAsia="ko-KR"/>
        </w:rPr>
        <w:t xml:space="preserve">Ui-sung, </w:t>
      </w:r>
      <w:r w:rsidR="00906A48" w:rsidRPr="002715F2">
        <w:rPr>
          <w:rFonts w:eastAsia="Batang"/>
          <w:lang w:val="fr-FR" w:eastAsia="ko-KR"/>
        </w:rPr>
        <w:t xml:space="preserve">situées dans un rayon d’une heure </w:t>
      </w:r>
      <w:r w:rsidR="00811FB4" w:rsidRPr="002715F2">
        <w:rPr>
          <w:rFonts w:eastAsia="Batang"/>
          <w:lang w:val="fr-FR" w:eastAsia="ko-KR"/>
        </w:rPr>
        <w:t>de</w:t>
      </w:r>
      <w:r w:rsidR="00695E2D" w:rsidRPr="002715F2">
        <w:rPr>
          <w:rFonts w:eastAsia="Batang"/>
          <w:lang w:val="fr-FR" w:eastAsia="ko-KR"/>
        </w:rPr>
        <w:t>s</w:t>
      </w:r>
      <w:r w:rsidR="00906A48" w:rsidRPr="002715F2">
        <w:rPr>
          <w:rFonts w:eastAsia="Batang"/>
          <w:lang w:val="fr-FR" w:eastAsia="ko-KR"/>
        </w:rPr>
        <w:t xml:space="preserve"> </w:t>
      </w:r>
      <w:r w:rsidR="00766BCF" w:rsidRPr="002715F2">
        <w:rPr>
          <w:rFonts w:eastAsia="Batang"/>
          <w:lang w:val="fr-FR" w:eastAsia="ko-KR"/>
        </w:rPr>
        <w:t>prison</w:t>
      </w:r>
      <w:r w:rsidR="00811FB4" w:rsidRPr="002715F2">
        <w:rPr>
          <w:rFonts w:eastAsia="Batang"/>
          <w:lang w:val="fr-FR" w:eastAsia="ko-KR"/>
        </w:rPr>
        <w:t>s</w:t>
      </w:r>
      <w:r w:rsidR="000078DA" w:rsidRPr="002715F2">
        <w:rPr>
          <w:rFonts w:eastAsia="Batang"/>
          <w:lang w:val="fr-FR" w:eastAsia="ko-KR"/>
        </w:rPr>
        <w:t xml:space="preserve">, </w:t>
      </w:r>
      <w:r w:rsidR="00906A48" w:rsidRPr="002715F2">
        <w:rPr>
          <w:rFonts w:eastAsia="Batang"/>
          <w:lang w:val="fr-FR" w:eastAsia="ko-KR"/>
        </w:rPr>
        <w:t xml:space="preserve">ont été fermées </w:t>
      </w:r>
      <w:r w:rsidR="00766BCF" w:rsidRPr="002715F2">
        <w:rPr>
          <w:rFonts w:eastAsia="Batang"/>
          <w:lang w:val="fr-FR" w:eastAsia="ko-KR"/>
        </w:rPr>
        <w:t>et</w:t>
      </w:r>
      <w:r w:rsidR="00906A48" w:rsidRPr="002715F2">
        <w:rPr>
          <w:rFonts w:eastAsia="Batang"/>
          <w:lang w:val="fr-FR" w:eastAsia="ko-KR"/>
        </w:rPr>
        <w:t xml:space="preserve"> le</w:t>
      </w:r>
      <w:r w:rsidR="00FC4AF4" w:rsidRPr="002715F2">
        <w:rPr>
          <w:rFonts w:eastAsia="Batang"/>
          <w:lang w:val="fr-FR" w:eastAsia="ko-KR"/>
        </w:rPr>
        <w:t>ur</w:t>
      </w:r>
      <w:r w:rsidR="00906A48" w:rsidRPr="002715F2">
        <w:rPr>
          <w:rFonts w:eastAsia="Batang"/>
          <w:lang w:val="fr-FR" w:eastAsia="ko-KR"/>
        </w:rPr>
        <w:t xml:space="preserve">s détenus transférés dans </w:t>
      </w:r>
      <w:r w:rsidR="00811FB4" w:rsidRPr="002715F2">
        <w:rPr>
          <w:rFonts w:eastAsia="Batang"/>
          <w:lang w:val="fr-FR" w:eastAsia="ko-KR"/>
        </w:rPr>
        <w:t>les</w:t>
      </w:r>
      <w:r w:rsidR="00FC4AF4" w:rsidRPr="002715F2">
        <w:rPr>
          <w:rFonts w:eastAsia="Batang"/>
          <w:lang w:val="fr-FR" w:eastAsia="ko-KR"/>
        </w:rPr>
        <w:t xml:space="preserve"> établissement</w:t>
      </w:r>
      <w:r w:rsidR="00811FB4" w:rsidRPr="002715F2">
        <w:rPr>
          <w:rFonts w:eastAsia="Batang"/>
          <w:lang w:val="fr-FR" w:eastAsia="ko-KR"/>
        </w:rPr>
        <w:t>s</w:t>
      </w:r>
      <w:r w:rsidR="00766BCF" w:rsidRPr="002715F2">
        <w:rPr>
          <w:rFonts w:eastAsia="Batang"/>
          <w:lang w:val="fr-FR" w:eastAsia="ko-KR"/>
        </w:rPr>
        <w:t xml:space="preserve"> </w:t>
      </w:r>
      <w:r w:rsidR="00FC4AF4" w:rsidRPr="002715F2">
        <w:rPr>
          <w:rFonts w:eastAsia="Batang"/>
          <w:lang w:val="fr-FR" w:eastAsia="ko-KR"/>
        </w:rPr>
        <w:t>pénitentiaire</w:t>
      </w:r>
      <w:r w:rsidR="00811FB4" w:rsidRPr="002715F2">
        <w:rPr>
          <w:rFonts w:eastAsia="Batang"/>
          <w:lang w:val="fr-FR" w:eastAsia="ko-KR"/>
        </w:rPr>
        <w:t>s</w:t>
      </w:r>
      <w:r w:rsidR="00FC4AF4" w:rsidRPr="002715F2">
        <w:rPr>
          <w:rFonts w:eastAsia="Batang"/>
          <w:lang w:val="fr-FR" w:eastAsia="ko-KR"/>
        </w:rPr>
        <w:t xml:space="preserve"> avoisinant</w:t>
      </w:r>
      <w:r w:rsidR="00811FB4" w:rsidRPr="002715F2">
        <w:rPr>
          <w:rFonts w:eastAsia="Batang"/>
          <w:lang w:val="fr-FR" w:eastAsia="ko-KR"/>
        </w:rPr>
        <w:t>s</w:t>
      </w:r>
      <w:r w:rsidR="000078DA" w:rsidRPr="002715F2">
        <w:rPr>
          <w:rFonts w:eastAsia="Batang"/>
          <w:lang w:val="fr-FR" w:eastAsia="ko-KR"/>
        </w:rPr>
        <w:t xml:space="preserve">. </w:t>
      </w:r>
      <w:r w:rsidR="00906A48" w:rsidRPr="002715F2">
        <w:rPr>
          <w:rFonts w:eastAsia="Batang"/>
          <w:lang w:val="fr-FR" w:eastAsia="ko-KR"/>
        </w:rPr>
        <w:t>La cellule de substitution de</w:t>
      </w:r>
      <w:r w:rsidR="000078DA" w:rsidRPr="002715F2">
        <w:rPr>
          <w:rFonts w:eastAsia="Batang"/>
          <w:lang w:val="fr-FR" w:eastAsia="ko-KR"/>
        </w:rPr>
        <w:t xml:space="preserve"> Jeongeup </w:t>
      </w:r>
      <w:r w:rsidR="00906A48" w:rsidRPr="002715F2">
        <w:rPr>
          <w:rFonts w:eastAsia="Batang"/>
          <w:lang w:val="fr-FR" w:eastAsia="ko-KR"/>
        </w:rPr>
        <w:t xml:space="preserve">a été fermée en </w:t>
      </w:r>
      <w:r w:rsidR="000078DA" w:rsidRPr="002715F2">
        <w:rPr>
          <w:rFonts w:eastAsia="Batang"/>
          <w:lang w:val="fr-FR" w:eastAsia="ko-KR"/>
        </w:rPr>
        <w:t xml:space="preserve">2008. </w:t>
      </w:r>
      <w:r w:rsidR="00906A48" w:rsidRPr="002715F2">
        <w:rPr>
          <w:rFonts w:eastAsia="Batang"/>
          <w:lang w:val="fr-FR" w:eastAsia="ko-KR"/>
        </w:rPr>
        <w:t xml:space="preserve">La construction de </w:t>
      </w:r>
      <w:r w:rsidR="00766BCF" w:rsidRPr="002715F2">
        <w:rPr>
          <w:rFonts w:eastAsia="Batang"/>
          <w:lang w:val="fr-FR" w:eastAsia="ko-KR"/>
        </w:rPr>
        <w:t xml:space="preserve">la prison de </w:t>
      </w:r>
      <w:r w:rsidR="000078DA" w:rsidRPr="002715F2">
        <w:rPr>
          <w:rFonts w:eastAsia="Batang"/>
          <w:lang w:val="fr-FR" w:eastAsia="ko-KR"/>
        </w:rPr>
        <w:t>Young-wol</w:t>
      </w:r>
      <w:r w:rsidR="00906A48" w:rsidRPr="002715F2">
        <w:rPr>
          <w:rFonts w:eastAsia="Batang"/>
          <w:lang w:val="fr-FR" w:eastAsia="ko-KR"/>
        </w:rPr>
        <w:t xml:space="preserve">, de </w:t>
      </w:r>
      <w:r w:rsidR="00766BCF" w:rsidRPr="002715F2">
        <w:rPr>
          <w:rFonts w:eastAsia="Batang"/>
          <w:lang w:val="fr-FR" w:eastAsia="ko-KR"/>
        </w:rPr>
        <w:t>celle</w:t>
      </w:r>
      <w:r w:rsidR="00906A48" w:rsidRPr="002715F2">
        <w:rPr>
          <w:rFonts w:eastAsia="Batang"/>
          <w:lang w:val="fr-FR" w:eastAsia="ko-KR"/>
        </w:rPr>
        <w:t xml:space="preserve"> de </w:t>
      </w:r>
      <w:r w:rsidR="000078DA" w:rsidRPr="002715F2">
        <w:rPr>
          <w:rFonts w:eastAsia="Batang"/>
          <w:lang w:val="fr-FR" w:eastAsia="ko-KR"/>
        </w:rPr>
        <w:t>Hae-nam</w:t>
      </w:r>
      <w:r w:rsidR="00906A48" w:rsidRPr="002715F2">
        <w:rPr>
          <w:rFonts w:eastAsia="Batang"/>
          <w:lang w:val="fr-FR" w:eastAsia="ko-KR"/>
        </w:rPr>
        <w:t xml:space="preserve"> et du centre de d</w:t>
      </w:r>
      <w:r w:rsidR="005C6D8E" w:rsidRPr="002715F2">
        <w:rPr>
          <w:rFonts w:eastAsia="Batang"/>
          <w:lang w:val="fr-FR" w:eastAsia="ko-KR"/>
        </w:rPr>
        <w:t>é</w:t>
      </w:r>
      <w:r w:rsidR="00906A48" w:rsidRPr="002715F2">
        <w:rPr>
          <w:rFonts w:eastAsia="Batang"/>
          <w:lang w:val="fr-FR" w:eastAsia="ko-KR"/>
        </w:rPr>
        <w:t>tention de M</w:t>
      </w:r>
      <w:r w:rsidR="000078DA" w:rsidRPr="002715F2">
        <w:rPr>
          <w:rFonts w:eastAsia="Batang"/>
          <w:lang w:val="fr-FR" w:eastAsia="ko-KR"/>
        </w:rPr>
        <w:t>il-yang</w:t>
      </w:r>
      <w:r w:rsidR="00906A48" w:rsidRPr="002715F2">
        <w:rPr>
          <w:rFonts w:eastAsia="Batang"/>
          <w:lang w:val="fr-FR" w:eastAsia="ko-KR"/>
        </w:rPr>
        <w:t xml:space="preserve"> s’est achevée en 2009</w:t>
      </w:r>
      <w:r w:rsidR="00E97B1A" w:rsidRPr="002715F2">
        <w:rPr>
          <w:rFonts w:eastAsia="Batang"/>
          <w:lang w:val="fr-FR" w:eastAsia="ko-KR"/>
        </w:rPr>
        <w:t>;</w:t>
      </w:r>
      <w:r w:rsidR="00906A48" w:rsidRPr="002715F2">
        <w:rPr>
          <w:rFonts w:eastAsia="Batang"/>
          <w:lang w:val="fr-FR" w:eastAsia="ko-KR"/>
        </w:rPr>
        <w:t xml:space="preserve"> les </w:t>
      </w:r>
      <w:r w:rsidR="00695E2D" w:rsidRPr="002715F2">
        <w:rPr>
          <w:rFonts w:eastAsia="Batang"/>
          <w:lang w:val="fr-FR" w:eastAsia="ko-KR"/>
        </w:rPr>
        <w:t xml:space="preserve">trois </w:t>
      </w:r>
      <w:r w:rsidR="00906A48" w:rsidRPr="002715F2">
        <w:rPr>
          <w:rFonts w:eastAsia="Batang"/>
          <w:lang w:val="fr-FR" w:eastAsia="ko-KR"/>
        </w:rPr>
        <w:t xml:space="preserve">autres cellules de substitution de </w:t>
      </w:r>
      <w:r w:rsidR="000078DA" w:rsidRPr="002715F2">
        <w:rPr>
          <w:rFonts w:eastAsia="Batang"/>
          <w:lang w:val="fr-FR" w:eastAsia="ko-KR"/>
        </w:rPr>
        <w:t>Young-wol, Hae-nam</w:t>
      </w:r>
      <w:r w:rsidR="00906A48" w:rsidRPr="002715F2">
        <w:rPr>
          <w:rFonts w:eastAsia="Batang"/>
          <w:lang w:val="fr-FR" w:eastAsia="ko-KR"/>
        </w:rPr>
        <w:t xml:space="preserve"> et</w:t>
      </w:r>
      <w:r w:rsidR="000078DA" w:rsidRPr="002715F2">
        <w:rPr>
          <w:rFonts w:eastAsia="Batang"/>
          <w:lang w:val="fr-FR" w:eastAsia="ko-KR"/>
        </w:rPr>
        <w:t xml:space="preserve"> Mil-yang </w:t>
      </w:r>
      <w:r w:rsidR="00906A48" w:rsidRPr="002715F2">
        <w:rPr>
          <w:rFonts w:eastAsia="Batang"/>
          <w:lang w:val="fr-FR" w:eastAsia="ko-KR"/>
        </w:rPr>
        <w:t xml:space="preserve">ont été fermées en 2010. La construction de </w:t>
      </w:r>
      <w:r w:rsidR="00766BCF" w:rsidRPr="002715F2">
        <w:rPr>
          <w:rFonts w:eastAsia="Batang"/>
          <w:lang w:val="fr-FR" w:eastAsia="ko-KR"/>
        </w:rPr>
        <w:t>la prison</w:t>
      </w:r>
      <w:r w:rsidR="00906A48" w:rsidRPr="002715F2">
        <w:rPr>
          <w:rFonts w:eastAsia="Batang"/>
          <w:lang w:val="fr-FR" w:eastAsia="ko-KR"/>
        </w:rPr>
        <w:t xml:space="preserve"> de </w:t>
      </w:r>
      <w:r w:rsidR="000078DA" w:rsidRPr="002715F2">
        <w:rPr>
          <w:rFonts w:eastAsia="Batang"/>
          <w:lang w:val="fr-FR" w:eastAsia="ko-KR"/>
        </w:rPr>
        <w:t xml:space="preserve">Sangju </w:t>
      </w:r>
      <w:r w:rsidR="00906A48" w:rsidRPr="002715F2">
        <w:rPr>
          <w:rFonts w:eastAsia="Batang"/>
          <w:lang w:val="fr-FR" w:eastAsia="ko-KR"/>
        </w:rPr>
        <w:t xml:space="preserve">et de </w:t>
      </w:r>
      <w:r w:rsidR="00766BCF" w:rsidRPr="002715F2">
        <w:rPr>
          <w:rFonts w:eastAsia="Batang"/>
          <w:lang w:val="fr-FR" w:eastAsia="ko-KR"/>
        </w:rPr>
        <w:t>celle</w:t>
      </w:r>
      <w:r w:rsidR="00906A48" w:rsidRPr="002715F2">
        <w:rPr>
          <w:rFonts w:eastAsia="Batang"/>
          <w:lang w:val="fr-FR" w:eastAsia="ko-KR"/>
        </w:rPr>
        <w:t xml:space="preserve"> de </w:t>
      </w:r>
      <w:r w:rsidR="000078DA" w:rsidRPr="002715F2">
        <w:rPr>
          <w:rFonts w:eastAsia="Batang"/>
          <w:lang w:val="fr-FR" w:eastAsia="ko-KR"/>
        </w:rPr>
        <w:t xml:space="preserve">Jeongeup </w:t>
      </w:r>
      <w:r w:rsidR="00906A48" w:rsidRPr="002715F2">
        <w:rPr>
          <w:rFonts w:eastAsia="Batang"/>
          <w:lang w:val="fr-FR" w:eastAsia="ko-KR"/>
        </w:rPr>
        <w:t>s’est achevée en 2014, et la cellule de substitution de</w:t>
      </w:r>
      <w:r w:rsidR="000078DA" w:rsidRPr="002715F2">
        <w:rPr>
          <w:rFonts w:eastAsia="Batang"/>
          <w:lang w:val="fr-FR" w:eastAsia="ko-KR"/>
        </w:rPr>
        <w:t xml:space="preserve"> Sangju </w:t>
      </w:r>
      <w:r w:rsidR="00906A48" w:rsidRPr="002715F2">
        <w:rPr>
          <w:rFonts w:eastAsia="Batang"/>
          <w:lang w:val="fr-FR" w:eastAsia="ko-KR"/>
        </w:rPr>
        <w:t>a été fermée cette même année</w:t>
      </w:r>
      <w:r w:rsidR="000078DA" w:rsidRPr="002715F2">
        <w:rPr>
          <w:rFonts w:eastAsia="Batang"/>
          <w:lang w:val="fr-FR" w:eastAsia="ko-KR"/>
        </w:rPr>
        <w:t xml:space="preserve">. </w:t>
      </w:r>
      <w:r w:rsidR="00906A48" w:rsidRPr="002715F2">
        <w:rPr>
          <w:rFonts w:eastAsia="Batang"/>
          <w:lang w:val="fr-FR" w:eastAsia="ko-KR"/>
        </w:rPr>
        <w:t xml:space="preserve">Au </w:t>
      </w:r>
      <w:r w:rsidR="000078DA" w:rsidRPr="002715F2">
        <w:rPr>
          <w:rFonts w:eastAsia="Batang"/>
          <w:lang w:val="fr-FR" w:eastAsia="ko-KR"/>
        </w:rPr>
        <w:t>31</w:t>
      </w:r>
      <w:r w:rsidR="00906A48" w:rsidRPr="002715F2">
        <w:rPr>
          <w:rFonts w:eastAsia="Batang"/>
          <w:lang w:val="fr-FR" w:eastAsia="ko-KR"/>
        </w:rPr>
        <w:t> </w:t>
      </w:r>
      <w:r w:rsidR="005C6D8E" w:rsidRPr="002715F2">
        <w:rPr>
          <w:rFonts w:eastAsia="Batang"/>
          <w:lang w:val="fr-FR" w:eastAsia="ko-KR"/>
        </w:rPr>
        <w:t>décembre</w:t>
      </w:r>
      <w:r w:rsidR="000078DA" w:rsidRPr="002715F2">
        <w:rPr>
          <w:rFonts w:eastAsia="Batang"/>
          <w:lang w:val="fr-FR" w:eastAsia="ko-KR"/>
        </w:rPr>
        <w:t xml:space="preserve"> 2015, </w:t>
      </w:r>
      <w:r w:rsidR="00695E2D" w:rsidRPr="002715F2">
        <w:rPr>
          <w:rFonts w:eastAsia="Batang"/>
          <w:lang w:val="fr-FR" w:eastAsia="ko-KR"/>
        </w:rPr>
        <w:t xml:space="preserve">quatre </w:t>
      </w:r>
      <w:r w:rsidR="00906A48" w:rsidRPr="002715F2">
        <w:rPr>
          <w:rFonts w:eastAsia="Batang"/>
          <w:lang w:val="fr-FR" w:eastAsia="ko-KR"/>
        </w:rPr>
        <w:t xml:space="preserve">cellules de substitution </w:t>
      </w:r>
      <w:r w:rsidR="00766BCF" w:rsidRPr="002715F2">
        <w:rPr>
          <w:rFonts w:eastAsia="Batang"/>
          <w:lang w:val="fr-FR" w:eastAsia="ko-KR"/>
        </w:rPr>
        <w:t>encore en service à</w:t>
      </w:r>
      <w:r w:rsidR="00906A48" w:rsidRPr="002715F2">
        <w:rPr>
          <w:rFonts w:eastAsia="Batang"/>
          <w:lang w:val="fr-FR" w:eastAsia="ko-KR"/>
        </w:rPr>
        <w:t xml:space="preserve"> </w:t>
      </w:r>
      <w:r w:rsidR="000078DA" w:rsidRPr="002715F2">
        <w:rPr>
          <w:rFonts w:eastAsia="Batang"/>
          <w:lang w:val="fr-FR" w:eastAsia="ko-KR"/>
        </w:rPr>
        <w:t>Sok-cho, Young-dong, Nam-won</w:t>
      </w:r>
      <w:r w:rsidR="00906A48" w:rsidRPr="002715F2">
        <w:rPr>
          <w:rFonts w:eastAsia="Batang"/>
          <w:lang w:val="fr-FR" w:eastAsia="ko-KR"/>
        </w:rPr>
        <w:t xml:space="preserve"> et</w:t>
      </w:r>
      <w:r w:rsidR="000078DA" w:rsidRPr="002715F2">
        <w:rPr>
          <w:rFonts w:eastAsia="Batang"/>
          <w:lang w:val="fr-FR" w:eastAsia="ko-KR"/>
        </w:rPr>
        <w:t xml:space="preserve"> Geo-chang </w:t>
      </w:r>
      <w:r w:rsidR="00906A48" w:rsidRPr="002715F2">
        <w:rPr>
          <w:rFonts w:eastAsia="Batang"/>
          <w:lang w:val="fr-FR" w:eastAsia="ko-KR"/>
        </w:rPr>
        <w:t xml:space="preserve">devaient fermer après la construction des nouveaux établissements </w:t>
      </w:r>
      <w:r w:rsidR="00730B36" w:rsidRPr="002715F2">
        <w:rPr>
          <w:rFonts w:eastAsia="Batang"/>
          <w:lang w:val="fr-FR" w:eastAsia="ko-KR"/>
        </w:rPr>
        <w:t xml:space="preserve">pénitentiaires </w:t>
      </w:r>
      <w:r w:rsidR="00906A48" w:rsidRPr="002715F2">
        <w:rPr>
          <w:rFonts w:eastAsia="Batang"/>
          <w:lang w:val="fr-FR" w:eastAsia="ko-KR"/>
        </w:rPr>
        <w:t xml:space="preserve">prévus pour 2020, et le centre de </w:t>
      </w:r>
      <w:r w:rsidR="005C6D8E" w:rsidRPr="002715F2">
        <w:rPr>
          <w:rFonts w:eastAsia="Batang"/>
          <w:lang w:val="fr-FR" w:eastAsia="ko-KR"/>
        </w:rPr>
        <w:t>détention</w:t>
      </w:r>
      <w:r w:rsidR="00906A48" w:rsidRPr="002715F2">
        <w:rPr>
          <w:rFonts w:eastAsia="Batang"/>
          <w:lang w:val="fr-FR" w:eastAsia="ko-KR"/>
        </w:rPr>
        <w:t xml:space="preserve"> de </w:t>
      </w:r>
      <w:r w:rsidR="000078DA" w:rsidRPr="002715F2">
        <w:rPr>
          <w:rFonts w:eastAsia="Batang"/>
          <w:lang w:val="fr-FR" w:eastAsia="ko-KR"/>
        </w:rPr>
        <w:t xml:space="preserve">Geo-chang </w:t>
      </w:r>
      <w:r w:rsidR="00906A48" w:rsidRPr="002715F2">
        <w:rPr>
          <w:rFonts w:eastAsia="Batang"/>
          <w:lang w:val="fr-FR" w:eastAsia="ko-KR"/>
        </w:rPr>
        <w:t>était en c</w:t>
      </w:r>
      <w:r w:rsidR="00F60999" w:rsidRPr="002715F2">
        <w:rPr>
          <w:rFonts w:eastAsia="Batang"/>
          <w:lang w:val="fr-FR" w:eastAsia="ko-KR"/>
        </w:rPr>
        <w:t>onstruction.</w:t>
      </w:r>
    </w:p>
    <w:p w:rsidR="000078DA" w:rsidRPr="002715F2" w:rsidRDefault="007026FB" w:rsidP="007026FB">
      <w:pPr>
        <w:pStyle w:val="SingleTxtG"/>
        <w:rPr>
          <w:rFonts w:eastAsia="Batang"/>
          <w:bCs/>
          <w:lang w:val="fr-FR" w:eastAsia="ko-KR"/>
        </w:rPr>
      </w:pPr>
      <w:r w:rsidRPr="002715F2">
        <w:rPr>
          <w:rFonts w:eastAsia="Batang"/>
          <w:bCs/>
          <w:lang w:val="fr-FR" w:eastAsia="ko-KR"/>
        </w:rPr>
        <w:t>111.</w:t>
      </w:r>
      <w:r w:rsidRPr="002715F2">
        <w:rPr>
          <w:rFonts w:eastAsia="Batang"/>
          <w:bCs/>
          <w:lang w:val="fr-FR" w:eastAsia="ko-KR"/>
        </w:rPr>
        <w:tab/>
      </w:r>
      <w:r w:rsidR="0084514B" w:rsidRPr="002715F2">
        <w:rPr>
          <w:rFonts w:eastAsia="Batang"/>
          <w:bCs/>
          <w:lang w:val="fr-FR" w:eastAsia="ko-KR"/>
        </w:rPr>
        <w:t>Afin d’améliorer les conditions de dét</w:t>
      </w:r>
      <w:r w:rsidR="000078DA" w:rsidRPr="002715F2">
        <w:rPr>
          <w:rFonts w:eastAsia="Batang"/>
          <w:lang w:val="fr-FR" w:eastAsia="ko-KR"/>
        </w:rPr>
        <w:t xml:space="preserve">ention </w:t>
      </w:r>
      <w:r w:rsidR="0084514B" w:rsidRPr="002715F2">
        <w:rPr>
          <w:rFonts w:eastAsia="Batang"/>
          <w:lang w:val="fr-FR" w:eastAsia="ko-KR"/>
        </w:rPr>
        <w:t xml:space="preserve">dans les quatre cellules de substitution encore en </w:t>
      </w:r>
      <w:r w:rsidR="005C6D8E" w:rsidRPr="002715F2">
        <w:rPr>
          <w:rFonts w:eastAsia="Batang"/>
          <w:lang w:val="fr-FR" w:eastAsia="ko-KR"/>
        </w:rPr>
        <w:t>service</w:t>
      </w:r>
      <w:r w:rsidR="000078DA" w:rsidRPr="002715F2">
        <w:rPr>
          <w:rFonts w:eastAsia="Batang"/>
          <w:lang w:val="fr-FR" w:eastAsia="ko-KR"/>
        </w:rPr>
        <w:t xml:space="preserve">, </w:t>
      </w:r>
      <w:r w:rsidR="0084514B" w:rsidRPr="002715F2">
        <w:rPr>
          <w:rFonts w:eastAsia="Batang"/>
          <w:lang w:val="fr-FR" w:eastAsia="ko-KR"/>
        </w:rPr>
        <w:t xml:space="preserve">les détenues sont conseillées par des </w:t>
      </w:r>
      <w:r w:rsidR="0047575A" w:rsidRPr="002715F2">
        <w:rPr>
          <w:rFonts w:eastAsia="Batang"/>
          <w:lang w:val="fr-FR" w:eastAsia="ko-KR"/>
        </w:rPr>
        <w:t>policières</w:t>
      </w:r>
      <w:r w:rsidR="0084514B" w:rsidRPr="002715F2">
        <w:rPr>
          <w:rFonts w:eastAsia="Batang"/>
          <w:lang w:val="fr-FR" w:eastAsia="ko-KR"/>
        </w:rPr>
        <w:t xml:space="preserve"> et un éclairage direct a été installé</w:t>
      </w:r>
      <w:r w:rsidR="000078DA" w:rsidRPr="002715F2">
        <w:rPr>
          <w:rFonts w:eastAsia="Batang"/>
          <w:lang w:val="fr-FR" w:eastAsia="ko-KR"/>
        </w:rPr>
        <w:t xml:space="preserve">. </w:t>
      </w:r>
      <w:r w:rsidR="0084514B" w:rsidRPr="002715F2">
        <w:rPr>
          <w:rFonts w:eastAsia="Batang"/>
          <w:lang w:val="fr-FR" w:eastAsia="ko-KR"/>
        </w:rPr>
        <w:t xml:space="preserve">En outre, le </w:t>
      </w:r>
      <w:r w:rsidR="005C6D8E" w:rsidRPr="002715F2">
        <w:rPr>
          <w:rFonts w:eastAsia="Batang"/>
          <w:lang w:val="fr-FR" w:eastAsia="ko-KR"/>
        </w:rPr>
        <w:t>coût</w:t>
      </w:r>
      <w:r w:rsidR="0084514B" w:rsidRPr="002715F2">
        <w:rPr>
          <w:rFonts w:eastAsia="Batang"/>
          <w:lang w:val="fr-FR" w:eastAsia="ko-KR"/>
        </w:rPr>
        <w:t xml:space="preserve"> unitaire des repas a été revu à la hausse</w:t>
      </w:r>
      <w:r w:rsidR="00F60999" w:rsidRPr="002715F2">
        <w:rPr>
          <w:rFonts w:eastAsia="Batang"/>
          <w:bCs/>
          <w:lang w:val="fr-FR" w:eastAsia="ko-KR"/>
        </w:rPr>
        <w:t>.</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84514B" w:rsidRPr="002715F2">
        <w:rPr>
          <w:rFonts w:eastAsia="Batang"/>
          <w:lang w:val="fr-FR" w:eastAsia="ko-KR"/>
        </w:rPr>
        <w:t xml:space="preserve">Nombre de personnes détenues dans les </w:t>
      </w:r>
      <w:r w:rsidR="005111F8" w:rsidRPr="002715F2">
        <w:rPr>
          <w:rFonts w:eastAsia="Batang"/>
          <w:lang w:val="fr-FR" w:eastAsia="ko-KR"/>
        </w:rPr>
        <w:t>prisons</w:t>
      </w:r>
      <w:r w:rsidR="0084514B" w:rsidRPr="002715F2">
        <w:rPr>
          <w:rFonts w:eastAsia="Batang"/>
          <w:lang w:val="fr-FR" w:eastAsia="ko-KR"/>
        </w:rPr>
        <w:t xml:space="preserve"> de Young-wol et de</w:t>
      </w:r>
      <w:r w:rsidR="00FE0E2C" w:rsidRPr="002715F2">
        <w:rPr>
          <w:rFonts w:eastAsia="Batang"/>
          <w:lang w:val="fr-FR" w:eastAsia="ko-KR"/>
        </w:rPr>
        <w:t xml:space="preserve"> Hae-nam</w:t>
      </w:r>
      <w:r w:rsidR="000078DA" w:rsidRPr="002715F2">
        <w:rPr>
          <w:rFonts w:eastAsia="Batang"/>
          <w:lang w:val="fr-FR" w:eastAsia="ko-KR"/>
        </w:rPr>
        <w:t>,</w:t>
      </w:r>
      <w:r w:rsidR="0084514B" w:rsidRPr="002715F2">
        <w:rPr>
          <w:rFonts w:eastAsia="Batang"/>
          <w:lang w:val="fr-FR" w:eastAsia="ko-KR"/>
        </w:rPr>
        <w:t xml:space="preserve"> </w:t>
      </w:r>
      <w:r w:rsidR="005111F8" w:rsidRPr="002715F2">
        <w:rPr>
          <w:rFonts w:eastAsia="Batang"/>
          <w:lang w:val="fr-FR" w:eastAsia="ko-KR"/>
        </w:rPr>
        <w:t>ainsi que</w:t>
      </w:r>
      <w:r w:rsidR="0084514B" w:rsidRPr="002715F2">
        <w:rPr>
          <w:rFonts w:eastAsia="Batang"/>
          <w:lang w:val="fr-FR" w:eastAsia="ko-KR"/>
        </w:rPr>
        <w:t xml:space="preserve"> dans le centre de </w:t>
      </w:r>
      <w:r w:rsidR="005C6D8E" w:rsidRPr="002715F2">
        <w:rPr>
          <w:rFonts w:eastAsia="Batang"/>
          <w:lang w:val="fr-FR" w:eastAsia="ko-KR"/>
        </w:rPr>
        <w:t>détention</w:t>
      </w:r>
      <w:r w:rsidR="0084514B" w:rsidRPr="002715F2">
        <w:rPr>
          <w:rFonts w:eastAsia="Batang"/>
          <w:lang w:val="fr-FR" w:eastAsia="ko-KR"/>
        </w:rPr>
        <w:t xml:space="preserve"> et les cellules de substitution de Mil-yang</w:t>
      </w:r>
    </w:p>
    <w:p w:rsidR="000078DA" w:rsidRPr="002715F2" w:rsidRDefault="007026FB" w:rsidP="00FE0E2C">
      <w:pPr>
        <w:pStyle w:val="SingleTxtG"/>
        <w:rPr>
          <w:rFonts w:eastAsia="HyhwpEQ"/>
          <w:szCs w:val="24"/>
          <w:lang w:val="fr-FR" w:eastAsia="ko-KR"/>
        </w:rPr>
      </w:pPr>
      <w:r w:rsidRPr="002715F2">
        <w:rPr>
          <w:rFonts w:eastAsia="Batang"/>
          <w:lang w:val="fr-FR" w:eastAsia="ko-KR"/>
        </w:rPr>
        <w:t>112.</w:t>
      </w:r>
      <w:r w:rsidRPr="002715F2">
        <w:rPr>
          <w:rFonts w:eastAsia="Batang"/>
          <w:lang w:val="fr-FR" w:eastAsia="ko-KR"/>
        </w:rPr>
        <w:tab/>
      </w:r>
      <w:r w:rsidR="00380EFA" w:rsidRPr="002715F2">
        <w:rPr>
          <w:rFonts w:eastAsia="Batang"/>
          <w:lang w:val="fr-FR" w:eastAsia="ko-KR"/>
        </w:rPr>
        <w:t>L</w:t>
      </w:r>
      <w:r w:rsidR="00FE0E2C" w:rsidRPr="002715F2">
        <w:rPr>
          <w:rFonts w:eastAsia="Batang"/>
          <w:lang w:val="fr-FR" w:eastAsia="ko-KR"/>
        </w:rPr>
        <w:t xml:space="preserve">a construction de </w:t>
      </w:r>
      <w:r w:rsidR="005111F8" w:rsidRPr="002715F2">
        <w:rPr>
          <w:rFonts w:eastAsia="Batang"/>
          <w:lang w:val="fr-FR" w:eastAsia="ko-KR"/>
        </w:rPr>
        <w:t>la prison</w:t>
      </w:r>
      <w:r w:rsidR="00380EFA" w:rsidRPr="002715F2">
        <w:rPr>
          <w:rFonts w:eastAsia="Batang"/>
          <w:lang w:val="fr-FR" w:eastAsia="ko-KR"/>
        </w:rPr>
        <w:t xml:space="preserve"> de </w:t>
      </w:r>
      <w:r w:rsidR="000078DA" w:rsidRPr="002715F2">
        <w:rPr>
          <w:rFonts w:eastAsia="Batang"/>
          <w:lang w:val="fr-FR" w:eastAsia="ko-KR"/>
        </w:rPr>
        <w:t xml:space="preserve">Young-wol, </w:t>
      </w:r>
      <w:r w:rsidR="00FE0E2C" w:rsidRPr="002715F2">
        <w:rPr>
          <w:rFonts w:eastAsia="Batang"/>
          <w:lang w:val="fr-FR" w:eastAsia="ko-KR"/>
        </w:rPr>
        <w:t xml:space="preserve">de </w:t>
      </w:r>
      <w:r w:rsidR="005111F8" w:rsidRPr="002715F2">
        <w:rPr>
          <w:rFonts w:eastAsia="Batang"/>
          <w:lang w:val="fr-FR" w:eastAsia="ko-KR"/>
        </w:rPr>
        <w:t>celle</w:t>
      </w:r>
      <w:r w:rsidR="00FE0E2C" w:rsidRPr="002715F2">
        <w:rPr>
          <w:rFonts w:eastAsia="Batang"/>
          <w:lang w:val="fr-FR" w:eastAsia="ko-KR"/>
        </w:rPr>
        <w:t xml:space="preserve"> de </w:t>
      </w:r>
      <w:r w:rsidR="000078DA" w:rsidRPr="002715F2">
        <w:rPr>
          <w:rFonts w:eastAsia="Batang"/>
          <w:lang w:val="fr-FR" w:eastAsia="ko-KR"/>
        </w:rPr>
        <w:t xml:space="preserve">Hae-nam </w:t>
      </w:r>
      <w:r w:rsidR="00FE0E2C" w:rsidRPr="002715F2">
        <w:rPr>
          <w:rFonts w:eastAsia="Batang"/>
          <w:lang w:val="fr-FR" w:eastAsia="ko-KR"/>
        </w:rPr>
        <w:t xml:space="preserve">et du centre de </w:t>
      </w:r>
      <w:r w:rsidR="005C6D8E" w:rsidRPr="002715F2">
        <w:rPr>
          <w:rFonts w:eastAsia="Batang"/>
          <w:lang w:val="fr-FR" w:eastAsia="ko-KR"/>
        </w:rPr>
        <w:t>détention</w:t>
      </w:r>
      <w:r w:rsidR="00FE0E2C" w:rsidRPr="002715F2">
        <w:rPr>
          <w:rFonts w:eastAsia="Batang"/>
          <w:lang w:val="fr-FR" w:eastAsia="ko-KR"/>
        </w:rPr>
        <w:t xml:space="preserve"> de </w:t>
      </w:r>
      <w:r w:rsidR="000078DA" w:rsidRPr="002715F2">
        <w:rPr>
          <w:rFonts w:eastAsia="Batang"/>
          <w:lang w:val="fr-FR" w:eastAsia="ko-KR"/>
        </w:rPr>
        <w:t xml:space="preserve">Mil-yang </w:t>
      </w:r>
      <w:r w:rsidR="00FE0E2C" w:rsidRPr="002715F2">
        <w:rPr>
          <w:rFonts w:eastAsia="Batang"/>
          <w:lang w:val="fr-FR" w:eastAsia="ko-KR"/>
        </w:rPr>
        <w:t>s’est achevée en</w:t>
      </w:r>
      <w:r w:rsidR="000078DA" w:rsidRPr="002715F2">
        <w:rPr>
          <w:rFonts w:eastAsia="Batang"/>
          <w:lang w:val="fr-FR" w:eastAsia="ko-KR"/>
        </w:rPr>
        <w:t xml:space="preserve"> 2009. A</w:t>
      </w:r>
      <w:r w:rsidR="00FE0E2C" w:rsidRPr="002715F2">
        <w:rPr>
          <w:rFonts w:eastAsia="Batang"/>
          <w:lang w:val="fr-FR" w:eastAsia="ko-KR"/>
        </w:rPr>
        <w:t xml:space="preserve">u </w:t>
      </w:r>
      <w:r w:rsidR="005111F8" w:rsidRPr="002715F2">
        <w:rPr>
          <w:rFonts w:eastAsia="Batang"/>
          <w:lang w:val="fr-FR" w:eastAsia="ko-KR"/>
        </w:rPr>
        <w:t>31 </w:t>
      </w:r>
      <w:r w:rsidR="005C6D8E" w:rsidRPr="002715F2">
        <w:rPr>
          <w:rFonts w:eastAsia="Batang"/>
          <w:lang w:val="fr-FR" w:eastAsia="ko-KR"/>
        </w:rPr>
        <w:t>décembre</w:t>
      </w:r>
      <w:r w:rsidR="000078DA" w:rsidRPr="002715F2">
        <w:rPr>
          <w:rFonts w:eastAsia="Batang"/>
          <w:lang w:val="fr-FR" w:eastAsia="ko-KR"/>
        </w:rPr>
        <w:t xml:space="preserve"> 2015, </w:t>
      </w:r>
      <w:r w:rsidR="005111F8" w:rsidRPr="002715F2">
        <w:rPr>
          <w:rFonts w:eastAsia="Batang"/>
          <w:lang w:val="fr-FR" w:eastAsia="ko-KR"/>
        </w:rPr>
        <w:t>les</w:t>
      </w:r>
      <w:r w:rsidR="005C6D8E" w:rsidRPr="002715F2">
        <w:rPr>
          <w:rFonts w:eastAsia="Batang"/>
          <w:lang w:val="fr-FR" w:eastAsia="ko-KR"/>
        </w:rPr>
        <w:t xml:space="preserve"> </w:t>
      </w:r>
      <w:r w:rsidR="005111F8" w:rsidRPr="002715F2">
        <w:rPr>
          <w:rFonts w:eastAsia="Batang"/>
          <w:lang w:val="fr-FR" w:eastAsia="ko-KR"/>
        </w:rPr>
        <w:t>prisons</w:t>
      </w:r>
      <w:r w:rsidR="005C6D8E" w:rsidRPr="002715F2">
        <w:rPr>
          <w:rFonts w:eastAsia="Batang"/>
          <w:lang w:val="fr-FR" w:eastAsia="ko-KR"/>
        </w:rPr>
        <w:t xml:space="preserve"> </w:t>
      </w:r>
      <w:r w:rsidR="00FE0E2C" w:rsidRPr="002715F2">
        <w:rPr>
          <w:rFonts w:eastAsia="Batang"/>
          <w:lang w:val="fr-FR" w:eastAsia="ko-KR"/>
        </w:rPr>
        <w:t xml:space="preserve">de </w:t>
      </w:r>
      <w:r w:rsidR="000078DA" w:rsidRPr="002715F2">
        <w:rPr>
          <w:rFonts w:eastAsia="Batang"/>
          <w:lang w:val="fr-FR" w:eastAsia="ko-KR"/>
        </w:rPr>
        <w:t xml:space="preserve">Young-wol </w:t>
      </w:r>
      <w:r w:rsidR="00FE0E2C" w:rsidRPr="002715F2">
        <w:rPr>
          <w:rFonts w:eastAsia="Batang"/>
          <w:lang w:val="fr-FR" w:eastAsia="ko-KR"/>
        </w:rPr>
        <w:t xml:space="preserve">et </w:t>
      </w:r>
      <w:r w:rsidR="005111F8" w:rsidRPr="002715F2">
        <w:rPr>
          <w:rFonts w:eastAsia="Batang"/>
          <w:lang w:val="fr-FR" w:eastAsia="ko-KR"/>
        </w:rPr>
        <w:t xml:space="preserve">de </w:t>
      </w:r>
      <w:r w:rsidR="00FE0E2C" w:rsidRPr="002715F2">
        <w:rPr>
          <w:rFonts w:eastAsia="Batang"/>
          <w:lang w:val="fr-FR" w:eastAsia="ko-KR"/>
        </w:rPr>
        <w:t>Hae-nam</w:t>
      </w:r>
      <w:r w:rsidR="000078DA" w:rsidRPr="002715F2">
        <w:rPr>
          <w:rFonts w:eastAsia="Batang"/>
          <w:lang w:val="fr-FR" w:eastAsia="ko-KR"/>
        </w:rPr>
        <w:t xml:space="preserve"> </w:t>
      </w:r>
      <w:r w:rsidR="005111F8" w:rsidRPr="002715F2">
        <w:rPr>
          <w:rFonts w:eastAsia="Batang"/>
          <w:lang w:val="fr-FR" w:eastAsia="ko-KR"/>
        </w:rPr>
        <w:t xml:space="preserve">pouvaient accueillir jusqu’à </w:t>
      </w:r>
      <w:r w:rsidR="000078DA" w:rsidRPr="002715F2">
        <w:rPr>
          <w:rFonts w:eastAsia="Batang"/>
          <w:lang w:val="fr-FR" w:eastAsia="ko-KR"/>
        </w:rPr>
        <w:t xml:space="preserve">400 </w:t>
      </w:r>
      <w:r w:rsidR="00FE0E2C" w:rsidRPr="002715F2">
        <w:rPr>
          <w:rFonts w:eastAsia="Batang"/>
          <w:lang w:val="fr-FR" w:eastAsia="ko-KR"/>
        </w:rPr>
        <w:t xml:space="preserve">et </w:t>
      </w:r>
      <w:r w:rsidR="000078DA" w:rsidRPr="002715F2">
        <w:rPr>
          <w:rFonts w:eastAsia="Batang"/>
          <w:lang w:val="fr-FR" w:eastAsia="ko-KR"/>
        </w:rPr>
        <w:t>410</w:t>
      </w:r>
      <w:r w:rsidR="00FE0E2C" w:rsidRPr="002715F2">
        <w:rPr>
          <w:rFonts w:eastAsia="Batang"/>
          <w:lang w:val="fr-FR" w:eastAsia="ko-KR"/>
        </w:rPr>
        <w:t> détenus respectivement</w:t>
      </w:r>
      <w:r w:rsidR="000078DA" w:rsidRPr="002715F2">
        <w:rPr>
          <w:rFonts w:eastAsia="Batang"/>
          <w:lang w:val="fr-FR" w:eastAsia="ko-KR"/>
        </w:rPr>
        <w:t xml:space="preserve">, </w:t>
      </w:r>
      <w:r w:rsidR="00FE0E2C" w:rsidRPr="002715F2">
        <w:rPr>
          <w:rFonts w:eastAsia="Batang"/>
          <w:lang w:val="fr-FR" w:eastAsia="ko-KR"/>
        </w:rPr>
        <w:t>mais chacun</w:t>
      </w:r>
      <w:r w:rsidR="005111F8" w:rsidRPr="002715F2">
        <w:rPr>
          <w:rFonts w:eastAsia="Batang"/>
          <w:lang w:val="fr-FR" w:eastAsia="ko-KR"/>
        </w:rPr>
        <w:t>e</w:t>
      </w:r>
      <w:r w:rsidR="00FE0E2C" w:rsidRPr="002715F2">
        <w:rPr>
          <w:rFonts w:eastAsia="Batang"/>
          <w:lang w:val="fr-FR" w:eastAsia="ko-KR"/>
        </w:rPr>
        <w:t xml:space="preserve"> </w:t>
      </w:r>
      <w:r w:rsidR="005111F8" w:rsidRPr="002715F2">
        <w:rPr>
          <w:rFonts w:eastAsia="Batang"/>
          <w:lang w:val="fr-FR" w:eastAsia="ko-KR"/>
        </w:rPr>
        <w:t xml:space="preserve">en </w:t>
      </w:r>
      <w:r w:rsidR="00FE0E2C" w:rsidRPr="002715F2">
        <w:rPr>
          <w:rFonts w:eastAsia="Batang"/>
          <w:lang w:val="fr-FR" w:eastAsia="ko-KR"/>
        </w:rPr>
        <w:t>accueill</w:t>
      </w:r>
      <w:r w:rsidR="005111F8" w:rsidRPr="002715F2">
        <w:rPr>
          <w:rFonts w:eastAsia="Batang"/>
          <w:lang w:val="fr-FR" w:eastAsia="ko-KR"/>
        </w:rPr>
        <w:t>ait</w:t>
      </w:r>
      <w:r w:rsidR="00FE0E2C" w:rsidRPr="002715F2">
        <w:rPr>
          <w:rFonts w:eastAsia="Batang"/>
          <w:lang w:val="fr-FR" w:eastAsia="ko-KR"/>
        </w:rPr>
        <w:t xml:space="preserve"> </w:t>
      </w:r>
      <w:r w:rsidR="000078DA" w:rsidRPr="002715F2">
        <w:rPr>
          <w:rFonts w:eastAsia="휴먼명조"/>
          <w:szCs w:val="24"/>
          <w:lang w:val="fr-FR" w:eastAsia="ko-KR"/>
        </w:rPr>
        <w:t>336</w:t>
      </w:r>
      <w:r w:rsidR="005111F8" w:rsidRPr="002715F2">
        <w:rPr>
          <w:rFonts w:eastAsia="휴먼명조"/>
          <w:szCs w:val="24"/>
          <w:lang w:val="fr-FR" w:eastAsia="ko-KR"/>
        </w:rPr>
        <w:t xml:space="preserve"> (pour la première)</w:t>
      </w:r>
      <w:r w:rsidR="000078DA" w:rsidRPr="002715F2">
        <w:rPr>
          <w:rFonts w:eastAsia="Batang"/>
          <w:lang w:val="fr-FR" w:eastAsia="ko-KR"/>
        </w:rPr>
        <w:t xml:space="preserve"> </w:t>
      </w:r>
      <w:r w:rsidR="00FE0E2C" w:rsidRPr="002715F2">
        <w:rPr>
          <w:rFonts w:eastAsia="Batang"/>
          <w:lang w:val="fr-FR" w:eastAsia="ko-KR"/>
        </w:rPr>
        <w:t xml:space="preserve">et </w:t>
      </w:r>
      <w:r w:rsidR="000078DA" w:rsidRPr="002715F2">
        <w:rPr>
          <w:rFonts w:eastAsia="휴먼명조"/>
          <w:szCs w:val="24"/>
          <w:lang w:val="fr-FR" w:eastAsia="ko-KR"/>
        </w:rPr>
        <w:t xml:space="preserve">370 </w:t>
      </w:r>
      <w:r w:rsidR="005111F8" w:rsidRPr="002715F2">
        <w:rPr>
          <w:rFonts w:eastAsia="Batang"/>
          <w:lang w:val="fr-FR" w:eastAsia="ko-KR"/>
        </w:rPr>
        <w:t>(pour la seconde)</w:t>
      </w:r>
      <w:r w:rsidR="000078DA" w:rsidRPr="002715F2">
        <w:rPr>
          <w:rFonts w:eastAsia="Batang"/>
          <w:lang w:val="fr-FR" w:eastAsia="ko-KR"/>
        </w:rPr>
        <w:t xml:space="preserve">. </w:t>
      </w:r>
      <w:r w:rsidR="00FE0E2C" w:rsidRPr="002715F2">
        <w:rPr>
          <w:rFonts w:eastAsia="HyhwpEQ"/>
          <w:szCs w:val="24"/>
          <w:lang w:val="fr-FR" w:eastAsia="ko-KR"/>
        </w:rPr>
        <w:t xml:space="preserve">Le </w:t>
      </w:r>
      <w:r w:rsidR="005111F8" w:rsidRPr="002715F2">
        <w:rPr>
          <w:rFonts w:eastAsia="HyhwpEQ"/>
          <w:szCs w:val="24"/>
          <w:lang w:val="fr-FR" w:eastAsia="ko-KR"/>
        </w:rPr>
        <w:t>centre de détention de Mil-yang, dont la capacité d’accueil est limitée à</w:t>
      </w:r>
      <w:r w:rsidR="00FE0E2C" w:rsidRPr="002715F2">
        <w:rPr>
          <w:rFonts w:eastAsia="HyhwpEQ"/>
          <w:szCs w:val="24"/>
          <w:lang w:val="fr-FR" w:eastAsia="ko-KR"/>
        </w:rPr>
        <w:t xml:space="preserve"> 440 détenus</w:t>
      </w:r>
      <w:r w:rsidR="005111F8" w:rsidRPr="002715F2">
        <w:rPr>
          <w:rFonts w:eastAsia="HyhwpEQ"/>
          <w:szCs w:val="24"/>
          <w:lang w:val="fr-FR" w:eastAsia="ko-KR"/>
        </w:rPr>
        <w:t>,</w:t>
      </w:r>
      <w:r w:rsidR="00FE0E2C" w:rsidRPr="002715F2">
        <w:rPr>
          <w:rFonts w:eastAsia="HyhwpEQ"/>
          <w:szCs w:val="24"/>
          <w:lang w:val="fr-FR" w:eastAsia="ko-KR"/>
        </w:rPr>
        <w:t xml:space="preserve"> </w:t>
      </w:r>
      <w:r w:rsidR="005111F8" w:rsidRPr="002715F2">
        <w:rPr>
          <w:rFonts w:eastAsia="HyhwpEQ"/>
          <w:szCs w:val="24"/>
          <w:lang w:val="fr-FR" w:eastAsia="ko-KR"/>
        </w:rPr>
        <w:t xml:space="preserve">en </w:t>
      </w:r>
      <w:r w:rsidR="00FE0E2C" w:rsidRPr="002715F2">
        <w:rPr>
          <w:rFonts w:eastAsia="HyhwpEQ"/>
          <w:szCs w:val="24"/>
          <w:lang w:val="fr-FR" w:eastAsia="ko-KR"/>
        </w:rPr>
        <w:t>accueille actuellement 455 (voir</w:t>
      </w:r>
      <w:r w:rsidR="005111F8" w:rsidRPr="002715F2">
        <w:rPr>
          <w:rFonts w:eastAsia="HyhwpEQ"/>
          <w:szCs w:val="24"/>
          <w:lang w:val="fr-FR" w:eastAsia="ko-KR"/>
        </w:rPr>
        <w:t xml:space="preserve"> le tableau </w:t>
      </w:r>
      <w:r w:rsidR="00FE0E2C" w:rsidRPr="002715F2">
        <w:rPr>
          <w:rFonts w:eastAsia="HyhwpEQ"/>
          <w:szCs w:val="24"/>
          <w:lang w:val="fr-FR" w:eastAsia="ko-KR"/>
        </w:rPr>
        <w:t xml:space="preserve">19). Le nombre maximum de détenus a été légèrement dépassé au centre de détention de Mil-yang, mais les deux autres n’ont pas atteint leur </w:t>
      </w:r>
      <w:r w:rsidR="005111F8" w:rsidRPr="002715F2">
        <w:rPr>
          <w:rFonts w:eastAsia="HyhwpEQ"/>
          <w:szCs w:val="24"/>
          <w:lang w:val="fr-FR" w:eastAsia="ko-KR"/>
        </w:rPr>
        <w:t>capacité</w:t>
      </w:r>
      <w:r w:rsidR="00FE0E2C" w:rsidRPr="002715F2">
        <w:rPr>
          <w:rFonts w:eastAsia="HyhwpEQ"/>
          <w:szCs w:val="24"/>
          <w:lang w:val="fr-FR" w:eastAsia="ko-KR"/>
        </w:rPr>
        <w:t xml:space="preserve"> maximal</w:t>
      </w:r>
      <w:r w:rsidR="005111F8" w:rsidRPr="002715F2">
        <w:rPr>
          <w:rFonts w:eastAsia="HyhwpEQ"/>
          <w:szCs w:val="24"/>
          <w:lang w:val="fr-FR" w:eastAsia="ko-KR"/>
        </w:rPr>
        <w:t>e</w:t>
      </w:r>
      <w:r w:rsidR="00F60999" w:rsidRPr="002715F2">
        <w:rPr>
          <w:rFonts w:eastAsia="HyhwpEQ"/>
          <w:lang w:val="fr-FR"/>
        </w:rPr>
        <w:t>.</w:t>
      </w:r>
    </w:p>
    <w:p w:rsidR="000078DA" w:rsidRPr="002715F2" w:rsidRDefault="007026FB" w:rsidP="007026FB">
      <w:pPr>
        <w:pStyle w:val="SingleTxtG"/>
        <w:rPr>
          <w:rFonts w:eastAsia="Gulim"/>
          <w:lang w:val="fr-FR" w:eastAsia="ko-KR"/>
        </w:rPr>
      </w:pPr>
      <w:r w:rsidRPr="002715F2">
        <w:rPr>
          <w:rFonts w:eastAsia="Gulim"/>
          <w:lang w:val="fr-FR" w:eastAsia="ko-KR"/>
        </w:rPr>
        <w:t>113.</w:t>
      </w:r>
      <w:r w:rsidRPr="002715F2">
        <w:rPr>
          <w:rFonts w:eastAsia="Gulim"/>
          <w:lang w:val="fr-FR" w:eastAsia="ko-KR"/>
        </w:rPr>
        <w:tab/>
      </w:r>
      <w:r w:rsidR="00FE0E2C" w:rsidRPr="002715F2">
        <w:rPr>
          <w:rFonts w:eastAsia="Gulim"/>
          <w:lang w:val="fr-FR" w:eastAsia="ko-KR"/>
        </w:rPr>
        <w:t xml:space="preserve">Le nombre de personnes détenues en cellules de substitution a progressivement baissé, passant de </w:t>
      </w:r>
      <w:r w:rsidR="00FE0E2C" w:rsidRPr="002715F2">
        <w:rPr>
          <w:rFonts w:eastAsia="휴먼명조"/>
          <w:spacing w:val="4"/>
          <w:szCs w:val="24"/>
          <w:lang w:val="fr-FR" w:eastAsia="ko-KR"/>
        </w:rPr>
        <w:t>5 643 e</w:t>
      </w:r>
      <w:r w:rsidR="000078DA" w:rsidRPr="002715F2">
        <w:rPr>
          <w:rFonts w:eastAsia="휴먼명조"/>
          <w:spacing w:val="4"/>
          <w:szCs w:val="24"/>
          <w:lang w:val="fr-FR" w:eastAsia="ko-KR"/>
        </w:rPr>
        <w:t xml:space="preserve">n 2006 </w:t>
      </w:r>
      <w:r w:rsidR="00FE0E2C" w:rsidRPr="002715F2">
        <w:rPr>
          <w:rFonts w:eastAsia="휴먼명조"/>
          <w:spacing w:val="4"/>
          <w:szCs w:val="24"/>
          <w:lang w:val="fr-FR" w:eastAsia="ko-KR"/>
        </w:rPr>
        <w:t>à 5 439 e</w:t>
      </w:r>
      <w:r w:rsidR="000078DA" w:rsidRPr="002715F2">
        <w:rPr>
          <w:rFonts w:eastAsia="휴먼명조"/>
          <w:spacing w:val="4"/>
          <w:szCs w:val="24"/>
          <w:lang w:val="fr-FR" w:eastAsia="ko-KR"/>
        </w:rPr>
        <w:t xml:space="preserve">n 2007 </w:t>
      </w:r>
      <w:r w:rsidR="00FE0E2C" w:rsidRPr="002715F2">
        <w:rPr>
          <w:rFonts w:eastAsia="휴먼명조"/>
          <w:spacing w:val="4"/>
          <w:szCs w:val="24"/>
          <w:lang w:val="fr-FR" w:eastAsia="ko-KR"/>
        </w:rPr>
        <w:t>et 4 393 e</w:t>
      </w:r>
      <w:r w:rsidR="000078DA" w:rsidRPr="002715F2">
        <w:rPr>
          <w:rFonts w:eastAsia="휴먼명조"/>
          <w:spacing w:val="4"/>
          <w:szCs w:val="24"/>
          <w:lang w:val="fr-FR" w:eastAsia="ko-KR"/>
        </w:rPr>
        <w:t xml:space="preserve">n 2008. </w:t>
      </w:r>
      <w:r w:rsidR="00FE0E2C" w:rsidRPr="002715F2">
        <w:rPr>
          <w:rFonts w:eastAsia="휴먼명조"/>
          <w:spacing w:val="4"/>
          <w:szCs w:val="24"/>
          <w:lang w:val="fr-FR" w:eastAsia="ko-KR"/>
        </w:rPr>
        <w:t>En particulier</w:t>
      </w:r>
      <w:r w:rsidR="000078DA" w:rsidRPr="002715F2">
        <w:rPr>
          <w:rFonts w:eastAsia="휴먼명조"/>
          <w:spacing w:val="4"/>
          <w:szCs w:val="24"/>
          <w:lang w:val="fr-FR" w:eastAsia="ko-KR"/>
        </w:rPr>
        <w:t xml:space="preserve">, </w:t>
      </w:r>
      <w:r w:rsidR="00FE0E2C" w:rsidRPr="002715F2">
        <w:rPr>
          <w:rFonts w:eastAsia="휴먼명조"/>
          <w:spacing w:val="4"/>
          <w:szCs w:val="24"/>
          <w:lang w:val="fr-FR" w:eastAsia="ko-KR"/>
        </w:rPr>
        <w:t xml:space="preserve">après la construction des nouveaux établissements </w:t>
      </w:r>
      <w:r w:rsidR="00730B36" w:rsidRPr="002715F2">
        <w:rPr>
          <w:rFonts w:eastAsia="휴먼명조"/>
          <w:spacing w:val="4"/>
          <w:szCs w:val="24"/>
          <w:lang w:val="fr-FR" w:eastAsia="ko-KR"/>
        </w:rPr>
        <w:t>pénitentiaires</w:t>
      </w:r>
      <w:r w:rsidR="00FE0E2C" w:rsidRPr="002715F2">
        <w:rPr>
          <w:rFonts w:eastAsia="휴먼명조"/>
          <w:spacing w:val="4"/>
          <w:szCs w:val="24"/>
          <w:lang w:val="fr-FR" w:eastAsia="ko-KR"/>
        </w:rPr>
        <w:t xml:space="preserve"> susmentionnés</w:t>
      </w:r>
      <w:r w:rsidR="000078DA" w:rsidRPr="002715F2">
        <w:rPr>
          <w:rFonts w:eastAsia="휴먼명조"/>
          <w:spacing w:val="4"/>
          <w:szCs w:val="24"/>
          <w:lang w:val="fr-FR" w:eastAsia="ko-KR"/>
        </w:rPr>
        <w:t xml:space="preserve">, </w:t>
      </w:r>
      <w:r w:rsidR="00FE0E2C" w:rsidRPr="002715F2">
        <w:rPr>
          <w:rFonts w:eastAsia="휴먼명조"/>
          <w:spacing w:val="4"/>
          <w:szCs w:val="24"/>
          <w:lang w:val="fr-FR" w:eastAsia="ko-KR"/>
        </w:rPr>
        <w:t>le nombre de détenus a rapidement baissé</w:t>
      </w:r>
      <w:r w:rsidR="00B8543E" w:rsidRPr="002715F2">
        <w:rPr>
          <w:rFonts w:eastAsia="휴먼명조"/>
          <w:spacing w:val="4"/>
          <w:szCs w:val="24"/>
          <w:lang w:val="fr-FR" w:eastAsia="ko-KR"/>
        </w:rPr>
        <w:t>, passant</w:t>
      </w:r>
      <w:r w:rsidR="00FE0E2C" w:rsidRPr="002715F2">
        <w:rPr>
          <w:rFonts w:eastAsia="휴먼명조"/>
          <w:spacing w:val="4"/>
          <w:szCs w:val="24"/>
          <w:lang w:val="fr-FR" w:eastAsia="ko-KR"/>
        </w:rPr>
        <w:t xml:space="preserve"> de 4 234 en 2009 à 3 </w:t>
      </w:r>
      <w:r w:rsidR="000078DA" w:rsidRPr="002715F2">
        <w:rPr>
          <w:rFonts w:eastAsia="휴먼명조"/>
          <w:spacing w:val="4"/>
          <w:szCs w:val="24"/>
          <w:lang w:val="fr-FR" w:eastAsia="ko-KR"/>
        </w:rPr>
        <w:t xml:space="preserve">041 </w:t>
      </w:r>
      <w:r w:rsidR="00FE0E2C" w:rsidRPr="002715F2">
        <w:rPr>
          <w:rFonts w:eastAsia="휴먼명조"/>
          <w:spacing w:val="4"/>
          <w:szCs w:val="24"/>
          <w:lang w:val="fr-FR" w:eastAsia="ko-KR"/>
        </w:rPr>
        <w:t>e</w:t>
      </w:r>
      <w:r w:rsidR="000078DA" w:rsidRPr="002715F2">
        <w:rPr>
          <w:rFonts w:eastAsia="휴먼명조"/>
          <w:spacing w:val="4"/>
          <w:szCs w:val="24"/>
          <w:lang w:val="fr-FR" w:eastAsia="ko-KR"/>
        </w:rPr>
        <w:t>n 2010, 1</w:t>
      </w:r>
      <w:r w:rsidR="00FE0E2C" w:rsidRPr="002715F2">
        <w:rPr>
          <w:rFonts w:eastAsia="휴먼명조"/>
          <w:spacing w:val="4"/>
          <w:szCs w:val="24"/>
          <w:lang w:val="fr-FR" w:eastAsia="ko-KR"/>
        </w:rPr>
        <w:t> 917 en 2011, 1 980 en 2012, 1 915 en 2013, 1 736 e</w:t>
      </w:r>
      <w:r w:rsidR="000078DA" w:rsidRPr="002715F2">
        <w:rPr>
          <w:rFonts w:eastAsia="휴먼명조"/>
          <w:spacing w:val="4"/>
          <w:szCs w:val="24"/>
          <w:lang w:val="fr-FR" w:eastAsia="ko-KR"/>
        </w:rPr>
        <w:t>n 2014</w:t>
      </w:r>
      <w:r w:rsidR="00FE0E2C" w:rsidRPr="002715F2">
        <w:rPr>
          <w:rFonts w:eastAsia="휴먼명조"/>
          <w:spacing w:val="4"/>
          <w:szCs w:val="24"/>
          <w:lang w:val="fr-FR" w:eastAsia="ko-KR"/>
        </w:rPr>
        <w:t xml:space="preserve"> et 1 535 e</w:t>
      </w:r>
      <w:r w:rsidR="000078DA" w:rsidRPr="002715F2">
        <w:rPr>
          <w:rFonts w:eastAsia="휴먼명조"/>
          <w:spacing w:val="4"/>
          <w:szCs w:val="24"/>
          <w:lang w:val="fr-FR" w:eastAsia="ko-KR"/>
        </w:rPr>
        <w:t xml:space="preserve">n 2015 </w:t>
      </w:r>
      <w:r w:rsidR="000078DA" w:rsidRPr="002715F2">
        <w:rPr>
          <w:rFonts w:eastAsia="Malgun Gothic"/>
          <w:kern w:val="2"/>
          <w:szCs w:val="22"/>
          <w:lang w:val="fr-FR" w:eastAsia="ko-KR"/>
        </w:rPr>
        <w:t>(</w:t>
      </w:r>
      <w:r w:rsidR="00FE0E2C" w:rsidRPr="002715F2">
        <w:rPr>
          <w:rFonts w:eastAsia="Malgun Gothic"/>
          <w:kern w:val="2"/>
          <w:szCs w:val="22"/>
          <w:lang w:val="fr-FR" w:eastAsia="ko-KR"/>
        </w:rPr>
        <w:t>voir</w:t>
      </w:r>
      <w:r w:rsidR="000078DA" w:rsidRPr="002715F2">
        <w:rPr>
          <w:rFonts w:eastAsia="Malgun Gothic"/>
          <w:kern w:val="2"/>
          <w:szCs w:val="22"/>
          <w:lang w:val="fr-FR" w:eastAsia="ko-KR"/>
        </w:rPr>
        <w:t xml:space="preserve"> </w:t>
      </w:r>
      <w:r w:rsidR="00AF79C9" w:rsidRPr="002715F2">
        <w:rPr>
          <w:rFonts w:eastAsia="Malgun Gothic"/>
          <w:kern w:val="2"/>
          <w:szCs w:val="22"/>
          <w:lang w:val="fr-FR" w:eastAsia="ko-KR"/>
        </w:rPr>
        <w:t xml:space="preserve">le </w:t>
      </w:r>
      <w:r w:rsidR="000078DA" w:rsidRPr="002715F2">
        <w:rPr>
          <w:rFonts w:eastAsia="Malgun Gothic"/>
          <w:kern w:val="2"/>
          <w:szCs w:val="22"/>
          <w:lang w:val="fr-FR" w:eastAsia="ko-KR"/>
        </w:rPr>
        <w:t>table</w:t>
      </w:r>
      <w:r w:rsidR="00FE0E2C" w:rsidRPr="002715F2">
        <w:rPr>
          <w:rFonts w:eastAsia="Malgun Gothic"/>
          <w:kern w:val="2"/>
          <w:szCs w:val="22"/>
          <w:lang w:val="fr-FR" w:eastAsia="ko-KR"/>
        </w:rPr>
        <w:t>au</w:t>
      </w:r>
      <w:r w:rsidR="00AF79C9" w:rsidRPr="002715F2">
        <w:rPr>
          <w:rFonts w:eastAsia="Malgun Gothic"/>
          <w:kern w:val="2"/>
          <w:szCs w:val="22"/>
          <w:lang w:val="fr-FR" w:eastAsia="ko-KR"/>
        </w:rPr>
        <w:t> </w:t>
      </w:r>
      <w:r w:rsidR="000078DA" w:rsidRPr="002715F2">
        <w:rPr>
          <w:rFonts w:eastAsia="Malgun Gothic"/>
          <w:kern w:val="2"/>
          <w:szCs w:val="22"/>
          <w:lang w:val="fr-FR" w:eastAsia="ko-KR"/>
        </w:rPr>
        <w:t>20).</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FE0E2C" w:rsidRPr="002715F2">
        <w:rPr>
          <w:rFonts w:eastAsia="Batang"/>
          <w:lang w:val="fr-FR" w:eastAsia="ko-KR"/>
        </w:rPr>
        <w:t xml:space="preserve">Surveillance des détenues en cellules de </w:t>
      </w:r>
      <w:r w:rsidR="005C6D8E" w:rsidRPr="002715F2">
        <w:rPr>
          <w:rFonts w:eastAsia="Batang"/>
          <w:lang w:val="fr-FR" w:eastAsia="ko-KR"/>
        </w:rPr>
        <w:t>substitution</w:t>
      </w:r>
    </w:p>
    <w:p w:rsidR="000078DA" w:rsidRPr="002715F2" w:rsidRDefault="007026FB" w:rsidP="007026FB">
      <w:pPr>
        <w:pStyle w:val="SingleTxtG"/>
        <w:rPr>
          <w:rFonts w:eastAsia="Batang"/>
          <w:lang w:val="fr-FR" w:eastAsia="ko-KR"/>
        </w:rPr>
      </w:pPr>
      <w:r w:rsidRPr="002715F2">
        <w:rPr>
          <w:rFonts w:eastAsia="Batang"/>
          <w:lang w:val="fr-FR" w:eastAsia="ko-KR"/>
        </w:rPr>
        <w:t>114.</w:t>
      </w:r>
      <w:r w:rsidRPr="002715F2">
        <w:rPr>
          <w:rFonts w:eastAsia="Batang"/>
          <w:lang w:val="fr-FR" w:eastAsia="ko-KR"/>
        </w:rPr>
        <w:tab/>
      </w:r>
      <w:r w:rsidR="00FE0E2C" w:rsidRPr="002715F2">
        <w:rPr>
          <w:rFonts w:eastAsia="Batang"/>
          <w:lang w:val="fr-FR" w:eastAsia="ko-KR"/>
        </w:rPr>
        <w:t xml:space="preserve">Des policiers </w:t>
      </w:r>
      <w:r w:rsidR="00554CA7" w:rsidRPr="002715F2">
        <w:rPr>
          <w:rFonts w:eastAsia="Batang"/>
          <w:lang w:val="fr-FR" w:eastAsia="ko-KR"/>
        </w:rPr>
        <w:t>sont en poste</w:t>
      </w:r>
      <w:r w:rsidR="00FE0E2C" w:rsidRPr="002715F2">
        <w:rPr>
          <w:rFonts w:eastAsia="Batang"/>
          <w:lang w:val="fr-FR" w:eastAsia="ko-KR"/>
        </w:rPr>
        <w:t xml:space="preserve"> dans </w:t>
      </w:r>
      <w:r w:rsidR="00554CA7" w:rsidRPr="002715F2">
        <w:rPr>
          <w:rFonts w:eastAsia="Batang"/>
          <w:lang w:val="fr-FR" w:eastAsia="ko-KR"/>
        </w:rPr>
        <w:t xml:space="preserve">les </w:t>
      </w:r>
      <w:r w:rsidR="00FE0E2C" w:rsidRPr="002715F2">
        <w:rPr>
          <w:rFonts w:eastAsia="Batang"/>
          <w:lang w:val="fr-FR" w:eastAsia="ko-KR"/>
        </w:rPr>
        <w:t xml:space="preserve">quatre cellules de substitution </w:t>
      </w:r>
      <w:r w:rsidR="00CD1FBB" w:rsidRPr="002715F2">
        <w:rPr>
          <w:rFonts w:eastAsia="Batang"/>
          <w:lang w:val="fr-FR" w:eastAsia="ko-KR"/>
        </w:rPr>
        <w:t>encore utilisées</w:t>
      </w:r>
      <w:r w:rsidR="000078DA" w:rsidRPr="002715F2">
        <w:rPr>
          <w:rFonts w:eastAsia="Batang"/>
          <w:lang w:val="fr-FR" w:eastAsia="ko-KR"/>
        </w:rPr>
        <w:t xml:space="preserve">, </w:t>
      </w:r>
      <w:r w:rsidR="00FE0E2C" w:rsidRPr="002715F2">
        <w:rPr>
          <w:rFonts w:eastAsia="Batang"/>
          <w:lang w:val="fr-FR" w:eastAsia="ko-KR"/>
        </w:rPr>
        <w:t xml:space="preserve">mais des </w:t>
      </w:r>
      <w:r w:rsidR="00554CA7" w:rsidRPr="002715F2">
        <w:rPr>
          <w:rFonts w:eastAsia="Batang"/>
          <w:lang w:val="fr-FR" w:eastAsia="ko-KR"/>
        </w:rPr>
        <w:t xml:space="preserve">dispositions sont </w:t>
      </w:r>
      <w:r w:rsidR="00FE0E2C" w:rsidRPr="002715F2">
        <w:rPr>
          <w:rFonts w:eastAsia="Batang"/>
          <w:lang w:val="fr-FR" w:eastAsia="ko-KR"/>
        </w:rPr>
        <w:t>prises afin de s’assurer que les examens physiques so</w:t>
      </w:r>
      <w:r w:rsidR="00554CA7" w:rsidRPr="002715F2">
        <w:rPr>
          <w:rFonts w:eastAsia="Batang"/>
          <w:lang w:val="fr-FR" w:eastAsia="ko-KR"/>
        </w:rPr>
        <w:t>ie</w:t>
      </w:r>
      <w:r w:rsidR="00FE0E2C" w:rsidRPr="002715F2">
        <w:rPr>
          <w:rFonts w:eastAsia="Batang"/>
          <w:lang w:val="fr-FR" w:eastAsia="ko-KR"/>
        </w:rPr>
        <w:t>nt réalisés par des fonctionnaires du même sexe</w:t>
      </w:r>
      <w:r w:rsidR="000078DA" w:rsidRPr="002715F2">
        <w:rPr>
          <w:rFonts w:eastAsia="Batang"/>
          <w:lang w:val="fr-FR" w:eastAsia="ko-KR"/>
        </w:rPr>
        <w:t>.</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0078DA" w:rsidRPr="002715F2">
        <w:rPr>
          <w:rFonts w:eastAsia="Batang"/>
          <w:lang w:val="fr-FR" w:eastAsia="ko-KR"/>
        </w:rPr>
        <w:t>N</w:t>
      </w:r>
      <w:r w:rsidR="00B8543E" w:rsidRPr="002715F2">
        <w:rPr>
          <w:rFonts w:eastAsia="Batang"/>
          <w:lang w:val="fr-FR" w:eastAsia="ko-KR"/>
        </w:rPr>
        <w:t>ombre et</w:t>
      </w:r>
      <w:r w:rsidR="00554CA7" w:rsidRPr="002715F2">
        <w:rPr>
          <w:rFonts w:eastAsia="Batang"/>
          <w:lang w:val="fr-FR" w:eastAsia="ko-KR"/>
        </w:rPr>
        <w:t xml:space="preserve"> types</w:t>
      </w:r>
      <w:r w:rsidR="000078DA" w:rsidRPr="002715F2">
        <w:rPr>
          <w:rFonts w:eastAsia="Batang"/>
          <w:lang w:val="fr-FR" w:eastAsia="ko-KR"/>
        </w:rPr>
        <w:t xml:space="preserve"> </w:t>
      </w:r>
      <w:r w:rsidR="00554CA7" w:rsidRPr="002715F2">
        <w:rPr>
          <w:lang w:val="fr-FR"/>
        </w:rPr>
        <w:t>de cas de violences sexuelles dénoncés par des détenues</w:t>
      </w:r>
      <w:r w:rsidR="00554CA7" w:rsidRPr="002715F2">
        <w:rPr>
          <w:rFonts w:eastAsia="Batang"/>
          <w:lang w:val="fr-FR" w:eastAsia="ko-KR"/>
        </w:rPr>
        <w:t xml:space="preserve"> </w:t>
      </w:r>
      <w:r w:rsidR="00B8543E" w:rsidRPr="002715F2">
        <w:rPr>
          <w:rFonts w:eastAsia="Batang"/>
          <w:lang w:val="fr-FR" w:eastAsia="ko-KR"/>
        </w:rPr>
        <w:t xml:space="preserve">et sanction du viol en </w:t>
      </w:r>
      <w:r w:rsidR="00554CA7" w:rsidRPr="002715F2">
        <w:rPr>
          <w:rFonts w:eastAsia="Batang"/>
          <w:lang w:val="fr-FR" w:eastAsia="ko-KR"/>
        </w:rPr>
        <w:t>prison</w:t>
      </w:r>
    </w:p>
    <w:p w:rsidR="000078DA" w:rsidRPr="002715F2" w:rsidRDefault="007026FB" w:rsidP="007026FB">
      <w:pPr>
        <w:pStyle w:val="SingleTxtG"/>
        <w:rPr>
          <w:rFonts w:eastAsia="Batang"/>
          <w:szCs w:val="24"/>
          <w:lang w:val="fr-FR" w:eastAsia="ko-KR"/>
        </w:rPr>
      </w:pPr>
      <w:r w:rsidRPr="002715F2">
        <w:rPr>
          <w:rFonts w:eastAsia="Batang"/>
          <w:szCs w:val="24"/>
          <w:lang w:val="fr-FR" w:eastAsia="ko-KR"/>
        </w:rPr>
        <w:t>115.</w:t>
      </w:r>
      <w:r w:rsidRPr="002715F2">
        <w:rPr>
          <w:rFonts w:eastAsia="Batang"/>
          <w:szCs w:val="24"/>
          <w:lang w:val="fr-FR" w:eastAsia="ko-KR"/>
        </w:rPr>
        <w:tab/>
      </w:r>
      <w:r w:rsidR="00B8543E" w:rsidRPr="002715F2">
        <w:rPr>
          <w:rFonts w:eastAsia="Batang"/>
          <w:szCs w:val="24"/>
          <w:lang w:val="fr-FR" w:eastAsia="ko-KR"/>
        </w:rPr>
        <w:t xml:space="preserve">Entre </w:t>
      </w:r>
      <w:r w:rsidR="000078DA" w:rsidRPr="002715F2">
        <w:rPr>
          <w:rFonts w:eastAsia="Batang"/>
          <w:lang w:val="fr-FR" w:eastAsia="ko-KR"/>
        </w:rPr>
        <w:t xml:space="preserve">2006 </w:t>
      </w:r>
      <w:r w:rsidR="00B8543E" w:rsidRPr="002715F2">
        <w:rPr>
          <w:rFonts w:eastAsia="Batang"/>
          <w:lang w:val="fr-FR" w:eastAsia="ko-KR"/>
        </w:rPr>
        <w:t>et</w:t>
      </w:r>
      <w:r w:rsidR="000078DA" w:rsidRPr="002715F2">
        <w:rPr>
          <w:rFonts w:eastAsia="Batang"/>
          <w:lang w:val="fr-FR" w:eastAsia="ko-KR"/>
        </w:rPr>
        <w:t xml:space="preserve"> 2015, </w:t>
      </w:r>
      <w:r w:rsidR="00554CA7" w:rsidRPr="002715F2">
        <w:rPr>
          <w:rFonts w:eastAsia="Batang"/>
          <w:lang w:val="fr-FR" w:eastAsia="ko-KR"/>
        </w:rPr>
        <w:t>un seul cas de violences</w:t>
      </w:r>
      <w:r w:rsidR="00B8543E" w:rsidRPr="002715F2">
        <w:rPr>
          <w:rFonts w:eastAsia="Batang"/>
          <w:lang w:val="fr-FR" w:eastAsia="ko-KR"/>
        </w:rPr>
        <w:t xml:space="preserve"> sexuelle</w:t>
      </w:r>
      <w:r w:rsidR="00554CA7" w:rsidRPr="002715F2">
        <w:rPr>
          <w:rFonts w:eastAsia="Batang"/>
          <w:lang w:val="fr-FR" w:eastAsia="ko-KR"/>
        </w:rPr>
        <w:t>s commises</w:t>
      </w:r>
      <w:r w:rsidR="00B8543E" w:rsidRPr="002715F2">
        <w:rPr>
          <w:rFonts w:eastAsia="Batang"/>
          <w:lang w:val="fr-FR" w:eastAsia="ko-KR"/>
        </w:rPr>
        <w:t xml:space="preserve"> par un</w:t>
      </w:r>
      <w:r w:rsidR="00D35F1A" w:rsidRPr="002715F2">
        <w:rPr>
          <w:rFonts w:eastAsia="Batang"/>
          <w:lang w:val="fr-FR" w:eastAsia="ko-KR"/>
        </w:rPr>
        <w:t xml:space="preserve"> membre du personnel</w:t>
      </w:r>
      <w:r w:rsidR="00B8543E" w:rsidRPr="002715F2">
        <w:rPr>
          <w:rFonts w:eastAsia="Batang"/>
          <w:lang w:val="fr-FR" w:eastAsia="ko-KR"/>
        </w:rPr>
        <w:t xml:space="preserve"> pénitentiaire </w:t>
      </w:r>
      <w:r w:rsidR="00D35F1A" w:rsidRPr="002715F2">
        <w:rPr>
          <w:rFonts w:eastAsia="Batang"/>
          <w:lang w:val="fr-FR" w:eastAsia="ko-KR"/>
        </w:rPr>
        <w:t xml:space="preserve">a été </w:t>
      </w:r>
      <w:r w:rsidR="00365352" w:rsidRPr="002715F2">
        <w:rPr>
          <w:rFonts w:eastAsia="Batang"/>
          <w:lang w:val="fr-FR" w:eastAsia="ko-KR"/>
        </w:rPr>
        <w:t>dénoncé</w:t>
      </w:r>
      <w:r w:rsidR="00D35F1A" w:rsidRPr="002715F2">
        <w:rPr>
          <w:rFonts w:eastAsia="Batang"/>
          <w:lang w:val="fr-FR" w:eastAsia="ko-KR"/>
        </w:rPr>
        <w:t xml:space="preserve"> par </w:t>
      </w:r>
      <w:r w:rsidR="00554CA7" w:rsidRPr="002715F2">
        <w:rPr>
          <w:rFonts w:eastAsia="Batang"/>
          <w:lang w:val="fr-FR" w:eastAsia="ko-KR"/>
        </w:rPr>
        <w:t>l</w:t>
      </w:r>
      <w:r w:rsidR="00B8543E" w:rsidRPr="002715F2">
        <w:rPr>
          <w:rFonts w:eastAsia="Batang"/>
          <w:lang w:val="fr-FR" w:eastAsia="ko-KR"/>
        </w:rPr>
        <w:t>es détenues</w:t>
      </w:r>
      <w:r w:rsidR="000078DA" w:rsidRPr="002715F2">
        <w:rPr>
          <w:rFonts w:eastAsia="Batang"/>
          <w:lang w:val="fr-FR" w:eastAsia="ko-KR"/>
        </w:rPr>
        <w:t xml:space="preserve">. </w:t>
      </w:r>
      <w:r w:rsidR="00B8543E" w:rsidRPr="002715F2">
        <w:rPr>
          <w:rFonts w:eastAsia="Batang"/>
          <w:lang w:val="fr-FR" w:eastAsia="ko-KR"/>
        </w:rPr>
        <w:t xml:space="preserve">Cette affaire a </w:t>
      </w:r>
      <w:r w:rsidR="00554CA7" w:rsidRPr="002715F2">
        <w:rPr>
          <w:rFonts w:eastAsia="Batang"/>
          <w:lang w:val="fr-FR" w:eastAsia="ko-KR"/>
        </w:rPr>
        <w:t xml:space="preserve">été </w:t>
      </w:r>
      <w:r w:rsidR="00292923" w:rsidRPr="002715F2">
        <w:rPr>
          <w:rFonts w:eastAsia="Batang"/>
          <w:lang w:val="fr-FR" w:eastAsia="ko-KR"/>
        </w:rPr>
        <w:t>qualifié</w:t>
      </w:r>
      <w:r w:rsidR="00554CA7" w:rsidRPr="002715F2">
        <w:rPr>
          <w:rFonts w:eastAsia="Batang"/>
          <w:lang w:val="fr-FR" w:eastAsia="ko-KR"/>
        </w:rPr>
        <w:t>e</w:t>
      </w:r>
      <w:r w:rsidR="00292923" w:rsidRPr="002715F2">
        <w:rPr>
          <w:rFonts w:eastAsia="Batang"/>
          <w:lang w:val="fr-FR" w:eastAsia="ko-KR"/>
        </w:rPr>
        <w:t xml:space="preserve"> d’actes indécents </w:t>
      </w:r>
      <w:r w:rsidR="00B8543E" w:rsidRPr="002715F2">
        <w:rPr>
          <w:rFonts w:eastAsia="Batang"/>
          <w:lang w:val="fr-FR" w:eastAsia="ko-KR"/>
        </w:rPr>
        <w:t>avec usage de la force</w:t>
      </w:r>
      <w:r w:rsidR="000078DA" w:rsidRPr="002715F2">
        <w:rPr>
          <w:rFonts w:eastAsia="Batang"/>
          <w:lang w:val="fr-FR" w:eastAsia="ko-KR"/>
        </w:rPr>
        <w:t xml:space="preserve">. </w:t>
      </w:r>
      <w:r w:rsidR="00B8543E" w:rsidRPr="002715F2">
        <w:rPr>
          <w:rFonts w:eastAsia="Batang"/>
          <w:lang w:val="fr-FR" w:eastAsia="ko-KR"/>
        </w:rPr>
        <w:t xml:space="preserve">Pour plus </w:t>
      </w:r>
      <w:r w:rsidR="00554CA7" w:rsidRPr="002715F2">
        <w:rPr>
          <w:rFonts w:eastAsia="Batang"/>
          <w:lang w:val="fr-FR" w:eastAsia="ko-KR"/>
        </w:rPr>
        <w:t>de renseignements</w:t>
      </w:r>
      <w:r w:rsidR="00B8543E" w:rsidRPr="002715F2">
        <w:rPr>
          <w:rFonts w:eastAsia="Batang"/>
          <w:lang w:val="fr-FR" w:eastAsia="ko-KR"/>
        </w:rPr>
        <w:t xml:space="preserve"> sur cette affaire, on se reportera au p</w:t>
      </w:r>
      <w:r w:rsidR="000078DA" w:rsidRPr="002715F2">
        <w:rPr>
          <w:rFonts w:eastAsia="Batang"/>
          <w:lang w:val="fr-FR" w:eastAsia="ko-KR"/>
        </w:rPr>
        <w:t>aragraph</w:t>
      </w:r>
      <w:r w:rsidR="00B8543E" w:rsidRPr="002715F2">
        <w:rPr>
          <w:rFonts w:eastAsia="Batang"/>
          <w:lang w:val="fr-FR" w:eastAsia="ko-KR"/>
        </w:rPr>
        <w:t>e 1</w:t>
      </w:r>
      <w:r w:rsidR="000078DA" w:rsidRPr="002715F2">
        <w:rPr>
          <w:rFonts w:eastAsia="Batang"/>
          <w:lang w:val="fr-FR" w:eastAsia="ko-KR"/>
        </w:rPr>
        <w:t xml:space="preserve">16 </w:t>
      </w:r>
      <w:r w:rsidR="00B8543E" w:rsidRPr="002715F2">
        <w:rPr>
          <w:rFonts w:eastAsia="Batang"/>
          <w:lang w:val="fr-FR" w:eastAsia="ko-KR"/>
        </w:rPr>
        <w:t>du présent</w:t>
      </w:r>
      <w:r w:rsidR="000078DA" w:rsidRPr="002715F2">
        <w:rPr>
          <w:rFonts w:eastAsia="Batang"/>
          <w:lang w:val="fr-FR" w:eastAsia="ko-KR"/>
        </w:rPr>
        <w:t xml:space="preserve"> r</w:t>
      </w:r>
      <w:r w:rsidR="00B8543E" w:rsidRPr="002715F2">
        <w:rPr>
          <w:rFonts w:eastAsia="Batang"/>
          <w:lang w:val="fr-FR" w:eastAsia="ko-KR"/>
        </w:rPr>
        <w:t>a</w:t>
      </w:r>
      <w:r w:rsidR="000078DA" w:rsidRPr="002715F2">
        <w:rPr>
          <w:rFonts w:eastAsia="Batang"/>
          <w:lang w:val="fr-FR" w:eastAsia="ko-KR"/>
        </w:rPr>
        <w:t>p</w:t>
      </w:r>
      <w:r w:rsidR="00B8543E" w:rsidRPr="002715F2">
        <w:rPr>
          <w:rFonts w:eastAsia="Batang"/>
          <w:lang w:val="fr-FR" w:eastAsia="ko-KR"/>
        </w:rPr>
        <w:t>p</w:t>
      </w:r>
      <w:r w:rsidR="000078DA" w:rsidRPr="002715F2">
        <w:rPr>
          <w:rFonts w:eastAsia="Batang"/>
          <w:lang w:val="fr-FR" w:eastAsia="ko-KR"/>
        </w:rPr>
        <w:t xml:space="preserve">ort. </w:t>
      </w:r>
      <w:r w:rsidR="00B8543E" w:rsidRPr="002715F2">
        <w:rPr>
          <w:rFonts w:eastAsia="Batang"/>
          <w:lang w:val="fr-FR" w:eastAsia="ko-KR"/>
        </w:rPr>
        <w:t xml:space="preserve">Le viol en milieu carcéral est sanctionné par le </w:t>
      </w:r>
      <w:r w:rsidR="00554CA7" w:rsidRPr="002715F2">
        <w:rPr>
          <w:rFonts w:eastAsia="Batang"/>
          <w:lang w:val="fr-FR" w:eastAsia="ko-KR"/>
        </w:rPr>
        <w:t>C</w:t>
      </w:r>
      <w:r w:rsidR="00B8543E" w:rsidRPr="002715F2">
        <w:rPr>
          <w:rFonts w:eastAsia="Batang"/>
          <w:lang w:val="fr-FR" w:eastAsia="ko-KR"/>
        </w:rPr>
        <w:t xml:space="preserve">ode </w:t>
      </w:r>
      <w:r w:rsidR="005C6D8E" w:rsidRPr="002715F2">
        <w:rPr>
          <w:rFonts w:eastAsia="Batang"/>
          <w:lang w:val="fr-FR" w:eastAsia="ko-KR"/>
        </w:rPr>
        <w:t>pénal</w:t>
      </w:r>
      <w:r w:rsidR="00B8543E" w:rsidRPr="002715F2">
        <w:rPr>
          <w:rFonts w:eastAsia="Batang"/>
          <w:lang w:val="fr-FR" w:eastAsia="ko-KR"/>
        </w:rPr>
        <w:t xml:space="preserve">, la loi </w:t>
      </w:r>
      <w:r w:rsidR="00554CA7" w:rsidRPr="002715F2">
        <w:rPr>
          <w:lang w:val="fr-FR"/>
        </w:rPr>
        <w:t>sur les cas spéciaux relatifs à la répression des crimes sexuels</w:t>
      </w:r>
      <w:r w:rsidR="00554CA7" w:rsidRPr="002715F2">
        <w:rPr>
          <w:rFonts w:eastAsia="Batang"/>
          <w:lang w:val="fr-FR" w:eastAsia="ko-KR"/>
        </w:rPr>
        <w:t xml:space="preserve"> </w:t>
      </w:r>
      <w:r w:rsidR="00B8543E" w:rsidRPr="002715F2">
        <w:rPr>
          <w:rFonts w:eastAsia="Batang"/>
          <w:lang w:val="fr-FR" w:eastAsia="ko-KR"/>
        </w:rPr>
        <w:t xml:space="preserve">ou la loi relative à la protection des enfants et des </w:t>
      </w:r>
      <w:r w:rsidR="00554CA7" w:rsidRPr="002715F2">
        <w:rPr>
          <w:lang w:val="fr-FR"/>
        </w:rPr>
        <w:t xml:space="preserve">adolescents </w:t>
      </w:r>
      <w:r w:rsidR="00B8543E" w:rsidRPr="002715F2">
        <w:rPr>
          <w:rFonts w:eastAsia="Batang"/>
          <w:lang w:val="fr-FR" w:eastAsia="ko-KR"/>
        </w:rPr>
        <w:t xml:space="preserve">contre les </w:t>
      </w:r>
      <w:r w:rsidR="00554CA7" w:rsidRPr="002715F2">
        <w:rPr>
          <w:lang w:val="fr-FR"/>
        </w:rPr>
        <w:t xml:space="preserve">violences </w:t>
      </w:r>
      <w:r w:rsidR="00554CA7" w:rsidRPr="002715F2">
        <w:rPr>
          <w:rFonts w:eastAsia="Batang"/>
          <w:lang w:val="fr-FR" w:eastAsia="ko-KR"/>
        </w:rPr>
        <w:t>sexuelles</w:t>
      </w:r>
      <w:r w:rsidR="000078DA" w:rsidRPr="002715F2">
        <w:rPr>
          <w:rFonts w:eastAsia="Gulim"/>
          <w:lang w:val="fr-FR" w:eastAsia="ko-KR"/>
        </w:rPr>
        <w:t>,</w:t>
      </w:r>
      <w:r w:rsidR="000078DA" w:rsidRPr="002715F2">
        <w:rPr>
          <w:rFonts w:eastAsia="Batang"/>
          <w:lang w:val="fr-FR" w:eastAsia="ko-KR"/>
        </w:rPr>
        <w:t xml:space="preserve"> </w:t>
      </w:r>
      <w:r w:rsidR="00554CA7" w:rsidRPr="002715F2">
        <w:rPr>
          <w:rFonts w:eastAsia="Batang"/>
          <w:lang w:val="fr-FR" w:eastAsia="ko-KR"/>
        </w:rPr>
        <w:t>en fonction de</w:t>
      </w:r>
      <w:r w:rsidR="00B8543E" w:rsidRPr="002715F2">
        <w:rPr>
          <w:rFonts w:eastAsia="Batang"/>
          <w:lang w:val="fr-FR" w:eastAsia="ko-KR"/>
        </w:rPr>
        <w:t xml:space="preserve"> l’âge de l’auteur et de la victime, </w:t>
      </w:r>
      <w:r w:rsidR="00554CA7" w:rsidRPr="002715F2">
        <w:rPr>
          <w:rFonts w:eastAsia="Batang"/>
          <w:lang w:val="fr-FR" w:eastAsia="ko-KR"/>
        </w:rPr>
        <w:t>du</w:t>
      </w:r>
      <w:r w:rsidR="00B8543E" w:rsidRPr="002715F2">
        <w:rPr>
          <w:rFonts w:eastAsia="Batang"/>
          <w:lang w:val="fr-FR" w:eastAsia="ko-KR"/>
        </w:rPr>
        <w:t xml:space="preserve"> type d’attaque, </w:t>
      </w:r>
      <w:r w:rsidR="00554CA7" w:rsidRPr="002715F2">
        <w:rPr>
          <w:rFonts w:eastAsia="Batang"/>
          <w:lang w:val="fr-FR" w:eastAsia="ko-KR"/>
        </w:rPr>
        <w:t>des</w:t>
      </w:r>
      <w:r w:rsidR="00B8543E" w:rsidRPr="002715F2">
        <w:rPr>
          <w:rFonts w:eastAsia="Batang"/>
          <w:lang w:val="fr-FR" w:eastAsia="ko-KR"/>
        </w:rPr>
        <w:t xml:space="preserve"> moyens utilisés pour commettre l’infraction et </w:t>
      </w:r>
      <w:r w:rsidR="00554CA7" w:rsidRPr="002715F2">
        <w:rPr>
          <w:rFonts w:eastAsia="Batang"/>
          <w:lang w:val="fr-FR" w:eastAsia="ko-KR"/>
        </w:rPr>
        <w:t xml:space="preserve">de </w:t>
      </w:r>
      <w:r w:rsidR="00B8543E" w:rsidRPr="002715F2">
        <w:rPr>
          <w:rFonts w:eastAsia="Batang"/>
          <w:lang w:val="fr-FR" w:eastAsia="ko-KR"/>
        </w:rPr>
        <w:t>la relation entre l’auteur et la victime</w:t>
      </w:r>
      <w:r w:rsidR="000078DA" w:rsidRPr="002715F2">
        <w:rPr>
          <w:rFonts w:eastAsia="Batang"/>
          <w:lang w:val="fr-FR" w:eastAsia="ko-KR"/>
        </w:rPr>
        <w:t>.</w:t>
      </w:r>
      <w:r w:rsidR="00B8543E" w:rsidRPr="002715F2">
        <w:rPr>
          <w:rFonts w:eastAsia="Batang"/>
          <w:lang w:val="fr-FR" w:eastAsia="ko-KR"/>
        </w:rPr>
        <w:t xml:space="preserve"> En outre, </w:t>
      </w:r>
      <w:r w:rsidR="00554CA7" w:rsidRPr="002715F2">
        <w:rPr>
          <w:rFonts w:eastAsia="Batang"/>
          <w:lang w:val="fr-FR" w:eastAsia="ko-KR"/>
        </w:rPr>
        <w:t>tout</w:t>
      </w:r>
      <w:r w:rsidR="00B8543E" w:rsidRPr="002715F2">
        <w:rPr>
          <w:rFonts w:eastAsia="Batang"/>
          <w:lang w:val="fr-FR" w:eastAsia="ko-KR"/>
        </w:rPr>
        <w:t xml:space="preserve"> fonctionnaire de l’administration pénitentiaire </w:t>
      </w:r>
      <w:r w:rsidR="00D35F1A" w:rsidRPr="002715F2">
        <w:rPr>
          <w:rFonts w:eastAsia="Batang"/>
          <w:lang w:val="fr-FR" w:eastAsia="ko-KR"/>
        </w:rPr>
        <w:t xml:space="preserve">qui </w:t>
      </w:r>
      <w:r w:rsidR="002612E0" w:rsidRPr="002715F2">
        <w:rPr>
          <w:rFonts w:eastAsia="Batang"/>
          <w:lang w:val="fr-FR" w:eastAsia="ko-KR"/>
        </w:rPr>
        <w:t>abuse</w:t>
      </w:r>
      <w:r w:rsidR="004C1811" w:rsidRPr="002715F2">
        <w:rPr>
          <w:rFonts w:eastAsia="Batang"/>
          <w:lang w:val="fr-FR" w:eastAsia="ko-KR"/>
        </w:rPr>
        <w:t xml:space="preserve"> </w:t>
      </w:r>
      <w:r w:rsidR="00B8543E" w:rsidRPr="002715F2">
        <w:rPr>
          <w:rFonts w:eastAsia="Batang"/>
          <w:lang w:val="fr-FR" w:eastAsia="ko-KR"/>
        </w:rPr>
        <w:t>de sa position d’autorité pour</w:t>
      </w:r>
      <w:r w:rsidR="004C1811" w:rsidRPr="002715F2">
        <w:rPr>
          <w:rFonts w:eastAsia="Batang"/>
          <w:lang w:val="fr-FR" w:eastAsia="ko-KR"/>
        </w:rPr>
        <w:t xml:space="preserve"> commettre un viol verra </w:t>
      </w:r>
      <w:r w:rsidR="00B8543E" w:rsidRPr="002715F2">
        <w:rPr>
          <w:rFonts w:eastAsia="Batang"/>
          <w:lang w:val="fr-FR" w:eastAsia="ko-KR"/>
        </w:rPr>
        <w:t>sa peine majorée de la moitié de la sanction prévue pour le crime commis (Code pénal, art. 135)</w:t>
      </w:r>
      <w:r w:rsidR="000078DA" w:rsidRPr="002715F2">
        <w:rPr>
          <w:rFonts w:eastAsia="Batang"/>
          <w:lang w:val="fr-FR" w:eastAsia="ko-KR"/>
        </w:rPr>
        <w:t xml:space="preserve">. </w:t>
      </w:r>
      <w:r w:rsidR="004C1811" w:rsidRPr="002715F2">
        <w:rPr>
          <w:rFonts w:eastAsia="Batang"/>
          <w:lang w:val="fr-FR" w:eastAsia="ko-KR"/>
        </w:rPr>
        <w:t>De même</w:t>
      </w:r>
      <w:r w:rsidR="00D35F1A" w:rsidRPr="002715F2">
        <w:rPr>
          <w:rFonts w:eastAsia="Batang"/>
          <w:lang w:val="fr-FR" w:eastAsia="ko-KR"/>
        </w:rPr>
        <w:t>,</w:t>
      </w:r>
      <w:r w:rsidR="004C1811" w:rsidRPr="002715F2">
        <w:rPr>
          <w:rFonts w:eastAsia="Batang"/>
          <w:lang w:val="fr-FR" w:eastAsia="ko-KR"/>
        </w:rPr>
        <w:t xml:space="preserve"> </w:t>
      </w:r>
      <w:r w:rsidR="00554CA7" w:rsidRPr="002715F2">
        <w:rPr>
          <w:rFonts w:eastAsia="Batang"/>
          <w:lang w:val="fr-FR" w:eastAsia="ko-KR"/>
        </w:rPr>
        <w:t>tout</w:t>
      </w:r>
      <w:r w:rsidR="004C1811" w:rsidRPr="002715F2">
        <w:rPr>
          <w:rFonts w:eastAsia="Batang"/>
          <w:lang w:val="fr-FR" w:eastAsia="ko-KR"/>
        </w:rPr>
        <w:t xml:space="preserve"> </w:t>
      </w:r>
      <w:r w:rsidR="0037715A" w:rsidRPr="002715F2">
        <w:rPr>
          <w:rFonts w:eastAsia="Batang"/>
          <w:lang w:val="fr-FR" w:eastAsia="ko-KR"/>
        </w:rPr>
        <w:t>membre du personnel</w:t>
      </w:r>
      <w:r w:rsidR="00CD1FBB" w:rsidRPr="002715F2">
        <w:rPr>
          <w:lang w:val="fr-FR"/>
        </w:rPr>
        <w:t xml:space="preserve"> pénitentiaire</w:t>
      </w:r>
      <w:r w:rsidR="00CD1FBB" w:rsidRPr="002715F2">
        <w:rPr>
          <w:rFonts w:eastAsia="Batang"/>
          <w:lang w:val="fr-FR" w:eastAsia="ko-KR"/>
        </w:rPr>
        <w:t xml:space="preserve"> </w:t>
      </w:r>
      <w:r w:rsidR="00292923" w:rsidRPr="002715F2">
        <w:rPr>
          <w:rFonts w:eastAsia="Batang"/>
          <w:lang w:val="fr-FR" w:eastAsia="ko-KR"/>
        </w:rPr>
        <w:t xml:space="preserve">qui a </w:t>
      </w:r>
      <w:r w:rsidR="004C1811" w:rsidRPr="002715F2">
        <w:rPr>
          <w:rFonts w:eastAsia="Batang"/>
          <w:lang w:val="fr-FR" w:eastAsia="ko-KR"/>
        </w:rPr>
        <w:t>des rapports sexuels avec un</w:t>
      </w:r>
      <w:r w:rsidR="00D35F1A" w:rsidRPr="002715F2">
        <w:rPr>
          <w:rFonts w:eastAsia="Batang"/>
          <w:lang w:val="fr-FR" w:eastAsia="ko-KR"/>
        </w:rPr>
        <w:t>e personne</w:t>
      </w:r>
      <w:r w:rsidR="004C1811" w:rsidRPr="002715F2">
        <w:rPr>
          <w:rFonts w:eastAsia="Batang"/>
          <w:lang w:val="fr-FR" w:eastAsia="ko-KR"/>
        </w:rPr>
        <w:t xml:space="preserve"> </w:t>
      </w:r>
      <w:r w:rsidR="00D35F1A" w:rsidRPr="002715F2">
        <w:rPr>
          <w:rFonts w:eastAsia="Batang"/>
          <w:lang w:val="fr-FR" w:eastAsia="ko-KR"/>
        </w:rPr>
        <w:t>incarcérée</w:t>
      </w:r>
      <w:r w:rsidR="004C1811" w:rsidRPr="002715F2">
        <w:rPr>
          <w:rFonts w:eastAsia="Batang"/>
          <w:lang w:val="fr-FR" w:eastAsia="ko-KR"/>
        </w:rPr>
        <w:t>, même avec le consentement de ce</w:t>
      </w:r>
      <w:r w:rsidR="00D35F1A" w:rsidRPr="002715F2">
        <w:rPr>
          <w:rFonts w:eastAsia="Batang"/>
          <w:lang w:val="fr-FR" w:eastAsia="ko-KR"/>
        </w:rPr>
        <w:t>tte</w:t>
      </w:r>
      <w:r w:rsidR="004C1811" w:rsidRPr="002715F2">
        <w:rPr>
          <w:rFonts w:eastAsia="Batang"/>
          <w:lang w:val="fr-FR" w:eastAsia="ko-KR"/>
        </w:rPr>
        <w:t xml:space="preserve"> </w:t>
      </w:r>
      <w:r w:rsidR="005C6D8E" w:rsidRPr="002715F2">
        <w:rPr>
          <w:rFonts w:eastAsia="Batang"/>
          <w:lang w:val="fr-FR" w:eastAsia="ko-KR"/>
        </w:rPr>
        <w:t>dernière</w:t>
      </w:r>
      <w:r w:rsidR="00AD1A69" w:rsidRPr="002715F2">
        <w:rPr>
          <w:rFonts w:eastAsia="Batang"/>
          <w:lang w:val="fr-FR" w:eastAsia="ko-KR"/>
        </w:rPr>
        <w:t xml:space="preserve">, </w:t>
      </w:r>
      <w:r w:rsidR="00292923" w:rsidRPr="002715F2">
        <w:rPr>
          <w:rFonts w:eastAsia="Batang"/>
          <w:lang w:val="fr-FR" w:eastAsia="ko-KR"/>
        </w:rPr>
        <w:t xml:space="preserve">est </w:t>
      </w:r>
      <w:r w:rsidR="004C1811" w:rsidRPr="002715F2">
        <w:rPr>
          <w:rFonts w:eastAsia="Batang"/>
          <w:lang w:val="fr-FR" w:eastAsia="ko-KR"/>
        </w:rPr>
        <w:t xml:space="preserve">passible d’une peine </w:t>
      </w:r>
      <w:r w:rsidR="00D35F1A" w:rsidRPr="002715F2">
        <w:rPr>
          <w:rFonts w:eastAsia="Batang"/>
          <w:lang w:val="fr-FR" w:eastAsia="ko-KR"/>
        </w:rPr>
        <w:t xml:space="preserve">maximale </w:t>
      </w:r>
      <w:r w:rsidR="004C1811" w:rsidRPr="002715F2">
        <w:rPr>
          <w:rFonts w:eastAsia="Batang"/>
          <w:lang w:val="fr-FR" w:eastAsia="ko-KR"/>
        </w:rPr>
        <w:t xml:space="preserve">d’emprisonnement </w:t>
      </w:r>
      <w:r w:rsidR="00D35F1A" w:rsidRPr="002715F2">
        <w:rPr>
          <w:rFonts w:eastAsia="Batang"/>
          <w:lang w:val="fr-FR" w:eastAsia="ko-KR"/>
        </w:rPr>
        <w:t xml:space="preserve">de </w:t>
      </w:r>
      <w:r w:rsidR="004C1811" w:rsidRPr="002715F2">
        <w:rPr>
          <w:rFonts w:eastAsia="Batang"/>
          <w:lang w:val="fr-FR" w:eastAsia="ko-KR"/>
        </w:rPr>
        <w:t>sept</w:t>
      </w:r>
      <w:r w:rsidR="0098082A" w:rsidRPr="002715F2">
        <w:rPr>
          <w:rFonts w:eastAsia="Batang"/>
          <w:lang w:val="fr-FR" w:eastAsia="ko-KR"/>
        </w:rPr>
        <w:t> </w:t>
      </w:r>
      <w:r w:rsidR="004C1811" w:rsidRPr="002715F2">
        <w:rPr>
          <w:rFonts w:eastAsia="Batang"/>
          <w:lang w:val="fr-FR" w:eastAsia="ko-KR"/>
        </w:rPr>
        <w:t>ans (</w:t>
      </w:r>
      <w:r w:rsidR="00554CA7" w:rsidRPr="002715F2">
        <w:rPr>
          <w:rFonts w:eastAsia="Batang"/>
          <w:lang w:val="fr-FR" w:eastAsia="ko-KR"/>
        </w:rPr>
        <w:t>C</w:t>
      </w:r>
      <w:r w:rsidR="004C1811" w:rsidRPr="002715F2">
        <w:rPr>
          <w:rFonts w:eastAsia="Batang"/>
          <w:lang w:val="fr-FR" w:eastAsia="ko-KR"/>
        </w:rPr>
        <w:t xml:space="preserve">ode </w:t>
      </w:r>
      <w:r w:rsidR="00D35F1A" w:rsidRPr="002715F2">
        <w:rPr>
          <w:rFonts w:eastAsia="Batang"/>
          <w:lang w:val="fr-FR" w:eastAsia="ko-KR"/>
        </w:rPr>
        <w:t>pé</w:t>
      </w:r>
      <w:r w:rsidR="004C1811" w:rsidRPr="002715F2">
        <w:rPr>
          <w:rFonts w:eastAsia="Batang"/>
          <w:lang w:val="fr-FR" w:eastAsia="ko-KR"/>
        </w:rPr>
        <w:t>nal, art. 303, par. </w:t>
      </w:r>
      <w:r w:rsidR="00F60999" w:rsidRPr="002715F2">
        <w:rPr>
          <w:rFonts w:eastAsia="Batang"/>
          <w:lang w:val="fr-FR" w:eastAsia="ko-KR"/>
        </w:rPr>
        <w:t>2).</w:t>
      </w:r>
    </w:p>
    <w:p w:rsidR="000078DA" w:rsidRPr="002715F2" w:rsidRDefault="00643BBE" w:rsidP="00643BBE">
      <w:pPr>
        <w:pStyle w:val="H23G"/>
        <w:rPr>
          <w:rFonts w:ascii="Gulim" w:eastAsia="Gulim" w:hAnsi="Gulim"/>
          <w:lang w:val="fr-FR" w:eastAsia="ko-KR"/>
        </w:rPr>
      </w:pPr>
      <w:r w:rsidRPr="002715F2">
        <w:rPr>
          <w:rFonts w:eastAsia="Batang"/>
          <w:lang w:val="fr-FR" w:eastAsia="ko-KR"/>
        </w:rPr>
        <w:tab/>
      </w:r>
      <w:r w:rsidRPr="002715F2">
        <w:rPr>
          <w:rFonts w:eastAsia="Batang"/>
          <w:lang w:val="fr-FR" w:eastAsia="ko-KR"/>
        </w:rPr>
        <w:tab/>
      </w:r>
      <w:r w:rsidR="00D35F1A" w:rsidRPr="002715F2">
        <w:rPr>
          <w:rFonts w:eastAsia="Batang"/>
          <w:lang w:val="fr-FR" w:eastAsia="ko-KR"/>
        </w:rPr>
        <w:t>Réponse aux qu</w:t>
      </w:r>
      <w:r w:rsidR="00CD1FBB" w:rsidRPr="002715F2">
        <w:rPr>
          <w:rFonts w:eastAsia="Batang"/>
          <w:lang w:val="fr-FR" w:eastAsia="ko-KR"/>
        </w:rPr>
        <w:t xml:space="preserve">estions soulevées au </w:t>
      </w:r>
      <w:r w:rsidR="00695E2D" w:rsidRPr="002715F2">
        <w:rPr>
          <w:rFonts w:eastAsia="Batang"/>
          <w:lang w:val="fr-FR" w:eastAsia="ko-KR"/>
        </w:rPr>
        <w:t xml:space="preserve">paragraphe </w:t>
      </w:r>
      <w:r w:rsidR="00D35F1A" w:rsidRPr="002715F2">
        <w:rPr>
          <w:rFonts w:eastAsia="Batang"/>
          <w:lang w:val="fr-FR" w:eastAsia="ko-KR"/>
        </w:rPr>
        <w:t>19</w:t>
      </w:r>
    </w:p>
    <w:p w:rsidR="000078DA" w:rsidRPr="002715F2" w:rsidRDefault="00643BBE" w:rsidP="007026FB">
      <w:pPr>
        <w:pStyle w:val="H4G"/>
        <w:rPr>
          <w:rFonts w:ascii="Gulim" w:eastAsia="Gulim" w:hAnsi="Gulim"/>
          <w:lang w:val="fr-FR" w:eastAsia="ko-KR"/>
        </w:rPr>
      </w:pPr>
      <w:r w:rsidRPr="002715F2">
        <w:rPr>
          <w:rFonts w:eastAsia="Batang"/>
          <w:lang w:val="fr-FR" w:eastAsia="ko-KR"/>
        </w:rPr>
        <w:tab/>
      </w:r>
      <w:r w:rsidRPr="002715F2">
        <w:rPr>
          <w:rFonts w:eastAsia="Batang"/>
          <w:lang w:val="fr-FR" w:eastAsia="ko-KR"/>
        </w:rPr>
        <w:tab/>
      </w:r>
      <w:r w:rsidR="00D35F1A" w:rsidRPr="002715F2">
        <w:rPr>
          <w:rFonts w:eastAsia="Batang"/>
          <w:lang w:val="fr-FR" w:eastAsia="ko-KR"/>
        </w:rPr>
        <w:t xml:space="preserve">Gestion des cas de </w:t>
      </w:r>
      <w:r w:rsidR="0039617D" w:rsidRPr="002715F2">
        <w:rPr>
          <w:rFonts w:eastAsia="Batang"/>
          <w:lang w:val="fr-FR" w:eastAsia="ko-KR"/>
        </w:rPr>
        <w:t>violences sexuelles commises</w:t>
      </w:r>
      <w:r w:rsidR="00D35F1A" w:rsidRPr="002715F2">
        <w:rPr>
          <w:rFonts w:eastAsia="Batang"/>
          <w:lang w:val="fr-FR" w:eastAsia="ko-KR"/>
        </w:rPr>
        <w:t xml:space="preserve"> </w:t>
      </w:r>
      <w:r w:rsidR="00AD1A69" w:rsidRPr="002715F2">
        <w:rPr>
          <w:rFonts w:eastAsia="Batang"/>
          <w:lang w:val="fr-FR" w:eastAsia="ko-KR"/>
        </w:rPr>
        <w:t xml:space="preserve">par des fonctionnaires de l’administration pénitentiaire </w:t>
      </w:r>
      <w:r w:rsidR="00D35F1A" w:rsidRPr="002715F2">
        <w:rPr>
          <w:rFonts w:eastAsia="Batang"/>
          <w:lang w:val="fr-FR" w:eastAsia="ko-KR"/>
        </w:rPr>
        <w:t xml:space="preserve">contre </w:t>
      </w:r>
      <w:r w:rsidR="001E7167" w:rsidRPr="002715F2">
        <w:rPr>
          <w:rFonts w:eastAsia="Batang"/>
          <w:lang w:val="fr-FR" w:eastAsia="ko-KR"/>
        </w:rPr>
        <w:t>d</w:t>
      </w:r>
      <w:r w:rsidR="00D35F1A" w:rsidRPr="002715F2">
        <w:rPr>
          <w:rFonts w:eastAsia="Batang"/>
          <w:lang w:val="fr-FR" w:eastAsia="ko-KR"/>
        </w:rPr>
        <w:t xml:space="preserve">es détenues </w:t>
      </w:r>
    </w:p>
    <w:p w:rsidR="000078DA" w:rsidRPr="002715F2" w:rsidRDefault="007026FB" w:rsidP="007026FB">
      <w:pPr>
        <w:pStyle w:val="SingleTxtG"/>
        <w:rPr>
          <w:rFonts w:eastAsia="Malgun Gothic"/>
          <w:lang w:val="fr-FR"/>
        </w:rPr>
      </w:pPr>
      <w:r w:rsidRPr="002715F2">
        <w:rPr>
          <w:rFonts w:eastAsia="Malgun Gothic"/>
          <w:lang w:val="fr-FR"/>
        </w:rPr>
        <w:t>116.</w:t>
      </w:r>
      <w:r w:rsidRPr="002715F2">
        <w:rPr>
          <w:rFonts w:eastAsia="Malgun Gothic"/>
          <w:lang w:val="fr-FR"/>
        </w:rPr>
        <w:tab/>
      </w:r>
      <w:r w:rsidR="00D35F1A" w:rsidRPr="002715F2">
        <w:rPr>
          <w:rFonts w:eastAsia="Malgun Gothic"/>
          <w:lang w:val="fr-FR"/>
        </w:rPr>
        <w:t>Exception faite du cas d’a</w:t>
      </w:r>
      <w:r w:rsidR="00292923" w:rsidRPr="002715F2">
        <w:rPr>
          <w:rFonts w:eastAsia="Malgun Gothic"/>
          <w:lang w:val="fr-FR"/>
        </w:rPr>
        <w:t xml:space="preserve">ctes indécents </w:t>
      </w:r>
      <w:r w:rsidR="00D35F1A" w:rsidRPr="002715F2">
        <w:rPr>
          <w:rFonts w:eastAsia="Malgun Gothic"/>
          <w:lang w:val="fr-FR"/>
        </w:rPr>
        <w:t>avec usage de la force commis par un fonctionnaire contre des détenues en février </w:t>
      </w:r>
      <w:r w:rsidR="000078DA" w:rsidRPr="002715F2">
        <w:rPr>
          <w:rFonts w:eastAsia="Malgun Gothic"/>
          <w:lang w:val="fr-FR"/>
        </w:rPr>
        <w:t xml:space="preserve">2006, </w:t>
      </w:r>
      <w:r w:rsidR="00D35F1A" w:rsidRPr="002715F2">
        <w:rPr>
          <w:rFonts w:eastAsia="Malgun Gothic"/>
          <w:lang w:val="fr-FR"/>
        </w:rPr>
        <w:t>décrit au paragraphe </w:t>
      </w:r>
      <w:r w:rsidR="000078DA" w:rsidRPr="002715F2">
        <w:rPr>
          <w:rFonts w:eastAsia="Malgun Gothic"/>
          <w:lang w:val="fr-FR"/>
        </w:rPr>
        <w:t xml:space="preserve">115, </w:t>
      </w:r>
      <w:r w:rsidR="00D35F1A" w:rsidRPr="002715F2">
        <w:rPr>
          <w:rFonts w:eastAsia="Malgun Gothic"/>
          <w:lang w:val="fr-FR"/>
        </w:rPr>
        <w:t xml:space="preserve">aucune </w:t>
      </w:r>
      <w:r w:rsidR="00F5683B" w:rsidRPr="002715F2">
        <w:rPr>
          <w:rFonts w:eastAsia="Malgun Gothic"/>
          <w:lang w:val="fr-FR"/>
        </w:rPr>
        <w:t xml:space="preserve">détenue n’a été victime de </w:t>
      </w:r>
      <w:r w:rsidR="00D35F1A" w:rsidRPr="002715F2">
        <w:rPr>
          <w:rFonts w:eastAsia="Malgun Gothic"/>
          <w:lang w:val="fr-FR"/>
        </w:rPr>
        <w:t xml:space="preserve">violence sexuelle </w:t>
      </w:r>
      <w:r w:rsidR="003A4F85" w:rsidRPr="002715F2">
        <w:rPr>
          <w:rFonts w:eastAsia="Malgun Gothic"/>
          <w:lang w:val="fr-FR"/>
        </w:rPr>
        <w:t>de la part du</w:t>
      </w:r>
      <w:r w:rsidR="00D35F1A" w:rsidRPr="002715F2">
        <w:rPr>
          <w:rFonts w:eastAsia="Malgun Gothic"/>
          <w:lang w:val="fr-FR"/>
        </w:rPr>
        <w:t xml:space="preserve"> personnel </w:t>
      </w:r>
      <w:r w:rsidR="0039617D" w:rsidRPr="002715F2">
        <w:rPr>
          <w:rFonts w:eastAsia="Malgun Gothic"/>
          <w:lang w:val="fr-FR"/>
        </w:rPr>
        <w:t>pénitentiaire</w:t>
      </w:r>
      <w:r w:rsidR="00D35F1A" w:rsidRPr="002715F2">
        <w:rPr>
          <w:rFonts w:eastAsia="Malgun Gothic"/>
          <w:lang w:val="fr-FR"/>
        </w:rPr>
        <w:t xml:space="preserve"> entre 2006 et 2015</w:t>
      </w:r>
      <w:r w:rsidR="000078DA" w:rsidRPr="002715F2">
        <w:rPr>
          <w:rFonts w:eastAsia="Malgun Gothic"/>
          <w:lang w:val="fr-FR"/>
        </w:rPr>
        <w:t xml:space="preserve">. </w:t>
      </w:r>
      <w:r w:rsidR="006908ED" w:rsidRPr="002715F2">
        <w:rPr>
          <w:rFonts w:eastAsia="Malgun Gothic"/>
          <w:lang w:val="fr-FR"/>
        </w:rPr>
        <w:t>Entre 2006 et 2011, l</w:t>
      </w:r>
      <w:r w:rsidR="00D83826" w:rsidRPr="002715F2">
        <w:rPr>
          <w:rFonts w:eastAsia="Malgun Gothic"/>
          <w:lang w:val="fr-FR"/>
        </w:rPr>
        <w:t>a Commission nationale des droits de l’homme</w:t>
      </w:r>
      <w:r w:rsidR="000078DA" w:rsidRPr="002715F2">
        <w:rPr>
          <w:rFonts w:eastAsia="Malgun Gothic"/>
          <w:lang w:val="fr-FR"/>
        </w:rPr>
        <w:t xml:space="preserve"> </w:t>
      </w:r>
      <w:r w:rsidR="00D35F1A" w:rsidRPr="002715F2">
        <w:rPr>
          <w:rFonts w:eastAsia="Malgun Gothic"/>
          <w:lang w:val="fr-FR"/>
        </w:rPr>
        <w:t>a enquêté sur</w:t>
      </w:r>
      <w:r w:rsidR="000078DA" w:rsidRPr="002715F2">
        <w:rPr>
          <w:rFonts w:eastAsia="Malgun Gothic"/>
          <w:lang w:val="fr-FR"/>
        </w:rPr>
        <w:t xml:space="preserve"> </w:t>
      </w:r>
      <w:r w:rsidR="0037715A" w:rsidRPr="002715F2">
        <w:rPr>
          <w:rFonts w:eastAsia="Malgun Gothic"/>
          <w:lang w:val="fr-FR"/>
        </w:rPr>
        <w:t>quatre</w:t>
      </w:r>
      <w:r w:rsidR="00D35F1A" w:rsidRPr="002715F2">
        <w:rPr>
          <w:rFonts w:eastAsia="Malgun Gothic"/>
          <w:lang w:val="fr-FR"/>
        </w:rPr>
        <w:t> </w:t>
      </w:r>
      <w:r w:rsidR="006908ED" w:rsidRPr="002715F2">
        <w:rPr>
          <w:rFonts w:eastAsia="Malgun Gothic"/>
          <w:lang w:val="fr-FR"/>
        </w:rPr>
        <w:t>plaintes de détenues relatives à des actes</w:t>
      </w:r>
      <w:r w:rsidR="00D35F1A" w:rsidRPr="002715F2">
        <w:rPr>
          <w:rFonts w:eastAsia="Malgun Gothic"/>
          <w:lang w:val="fr-FR"/>
        </w:rPr>
        <w:t xml:space="preserve"> de </w:t>
      </w:r>
      <w:r w:rsidR="0039617D" w:rsidRPr="002715F2">
        <w:rPr>
          <w:rFonts w:eastAsia="Malgun Gothic"/>
          <w:lang w:val="fr-FR"/>
        </w:rPr>
        <w:t>harcèlement</w:t>
      </w:r>
      <w:r w:rsidR="00D35F1A" w:rsidRPr="002715F2">
        <w:rPr>
          <w:rFonts w:eastAsia="Malgun Gothic"/>
          <w:lang w:val="fr-FR"/>
        </w:rPr>
        <w:t xml:space="preserve"> sexuel</w:t>
      </w:r>
      <w:r w:rsidR="00F10C60" w:rsidRPr="002715F2">
        <w:rPr>
          <w:rFonts w:eastAsia="Malgun Gothic"/>
          <w:lang w:val="fr-FR"/>
        </w:rPr>
        <w:t>, ou autres,</w:t>
      </w:r>
      <w:r w:rsidR="0037715A" w:rsidRPr="002715F2">
        <w:rPr>
          <w:rFonts w:eastAsia="Malgun Gothic"/>
          <w:lang w:val="fr-FR"/>
        </w:rPr>
        <w:t xml:space="preserve"> </w:t>
      </w:r>
      <w:r w:rsidR="006908ED" w:rsidRPr="002715F2">
        <w:rPr>
          <w:rFonts w:eastAsia="Malgun Gothic"/>
          <w:lang w:val="fr-FR"/>
        </w:rPr>
        <w:t>imputés à</w:t>
      </w:r>
      <w:r w:rsidR="00D35F1A" w:rsidRPr="002715F2">
        <w:rPr>
          <w:rFonts w:eastAsia="Malgun Gothic"/>
          <w:lang w:val="fr-FR"/>
        </w:rPr>
        <w:t xml:space="preserve"> des fonctionnaires de l’administration pénitentiaire</w:t>
      </w:r>
      <w:r w:rsidR="006908ED" w:rsidRPr="002715F2">
        <w:rPr>
          <w:rFonts w:eastAsia="Malgun Gothic"/>
          <w:lang w:val="fr-FR"/>
        </w:rPr>
        <w:t>. S</w:t>
      </w:r>
      <w:r w:rsidR="004B4172" w:rsidRPr="002715F2">
        <w:rPr>
          <w:rFonts w:eastAsia="Malgun Gothic"/>
          <w:lang w:val="fr-FR"/>
        </w:rPr>
        <w:t xml:space="preserve">ur ces </w:t>
      </w:r>
      <w:r w:rsidR="0037715A" w:rsidRPr="002715F2">
        <w:rPr>
          <w:rFonts w:eastAsia="Malgun Gothic"/>
          <w:lang w:val="fr-FR"/>
        </w:rPr>
        <w:t>quatre </w:t>
      </w:r>
      <w:r w:rsidR="006908ED" w:rsidRPr="002715F2">
        <w:rPr>
          <w:rFonts w:eastAsia="Malgun Gothic"/>
          <w:lang w:val="fr-FR"/>
        </w:rPr>
        <w:t>plaintes</w:t>
      </w:r>
      <w:r w:rsidR="004B4172" w:rsidRPr="002715F2">
        <w:rPr>
          <w:rFonts w:eastAsia="Malgun Gothic"/>
          <w:lang w:val="fr-FR"/>
        </w:rPr>
        <w:t>,</w:t>
      </w:r>
      <w:r w:rsidR="000078DA" w:rsidRPr="002715F2">
        <w:rPr>
          <w:rFonts w:eastAsia="Malgun Gothic"/>
          <w:lang w:val="fr-FR"/>
        </w:rPr>
        <w:t xml:space="preserve"> </w:t>
      </w:r>
      <w:r w:rsidR="0037715A" w:rsidRPr="002715F2">
        <w:rPr>
          <w:rFonts w:eastAsia="Malgun Gothic"/>
          <w:lang w:val="fr-FR"/>
        </w:rPr>
        <w:t>un</w:t>
      </w:r>
      <w:r w:rsidR="006908ED" w:rsidRPr="002715F2">
        <w:rPr>
          <w:rFonts w:eastAsia="Malgun Gothic"/>
          <w:lang w:val="fr-FR"/>
        </w:rPr>
        <w:t>e</w:t>
      </w:r>
      <w:r w:rsidR="000078DA" w:rsidRPr="002715F2">
        <w:rPr>
          <w:rFonts w:eastAsia="Malgun Gothic"/>
          <w:lang w:val="fr-FR"/>
        </w:rPr>
        <w:t xml:space="preserve"> </w:t>
      </w:r>
      <w:r w:rsidR="00BE2509" w:rsidRPr="002715F2">
        <w:rPr>
          <w:rFonts w:eastAsia="Malgun Gothic"/>
          <w:lang w:val="fr-FR"/>
        </w:rPr>
        <w:t xml:space="preserve">a donné lieu </w:t>
      </w:r>
      <w:r w:rsidR="0039617D" w:rsidRPr="002715F2">
        <w:rPr>
          <w:rFonts w:eastAsia="Malgun Gothic"/>
          <w:lang w:val="fr-FR"/>
        </w:rPr>
        <w:t>à</w:t>
      </w:r>
      <w:r w:rsidR="00BE2509" w:rsidRPr="002715F2">
        <w:rPr>
          <w:rFonts w:eastAsia="Malgun Gothic"/>
          <w:lang w:val="fr-FR"/>
        </w:rPr>
        <w:t xml:space="preserve"> une </w:t>
      </w:r>
      <w:r w:rsidR="0039617D" w:rsidRPr="002715F2">
        <w:rPr>
          <w:rFonts w:eastAsia="Malgun Gothic"/>
          <w:lang w:val="fr-FR"/>
        </w:rPr>
        <w:t>recommandation</w:t>
      </w:r>
      <w:r w:rsidR="00BE2509" w:rsidRPr="002715F2">
        <w:rPr>
          <w:rFonts w:eastAsia="Malgun Gothic"/>
          <w:lang w:val="fr-FR"/>
        </w:rPr>
        <w:t xml:space="preserve"> de </w:t>
      </w:r>
      <w:r w:rsidR="0037715A" w:rsidRPr="002715F2">
        <w:rPr>
          <w:rFonts w:eastAsia="Malgun Gothic"/>
          <w:lang w:val="fr-FR"/>
        </w:rPr>
        <w:t>sanctions</w:t>
      </w:r>
      <w:r w:rsidR="00BE2509" w:rsidRPr="002715F2">
        <w:rPr>
          <w:rFonts w:eastAsia="Malgun Gothic"/>
          <w:lang w:val="fr-FR"/>
        </w:rPr>
        <w:t xml:space="preserve"> disciplinaire</w:t>
      </w:r>
      <w:r w:rsidR="004B4172" w:rsidRPr="002715F2">
        <w:rPr>
          <w:rFonts w:eastAsia="Malgun Gothic"/>
          <w:lang w:val="fr-FR"/>
        </w:rPr>
        <w:t>s</w:t>
      </w:r>
      <w:r w:rsidR="00BE2509" w:rsidRPr="002715F2">
        <w:rPr>
          <w:rFonts w:eastAsia="Malgun Gothic"/>
          <w:lang w:val="fr-FR"/>
        </w:rPr>
        <w:t xml:space="preserve"> et </w:t>
      </w:r>
      <w:r w:rsidR="0037715A" w:rsidRPr="002715F2">
        <w:rPr>
          <w:rFonts w:eastAsia="Malgun Gothic"/>
          <w:lang w:val="fr-FR"/>
        </w:rPr>
        <w:t>trois</w:t>
      </w:r>
      <w:r w:rsidR="00BE2509" w:rsidRPr="002715F2">
        <w:rPr>
          <w:rFonts w:eastAsia="Malgun Gothic"/>
          <w:lang w:val="fr-FR"/>
        </w:rPr>
        <w:t xml:space="preserve"> ont été rejeté</w:t>
      </w:r>
      <w:r w:rsidR="006908ED" w:rsidRPr="002715F2">
        <w:rPr>
          <w:rFonts w:eastAsia="Malgun Gothic"/>
          <w:lang w:val="fr-FR"/>
        </w:rPr>
        <w:t>e</w:t>
      </w:r>
      <w:r w:rsidR="00BE2509" w:rsidRPr="002715F2">
        <w:rPr>
          <w:rFonts w:eastAsia="Malgun Gothic"/>
          <w:lang w:val="fr-FR"/>
        </w:rPr>
        <w:t>s</w:t>
      </w:r>
      <w:r w:rsidR="000078DA" w:rsidRPr="002715F2">
        <w:rPr>
          <w:rFonts w:eastAsia="Malgun Gothic"/>
          <w:lang w:val="fr-FR"/>
        </w:rPr>
        <w:t xml:space="preserve">. </w:t>
      </w:r>
      <w:r w:rsidR="004B4172" w:rsidRPr="002715F2">
        <w:rPr>
          <w:rFonts w:eastAsia="Malgun Gothic"/>
          <w:lang w:val="fr-FR"/>
        </w:rPr>
        <w:t>L’affaire ayant abouti à une recommandation est</w:t>
      </w:r>
      <w:r w:rsidR="0037715A" w:rsidRPr="002715F2">
        <w:rPr>
          <w:rFonts w:eastAsia="Malgun Gothic"/>
          <w:lang w:val="fr-FR"/>
        </w:rPr>
        <w:t xml:space="preserve"> celle qui a eu lieu en février </w:t>
      </w:r>
      <w:r w:rsidR="004B4172" w:rsidRPr="002715F2">
        <w:rPr>
          <w:rFonts w:eastAsia="Malgun Gothic"/>
          <w:lang w:val="fr-FR"/>
        </w:rPr>
        <w:t>2006</w:t>
      </w:r>
      <w:r w:rsidR="000078DA" w:rsidRPr="002715F2">
        <w:rPr>
          <w:rFonts w:eastAsia="Malgun Gothic"/>
          <w:lang w:val="fr-FR"/>
        </w:rPr>
        <w:t xml:space="preserve">. </w:t>
      </w:r>
      <w:r w:rsidR="0037715A" w:rsidRPr="002715F2">
        <w:rPr>
          <w:rFonts w:eastAsia="Malgun Gothic"/>
          <w:lang w:val="fr-FR"/>
        </w:rPr>
        <w:t>Le Gouvernement</w:t>
      </w:r>
      <w:r w:rsidR="00A90372" w:rsidRPr="002715F2">
        <w:rPr>
          <w:rFonts w:eastAsia="Malgun Gothic"/>
          <w:lang w:val="fr-FR"/>
        </w:rPr>
        <w:t xml:space="preserve"> a confirmé la recommandation et révoqué l’auteur </w:t>
      </w:r>
      <w:r w:rsidR="00292923" w:rsidRPr="002715F2">
        <w:rPr>
          <w:rFonts w:eastAsia="Malgun Gothic"/>
          <w:lang w:val="fr-FR"/>
        </w:rPr>
        <w:t xml:space="preserve">des actes concernés </w:t>
      </w:r>
      <w:r w:rsidR="0037715A" w:rsidRPr="002715F2">
        <w:rPr>
          <w:rFonts w:eastAsia="Malgun Gothic"/>
          <w:lang w:val="fr-FR"/>
        </w:rPr>
        <w:t xml:space="preserve">en </w:t>
      </w:r>
      <w:r w:rsidR="00EB13D5" w:rsidRPr="002715F2">
        <w:rPr>
          <w:rFonts w:eastAsia="Malgun Gothic"/>
          <w:lang w:val="fr-FR"/>
        </w:rPr>
        <w:t xml:space="preserve">mai </w:t>
      </w:r>
      <w:r w:rsidR="00A90372" w:rsidRPr="002715F2">
        <w:rPr>
          <w:rFonts w:eastAsia="Malgun Gothic"/>
          <w:lang w:val="fr-FR"/>
        </w:rPr>
        <w:t>2006</w:t>
      </w:r>
      <w:r w:rsidR="000078DA" w:rsidRPr="002715F2">
        <w:rPr>
          <w:rFonts w:eastAsia="Malgun Gothic"/>
          <w:lang w:val="fr-FR"/>
        </w:rPr>
        <w:t xml:space="preserve">. </w:t>
      </w:r>
      <w:r w:rsidR="00A90372" w:rsidRPr="002715F2">
        <w:rPr>
          <w:rFonts w:eastAsia="Malgun Gothic"/>
          <w:lang w:val="fr-FR"/>
        </w:rPr>
        <w:t xml:space="preserve">En </w:t>
      </w:r>
      <w:r w:rsidR="00EB13D5" w:rsidRPr="002715F2">
        <w:rPr>
          <w:rFonts w:eastAsia="Malgun Gothic"/>
          <w:lang w:val="fr-FR"/>
        </w:rPr>
        <w:t xml:space="preserve">janvier </w:t>
      </w:r>
      <w:r w:rsidR="000078DA" w:rsidRPr="002715F2">
        <w:rPr>
          <w:rFonts w:eastAsia="Malgun Gothic"/>
          <w:lang w:val="fr-FR"/>
        </w:rPr>
        <w:t xml:space="preserve">2007, </w:t>
      </w:r>
      <w:r w:rsidR="0037715A" w:rsidRPr="002715F2">
        <w:rPr>
          <w:rFonts w:eastAsia="Malgun Gothic"/>
          <w:lang w:val="fr-FR"/>
        </w:rPr>
        <w:t>ce délinquant</w:t>
      </w:r>
      <w:r w:rsidR="00A90372" w:rsidRPr="002715F2">
        <w:rPr>
          <w:rFonts w:eastAsia="Malgun Gothic"/>
          <w:lang w:val="fr-FR"/>
        </w:rPr>
        <w:t xml:space="preserve"> a </w:t>
      </w:r>
      <w:r w:rsidR="00F10C60" w:rsidRPr="002715F2">
        <w:rPr>
          <w:rFonts w:eastAsia="Malgun Gothic"/>
          <w:lang w:val="fr-FR"/>
        </w:rPr>
        <w:t xml:space="preserve">finalement </w:t>
      </w:r>
      <w:r w:rsidR="00A90372" w:rsidRPr="002715F2">
        <w:rPr>
          <w:rFonts w:eastAsia="Malgun Gothic"/>
          <w:lang w:val="fr-FR"/>
        </w:rPr>
        <w:t>été reconnu coupable</w:t>
      </w:r>
      <w:r w:rsidR="00831AB9" w:rsidRPr="002715F2">
        <w:rPr>
          <w:rFonts w:eastAsia="Malgun Gothic"/>
          <w:lang w:val="fr-FR"/>
        </w:rPr>
        <w:t>,</w:t>
      </w:r>
      <w:r w:rsidR="00A90372" w:rsidRPr="002715F2">
        <w:rPr>
          <w:rFonts w:eastAsia="Malgun Gothic"/>
          <w:lang w:val="fr-FR"/>
        </w:rPr>
        <w:t xml:space="preserve"> condamné à une peine d’emprisonne</w:t>
      </w:r>
      <w:r w:rsidR="0037715A" w:rsidRPr="002715F2">
        <w:rPr>
          <w:rFonts w:eastAsia="Malgun Gothic"/>
          <w:lang w:val="fr-FR"/>
        </w:rPr>
        <w:t>ment de quatre </w:t>
      </w:r>
      <w:r w:rsidR="00A90372" w:rsidRPr="002715F2">
        <w:rPr>
          <w:rFonts w:eastAsia="Malgun Gothic"/>
          <w:lang w:val="fr-FR"/>
        </w:rPr>
        <w:t xml:space="preserve">ans </w:t>
      </w:r>
      <w:r w:rsidR="0037715A" w:rsidRPr="002715F2">
        <w:rPr>
          <w:rFonts w:eastAsia="Malgun Gothic"/>
          <w:lang w:val="fr-FR"/>
        </w:rPr>
        <w:t>et</w:t>
      </w:r>
      <w:r w:rsidR="00A90372" w:rsidRPr="002715F2">
        <w:rPr>
          <w:rFonts w:eastAsia="Malgun Gothic"/>
          <w:lang w:val="fr-FR"/>
        </w:rPr>
        <w:t xml:space="preserve"> suspen</w:t>
      </w:r>
      <w:r w:rsidR="0037715A" w:rsidRPr="002715F2">
        <w:rPr>
          <w:rFonts w:eastAsia="Malgun Gothic"/>
          <w:lang w:val="fr-FR"/>
        </w:rPr>
        <w:t xml:space="preserve">du </w:t>
      </w:r>
      <w:r w:rsidR="00A90372" w:rsidRPr="002715F2">
        <w:rPr>
          <w:rFonts w:eastAsia="Malgun Gothic"/>
          <w:lang w:val="fr-FR"/>
        </w:rPr>
        <w:t>de s</w:t>
      </w:r>
      <w:r w:rsidR="0037715A" w:rsidRPr="002715F2">
        <w:rPr>
          <w:rFonts w:eastAsia="Malgun Gothic"/>
          <w:lang w:val="fr-FR"/>
        </w:rPr>
        <w:t>es fonctions pendant trois </w:t>
      </w:r>
      <w:r w:rsidR="00A90372" w:rsidRPr="002715F2">
        <w:rPr>
          <w:rFonts w:eastAsia="Malgun Gothic"/>
          <w:lang w:val="fr-FR"/>
        </w:rPr>
        <w:t>ans</w:t>
      </w:r>
      <w:r w:rsidR="00F60999" w:rsidRPr="002715F2">
        <w:rPr>
          <w:rFonts w:eastAsia="Malgun Gothic"/>
          <w:lang w:val="fr-FR"/>
        </w:rPr>
        <w:t>.</w:t>
      </w:r>
    </w:p>
    <w:p w:rsidR="000078DA" w:rsidRPr="002715F2" w:rsidRDefault="00643BBE" w:rsidP="007026FB">
      <w:pPr>
        <w:pStyle w:val="H4G"/>
        <w:rPr>
          <w:rFonts w:ascii="Gulim" w:eastAsia="Gulim" w:hAnsi="Gulim"/>
          <w:color w:val="000000"/>
          <w:lang w:val="fr-FR" w:eastAsia="ko-KR"/>
        </w:rPr>
      </w:pPr>
      <w:r w:rsidRPr="002715F2">
        <w:rPr>
          <w:rFonts w:eastAsia="Batang"/>
          <w:lang w:val="fr-FR" w:eastAsia="ko-KR"/>
        </w:rPr>
        <w:tab/>
      </w:r>
      <w:r w:rsidRPr="002715F2">
        <w:rPr>
          <w:rFonts w:eastAsia="Batang"/>
          <w:lang w:val="fr-FR" w:eastAsia="ko-KR"/>
        </w:rPr>
        <w:tab/>
      </w:r>
      <w:r w:rsidR="00A90372" w:rsidRPr="002715F2">
        <w:rPr>
          <w:rFonts w:eastAsia="Batang"/>
          <w:lang w:val="fr-FR" w:eastAsia="ko-KR"/>
        </w:rPr>
        <w:t xml:space="preserve">Inspection par le Ministère de la justice des conditions dans les cellules de substitution et de l’accès à celles-ci par des organisations indépendantes </w:t>
      </w:r>
    </w:p>
    <w:p w:rsidR="000078DA" w:rsidRPr="002715F2" w:rsidRDefault="007026FB" w:rsidP="007026FB">
      <w:pPr>
        <w:pStyle w:val="SingleTxtG"/>
        <w:rPr>
          <w:rFonts w:eastAsia="Batang"/>
          <w:lang w:val="fr-FR" w:eastAsia="ko-KR"/>
        </w:rPr>
      </w:pPr>
      <w:r w:rsidRPr="002715F2">
        <w:rPr>
          <w:rFonts w:eastAsia="Batang"/>
          <w:lang w:val="fr-FR" w:eastAsia="ko-KR"/>
        </w:rPr>
        <w:t>117.</w:t>
      </w:r>
      <w:r w:rsidRPr="002715F2">
        <w:rPr>
          <w:rFonts w:eastAsia="Batang"/>
          <w:lang w:val="fr-FR" w:eastAsia="ko-KR"/>
        </w:rPr>
        <w:tab/>
      </w:r>
      <w:r w:rsidR="00A90372" w:rsidRPr="002715F2">
        <w:rPr>
          <w:rFonts w:eastAsia="Batang"/>
          <w:lang w:val="fr-FR" w:eastAsia="ko-KR"/>
        </w:rPr>
        <w:t>Chaque année, le Bureau des droits de l’homme du Ministère de la just</w:t>
      </w:r>
      <w:r w:rsidR="00C83A6C" w:rsidRPr="002715F2">
        <w:rPr>
          <w:rFonts w:eastAsia="Batang"/>
          <w:lang w:val="fr-FR" w:eastAsia="ko-KR"/>
        </w:rPr>
        <w:t xml:space="preserve">ice mène des inspections sur la situation </w:t>
      </w:r>
      <w:r w:rsidR="00A90372" w:rsidRPr="002715F2">
        <w:rPr>
          <w:rFonts w:eastAsia="Batang"/>
          <w:lang w:val="fr-FR" w:eastAsia="ko-KR"/>
        </w:rPr>
        <w:t xml:space="preserve">des droits de l’homme dans les centres de détention et les établissements de protection, y compris les cellules de substitution. </w:t>
      </w:r>
      <w:r w:rsidR="004453AF" w:rsidRPr="002715F2">
        <w:rPr>
          <w:rFonts w:eastAsia="Batang"/>
          <w:lang w:val="fr-FR" w:eastAsia="ko-KR"/>
        </w:rPr>
        <w:t>L</w:t>
      </w:r>
      <w:r w:rsidR="00A90372" w:rsidRPr="002715F2">
        <w:rPr>
          <w:rFonts w:eastAsia="Batang"/>
          <w:lang w:val="fr-FR" w:eastAsia="ko-KR"/>
        </w:rPr>
        <w:t>e</w:t>
      </w:r>
      <w:r w:rsidR="000078DA" w:rsidRPr="002715F2">
        <w:rPr>
          <w:rFonts w:eastAsia="Batang"/>
          <w:lang w:val="fr-FR" w:eastAsia="ko-KR"/>
        </w:rPr>
        <w:t xml:space="preserve"> Bureau </w:t>
      </w:r>
      <w:r w:rsidR="00A90372" w:rsidRPr="002715F2">
        <w:rPr>
          <w:rFonts w:eastAsia="Batang"/>
          <w:lang w:val="fr-FR" w:eastAsia="ko-KR"/>
        </w:rPr>
        <w:t xml:space="preserve">a </w:t>
      </w:r>
      <w:r w:rsidR="004453AF" w:rsidRPr="002715F2">
        <w:rPr>
          <w:rFonts w:eastAsia="Batang"/>
          <w:lang w:val="fr-FR" w:eastAsia="ko-KR"/>
        </w:rPr>
        <w:t xml:space="preserve">ainsi </w:t>
      </w:r>
      <w:r w:rsidR="000078DA" w:rsidRPr="002715F2">
        <w:rPr>
          <w:rFonts w:eastAsia="Batang"/>
          <w:lang w:val="fr-FR" w:eastAsia="ko-KR"/>
        </w:rPr>
        <w:t>inspect</w:t>
      </w:r>
      <w:r w:rsidR="00A90372" w:rsidRPr="002715F2">
        <w:rPr>
          <w:rFonts w:eastAsia="Batang"/>
          <w:lang w:val="fr-FR" w:eastAsia="ko-KR"/>
        </w:rPr>
        <w:t xml:space="preserve">é </w:t>
      </w:r>
      <w:r w:rsidR="000078DA" w:rsidRPr="002715F2">
        <w:rPr>
          <w:rFonts w:eastAsia="Batang"/>
          <w:lang w:val="fr-FR" w:eastAsia="ko-KR"/>
        </w:rPr>
        <w:t>11</w:t>
      </w:r>
      <w:r w:rsidR="00A90372" w:rsidRPr="002715F2">
        <w:rPr>
          <w:rFonts w:eastAsia="Batang"/>
          <w:lang w:val="fr-FR" w:eastAsia="ko-KR"/>
        </w:rPr>
        <w:t> cellules de substitution en</w:t>
      </w:r>
      <w:r w:rsidR="000078DA" w:rsidRPr="002715F2">
        <w:rPr>
          <w:rFonts w:eastAsia="Batang"/>
          <w:lang w:val="fr-FR" w:eastAsia="ko-KR"/>
        </w:rPr>
        <w:t xml:space="preserve"> 2006, 8 </w:t>
      </w:r>
      <w:r w:rsidR="00A90372" w:rsidRPr="002715F2">
        <w:rPr>
          <w:rFonts w:eastAsia="Batang"/>
          <w:lang w:val="fr-FR" w:eastAsia="ko-KR"/>
        </w:rPr>
        <w:t>en 2009 et 5 e</w:t>
      </w:r>
      <w:r w:rsidR="000078DA" w:rsidRPr="002715F2">
        <w:rPr>
          <w:rFonts w:eastAsia="Batang"/>
          <w:lang w:val="fr-FR" w:eastAsia="ko-KR"/>
        </w:rPr>
        <w:t>n 2012.</w:t>
      </w:r>
    </w:p>
    <w:p w:rsidR="000078DA" w:rsidRPr="002715F2" w:rsidRDefault="007026FB" w:rsidP="007026FB">
      <w:pPr>
        <w:pStyle w:val="SingleTxtG"/>
        <w:rPr>
          <w:rFonts w:eastAsia="Batang"/>
          <w:lang w:val="fr-FR" w:eastAsia="ko-KR"/>
        </w:rPr>
      </w:pPr>
      <w:r w:rsidRPr="002715F2">
        <w:rPr>
          <w:rFonts w:eastAsia="Batang"/>
          <w:lang w:val="fr-FR" w:eastAsia="ko-KR"/>
        </w:rPr>
        <w:t>118.</w:t>
      </w:r>
      <w:r w:rsidRPr="002715F2">
        <w:rPr>
          <w:rFonts w:eastAsia="Batang"/>
          <w:lang w:val="fr-FR" w:eastAsia="ko-KR"/>
        </w:rPr>
        <w:tab/>
      </w:r>
      <w:r w:rsidR="005B2CB1" w:rsidRPr="002715F2">
        <w:rPr>
          <w:rFonts w:eastAsia="Batang"/>
          <w:lang w:val="fr-FR" w:eastAsia="ko-KR"/>
        </w:rPr>
        <w:t>En 2009, l</w:t>
      </w:r>
      <w:r w:rsidR="005F2122" w:rsidRPr="002715F2">
        <w:rPr>
          <w:rFonts w:eastAsia="Batang"/>
          <w:lang w:val="fr-FR" w:eastAsia="ko-KR"/>
        </w:rPr>
        <w:t xml:space="preserve">e Ministère de la justice </w:t>
      </w:r>
      <w:r w:rsidR="00EB13D5" w:rsidRPr="002715F2">
        <w:rPr>
          <w:rFonts w:eastAsia="Batang"/>
          <w:lang w:val="fr-FR" w:eastAsia="ko-KR"/>
        </w:rPr>
        <w:t xml:space="preserve">a </w:t>
      </w:r>
      <w:r w:rsidR="005F2122" w:rsidRPr="002715F2">
        <w:rPr>
          <w:rFonts w:eastAsia="Batang"/>
          <w:lang w:val="fr-FR" w:eastAsia="ko-KR"/>
        </w:rPr>
        <w:t xml:space="preserve">inspecté </w:t>
      </w:r>
      <w:r w:rsidR="005B2CB1" w:rsidRPr="002715F2">
        <w:rPr>
          <w:rFonts w:eastAsia="Batang"/>
          <w:lang w:val="fr-FR" w:eastAsia="ko-KR"/>
        </w:rPr>
        <w:t xml:space="preserve">les </w:t>
      </w:r>
      <w:r w:rsidR="005F2122" w:rsidRPr="002715F2">
        <w:rPr>
          <w:rFonts w:eastAsia="Batang"/>
          <w:lang w:val="fr-FR" w:eastAsia="ko-KR"/>
        </w:rPr>
        <w:t>huit</w:t>
      </w:r>
      <w:r w:rsidR="009E40CD" w:rsidRPr="002715F2">
        <w:rPr>
          <w:rFonts w:eastAsia="Batang"/>
          <w:lang w:val="fr-FR" w:eastAsia="ko-KR"/>
        </w:rPr>
        <w:t> </w:t>
      </w:r>
      <w:r w:rsidR="005F2122" w:rsidRPr="002715F2">
        <w:rPr>
          <w:rFonts w:eastAsia="Batang"/>
          <w:lang w:val="fr-FR" w:eastAsia="ko-KR"/>
        </w:rPr>
        <w:t>cellules de substitution</w:t>
      </w:r>
      <w:r w:rsidR="009E40CD" w:rsidRPr="002715F2">
        <w:rPr>
          <w:rFonts w:eastAsia="Batang"/>
          <w:lang w:val="fr-FR" w:eastAsia="ko-KR"/>
        </w:rPr>
        <w:t xml:space="preserve"> </w:t>
      </w:r>
      <w:r w:rsidR="005B2CB1" w:rsidRPr="002715F2">
        <w:rPr>
          <w:rFonts w:eastAsia="Batang"/>
          <w:lang w:val="fr-FR" w:eastAsia="ko-KR"/>
        </w:rPr>
        <w:t xml:space="preserve">qui étaient </w:t>
      </w:r>
      <w:r w:rsidR="009E40CD" w:rsidRPr="002715F2">
        <w:rPr>
          <w:rFonts w:eastAsia="Batang"/>
          <w:lang w:val="fr-FR" w:eastAsia="ko-KR"/>
        </w:rPr>
        <w:t xml:space="preserve">encore </w:t>
      </w:r>
      <w:r w:rsidR="005B2CB1" w:rsidRPr="002715F2">
        <w:rPr>
          <w:rFonts w:eastAsia="Batang"/>
          <w:lang w:val="fr-FR" w:eastAsia="ko-KR"/>
        </w:rPr>
        <w:t>en service</w:t>
      </w:r>
      <w:r w:rsidR="000078DA" w:rsidRPr="002715F2">
        <w:rPr>
          <w:rStyle w:val="FootnoteReference"/>
          <w:rFonts w:eastAsia="Batang"/>
          <w:lang w:val="fr-FR"/>
        </w:rPr>
        <w:footnoteReference w:id="10"/>
      </w:r>
      <w:r w:rsidR="005F2122" w:rsidRPr="002715F2">
        <w:rPr>
          <w:rFonts w:eastAsia="Batang"/>
          <w:lang w:val="fr-FR" w:eastAsia="ko-KR"/>
        </w:rPr>
        <w:t xml:space="preserve"> afin de</w:t>
      </w:r>
      <w:r w:rsidR="000078DA" w:rsidRPr="002715F2">
        <w:rPr>
          <w:rFonts w:eastAsia="Batang"/>
          <w:lang w:val="fr-FR" w:eastAsia="ko-KR"/>
        </w:rPr>
        <w:t xml:space="preserve"> </w:t>
      </w:r>
      <w:r w:rsidR="0039617D" w:rsidRPr="002715F2">
        <w:rPr>
          <w:rFonts w:eastAsia="Batang"/>
          <w:lang w:val="fr-FR" w:eastAsia="ko-KR"/>
        </w:rPr>
        <w:t>vérifier</w:t>
      </w:r>
      <w:r w:rsidR="005F2122" w:rsidRPr="002715F2">
        <w:rPr>
          <w:rFonts w:eastAsia="Batang"/>
          <w:lang w:val="fr-FR" w:eastAsia="ko-KR"/>
        </w:rPr>
        <w:t xml:space="preserve"> que les stratégies d’amélioration des droits de l’homme, adoptées à la réunion de consultation </w:t>
      </w:r>
      <w:r w:rsidR="00D76AB3" w:rsidRPr="002715F2">
        <w:rPr>
          <w:rFonts w:eastAsia="Batang"/>
          <w:lang w:val="fr-FR" w:eastAsia="ko-KR"/>
        </w:rPr>
        <w:t>tenue en</w:t>
      </w:r>
      <w:r w:rsidR="005B2CB1" w:rsidRPr="002715F2">
        <w:rPr>
          <w:rFonts w:eastAsia="Batang"/>
          <w:lang w:val="fr-FR" w:eastAsia="ko-KR"/>
        </w:rPr>
        <w:t xml:space="preserve"> </w:t>
      </w:r>
      <w:r w:rsidR="009E40CD" w:rsidRPr="002715F2">
        <w:rPr>
          <w:rFonts w:eastAsia="Batang"/>
          <w:lang w:val="fr-FR" w:eastAsia="ko-KR"/>
        </w:rPr>
        <w:t>2007</w:t>
      </w:r>
      <w:r w:rsidR="005F2122" w:rsidRPr="002715F2">
        <w:rPr>
          <w:rFonts w:eastAsia="Batang"/>
          <w:lang w:val="fr-FR" w:eastAsia="ko-KR"/>
        </w:rPr>
        <w:t>, avaient été mises en œuvre</w:t>
      </w:r>
      <w:r w:rsidR="000078DA" w:rsidRPr="002715F2">
        <w:rPr>
          <w:rFonts w:eastAsia="Batang"/>
          <w:lang w:val="fr-FR" w:eastAsia="ko-KR"/>
        </w:rPr>
        <w:t xml:space="preserve"> </w:t>
      </w:r>
      <w:r w:rsidR="005F2122" w:rsidRPr="002715F2">
        <w:rPr>
          <w:rFonts w:eastAsia="Batang"/>
          <w:lang w:val="fr-FR" w:eastAsia="ko-KR"/>
        </w:rPr>
        <w:t>comme il se devait</w:t>
      </w:r>
      <w:r w:rsidR="000078DA" w:rsidRPr="002715F2">
        <w:rPr>
          <w:rFonts w:eastAsia="Batang"/>
          <w:lang w:val="fr-FR" w:eastAsia="ko-KR"/>
        </w:rPr>
        <w:t xml:space="preserve">. </w:t>
      </w:r>
      <w:r w:rsidR="005F2122" w:rsidRPr="002715F2">
        <w:rPr>
          <w:rFonts w:eastAsia="Batang"/>
          <w:lang w:val="fr-FR" w:eastAsia="ko-KR"/>
        </w:rPr>
        <w:t xml:space="preserve">Le Ministère de la justice a confirmé que les détenues étaient conseillées par des </w:t>
      </w:r>
      <w:r w:rsidR="009E40CD" w:rsidRPr="002715F2">
        <w:rPr>
          <w:rFonts w:eastAsia="Batang"/>
          <w:lang w:val="fr-FR" w:eastAsia="ko-KR"/>
        </w:rPr>
        <w:t xml:space="preserve">policières et que ces </w:t>
      </w:r>
      <w:r w:rsidR="00EB13D5" w:rsidRPr="002715F2">
        <w:rPr>
          <w:rFonts w:eastAsia="Batang"/>
          <w:lang w:val="fr-FR" w:eastAsia="ko-KR"/>
        </w:rPr>
        <w:t xml:space="preserve">huit </w:t>
      </w:r>
      <w:r w:rsidR="009E40CD" w:rsidRPr="002715F2">
        <w:rPr>
          <w:rFonts w:eastAsia="Batang"/>
          <w:lang w:val="fr-FR" w:eastAsia="ko-KR"/>
        </w:rPr>
        <w:t xml:space="preserve">cellules bénéficiaient d’un </w:t>
      </w:r>
      <w:r w:rsidR="005F2122" w:rsidRPr="002715F2">
        <w:rPr>
          <w:rFonts w:eastAsia="Batang"/>
          <w:lang w:val="fr-FR" w:eastAsia="ko-KR"/>
        </w:rPr>
        <w:t>éclairage direct</w:t>
      </w:r>
      <w:r w:rsidR="000078DA" w:rsidRPr="002715F2">
        <w:rPr>
          <w:rFonts w:eastAsia="Batang"/>
          <w:lang w:val="fr-FR" w:eastAsia="ko-KR"/>
        </w:rPr>
        <w:t xml:space="preserve">. </w:t>
      </w:r>
      <w:r w:rsidR="005F2122" w:rsidRPr="002715F2">
        <w:rPr>
          <w:rFonts w:eastAsia="Batang"/>
          <w:lang w:val="fr-FR" w:eastAsia="ko-KR"/>
        </w:rPr>
        <w:t>La plupart se sont avérées être en assez bonne condition en termes d’installation et de gestion</w:t>
      </w:r>
      <w:r w:rsidR="000078DA" w:rsidRPr="002715F2">
        <w:rPr>
          <w:rFonts w:eastAsia="Batang"/>
          <w:lang w:val="fr-FR" w:eastAsia="ko-KR"/>
        </w:rPr>
        <w:t>,</w:t>
      </w:r>
      <w:r w:rsidR="005F2122" w:rsidRPr="002715F2">
        <w:rPr>
          <w:rFonts w:eastAsia="Batang"/>
          <w:lang w:val="fr-FR" w:eastAsia="ko-KR"/>
        </w:rPr>
        <w:t xml:space="preserve"> et équipées de systèmes de climatisation, chauffage, ventilation et douches</w:t>
      </w:r>
      <w:r w:rsidR="000078DA" w:rsidRPr="002715F2">
        <w:rPr>
          <w:rFonts w:eastAsia="Batang"/>
          <w:lang w:val="fr-FR" w:eastAsia="ko-KR"/>
        </w:rPr>
        <w:t>.</w:t>
      </w:r>
      <w:r w:rsidR="005F2122" w:rsidRPr="002715F2">
        <w:rPr>
          <w:rFonts w:eastAsia="Batang"/>
          <w:lang w:val="fr-FR" w:eastAsia="ko-KR"/>
        </w:rPr>
        <w:t xml:space="preserve"> Toutefois, une cellule ne disposait d’aucun</w:t>
      </w:r>
      <w:r w:rsidR="009E40CD" w:rsidRPr="002715F2">
        <w:rPr>
          <w:rFonts w:eastAsia="Batang"/>
          <w:lang w:val="fr-FR" w:eastAsia="ko-KR"/>
        </w:rPr>
        <w:t xml:space="preserve"> équipement sportif et les sept </w:t>
      </w:r>
      <w:r w:rsidR="005F2122" w:rsidRPr="002715F2">
        <w:rPr>
          <w:rFonts w:eastAsia="Batang"/>
          <w:lang w:val="fr-FR" w:eastAsia="ko-KR"/>
        </w:rPr>
        <w:t>autres qui en étaient dotées avaient des difficultés à les utiliser pour des raisons de sécurité et par manque de personnel</w:t>
      </w:r>
      <w:r w:rsidR="00F60999"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119.</w:t>
      </w:r>
      <w:r w:rsidRPr="002715F2">
        <w:rPr>
          <w:rFonts w:eastAsia="Batang"/>
          <w:lang w:val="fr-FR" w:eastAsia="ko-KR"/>
        </w:rPr>
        <w:tab/>
      </w:r>
      <w:r w:rsidR="002321B1" w:rsidRPr="002715F2">
        <w:rPr>
          <w:rFonts w:eastAsia="Batang"/>
          <w:lang w:val="fr-FR" w:eastAsia="ko-KR"/>
        </w:rPr>
        <w:t xml:space="preserve">Depuis </w:t>
      </w:r>
      <w:r w:rsidR="000078DA" w:rsidRPr="002715F2">
        <w:rPr>
          <w:rFonts w:eastAsia="Batang"/>
          <w:lang w:val="fr-FR" w:eastAsia="ko-KR"/>
        </w:rPr>
        <w:t xml:space="preserve">2009, </w:t>
      </w:r>
      <w:r w:rsidR="002321B1" w:rsidRPr="002715F2">
        <w:rPr>
          <w:rFonts w:eastAsia="Batang"/>
          <w:lang w:val="fr-FR" w:eastAsia="ko-KR"/>
        </w:rPr>
        <w:t xml:space="preserve">les parquets compétents vérifient régulièrement la situation des droits de l’homme dans les cellules de </w:t>
      </w:r>
      <w:r w:rsidR="0039617D" w:rsidRPr="002715F2">
        <w:rPr>
          <w:rFonts w:eastAsia="Batang"/>
          <w:lang w:val="fr-FR" w:eastAsia="ko-KR"/>
        </w:rPr>
        <w:t>substitution</w:t>
      </w:r>
      <w:r w:rsidR="000078DA" w:rsidRPr="002715F2">
        <w:rPr>
          <w:rFonts w:eastAsia="Batang"/>
          <w:lang w:val="fr-FR" w:eastAsia="ko-KR"/>
        </w:rPr>
        <w:t xml:space="preserve">. </w:t>
      </w:r>
      <w:r w:rsidR="002321B1" w:rsidRPr="002715F2">
        <w:rPr>
          <w:rFonts w:eastAsia="Batang"/>
          <w:lang w:val="fr-FR" w:eastAsia="ko-KR"/>
        </w:rPr>
        <w:t xml:space="preserve">En outre, la Commission nationale des droits de l’homme est habilitée à visiter les cellules de substitution pour réaliser des enquêtes </w:t>
      </w:r>
      <w:r w:rsidR="00D213FB" w:rsidRPr="002715F2">
        <w:rPr>
          <w:rFonts w:eastAsia="Batang"/>
          <w:lang w:val="fr-FR"/>
        </w:rPr>
        <w:t xml:space="preserve">au titre </w:t>
      </w:r>
      <w:r w:rsidR="00D213FB" w:rsidRPr="002715F2">
        <w:rPr>
          <w:rFonts w:eastAsia="Batang"/>
          <w:lang w:val="fr-FR" w:eastAsia="ko-KR"/>
        </w:rPr>
        <w:t>de la loi portant sa création</w:t>
      </w:r>
      <w:r w:rsidR="00D213FB" w:rsidRPr="002715F2">
        <w:rPr>
          <w:rFonts w:eastAsia="Batang"/>
          <w:lang w:val="fr-FR"/>
        </w:rPr>
        <w:t xml:space="preserve"> (loi </w:t>
      </w:r>
      <w:r w:rsidR="00771DD7" w:rsidRPr="002715F2">
        <w:rPr>
          <w:rFonts w:eastAsia="Batang"/>
          <w:lang w:val="fr-FR"/>
        </w:rPr>
        <w:t xml:space="preserve">sur </w:t>
      </w:r>
      <w:r w:rsidR="00D213FB" w:rsidRPr="002715F2">
        <w:rPr>
          <w:rFonts w:eastAsia="Batang"/>
          <w:lang w:val="fr-FR"/>
        </w:rPr>
        <w:t>la Commission nationale des droits de l’homme,</w:t>
      </w:r>
      <w:r w:rsidR="00D213FB" w:rsidRPr="002715F2" w:rsidDel="002D1A1C">
        <w:rPr>
          <w:rFonts w:eastAsia="Batang"/>
          <w:lang w:val="fr-FR"/>
        </w:rPr>
        <w:t xml:space="preserve"> </w:t>
      </w:r>
      <w:r w:rsidR="00D213FB" w:rsidRPr="002715F2">
        <w:rPr>
          <w:rFonts w:eastAsia="Batang"/>
          <w:lang w:val="fr-FR"/>
        </w:rPr>
        <w:t>art. 24)</w:t>
      </w:r>
      <w:r w:rsidR="000078DA" w:rsidRPr="002715F2">
        <w:rPr>
          <w:rFonts w:eastAsia="Batang"/>
          <w:lang w:val="fr-FR" w:eastAsia="ko-KR"/>
        </w:rPr>
        <w:t xml:space="preserve">. </w:t>
      </w:r>
      <w:r w:rsidR="00B8413C" w:rsidRPr="002715F2">
        <w:rPr>
          <w:rFonts w:eastAsia="Batang"/>
          <w:lang w:val="fr-FR" w:eastAsia="ko-KR"/>
        </w:rPr>
        <w:t>Elle</w:t>
      </w:r>
      <w:r w:rsidR="000078DA" w:rsidRPr="002715F2">
        <w:rPr>
          <w:rFonts w:eastAsia="Batang"/>
          <w:lang w:val="fr-FR" w:eastAsia="ko-KR"/>
        </w:rPr>
        <w:t xml:space="preserve"> </w:t>
      </w:r>
      <w:r w:rsidR="00622286" w:rsidRPr="002715F2">
        <w:rPr>
          <w:rFonts w:eastAsia="Batang"/>
          <w:lang w:val="fr-FR" w:eastAsia="ko-KR"/>
        </w:rPr>
        <w:t xml:space="preserve">a </w:t>
      </w:r>
      <w:r w:rsidR="00B8413C" w:rsidRPr="002715F2">
        <w:rPr>
          <w:rFonts w:eastAsia="Batang"/>
          <w:lang w:val="fr-FR" w:eastAsia="ko-KR"/>
        </w:rPr>
        <w:t xml:space="preserve">ainsi </w:t>
      </w:r>
      <w:r w:rsidR="000078DA" w:rsidRPr="002715F2">
        <w:rPr>
          <w:rFonts w:eastAsia="Batang"/>
          <w:lang w:val="fr-FR" w:eastAsia="ko-KR"/>
        </w:rPr>
        <w:t>inspect</w:t>
      </w:r>
      <w:r w:rsidR="00292923" w:rsidRPr="002715F2">
        <w:rPr>
          <w:rFonts w:eastAsia="Batang"/>
          <w:lang w:val="fr-FR" w:eastAsia="ko-KR"/>
        </w:rPr>
        <w:t>é l</w:t>
      </w:r>
      <w:r w:rsidR="00622286" w:rsidRPr="002715F2">
        <w:rPr>
          <w:rFonts w:eastAsia="Batang"/>
          <w:lang w:val="fr-FR" w:eastAsia="ko-KR"/>
        </w:rPr>
        <w:t xml:space="preserve">es </w:t>
      </w:r>
      <w:r w:rsidR="00292923" w:rsidRPr="002715F2">
        <w:rPr>
          <w:rFonts w:eastAsia="Batang"/>
          <w:lang w:val="fr-FR" w:eastAsia="ko-KR"/>
        </w:rPr>
        <w:t xml:space="preserve">locaux de </w:t>
      </w:r>
      <w:r w:rsidR="00B8413C" w:rsidRPr="002715F2">
        <w:rPr>
          <w:rFonts w:eastAsia="Batang"/>
          <w:lang w:val="fr-FR" w:eastAsia="ko-KR"/>
        </w:rPr>
        <w:t>garde à vue</w:t>
      </w:r>
      <w:r w:rsidR="00622286" w:rsidRPr="002715F2">
        <w:rPr>
          <w:rFonts w:eastAsia="Batang"/>
          <w:lang w:val="fr-FR" w:eastAsia="ko-KR"/>
        </w:rPr>
        <w:t xml:space="preserve"> </w:t>
      </w:r>
      <w:r w:rsidR="00292923" w:rsidRPr="002715F2">
        <w:rPr>
          <w:rFonts w:eastAsia="Batang"/>
          <w:lang w:val="fr-FR" w:eastAsia="ko-KR"/>
        </w:rPr>
        <w:t>des</w:t>
      </w:r>
      <w:r w:rsidR="00622286" w:rsidRPr="002715F2">
        <w:rPr>
          <w:rFonts w:eastAsia="Batang"/>
          <w:lang w:val="fr-FR" w:eastAsia="ko-KR"/>
        </w:rPr>
        <w:t xml:space="preserve"> postes de police en </w:t>
      </w:r>
      <w:r w:rsidR="000078DA" w:rsidRPr="002715F2">
        <w:rPr>
          <w:rFonts w:eastAsia="Batang"/>
          <w:lang w:val="fr-FR" w:eastAsia="ko-KR"/>
        </w:rPr>
        <w:t xml:space="preserve">2002 </w:t>
      </w:r>
      <w:r w:rsidR="00622286" w:rsidRPr="002715F2">
        <w:rPr>
          <w:rFonts w:eastAsia="Batang"/>
          <w:lang w:val="fr-FR" w:eastAsia="ko-KR"/>
        </w:rPr>
        <w:t>et recommandé au Ministère de la justice de ferm</w:t>
      </w:r>
      <w:r w:rsidR="00292923" w:rsidRPr="002715F2">
        <w:rPr>
          <w:rFonts w:eastAsia="Batang"/>
          <w:lang w:val="fr-FR" w:eastAsia="ko-KR"/>
        </w:rPr>
        <w:t>er</w:t>
      </w:r>
      <w:r w:rsidR="00622286" w:rsidRPr="002715F2">
        <w:rPr>
          <w:rFonts w:eastAsia="Batang"/>
          <w:lang w:val="fr-FR" w:eastAsia="ko-KR"/>
        </w:rPr>
        <w:t xml:space="preserve"> </w:t>
      </w:r>
      <w:r w:rsidR="00B8413C" w:rsidRPr="002715F2">
        <w:rPr>
          <w:rFonts w:eastAsia="Batang"/>
          <w:lang w:val="fr-FR" w:eastAsia="ko-KR"/>
        </w:rPr>
        <w:t>l</w:t>
      </w:r>
      <w:r w:rsidR="00622286" w:rsidRPr="002715F2">
        <w:rPr>
          <w:rFonts w:eastAsia="Batang"/>
          <w:lang w:val="fr-FR" w:eastAsia="ko-KR"/>
        </w:rPr>
        <w:t xml:space="preserve">es cellules de substitution en </w:t>
      </w:r>
      <w:r w:rsidR="00241EEA" w:rsidRPr="002715F2">
        <w:rPr>
          <w:rFonts w:eastAsia="Batang"/>
          <w:lang w:val="fr-FR" w:eastAsia="ko-KR"/>
        </w:rPr>
        <w:t xml:space="preserve">août </w:t>
      </w:r>
      <w:r w:rsidR="00F60999" w:rsidRPr="002715F2">
        <w:rPr>
          <w:rFonts w:eastAsia="Batang"/>
          <w:lang w:val="fr-FR" w:eastAsia="ko-KR"/>
        </w:rPr>
        <w:t>2004.</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1E7167" w:rsidRPr="002715F2">
        <w:rPr>
          <w:rFonts w:eastAsia="Batang"/>
          <w:lang w:val="fr-FR" w:eastAsia="ko-KR"/>
        </w:rPr>
        <w:t xml:space="preserve">Construction et </w:t>
      </w:r>
      <w:r w:rsidR="0039617D" w:rsidRPr="002715F2">
        <w:rPr>
          <w:rFonts w:eastAsia="Batang"/>
          <w:lang w:val="fr-FR" w:eastAsia="ko-KR"/>
        </w:rPr>
        <w:t>réinstallation</w:t>
      </w:r>
      <w:r w:rsidR="001E7167" w:rsidRPr="002715F2">
        <w:rPr>
          <w:rFonts w:eastAsia="Batang"/>
          <w:lang w:val="fr-FR" w:eastAsia="ko-KR"/>
        </w:rPr>
        <w:t xml:space="preserve"> des établissements</w:t>
      </w:r>
      <w:r w:rsidR="000078DA" w:rsidRPr="002715F2">
        <w:rPr>
          <w:rFonts w:eastAsia="Batang"/>
          <w:lang w:val="fr-FR" w:eastAsia="ko-KR"/>
        </w:rPr>
        <w:t xml:space="preserve"> </w:t>
      </w:r>
      <w:r w:rsidR="005270E8" w:rsidRPr="002715F2">
        <w:rPr>
          <w:rFonts w:eastAsia="Batang"/>
          <w:lang w:val="fr-FR" w:eastAsia="ko-KR"/>
        </w:rPr>
        <w:t>pénitentiaires</w:t>
      </w:r>
    </w:p>
    <w:p w:rsidR="000078DA" w:rsidRPr="002715F2" w:rsidRDefault="007026FB" w:rsidP="007026FB">
      <w:pPr>
        <w:pStyle w:val="SingleTxtG"/>
        <w:rPr>
          <w:rFonts w:eastAsia="Batang"/>
          <w:lang w:val="fr-FR" w:eastAsia="ko-KR"/>
        </w:rPr>
      </w:pPr>
      <w:r w:rsidRPr="002715F2">
        <w:rPr>
          <w:rFonts w:eastAsia="Batang"/>
          <w:lang w:val="fr-FR" w:eastAsia="ko-KR"/>
        </w:rPr>
        <w:t>120.</w:t>
      </w:r>
      <w:r w:rsidRPr="002715F2">
        <w:rPr>
          <w:rFonts w:eastAsia="Batang"/>
          <w:lang w:val="fr-FR" w:eastAsia="ko-KR"/>
        </w:rPr>
        <w:tab/>
      </w:r>
      <w:r w:rsidR="002E5541" w:rsidRPr="002715F2">
        <w:rPr>
          <w:rFonts w:eastAsia="Batang"/>
          <w:lang w:val="fr-FR" w:eastAsia="ko-KR"/>
        </w:rPr>
        <w:t xml:space="preserve">Afin de réduire la surpopulation dans les établissements </w:t>
      </w:r>
      <w:r w:rsidR="00730B36" w:rsidRPr="002715F2">
        <w:rPr>
          <w:rFonts w:eastAsia="Batang"/>
          <w:lang w:val="fr-FR" w:eastAsia="ko-KR"/>
        </w:rPr>
        <w:t>pénitentiaires</w:t>
      </w:r>
      <w:r w:rsidR="002E5541" w:rsidRPr="002715F2">
        <w:rPr>
          <w:rFonts w:eastAsia="Batang"/>
          <w:lang w:val="fr-FR" w:eastAsia="ko-KR"/>
        </w:rPr>
        <w:t xml:space="preserve">, le Ministère de la justice a élaboré un Plan d’expansion des établissements </w:t>
      </w:r>
      <w:r w:rsidR="00730B36" w:rsidRPr="002715F2">
        <w:rPr>
          <w:rFonts w:eastAsia="Batang"/>
          <w:lang w:val="fr-FR" w:eastAsia="ko-KR"/>
        </w:rPr>
        <w:t xml:space="preserve">pénitentiaires </w:t>
      </w:r>
      <w:r w:rsidR="002E5541" w:rsidRPr="002715F2">
        <w:rPr>
          <w:rFonts w:eastAsia="Batang"/>
          <w:lang w:val="fr-FR" w:eastAsia="ko-KR"/>
        </w:rPr>
        <w:t xml:space="preserve">et d’amélioration des conditions de </w:t>
      </w:r>
      <w:r w:rsidR="0039617D" w:rsidRPr="002715F2">
        <w:rPr>
          <w:rFonts w:eastAsia="Batang"/>
          <w:lang w:val="fr-FR" w:eastAsia="ko-KR"/>
        </w:rPr>
        <w:t>détention</w:t>
      </w:r>
      <w:r w:rsidR="000078DA" w:rsidRPr="002715F2">
        <w:rPr>
          <w:rFonts w:eastAsia="Batang"/>
          <w:lang w:val="fr-FR" w:eastAsia="ko-KR"/>
        </w:rPr>
        <w:t>.</w:t>
      </w:r>
      <w:r w:rsidR="002E5541" w:rsidRPr="002715F2">
        <w:rPr>
          <w:rFonts w:eastAsia="Batang"/>
          <w:lang w:val="fr-FR" w:eastAsia="ko-KR"/>
        </w:rPr>
        <w:t xml:space="preserve"> En conséquence, six nouveaux établissements</w:t>
      </w:r>
      <w:r w:rsidR="00AD2CD0" w:rsidRPr="002715F2">
        <w:rPr>
          <w:rFonts w:eastAsia="Batang"/>
          <w:lang w:val="fr-FR" w:eastAsia="ko-KR"/>
        </w:rPr>
        <w:t xml:space="preserve"> </w:t>
      </w:r>
      <w:r w:rsidR="002E5541" w:rsidRPr="002715F2">
        <w:rPr>
          <w:rFonts w:eastAsia="Batang"/>
          <w:lang w:val="fr-FR" w:eastAsia="ko-KR"/>
        </w:rPr>
        <w:t>ont été construits et quatre ont été transférés entre 2006 et 2015</w:t>
      </w:r>
      <w:r w:rsidR="000078DA" w:rsidRPr="002715F2">
        <w:rPr>
          <w:rFonts w:eastAsia="Batang"/>
          <w:lang w:val="fr-FR" w:eastAsia="ko-KR"/>
        </w:rPr>
        <w:t xml:space="preserve">. </w:t>
      </w:r>
      <w:r w:rsidR="002E5541" w:rsidRPr="002715F2">
        <w:rPr>
          <w:rFonts w:eastAsia="Batang"/>
          <w:lang w:val="fr-FR" w:eastAsia="ko-KR"/>
        </w:rPr>
        <w:t xml:space="preserve">À long terme, le Ministère de la justice envisage de construire ou de déplacer 11 établissements, dont la prison surpeuplée d’An-yang, </w:t>
      </w:r>
      <w:r w:rsidR="0039617D" w:rsidRPr="002715F2">
        <w:rPr>
          <w:rFonts w:eastAsia="Batang"/>
          <w:lang w:val="fr-FR" w:eastAsia="ko-KR"/>
        </w:rPr>
        <w:t>construite</w:t>
      </w:r>
      <w:r w:rsidR="002E5541" w:rsidRPr="002715F2">
        <w:rPr>
          <w:rFonts w:eastAsia="Batang"/>
          <w:lang w:val="fr-FR" w:eastAsia="ko-KR"/>
        </w:rPr>
        <w:t xml:space="preserve"> il y a plus de 30 ans (voir </w:t>
      </w:r>
      <w:r w:rsidR="00304632" w:rsidRPr="002715F2">
        <w:rPr>
          <w:rFonts w:eastAsia="Batang"/>
          <w:lang w:val="fr-FR" w:eastAsia="ko-KR"/>
        </w:rPr>
        <w:t xml:space="preserve">le </w:t>
      </w:r>
      <w:r w:rsidR="002E5541" w:rsidRPr="002715F2">
        <w:rPr>
          <w:rFonts w:eastAsia="Batang"/>
          <w:lang w:val="fr-FR" w:eastAsia="ko-KR"/>
        </w:rPr>
        <w:t>tableau</w:t>
      </w:r>
      <w:r w:rsidR="00304632" w:rsidRPr="002715F2">
        <w:rPr>
          <w:rFonts w:eastAsia="Batang"/>
          <w:lang w:val="fr-FR" w:eastAsia="ko-KR"/>
        </w:rPr>
        <w:t> </w:t>
      </w:r>
      <w:r w:rsidR="002E5541" w:rsidRPr="002715F2">
        <w:rPr>
          <w:rFonts w:eastAsia="Batang"/>
          <w:lang w:val="fr-FR" w:eastAsia="ko-KR"/>
        </w:rPr>
        <w:t>21)</w:t>
      </w:r>
      <w:r w:rsidR="000078DA" w:rsidRPr="002715F2">
        <w:rPr>
          <w:rFonts w:eastAsia="Batang"/>
          <w:lang w:val="fr-FR" w:eastAsia="ko-KR"/>
        </w:rPr>
        <w:t>.</w:t>
      </w:r>
      <w:r w:rsidR="002E5541" w:rsidRPr="002715F2">
        <w:rPr>
          <w:rFonts w:eastAsia="Batang"/>
          <w:lang w:val="fr-FR" w:eastAsia="ko-KR"/>
        </w:rPr>
        <w:t xml:space="preserve"> De </w:t>
      </w:r>
      <w:r w:rsidR="0039617D" w:rsidRPr="002715F2">
        <w:rPr>
          <w:rFonts w:eastAsia="Batang"/>
          <w:lang w:val="fr-FR" w:eastAsia="ko-KR"/>
        </w:rPr>
        <w:t>surcroît</w:t>
      </w:r>
      <w:r w:rsidR="002E5541" w:rsidRPr="002715F2">
        <w:rPr>
          <w:rFonts w:eastAsia="Batang"/>
          <w:lang w:val="fr-FR" w:eastAsia="ko-KR"/>
        </w:rPr>
        <w:t xml:space="preserve">, afin de </w:t>
      </w:r>
      <w:r w:rsidR="00304632" w:rsidRPr="002715F2">
        <w:rPr>
          <w:rFonts w:eastAsia="Batang"/>
          <w:lang w:val="fr-FR" w:eastAsia="ko-KR"/>
        </w:rPr>
        <w:t>faire face</w:t>
      </w:r>
      <w:r w:rsidR="002E5541" w:rsidRPr="002715F2">
        <w:rPr>
          <w:rFonts w:eastAsia="Batang"/>
          <w:lang w:val="fr-FR" w:eastAsia="ko-KR"/>
        </w:rPr>
        <w:t xml:space="preserve"> à l’augmentation du nombre de détenues et de protéger leurs droits et leurs intérêts, le Ministère de la justice </w:t>
      </w:r>
      <w:r w:rsidR="00304632" w:rsidRPr="002715F2">
        <w:rPr>
          <w:rFonts w:eastAsia="Batang"/>
          <w:lang w:val="fr-FR" w:eastAsia="ko-KR"/>
        </w:rPr>
        <w:t>envisage de</w:t>
      </w:r>
      <w:r w:rsidR="002E5541" w:rsidRPr="002715F2">
        <w:rPr>
          <w:rFonts w:eastAsia="Batang"/>
          <w:lang w:val="fr-FR" w:eastAsia="ko-KR"/>
        </w:rPr>
        <w:t xml:space="preserve"> constru</w:t>
      </w:r>
      <w:r w:rsidR="00304632" w:rsidRPr="002715F2">
        <w:rPr>
          <w:rFonts w:eastAsia="Batang"/>
          <w:lang w:val="fr-FR" w:eastAsia="ko-KR"/>
        </w:rPr>
        <w:t xml:space="preserve">ire des </w:t>
      </w:r>
      <w:r w:rsidR="002E5541" w:rsidRPr="002715F2">
        <w:rPr>
          <w:rFonts w:eastAsia="Batang"/>
          <w:lang w:val="fr-FR" w:eastAsia="ko-KR"/>
        </w:rPr>
        <w:t xml:space="preserve">établissements </w:t>
      </w:r>
      <w:r w:rsidR="00730B36" w:rsidRPr="002715F2">
        <w:rPr>
          <w:rFonts w:eastAsia="Batang"/>
          <w:lang w:val="fr-FR" w:eastAsia="ko-KR"/>
        </w:rPr>
        <w:t xml:space="preserve">pénitentiaires </w:t>
      </w:r>
      <w:r w:rsidR="002E5541" w:rsidRPr="002715F2">
        <w:rPr>
          <w:rFonts w:eastAsia="Batang"/>
          <w:lang w:val="fr-FR" w:eastAsia="ko-KR"/>
        </w:rPr>
        <w:t>pour femmes</w:t>
      </w:r>
      <w:r w:rsidR="00F60999" w:rsidRPr="002715F2">
        <w:rPr>
          <w:rFonts w:eastAsia="Batang"/>
          <w:lang w:val="fr-FR" w:eastAsia="ko-KR"/>
        </w:rPr>
        <w:t>.</w:t>
      </w:r>
    </w:p>
    <w:p w:rsidR="000078DA" w:rsidRPr="002715F2" w:rsidRDefault="007026FB" w:rsidP="007026FB">
      <w:pPr>
        <w:pStyle w:val="SingleTxtG"/>
        <w:rPr>
          <w:rFonts w:eastAsia="Batang" w:cs="Gulim"/>
          <w:color w:val="000000"/>
          <w:lang w:val="fr-FR" w:eastAsia="ko-KR"/>
        </w:rPr>
      </w:pPr>
      <w:r w:rsidRPr="002715F2">
        <w:rPr>
          <w:rFonts w:eastAsia="Batang"/>
          <w:color w:val="000000"/>
          <w:lang w:val="fr-FR" w:eastAsia="ko-KR"/>
        </w:rPr>
        <w:t>121.</w:t>
      </w:r>
      <w:r w:rsidRPr="002715F2">
        <w:rPr>
          <w:rFonts w:eastAsia="Batang"/>
          <w:color w:val="000000"/>
          <w:lang w:val="fr-FR" w:eastAsia="ko-KR"/>
        </w:rPr>
        <w:tab/>
      </w:r>
      <w:r w:rsidR="005270E8" w:rsidRPr="002715F2">
        <w:rPr>
          <w:rFonts w:eastAsia="Batang" w:cs="Gulim"/>
          <w:color w:val="000000"/>
          <w:lang w:val="fr-FR" w:eastAsia="ko-KR"/>
        </w:rPr>
        <w:t>Concernant la fermeture des cellules de substitution, trois établissements</w:t>
      </w:r>
      <w:r w:rsidR="00AD2CD0" w:rsidRPr="002715F2">
        <w:rPr>
          <w:rFonts w:eastAsia="Batang" w:cs="Gulim"/>
          <w:color w:val="000000"/>
          <w:lang w:val="fr-FR" w:eastAsia="ko-KR"/>
        </w:rPr>
        <w:t xml:space="preserve"> </w:t>
      </w:r>
      <w:r w:rsidR="005270E8" w:rsidRPr="002715F2">
        <w:rPr>
          <w:rFonts w:eastAsia="Batang" w:cs="Gulim"/>
          <w:color w:val="000000"/>
          <w:lang w:val="fr-FR" w:eastAsia="ko-KR"/>
        </w:rPr>
        <w:t>(la prison de Young-wol, celle de Hae-nam et le centre de détention de Mil-yang) ont été construits en 2009 et deux (la prison de Sang-ju et celle de Jung-eup) en 2014</w:t>
      </w:r>
      <w:r w:rsidR="000078DA" w:rsidRPr="002715F2">
        <w:rPr>
          <w:rFonts w:eastAsia="Batang" w:cs="Gulim"/>
          <w:color w:val="000000"/>
          <w:lang w:val="fr-FR" w:eastAsia="ko-KR"/>
        </w:rPr>
        <w:t xml:space="preserve">. </w:t>
      </w:r>
      <w:r w:rsidR="00304632" w:rsidRPr="002715F2">
        <w:rPr>
          <w:rFonts w:eastAsia="Batang" w:cs="Gulim"/>
          <w:color w:val="000000"/>
          <w:lang w:val="fr-FR" w:eastAsia="ko-KR"/>
        </w:rPr>
        <w:t>Au 31 </w:t>
      </w:r>
      <w:r w:rsidR="005270E8" w:rsidRPr="002715F2">
        <w:rPr>
          <w:rFonts w:eastAsia="Batang" w:cs="Gulim"/>
          <w:color w:val="000000"/>
          <w:lang w:val="fr-FR" w:eastAsia="ko-KR"/>
        </w:rPr>
        <w:t xml:space="preserve">décembre 2015, un établissement (le centre de détention de Geo-chang) </w:t>
      </w:r>
      <w:r w:rsidR="00304632" w:rsidRPr="002715F2">
        <w:rPr>
          <w:rFonts w:eastAsia="Batang" w:cs="Gulim"/>
          <w:color w:val="000000"/>
          <w:lang w:val="fr-FR" w:eastAsia="ko-KR"/>
        </w:rPr>
        <w:t>était</w:t>
      </w:r>
      <w:r w:rsidR="005270E8" w:rsidRPr="002715F2">
        <w:rPr>
          <w:rFonts w:eastAsia="Batang" w:cs="Gulim"/>
          <w:color w:val="000000"/>
          <w:lang w:val="fr-FR" w:eastAsia="ko-KR"/>
        </w:rPr>
        <w:t xml:space="preserve"> en cours de construction. Pour plus de </w:t>
      </w:r>
      <w:r w:rsidR="00E116E3" w:rsidRPr="002715F2">
        <w:rPr>
          <w:rFonts w:eastAsia="Batang" w:cs="Gulim"/>
          <w:color w:val="000000"/>
          <w:lang w:val="fr-FR" w:eastAsia="ko-KR"/>
        </w:rPr>
        <w:t>renseignements</w:t>
      </w:r>
      <w:r w:rsidR="005270E8" w:rsidRPr="002715F2">
        <w:rPr>
          <w:rFonts w:eastAsia="Batang" w:cs="Gulim"/>
          <w:color w:val="000000"/>
          <w:lang w:val="fr-FR" w:eastAsia="ko-KR"/>
        </w:rPr>
        <w:t>, on se reportera au paragraphe 110 du présent rapport</w:t>
      </w:r>
      <w:r w:rsidR="00F60999" w:rsidRPr="002715F2">
        <w:rPr>
          <w:rFonts w:eastAsia="Batang" w:cs="Gulim"/>
          <w:color w:val="000000"/>
          <w:lang w:val="fr-FR" w:eastAsia="ko-K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B505DB" w:rsidRPr="002715F2">
        <w:rPr>
          <w:rFonts w:eastAsia="Batang"/>
          <w:lang w:val="fr-FR" w:eastAsia="ko-KR"/>
        </w:rPr>
        <w:t xml:space="preserve">Mesures prises pour se conformer aux normes internationales minimales en matière de centres de détention </w:t>
      </w:r>
    </w:p>
    <w:p w:rsidR="000078DA" w:rsidRPr="002715F2" w:rsidRDefault="007026FB" w:rsidP="007026FB">
      <w:pPr>
        <w:pStyle w:val="SingleTxtG"/>
        <w:rPr>
          <w:rFonts w:eastAsia="Batang"/>
          <w:lang w:val="fr-FR" w:eastAsia="ko-KR"/>
        </w:rPr>
      </w:pPr>
      <w:r w:rsidRPr="002715F2">
        <w:rPr>
          <w:rFonts w:eastAsia="Batang"/>
          <w:lang w:val="fr-FR" w:eastAsia="ko-KR"/>
        </w:rPr>
        <w:t>122.</w:t>
      </w:r>
      <w:r w:rsidRPr="002715F2">
        <w:rPr>
          <w:rFonts w:eastAsia="Batang"/>
          <w:lang w:val="fr-FR" w:eastAsia="ko-KR"/>
        </w:rPr>
        <w:tab/>
      </w:r>
      <w:r w:rsidR="00365352" w:rsidRPr="002715F2">
        <w:rPr>
          <w:rFonts w:eastAsia="Batang"/>
          <w:lang w:val="fr-FR" w:eastAsia="ko-KR"/>
        </w:rPr>
        <w:t>Le Bureau des droits de l’homme du Ministère de la justice inspecte les centres de détention ou les établissements de protection, y compris les cellules de substitution, chaque année (une fois tous les trois ans pour chaque établissement) afin de vérifier leur conformité av</w:t>
      </w:r>
      <w:r w:rsidR="00477281" w:rsidRPr="002715F2">
        <w:rPr>
          <w:rFonts w:eastAsia="Batang"/>
          <w:lang w:val="fr-FR" w:eastAsia="ko-KR"/>
        </w:rPr>
        <w:t xml:space="preserve">ec la </w:t>
      </w:r>
      <w:r w:rsidR="0039617D" w:rsidRPr="002715F2">
        <w:rPr>
          <w:rFonts w:eastAsia="Batang"/>
          <w:lang w:val="fr-FR" w:eastAsia="ko-KR"/>
        </w:rPr>
        <w:t>législation</w:t>
      </w:r>
      <w:r w:rsidR="00537A34" w:rsidRPr="002715F2">
        <w:rPr>
          <w:rFonts w:eastAsia="Batang"/>
          <w:lang w:val="fr-FR" w:eastAsia="ko-KR"/>
        </w:rPr>
        <w:t xml:space="preserve"> nationale, les règlements </w:t>
      </w:r>
      <w:r w:rsidR="00365352" w:rsidRPr="002715F2">
        <w:rPr>
          <w:rFonts w:eastAsia="Batang"/>
          <w:lang w:val="fr-FR" w:eastAsia="ko-KR"/>
        </w:rPr>
        <w:t xml:space="preserve">et les normes internationales minimales en matière d’installation et de </w:t>
      </w:r>
      <w:r w:rsidR="00537A34" w:rsidRPr="002715F2">
        <w:rPr>
          <w:rFonts w:eastAsia="Batang"/>
          <w:lang w:val="fr-FR" w:eastAsia="ko-KR"/>
        </w:rPr>
        <w:t>gestion</w:t>
      </w:r>
      <w:r w:rsidR="000078DA" w:rsidRPr="002715F2">
        <w:rPr>
          <w:rFonts w:eastAsia="Batang"/>
          <w:lang w:val="fr-FR" w:eastAsia="ko-KR"/>
        </w:rPr>
        <w:t xml:space="preserve">. </w:t>
      </w:r>
      <w:r w:rsidR="00365352" w:rsidRPr="002715F2">
        <w:rPr>
          <w:rFonts w:eastAsia="Batang"/>
          <w:lang w:val="fr-FR" w:eastAsia="ko-KR"/>
        </w:rPr>
        <w:t>Des équipes d’enquêteurs visitent les établissements, examinent la situation sur place et interrogent les détenus, après quoi le Bureau formule des recommandations pour améliorer la situation des droits de l’homme</w:t>
      </w:r>
      <w:r w:rsidR="000078DA" w:rsidRPr="002715F2">
        <w:rPr>
          <w:rFonts w:eastAsia="Batang"/>
          <w:lang w:val="fr-FR" w:eastAsia="ko-KR"/>
        </w:rPr>
        <w:t xml:space="preserve">. </w:t>
      </w:r>
      <w:r w:rsidR="00365352" w:rsidRPr="002715F2">
        <w:rPr>
          <w:rFonts w:eastAsia="Batang"/>
          <w:lang w:val="fr-FR" w:eastAsia="ko-KR"/>
        </w:rPr>
        <w:t xml:space="preserve">Le Bureau a mené 372 inspections entre </w:t>
      </w:r>
      <w:r w:rsidR="00241EEA" w:rsidRPr="002715F2">
        <w:rPr>
          <w:rFonts w:eastAsia="Batang"/>
          <w:lang w:val="fr-FR" w:eastAsia="ko-KR"/>
        </w:rPr>
        <w:t xml:space="preserve">juin </w:t>
      </w:r>
      <w:r w:rsidR="00365352" w:rsidRPr="002715F2">
        <w:rPr>
          <w:rFonts w:eastAsia="Batang"/>
          <w:lang w:val="fr-FR" w:eastAsia="ko-KR"/>
        </w:rPr>
        <w:t xml:space="preserve">2006 et </w:t>
      </w:r>
      <w:r w:rsidR="00241EEA" w:rsidRPr="002715F2">
        <w:rPr>
          <w:rFonts w:eastAsia="Batang"/>
          <w:lang w:val="fr-FR" w:eastAsia="ko-KR"/>
        </w:rPr>
        <w:t xml:space="preserve">décembre </w:t>
      </w:r>
      <w:r w:rsidR="00365352" w:rsidRPr="002715F2">
        <w:rPr>
          <w:rFonts w:eastAsia="Batang"/>
          <w:lang w:val="fr-FR" w:eastAsia="ko-KR"/>
        </w:rPr>
        <w:t xml:space="preserve">2015 (voir </w:t>
      </w:r>
      <w:r w:rsidR="00537A34" w:rsidRPr="002715F2">
        <w:rPr>
          <w:rFonts w:eastAsia="Batang"/>
          <w:lang w:val="fr-FR" w:eastAsia="ko-KR"/>
        </w:rPr>
        <w:t>le tableau </w:t>
      </w:r>
      <w:r w:rsidR="00365352" w:rsidRPr="002715F2">
        <w:rPr>
          <w:rFonts w:eastAsia="Batang"/>
          <w:lang w:val="fr-FR" w:eastAsia="ko-KR"/>
        </w:rPr>
        <w:t>22)</w:t>
      </w:r>
      <w:r w:rsidR="000078DA" w:rsidRPr="002715F2">
        <w:rPr>
          <w:rFonts w:eastAsia="Batang"/>
          <w:lang w:val="fr-FR" w:eastAsia="ko-KR"/>
        </w:rPr>
        <w:t>.</w:t>
      </w:r>
    </w:p>
    <w:p w:rsidR="000078DA" w:rsidRPr="002715F2" w:rsidRDefault="00F420C5" w:rsidP="007026FB">
      <w:pPr>
        <w:pStyle w:val="H1G"/>
        <w:rPr>
          <w:rFonts w:eastAsia="Batang"/>
          <w:b w:val="0"/>
          <w:lang w:val="fr-FR"/>
        </w:rPr>
      </w:pPr>
      <w:r w:rsidRPr="002715F2">
        <w:rPr>
          <w:rFonts w:eastAsia="Batang"/>
          <w:lang w:val="fr-FR"/>
        </w:rPr>
        <w:tab/>
      </w:r>
      <w:r w:rsidRPr="002715F2">
        <w:rPr>
          <w:rFonts w:eastAsia="Batang"/>
          <w:lang w:val="fr-FR"/>
        </w:rPr>
        <w:tab/>
      </w:r>
      <w:r w:rsidR="00537A34" w:rsidRPr="002715F2">
        <w:rPr>
          <w:rFonts w:eastAsia="Batang"/>
          <w:lang w:val="fr-FR"/>
        </w:rPr>
        <w:t>Articles </w:t>
      </w:r>
      <w:r w:rsidR="00961BE3" w:rsidRPr="002715F2">
        <w:rPr>
          <w:rFonts w:eastAsia="Batang"/>
          <w:lang w:val="fr-FR"/>
        </w:rPr>
        <w:t xml:space="preserve">12 </w:t>
      </w:r>
      <w:r w:rsidR="00365352" w:rsidRPr="002715F2">
        <w:rPr>
          <w:rFonts w:eastAsia="Batang"/>
          <w:lang w:val="fr-FR"/>
        </w:rPr>
        <w:t>et</w:t>
      </w:r>
      <w:r w:rsidR="00961BE3" w:rsidRPr="002715F2">
        <w:rPr>
          <w:rFonts w:eastAsia="Batang"/>
          <w:lang w:val="fr-FR"/>
        </w:rPr>
        <w:t xml:space="preserve"> 13</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365352"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365352" w:rsidRPr="002715F2">
        <w:rPr>
          <w:rFonts w:eastAsia="Batang"/>
          <w:lang w:val="fr-FR" w:eastAsia="ko-KR"/>
        </w:rPr>
        <w:t>20</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365352" w:rsidRPr="002715F2">
        <w:rPr>
          <w:rFonts w:eastAsia="Batang"/>
          <w:lang w:val="fr-FR" w:eastAsia="ko-KR"/>
        </w:rPr>
        <w:t>Gestion des affaires de torture ou de mauvais traitements</w:t>
      </w:r>
    </w:p>
    <w:p w:rsidR="000078DA" w:rsidRPr="002715F2" w:rsidRDefault="007026FB" w:rsidP="007026FB">
      <w:pPr>
        <w:pStyle w:val="SingleTxtG"/>
        <w:rPr>
          <w:rFonts w:eastAsia="Batang"/>
          <w:lang w:val="fr-FR" w:eastAsia="ko-KR"/>
        </w:rPr>
      </w:pPr>
      <w:r w:rsidRPr="002715F2">
        <w:rPr>
          <w:rFonts w:eastAsia="Batang"/>
          <w:lang w:val="fr-FR" w:eastAsia="ko-KR"/>
        </w:rPr>
        <w:t>123.</w:t>
      </w:r>
      <w:r w:rsidRPr="002715F2">
        <w:rPr>
          <w:rFonts w:eastAsia="Batang"/>
          <w:lang w:val="fr-FR" w:eastAsia="ko-KR"/>
        </w:rPr>
        <w:tab/>
      </w:r>
      <w:r w:rsidR="00365352" w:rsidRPr="002715F2">
        <w:rPr>
          <w:rFonts w:eastAsia="Batang"/>
          <w:lang w:val="fr-FR" w:eastAsia="ko-KR"/>
        </w:rPr>
        <w:t>Les jugements de première instance rendus dans des affaires de torture ou de mauvais traitements sont les suivants</w:t>
      </w:r>
      <w:r w:rsidR="00E97B1A" w:rsidRPr="002715F2">
        <w:rPr>
          <w:rFonts w:eastAsia="Batang"/>
          <w:lang w:val="fr-FR" w:eastAsia="ko-KR"/>
        </w:rPr>
        <w:t>:</w:t>
      </w:r>
      <w:r w:rsidR="00365352" w:rsidRPr="002715F2">
        <w:rPr>
          <w:rFonts w:eastAsia="Batang"/>
          <w:lang w:val="fr-FR" w:eastAsia="ko-KR"/>
        </w:rPr>
        <w:t xml:space="preserve"> entre 2006 et</w:t>
      </w:r>
      <w:r w:rsidR="000078DA" w:rsidRPr="002715F2">
        <w:rPr>
          <w:rFonts w:eastAsia="Batang"/>
          <w:lang w:val="fr-FR" w:eastAsia="ko-KR"/>
        </w:rPr>
        <w:t xml:space="preserve"> 2015, 13</w:t>
      </w:r>
      <w:r w:rsidR="00365352" w:rsidRPr="002715F2">
        <w:rPr>
          <w:rFonts w:eastAsia="Batang"/>
          <w:lang w:val="fr-FR" w:eastAsia="ko-KR"/>
        </w:rPr>
        <w:t> </w:t>
      </w:r>
      <w:r w:rsidR="000078DA" w:rsidRPr="002715F2">
        <w:rPr>
          <w:rFonts w:eastAsia="Batang"/>
          <w:lang w:val="fr-FR" w:eastAsia="ko-KR"/>
        </w:rPr>
        <w:t>person</w:t>
      </w:r>
      <w:r w:rsidR="00365352" w:rsidRPr="002715F2">
        <w:rPr>
          <w:rFonts w:eastAsia="Batang"/>
          <w:lang w:val="fr-FR" w:eastAsia="ko-KR"/>
        </w:rPr>
        <w:t>ne</w:t>
      </w:r>
      <w:r w:rsidR="000078DA" w:rsidRPr="002715F2">
        <w:rPr>
          <w:rFonts w:eastAsia="Batang"/>
          <w:lang w:val="fr-FR" w:eastAsia="ko-KR"/>
        </w:rPr>
        <w:t xml:space="preserve">s </w:t>
      </w:r>
      <w:r w:rsidR="00365352" w:rsidRPr="002715F2">
        <w:rPr>
          <w:rFonts w:eastAsia="Batang"/>
          <w:lang w:val="fr-FR" w:eastAsia="ko-KR"/>
        </w:rPr>
        <w:t xml:space="preserve">ont été jugées pour arrestation et détention </w:t>
      </w:r>
      <w:r w:rsidR="00A17C05" w:rsidRPr="002715F2">
        <w:rPr>
          <w:rFonts w:eastAsia="Batang"/>
          <w:lang w:val="fr-FR" w:eastAsia="ko-KR"/>
        </w:rPr>
        <w:t>arbitraires</w:t>
      </w:r>
      <w:r w:rsidR="00365352" w:rsidRPr="002715F2">
        <w:rPr>
          <w:rFonts w:eastAsia="Batang"/>
          <w:lang w:val="fr-FR" w:eastAsia="ko-KR"/>
        </w:rPr>
        <w:t xml:space="preserve"> </w:t>
      </w:r>
      <w:r w:rsidR="000078DA" w:rsidRPr="002715F2">
        <w:rPr>
          <w:rFonts w:eastAsia="Batang"/>
          <w:lang w:val="fr-FR" w:eastAsia="ko-KR"/>
        </w:rPr>
        <w:t>(</w:t>
      </w:r>
      <w:r w:rsidR="00365352" w:rsidRPr="002715F2">
        <w:rPr>
          <w:rFonts w:eastAsia="Batang"/>
          <w:lang w:val="fr-FR" w:eastAsia="ko-KR"/>
        </w:rPr>
        <w:t xml:space="preserve">Code </w:t>
      </w:r>
      <w:r w:rsidR="0039617D" w:rsidRPr="002715F2">
        <w:rPr>
          <w:rFonts w:eastAsia="Batang"/>
          <w:lang w:val="fr-FR" w:eastAsia="ko-KR"/>
        </w:rPr>
        <w:t>pénal</w:t>
      </w:r>
      <w:r w:rsidR="00365352" w:rsidRPr="002715F2">
        <w:rPr>
          <w:rFonts w:eastAsia="Batang"/>
          <w:lang w:val="fr-FR" w:eastAsia="ko-KR"/>
        </w:rPr>
        <w:t>,</w:t>
      </w:r>
      <w:r w:rsidR="000078DA" w:rsidRPr="002715F2">
        <w:rPr>
          <w:rFonts w:eastAsia="Batang"/>
          <w:lang w:val="fr-FR" w:eastAsia="ko-KR"/>
        </w:rPr>
        <w:t xml:space="preserve"> </w:t>
      </w:r>
      <w:r w:rsidR="00365352" w:rsidRPr="002715F2">
        <w:rPr>
          <w:rFonts w:eastAsia="Batang"/>
          <w:lang w:val="fr-FR" w:eastAsia="ko-KR"/>
        </w:rPr>
        <w:t>art. </w:t>
      </w:r>
      <w:r w:rsidR="000078DA" w:rsidRPr="002715F2">
        <w:rPr>
          <w:rFonts w:eastAsia="Batang"/>
          <w:lang w:val="fr-FR" w:eastAsia="ko-KR"/>
        </w:rPr>
        <w:t xml:space="preserve">124). </w:t>
      </w:r>
      <w:r w:rsidR="00365352" w:rsidRPr="002715F2">
        <w:rPr>
          <w:rFonts w:eastAsia="Batang"/>
          <w:lang w:val="fr-FR" w:eastAsia="ko-KR"/>
        </w:rPr>
        <w:t>Sur ces 13</w:t>
      </w:r>
      <w:r w:rsidR="00537A34" w:rsidRPr="002715F2">
        <w:rPr>
          <w:rFonts w:eastAsia="Batang"/>
          <w:lang w:val="fr-FR" w:eastAsia="ko-KR"/>
        </w:rPr>
        <w:t> </w:t>
      </w:r>
      <w:r w:rsidR="00365352" w:rsidRPr="002715F2">
        <w:rPr>
          <w:rFonts w:eastAsia="Batang"/>
          <w:lang w:val="fr-FR" w:eastAsia="ko-KR"/>
        </w:rPr>
        <w:t xml:space="preserve">personnes, </w:t>
      </w:r>
      <w:r w:rsidR="00FB4048" w:rsidRPr="002715F2">
        <w:rPr>
          <w:rFonts w:eastAsia="Batang"/>
          <w:lang w:val="fr-FR" w:eastAsia="ko-KR"/>
        </w:rPr>
        <w:t xml:space="preserve">4 </w:t>
      </w:r>
      <w:r w:rsidR="00365352" w:rsidRPr="002715F2">
        <w:rPr>
          <w:rFonts w:eastAsia="Batang"/>
          <w:lang w:val="fr-FR" w:eastAsia="ko-KR"/>
        </w:rPr>
        <w:t xml:space="preserve">ont </w:t>
      </w:r>
      <w:r w:rsidR="00537A34" w:rsidRPr="002715F2">
        <w:rPr>
          <w:rFonts w:eastAsia="Batang"/>
          <w:lang w:val="fr-FR" w:eastAsia="ko-KR"/>
        </w:rPr>
        <w:t xml:space="preserve">bénéficié </w:t>
      </w:r>
      <w:r w:rsidR="006B6450" w:rsidRPr="002715F2">
        <w:rPr>
          <w:rFonts w:eastAsia="Batang"/>
          <w:lang w:val="fr-FR" w:eastAsia="ko-KR"/>
        </w:rPr>
        <w:t>d’un sursis à l’exécution de leur peine</w:t>
      </w:r>
      <w:r w:rsidR="00365352" w:rsidRPr="002715F2">
        <w:rPr>
          <w:rFonts w:eastAsia="Batang"/>
          <w:lang w:val="fr-FR" w:eastAsia="ko-KR"/>
        </w:rPr>
        <w:t xml:space="preserve">, </w:t>
      </w:r>
      <w:r w:rsidR="00FB4048" w:rsidRPr="002715F2">
        <w:rPr>
          <w:rFonts w:eastAsia="Batang"/>
          <w:lang w:val="fr-FR" w:eastAsia="ko-KR"/>
        </w:rPr>
        <w:t xml:space="preserve">2 </w:t>
      </w:r>
      <w:r w:rsidR="00365352" w:rsidRPr="002715F2">
        <w:rPr>
          <w:rFonts w:eastAsia="Batang"/>
          <w:lang w:val="fr-FR" w:eastAsia="ko-KR"/>
        </w:rPr>
        <w:t>ont été condamné</w:t>
      </w:r>
      <w:r w:rsidR="00537A34" w:rsidRPr="002715F2">
        <w:rPr>
          <w:rFonts w:eastAsia="Batang"/>
          <w:lang w:val="fr-FR" w:eastAsia="ko-KR"/>
        </w:rPr>
        <w:t>e</w:t>
      </w:r>
      <w:r w:rsidR="00365352" w:rsidRPr="002715F2">
        <w:rPr>
          <w:rFonts w:eastAsia="Batang"/>
          <w:lang w:val="fr-FR" w:eastAsia="ko-KR"/>
        </w:rPr>
        <w:t xml:space="preserve">s à payer une amende et </w:t>
      </w:r>
      <w:r w:rsidR="00FB4048" w:rsidRPr="002715F2">
        <w:rPr>
          <w:rFonts w:eastAsia="Batang"/>
          <w:lang w:val="fr-FR" w:eastAsia="ko-KR"/>
        </w:rPr>
        <w:t xml:space="preserve">7 </w:t>
      </w:r>
      <w:r w:rsidR="006B6450" w:rsidRPr="002715F2">
        <w:rPr>
          <w:rFonts w:eastAsia="Batang"/>
          <w:lang w:val="fr-FR" w:eastAsia="ko-KR"/>
        </w:rPr>
        <w:t xml:space="preserve">ont obtenu un sursis au prononcé de la peine </w:t>
      </w:r>
      <w:r w:rsidR="00365352" w:rsidRPr="002715F2">
        <w:rPr>
          <w:rFonts w:eastAsia="Batang"/>
          <w:lang w:val="fr-FR" w:eastAsia="ko-KR"/>
        </w:rPr>
        <w:t>(voir le tableau</w:t>
      </w:r>
      <w:r w:rsidR="00537A34" w:rsidRPr="002715F2">
        <w:rPr>
          <w:rFonts w:eastAsia="Batang"/>
          <w:lang w:val="fr-FR" w:eastAsia="ko-KR"/>
        </w:rPr>
        <w:t> </w:t>
      </w:r>
      <w:r w:rsidR="00365352" w:rsidRPr="002715F2">
        <w:rPr>
          <w:rFonts w:eastAsia="Batang"/>
          <w:lang w:val="fr-FR" w:eastAsia="ko-KR"/>
        </w:rPr>
        <w:t>23)</w:t>
      </w:r>
      <w:r w:rsidR="000078DA" w:rsidRPr="002715F2">
        <w:rPr>
          <w:rFonts w:eastAsia="Batang"/>
          <w:lang w:val="fr-FR" w:eastAsia="ko-KR"/>
        </w:rPr>
        <w:t xml:space="preserve">. </w:t>
      </w:r>
      <w:r w:rsidR="00537A34" w:rsidRPr="002715F2">
        <w:rPr>
          <w:rFonts w:eastAsia="Batang"/>
          <w:lang w:val="fr-FR" w:eastAsia="ko-KR"/>
        </w:rPr>
        <w:t>Au cours de la même période, 28 </w:t>
      </w:r>
      <w:r w:rsidR="000A14A2" w:rsidRPr="002715F2">
        <w:rPr>
          <w:rFonts w:eastAsia="Batang"/>
          <w:lang w:val="fr-FR" w:eastAsia="ko-KR"/>
        </w:rPr>
        <w:t xml:space="preserve">personnes accusées de violence ou d’actes </w:t>
      </w:r>
      <w:r w:rsidR="008C04AA" w:rsidRPr="002715F2">
        <w:rPr>
          <w:rFonts w:eastAsia="Batang"/>
          <w:lang w:val="fr-FR" w:eastAsia="ko-KR"/>
        </w:rPr>
        <w:t>de cruauté</w:t>
      </w:r>
      <w:r w:rsidR="000A14A2" w:rsidRPr="002715F2">
        <w:rPr>
          <w:rFonts w:eastAsia="Batang"/>
          <w:lang w:val="fr-FR" w:eastAsia="ko-KR"/>
        </w:rPr>
        <w:t xml:space="preserve"> ont été jugées (art.</w:t>
      </w:r>
      <w:r w:rsidR="00537A34" w:rsidRPr="002715F2">
        <w:rPr>
          <w:rFonts w:eastAsia="Batang"/>
          <w:lang w:val="fr-FR" w:eastAsia="ko-KR"/>
        </w:rPr>
        <w:t> </w:t>
      </w:r>
      <w:r w:rsidR="000A14A2" w:rsidRPr="002715F2">
        <w:rPr>
          <w:rFonts w:eastAsia="Batang"/>
          <w:lang w:val="fr-FR" w:eastAsia="ko-KR"/>
        </w:rPr>
        <w:t>125)</w:t>
      </w:r>
      <w:r w:rsidR="000078DA" w:rsidRPr="002715F2">
        <w:rPr>
          <w:rFonts w:eastAsia="Batang"/>
          <w:lang w:val="fr-FR" w:eastAsia="ko-KR"/>
        </w:rPr>
        <w:t xml:space="preserve">. </w:t>
      </w:r>
      <w:r w:rsidR="000A14A2" w:rsidRPr="002715F2">
        <w:rPr>
          <w:rFonts w:eastAsia="Batang"/>
          <w:lang w:val="fr-FR" w:eastAsia="ko-KR"/>
        </w:rPr>
        <w:t xml:space="preserve">Sur ces </w:t>
      </w:r>
      <w:r w:rsidR="000078DA" w:rsidRPr="002715F2">
        <w:rPr>
          <w:rFonts w:eastAsia="Batang"/>
          <w:lang w:val="fr-FR" w:eastAsia="ko-KR"/>
        </w:rPr>
        <w:t>28</w:t>
      </w:r>
      <w:r w:rsidR="000A14A2" w:rsidRPr="002715F2">
        <w:rPr>
          <w:rFonts w:eastAsia="Batang"/>
          <w:lang w:val="fr-FR" w:eastAsia="ko-KR"/>
        </w:rPr>
        <w:t> </w:t>
      </w:r>
      <w:r w:rsidR="000078DA" w:rsidRPr="002715F2">
        <w:rPr>
          <w:rFonts w:eastAsia="Batang"/>
          <w:lang w:val="fr-FR" w:eastAsia="ko-KR"/>
        </w:rPr>
        <w:t>person</w:t>
      </w:r>
      <w:r w:rsidR="000A14A2" w:rsidRPr="002715F2">
        <w:rPr>
          <w:rFonts w:eastAsia="Batang"/>
          <w:lang w:val="fr-FR" w:eastAsia="ko-KR"/>
        </w:rPr>
        <w:t>ne</w:t>
      </w:r>
      <w:r w:rsidR="000078DA" w:rsidRPr="002715F2">
        <w:rPr>
          <w:rFonts w:eastAsia="Batang"/>
          <w:lang w:val="fr-FR" w:eastAsia="ko-KR"/>
        </w:rPr>
        <w:t xml:space="preserve">s, </w:t>
      </w:r>
      <w:r w:rsidR="00FB4048" w:rsidRPr="002715F2">
        <w:rPr>
          <w:rFonts w:eastAsia="Batang"/>
          <w:lang w:val="fr-FR" w:eastAsia="ko-KR"/>
        </w:rPr>
        <w:t xml:space="preserve">3 </w:t>
      </w:r>
      <w:r w:rsidR="000A14A2" w:rsidRPr="002715F2">
        <w:rPr>
          <w:rFonts w:eastAsia="Batang"/>
          <w:lang w:val="fr-FR" w:eastAsia="ko-KR"/>
        </w:rPr>
        <w:t>ont été condamnées à une peine d’emprisonnement</w:t>
      </w:r>
      <w:r w:rsidR="000078DA" w:rsidRPr="002715F2">
        <w:rPr>
          <w:rFonts w:eastAsia="Batang"/>
          <w:lang w:val="fr-FR" w:eastAsia="ko-KR"/>
        </w:rPr>
        <w:t xml:space="preserve">, </w:t>
      </w:r>
      <w:r w:rsidR="00FB4048" w:rsidRPr="002715F2">
        <w:rPr>
          <w:rFonts w:eastAsia="Batang"/>
          <w:lang w:val="fr-FR" w:eastAsia="ko-KR"/>
        </w:rPr>
        <w:t xml:space="preserve">7 </w:t>
      </w:r>
      <w:r w:rsidR="00537A34" w:rsidRPr="002715F2">
        <w:rPr>
          <w:rFonts w:eastAsia="Batang"/>
          <w:lang w:val="fr-FR" w:eastAsia="ko-KR"/>
        </w:rPr>
        <w:t xml:space="preserve">ont bénéficié </w:t>
      </w:r>
      <w:r w:rsidR="006B6450" w:rsidRPr="002715F2">
        <w:rPr>
          <w:rFonts w:eastAsia="Batang"/>
          <w:lang w:val="fr-FR" w:eastAsia="ko-KR"/>
        </w:rPr>
        <w:t>d’un sursis à l’exécution de leur peine</w:t>
      </w:r>
      <w:r w:rsidR="000078DA" w:rsidRPr="002715F2">
        <w:rPr>
          <w:rFonts w:eastAsia="Batang"/>
          <w:lang w:val="fr-FR" w:eastAsia="ko-KR"/>
        </w:rPr>
        <w:t xml:space="preserve">, </w:t>
      </w:r>
      <w:r w:rsidR="00537A34" w:rsidRPr="002715F2">
        <w:rPr>
          <w:rFonts w:eastAsia="Batang"/>
          <w:lang w:val="fr-FR" w:eastAsia="ko-KR"/>
        </w:rPr>
        <w:t>une</w:t>
      </w:r>
      <w:r w:rsidR="000078DA" w:rsidRPr="002715F2">
        <w:rPr>
          <w:rFonts w:eastAsia="Batang"/>
          <w:lang w:val="fr-FR" w:eastAsia="ko-KR"/>
        </w:rPr>
        <w:t xml:space="preserve"> </w:t>
      </w:r>
      <w:r w:rsidR="000A14A2" w:rsidRPr="002715F2">
        <w:rPr>
          <w:rFonts w:eastAsia="Batang"/>
          <w:lang w:val="fr-FR" w:eastAsia="ko-KR"/>
        </w:rPr>
        <w:t>a reçu une amende,</w:t>
      </w:r>
      <w:r w:rsidR="00537A34" w:rsidRPr="002715F2">
        <w:rPr>
          <w:rFonts w:eastAsia="Batang"/>
          <w:lang w:val="fr-FR" w:eastAsia="ko-KR"/>
        </w:rPr>
        <w:t xml:space="preserve"> 12 </w:t>
      </w:r>
      <w:r w:rsidR="006B6450" w:rsidRPr="002715F2">
        <w:rPr>
          <w:rFonts w:eastAsia="Batang"/>
          <w:lang w:val="fr-FR" w:eastAsia="ko-KR"/>
        </w:rPr>
        <w:t>ont obtenu un sursis au prononcé de la peine</w:t>
      </w:r>
      <w:r w:rsidR="000078DA" w:rsidRPr="002715F2">
        <w:rPr>
          <w:rFonts w:eastAsia="Batang"/>
          <w:lang w:val="fr-FR" w:eastAsia="ko-KR"/>
        </w:rPr>
        <w:t xml:space="preserve">, </w:t>
      </w:r>
      <w:r w:rsidR="00FB4048" w:rsidRPr="002715F2">
        <w:rPr>
          <w:rFonts w:eastAsia="Batang"/>
          <w:lang w:val="fr-FR" w:eastAsia="ko-KR"/>
        </w:rPr>
        <w:t xml:space="preserve">2 </w:t>
      </w:r>
      <w:r w:rsidR="000A14A2" w:rsidRPr="002715F2">
        <w:rPr>
          <w:rFonts w:eastAsia="Batang"/>
          <w:lang w:val="fr-FR" w:eastAsia="ko-KR"/>
        </w:rPr>
        <w:t xml:space="preserve">ont été reconnues non coupables et </w:t>
      </w:r>
      <w:r w:rsidR="00FB4048" w:rsidRPr="002715F2">
        <w:rPr>
          <w:rFonts w:eastAsia="Batang"/>
          <w:lang w:val="fr-FR" w:eastAsia="ko-KR"/>
        </w:rPr>
        <w:t xml:space="preserve">3 </w:t>
      </w:r>
      <w:r w:rsidR="000A14A2" w:rsidRPr="002715F2">
        <w:rPr>
          <w:rFonts w:eastAsia="Batang"/>
          <w:lang w:val="fr-FR" w:eastAsia="ko-KR"/>
        </w:rPr>
        <w:t>ont fait l’objet d’autres décisions</w:t>
      </w:r>
      <w:r w:rsidR="000078DA" w:rsidRPr="002715F2">
        <w:rPr>
          <w:rStyle w:val="FootnoteReference"/>
          <w:rFonts w:eastAsia="Batang"/>
          <w:lang w:val="fr-FR"/>
        </w:rPr>
        <w:footnoteReference w:id="11"/>
      </w:r>
      <w:r w:rsidR="000078DA" w:rsidRPr="002715F2">
        <w:rPr>
          <w:rFonts w:eastAsia="Batang"/>
          <w:lang w:val="fr-FR" w:eastAsia="ko-KR"/>
        </w:rPr>
        <w:t xml:space="preserve"> (</w:t>
      </w:r>
      <w:r w:rsidR="000A14A2" w:rsidRPr="002715F2">
        <w:rPr>
          <w:rFonts w:eastAsia="Batang"/>
          <w:lang w:val="fr-FR" w:eastAsia="ko-KR"/>
        </w:rPr>
        <w:t>voir le tableau </w:t>
      </w:r>
      <w:r w:rsidR="000078DA" w:rsidRPr="002715F2">
        <w:rPr>
          <w:rFonts w:eastAsia="Batang"/>
          <w:lang w:val="fr-FR" w:eastAsia="ko-KR"/>
        </w:rPr>
        <w:t xml:space="preserve">24). </w:t>
      </w:r>
      <w:r w:rsidR="000A14A2" w:rsidRPr="002715F2">
        <w:rPr>
          <w:rFonts w:eastAsia="Batang"/>
          <w:lang w:val="fr-FR" w:eastAsia="ko-KR"/>
        </w:rPr>
        <w:t xml:space="preserve">Toujours au cours de cette période, </w:t>
      </w:r>
      <w:r w:rsidR="000078DA" w:rsidRPr="002715F2">
        <w:rPr>
          <w:rFonts w:eastAsia="Batang"/>
          <w:lang w:val="fr-FR" w:eastAsia="ko-KR"/>
        </w:rPr>
        <w:t>33</w:t>
      </w:r>
      <w:r w:rsidR="000A14A2" w:rsidRPr="002715F2">
        <w:rPr>
          <w:rFonts w:eastAsia="Batang"/>
          <w:lang w:val="fr-FR" w:eastAsia="ko-KR"/>
        </w:rPr>
        <w:t> personnes ont été jugées pour crimes, tombant sous le coup des articles </w:t>
      </w:r>
      <w:r w:rsidR="000078DA" w:rsidRPr="002715F2">
        <w:rPr>
          <w:rFonts w:eastAsia="Batang"/>
          <w:lang w:val="fr-FR" w:eastAsia="ko-KR"/>
        </w:rPr>
        <w:t xml:space="preserve">124 </w:t>
      </w:r>
      <w:r w:rsidR="000A14A2" w:rsidRPr="002715F2">
        <w:rPr>
          <w:rFonts w:eastAsia="Batang"/>
          <w:lang w:val="fr-FR" w:eastAsia="ko-KR"/>
        </w:rPr>
        <w:t>ou</w:t>
      </w:r>
      <w:r w:rsidR="000078DA" w:rsidRPr="002715F2">
        <w:rPr>
          <w:rFonts w:eastAsia="Batang"/>
          <w:lang w:val="fr-FR" w:eastAsia="ko-KR"/>
        </w:rPr>
        <w:t xml:space="preserve"> 125</w:t>
      </w:r>
      <w:r w:rsidR="000A14A2" w:rsidRPr="002715F2">
        <w:rPr>
          <w:rFonts w:eastAsia="Batang"/>
          <w:lang w:val="fr-FR" w:eastAsia="ko-KR"/>
        </w:rPr>
        <w:t xml:space="preserve"> du Code </w:t>
      </w:r>
      <w:r w:rsidR="0039617D" w:rsidRPr="002715F2">
        <w:rPr>
          <w:rFonts w:eastAsia="Batang"/>
          <w:lang w:val="fr-FR" w:eastAsia="ko-KR"/>
        </w:rPr>
        <w:t>pénal</w:t>
      </w:r>
      <w:r w:rsidR="000A14A2" w:rsidRPr="002715F2">
        <w:rPr>
          <w:rFonts w:eastAsia="Batang"/>
          <w:lang w:val="fr-FR" w:eastAsia="ko-KR"/>
        </w:rPr>
        <w:t>,</w:t>
      </w:r>
      <w:r w:rsidR="000078DA" w:rsidRPr="002715F2">
        <w:rPr>
          <w:rFonts w:eastAsia="Batang"/>
          <w:lang w:val="fr-FR" w:eastAsia="ko-KR"/>
        </w:rPr>
        <w:t xml:space="preserve"> </w:t>
      </w:r>
      <w:r w:rsidR="000A14A2" w:rsidRPr="002715F2">
        <w:rPr>
          <w:rFonts w:eastAsia="Batang"/>
          <w:lang w:val="fr-FR" w:eastAsia="ko-KR"/>
        </w:rPr>
        <w:t xml:space="preserve">ayant entraîné des blessures ou </w:t>
      </w:r>
      <w:r w:rsidR="00537A34" w:rsidRPr="002715F2">
        <w:rPr>
          <w:rFonts w:eastAsia="Batang"/>
          <w:lang w:val="fr-FR" w:eastAsia="ko-KR"/>
        </w:rPr>
        <w:t>le décès</w:t>
      </w:r>
      <w:r w:rsidR="000A14A2" w:rsidRPr="002715F2">
        <w:rPr>
          <w:rFonts w:eastAsia="Batang"/>
          <w:lang w:val="fr-FR" w:eastAsia="ko-KR"/>
        </w:rPr>
        <w:t xml:space="preserve"> </w:t>
      </w:r>
      <w:r w:rsidR="00537A34" w:rsidRPr="002715F2">
        <w:rPr>
          <w:rFonts w:eastAsia="Batang"/>
          <w:lang w:val="fr-FR" w:eastAsia="ko-KR"/>
        </w:rPr>
        <w:t>d’un individu</w:t>
      </w:r>
      <w:r w:rsidR="000078DA" w:rsidRPr="002715F2">
        <w:rPr>
          <w:rFonts w:eastAsia="Batang"/>
          <w:lang w:val="fr-FR" w:eastAsia="ko-KR"/>
        </w:rPr>
        <w:t xml:space="preserve"> (</w:t>
      </w:r>
      <w:r w:rsidR="00A40AE5" w:rsidRPr="002715F2">
        <w:rPr>
          <w:rFonts w:eastAsia="Batang"/>
          <w:lang w:val="fr-FR" w:eastAsia="ko-KR"/>
        </w:rPr>
        <w:t>loi relative aux peines aggravées pour des crimes spécifiques</w:t>
      </w:r>
      <w:r w:rsidR="000A14A2" w:rsidRPr="002715F2">
        <w:rPr>
          <w:rFonts w:eastAsia="Batang"/>
          <w:lang w:val="fr-FR" w:eastAsia="ko-KR"/>
        </w:rPr>
        <w:t>,</w:t>
      </w:r>
      <w:r w:rsidR="000A14A2" w:rsidRPr="002715F2">
        <w:rPr>
          <w:rFonts w:eastAsia="Batang"/>
          <w:i/>
          <w:lang w:val="fr-FR" w:eastAsia="ko-KR"/>
        </w:rPr>
        <w:t xml:space="preserve"> </w:t>
      </w:r>
      <w:r w:rsidR="00BD1A84" w:rsidRPr="002715F2">
        <w:rPr>
          <w:rFonts w:eastAsia="Batang"/>
          <w:lang w:val="fr-FR" w:eastAsia="ko-KR"/>
        </w:rPr>
        <w:t>art. </w:t>
      </w:r>
      <w:r w:rsidR="000078DA" w:rsidRPr="002715F2">
        <w:rPr>
          <w:rFonts w:eastAsia="Batang"/>
          <w:lang w:val="fr-FR" w:eastAsia="ko-KR"/>
        </w:rPr>
        <w:t>4-2</w:t>
      </w:r>
      <w:r w:rsidR="000078DA" w:rsidRPr="002715F2">
        <w:rPr>
          <w:rFonts w:eastAsia="한양신명조"/>
          <w:lang w:val="fr-FR" w:eastAsia="ko-KR"/>
        </w:rPr>
        <w:t xml:space="preserve">). </w:t>
      </w:r>
      <w:r w:rsidR="000A14A2" w:rsidRPr="002715F2">
        <w:rPr>
          <w:rFonts w:eastAsia="한양신명조"/>
          <w:lang w:val="fr-FR" w:eastAsia="ko-KR"/>
        </w:rPr>
        <w:t xml:space="preserve">Sur ces </w:t>
      </w:r>
      <w:r w:rsidR="00537A34" w:rsidRPr="002715F2">
        <w:rPr>
          <w:rFonts w:eastAsia="한양신명조"/>
          <w:lang w:val="fr-FR" w:eastAsia="ko-KR"/>
        </w:rPr>
        <w:t>33 </w:t>
      </w:r>
      <w:r w:rsidR="000078DA" w:rsidRPr="002715F2">
        <w:rPr>
          <w:rFonts w:eastAsia="한양신명조"/>
          <w:lang w:val="fr-FR" w:eastAsia="ko-KR"/>
        </w:rPr>
        <w:t>person</w:t>
      </w:r>
      <w:r w:rsidR="000A14A2" w:rsidRPr="002715F2">
        <w:rPr>
          <w:rFonts w:eastAsia="한양신명조"/>
          <w:lang w:val="fr-FR" w:eastAsia="ko-KR"/>
        </w:rPr>
        <w:t>ne</w:t>
      </w:r>
      <w:r w:rsidR="000078DA" w:rsidRPr="002715F2">
        <w:rPr>
          <w:rFonts w:eastAsia="한양신명조"/>
          <w:lang w:val="fr-FR" w:eastAsia="ko-KR"/>
        </w:rPr>
        <w:t xml:space="preserve">s, </w:t>
      </w:r>
      <w:r w:rsidR="00FB4048" w:rsidRPr="002715F2">
        <w:rPr>
          <w:rFonts w:eastAsia="Batang"/>
          <w:lang w:val="fr-FR" w:eastAsia="ko-KR"/>
        </w:rPr>
        <w:t xml:space="preserve">5 </w:t>
      </w:r>
      <w:r w:rsidR="000A14A2" w:rsidRPr="002715F2">
        <w:rPr>
          <w:rFonts w:eastAsia="Batang"/>
          <w:lang w:val="fr-FR" w:eastAsia="ko-KR"/>
        </w:rPr>
        <w:t>ont reçu une peine d’emprisonnement</w:t>
      </w:r>
      <w:r w:rsidR="000078DA" w:rsidRPr="002715F2">
        <w:rPr>
          <w:rFonts w:eastAsia="Batang"/>
          <w:lang w:val="fr-FR" w:eastAsia="ko-KR"/>
        </w:rPr>
        <w:t xml:space="preserve">, </w:t>
      </w:r>
      <w:r w:rsidR="00FB4048" w:rsidRPr="002715F2">
        <w:rPr>
          <w:rFonts w:eastAsia="Batang"/>
          <w:lang w:val="fr-FR" w:eastAsia="ko-KR"/>
        </w:rPr>
        <w:t>8 </w:t>
      </w:r>
      <w:r w:rsidR="00537A34" w:rsidRPr="002715F2">
        <w:rPr>
          <w:rFonts w:eastAsia="Batang"/>
          <w:lang w:val="fr-FR" w:eastAsia="ko-KR"/>
        </w:rPr>
        <w:t xml:space="preserve">ont bénéficié </w:t>
      </w:r>
      <w:r w:rsidR="006B6450" w:rsidRPr="002715F2">
        <w:rPr>
          <w:rFonts w:eastAsia="Batang"/>
          <w:lang w:val="fr-FR" w:eastAsia="ko-KR"/>
        </w:rPr>
        <w:t>d’un sursis à l’exécution de leur peine</w:t>
      </w:r>
      <w:r w:rsidR="00537A34" w:rsidRPr="002715F2">
        <w:rPr>
          <w:rFonts w:eastAsia="Batang"/>
          <w:lang w:val="fr-FR" w:eastAsia="ko-KR"/>
        </w:rPr>
        <w:t>, 10 </w:t>
      </w:r>
      <w:r w:rsidR="006B6450" w:rsidRPr="002715F2">
        <w:rPr>
          <w:rFonts w:eastAsia="Batang"/>
          <w:lang w:val="fr-FR" w:eastAsia="ko-KR"/>
        </w:rPr>
        <w:t>ont obtenu un sursis au prononcé de la peine</w:t>
      </w:r>
      <w:r w:rsidR="000078DA" w:rsidRPr="002715F2">
        <w:rPr>
          <w:rFonts w:eastAsia="Batang"/>
          <w:lang w:val="fr-FR" w:eastAsia="ko-KR"/>
        </w:rPr>
        <w:t xml:space="preserve">, </w:t>
      </w:r>
      <w:r w:rsidR="00FB4048" w:rsidRPr="002715F2">
        <w:rPr>
          <w:rFonts w:eastAsia="Batang"/>
          <w:lang w:val="fr-FR" w:eastAsia="ko-KR"/>
        </w:rPr>
        <w:t xml:space="preserve">7 </w:t>
      </w:r>
      <w:r w:rsidR="000A14A2" w:rsidRPr="002715F2">
        <w:rPr>
          <w:rFonts w:eastAsia="Batang"/>
          <w:lang w:val="fr-FR" w:eastAsia="ko-KR"/>
        </w:rPr>
        <w:t xml:space="preserve">ont été déclarées non coupables et </w:t>
      </w:r>
      <w:r w:rsidR="00FB4048" w:rsidRPr="002715F2">
        <w:rPr>
          <w:rFonts w:eastAsia="Batang"/>
          <w:lang w:val="fr-FR" w:eastAsia="ko-KR"/>
        </w:rPr>
        <w:t xml:space="preserve">3 </w:t>
      </w:r>
      <w:r w:rsidR="000A14A2" w:rsidRPr="002715F2">
        <w:rPr>
          <w:rFonts w:eastAsia="Batang"/>
          <w:lang w:val="fr-FR" w:eastAsia="ko-KR"/>
        </w:rPr>
        <w:t>ont fait l’objet d’autres décisions</w:t>
      </w:r>
      <w:r w:rsidR="000078DA" w:rsidRPr="002715F2">
        <w:rPr>
          <w:rStyle w:val="FootnoteReference"/>
          <w:rFonts w:eastAsia="Batang"/>
          <w:lang w:val="fr-FR"/>
        </w:rPr>
        <w:footnoteReference w:id="12"/>
      </w:r>
      <w:r w:rsidR="000078DA" w:rsidRPr="002715F2">
        <w:rPr>
          <w:rFonts w:eastAsia="Batang"/>
          <w:lang w:val="fr-FR" w:eastAsia="ko-KR"/>
        </w:rPr>
        <w:t xml:space="preserve"> (</w:t>
      </w:r>
      <w:r w:rsidR="000A14A2" w:rsidRPr="002715F2">
        <w:rPr>
          <w:rFonts w:eastAsia="Batang"/>
          <w:lang w:val="fr-FR" w:eastAsia="ko-KR"/>
        </w:rPr>
        <w:t>voir le tableau </w:t>
      </w:r>
      <w:r w:rsidR="000078DA" w:rsidRPr="002715F2">
        <w:rPr>
          <w:rFonts w:eastAsia="Batang"/>
          <w:lang w:val="fr-FR" w:eastAsia="ko-KR"/>
        </w:rPr>
        <w:t>25).</w:t>
      </w:r>
      <w:r w:rsidR="00BB1EE4" w:rsidRPr="002715F2">
        <w:rPr>
          <w:rFonts w:eastAsia="Batang"/>
          <w:lang w:val="fr-FR" w:eastAsia="ko-KR"/>
        </w:rPr>
        <w:t xml:space="preserve"> Toutefois, le Gouvernement ne possède pas de données </w:t>
      </w:r>
      <w:r w:rsidR="00BB1EE4" w:rsidRPr="002715F2">
        <w:rPr>
          <w:lang w:val="fr-FR"/>
        </w:rPr>
        <w:t xml:space="preserve">sur les actes de torture et </w:t>
      </w:r>
      <w:r w:rsidR="00F3230D" w:rsidRPr="002715F2">
        <w:rPr>
          <w:lang w:val="fr-FR"/>
        </w:rPr>
        <w:t>les</w:t>
      </w:r>
      <w:r w:rsidR="00BB1EE4" w:rsidRPr="002715F2">
        <w:rPr>
          <w:lang w:val="fr-FR"/>
        </w:rPr>
        <w:t xml:space="preserve"> mauvais traitements </w:t>
      </w:r>
      <w:r w:rsidR="00BB1EE4" w:rsidRPr="002715F2">
        <w:rPr>
          <w:rFonts w:eastAsia="Batang"/>
          <w:lang w:val="fr-FR" w:eastAsia="ko-KR"/>
        </w:rPr>
        <w:t>ventilées par âge et sexe</w:t>
      </w:r>
      <w:r w:rsidR="000078DA" w:rsidRPr="002715F2">
        <w:rPr>
          <w:rFonts w:eastAsia="Batang"/>
          <w:lang w:val="fr-FR" w:eastAsia="ko-KR"/>
        </w:rPr>
        <w:t xml:space="preserve">. </w:t>
      </w:r>
      <w:r w:rsidR="0026035B" w:rsidRPr="002715F2">
        <w:rPr>
          <w:rFonts w:eastAsia="Batang"/>
          <w:lang w:val="fr-FR" w:eastAsia="ko-KR"/>
        </w:rPr>
        <w:t xml:space="preserve">Pour plus de renseignements sur les </w:t>
      </w:r>
      <w:r w:rsidR="0026035B" w:rsidRPr="002715F2">
        <w:rPr>
          <w:lang w:val="fr-FR"/>
        </w:rPr>
        <w:t xml:space="preserve">recours, y compris les indemnisations et les réparations, offerts aux victimes, on se reportera aux </w:t>
      </w:r>
      <w:r w:rsidR="0039617D" w:rsidRPr="002715F2">
        <w:rPr>
          <w:lang w:val="fr-FR"/>
        </w:rPr>
        <w:t>p</w:t>
      </w:r>
      <w:r w:rsidR="0039617D" w:rsidRPr="002715F2">
        <w:rPr>
          <w:rFonts w:eastAsia="Batang"/>
          <w:lang w:val="fr-FR" w:eastAsia="ko-KR"/>
        </w:rPr>
        <w:t>aragraphes</w:t>
      </w:r>
      <w:r w:rsidR="00537A34" w:rsidRPr="002715F2">
        <w:rPr>
          <w:rFonts w:eastAsia="Batang"/>
          <w:lang w:val="fr-FR" w:eastAsia="ko-KR"/>
        </w:rPr>
        <w:t> </w:t>
      </w:r>
      <w:r w:rsidR="000078DA" w:rsidRPr="002715F2">
        <w:rPr>
          <w:rFonts w:eastAsia="Batang"/>
          <w:lang w:val="fr-FR" w:eastAsia="ko-KR"/>
        </w:rPr>
        <w:t>146</w:t>
      </w:r>
      <w:r w:rsidR="0026035B" w:rsidRPr="002715F2">
        <w:rPr>
          <w:rFonts w:eastAsia="Batang"/>
          <w:lang w:val="fr-FR" w:eastAsia="ko-KR"/>
        </w:rPr>
        <w:t xml:space="preserve"> et </w:t>
      </w:r>
      <w:r w:rsidR="000078DA" w:rsidRPr="002715F2">
        <w:rPr>
          <w:rFonts w:eastAsia="Batang"/>
          <w:lang w:val="fr-FR" w:eastAsia="ko-KR"/>
        </w:rPr>
        <w:t>147</w:t>
      </w:r>
      <w:r w:rsidR="0026035B" w:rsidRPr="002715F2">
        <w:rPr>
          <w:rFonts w:eastAsia="Batang"/>
          <w:lang w:val="fr-FR" w:eastAsia="ko-KR"/>
        </w:rPr>
        <w:t xml:space="preserve"> du </w:t>
      </w:r>
      <w:r w:rsidR="0039617D" w:rsidRPr="002715F2">
        <w:rPr>
          <w:rFonts w:eastAsia="Batang"/>
          <w:lang w:val="fr-FR" w:eastAsia="ko-KR"/>
        </w:rPr>
        <w:t>présent</w:t>
      </w:r>
      <w:r w:rsidR="0026035B" w:rsidRPr="002715F2">
        <w:rPr>
          <w:rFonts w:eastAsia="Batang"/>
          <w:lang w:val="fr-FR" w:eastAsia="ko-KR"/>
        </w:rPr>
        <w:t xml:space="preserve"> rapport</w:t>
      </w:r>
      <w:r w:rsidR="000078DA" w:rsidRPr="002715F2">
        <w:rPr>
          <w:rFonts w:eastAsia="Batang"/>
          <w:lang w:val="fr-FR" w:eastAsia="ko-K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26035B" w:rsidRPr="002715F2">
        <w:rPr>
          <w:lang w:val="fr-FR"/>
        </w:rPr>
        <w:t>Raisons de l’augmentation du nombre d’allégations de violation des droits de l’homme</w:t>
      </w:r>
    </w:p>
    <w:p w:rsidR="000078DA" w:rsidRPr="002715F2" w:rsidRDefault="007026FB" w:rsidP="0026035B">
      <w:pPr>
        <w:pStyle w:val="SingleTxtG"/>
        <w:rPr>
          <w:rFonts w:eastAsia="Batang"/>
          <w:lang w:val="fr-FR" w:eastAsia="ko-KR"/>
        </w:rPr>
      </w:pPr>
      <w:r w:rsidRPr="002715F2">
        <w:rPr>
          <w:rFonts w:eastAsia="Batang"/>
          <w:lang w:val="fr-FR" w:eastAsia="ko-KR"/>
        </w:rPr>
        <w:t>124.</w:t>
      </w:r>
      <w:r w:rsidRPr="002715F2">
        <w:rPr>
          <w:rFonts w:eastAsia="Batang"/>
          <w:lang w:val="fr-FR" w:eastAsia="ko-KR"/>
        </w:rPr>
        <w:tab/>
      </w:r>
      <w:r w:rsidR="0026035B" w:rsidRPr="002715F2">
        <w:rPr>
          <w:rFonts w:eastAsia="Batang"/>
          <w:lang w:val="fr-FR" w:eastAsia="ko-KR"/>
        </w:rPr>
        <w:t>L’</w:t>
      </w:r>
      <w:r w:rsidR="0026035B" w:rsidRPr="002715F2">
        <w:rPr>
          <w:lang w:val="fr-FR"/>
        </w:rPr>
        <w:t>augmentation</w:t>
      </w:r>
      <w:r w:rsidR="0026035B" w:rsidRPr="002715F2">
        <w:rPr>
          <w:rFonts w:eastAsia="Batang"/>
          <w:lang w:val="fr-FR" w:eastAsia="ko-KR"/>
        </w:rPr>
        <w:t xml:space="preserve"> du </w:t>
      </w:r>
      <w:r w:rsidR="0026035B" w:rsidRPr="002715F2">
        <w:rPr>
          <w:lang w:val="fr-FR"/>
        </w:rPr>
        <w:t>nombre d’allégations de violation des droits de l</w:t>
      </w:r>
      <w:r w:rsidR="005112A7" w:rsidRPr="002715F2">
        <w:rPr>
          <w:lang w:val="fr-FR"/>
        </w:rPr>
        <w:t xml:space="preserve">’homme portées à l’attention </w:t>
      </w:r>
      <w:r w:rsidR="0023355D" w:rsidRPr="002715F2">
        <w:rPr>
          <w:lang w:val="fr-FR"/>
        </w:rPr>
        <w:t>du</w:t>
      </w:r>
      <w:r w:rsidR="0026035B" w:rsidRPr="002715F2">
        <w:rPr>
          <w:lang w:val="fr-FR"/>
        </w:rPr>
        <w:t xml:space="preserve"> </w:t>
      </w:r>
      <w:r w:rsidR="009205ED" w:rsidRPr="002715F2">
        <w:rPr>
          <w:rFonts w:eastAsia="Batang"/>
          <w:lang w:val="fr-FR" w:eastAsia="ko-KR"/>
        </w:rPr>
        <w:t>D</w:t>
      </w:r>
      <w:r w:rsidR="0023355D" w:rsidRPr="002715F2">
        <w:rPr>
          <w:rFonts w:eastAsia="Batang"/>
          <w:lang w:val="fr-FR" w:eastAsia="ko-KR"/>
        </w:rPr>
        <w:t xml:space="preserve">épartement des droits </w:t>
      </w:r>
      <w:r w:rsidR="0026035B" w:rsidRPr="002715F2">
        <w:rPr>
          <w:lang w:val="fr-FR"/>
        </w:rPr>
        <w:t>de l’homme de l’Agence de police nationale,</w:t>
      </w:r>
      <w:r w:rsidR="0026035B" w:rsidRPr="002715F2">
        <w:rPr>
          <w:rFonts w:eastAsia="Batang"/>
          <w:lang w:val="fr-FR" w:eastAsia="ko-KR"/>
        </w:rPr>
        <w:t xml:space="preserve"> </w:t>
      </w:r>
      <w:r w:rsidR="0026035B" w:rsidRPr="002715F2">
        <w:rPr>
          <w:lang w:val="fr-FR"/>
        </w:rPr>
        <w:t>qui est passé de 10 en 2007 à 19 en 2008</w:t>
      </w:r>
      <w:r w:rsidR="0026035B" w:rsidRPr="002715F2">
        <w:rPr>
          <w:rFonts w:eastAsia="Batang"/>
          <w:lang w:val="fr-FR" w:eastAsia="ko-KR"/>
        </w:rPr>
        <w:t xml:space="preserve">, semble être </w:t>
      </w:r>
      <w:r w:rsidR="00156C88" w:rsidRPr="002715F2">
        <w:rPr>
          <w:rFonts w:eastAsia="Batang"/>
          <w:lang w:val="fr-FR" w:eastAsia="ko-KR"/>
        </w:rPr>
        <w:t>due aux campagnes d’information</w:t>
      </w:r>
      <w:r w:rsidR="0026035B" w:rsidRPr="002715F2">
        <w:rPr>
          <w:rFonts w:eastAsia="Batang"/>
          <w:lang w:val="fr-FR" w:eastAsia="ko-KR"/>
        </w:rPr>
        <w:t xml:space="preserve"> sur l</w:t>
      </w:r>
      <w:r w:rsidR="006908ED" w:rsidRPr="002715F2">
        <w:rPr>
          <w:rFonts w:eastAsia="Batang"/>
          <w:lang w:val="fr-FR" w:eastAsia="ko-KR"/>
        </w:rPr>
        <w:t>e</w:t>
      </w:r>
      <w:r w:rsidR="0026035B" w:rsidRPr="002715F2">
        <w:rPr>
          <w:rFonts w:eastAsia="Batang"/>
          <w:lang w:val="fr-FR" w:eastAsia="ko-KR"/>
        </w:rPr>
        <w:t xml:space="preserve"> </w:t>
      </w:r>
      <w:r w:rsidR="009205ED" w:rsidRPr="002715F2">
        <w:rPr>
          <w:rFonts w:eastAsia="Batang"/>
          <w:lang w:val="fr-FR" w:eastAsia="ko-KR"/>
        </w:rPr>
        <w:t>D</w:t>
      </w:r>
      <w:r w:rsidR="0023355D" w:rsidRPr="002715F2">
        <w:rPr>
          <w:rFonts w:eastAsia="Batang"/>
          <w:lang w:val="fr-FR" w:eastAsia="ko-KR"/>
        </w:rPr>
        <w:t>épartement</w:t>
      </w:r>
      <w:r w:rsidR="0026035B" w:rsidRPr="002715F2">
        <w:rPr>
          <w:rFonts w:eastAsia="Batang"/>
          <w:lang w:val="fr-FR" w:eastAsia="ko-KR"/>
        </w:rPr>
        <w:t xml:space="preserve"> et à </w:t>
      </w:r>
      <w:r w:rsidR="005112A7" w:rsidRPr="002715F2">
        <w:rPr>
          <w:rFonts w:eastAsia="Batang"/>
          <w:lang w:val="fr-FR" w:eastAsia="ko-KR"/>
        </w:rPr>
        <w:t xml:space="preserve">la </w:t>
      </w:r>
      <w:r w:rsidR="0026035B" w:rsidRPr="002715F2">
        <w:rPr>
          <w:rFonts w:eastAsia="Batang"/>
          <w:lang w:val="fr-FR" w:eastAsia="ko-KR"/>
        </w:rPr>
        <w:t xml:space="preserve">sensibilisation accrue de la population </w:t>
      </w:r>
      <w:r w:rsidR="005112A7" w:rsidRPr="002715F2">
        <w:rPr>
          <w:rFonts w:eastAsia="Batang"/>
          <w:lang w:val="fr-FR" w:eastAsia="ko-KR"/>
        </w:rPr>
        <w:t>aux</w:t>
      </w:r>
      <w:r w:rsidR="0026035B" w:rsidRPr="002715F2">
        <w:rPr>
          <w:rFonts w:eastAsia="Batang"/>
          <w:lang w:val="fr-FR" w:eastAsia="ko-KR"/>
        </w:rPr>
        <w:t xml:space="preserve"> droits de l’homme</w:t>
      </w:r>
      <w:r w:rsidR="000078DA" w:rsidRPr="002715F2">
        <w:rPr>
          <w:rFonts w:eastAsia="Batang"/>
          <w:lang w:val="fr-FR" w:eastAsia="ko-K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5112A7" w:rsidRPr="002715F2">
        <w:rPr>
          <w:rFonts w:eastAsia="Batang"/>
          <w:lang w:val="fr-FR" w:eastAsia="ko-KR"/>
        </w:rPr>
        <w:t xml:space="preserve">Réponse aux questions soulevées au </w:t>
      </w:r>
      <w:r w:rsidR="00FB4048" w:rsidRPr="002715F2">
        <w:rPr>
          <w:rFonts w:eastAsia="Batang"/>
          <w:lang w:val="fr-FR" w:eastAsia="ko-KR"/>
        </w:rPr>
        <w:t xml:space="preserve">paragraphe </w:t>
      </w:r>
      <w:r w:rsidR="005112A7" w:rsidRPr="002715F2">
        <w:rPr>
          <w:rFonts w:eastAsia="Batang"/>
          <w:lang w:val="fr-FR" w:eastAsia="ko-KR"/>
        </w:rPr>
        <w:t>21</w:t>
      </w:r>
    </w:p>
    <w:p w:rsidR="000078DA" w:rsidRPr="002715F2" w:rsidRDefault="00F420C5" w:rsidP="00D90B15">
      <w:pPr>
        <w:pStyle w:val="H4G"/>
        <w:rPr>
          <w:rFonts w:eastAsia="Batang"/>
          <w:lang w:val="fr-FR"/>
        </w:rPr>
      </w:pPr>
      <w:r w:rsidRPr="002715F2">
        <w:rPr>
          <w:rFonts w:eastAsia="Batang"/>
          <w:lang w:val="fr-FR" w:eastAsia="ko-KR"/>
        </w:rPr>
        <w:tab/>
      </w:r>
      <w:r w:rsidRPr="002715F2">
        <w:rPr>
          <w:rFonts w:eastAsia="Batang"/>
          <w:lang w:val="fr-FR" w:eastAsia="ko-KR"/>
        </w:rPr>
        <w:tab/>
      </w:r>
      <w:r w:rsidR="00F22ADA" w:rsidRPr="002715F2">
        <w:rPr>
          <w:rFonts w:eastAsia="Batang"/>
          <w:lang w:val="fr-FR" w:eastAsia="ko-KR"/>
        </w:rPr>
        <w:t xml:space="preserve">Voies de recours offertes aux personnes qui font état de blessures </w:t>
      </w:r>
      <w:r w:rsidR="00B8277B" w:rsidRPr="002715F2">
        <w:rPr>
          <w:rFonts w:eastAsia="Batang"/>
          <w:lang w:val="fr-FR" w:eastAsia="ko-KR"/>
        </w:rPr>
        <w:t>résultant de</w:t>
      </w:r>
      <w:r w:rsidR="00F22ADA" w:rsidRPr="002715F2">
        <w:rPr>
          <w:rFonts w:eastAsia="Batang"/>
          <w:lang w:val="fr-FR" w:eastAsia="ko-KR"/>
        </w:rPr>
        <w:t xml:space="preserve"> torture</w:t>
      </w:r>
      <w:r w:rsidR="00B8277B" w:rsidRPr="002715F2">
        <w:rPr>
          <w:rFonts w:eastAsia="Batang"/>
          <w:lang w:val="fr-FR" w:eastAsia="ko-KR"/>
        </w:rPr>
        <w:t>s,</w:t>
      </w:r>
      <w:r w:rsidR="00F22ADA" w:rsidRPr="002715F2">
        <w:rPr>
          <w:rFonts w:eastAsia="Batang"/>
          <w:lang w:val="fr-FR" w:eastAsia="ko-KR"/>
        </w:rPr>
        <w:t xml:space="preserve"> et enquêtes menées </w:t>
      </w:r>
      <w:r w:rsidR="005C33E8" w:rsidRPr="002715F2">
        <w:rPr>
          <w:rFonts w:eastAsia="Batang"/>
          <w:lang w:val="fr-FR" w:eastAsia="ko-KR"/>
        </w:rPr>
        <w:t>sur</w:t>
      </w:r>
      <w:r w:rsidR="00F22ADA" w:rsidRPr="002715F2">
        <w:rPr>
          <w:rFonts w:eastAsia="Batang"/>
          <w:lang w:val="fr-FR" w:eastAsia="ko-KR"/>
        </w:rPr>
        <w:t xml:space="preserve"> ces allégations</w:t>
      </w:r>
    </w:p>
    <w:p w:rsidR="000078DA" w:rsidRPr="002715F2" w:rsidRDefault="007026FB" w:rsidP="007026FB">
      <w:pPr>
        <w:pStyle w:val="SingleTxtG"/>
        <w:rPr>
          <w:rFonts w:eastAsia="Batang"/>
          <w:strike/>
          <w:szCs w:val="24"/>
          <w:lang w:val="fr-FR" w:eastAsia="ko-KR"/>
        </w:rPr>
      </w:pPr>
      <w:r w:rsidRPr="002715F2">
        <w:rPr>
          <w:rFonts w:eastAsia="Batang"/>
          <w:szCs w:val="24"/>
          <w:lang w:val="fr-FR" w:eastAsia="ko-KR"/>
        </w:rPr>
        <w:t>125.</w:t>
      </w:r>
      <w:r w:rsidRPr="002715F2">
        <w:rPr>
          <w:rFonts w:eastAsia="Batang"/>
          <w:szCs w:val="24"/>
          <w:lang w:val="fr-FR" w:eastAsia="ko-KR"/>
        </w:rPr>
        <w:tab/>
      </w:r>
      <w:r w:rsidR="00F22ADA" w:rsidRPr="002715F2">
        <w:rPr>
          <w:rFonts w:eastAsia="Batang"/>
          <w:szCs w:val="24"/>
          <w:lang w:val="fr-FR" w:eastAsia="ko-KR"/>
        </w:rPr>
        <w:t xml:space="preserve">Les voies de recours offertes aux </w:t>
      </w:r>
      <w:r w:rsidR="00B8277B" w:rsidRPr="002715F2">
        <w:rPr>
          <w:rFonts w:eastAsia="Batang"/>
          <w:szCs w:val="24"/>
          <w:lang w:val="fr-FR" w:eastAsia="ko-KR"/>
        </w:rPr>
        <w:t>personnes</w:t>
      </w:r>
      <w:r w:rsidR="00F22ADA" w:rsidRPr="002715F2">
        <w:rPr>
          <w:rFonts w:eastAsia="Batang"/>
          <w:szCs w:val="24"/>
          <w:lang w:val="fr-FR" w:eastAsia="ko-KR"/>
        </w:rPr>
        <w:t xml:space="preserve"> qui affirment avoir été victimes d’actes de</w:t>
      </w:r>
      <w:r w:rsidR="005112A7" w:rsidRPr="002715F2">
        <w:rPr>
          <w:lang w:val="fr-FR"/>
        </w:rPr>
        <w:t xml:space="preserve"> torture et de mauvais traitements sont décrites dans les premier et</w:t>
      </w:r>
      <w:r w:rsidR="000078DA" w:rsidRPr="002715F2">
        <w:rPr>
          <w:rFonts w:eastAsia="Batang"/>
          <w:lang w:val="fr-FR" w:eastAsia="ko-KR"/>
        </w:rPr>
        <w:t xml:space="preserve"> </w:t>
      </w:r>
      <w:r w:rsidR="005112A7" w:rsidRPr="002715F2">
        <w:rPr>
          <w:rFonts w:eastAsia="Batang"/>
          <w:lang w:val="fr-FR" w:eastAsia="ko-KR"/>
        </w:rPr>
        <w:t>deuxième rapports</w:t>
      </w:r>
      <w:r w:rsidR="000078DA" w:rsidRPr="002715F2">
        <w:rPr>
          <w:rFonts w:eastAsia="Batang"/>
          <w:lang w:val="fr-FR" w:eastAsia="ko-KR"/>
        </w:rPr>
        <w:t xml:space="preserve"> (CAT/C/32/Add.1</w:t>
      </w:r>
      <w:r w:rsidR="005112A7" w:rsidRPr="002715F2">
        <w:rPr>
          <w:rFonts w:eastAsia="Batang"/>
          <w:lang w:val="fr-FR" w:eastAsia="ko-KR"/>
        </w:rPr>
        <w:t>,</w:t>
      </w:r>
      <w:r w:rsidR="000078DA" w:rsidRPr="002715F2">
        <w:rPr>
          <w:rFonts w:eastAsia="Batang"/>
          <w:lang w:val="fr-FR" w:eastAsia="ko-KR"/>
        </w:rPr>
        <w:t xml:space="preserve"> </w:t>
      </w:r>
      <w:r w:rsidR="005112A7" w:rsidRPr="002715F2">
        <w:rPr>
          <w:rFonts w:eastAsia="Batang"/>
          <w:lang w:val="fr-FR" w:eastAsia="ko-KR"/>
        </w:rPr>
        <w:t>par. </w:t>
      </w:r>
      <w:r w:rsidR="000078DA" w:rsidRPr="002715F2">
        <w:rPr>
          <w:rFonts w:eastAsia="Batang"/>
          <w:lang w:val="fr-FR" w:eastAsia="ko-KR"/>
        </w:rPr>
        <w:t>37</w:t>
      </w:r>
      <w:r w:rsidR="005112A7" w:rsidRPr="002715F2">
        <w:rPr>
          <w:rFonts w:eastAsia="Batang"/>
          <w:lang w:val="fr-FR" w:eastAsia="ko-KR"/>
        </w:rPr>
        <w:t xml:space="preserve"> à</w:t>
      </w:r>
      <w:r w:rsidR="00F22ADA" w:rsidRPr="002715F2">
        <w:rPr>
          <w:rFonts w:eastAsia="Batang"/>
          <w:lang w:val="fr-FR" w:eastAsia="ko-KR"/>
        </w:rPr>
        <w:t xml:space="preserve"> </w:t>
      </w:r>
      <w:r w:rsidR="005112A7" w:rsidRPr="002715F2">
        <w:rPr>
          <w:rFonts w:eastAsia="Batang"/>
          <w:lang w:val="fr-FR" w:eastAsia="ko-KR"/>
        </w:rPr>
        <w:t>43, 88 a), 88 </w:t>
      </w:r>
      <w:r w:rsidR="000078DA" w:rsidRPr="002715F2">
        <w:rPr>
          <w:rFonts w:eastAsia="Batang"/>
          <w:lang w:val="fr-FR" w:eastAsia="ko-KR"/>
        </w:rPr>
        <w:t>b), 89</w:t>
      </w:r>
      <w:r w:rsidR="005112A7" w:rsidRPr="002715F2">
        <w:rPr>
          <w:rFonts w:eastAsia="Batang"/>
          <w:lang w:val="fr-FR" w:eastAsia="ko-KR"/>
        </w:rPr>
        <w:t xml:space="preserve">, </w:t>
      </w:r>
      <w:r w:rsidR="000078DA" w:rsidRPr="002715F2">
        <w:rPr>
          <w:rFonts w:eastAsia="Batang"/>
          <w:lang w:val="fr-FR" w:eastAsia="ko-KR"/>
        </w:rPr>
        <w:t>90, 174</w:t>
      </w:r>
      <w:r w:rsidR="005112A7" w:rsidRPr="002715F2">
        <w:rPr>
          <w:rFonts w:eastAsia="Batang"/>
          <w:lang w:val="fr-FR" w:eastAsia="ko-KR"/>
        </w:rPr>
        <w:t xml:space="preserve"> et</w:t>
      </w:r>
      <w:r w:rsidR="000078DA" w:rsidRPr="002715F2">
        <w:rPr>
          <w:rFonts w:eastAsia="Batang"/>
          <w:lang w:val="fr-FR" w:eastAsia="ko-KR"/>
        </w:rPr>
        <w:t xml:space="preserve"> 187</w:t>
      </w:r>
      <w:r w:rsidR="005112A7" w:rsidRPr="002715F2">
        <w:rPr>
          <w:rFonts w:eastAsia="Batang"/>
          <w:lang w:val="fr-FR" w:eastAsia="ko-KR"/>
        </w:rPr>
        <w:t xml:space="preserve"> à </w:t>
      </w:r>
      <w:r w:rsidR="000078DA" w:rsidRPr="002715F2">
        <w:rPr>
          <w:rFonts w:eastAsia="Batang"/>
          <w:lang w:val="fr-FR" w:eastAsia="ko-KR"/>
        </w:rPr>
        <w:t>190</w:t>
      </w:r>
      <w:r w:rsidR="00E97B1A" w:rsidRPr="002715F2">
        <w:rPr>
          <w:rFonts w:eastAsia="Batang"/>
          <w:lang w:val="fr-FR" w:eastAsia="ko-KR"/>
        </w:rPr>
        <w:t>;</w:t>
      </w:r>
      <w:r w:rsidR="000078DA" w:rsidRPr="002715F2">
        <w:rPr>
          <w:rFonts w:eastAsia="Batang"/>
          <w:lang w:val="fr-FR" w:eastAsia="ko-KR"/>
        </w:rPr>
        <w:t xml:space="preserve"> CAT/C/53/Add.2</w:t>
      </w:r>
      <w:r w:rsidR="005112A7" w:rsidRPr="002715F2">
        <w:rPr>
          <w:rFonts w:eastAsia="Batang"/>
          <w:lang w:val="fr-FR" w:eastAsia="ko-KR"/>
        </w:rPr>
        <w:t>,</w:t>
      </w:r>
      <w:r w:rsidR="000078DA" w:rsidRPr="002715F2">
        <w:rPr>
          <w:rFonts w:eastAsia="Batang"/>
          <w:lang w:val="fr-FR" w:eastAsia="ko-KR"/>
        </w:rPr>
        <w:t xml:space="preserve"> </w:t>
      </w:r>
      <w:r w:rsidR="00480124" w:rsidRPr="002715F2">
        <w:rPr>
          <w:rFonts w:eastAsia="Batang"/>
          <w:lang w:val="fr-FR" w:eastAsia="ko-KR"/>
        </w:rPr>
        <w:t>par. </w:t>
      </w:r>
      <w:r w:rsidR="000078DA" w:rsidRPr="002715F2">
        <w:rPr>
          <w:rFonts w:eastAsia="Batang"/>
          <w:lang w:val="fr-FR" w:eastAsia="ko-KR"/>
        </w:rPr>
        <w:t>14</w:t>
      </w:r>
      <w:r w:rsidR="005112A7" w:rsidRPr="002715F2">
        <w:rPr>
          <w:rFonts w:eastAsia="Batang"/>
          <w:lang w:val="fr-FR" w:eastAsia="ko-KR"/>
        </w:rPr>
        <w:t xml:space="preserve"> à 19, 83 et </w:t>
      </w:r>
      <w:r w:rsidR="000078DA" w:rsidRPr="002715F2">
        <w:rPr>
          <w:rFonts w:eastAsia="Batang"/>
          <w:lang w:val="fr-FR" w:eastAsia="ko-KR"/>
        </w:rPr>
        <w:t>84).</w:t>
      </w:r>
      <w:r w:rsidR="005112A7" w:rsidRPr="002715F2">
        <w:rPr>
          <w:rFonts w:eastAsia="Batang"/>
          <w:lang w:val="fr-FR" w:eastAsia="ko-KR"/>
        </w:rPr>
        <w:t xml:space="preserve"> En outre, </w:t>
      </w:r>
      <w:r w:rsidR="0022283E" w:rsidRPr="002715F2">
        <w:rPr>
          <w:rFonts w:eastAsia="Batang"/>
          <w:lang w:val="fr-FR" w:eastAsia="ko-KR"/>
        </w:rPr>
        <w:t>la</w:t>
      </w:r>
      <w:r w:rsidR="00F22ADA" w:rsidRPr="002715F2">
        <w:rPr>
          <w:rFonts w:eastAsia="Gulim" w:cs="Gulim"/>
          <w:lang w:val="fr-FR" w:eastAsia="ko-KR"/>
        </w:rPr>
        <w:t xml:space="preserve"> permanence téléphonique</w:t>
      </w:r>
      <w:r w:rsidR="00F22ADA" w:rsidRPr="002715F2">
        <w:rPr>
          <w:rFonts w:eastAsia="Batang"/>
          <w:lang w:val="fr-FR" w:eastAsia="ko-KR"/>
        </w:rPr>
        <w:t xml:space="preserve"> </w:t>
      </w:r>
      <w:r w:rsidR="0022283E" w:rsidRPr="002715F2">
        <w:rPr>
          <w:rFonts w:eastAsia="Batang"/>
          <w:lang w:val="fr-FR" w:eastAsia="ko-KR"/>
        </w:rPr>
        <w:t>mise en place par le</w:t>
      </w:r>
      <w:r w:rsidR="00F22ADA" w:rsidRPr="002715F2">
        <w:rPr>
          <w:rFonts w:eastAsia="Batang"/>
          <w:lang w:val="fr-FR" w:eastAsia="ko-KR"/>
        </w:rPr>
        <w:t xml:space="preserve"> Ministère de la justice peut recevoir les plaintes d</w:t>
      </w:r>
      <w:r w:rsidR="005112A7" w:rsidRPr="002715F2">
        <w:rPr>
          <w:rFonts w:eastAsia="Batang"/>
          <w:lang w:val="fr-FR" w:eastAsia="ko-KR"/>
        </w:rPr>
        <w:t>es victimes</w:t>
      </w:r>
      <w:r w:rsidR="000078DA" w:rsidRPr="002715F2">
        <w:rPr>
          <w:rFonts w:eastAsia="Batang"/>
          <w:szCs w:val="24"/>
          <w:lang w:val="fr-FR" w:eastAsia="ko-KR"/>
        </w:rPr>
        <w:t>.</w:t>
      </w:r>
    </w:p>
    <w:p w:rsidR="000078DA" w:rsidRPr="002715F2" w:rsidRDefault="007026FB" w:rsidP="007026FB">
      <w:pPr>
        <w:pStyle w:val="SingleTxtG"/>
        <w:rPr>
          <w:rFonts w:eastAsia="Batang"/>
          <w:bCs/>
          <w:szCs w:val="24"/>
          <w:lang w:val="fr-FR" w:eastAsia="ko-KR"/>
        </w:rPr>
      </w:pPr>
      <w:r w:rsidRPr="002715F2">
        <w:rPr>
          <w:rFonts w:eastAsia="Batang"/>
          <w:bCs/>
          <w:szCs w:val="24"/>
          <w:lang w:val="fr-FR" w:eastAsia="ko-KR"/>
        </w:rPr>
        <w:t>126.</w:t>
      </w:r>
      <w:r w:rsidRPr="002715F2">
        <w:rPr>
          <w:rFonts w:eastAsia="Batang"/>
          <w:bCs/>
          <w:szCs w:val="24"/>
          <w:lang w:val="fr-FR" w:eastAsia="ko-KR"/>
        </w:rPr>
        <w:tab/>
      </w:r>
      <w:r w:rsidR="00B6196D" w:rsidRPr="002715F2">
        <w:rPr>
          <w:rFonts w:eastAsia="Batang"/>
          <w:bCs/>
          <w:szCs w:val="24"/>
          <w:lang w:val="fr-FR" w:eastAsia="ko-KR"/>
        </w:rPr>
        <w:t xml:space="preserve"> En cas </w:t>
      </w:r>
      <w:r w:rsidR="005C33E8" w:rsidRPr="002715F2">
        <w:rPr>
          <w:rFonts w:eastAsia="Batang"/>
          <w:bCs/>
          <w:szCs w:val="24"/>
          <w:lang w:val="fr-FR" w:eastAsia="ko-KR"/>
        </w:rPr>
        <w:t>de</w:t>
      </w:r>
      <w:r w:rsidR="00B6196D" w:rsidRPr="002715F2">
        <w:rPr>
          <w:rFonts w:eastAsia="Batang"/>
          <w:szCs w:val="24"/>
          <w:lang w:val="fr-FR" w:eastAsia="ko-KR"/>
        </w:rPr>
        <w:t xml:space="preserve"> plainte </w:t>
      </w:r>
      <w:r w:rsidR="005C33E8" w:rsidRPr="002715F2">
        <w:rPr>
          <w:rFonts w:eastAsia="Batang"/>
          <w:szCs w:val="24"/>
          <w:lang w:val="fr-FR" w:eastAsia="ko-KR"/>
        </w:rPr>
        <w:t xml:space="preserve">relative à des </w:t>
      </w:r>
      <w:r w:rsidR="00B6196D" w:rsidRPr="002715F2">
        <w:rPr>
          <w:rFonts w:eastAsia="Batang"/>
          <w:szCs w:val="24"/>
          <w:lang w:val="fr-FR" w:eastAsia="ko-KR"/>
        </w:rPr>
        <w:t xml:space="preserve">actes de torture </w:t>
      </w:r>
      <w:r w:rsidR="005C33E8" w:rsidRPr="002715F2">
        <w:rPr>
          <w:rFonts w:eastAsia="Batang"/>
          <w:szCs w:val="24"/>
          <w:lang w:val="fr-FR" w:eastAsia="ko-KR"/>
        </w:rPr>
        <w:t>imputés à</w:t>
      </w:r>
      <w:r w:rsidR="00B6196D" w:rsidRPr="002715F2">
        <w:rPr>
          <w:rFonts w:eastAsia="Batang"/>
          <w:szCs w:val="24"/>
          <w:lang w:val="fr-FR" w:eastAsia="ko-KR"/>
        </w:rPr>
        <w:t xml:space="preserve"> des agents de la force publique</w:t>
      </w:r>
      <w:r w:rsidR="000078DA" w:rsidRPr="002715F2">
        <w:rPr>
          <w:rFonts w:eastAsia="Batang"/>
          <w:szCs w:val="24"/>
          <w:lang w:val="fr-FR" w:eastAsia="ko-KR"/>
        </w:rPr>
        <w:t>,</w:t>
      </w:r>
      <w:r w:rsidR="000078DA" w:rsidRPr="002715F2" w:rsidDel="00D10425">
        <w:rPr>
          <w:rFonts w:eastAsia="Batang"/>
          <w:szCs w:val="24"/>
          <w:vertAlign w:val="superscript"/>
          <w:lang w:val="fr-FR" w:eastAsia="ko-KR"/>
        </w:rPr>
        <w:t xml:space="preserve"> </w:t>
      </w:r>
      <w:r w:rsidR="00B6196D" w:rsidRPr="002715F2">
        <w:rPr>
          <w:rFonts w:eastAsia="Batang"/>
          <w:szCs w:val="24"/>
          <w:lang w:val="fr-FR" w:eastAsia="ko-KR"/>
        </w:rPr>
        <w:t>u</w:t>
      </w:r>
      <w:r w:rsidR="000078DA" w:rsidRPr="002715F2">
        <w:rPr>
          <w:rFonts w:eastAsia="Batang"/>
          <w:szCs w:val="24"/>
          <w:lang w:val="fr-FR" w:eastAsia="ko-KR"/>
        </w:rPr>
        <w:t>n</w:t>
      </w:r>
      <w:r w:rsidR="00B6196D" w:rsidRPr="002715F2">
        <w:rPr>
          <w:rFonts w:eastAsia="Batang"/>
          <w:szCs w:val="24"/>
          <w:lang w:val="fr-FR" w:eastAsia="ko-KR"/>
        </w:rPr>
        <w:t xml:space="preserve"> procureur du parquet</w:t>
      </w:r>
      <w:r w:rsidR="000078DA" w:rsidRPr="002715F2">
        <w:rPr>
          <w:rFonts w:eastAsia="Batang"/>
          <w:szCs w:val="24"/>
          <w:lang w:val="fr-FR" w:eastAsia="ko-KR"/>
        </w:rPr>
        <w:t xml:space="preserve"> </w:t>
      </w:r>
      <w:r w:rsidR="00B6196D" w:rsidRPr="002715F2">
        <w:rPr>
          <w:rFonts w:eastAsia="Batang"/>
          <w:szCs w:val="24"/>
          <w:lang w:val="fr-FR" w:eastAsia="ko-KR"/>
        </w:rPr>
        <w:t xml:space="preserve">à </w:t>
      </w:r>
      <w:r w:rsidR="005C33E8" w:rsidRPr="002715F2">
        <w:rPr>
          <w:rFonts w:eastAsia="Batang"/>
          <w:szCs w:val="24"/>
          <w:lang w:val="fr-FR" w:eastAsia="ko-KR"/>
        </w:rPr>
        <w:t>tous les</w:t>
      </w:r>
      <w:r w:rsidR="00B6196D" w:rsidRPr="002715F2">
        <w:rPr>
          <w:rFonts w:eastAsia="Batang"/>
          <w:szCs w:val="24"/>
          <w:lang w:val="fr-FR" w:eastAsia="ko-KR"/>
        </w:rPr>
        <w:t xml:space="preserve"> niveau</w:t>
      </w:r>
      <w:r w:rsidR="005C33E8" w:rsidRPr="002715F2">
        <w:rPr>
          <w:rFonts w:eastAsia="Batang"/>
          <w:szCs w:val="24"/>
          <w:lang w:val="fr-FR" w:eastAsia="ko-KR"/>
        </w:rPr>
        <w:t>x</w:t>
      </w:r>
      <w:r w:rsidR="00B6196D" w:rsidRPr="002715F2">
        <w:rPr>
          <w:rFonts w:eastAsia="Batang"/>
          <w:szCs w:val="24"/>
          <w:lang w:val="fr-FR" w:eastAsia="ko-KR"/>
        </w:rPr>
        <w:t xml:space="preserve"> instruit l’affaire de manière indépendante et impartiale et, si nécessaire, une équipe d’enquêteurs est constituée afin d’enquêter soigneusement sur les faits et de faire la lumière sur l’infraction alléguée</w:t>
      </w:r>
      <w:r w:rsidR="000078DA" w:rsidRPr="002715F2">
        <w:rPr>
          <w:rFonts w:eastAsia="Batang"/>
          <w:szCs w:val="24"/>
          <w:lang w:val="fr-FR" w:eastAsia="ko-KR"/>
        </w:rPr>
        <w:t>.</w:t>
      </w:r>
    </w:p>
    <w:p w:rsidR="000078DA" w:rsidRPr="002715F2" w:rsidRDefault="007026FB" w:rsidP="00162282">
      <w:pPr>
        <w:pStyle w:val="SingleTxtG"/>
        <w:rPr>
          <w:rFonts w:eastAsia="휴먼명조"/>
          <w:szCs w:val="24"/>
          <w:lang w:val="fr-FR" w:eastAsia="ko-KR"/>
        </w:rPr>
      </w:pPr>
      <w:r w:rsidRPr="002715F2">
        <w:rPr>
          <w:rFonts w:eastAsia="휴먼명조"/>
          <w:szCs w:val="24"/>
          <w:lang w:val="fr-FR" w:eastAsia="ko-KR"/>
        </w:rPr>
        <w:t>127.</w:t>
      </w:r>
      <w:r w:rsidRPr="002715F2">
        <w:rPr>
          <w:rFonts w:eastAsia="휴먼명조"/>
          <w:szCs w:val="24"/>
          <w:lang w:val="fr-FR" w:eastAsia="ko-KR"/>
        </w:rPr>
        <w:tab/>
      </w:r>
      <w:r w:rsidR="00B05ED8" w:rsidRPr="002715F2">
        <w:rPr>
          <w:rFonts w:eastAsia="휴먼명조"/>
          <w:szCs w:val="24"/>
          <w:lang w:val="fr-FR" w:eastAsia="ko-KR"/>
        </w:rPr>
        <w:t xml:space="preserve">Les </w:t>
      </w:r>
      <w:r w:rsidR="00162282" w:rsidRPr="002715F2">
        <w:rPr>
          <w:rFonts w:ascii="TimesNewRomanPSMT" w:hAnsi="TimesNewRomanPSMT" w:cs="TimesNewRomanPSMT"/>
          <w:lang w:val="fr-FR" w:eastAsia="en-GB"/>
        </w:rPr>
        <w:t>recours pour décision judiciaire</w:t>
      </w:r>
      <w:r w:rsidR="00162282" w:rsidRPr="002715F2">
        <w:rPr>
          <w:rFonts w:eastAsia="Malgun Gothic"/>
          <w:kern w:val="2"/>
          <w:szCs w:val="24"/>
          <w:lang w:val="fr-FR" w:eastAsia="ko-KR"/>
        </w:rPr>
        <w:t xml:space="preserve"> </w:t>
      </w:r>
      <w:r w:rsidR="000078DA" w:rsidRPr="002715F2">
        <w:rPr>
          <w:rFonts w:eastAsia="Malgun Gothic"/>
          <w:kern w:val="2"/>
          <w:szCs w:val="24"/>
          <w:lang w:val="fr-FR" w:eastAsia="ko-KR"/>
        </w:rPr>
        <w:t>(</w:t>
      </w:r>
      <w:r w:rsidR="0039617D" w:rsidRPr="002715F2">
        <w:rPr>
          <w:rFonts w:eastAsia="Malgun Gothic"/>
          <w:kern w:val="2"/>
          <w:szCs w:val="24"/>
          <w:lang w:val="fr-FR" w:eastAsia="ko-KR"/>
        </w:rPr>
        <w:t>procédure</w:t>
      </w:r>
      <w:r w:rsidR="005651FD" w:rsidRPr="002715F2">
        <w:rPr>
          <w:rFonts w:eastAsia="Malgun Gothic"/>
          <w:kern w:val="2"/>
          <w:szCs w:val="24"/>
          <w:lang w:val="fr-FR" w:eastAsia="ko-KR"/>
        </w:rPr>
        <w:t>s</w:t>
      </w:r>
      <w:r w:rsidR="00B05ED8" w:rsidRPr="002715F2">
        <w:rPr>
          <w:rFonts w:eastAsia="Malgun Gothic"/>
          <w:kern w:val="2"/>
          <w:szCs w:val="24"/>
          <w:lang w:val="fr-FR" w:eastAsia="ko-KR"/>
        </w:rPr>
        <w:t xml:space="preserve"> </w:t>
      </w:r>
      <w:r w:rsidR="00080D2E" w:rsidRPr="002715F2">
        <w:rPr>
          <w:rFonts w:eastAsia="Malgun Gothic"/>
          <w:kern w:val="2"/>
          <w:szCs w:val="24"/>
          <w:lang w:val="fr-FR" w:eastAsia="ko-KR"/>
        </w:rPr>
        <w:t>de quasi-inculpation</w:t>
      </w:r>
      <w:r w:rsidR="00B05ED8" w:rsidRPr="002715F2">
        <w:rPr>
          <w:rFonts w:eastAsia="Malgun Gothic"/>
          <w:kern w:val="2"/>
          <w:szCs w:val="24"/>
          <w:lang w:val="fr-FR" w:eastAsia="ko-KR"/>
        </w:rPr>
        <w:t>), qui</w:t>
      </w:r>
      <w:r w:rsidR="000078DA" w:rsidRPr="002715F2">
        <w:rPr>
          <w:rFonts w:eastAsia="Malgun Gothic"/>
          <w:kern w:val="2"/>
          <w:szCs w:val="24"/>
          <w:lang w:val="fr-FR" w:eastAsia="ko-KR"/>
        </w:rPr>
        <w:t xml:space="preserve"> </w:t>
      </w:r>
      <w:r w:rsidR="005C33E8" w:rsidRPr="002715F2">
        <w:rPr>
          <w:rFonts w:eastAsia="Malgun Gothic"/>
          <w:kern w:val="2"/>
          <w:szCs w:val="24"/>
          <w:lang w:val="fr-FR" w:eastAsia="ko-KR"/>
        </w:rPr>
        <w:t xml:space="preserve">permettent d’annuler </w:t>
      </w:r>
      <w:r w:rsidR="00A40AE5" w:rsidRPr="002715F2">
        <w:rPr>
          <w:rFonts w:eastAsia="Malgun Gothic"/>
          <w:kern w:val="2"/>
          <w:szCs w:val="24"/>
          <w:lang w:val="fr-FR" w:eastAsia="ko-KR"/>
        </w:rPr>
        <w:t>les</w:t>
      </w:r>
      <w:r w:rsidR="00B6196D" w:rsidRPr="002715F2">
        <w:rPr>
          <w:rFonts w:eastAsia="Malgun Gothic"/>
          <w:kern w:val="2"/>
          <w:szCs w:val="24"/>
          <w:lang w:val="fr-FR" w:eastAsia="ko-KR"/>
        </w:rPr>
        <w:t xml:space="preserve"> décisions de non-inculpation prononcées</w:t>
      </w:r>
      <w:r w:rsidR="00162282" w:rsidRPr="002715F2">
        <w:rPr>
          <w:rFonts w:eastAsia="Malgun Gothic"/>
          <w:kern w:val="2"/>
          <w:szCs w:val="24"/>
          <w:lang w:val="fr-FR" w:eastAsia="ko-KR"/>
        </w:rPr>
        <w:t xml:space="preserve"> injustement</w:t>
      </w:r>
      <w:r w:rsidR="00B6196D" w:rsidRPr="002715F2">
        <w:rPr>
          <w:rFonts w:eastAsia="Malgun Gothic"/>
          <w:kern w:val="2"/>
          <w:szCs w:val="24"/>
          <w:lang w:val="fr-FR" w:eastAsia="ko-KR"/>
        </w:rPr>
        <w:t xml:space="preserve"> par </w:t>
      </w:r>
      <w:r w:rsidR="00162282" w:rsidRPr="002715F2">
        <w:rPr>
          <w:rFonts w:eastAsia="Malgun Gothic"/>
          <w:kern w:val="2"/>
          <w:szCs w:val="24"/>
          <w:lang w:val="fr-FR" w:eastAsia="ko-KR"/>
        </w:rPr>
        <w:t>les</w:t>
      </w:r>
      <w:r w:rsidR="00B6196D" w:rsidRPr="002715F2">
        <w:rPr>
          <w:rFonts w:eastAsia="Malgun Gothic"/>
          <w:kern w:val="2"/>
          <w:szCs w:val="24"/>
          <w:lang w:val="fr-FR" w:eastAsia="ko-KR"/>
        </w:rPr>
        <w:t xml:space="preserve"> procureur</w:t>
      </w:r>
      <w:r w:rsidR="00162282" w:rsidRPr="002715F2">
        <w:rPr>
          <w:rFonts w:eastAsia="Malgun Gothic"/>
          <w:kern w:val="2"/>
          <w:szCs w:val="24"/>
          <w:lang w:val="fr-FR" w:eastAsia="ko-KR"/>
        </w:rPr>
        <w:t>s</w:t>
      </w:r>
      <w:r w:rsidR="00B05ED8" w:rsidRPr="002715F2">
        <w:rPr>
          <w:rFonts w:eastAsia="Malgun Gothic"/>
          <w:kern w:val="2"/>
          <w:szCs w:val="24"/>
          <w:lang w:val="fr-FR" w:eastAsia="ko-KR"/>
        </w:rPr>
        <w:t>, sont</w:t>
      </w:r>
      <w:r w:rsidR="00B6196D" w:rsidRPr="002715F2">
        <w:rPr>
          <w:rFonts w:eastAsia="Malgun Gothic"/>
          <w:kern w:val="2"/>
          <w:szCs w:val="24"/>
          <w:lang w:val="fr-FR" w:eastAsia="ko-KR"/>
        </w:rPr>
        <w:t xml:space="preserve"> </w:t>
      </w:r>
      <w:r w:rsidR="00FB35A3" w:rsidRPr="002715F2">
        <w:rPr>
          <w:rFonts w:eastAsia="Malgun Gothic"/>
          <w:kern w:val="2"/>
          <w:szCs w:val="24"/>
          <w:lang w:val="fr-FR" w:eastAsia="ko-KR"/>
        </w:rPr>
        <w:t>décrits</w:t>
      </w:r>
      <w:r w:rsidR="00B6196D" w:rsidRPr="002715F2">
        <w:rPr>
          <w:rFonts w:eastAsia="Malgun Gothic"/>
          <w:kern w:val="2"/>
          <w:szCs w:val="24"/>
          <w:lang w:val="fr-FR" w:eastAsia="ko-KR"/>
        </w:rPr>
        <w:t xml:space="preserve"> dans le </w:t>
      </w:r>
      <w:r w:rsidR="00AA7A36" w:rsidRPr="002715F2">
        <w:rPr>
          <w:rFonts w:eastAsia="Malgun Gothic"/>
          <w:kern w:val="2"/>
          <w:szCs w:val="24"/>
          <w:lang w:val="fr-FR" w:eastAsia="ko-KR"/>
        </w:rPr>
        <w:t xml:space="preserve">troisième </w:t>
      </w:r>
      <w:r w:rsidR="00B6196D" w:rsidRPr="002715F2">
        <w:rPr>
          <w:rFonts w:eastAsia="Malgun Gothic"/>
          <w:kern w:val="2"/>
          <w:szCs w:val="24"/>
          <w:lang w:val="fr-FR" w:eastAsia="ko-KR"/>
        </w:rPr>
        <w:t xml:space="preserve">rapport présenté par la République de Corée conformément au Pacte </w:t>
      </w:r>
      <w:r w:rsidR="008A36A5" w:rsidRPr="002715F2">
        <w:rPr>
          <w:lang w:val="fr-FR"/>
        </w:rPr>
        <w:t>international relatif aux droits civils et politiques</w:t>
      </w:r>
      <w:r w:rsidR="00AA7A36" w:rsidRPr="002715F2">
        <w:rPr>
          <w:rFonts w:eastAsia="Malgun Gothic"/>
          <w:kern w:val="2"/>
          <w:szCs w:val="24"/>
          <w:lang w:val="fr-FR" w:eastAsia="ko-KR"/>
        </w:rPr>
        <w:t xml:space="preserve"> </w:t>
      </w:r>
      <w:r w:rsidR="000078DA" w:rsidRPr="002715F2">
        <w:rPr>
          <w:rFonts w:eastAsia="Malgun Gothic"/>
          <w:kern w:val="2"/>
          <w:szCs w:val="24"/>
          <w:lang w:val="fr-FR" w:eastAsia="ko-KR"/>
        </w:rPr>
        <w:t>(</w:t>
      </w:r>
      <w:r w:rsidR="000078DA" w:rsidRPr="002715F2">
        <w:rPr>
          <w:rFonts w:eastAsia="휴먼명조"/>
          <w:szCs w:val="24"/>
          <w:lang w:val="fr-FR" w:eastAsia="ko-KR"/>
        </w:rPr>
        <w:t xml:space="preserve">CCPR/C/KOR/2005/3, </w:t>
      </w:r>
      <w:r w:rsidR="00BD1A84" w:rsidRPr="002715F2">
        <w:rPr>
          <w:rFonts w:eastAsia="휴먼명조"/>
          <w:szCs w:val="24"/>
          <w:lang w:val="fr-FR" w:eastAsia="ko-KR"/>
        </w:rPr>
        <w:t>par. </w:t>
      </w:r>
      <w:r w:rsidR="000078DA" w:rsidRPr="002715F2">
        <w:rPr>
          <w:rFonts w:eastAsia="휴먼명조"/>
          <w:szCs w:val="24"/>
          <w:lang w:val="fr-FR" w:eastAsia="ko-KR"/>
        </w:rPr>
        <w:t xml:space="preserve">237). </w:t>
      </w:r>
      <w:r w:rsidR="00D21278" w:rsidRPr="002715F2">
        <w:rPr>
          <w:rFonts w:eastAsia="휴먼명조"/>
          <w:szCs w:val="24"/>
          <w:lang w:val="fr-FR" w:eastAsia="ko-KR"/>
        </w:rPr>
        <w:t>Avec</w:t>
      </w:r>
      <w:r w:rsidR="00B05ED8" w:rsidRPr="002715F2">
        <w:rPr>
          <w:rFonts w:eastAsia="휴먼명조"/>
          <w:szCs w:val="24"/>
          <w:lang w:val="fr-FR" w:eastAsia="ko-KR"/>
        </w:rPr>
        <w:t xml:space="preserve"> la modification du Code de </w:t>
      </w:r>
      <w:r w:rsidR="0039617D" w:rsidRPr="002715F2">
        <w:rPr>
          <w:rFonts w:eastAsia="휴먼명조"/>
          <w:szCs w:val="24"/>
          <w:lang w:val="fr-FR" w:eastAsia="ko-KR"/>
        </w:rPr>
        <w:t>procédure</w:t>
      </w:r>
      <w:r w:rsidR="00B05ED8" w:rsidRPr="002715F2">
        <w:rPr>
          <w:rFonts w:eastAsia="휴먼명조"/>
          <w:szCs w:val="24"/>
          <w:lang w:val="fr-FR" w:eastAsia="ko-KR"/>
        </w:rPr>
        <w:t xml:space="preserve"> pénale </w:t>
      </w:r>
      <w:r w:rsidR="0039617D" w:rsidRPr="002715F2">
        <w:rPr>
          <w:rFonts w:eastAsia="휴먼명조"/>
          <w:szCs w:val="24"/>
          <w:lang w:val="fr-FR" w:eastAsia="ko-KR"/>
        </w:rPr>
        <w:t>adoptée</w:t>
      </w:r>
      <w:r w:rsidR="00B05ED8" w:rsidRPr="002715F2">
        <w:rPr>
          <w:rFonts w:eastAsia="휴먼명조"/>
          <w:szCs w:val="24"/>
          <w:lang w:val="fr-FR" w:eastAsia="ko-KR"/>
        </w:rPr>
        <w:t xml:space="preserve"> le 1</w:t>
      </w:r>
      <w:r w:rsidR="00B05ED8" w:rsidRPr="002715F2">
        <w:rPr>
          <w:rFonts w:eastAsia="휴먼명조"/>
          <w:szCs w:val="24"/>
          <w:vertAlign w:val="superscript"/>
          <w:lang w:val="fr-FR" w:eastAsia="ko-KR"/>
        </w:rPr>
        <w:t>er</w:t>
      </w:r>
      <w:r w:rsidR="005651FD" w:rsidRPr="002715F2">
        <w:rPr>
          <w:rFonts w:eastAsia="휴먼명조"/>
          <w:szCs w:val="24"/>
          <w:lang w:val="fr-FR" w:eastAsia="ko-KR"/>
        </w:rPr>
        <w:t> </w:t>
      </w:r>
      <w:r w:rsidR="00B05ED8" w:rsidRPr="002715F2">
        <w:rPr>
          <w:rFonts w:eastAsia="휴먼명조"/>
          <w:szCs w:val="24"/>
          <w:lang w:val="fr-FR" w:eastAsia="ko-KR"/>
        </w:rPr>
        <w:t>juin</w:t>
      </w:r>
      <w:r w:rsidR="000078DA" w:rsidRPr="002715F2">
        <w:rPr>
          <w:rFonts w:eastAsia="Batang"/>
          <w:bCs/>
          <w:szCs w:val="24"/>
          <w:lang w:val="fr-FR" w:eastAsia="ko-KR"/>
        </w:rPr>
        <w:t xml:space="preserve"> 2007</w:t>
      </w:r>
      <w:r w:rsidR="000078DA" w:rsidRPr="002715F2">
        <w:rPr>
          <w:rFonts w:eastAsia="휴먼명조"/>
          <w:szCs w:val="24"/>
          <w:lang w:val="fr-FR" w:eastAsia="ko-KR"/>
        </w:rPr>
        <w:t xml:space="preserve">, </w:t>
      </w:r>
      <w:r w:rsidR="00B05ED8" w:rsidRPr="002715F2">
        <w:rPr>
          <w:rFonts w:eastAsia="휴먼명조"/>
          <w:szCs w:val="24"/>
          <w:lang w:val="fr-FR" w:eastAsia="ko-KR"/>
        </w:rPr>
        <w:t xml:space="preserve">les </w:t>
      </w:r>
      <w:r w:rsidR="00162282" w:rsidRPr="002715F2">
        <w:rPr>
          <w:rFonts w:eastAsia="휴먼명조"/>
          <w:szCs w:val="24"/>
          <w:lang w:val="fr-FR" w:eastAsia="ko-KR"/>
        </w:rPr>
        <w:t>infractions</w:t>
      </w:r>
      <w:r w:rsidR="005651FD" w:rsidRPr="002715F2">
        <w:rPr>
          <w:rFonts w:eastAsia="휴먼명조"/>
          <w:szCs w:val="24"/>
          <w:lang w:val="fr-FR" w:eastAsia="ko-KR"/>
        </w:rPr>
        <w:t xml:space="preserve"> </w:t>
      </w:r>
      <w:r w:rsidR="00162282" w:rsidRPr="002715F2">
        <w:rPr>
          <w:rFonts w:eastAsia="휴먼명조"/>
          <w:szCs w:val="24"/>
          <w:lang w:val="fr-FR" w:eastAsia="ko-KR"/>
        </w:rPr>
        <w:t>susceptibles de recours pour décision judiciaire</w:t>
      </w:r>
      <w:r w:rsidR="000078DA" w:rsidRPr="002715F2">
        <w:rPr>
          <w:rFonts w:eastAsia="휴먼명조"/>
          <w:szCs w:val="24"/>
          <w:lang w:val="fr-FR" w:eastAsia="ko-KR"/>
        </w:rPr>
        <w:t xml:space="preserve">, </w:t>
      </w:r>
      <w:r w:rsidR="00B05ED8" w:rsidRPr="002715F2">
        <w:rPr>
          <w:rFonts w:eastAsia="휴먼명조"/>
          <w:szCs w:val="24"/>
          <w:lang w:val="fr-FR" w:eastAsia="ko-KR"/>
        </w:rPr>
        <w:t xml:space="preserve">qui </w:t>
      </w:r>
      <w:r w:rsidR="00162282" w:rsidRPr="002715F2">
        <w:rPr>
          <w:rFonts w:eastAsia="휴먼명조"/>
          <w:szCs w:val="24"/>
          <w:lang w:val="fr-FR" w:eastAsia="ko-KR"/>
        </w:rPr>
        <w:t xml:space="preserve">étaient </w:t>
      </w:r>
      <w:r w:rsidR="00B05ED8" w:rsidRPr="002715F2">
        <w:rPr>
          <w:rFonts w:eastAsia="휴먼명조"/>
          <w:szCs w:val="24"/>
          <w:lang w:val="fr-FR" w:eastAsia="ko-KR"/>
        </w:rPr>
        <w:t xml:space="preserve">auparavant </w:t>
      </w:r>
      <w:r w:rsidR="00162282" w:rsidRPr="002715F2">
        <w:rPr>
          <w:rFonts w:eastAsia="휴먼명조"/>
          <w:szCs w:val="24"/>
          <w:lang w:val="fr-FR" w:eastAsia="ko-KR"/>
        </w:rPr>
        <w:t>limitées</w:t>
      </w:r>
      <w:r w:rsidR="005651FD" w:rsidRPr="002715F2">
        <w:rPr>
          <w:rFonts w:eastAsia="휴먼명조"/>
          <w:szCs w:val="24"/>
          <w:lang w:val="fr-FR" w:eastAsia="ko-KR"/>
        </w:rPr>
        <w:t xml:space="preserve"> </w:t>
      </w:r>
      <w:r w:rsidR="00162282" w:rsidRPr="002715F2">
        <w:rPr>
          <w:rFonts w:eastAsia="휴먼명조"/>
          <w:szCs w:val="24"/>
          <w:lang w:val="fr-FR" w:eastAsia="ko-KR"/>
        </w:rPr>
        <w:t>à celles</w:t>
      </w:r>
      <w:r w:rsidR="00B05ED8" w:rsidRPr="002715F2">
        <w:rPr>
          <w:rFonts w:eastAsia="휴먼명조"/>
          <w:szCs w:val="24"/>
          <w:lang w:val="fr-FR" w:eastAsia="ko-KR"/>
        </w:rPr>
        <w:t xml:space="preserve"> prévu</w:t>
      </w:r>
      <w:r w:rsidR="005651FD" w:rsidRPr="002715F2">
        <w:rPr>
          <w:rFonts w:eastAsia="휴먼명조"/>
          <w:szCs w:val="24"/>
          <w:lang w:val="fr-FR" w:eastAsia="ko-KR"/>
        </w:rPr>
        <w:t>e</w:t>
      </w:r>
      <w:r w:rsidR="00B05ED8" w:rsidRPr="002715F2">
        <w:rPr>
          <w:rFonts w:eastAsia="휴먼명조"/>
          <w:szCs w:val="24"/>
          <w:lang w:val="fr-FR" w:eastAsia="ko-KR"/>
        </w:rPr>
        <w:t xml:space="preserve">s </w:t>
      </w:r>
      <w:r w:rsidR="00D21278" w:rsidRPr="002715F2">
        <w:rPr>
          <w:rFonts w:eastAsia="휴먼명조"/>
          <w:szCs w:val="24"/>
          <w:lang w:val="fr-FR" w:eastAsia="ko-KR"/>
        </w:rPr>
        <w:t>aux</w:t>
      </w:r>
      <w:r w:rsidR="00B05ED8" w:rsidRPr="002715F2">
        <w:rPr>
          <w:rFonts w:eastAsia="휴먼명조"/>
          <w:szCs w:val="24"/>
          <w:lang w:val="fr-FR" w:eastAsia="ko-KR"/>
        </w:rPr>
        <w:t xml:space="preserve"> articles</w:t>
      </w:r>
      <w:r w:rsidR="005651FD" w:rsidRPr="002715F2">
        <w:rPr>
          <w:rFonts w:eastAsia="휴먼명조"/>
          <w:szCs w:val="24"/>
          <w:lang w:val="fr-FR" w:eastAsia="ko-KR"/>
        </w:rPr>
        <w:t> </w:t>
      </w:r>
      <w:r w:rsidR="000078DA" w:rsidRPr="002715F2">
        <w:rPr>
          <w:rFonts w:eastAsia="Batang"/>
          <w:bCs/>
          <w:szCs w:val="24"/>
          <w:lang w:val="fr-FR" w:eastAsia="ko-KR"/>
        </w:rPr>
        <w:t>123 (</w:t>
      </w:r>
      <w:r w:rsidR="00B05ED8" w:rsidRPr="002715F2">
        <w:rPr>
          <w:rFonts w:eastAsia="Batang"/>
          <w:bCs/>
          <w:szCs w:val="24"/>
          <w:lang w:val="fr-FR" w:eastAsia="ko-KR"/>
        </w:rPr>
        <w:t xml:space="preserve">abus de pouvoir </w:t>
      </w:r>
      <w:r w:rsidR="00162282" w:rsidRPr="002715F2">
        <w:rPr>
          <w:rFonts w:eastAsia="Batang"/>
          <w:bCs/>
          <w:szCs w:val="24"/>
          <w:lang w:val="fr-FR" w:eastAsia="ko-KR"/>
        </w:rPr>
        <w:t>commis par</w:t>
      </w:r>
      <w:r w:rsidR="00B05ED8" w:rsidRPr="002715F2">
        <w:rPr>
          <w:rFonts w:eastAsia="Batang"/>
          <w:bCs/>
          <w:szCs w:val="24"/>
          <w:lang w:val="fr-FR" w:eastAsia="ko-KR"/>
        </w:rPr>
        <w:t xml:space="preserve"> de</w:t>
      </w:r>
      <w:r w:rsidR="00162282" w:rsidRPr="002715F2">
        <w:rPr>
          <w:rFonts w:eastAsia="Batang"/>
          <w:bCs/>
          <w:szCs w:val="24"/>
          <w:lang w:val="fr-FR" w:eastAsia="ko-KR"/>
        </w:rPr>
        <w:t>s</w:t>
      </w:r>
      <w:r w:rsidR="00B05ED8" w:rsidRPr="002715F2">
        <w:rPr>
          <w:rFonts w:eastAsia="Batang"/>
          <w:bCs/>
          <w:szCs w:val="24"/>
          <w:lang w:val="fr-FR" w:eastAsia="ko-KR"/>
        </w:rPr>
        <w:t xml:space="preserve"> fonctionnaires),</w:t>
      </w:r>
      <w:r w:rsidR="000078DA" w:rsidRPr="002715F2">
        <w:rPr>
          <w:rFonts w:eastAsia="Batang"/>
          <w:bCs/>
          <w:szCs w:val="24"/>
          <w:lang w:val="fr-FR" w:eastAsia="ko-KR"/>
        </w:rPr>
        <w:t xml:space="preserve"> 124</w:t>
      </w:r>
      <w:r w:rsidR="000078DA" w:rsidRPr="002715F2">
        <w:rPr>
          <w:rFonts w:eastAsia="휴먼명조"/>
          <w:szCs w:val="24"/>
          <w:lang w:val="fr-FR" w:eastAsia="ko-KR"/>
        </w:rPr>
        <w:t xml:space="preserve"> </w:t>
      </w:r>
      <w:r w:rsidR="000078DA" w:rsidRPr="002715F2">
        <w:rPr>
          <w:rFonts w:eastAsia="Malgun Gothic"/>
          <w:kern w:val="2"/>
          <w:szCs w:val="24"/>
          <w:lang w:val="fr-FR" w:eastAsia="ko-KR"/>
        </w:rPr>
        <w:t>(</w:t>
      </w:r>
      <w:r w:rsidR="00B05ED8" w:rsidRPr="002715F2">
        <w:rPr>
          <w:rFonts w:eastAsia="Malgun Gothic"/>
          <w:kern w:val="2"/>
          <w:szCs w:val="24"/>
          <w:lang w:val="fr-FR" w:eastAsia="ko-KR"/>
        </w:rPr>
        <w:t xml:space="preserve">arrestation et </w:t>
      </w:r>
      <w:r w:rsidR="0039617D" w:rsidRPr="002715F2">
        <w:rPr>
          <w:rFonts w:eastAsia="Malgun Gothic"/>
          <w:kern w:val="2"/>
          <w:szCs w:val="24"/>
          <w:lang w:val="fr-FR" w:eastAsia="ko-KR"/>
        </w:rPr>
        <w:t>détention</w:t>
      </w:r>
      <w:r w:rsidR="00B05ED8" w:rsidRPr="002715F2">
        <w:rPr>
          <w:rFonts w:eastAsia="Malgun Gothic"/>
          <w:kern w:val="2"/>
          <w:szCs w:val="24"/>
          <w:lang w:val="fr-FR" w:eastAsia="ko-KR"/>
        </w:rPr>
        <w:t xml:space="preserve"> </w:t>
      </w:r>
      <w:r w:rsidR="00162282" w:rsidRPr="002715F2">
        <w:rPr>
          <w:rFonts w:eastAsia="Malgun Gothic"/>
          <w:kern w:val="2"/>
          <w:szCs w:val="24"/>
          <w:lang w:val="fr-FR" w:eastAsia="ko-KR"/>
        </w:rPr>
        <w:t>illégales</w:t>
      </w:r>
      <w:r w:rsidR="000078DA" w:rsidRPr="002715F2">
        <w:rPr>
          <w:rFonts w:eastAsia="Malgun Gothic"/>
          <w:kern w:val="2"/>
          <w:szCs w:val="24"/>
          <w:lang w:val="fr-FR" w:eastAsia="ko-KR"/>
        </w:rPr>
        <w:t>)</w:t>
      </w:r>
      <w:r w:rsidR="00B05ED8" w:rsidRPr="002715F2">
        <w:rPr>
          <w:rFonts w:eastAsia="Malgun Gothic"/>
          <w:kern w:val="2"/>
          <w:szCs w:val="24"/>
          <w:lang w:val="fr-FR" w:eastAsia="ko-KR"/>
        </w:rPr>
        <w:t xml:space="preserve"> et</w:t>
      </w:r>
      <w:r w:rsidR="000078DA" w:rsidRPr="002715F2">
        <w:rPr>
          <w:rFonts w:eastAsia="Batang"/>
          <w:bCs/>
          <w:szCs w:val="24"/>
          <w:lang w:val="fr-FR" w:eastAsia="ko-KR"/>
        </w:rPr>
        <w:t xml:space="preserve"> 125</w:t>
      </w:r>
      <w:r w:rsidR="000078DA" w:rsidRPr="002715F2">
        <w:rPr>
          <w:rFonts w:eastAsia="휴먼명조"/>
          <w:szCs w:val="24"/>
          <w:lang w:val="fr-FR" w:eastAsia="ko-KR"/>
        </w:rPr>
        <w:t xml:space="preserve"> </w:t>
      </w:r>
      <w:r w:rsidR="000078DA" w:rsidRPr="002715F2">
        <w:rPr>
          <w:rFonts w:eastAsia="Malgun Gothic"/>
          <w:kern w:val="2"/>
          <w:szCs w:val="24"/>
          <w:lang w:val="fr-FR" w:eastAsia="ko-KR"/>
        </w:rPr>
        <w:t>(</w:t>
      </w:r>
      <w:r w:rsidR="005651FD" w:rsidRPr="002715F2">
        <w:rPr>
          <w:rFonts w:eastAsia="Malgun Gothic"/>
          <w:kern w:val="2"/>
          <w:szCs w:val="24"/>
          <w:lang w:val="fr-FR" w:eastAsia="ko-KR"/>
        </w:rPr>
        <w:t xml:space="preserve">actes de </w:t>
      </w:r>
      <w:r w:rsidR="00162282" w:rsidRPr="002715F2">
        <w:rPr>
          <w:rFonts w:eastAsia="Malgun Gothic"/>
          <w:kern w:val="2"/>
          <w:szCs w:val="24"/>
          <w:lang w:val="fr-FR" w:eastAsia="ko-KR"/>
        </w:rPr>
        <w:t xml:space="preserve">violence ou de </w:t>
      </w:r>
      <w:r w:rsidR="005651FD" w:rsidRPr="002715F2">
        <w:rPr>
          <w:rFonts w:eastAsia="Malgun Gothic"/>
          <w:kern w:val="2"/>
          <w:szCs w:val="24"/>
          <w:lang w:val="fr-FR" w:eastAsia="ko-KR"/>
        </w:rPr>
        <w:t>cruauté</w:t>
      </w:r>
      <w:r w:rsidR="000078DA" w:rsidRPr="002715F2">
        <w:rPr>
          <w:rFonts w:eastAsia="Malgun Gothic"/>
          <w:kern w:val="2"/>
          <w:szCs w:val="24"/>
          <w:lang w:val="fr-FR" w:eastAsia="ko-KR"/>
        </w:rPr>
        <w:t>)</w:t>
      </w:r>
      <w:r w:rsidR="00D21278" w:rsidRPr="002715F2">
        <w:rPr>
          <w:rFonts w:eastAsia="Malgun Gothic"/>
          <w:kern w:val="2"/>
          <w:szCs w:val="24"/>
          <w:lang w:val="fr-FR" w:eastAsia="ko-KR"/>
        </w:rPr>
        <w:t xml:space="preserve"> du Code pénal</w:t>
      </w:r>
      <w:r w:rsidR="000078DA" w:rsidRPr="002715F2">
        <w:rPr>
          <w:rFonts w:eastAsia="휴먼명조"/>
          <w:szCs w:val="24"/>
          <w:lang w:val="fr-FR" w:eastAsia="ko-KR"/>
        </w:rPr>
        <w:t xml:space="preserve">, </w:t>
      </w:r>
      <w:r w:rsidR="00A40AE5" w:rsidRPr="002715F2">
        <w:rPr>
          <w:rFonts w:eastAsia="휴먼명조"/>
          <w:szCs w:val="24"/>
          <w:lang w:val="fr-FR" w:eastAsia="ko-KR"/>
        </w:rPr>
        <w:t>sont</w:t>
      </w:r>
      <w:r w:rsidR="00B05ED8" w:rsidRPr="002715F2">
        <w:rPr>
          <w:rFonts w:eastAsia="휴먼명조"/>
          <w:szCs w:val="24"/>
          <w:lang w:val="fr-FR" w:eastAsia="ko-KR"/>
        </w:rPr>
        <w:t xml:space="preserve"> dorénavant to</w:t>
      </w:r>
      <w:r w:rsidR="00162282" w:rsidRPr="002715F2">
        <w:rPr>
          <w:rFonts w:eastAsia="휴먼명조"/>
          <w:szCs w:val="24"/>
          <w:lang w:val="fr-FR" w:eastAsia="ko-KR"/>
        </w:rPr>
        <w:t>ut</w:t>
      </w:r>
      <w:r w:rsidR="00BA378A" w:rsidRPr="002715F2">
        <w:rPr>
          <w:rFonts w:eastAsia="휴먼명조"/>
          <w:szCs w:val="24"/>
          <w:lang w:val="fr-FR" w:eastAsia="ko-KR"/>
        </w:rPr>
        <w:t>e</w:t>
      </w:r>
      <w:r w:rsidR="00A40AE5" w:rsidRPr="002715F2">
        <w:rPr>
          <w:rFonts w:eastAsia="휴먼명조"/>
          <w:szCs w:val="24"/>
          <w:lang w:val="fr-FR" w:eastAsia="ko-KR"/>
        </w:rPr>
        <w:t>s</w:t>
      </w:r>
      <w:r w:rsidR="00BA378A" w:rsidRPr="002715F2">
        <w:rPr>
          <w:rFonts w:eastAsia="휴먼명조"/>
          <w:szCs w:val="24"/>
          <w:lang w:val="fr-FR" w:eastAsia="ko-KR"/>
        </w:rPr>
        <w:t xml:space="preserve"> celles</w:t>
      </w:r>
      <w:r w:rsidR="00162282" w:rsidRPr="002715F2">
        <w:rPr>
          <w:rFonts w:eastAsia="휴먼명조"/>
          <w:szCs w:val="24"/>
          <w:lang w:val="fr-FR" w:eastAsia="ko-KR"/>
        </w:rPr>
        <w:t xml:space="preserve"> </w:t>
      </w:r>
      <w:r w:rsidR="00D21278" w:rsidRPr="002715F2">
        <w:rPr>
          <w:rFonts w:eastAsia="휴먼명조"/>
          <w:szCs w:val="24"/>
          <w:lang w:val="fr-FR" w:eastAsia="ko-KR"/>
        </w:rPr>
        <w:t xml:space="preserve">qui </w:t>
      </w:r>
      <w:r w:rsidR="00BA378A" w:rsidRPr="002715F2">
        <w:rPr>
          <w:rFonts w:eastAsia="휴먼명조"/>
          <w:szCs w:val="24"/>
          <w:lang w:val="fr-FR" w:eastAsia="ko-KR"/>
        </w:rPr>
        <w:t>font</w:t>
      </w:r>
      <w:r w:rsidR="00162282" w:rsidRPr="002715F2">
        <w:rPr>
          <w:rFonts w:eastAsia="휴먼명조"/>
          <w:szCs w:val="24"/>
          <w:lang w:val="fr-FR" w:eastAsia="ko-KR"/>
        </w:rPr>
        <w:t xml:space="preserve"> l’objet d’</w:t>
      </w:r>
      <w:r w:rsidR="005651FD" w:rsidRPr="002715F2">
        <w:rPr>
          <w:rFonts w:eastAsia="휴먼명조"/>
          <w:szCs w:val="24"/>
          <w:lang w:val="fr-FR" w:eastAsia="ko-KR"/>
        </w:rPr>
        <w:t>une</w:t>
      </w:r>
      <w:r w:rsidR="00B05ED8" w:rsidRPr="002715F2">
        <w:rPr>
          <w:rFonts w:eastAsia="휴먼명조"/>
          <w:szCs w:val="24"/>
          <w:lang w:val="fr-FR" w:eastAsia="ko-KR"/>
        </w:rPr>
        <w:t xml:space="preserve"> plainte </w:t>
      </w:r>
      <w:r w:rsidR="000078DA" w:rsidRPr="002715F2">
        <w:rPr>
          <w:rFonts w:eastAsia="휴먼명조"/>
          <w:szCs w:val="24"/>
          <w:lang w:val="fr-FR" w:eastAsia="ko-KR"/>
        </w:rPr>
        <w:t>(</w:t>
      </w:r>
      <w:r w:rsidR="00B05ED8" w:rsidRPr="002715F2">
        <w:rPr>
          <w:rFonts w:eastAsia="휴먼명조"/>
          <w:szCs w:val="24"/>
          <w:lang w:val="fr-FR" w:eastAsia="ko-KR"/>
        </w:rPr>
        <w:t xml:space="preserve">Code </w:t>
      </w:r>
      <w:r w:rsidR="00D21278" w:rsidRPr="002715F2">
        <w:rPr>
          <w:rFonts w:eastAsia="휴먼명조"/>
          <w:szCs w:val="24"/>
          <w:lang w:val="fr-FR" w:eastAsia="ko-KR"/>
        </w:rPr>
        <w:t xml:space="preserve">de procédure </w:t>
      </w:r>
      <w:r w:rsidR="0039617D" w:rsidRPr="002715F2">
        <w:rPr>
          <w:rFonts w:eastAsia="휴먼명조"/>
          <w:szCs w:val="24"/>
          <w:lang w:val="fr-FR" w:eastAsia="ko-KR"/>
        </w:rPr>
        <w:t>pénal</w:t>
      </w:r>
      <w:r w:rsidR="00D21278" w:rsidRPr="002715F2">
        <w:rPr>
          <w:rFonts w:eastAsia="휴먼명조"/>
          <w:szCs w:val="24"/>
          <w:lang w:val="fr-FR" w:eastAsia="ko-KR"/>
        </w:rPr>
        <w:t>e</w:t>
      </w:r>
      <w:r w:rsidR="005651FD" w:rsidRPr="002715F2">
        <w:rPr>
          <w:rFonts w:eastAsia="휴먼명조"/>
          <w:szCs w:val="24"/>
          <w:lang w:val="fr-FR" w:eastAsia="ko-KR"/>
        </w:rPr>
        <w:t xml:space="preserve">, </w:t>
      </w:r>
      <w:r w:rsidR="00B05ED8" w:rsidRPr="002715F2">
        <w:rPr>
          <w:rFonts w:eastAsia="휴먼명조"/>
          <w:szCs w:val="24"/>
          <w:lang w:val="fr-FR" w:eastAsia="ko-KR"/>
        </w:rPr>
        <w:t>ar</w:t>
      </w:r>
      <w:r w:rsidR="00BD1A84" w:rsidRPr="002715F2">
        <w:rPr>
          <w:rFonts w:eastAsia="휴먼명조"/>
          <w:szCs w:val="24"/>
          <w:lang w:val="fr-FR" w:eastAsia="ko-KR"/>
        </w:rPr>
        <w:t>t. </w:t>
      </w:r>
      <w:r w:rsidR="000078DA" w:rsidRPr="002715F2">
        <w:rPr>
          <w:rFonts w:eastAsia="휴먼명조"/>
          <w:szCs w:val="24"/>
          <w:lang w:val="fr-FR" w:eastAsia="ko-KR"/>
        </w:rPr>
        <w:t>260</w:t>
      </w:r>
      <w:r w:rsidR="00B05ED8" w:rsidRPr="002715F2">
        <w:rPr>
          <w:rFonts w:eastAsia="휴먼명조"/>
          <w:szCs w:val="24"/>
          <w:lang w:val="fr-FR" w:eastAsia="ko-KR"/>
        </w:rPr>
        <w:t>,</w:t>
      </w:r>
      <w:r w:rsidR="000078DA" w:rsidRPr="002715F2">
        <w:rPr>
          <w:rFonts w:eastAsia="휴먼명조"/>
          <w:szCs w:val="24"/>
          <w:lang w:val="fr-FR" w:eastAsia="ko-KR"/>
        </w:rPr>
        <w:t xml:space="preserve"> </w:t>
      </w:r>
      <w:r w:rsidR="00BD1A84" w:rsidRPr="002715F2">
        <w:rPr>
          <w:rFonts w:eastAsia="휴먼명조"/>
          <w:szCs w:val="24"/>
          <w:lang w:val="fr-FR" w:eastAsia="ko-KR"/>
        </w:rPr>
        <w:t>par. </w:t>
      </w:r>
      <w:r w:rsidR="000078DA" w:rsidRPr="002715F2">
        <w:rPr>
          <w:rFonts w:eastAsia="휴먼명조"/>
          <w:szCs w:val="24"/>
          <w:lang w:val="fr-FR" w:eastAsia="ko-KR"/>
        </w:rPr>
        <w:t>1)</w:t>
      </w:r>
      <w:r w:rsidR="00F60999" w:rsidRPr="002715F2">
        <w:rPr>
          <w:rFonts w:eastAsia="휴먼명조"/>
          <w:szCs w:val="24"/>
          <w:lang w:val="fr-FR" w:eastAsia="ko-KR"/>
        </w:rPr>
        <w:t>.</w:t>
      </w:r>
    </w:p>
    <w:p w:rsidR="000078DA" w:rsidRPr="002715F2" w:rsidRDefault="007026FB" w:rsidP="007026FB">
      <w:pPr>
        <w:pStyle w:val="SingleTxtG"/>
        <w:rPr>
          <w:rFonts w:eastAsia="Batang"/>
          <w:bCs/>
          <w:szCs w:val="24"/>
          <w:lang w:val="fr-FR" w:eastAsia="ko-KR"/>
        </w:rPr>
      </w:pPr>
      <w:r w:rsidRPr="002715F2">
        <w:rPr>
          <w:rFonts w:eastAsia="Batang"/>
          <w:bCs/>
          <w:szCs w:val="24"/>
          <w:lang w:val="fr-FR" w:eastAsia="ko-KR"/>
        </w:rPr>
        <w:t>128.</w:t>
      </w:r>
      <w:r w:rsidRPr="002715F2">
        <w:rPr>
          <w:rFonts w:eastAsia="Batang"/>
          <w:bCs/>
          <w:szCs w:val="24"/>
          <w:lang w:val="fr-FR" w:eastAsia="ko-KR"/>
        </w:rPr>
        <w:tab/>
      </w:r>
      <w:r w:rsidR="00BD323C" w:rsidRPr="002715F2">
        <w:rPr>
          <w:rFonts w:eastAsia="Batang"/>
          <w:bCs/>
          <w:szCs w:val="24"/>
          <w:lang w:val="fr-FR" w:eastAsia="ko-KR"/>
        </w:rPr>
        <w:t xml:space="preserve">En élargissant l’éventail </w:t>
      </w:r>
      <w:r w:rsidR="00F3230D" w:rsidRPr="002715F2">
        <w:rPr>
          <w:rFonts w:eastAsia="Batang"/>
          <w:bCs/>
          <w:szCs w:val="24"/>
          <w:lang w:val="fr-FR" w:eastAsia="ko-KR"/>
        </w:rPr>
        <w:t>des infractions</w:t>
      </w:r>
      <w:r w:rsidR="00B05ED8" w:rsidRPr="002715F2">
        <w:rPr>
          <w:rFonts w:eastAsia="Batang"/>
          <w:bCs/>
          <w:szCs w:val="24"/>
          <w:lang w:val="fr-FR" w:eastAsia="ko-KR"/>
        </w:rPr>
        <w:t xml:space="preserve"> susceptibles d</w:t>
      </w:r>
      <w:r w:rsidR="00F3230D" w:rsidRPr="002715F2">
        <w:rPr>
          <w:rFonts w:eastAsia="Batang"/>
          <w:bCs/>
          <w:szCs w:val="24"/>
          <w:lang w:val="fr-FR" w:eastAsia="ko-KR"/>
        </w:rPr>
        <w:t xml:space="preserve">e </w:t>
      </w:r>
      <w:r w:rsidR="00533500" w:rsidRPr="002715F2">
        <w:rPr>
          <w:rFonts w:eastAsia="휴먼명조"/>
          <w:szCs w:val="24"/>
          <w:lang w:val="fr-FR" w:eastAsia="ko-KR"/>
        </w:rPr>
        <w:t>recours pour décision judiciaire</w:t>
      </w:r>
      <w:r w:rsidR="00B05ED8" w:rsidRPr="002715F2">
        <w:rPr>
          <w:rFonts w:eastAsia="Batang"/>
          <w:bCs/>
          <w:szCs w:val="24"/>
          <w:lang w:val="fr-FR" w:eastAsia="ko-KR"/>
        </w:rPr>
        <w:t xml:space="preserve">, </w:t>
      </w:r>
      <w:r w:rsidR="00A40AE5" w:rsidRPr="002715F2">
        <w:rPr>
          <w:rFonts w:eastAsia="Batang"/>
          <w:bCs/>
          <w:szCs w:val="24"/>
          <w:lang w:val="fr-FR" w:eastAsia="ko-KR"/>
        </w:rPr>
        <w:t>toute</w:t>
      </w:r>
      <w:r w:rsidR="00B05ED8" w:rsidRPr="002715F2">
        <w:rPr>
          <w:rFonts w:eastAsia="Batang"/>
          <w:bCs/>
          <w:szCs w:val="24"/>
          <w:lang w:val="fr-FR" w:eastAsia="ko-KR"/>
        </w:rPr>
        <w:t xml:space="preserve"> victime qui </w:t>
      </w:r>
      <w:r w:rsidR="00F3230D" w:rsidRPr="002715F2">
        <w:rPr>
          <w:rFonts w:eastAsia="Batang"/>
          <w:bCs/>
          <w:szCs w:val="24"/>
          <w:lang w:val="fr-FR" w:eastAsia="ko-KR"/>
        </w:rPr>
        <w:t xml:space="preserve">porte </w:t>
      </w:r>
      <w:r w:rsidR="00B05ED8" w:rsidRPr="002715F2">
        <w:rPr>
          <w:rFonts w:eastAsia="Batang"/>
          <w:bCs/>
          <w:szCs w:val="24"/>
          <w:lang w:val="fr-FR" w:eastAsia="ko-KR"/>
        </w:rPr>
        <w:t xml:space="preserve">plainte </w:t>
      </w:r>
      <w:r w:rsidR="00F3230D" w:rsidRPr="002715F2">
        <w:rPr>
          <w:rFonts w:eastAsia="Batang"/>
          <w:bCs/>
          <w:szCs w:val="24"/>
          <w:lang w:val="fr-FR" w:eastAsia="ko-KR"/>
        </w:rPr>
        <w:t xml:space="preserve">pour actes de </w:t>
      </w:r>
      <w:r w:rsidR="00B05ED8" w:rsidRPr="002715F2">
        <w:rPr>
          <w:rFonts w:eastAsia="Batang"/>
          <w:bCs/>
          <w:szCs w:val="24"/>
          <w:lang w:val="fr-FR" w:eastAsia="ko-KR"/>
        </w:rPr>
        <w:t xml:space="preserve">torture ou mauvais traitements </w:t>
      </w:r>
      <w:r w:rsidR="00F3230D" w:rsidRPr="002715F2">
        <w:rPr>
          <w:rFonts w:eastAsia="Batang"/>
          <w:bCs/>
          <w:szCs w:val="24"/>
          <w:lang w:val="fr-FR" w:eastAsia="ko-KR"/>
        </w:rPr>
        <w:t>au titre de l</w:t>
      </w:r>
      <w:r w:rsidR="00B05ED8" w:rsidRPr="002715F2">
        <w:rPr>
          <w:rFonts w:eastAsia="Batang"/>
          <w:bCs/>
          <w:szCs w:val="24"/>
          <w:lang w:val="fr-FR" w:eastAsia="ko-KR"/>
        </w:rPr>
        <w:t>’</w:t>
      </w:r>
      <w:r w:rsidR="00F3230D" w:rsidRPr="002715F2">
        <w:rPr>
          <w:rFonts w:eastAsia="Batang"/>
          <w:bCs/>
          <w:szCs w:val="24"/>
          <w:lang w:val="fr-FR" w:eastAsia="ko-KR"/>
        </w:rPr>
        <w:t>article</w:t>
      </w:r>
      <w:r w:rsidR="00066A5B" w:rsidRPr="002715F2">
        <w:rPr>
          <w:rFonts w:eastAsia="Batang"/>
          <w:bCs/>
          <w:szCs w:val="24"/>
          <w:lang w:val="fr-FR" w:eastAsia="ko-KR"/>
        </w:rPr>
        <w:t> </w:t>
      </w:r>
      <w:r w:rsidR="00F3230D" w:rsidRPr="002715F2">
        <w:rPr>
          <w:rFonts w:eastAsia="Batang"/>
          <w:bCs/>
          <w:szCs w:val="24"/>
          <w:lang w:val="fr-FR" w:eastAsia="ko-KR"/>
        </w:rPr>
        <w:t xml:space="preserve">4-2 de la </w:t>
      </w:r>
      <w:r w:rsidR="00A17C05" w:rsidRPr="002715F2">
        <w:rPr>
          <w:lang w:val="fr-FR"/>
        </w:rPr>
        <w:t>loi relative aux peines aggravées pour des crimes spécifiques</w:t>
      </w:r>
      <w:r w:rsidR="00F3230D" w:rsidRPr="002715F2">
        <w:rPr>
          <w:rFonts w:eastAsia="Batang"/>
          <w:bCs/>
          <w:szCs w:val="24"/>
          <w:lang w:val="fr-FR" w:eastAsia="ko-KR"/>
        </w:rPr>
        <w:t>, ou de l’a</w:t>
      </w:r>
      <w:r w:rsidR="00066A5B" w:rsidRPr="002715F2">
        <w:rPr>
          <w:rFonts w:eastAsia="Batang"/>
          <w:bCs/>
          <w:szCs w:val="24"/>
          <w:lang w:val="fr-FR" w:eastAsia="ko-KR"/>
        </w:rPr>
        <w:t>rticle </w:t>
      </w:r>
      <w:r w:rsidR="00B05ED8" w:rsidRPr="002715F2">
        <w:rPr>
          <w:rFonts w:eastAsia="Batang"/>
          <w:bCs/>
          <w:szCs w:val="24"/>
          <w:lang w:val="fr-FR" w:eastAsia="ko-KR"/>
        </w:rPr>
        <w:t>19</w:t>
      </w:r>
      <w:r w:rsidR="00A40AE5" w:rsidRPr="002715F2">
        <w:rPr>
          <w:rFonts w:eastAsia="Batang"/>
          <w:bCs/>
          <w:szCs w:val="24"/>
          <w:lang w:val="fr-FR" w:eastAsia="ko-KR"/>
        </w:rPr>
        <w:t> </w:t>
      </w:r>
      <w:r w:rsidR="00F3230D" w:rsidRPr="002715F2">
        <w:rPr>
          <w:rFonts w:eastAsia="Batang"/>
          <w:bCs/>
          <w:szCs w:val="24"/>
          <w:lang w:val="fr-FR" w:eastAsia="ko-KR"/>
        </w:rPr>
        <w:t>1</w:t>
      </w:r>
      <w:r w:rsidR="00A40AE5" w:rsidRPr="002715F2">
        <w:rPr>
          <w:rFonts w:eastAsia="Batang"/>
          <w:bCs/>
          <w:szCs w:val="24"/>
          <w:lang w:val="fr-FR" w:eastAsia="ko-KR"/>
        </w:rPr>
        <w:t>)</w:t>
      </w:r>
      <w:r w:rsidR="00F3230D" w:rsidRPr="002715F2">
        <w:rPr>
          <w:rFonts w:eastAsia="Batang"/>
          <w:bCs/>
          <w:szCs w:val="24"/>
          <w:lang w:val="fr-FR" w:eastAsia="ko-KR"/>
        </w:rPr>
        <w:t xml:space="preserve"> de la loi sur le service de</w:t>
      </w:r>
      <w:r w:rsidR="00B05ED8" w:rsidRPr="002715F2">
        <w:rPr>
          <w:rFonts w:eastAsia="Batang"/>
          <w:bCs/>
          <w:szCs w:val="24"/>
          <w:lang w:val="fr-FR" w:eastAsia="ko-KR"/>
        </w:rPr>
        <w:t xml:space="preserve"> renseignement</w:t>
      </w:r>
      <w:r w:rsidR="00F3230D" w:rsidRPr="002715F2">
        <w:rPr>
          <w:rFonts w:eastAsia="Batang"/>
          <w:bCs/>
          <w:szCs w:val="24"/>
          <w:lang w:val="fr-FR" w:eastAsia="ko-KR"/>
        </w:rPr>
        <w:t xml:space="preserve"> national</w:t>
      </w:r>
      <w:r w:rsidR="00B05ED8" w:rsidRPr="002715F2">
        <w:rPr>
          <w:rFonts w:eastAsia="Batang"/>
          <w:bCs/>
          <w:szCs w:val="24"/>
          <w:lang w:val="fr-FR" w:eastAsia="ko-KR"/>
        </w:rPr>
        <w:t xml:space="preserve">, </w:t>
      </w:r>
      <w:r w:rsidR="00A40AE5" w:rsidRPr="002715F2">
        <w:rPr>
          <w:rFonts w:eastAsia="Batang"/>
          <w:bCs/>
          <w:szCs w:val="24"/>
          <w:lang w:val="fr-FR" w:eastAsia="ko-KR"/>
        </w:rPr>
        <w:t>et</w:t>
      </w:r>
      <w:r w:rsidR="00B05ED8" w:rsidRPr="002715F2">
        <w:rPr>
          <w:rFonts w:eastAsia="Batang"/>
          <w:bCs/>
          <w:szCs w:val="24"/>
          <w:lang w:val="fr-FR" w:eastAsia="ko-KR"/>
        </w:rPr>
        <w:t xml:space="preserve"> </w:t>
      </w:r>
      <w:r w:rsidR="00F3230D" w:rsidRPr="002715F2">
        <w:rPr>
          <w:rFonts w:eastAsia="Batang"/>
          <w:bCs/>
          <w:szCs w:val="24"/>
          <w:lang w:val="fr-FR" w:eastAsia="ko-KR"/>
        </w:rPr>
        <w:t xml:space="preserve">qui </w:t>
      </w:r>
      <w:r w:rsidR="00B05ED8" w:rsidRPr="002715F2">
        <w:rPr>
          <w:rFonts w:eastAsia="Batang"/>
          <w:bCs/>
          <w:szCs w:val="24"/>
          <w:lang w:val="fr-FR" w:eastAsia="ko-KR"/>
        </w:rPr>
        <w:t>reçoit une notification de n</w:t>
      </w:r>
      <w:r w:rsidR="00F3230D" w:rsidRPr="002715F2">
        <w:rPr>
          <w:rFonts w:eastAsia="Batang"/>
          <w:bCs/>
          <w:szCs w:val="24"/>
          <w:lang w:val="fr-FR" w:eastAsia="ko-KR"/>
        </w:rPr>
        <w:t>on-</w:t>
      </w:r>
      <w:r w:rsidR="00A40AE5" w:rsidRPr="002715F2">
        <w:rPr>
          <w:rFonts w:eastAsia="Malgun Gothic"/>
          <w:kern w:val="2"/>
          <w:szCs w:val="24"/>
          <w:lang w:val="fr-FR" w:eastAsia="ko-KR"/>
        </w:rPr>
        <w:t xml:space="preserve">inculpation </w:t>
      </w:r>
      <w:r w:rsidR="00066A5B" w:rsidRPr="002715F2">
        <w:rPr>
          <w:rFonts w:eastAsia="Malgun Gothic"/>
          <w:kern w:val="2"/>
          <w:szCs w:val="24"/>
          <w:lang w:val="fr-FR" w:eastAsia="ko-KR"/>
        </w:rPr>
        <w:t>d’un</w:t>
      </w:r>
      <w:r w:rsidR="00A40AE5" w:rsidRPr="002715F2">
        <w:rPr>
          <w:rFonts w:eastAsia="Malgun Gothic"/>
          <w:kern w:val="2"/>
          <w:szCs w:val="24"/>
          <w:lang w:val="fr-FR" w:eastAsia="ko-KR"/>
        </w:rPr>
        <w:t xml:space="preserve"> procureur</w:t>
      </w:r>
      <w:r w:rsidR="00F3230D" w:rsidRPr="002715F2">
        <w:rPr>
          <w:rFonts w:eastAsia="Batang"/>
          <w:bCs/>
          <w:szCs w:val="24"/>
          <w:lang w:val="fr-FR" w:eastAsia="ko-KR"/>
        </w:rPr>
        <w:t>, peu</w:t>
      </w:r>
      <w:r w:rsidR="00B05ED8" w:rsidRPr="002715F2">
        <w:rPr>
          <w:rFonts w:eastAsia="Batang"/>
          <w:bCs/>
          <w:szCs w:val="24"/>
          <w:lang w:val="fr-FR" w:eastAsia="ko-KR"/>
        </w:rPr>
        <w:t xml:space="preserve">t </w:t>
      </w:r>
      <w:r w:rsidR="00066A5B" w:rsidRPr="002715F2">
        <w:rPr>
          <w:rFonts w:eastAsia="Batang"/>
          <w:bCs/>
          <w:szCs w:val="24"/>
          <w:lang w:val="fr-FR" w:eastAsia="ko-KR"/>
        </w:rPr>
        <w:t>maintenant</w:t>
      </w:r>
      <w:r w:rsidR="00B05ED8" w:rsidRPr="002715F2">
        <w:rPr>
          <w:rFonts w:eastAsia="Batang"/>
          <w:bCs/>
          <w:szCs w:val="24"/>
          <w:lang w:val="fr-FR" w:eastAsia="ko-KR"/>
        </w:rPr>
        <w:t xml:space="preserve"> </w:t>
      </w:r>
      <w:r w:rsidR="00033B86" w:rsidRPr="002715F2">
        <w:rPr>
          <w:rFonts w:eastAsia="Batang"/>
          <w:bCs/>
          <w:szCs w:val="24"/>
          <w:lang w:val="fr-FR" w:eastAsia="ko-KR"/>
        </w:rPr>
        <w:t>introduire un recours pour décision judiciaire</w:t>
      </w:r>
      <w:r w:rsidR="00B05ED8" w:rsidRPr="002715F2">
        <w:rPr>
          <w:rFonts w:eastAsia="Batang"/>
          <w:bCs/>
          <w:szCs w:val="24"/>
          <w:lang w:val="fr-FR" w:eastAsia="ko-KR"/>
        </w:rPr>
        <w:t xml:space="preserve"> </w:t>
      </w:r>
      <w:r w:rsidR="00F3230D" w:rsidRPr="002715F2">
        <w:rPr>
          <w:rFonts w:eastAsia="Batang"/>
          <w:bCs/>
          <w:szCs w:val="24"/>
          <w:lang w:val="fr-FR" w:eastAsia="ko-KR"/>
        </w:rPr>
        <w:t>auprès du tribunal</w:t>
      </w:r>
      <w:r w:rsidR="000078DA" w:rsidRPr="002715F2">
        <w:rPr>
          <w:rFonts w:eastAsia="Batang"/>
          <w:bCs/>
          <w:szCs w:val="24"/>
          <w:lang w:val="fr-FR" w:eastAsia="ko-KR"/>
        </w:rPr>
        <w:t>.</w:t>
      </w:r>
      <w:r w:rsidR="00F3230D" w:rsidRPr="002715F2">
        <w:rPr>
          <w:rFonts w:eastAsia="Batang"/>
          <w:bCs/>
          <w:szCs w:val="24"/>
          <w:lang w:val="fr-FR" w:eastAsia="ko-KR"/>
        </w:rPr>
        <w:t xml:space="preserve"> Ainsi, les auteurs d’actes de torture ou de mauvais traitements peuvent être sévèrement sanctionnés</w:t>
      </w:r>
      <w:r w:rsidR="00F60999" w:rsidRPr="002715F2">
        <w:rPr>
          <w:rFonts w:eastAsia="Batang"/>
          <w:bCs/>
          <w:szCs w:val="24"/>
          <w:lang w:val="fr-FR" w:eastAsia="ko-K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F3230D" w:rsidRPr="002715F2">
        <w:rPr>
          <w:rFonts w:eastAsia="Batang"/>
          <w:lang w:val="fr-FR" w:eastAsia="ko-KR"/>
        </w:rPr>
        <w:t>Gestion des affaires</w:t>
      </w:r>
      <w:r w:rsidR="000078DA" w:rsidRPr="002715F2">
        <w:rPr>
          <w:rFonts w:eastAsia="Batang"/>
          <w:lang w:val="fr-FR" w:eastAsia="ko-KR"/>
        </w:rPr>
        <w:t xml:space="preserve"> </w:t>
      </w:r>
      <w:r w:rsidR="00F3230D" w:rsidRPr="002715F2">
        <w:rPr>
          <w:rFonts w:eastAsia="Batang"/>
          <w:lang w:val="fr-FR" w:eastAsia="ko-KR"/>
        </w:rPr>
        <w:t>de to</w:t>
      </w:r>
      <w:r w:rsidR="000078DA" w:rsidRPr="002715F2">
        <w:rPr>
          <w:rFonts w:eastAsia="Batang"/>
          <w:lang w:val="fr-FR" w:eastAsia="ko-KR"/>
        </w:rPr>
        <w:t>rture</w:t>
      </w:r>
      <w:r w:rsidR="00F3230D" w:rsidRPr="002715F2">
        <w:rPr>
          <w:rFonts w:eastAsia="Batang"/>
          <w:lang w:val="fr-FR" w:eastAsia="ko-KR"/>
        </w:rPr>
        <w:t xml:space="preserve"> ou de mauvais traitements infligés </w:t>
      </w:r>
      <w:r w:rsidR="004E7C58" w:rsidRPr="002715F2">
        <w:rPr>
          <w:rFonts w:eastAsia="Batang"/>
          <w:lang w:val="fr-FR" w:eastAsia="ko-KR"/>
        </w:rPr>
        <w:t>dans les centres de détention</w:t>
      </w:r>
    </w:p>
    <w:p w:rsidR="000078DA" w:rsidRPr="002715F2" w:rsidRDefault="007026FB" w:rsidP="007026FB">
      <w:pPr>
        <w:pStyle w:val="SingleTxtG"/>
        <w:rPr>
          <w:rFonts w:eastAsia="Batang"/>
          <w:lang w:val="fr-FR" w:eastAsia="ko-KR"/>
        </w:rPr>
      </w:pPr>
      <w:r w:rsidRPr="002715F2">
        <w:rPr>
          <w:rFonts w:eastAsia="Batang"/>
          <w:lang w:val="fr-FR" w:eastAsia="ko-KR"/>
        </w:rPr>
        <w:t>129.</w:t>
      </w:r>
      <w:r w:rsidRPr="002715F2">
        <w:rPr>
          <w:rFonts w:eastAsia="Batang"/>
          <w:lang w:val="fr-FR" w:eastAsia="ko-KR"/>
        </w:rPr>
        <w:tab/>
      </w:r>
      <w:r w:rsidR="00F3230D" w:rsidRPr="002715F2">
        <w:rPr>
          <w:rFonts w:eastAsia="Batang"/>
          <w:lang w:val="fr-FR" w:eastAsia="ko-KR"/>
        </w:rPr>
        <w:t>Le</w:t>
      </w:r>
      <w:r w:rsidR="000078DA" w:rsidRPr="002715F2">
        <w:rPr>
          <w:rFonts w:eastAsia="Batang"/>
          <w:lang w:val="fr-FR" w:eastAsia="ko-KR"/>
        </w:rPr>
        <w:t xml:space="preserve"> </w:t>
      </w:r>
      <w:r w:rsidR="0039617D" w:rsidRPr="002715F2">
        <w:rPr>
          <w:rFonts w:eastAsia="Batang"/>
          <w:lang w:val="fr-FR" w:eastAsia="ko-KR"/>
        </w:rPr>
        <w:t>Gouvernement</w:t>
      </w:r>
      <w:r w:rsidR="000078DA" w:rsidRPr="002715F2">
        <w:rPr>
          <w:rFonts w:eastAsia="Batang"/>
          <w:lang w:val="fr-FR" w:eastAsia="ko-KR"/>
        </w:rPr>
        <w:t xml:space="preserve"> </w:t>
      </w:r>
      <w:r w:rsidR="00F3230D" w:rsidRPr="002715F2">
        <w:rPr>
          <w:rFonts w:eastAsia="Batang"/>
          <w:lang w:val="fr-FR" w:eastAsia="ko-KR"/>
        </w:rPr>
        <w:t xml:space="preserve">ne possède pas de données statistiques distinctes sur les cas de torture ou de mauvais traitements </w:t>
      </w:r>
      <w:r w:rsidR="00E34819" w:rsidRPr="002715F2">
        <w:rPr>
          <w:rFonts w:eastAsia="Batang"/>
          <w:lang w:val="fr-FR" w:eastAsia="ko-KR"/>
        </w:rPr>
        <w:t>signalés</w:t>
      </w:r>
      <w:r w:rsidR="00F3230D" w:rsidRPr="002715F2">
        <w:rPr>
          <w:rFonts w:eastAsia="Batang"/>
          <w:lang w:val="fr-FR" w:eastAsia="ko-KR"/>
        </w:rPr>
        <w:t xml:space="preserve"> dans les lieux de </w:t>
      </w:r>
      <w:r w:rsidR="0039617D" w:rsidRPr="002715F2">
        <w:rPr>
          <w:rFonts w:eastAsia="Batang"/>
          <w:lang w:val="fr-FR" w:eastAsia="ko-KR"/>
        </w:rPr>
        <w:t>détention</w:t>
      </w:r>
      <w:r w:rsidR="000078DA" w:rsidRPr="002715F2">
        <w:rPr>
          <w:rFonts w:eastAsia="Batang"/>
          <w:lang w:val="fr-FR" w:eastAsia="ko-KR"/>
        </w:rPr>
        <w:t xml:space="preserve">. </w:t>
      </w:r>
      <w:r w:rsidR="00F3230D" w:rsidRPr="002715F2">
        <w:rPr>
          <w:rFonts w:eastAsia="Batang"/>
          <w:lang w:val="fr-FR" w:eastAsia="ko-KR"/>
        </w:rPr>
        <w:t>Les personnes v</w:t>
      </w:r>
      <w:r w:rsidR="000078DA" w:rsidRPr="002715F2">
        <w:rPr>
          <w:rFonts w:eastAsia="Batang"/>
          <w:lang w:val="fr-FR" w:eastAsia="ko-KR"/>
        </w:rPr>
        <w:t>ictim</w:t>
      </w:r>
      <w:r w:rsidR="00F3230D" w:rsidRPr="002715F2">
        <w:rPr>
          <w:rFonts w:eastAsia="Batang"/>
          <w:lang w:val="fr-FR" w:eastAsia="ko-KR"/>
        </w:rPr>
        <w:t>e</w:t>
      </w:r>
      <w:r w:rsidR="000078DA" w:rsidRPr="002715F2">
        <w:rPr>
          <w:rFonts w:eastAsia="Batang"/>
          <w:lang w:val="fr-FR" w:eastAsia="ko-KR"/>
        </w:rPr>
        <w:t xml:space="preserve">s </w:t>
      </w:r>
      <w:r w:rsidR="00F3230D" w:rsidRPr="002715F2">
        <w:rPr>
          <w:rFonts w:eastAsia="Batang"/>
          <w:lang w:val="fr-FR" w:eastAsia="ko-KR"/>
        </w:rPr>
        <w:t xml:space="preserve">de </w:t>
      </w:r>
      <w:r w:rsidR="000078DA" w:rsidRPr="002715F2">
        <w:rPr>
          <w:rFonts w:eastAsia="Batang"/>
          <w:lang w:val="fr-FR" w:eastAsia="ko-KR"/>
        </w:rPr>
        <w:t>torture</w:t>
      </w:r>
      <w:r w:rsidR="00F3230D" w:rsidRPr="002715F2">
        <w:rPr>
          <w:rFonts w:eastAsia="Batang"/>
          <w:lang w:val="fr-FR" w:eastAsia="ko-KR"/>
        </w:rPr>
        <w:t xml:space="preserve"> ou de mauvais traitement</w:t>
      </w:r>
      <w:r w:rsidR="00E34819" w:rsidRPr="002715F2">
        <w:rPr>
          <w:rFonts w:eastAsia="Batang"/>
          <w:lang w:val="fr-FR" w:eastAsia="ko-KR"/>
        </w:rPr>
        <w:t>s</w:t>
      </w:r>
      <w:r w:rsidR="00F3230D" w:rsidRPr="002715F2">
        <w:rPr>
          <w:rFonts w:eastAsia="Batang"/>
          <w:lang w:val="fr-FR" w:eastAsia="ko-KR"/>
        </w:rPr>
        <w:t xml:space="preserve"> </w:t>
      </w:r>
      <w:r w:rsidR="00E34819" w:rsidRPr="002715F2">
        <w:rPr>
          <w:rFonts w:eastAsia="Batang"/>
          <w:lang w:val="fr-FR" w:eastAsia="ko-KR"/>
        </w:rPr>
        <w:t>en</w:t>
      </w:r>
      <w:r w:rsidR="00F3230D" w:rsidRPr="002715F2">
        <w:rPr>
          <w:rFonts w:eastAsia="Batang"/>
          <w:lang w:val="fr-FR" w:eastAsia="ko-KR"/>
        </w:rPr>
        <w:t xml:space="preserve"> </w:t>
      </w:r>
      <w:r w:rsidR="0039617D" w:rsidRPr="002715F2">
        <w:rPr>
          <w:rFonts w:eastAsia="Batang"/>
          <w:lang w:val="fr-FR" w:eastAsia="ko-KR"/>
        </w:rPr>
        <w:t>détention</w:t>
      </w:r>
      <w:r w:rsidR="00F3230D" w:rsidRPr="002715F2">
        <w:rPr>
          <w:rFonts w:eastAsia="Batang"/>
          <w:lang w:val="fr-FR" w:eastAsia="ko-KR"/>
        </w:rPr>
        <w:t xml:space="preserve"> disposent de divers recours</w:t>
      </w:r>
      <w:r w:rsidR="000078DA" w:rsidRPr="002715F2">
        <w:rPr>
          <w:rFonts w:eastAsia="Batang"/>
          <w:lang w:val="fr-FR" w:eastAsia="ko-KR"/>
        </w:rPr>
        <w:t xml:space="preserve">, </w:t>
      </w:r>
      <w:r w:rsidR="00F3230D" w:rsidRPr="002715F2">
        <w:rPr>
          <w:rFonts w:eastAsia="Batang"/>
          <w:lang w:val="fr-FR" w:eastAsia="ko-KR"/>
        </w:rPr>
        <w:t xml:space="preserve">et peuvent notamment </w:t>
      </w:r>
      <w:r w:rsidR="0039617D" w:rsidRPr="002715F2">
        <w:rPr>
          <w:rFonts w:eastAsia="Batang"/>
          <w:lang w:val="fr-FR" w:eastAsia="ko-KR"/>
        </w:rPr>
        <w:t>déposer</w:t>
      </w:r>
      <w:r w:rsidR="00F3230D" w:rsidRPr="002715F2">
        <w:rPr>
          <w:rFonts w:eastAsia="Batang"/>
          <w:lang w:val="fr-FR" w:eastAsia="ko-KR"/>
        </w:rPr>
        <w:t xml:space="preserve"> une plainte ou une </w:t>
      </w:r>
      <w:r w:rsidR="004C379E" w:rsidRPr="002715F2">
        <w:rPr>
          <w:rFonts w:eastAsia="Batang"/>
          <w:lang w:val="fr-FR" w:eastAsia="ko-KR"/>
        </w:rPr>
        <w:t>requête</w:t>
      </w:r>
      <w:r w:rsidR="000078DA" w:rsidRPr="002715F2">
        <w:rPr>
          <w:rFonts w:eastAsia="Batang"/>
          <w:lang w:val="fr-FR" w:eastAsia="ko-KR"/>
        </w:rPr>
        <w:t xml:space="preserve">. </w:t>
      </w:r>
      <w:r w:rsidR="004C379E" w:rsidRPr="002715F2">
        <w:rPr>
          <w:rFonts w:eastAsia="Batang"/>
          <w:lang w:val="fr-FR" w:eastAsia="ko-KR"/>
        </w:rPr>
        <w:t>En particulier, tous les nouveaux détenus, y compris les détenus militaires, sont informés de leurs droits et des procédures de recours</w:t>
      </w:r>
      <w:r w:rsidR="003C13B1" w:rsidRPr="002715F2">
        <w:rPr>
          <w:rFonts w:eastAsia="Batang"/>
          <w:lang w:val="fr-FR" w:eastAsia="ko-KR"/>
        </w:rPr>
        <w:t xml:space="preserve"> disponibles</w:t>
      </w:r>
      <w:r w:rsidR="004C379E" w:rsidRPr="002715F2">
        <w:rPr>
          <w:rFonts w:eastAsia="Batang"/>
          <w:lang w:val="fr-FR" w:eastAsia="ko-KR"/>
        </w:rPr>
        <w:t xml:space="preserve">, notamment de la possibilité d’adresser une </w:t>
      </w:r>
      <w:r w:rsidR="0039617D" w:rsidRPr="002715F2">
        <w:rPr>
          <w:rFonts w:eastAsia="Batang"/>
          <w:lang w:val="fr-FR" w:eastAsia="ko-KR"/>
        </w:rPr>
        <w:t>requête</w:t>
      </w:r>
      <w:r w:rsidR="004C379E" w:rsidRPr="002715F2">
        <w:rPr>
          <w:rFonts w:eastAsia="Batang"/>
          <w:lang w:val="fr-FR" w:eastAsia="ko-KR"/>
        </w:rPr>
        <w:t xml:space="preserve"> à la Commission nationale des droits de l’homme</w:t>
      </w:r>
      <w:r w:rsidR="000078DA" w:rsidRPr="002715F2">
        <w:rPr>
          <w:rFonts w:eastAsia="Batang"/>
          <w:lang w:val="fr-FR" w:eastAsia="ko-KR"/>
        </w:rPr>
        <w:t xml:space="preserve">. </w:t>
      </w:r>
      <w:r w:rsidR="004C379E" w:rsidRPr="002715F2">
        <w:rPr>
          <w:rFonts w:eastAsia="Batang"/>
          <w:lang w:val="fr-FR" w:eastAsia="ko-KR"/>
        </w:rPr>
        <w:t xml:space="preserve">Les paragraphes ci-après décrivent les données statistiques collectées par chaque institution en charge </w:t>
      </w:r>
      <w:r w:rsidR="003C13B1" w:rsidRPr="002715F2">
        <w:rPr>
          <w:rFonts w:eastAsia="MS Mincho"/>
          <w:lang w:val="fr-FR"/>
        </w:rPr>
        <w:t xml:space="preserve">d’accorder réparation </w:t>
      </w:r>
      <w:r w:rsidR="003C13B1" w:rsidRPr="002715F2">
        <w:rPr>
          <w:rFonts w:eastAsia="Batang"/>
          <w:lang w:val="fr-FR" w:eastAsia="ko-KR"/>
        </w:rPr>
        <w:t>pour les</w:t>
      </w:r>
      <w:r w:rsidR="004C379E" w:rsidRPr="002715F2">
        <w:rPr>
          <w:rFonts w:eastAsia="Batang"/>
          <w:lang w:val="fr-FR" w:eastAsia="ko-KR"/>
        </w:rPr>
        <w:t xml:space="preserve"> </w:t>
      </w:r>
      <w:r w:rsidR="003C13B1" w:rsidRPr="002715F2">
        <w:rPr>
          <w:rFonts w:eastAsia="Batang"/>
          <w:lang w:val="fr-FR" w:eastAsia="ko-KR"/>
        </w:rPr>
        <w:t>violations</w:t>
      </w:r>
      <w:r w:rsidR="004C379E" w:rsidRPr="002715F2">
        <w:rPr>
          <w:rFonts w:eastAsia="Batang"/>
          <w:lang w:val="fr-FR" w:eastAsia="ko-KR"/>
        </w:rPr>
        <w:t xml:space="preserve"> des droits de l’homme </w:t>
      </w:r>
      <w:r w:rsidR="003C13B1" w:rsidRPr="002715F2">
        <w:rPr>
          <w:rFonts w:eastAsia="Batang"/>
          <w:lang w:val="fr-FR" w:eastAsia="ko-KR"/>
        </w:rPr>
        <w:t xml:space="preserve">survenues </w:t>
      </w:r>
      <w:r w:rsidR="004C379E" w:rsidRPr="002715F2">
        <w:rPr>
          <w:rFonts w:eastAsia="Batang"/>
          <w:lang w:val="fr-FR" w:eastAsia="ko-KR"/>
        </w:rPr>
        <w:t>en détention</w:t>
      </w:r>
      <w:r w:rsidR="000078DA" w:rsidRPr="002715F2">
        <w:rPr>
          <w:rFonts w:eastAsia="Batang"/>
          <w:lang w:val="fr-FR" w:eastAsia="ko-KR"/>
        </w:rPr>
        <w:t>.</w:t>
      </w:r>
    </w:p>
    <w:p w:rsidR="000078DA" w:rsidRPr="002715F2" w:rsidRDefault="007026FB" w:rsidP="0009190A">
      <w:pPr>
        <w:pStyle w:val="SingleTxtG"/>
        <w:rPr>
          <w:rFonts w:eastAsia="Gulim"/>
          <w:lang w:val="fr-FR" w:eastAsia="ko-KR"/>
        </w:rPr>
      </w:pPr>
      <w:r w:rsidRPr="002715F2">
        <w:rPr>
          <w:rFonts w:eastAsia="Gulim"/>
          <w:lang w:val="fr-FR" w:eastAsia="ko-KR"/>
        </w:rPr>
        <w:t>130.</w:t>
      </w:r>
      <w:r w:rsidRPr="002715F2">
        <w:rPr>
          <w:rFonts w:eastAsia="Gulim"/>
          <w:lang w:val="fr-FR" w:eastAsia="ko-KR"/>
        </w:rPr>
        <w:tab/>
      </w:r>
      <w:r w:rsidR="00BD323C" w:rsidRPr="002715F2">
        <w:rPr>
          <w:rFonts w:eastAsia="Gulim"/>
          <w:lang w:val="fr-FR" w:eastAsia="ko-KR"/>
        </w:rPr>
        <w:t xml:space="preserve">Tout détenu qui n’est pas satisfait </w:t>
      </w:r>
      <w:r w:rsidR="00C420EA" w:rsidRPr="002715F2">
        <w:rPr>
          <w:rFonts w:eastAsia="Gulim"/>
          <w:lang w:val="fr-FR" w:eastAsia="ko-KR"/>
        </w:rPr>
        <w:t>du traitement auquel il est soumis peu</w:t>
      </w:r>
      <w:r w:rsidR="00BD323C" w:rsidRPr="002715F2">
        <w:rPr>
          <w:rFonts w:eastAsia="Gulim"/>
          <w:lang w:val="fr-FR" w:eastAsia="ko-KR"/>
        </w:rPr>
        <w:t xml:space="preserve">t adresser une requête au Ministre de la </w:t>
      </w:r>
      <w:r w:rsidR="00644663" w:rsidRPr="002715F2">
        <w:rPr>
          <w:rFonts w:eastAsia="Gulim"/>
          <w:lang w:val="fr-FR" w:eastAsia="ko-KR"/>
        </w:rPr>
        <w:t>justice</w:t>
      </w:r>
      <w:r w:rsidR="00BD323C" w:rsidRPr="002715F2">
        <w:rPr>
          <w:rFonts w:eastAsia="Gulim"/>
          <w:lang w:val="fr-FR" w:eastAsia="ko-KR"/>
        </w:rPr>
        <w:t xml:space="preserve">, aux fonctionnaires en cours d’inspection ou </w:t>
      </w:r>
      <w:r w:rsidR="0009190A" w:rsidRPr="002715F2">
        <w:rPr>
          <w:rFonts w:eastAsia="Gulim"/>
          <w:lang w:val="fr-FR" w:eastAsia="ko-KR"/>
        </w:rPr>
        <w:t xml:space="preserve">aux </w:t>
      </w:r>
      <w:r w:rsidR="0009190A" w:rsidRPr="002715F2">
        <w:rPr>
          <w:rFonts w:eastAsia="MS Mincho"/>
          <w:lang w:val="fr-FR"/>
        </w:rPr>
        <w:t xml:space="preserve">commissaires </w:t>
      </w:r>
      <w:r w:rsidR="0009190A" w:rsidRPr="002715F2">
        <w:rPr>
          <w:rFonts w:eastAsia="Gulim"/>
          <w:lang w:val="fr-FR" w:eastAsia="ko-KR"/>
        </w:rPr>
        <w:t xml:space="preserve">des services </w:t>
      </w:r>
      <w:r w:rsidR="007D503B" w:rsidRPr="002715F2">
        <w:rPr>
          <w:rFonts w:eastAsia="Gulim"/>
          <w:lang w:val="fr-FR" w:eastAsia="ko-KR"/>
        </w:rPr>
        <w:t xml:space="preserve">correctionnels </w:t>
      </w:r>
      <w:r w:rsidR="0009190A" w:rsidRPr="002715F2">
        <w:rPr>
          <w:rFonts w:eastAsia="Gulim"/>
          <w:lang w:val="fr-FR" w:eastAsia="ko-KR"/>
        </w:rPr>
        <w:t>régionaux</w:t>
      </w:r>
      <w:r w:rsidR="00BD323C" w:rsidRPr="002715F2">
        <w:rPr>
          <w:rFonts w:eastAsia="Gulim"/>
          <w:lang w:val="fr-FR" w:eastAsia="ko-KR"/>
        </w:rPr>
        <w:t xml:space="preserve"> (loi </w:t>
      </w:r>
      <w:r w:rsidR="003D6E5E" w:rsidRPr="002715F2">
        <w:rPr>
          <w:rFonts w:eastAsia="Gulim"/>
          <w:lang w:val="fr-FR" w:eastAsia="ko-KR"/>
        </w:rPr>
        <w:t xml:space="preserve">relative à </w:t>
      </w:r>
      <w:r w:rsidR="00BD323C" w:rsidRPr="002715F2">
        <w:rPr>
          <w:rFonts w:eastAsia="Gulim"/>
          <w:lang w:val="fr-FR" w:eastAsia="ko-KR"/>
        </w:rPr>
        <w:t xml:space="preserve">l’exécution des </w:t>
      </w:r>
      <w:r w:rsidR="00C420EA" w:rsidRPr="002715F2">
        <w:rPr>
          <w:rFonts w:eastAsia="Gulim"/>
          <w:lang w:val="fr-FR" w:eastAsia="ko-KR"/>
        </w:rPr>
        <w:t xml:space="preserve">sanctions pénales </w:t>
      </w:r>
      <w:r w:rsidR="00BD323C" w:rsidRPr="002715F2">
        <w:rPr>
          <w:rFonts w:eastAsia="Gulim"/>
          <w:lang w:val="fr-FR" w:eastAsia="ko-KR"/>
        </w:rPr>
        <w:t xml:space="preserve">et </w:t>
      </w:r>
      <w:r w:rsidR="003D6E5E" w:rsidRPr="002715F2">
        <w:rPr>
          <w:rFonts w:eastAsia="Gulim"/>
          <w:lang w:val="fr-FR" w:eastAsia="ko-KR"/>
        </w:rPr>
        <w:t>au</w:t>
      </w:r>
      <w:r w:rsidR="00BD323C" w:rsidRPr="002715F2">
        <w:rPr>
          <w:rFonts w:eastAsia="Gulim"/>
          <w:lang w:val="fr-FR" w:eastAsia="ko-KR"/>
        </w:rPr>
        <w:t xml:space="preserve"> traitement des détenus, art. 117, par. 1)</w:t>
      </w:r>
      <w:r w:rsidR="000078DA" w:rsidRPr="002715F2">
        <w:rPr>
          <w:rFonts w:eastAsia="Gulim"/>
          <w:lang w:val="fr-FR" w:eastAsia="ko-KR"/>
        </w:rPr>
        <w:t xml:space="preserve">. </w:t>
      </w:r>
      <w:r w:rsidR="00C420EA" w:rsidRPr="002715F2">
        <w:rPr>
          <w:rFonts w:eastAsia="Gulim"/>
          <w:lang w:val="fr-FR" w:eastAsia="ko-KR"/>
        </w:rPr>
        <w:t xml:space="preserve">Entre </w:t>
      </w:r>
      <w:r w:rsidR="000078DA" w:rsidRPr="002715F2">
        <w:rPr>
          <w:rFonts w:eastAsia="Gulim"/>
          <w:lang w:val="fr-FR" w:eastAsia="ko-KR"/>
        </w:rPr>
        <w:t xml:space="preserve">2006 </w:t>
      </w:r>
      <w:r w:rsidR="00C420EA" w:rsidRPr="002715F2">
        <w:rPr>
          <w:rFonts w:eastAsia="Gulim"/>
          <w:lang w:val="fr-FR" w:eastAsia="ko-KR"/>
        </w:rPr>
        <w:t xml:space="preserve">et </w:t>
      </w:r>
      <w:r w:rsidR="000078DA" w:rsidRPr="002715F2">
        <w:rPr>
          <w:rFonts w:eastAsia="Gulim"/>
          <w:lang w:val="fr-FR" w:eastAsia="ko-KR"/>
        </w:rPr>
        <w:t xml:space="preserve">2015, </w:t>
      </w:r>
      <w:r w:rsidR="0009190A" w:rsidRPr="002715F2">
        <w:rPr>
          <w:rFonts w:eastAsia="Gulim"/>
          <w:lang w:val="fr-FR" w:eastAsia="ko-KR"/>
        </w:rPr>
        <w:t xml:space="preserve">ces requêtes étaient au nombre de </w:t>
      </w:r>
      <w:r w:rsidR="00C420EA" w:rsidRPr="002715F2">
        <w:rPr>
          <w:rFonts w:eastAsia="Gulim"/>
          <w:lang w:val="fr-FR" w:eastAsia="ko-KR"/>
        </w:rPr>
        <w:t>1 </w:t>
      </w:r>
      <w:r w:rsidR="000078DA" w:rsidRPr="002715F2">
        <w:rPr>
          <w:rFonts w:eastAsia="Gulim"/>
          <w:lang w:val="fr-FR" w:eastAsia="ko-KR"/>
        </w:rPr>
        <w:t>495</w:t>
      </w:r>
      <w:r w:rsidR="00C420EA" w:rsidRPr="002715F2">
        <w:rPr>
          <w:rFonts w:eastAsia="Gulim"/>
          <w:lang w:val="fr-FR" w:eastAsia="ko-KR"/>
        </w:rPr>
        <w:t xml:space="preserve"> en 2006, 1 999 en 2007, 2 330 en 2008, 2 205 en 2009, 1 573 e</w:t>
      </w:r>
      <w:r w:rsidR="000078DA" w:rsidRPr="002715F2">
        <w:rPr>
          <w:rFonts w:eastAsia="Gulim"/>
          <w:lang w:val="fr-FR" w:eastAsia="ko-KR"/>
        </w:rPr>
        <w:t>n 2010, 1</w:t>
      </w:r>
      <w:r w:rsidR="00C420EA" w:rsidRPr="002715F2">
        <w:rPr>
          <w:rFonts w:eastAsia="Gulim"/>
          <w:lang w:val="fr-FR" w:eastAsia="ko-KR"/>
        </w:rPr>
        <w:t> 313 e</w:t>
      </w:r>
      <w:r w:rsidR="000078DA" w:rsidRPr="002715F2">
        <w:rPr>
          <w:rFonts w:eastAsia="Gulim"/>
          <w:lang w:val="fr-FR" w:eastAsia="ko-KR"/>
        </w:rPr>
        <w:t xml:space="preserve">n 2011, </w:t>
      </w:r>
      <w:r w:rsidR="00C420EA" w:rsidRPr="002715F2">
        <w:rPr>
          <w:rFonts w:eastAsia="휴먼명조"/>
          <w:shd w:val="clear" w:color="auto" w:fill="FFFFFF"/>
          <w:lang w:val="fr-FR" w:eastAsia="ko-KR"/>
        </w:rPr>
        <w:t>1 094 e</w:t>
      </w:r>
      <w:r w:rsidR="000078DA" w:rsidRPr="002715F2">
        <w:rPr>
          <w:rFonts w:eastAsia="휴먼명조"/>
          <w:shd w:val="clear" w:color="auto" w:fill="FFFFFF"/>
          <w:lang w:val="fr-FR" w:eastAsia="ko-KR"/>
        </w:rPr>
        <w:t xml:space="preserve">n 2012, </w:t>
      </w:r>
      <w:r w:rsidR="00C420EA" w:rsidRPr="002715F2">
        <w:rPr>
          <w:rFonts w:eastAsia="휴먼명조"/>
          <w:color w:val="000000"/>
          <w:lang w:val="fr-FR" w:eastAsia="ko-KR"/>
        </w:rPr>
        <w:t>1 071 en 2013, 903 e</w:t>
      </w:r>
      <w:r w:rsidR="000078DA" w:rsidRPr="002715F2">
        <w:rPr>
          <w:rFonts w:eastAsia="휴먼명조"/>
          <w:color w:val="000000"/>
          <w:lang w:val="fr-FR" w:eastAsia="ko-KR"/>
        </w:rPr>
        <w:t>n 2014</w:t>
      </w:r>
      <w:r w:rsidR="00C420EA" w:rsidRPr="002715F2">
        <w:rPr>
          <w:rFonts w:eastAsia="휴먼명조"/>
          <w:color w:val="000000"/>
          <w:lang w:val="fr-FR" w:eastAsia="ko-KR"/>
        </w:rPr>
        <w:t xml:space="preserve"> et</w:t>
      </w:r>
      <w:r w:rsidR="000078DA" w:rsidRPr="002715F2">
        <w:rPr>
          <w:rFonts w:eastAsia="휴먼명조"/>
          <w:color w:val="000000"/>
          <w:lang w:val="fr-FR" w:eastAsia="ko-KR"/>
        </w:rPr>
        <w:t xml:space="preserve"> 957</w:t>
      </w:r>
      <w:r w:rsidR="00C420EA" w:rsidRPr="002715F2">
        <w:rPr>
          <w:rFonts w:eastAsia="Gulim"/>
          <w:color w:val="000000"/>
          <w:lang w:val="fr-FR" w:eastAsia="ko-KR"/>
        </w:rPr>
        <w:t xml:space="preserve"> e</w:t>
      </w:r>
      <w:r w:rsidR="000078DA" w:rsidRPr="002715F2">
        <w:rPr>
          <w:rFonts w:eastAsia="Gulim"/>
          <w:color w:val="000000"/>
          <w:lang w:val="fr-FR" w:eastAsia="ko-KR"/>
        </w:rPr>
        <w:t>n 2015</w:t>
      </w:r>
      <w:r w:rsidR="000078DA" w:rsidRPr="002715F2">
        <w:rPr>
          <w:rFonts w:eastAsia="Gulim"/>
          <w:lang w:val="fr-FR" w:eastAsia="ko-KR"/>
        </w:rPr>
        <w:t xml:space="preserve">. </w:t>
      </w:r>
      <w:r w:rsidR="00C420EA" w:rsidRPr="002715F2">
        <w:rPr>
          <w:rFonts w:eastAsia="Gulim"/>
          <w:lang w:val="fr-FR" w:eastAsia="ko-KR"/>
        </w:rPr>
        <w:t xml:space="preserve">Les enquêtes </w:t>
      </w:r>
      <w:r w:rsidR="0009190A" w:rsidRPr="002715F2">
        <w:rPr>
          <w:rFonts w:eastAsia="Gulim"/>
          <w:lang w:val="fr-FR" w:eastAsia="ko-KR"/>
        </w:rPr>
        <w:t xml:space="preserve">menées </w:t>
      </w:r>
      <w:r w:rsidR="00C420EA" w:rsidRPr="002715F2">
        <w:rPr>
          <w:rFonts w:eastAsia="Gulim"/>
          <w:lang w:val="fr-FR" w:eastAsia="ko-KR"/>
        </w:rPr>
        <w:t xml:space="preserve">ont permis de confirmer que le personnel </w:t>
      </w:r>
      <w:r w:rsidR="0039617D" w:rsidRPr="002715F2">
        <w:rPr>
          <w:rFonts w:eastAsia="Gulim"/>
          <w:lang w:val="fr-FR" w:eastAsia="ko-KR"/>
        </w:rPr>
        <w:t>pénitentiaire</w:t>
      </w:r>
      <w:r w:rsidR="00C420EA" w:rsidRPr="002715F2">
        <w:rPr>
          <w:rFonts w:eastAsia="Gulim"/>
          <w:lang w:val="fr-FR" w:eastAsia="ko-KR"/>
        </w:rPr>
        <w:t xml:space="preserve"> n’avait commis aucun acte de cruauté</w:t>
      </w:r>
      <w:r w:rsidR="000078DA" w:rsidRPr="002715F2">
        <w:rPr>
          <w:rFonts w:eastAsia="Gulim"/>
          <w:lang w:val="fr-FR" w:eastAsia="ko-KR"/>
        </w:rPr>
        <w:t xml:space="preserve">. </w:t>
      </w:r>
      <w:r w:rsidR="00C420EA" w:rsidRPr="002715F2">
        <w:rPr>
          <w:rFonts w:eastAsia="Gulim"/>
          <w:lang w:val="fr-FR" w:eastAsia="ko-KR"/>
        </w:rPr>
        <w:t xml:space="preserve">Tout détenu </w:t>
      </w:r>
      <w:r w:rsidR="0039617D" w:rsidRPr="002715F2">
        <w:rPr>
          <w:rFonts w:eastAsia="Gulim"/>
          <w:lang w:val="fr-FR" w:eastAsia="ko-KR"/>
        </w:rPr>
        <w:t>militaire</w:t>
      </w:r>
      <w:r w:rsidR="00C420EA" w:rsidRPr="002715F2">
        <w:rPr>
          <w:rFonts w:eastAsia="Gulim"/>
          <w:lang w:val="fr-FR" w:eastAsia="ko-KR"/>
        </w:rPr>
        <w:t xml:space="preserve"> peut également, s’il n’est pas satisfait de son traitement, </w:t>
      </w:r>
      <w:r w:rsidR="0039617D" w:rsidRPr="002715F2">
        <w:rPr>
          <w:rFonts w:eastAsia="Gulim"/>
          <w:lang w:val="fr-FR" w:eastAsia="ko-KR"/>
        </w:rPr>
        <w:t>adresser</w:t>
      </w:r>
      <w:r w:rsidR="00C420EA" w:rsidRPr="002715F2">
        <w:rPr>
          <w:rFonts w:eastAsia="Gulim"/>
          <w:lang w:val="fr-FR" w:eastAsia="ko-KR"/>
        </w:rPr>
        <w:t xml:space="preserve"> une requête</w:t>
      </w:r>
      <w:r w:rsidR="000078DA" w:rsidRPr="002715F2">
        <w:rPr>
          <w:rFonts w:eastAsia="Gulim"/>
          <w:lang w:val="fr-FR" w:eastAsia="ko-KR"/>
        </w:rPr>
        <w:t xml:space="preserve"> </w:t>
      </w:r>
      <w:r w:rsidR="00C420EA" w:rsidRPr="002715F2">
        <w:rPr>
          <w:rFonts w:eastAsia="Gulim"/>
          <w:lang w:val="fr-FR" w:eastAsia="ko-KR"/>
        </w:rPr>
        <w:t>au Minist</w:t>
      </w:r>
      <w:r w:rsidR="000078DA" w:rsidRPr="002715F2">
        <w:rPr>
          <w:rFonts w:eastAsia="Gulim"/>
          <w:lang w:val="fr-FR" w:eastAsia="ko-KR"/>
        </w:rPr>
        <w:t>r</w:t>
      </w:r>
      <w:r w:rsidR="00C420EA" w:rsidRPr="002715F2">
        <w:rPr>
          <w:rFonts w:eastAsia="Gulim"/>
          <w:lang w:val="fr-FR" w:eastAsia="ko-KR"/>
        </w:rPr>
        <w:t xml:space="preserve">e de la </w:t>
      </w:r>
      <w:r w:rsidR="0039617D" w:rsidRPr="002715F2">
        <w:rPr>
          <w:rFonts w:eastAsia="Gulim"/>
          <w:lang w:val="fr-FR" w:eastAsia="ko-KR"/>
        </w:rPr>
        <w:t>défense</w:t>
      </w:r>
      <w:r w:rsidR="00C420EA" w:rsidRPr="002715F2">
        <w:rPr>
          <w:rFonts w:eastAsia="Gulim"/>
          <w:lang w:val="fr-FR" w:eastAsia="ko-KR"/>
        </w:rPr>
        <w:t xml:space="preserve"> nationale ou aux fonctionnaires en cours d’inspection</w:t>
      </w:r>
      <w:r w:rsidR="000078DA" w:rsidRPr="002715F2">
        <w:rPr>
          <w:rFonts w:eastAsia="Gulim"/>
          <w:lang w:val="fr-FR" w:eastAsia="ko-KR"/>
        </w:rPr>
        <w:t xml:space="preserve"> (</w:t>
      </w:r>
      <w:r w:rsidR="00C420EA" w:rsidRPr="002715F2">
        <w:rPr>
          <w:rFonts w:eastAsia="Gulim"/>
          <w:lang w:val="fr-FR" w:eastAsia="ko-KR"/>
        </w:rPr>
        <w:t xml:space="preserve">loi </w:t>
      </w:r>
      <w:r w:rsidR="003D6E5E" w:rsidRPr="002715F2">
        <w:rPr>
          <w:rFonts w:eastAsia="Gulim"/>
          <w:lang w:val="fr-FR" w:eastAsia="ko-KR"/>
        </w:rPr>
        <w:t xml:space="preserve">relative à l’exécution </w:t>
      </w:r>
      <w:r w:rsidR="00C420EA" w:rsidRPr="002715F2">
        <w:rPr>
          <w:rFonts w:eastAsia="Gulim"/>
          <w:lang w:val="fr-FR" w:eastAsia="ko-KR"/>
        </w:rPr>
        <w:t xml:space="preserve">des sanctions pénales dans les forces armées et </w:t>
      </w:r>
      <w:r w:rsidR="003D6E5E" w:rsidRPr="002715F2">
        <w:rPr>
          <w:rFonts w:eastAsia="Gulim"/>
          <w:lang w:val="fr-FR" w:eastAsia="ko-KR"/>
        </w:rPr>
        <w:t>au</w:t>
      </w:r>
      <w:r w:rsidR="00C420EA" w:rsidRPr="002715F2">
        <w:rPr>
          <w:rFonts w:eastAsia="Gulim"/>
          <w:lang w:val="fr-FR" w:eastAsia="ko-KR"/>
        </w:rPr>
        <w:t xml:space="preserve"> traitement des détenus militaires,</w:t>
      </w:r>
      <w:r w:rsidR="00F60999" w:rsidRPr="002715F2">
        <w:rPr>
          <w:rFonts w:eastAsia="Gulim"/>
          <w:lang w:val="fr-FR" w:eastAsia="ko-KR"/>
        </w:rPr>
        <w:t xml:space="preserve"> </w:t>
      </w:r>
      <w:r w:rsidR="00BD1A84" w:rsidRPr="002715F2">
        <w:rPr>
          <w:rFonts w:eastAsia="Gulim"/>
          <w:lang w:val="fr-FR" w:eastAsia="ko-KR"/>
        </w:rPr>
        <w:t>art. </w:t>
      </w:r>
      <w:r w:rsidR="00F60999" w:rsidRPr="002715F2">
        <w:rPr>
          <w:rFonts w:eastAsia="Gulim"/>
          <w:lang w:val="fr-FR" w:eastAsia="ko-KR"/>
        </w:rPr>
        <w:t>102</w:t>
      </w:r>
      <w:r w:rsidR="00C420EA" w:rsidRPr="002715F2">
        <w:rPr>
          <w:rFonts w:eastAsia="Gulim"/>
          <w:lang w:val="fr-FR" w:eastAsia="ko-KR"/>
        </w:rPr>
        <w:t>,</w:t>
      </w:r>
      <w:r w:rsidR="00F60999" w:rsidRPr="002715F2">
        <w:rPr>
          <w:rFonts w:eastAsia="Gulim"/>
          <w:lang w:val="fr-FR" w:eastAsia="ko-KR"/>
        </w:rPr>
        <w:t xml:space="preserve"> </w:t>
      </w:r>
      <w:r w:rsidR="00BD1A84" w:rsidRPr="002715F2">
        <w:rPr>
          <w:rFonts w:eastAsia="Gulim"/>
          <w:lang w:val="fr-FR" w:eastAsia="ko-KR"/>
        </w:rPr>
        <w:t>par. </w:t>
      </w:r>
      <w:r w:rsidR="00F60999" w:rsidRPr="002715F2">
        <w:rPr>
          <w:rFonts w:eastAsia="Gulim"/>
          <w:lang w:val="fr-FR" w:eastAsia="ko-KR"/>
        </w:rPr>
        <w:t>1).</w:t>
      </w:r>
    </w:p>
    <w:p w:rsidR="000078DA" w:rsidRPr="002715F2" w:rsidRDefault="007026FB" w:rsidP="007026FB">
      <w:pPr>
        <w:pStyle w:val="SingleTxtG"/>
        <w:rPr>
          <w:rFonts w:eastAsia="Batang"/>
          <w:lang w:val="fr-FR" w:eastAsia="ko-KR"/>
        </w:rPr>
      </w:pPr>
      <w:r w:rsidRPr="002715F2">
        <w:rPr>
          <w:rFonts w:eastAsia="Batang"/>
          <w:lang w:val="fr-FR" w:eastAsia="ko-KR"/>
        </w:rPr>
        <w:t>131.</w:t>
      </w:r>
      <w:r w:rsidRPr="002715F2">
        <w:rPr>
          <w:rFonts w:eastAsia="Batang"/>
          <w:lang w:val="fr-FR" w:eastAsia="ko-KR"/>
        </w:rPr>
        <w:tab/>
      </w:r>
      <w:r w:rsidR="0009190A" w:rsidRPr="002715F2">
        <w:rPr>
          <w:rFonts w:eastAsia="Batang"/>
          <w:lang w:val="fr-FR" w:eastAsia="ko-KR"/>
        </w:rPr>
        <w:t>Toute personne</w:t>
      </w:r>
      <w:r w:rsidR="00C420EA" w:rsidRPr="002715F2">
        <w:rPr>
          <w:rFonts w:eastAsia="Batang"/>
          <w:lang w:val="fr-FR" w:eastAsia="ko-KR"/>
        </w:rPr>
        <w:t xml:space="preserve"> </w:t>
      </w:r>
      <w:r w:rsidR="0009190A" w:rsidRPr="002715F2">
        <w:rPr>
          <w:rFonts w:ascii="TimesNewRomanPSMT" w:hAnsi="TimesNewRomanPSMT" w:cs="TimesNewRomanPSMT"/>
          <w:lang w:val="fr-FR" w:eastAsia="en-GB"/>
        </w:rPr>
        <w:t>prise en charge médicalement pendant sa détention</w:t>
      </w:r>
      <w:r w:rsidR="00C420EA" w:rsidRPr="002715F2">
        <w:rPr>
          <w:rFonts w:eastAsia="Batang"/>
          <w:lang w:val="fr-FR" w:eastAsia="ko-KR"/>
        </w:rPr>
        <w:t xml:space="preserve">, ou </w:t>
      </w:r>
      <w:r w:rsidR="0009190A" w:rsidRPr="002715F2">
        <w:rPr>
          <w:rFonts w:eastAsia="Batang"/>
          <w:lang w:val="fr-FR" w:eastAsia="ko-KR"/>
        </w:rPr>
        <w:t>son</w:t>
      </w:r>
      <w:r w:rsidR="00C420EA" w:rsidRPr="002715F2">
        <w:rPr>
          <w:rFonts w:eastAsia="Batang"/>
          <w:lang w:val="fr-FR" w:eastAsia="ko-KR"/>
        </w:rPr>
        <w:t xml:space="preserve"> représentant léga</w:t>
      </w:r>
      <w:r w:rsidR="0009190A" w:rsidRPr="002715F2">
        <w:rPr>
          <w:rFonts w:eastAsia="Batang"/>
          <w:lang w:val="fr-FR" w:eastAsia="ko-KR"/>
        </w:rPr>
        <w:t>l</w:t>
      </w:r>
      <w:r w:rsidR="00C420EA" w:rsidRPr="002715F2">
        <w:rPr>
          <w:rFonts w:eastAsia="Batang"/>
          <w:lang w:val="fr-FR" w:eastAsia="ko-KR"/>
        </w:rPr>
        <w:t>, peut adresser une requête au Ministre de la justice en vue d’</w:t>
      </w:r>
      <w:r w:rsidR="0039617D" w:rsidRPr="002715F2">
        <w:rPr>
          <w:rFonts w:eastAsia="Batang"/>
          <w:lang w:val="fr-FR" w:eastAsia="ko-KR"/>
        </w:rPr>
        <w:t>obtenir</w:t>
      </w:r>
      <w:r w:rsidR="00C420EA" w:rsidRPr="002715F2">
        <w:rPr>
          <w:rFonts w:eastAsia="Batang"/>
          <w:lang w:val="fr-FR" w:eastAsia="ko-KR"/>
        </w:rPr>
        <w:t xml:space="preserve"> une amélioration de </w:t>
      </w:r>
      <w:r w:rsidR="00C6310C" w:rsidRPr="002715F2">
        <w:rPr>
          <w:rFonts w:eastAsia="Batang"/>
          <w:lang w:val="fr-FR" w:eastAsia="ko-KR"/>
        </w:rPr>
        <w:t>son</w:t>
      </w:r>
      <w:r w:rsidR="00C420EA" w:rsidRPr="002715F2">
        <w:rPr>
          <w:rFonts w:eastAsia="Batang"/>
          <w:lang w:val="fr-FR" w:eastAsia="ko-KR"/>
        </w:rPr>
        <w:t xml:space="preserve"> traitement (</w:t>
      </w:r>
      <w:r w:rsidR="00C6310C" w:rsidRPr="002715F2">
        <w:rPr>
          <w:rFonts w:eastAsia="Batang"/>
          <w:lang w:val="fr-FR" w:eastAsia="ko-KR"/>
        </w:rPr>
        <w:t>loi sur la privation de liberté et les traitements médicaux</w:t>
      </w:r>
      <w:r w:rsidR="00C420EA" w:rsidRPr="002715F2">
        <w:rPr>
          <w:rFonts w:eastAsia="Batang"/>
          <w:lang w:val="fr-FR" w:eastAsia="ko-KR"/>
        </w:rPr>
        <w:t>, art. 30, par. 1)</w:t>
      </w:r>
      <w:r w:rsidR="000078DA" w:rsidRPr="002715F2">
        <w:rPr>
          <w:rFonts w:eastAsia="Batang"/>
          <w:lang w:val="fr-FR" w:eastAsia="ko-KR"/>
        </w:rPr>
        <w:t xml:space="preserve">. </w:t>
      </w:r>
      <w:r w:rsidR="00981E8E" w:rsidRPr="002715F2">
        <w:rPr>
          <w:rFonts w:eastAsia="Batang"/>
          <w:lang w:val="fr-FR" w:eastAsia="ko-KR"/>
        </w:rPr>
        <w:t>Entre</w:t>
      </w:r>
      <w:r w:rsidR="000078DA" w:rsidRPr="002715F2">
        <w:rPr>
          <w:rFonts w:eastAsia="Batang"/>
          <w:lang w:val="fr-FR" w:eastAsia="ko-KR"/>
        </w:rPr>
        <w:t xml:space="preserve"> 2006 </w:t>
      </w:r>
      <w:r w:rsidR="00981E8E" w:rsidRPr="002715F2">
        <w:rPr>
          <w:rFonts w:eastAsia="Batang"/>
          <w:lang w:val="fr-FR" w:eastAsia="ko-KR"/>
        </w:rPr>
        <w:t>et</w:t>
      </w:r>
      <w:r w:rsidR="000078DA" w:rsidRPr="002715F2">
        <w:rPr>
          <w:rFonts w:eastAsia="Batang"/>
          <w:lang w:val="fr-FR" w:eastAsia="ko-KR"/>
        </w:rPr>
        <w:t xml:space="preserve"> 2015, </w:t>
      </w:r>
      <w:r w:rsidR="000078DA" w:rsidRPr="002715F2">
        <w:rPr>
          <w:rFonts w:eastAsia="휴먼명조"/>
          <w:lang w:val="fr-FR" w:eastAsia="ko-KR"/>
        </w:rPr>
        <w:t>16</w:t>
      </w:r>
      <w:r w:rsidR="00C6310C" w:rsidRPr="002715F2">
        <w:rPr>
          <w:rFonts w:eastAsia="휴먼명조"/>
          <w:lang w:val="fr-FR" w:eastAsia="ko-KR"/>
        </w:rPr>
        <w:t> </w:t>
      </w:r>
      <w:r w:rsidR="002343D6" w:rsidRPr="002715F2">
        <w:rPr>
          <w:rFonts w:eastAsia="Batang"/>
          <w:lang w:val="fr-FR" w:eastAsia="ko-KR"/>
        </w:rPr>
        <w:t xml:space="preserve">plaintes </w:t>
      </w:r>
      <w:r w:rsidR="00981E8E" w:rsidRPr="002715F2">
        <w:rPr>
          <w:rFonts w:eastAsia="Batang"/>
          <w:lang w:val="fr-FR" w:eastAsia="ko-KR"/>
        </w:rPr>
        <w:t xml:space="preserve">contre </w:t>
      </w:r>
      <w:r w:rsidR="00B46CA0" w:rsidRPr="002715F2">
        <w:rPr>
          <w:rFonts w:eastAsia="Batang"/>
          <w:lang w:val="fr-FR" w:eastAsia="ko-KR"/>
        </w:rPr>
        <w:t>d</w:t>
      </w:r>
      <w:r w:rsidR="00981E8E" w:rsidRPr="002715F2">
        <w:rPr>
          <w:rFonts w:eastAsia="Batang"/>
          <w:lang w:val="fr-FR" w:eastAsia="ko-KR"/>
        </w:rPr>
        <w:t xml:space="preserve">es </w:t>
      </w:r>
      <w:r w:rsidR="00B46CA0" w:rsidRPr="002715F2">
        <w:rPr>
          <w:rFonts w:ascii="TimesNewRomanPSMT" w:hAnsi="TimesNewRomanPSMT" w:cs="TimesNewRomanPSMT"/>
          <w:lang w:val="fr-FR" w:eastAsia="en-GB"/>
        </w:rPr>
        <w:t>surveillants</w:t>
      </w:r>
      <w:r w:rsidR="00B46CA0" w:rsidRPr="002715F2">
        <w:rPr>
          <w:rFonts w:eastAsia="Batang"/>
          <w:lang w:val="fr-FR" w:eastAsia="ko-KR"/>
        </w:rPr>
        <w:t xml:space="preserve"> </w:t>
      </w:r>
      <w:r w:rsidR="00981E8E" w:rsidRPr="002715F2">
        <w:rPr>
          <w:rFonts w:eastAsia="Batang"/>
          <w:lang w:val="fr-FR" w:eastAsia="ko-KR"/>
        </w:rPr>
        <w:t>de l’Institut de psychiatrie médico-légale</w:t>
      </w:r>
      <w:r w:rsidR="00B46CA0" w:rsidRPr="002715F2">
        <w:rPr>
          <w:rFonts w:eastAsia="Batang"/>
          <w:lang w:val="fr-FR" w:eastAsia="ko-KR"/>
        </w:rPr>
        <w:t xml:space="preserve"> ont été déposées</w:t>
      </w:r>
      <w:r w:rsidR="000078DA" w:rsidRPr="002715F2">
        <w:rPr>
          <w:rFonts w:eastAsia="Batang"/>
          <w:lang w:val="fr-FR" w:eastAsia="ko-KR"/>
        </w:rPr>
        <w:t xml:space="preserve">, </w:t>
      </w:r>
      <w:r w:rsidR="002343D6" w:rsidRPr="002715F2">
        <w:rPr>
          <w:rFonts w:eastAsia="Batang"/>
          <w:lang w:val="fr-FR" w:eastAsia="ko-KR"/>
        </w:rPr>
        <w:t>et toutes ont été déclarées non fondées après enquêtes</w:t>
      </w:r>
      <w:r w:rsidR="000078DA" w:rsidRPr="002715F2">
        <w:rPr>
          <w:rFonts w:eastAsia="Batang"/>
          <w:lang w:val="fr-FR" w:eastAsia="ko-KR"/>
        </w:rPr>
        <w:t xml:space="preserve">. </w:t>
      </w:r>
      <w:r w:rsidR="002343D6" w:rsidRPr="002715F2">
        <w:rPr>
          <w:rFonts w:eastAsia="Batang"/>
          <w:lang w:val="fr-FR" w:eastAsia="ko-KR"/>
        </w:rPr>
        <w:t xml:space="preserve">Ces plaintes </w:t>
      </w:r>
      <w:r w:rsidR="00B46CA0" w:rsidRPr="002715F2">
        <w:rPr>
          <w:rFonts w:eastAsia="Batang"/>
          <w:lang w:val="fr-FR" w:eastAsia="ko-KR"/>
        </w:rPr>
        <w:t>avaient</w:t>
      </w:r>
      <w:r w:rsidR="002343D6" w:rsidRPr="002715F2">
        <w:rPr>
          <w:rFonts w:eastAsia="Batang"/>
          <w:lang w:val="fr-FR" w:eastAsia="ko-KR"/>
        </w:rPr>
        <w:t xml:space="preserve"> été déposées pour des raisons </w:t>
      </w:r>
      <w:r w:rsidR="00B46CA0" w:rsidRPr="002715F2">
        <w:rPr>
          <w:rFonts w:eastAsia="Batang"/>
          <w:lang w:val="fr-FR" w:eastAsia="ko-KR"/>
        </w:rPr>
        <w:t>tenant notamment au</w:t>
      </w:r>
      <w:r w:rsidR="002343D6" w:rsidRPr="002715F2">
        <w:rPr>
          <w:rFonts w:eastAsia="Batang"/>
          <w:lang w:val="fr-FR" w:eastAsia="ko-KR"/>
        </w:rPr>
        <w:t xml:space="preserve"> rejet d’une demande de prise en charge médicale dans un hôpital </w:t>
      </w:r>
      <w:r w:rsidR="009966B6" w:rsidRPr="002715F2">
        <w:rPr>
          <w:rFonts w:eastAsia="Batang"/>
          <w:lang w:val="fr-FR" w:eastAsia="ko-KR"/>
        </w:rPr>
        <w:t>extérieur</w:t>
      </w:r>
      <w:r w:rsidR="002343D6" w:rsidRPr="002715F2">
        <w:rPr>
          <w:rFonts w:eastAsia="Batang"/>
          <w:lang w:val="fr-FR" w:eastAsia="ko-KR"/>
        </w:rPr>
        <w:t xml:space="preserve">, </w:t>
      </w:r>
      <w:r w:rsidR="00B46CA0" w:rsidRPr="002715F2">
        <w:rPr>
          <w:rFonts w:eastAsia="Batang"/>
          <w:lang w:val="fr-FR" w:eastAsia="ko-KR"/>
        </w:rPr>
        <w:t xml:space="preserve">à une </w:t>
      </w:r>
      <w:r w:rsidR="002343D6" w:rsidRPr="002715F2">
        <w:rPr>
          <w:rFonts w:eastAsia="Batang"/>
          <w:lang w:val="fr-FR" w:eastAsia="ko-KR"/>
        </w:rPr>
        <w:t>faute médicale ou</w:t>
      </w:r>
      <w:r w:rsidR="00B46CA0" w:rsidRPr="002715F2">
        <w:rPr>
          <w:rFonts w:eastAsia="Batang"/>
          <w:lang w:val="fr-FR" w:eastAsia="ko-KR"/>
        </w:rPr>
        <w:t xml:space="preserve"> à</w:t>
      </w:r>
      <w:r w:rsidR="002343D6" w:rsidRPr="002715F2">
        <w:rPr>
          <w:rFonts w:eastAsia="Batang"/>
          <w:lang w:val="fr-FR" w:eastAsia="ko-KR"/>
        </w:rPr>
        <w:t xml:space="preserve"> négligence professionnelle d’un médecin</w:t>
      </w:r>
      <w:r w:rsidR="00F60999" w:rsidRPr="002715F2">
        <w:rPr>
          <w:rFonts w:eastAsia="Batang"/>
          <w:lang w:val="fr-FR" w:eastAsia="ko-KR"/>
        </w:rPr>
        <w:t>.</w:t>
      </w:r>
    </w:p>
    <w:p w:rsidR="000078DA" w:rsidRPr="002715F2" w:rsidRDefault="007026FB" w:rsidP="007026FB">
      <w:pPr>
        <w:pStyle w:val="SingleTxtG"/>
        <w:rPr>
          <w:rFonts w:eastAsia="Malgun Gothic"/>
          <w:kern w:val="2"/>
          <w:lang w:val="fr-FR" w:eastAsia="ko-KR"/>
        </w:rPr>
      </w:pPr>
      <w:r w:rsidRPr="002715F2">
        <w:rPr>
          <w:rFonts w:eastAsia="Malgun Gothic"/>
          <w:kern w:val="2"/>
          <w:lang w:val="fr-FR" w:eastAsia="ko-KR"/>
        </w:rPr>
        <w:t>132.</w:t>
      </w:r>
      <w:r w:rsidRPr="002715F2">
        <w:rPr>
          <w:rFonts w:eastAsia="Malgun Gothic"/>
          <w:kern w:val="2"/>
          <w:lang w:val="fr-FR" w:eastAsia="ko-KR"/>
        </w:rPr>
        <w:tab/>
      </w:r>
      <w:r w:rsidR="002359D8" w:rsidRPr="002715F2">
        <w:rPr>
          <w:rFonts w:eastAsia="Malgun Gothic"/>
          <w:kern w:val="2"/>
          <w:lang w:val="fr-FR" w:eastAsia="ko-KR"/>
        </w:rPr>
        <w:t xml:space="preserve">Un mineur protégé peut adresser une requête au Ministre de la justice s’il n’est pas satisfait de son traitement </w:t>
      </w:r>
      <w:r w:rsidR="000078DA" w:rsidRPr="002715F2">
        <w:rPr>
          <w:rFonts w:eastAsia="Malgun Gothic"/>
          <w:kern w:val="2"/>
          <w:lang w:val="fr-FR" w:eastAsia="ko-KR"/>
        </w:rPr>
        <w:t>(</w:t>
      </w:r>
      <w:r w:rsidR="002359D8" w:rsidRPr="002715F2">
        <w:rPr>
          <w:rFonts w:eastAsia="Malgun Gothic"/>
          <w:kern w:val="2"/>
          <w:lang w:val="fr-FR" w:eastAsia="ko-KR"/>
        </w:rPr>
        <w:t>loi sur le traitement des mineurs protégés,</w:t>
      </w:r>
      <w:r w:rsidR="000078DA" w:rsidRPr="002715F2">
        <w:rPr>
          <w:rFonts w:eastAsia="Malgun Gothic"/>
          <w:i/>
          <w:kern w:val="2"/>
          <w:lang w:val="fr-FR" w:eastAsia="ko-KR"/>
        </w:rPr>
        <w:t xml:space="preserve"> </w:t>
      </w:r>
      <w:r w:rsidR="00BD1A84" w:rsidRPr="002715F2">
        <w:rPr>
          <w:rFonts w:eastAsia="Malgun Gothic"/>
          <w:kern w:val="2"/>
          <w:lang w:val="fr-FR" w:eastAsia="ko-KR"/>
        </w:rPr>
        <w:t>art.</w:t>
      </w:r>
      <w:r w:rsidR="002359D8" w:rsidRPr="002715F2">
        <w:rPr>
          <w:rFonts w:eastAsia="Malgun Gothic"/>
          <w:kern w:val="2"/>
          <w:lang w:val="fr-FR" w:eastAsia="ko-KR"/>
        </w:rPr>
        <w:t> </w:t>
      </w:r>
      <w:r w:rsidR="000078DA" w:rsidRPr="002715F2">
        <w:rPr>
          <w:rFonts w:eastAsia="Malgun Gothic"/>
          <w:kern w:val="2"/>
          <w:lang w:val="fr-FR" w:eastAsia="ko-KR"/>
        </w:rPr>
        <w:t xml:space="preserve">11). </w:t>
      </w:r>
      <w:r w:rsidR="002359D8" w:rsidRPr="002715F2">
        <w:rPr>
          <w:rFonts w:eastAsia="Malgun Gothic"/>
          <w:kern w:val="2"/>
          <w:lang w:val="fr-FR" w:eastAsia="ko-KR"/>
        </w:rPr>
        <w:t xml:space="preserve">Un étranger </w:t>
      </w:r>
      <w:r w:rsidR="0039617D" w:rsidRPr="002715F2">
        <w:rPr>
          <w:rFonts w:eastAsia="Malgun Gothic"/>
          <w:kern w:val="2"/>
          <w:lang w:val="fr-FR" w:eastAsia="ko-KR"/>
        </w:rPr>
        <w:t>placé</w:t>
      </w:r>
      <w:r w:rsidR="002359D8" w:rsidRPr="002715F2">
        <w:rPr>
          <w:rFonts w:eastAsia="Malgun Gothic"/>
          <w:kern w:val="2"/>
          <w:lang w:val="fr-FR" w:eastAsia="ko-KR"/>
        </w:rPr>
        <w:t xml:space="preserve"> dans un centre de </w:t>
      </w:r>
      <w:r w:rsidR="00B46CA0" w:rsidRPr="002715F2">
        <w:rPr>
          <w:rFonts w:eastAsia="Malgun Gothic"/>
          <w:kern w:val="2"/>
          <w:lang w:val="fr-FR" w:eastAsia="ko-KR"/>
        </w:rPr>
        <w:t>r</w:t>
      </w:r>
      <w:r w:rsidR="002359D8" w:rsidRPr="002715F2">
        <w:rPr>
          <w:rFonts w:eastAsia="Malgun Gothic"/>
          <w:kern w:val="2"/>
          <w:lang w:val="fr-FR" w:eastAsia="ko-KR"/>
        </w:rPr>
        <w:t xml:space="preserve">étention </w:t>
      </w:r>
      <w:r w:rsidR="009039CA" w:rsidRPr="002715F2">
        <w:rPr>
          <w:rFonts w:eastAsia="Malgun Gothic"/>
          <w:kern w:val="2"/>
          <w:lang w:val="fr-FR" w:eastAsia="ko-KR"/>
        </w:rPr>
        <w:t xml:space="preserve">pour </w:t>
      </w:r>
      <w:r w:rsidR="00B46CA0" w:rsidRPr="002715F2">
        <w:rPr>
          <w:rFonts w:eastAsia="Malgun Gothic"/>
          <w:kern w:val="2"/>
          <w:lang w:val="fr-FR" w:eastAsia="ko-KR"/>
        </w:rPr>
        <w:t>migrants</w:t>
      </w:r>
      <w:r w:rsidR="002359D8" w:rsidRPr="002715F2">
        <w:rPr>
          <w:rFonts w:eastAsia="Malgun Gothic"/>
          <w:kern w:val="2"/>
          <w:lang w:val="fr-FR" w:eastAsia="ko-KR"/>
        </w:rPr>
        <w:t xml:space="preserve"> peut déposer une requête auprès du Ministre de la justice ou du chef </w:t>
      </w:r>
      <w:r w:rsidR="00B46CA0" w:rsidRPr="002715F2">
        <w:rPr>
          <w:rFonts w:eastAsia="Malgun Gothic"/>
          <w:kern w:val="2"/>
          <w:lang w:val="fr-FR" w:eastAsia="ko-KR"/>
        </w:rPr>
        <w:t>des</w:t>
      </w:r>
      <w:r w:rsidR="002359D8" w:rsidRPr="002715F2">
        <w:rPr>
          <w:rFonts w:eastAsia="Malgun Gothic"/>
          <w:kern w:val="2"/>
          <w:lang w:val="fr-FR" w:eastAsia="ko-KR"/>
        </w:rPr>
        <w:t xml:space="preserve"> service</w:t>
      </w:r>
      <w:r w:rsidR="00B46CA0" w:rsidRPr="002715F2">
        <w:rPr>
          <w:rFonts w:eastAsia="Malgun Gothic"/>
          <w:kern w:val="2"/>
          <w:lang w:val="fr-FR" w:eastAsia="ko-KR"/>
        </w:rPr>
        <w:t>s</w:t>
      </w:r>
      <w:r w:rsidR="002359D8" w:rsidRPr="002715F2">
        <w:rPr>
          <w:rFonts w:eastAsia="Malgun Gothic"/>
          <w:kern w:val="2"/>
          <w:lang w:val="fr-FR" w:eastAsia="ko-KR"/>
        </w:rPr>
        <w:t xml:space="preserve"> régiona</w:t>
      </w:r>
      <w:r w:rsidR="00B46CA0" w:rsidRPr="002715F2">
        <w:rPr>
          <w:rFonts w:eastAsia="Malgun Gothic"/>
          <w:kern w:val="2"/>
          <w:lang w:val="fr-FR" w:eastAsia="ko-KR"/>
        </w:rPr>
        <w:t>ux</w:t>
      </w:r>
      <w:r w:rsidR="002359D8" w:rsidRPr="002715F2">
        <w:rPr>
          <w:rFonts w:eastAsia="Malgun Gothic"/>
          <w:kern w:val="2"/>
          <w:lang w:val="fr-FR" w:eastAsia="ko-KR"/>
        </w:rPr>
        <w:t xml:space="preserve"> </w:t>
      </w:r>
      <w:r w:rsidR="009039CA" w:rsidRPr="002715F2">
        <w:rPr>
          <w:rFonts w:eastAsia="Malgun Gothic"/>
          <w:kern w:val="2"/>
          <w:lang w:val="fr-FR" w:eastAsia="ko-KR"/>
        </w:rPr>
        <w:t xml:space="preserve">de l’immigration </w:t>
      </w:r>
      <w:r w:rsidR="002359D8" w:rsidRPr="002715F2">
        <w:rPr>
          <w:rFonts w:eastAsia="Malgun Gothic"/>
          <w:kern w:val="2"/>
          <w:lang w:val="fr-FR" w:eastAsia="ko-KR"/>
        </w:rPr>
        <w:t>compétent</w:t>
      </w:r>
      <w:r w:rsidR="00B46CA0" w:rsidRPr="002715F2">
        <w:rPr>
          <w:rFonts w:eastAsia="Malgun Gothic"/>
          <w:kern w:val="2"/>
          <w:lang w:val="fr-FR" w:eastAsia="ko-KR"/>
        </w:rPr>
        <w:t>s</w:t>
      </w:r>
      <w:r w:rsidR="002359D8" w:rsidRPr="002715F2">
        <w:rPr>
          <w:rFonts w:eastAsia="Malgun Gothic"/>
          <w:kern w:val="2"/>
          <w:lang w:val="fr-FR" w:eastAsia="ko-KR"/>
        </w:rPr>
        <w:t xml:space="preserve"> </w:t>
      </w:r>
      <w:r w:rsidR="009039CA" w:rsidRPr="002715F2">
        <w:rPr>
          <w:rFonts w:eastAsia="Malgun Gothic"/>
          <w:kern w:val="2"/>
          <w:lang w:val="fr-FR" w:eastAsia="ko-KR"/>
        </w:rPr>
        <w:t>s’il</w:t>
      </w:r>
      <w:r w:rsidR="002359D8" w:rsidRPr="002715F2">
        <w:rPr>
          <w:rFonts w:eastAsia="Malgun Gothic"/>
          <w:kern w:val="2"/>
          <w:lang w:val="fr-FR" w:eastAsia="ko-KR"/>
        </w:rPr>
        <w:t xml:space="preserve"> n’est pas satisfait de son traitement</w:t>
      </w:r>
      <w:r w:rsidR="009039CA" w:rsidRPr="002715F2">
        <w:rPr>
          <w:rFonts w:eastAsia="Malgun Gothic"/>
          <w:kern w:val="2"/>
          <w:lang w:val="fr-FR" w:eastAsia="ko-KR"/>
        </w:rPr>
        <w:t xml:space="preserve"> </w:t>
      </w:r>
      <w:r w:rsidR="000078DA" w:rsidRPr="002715F2">
        <w:rPr>
          <w:rFonts w:eastAsia="Malgun Gothic"/>
          <w:kern w:val="2"/>
          <w:lang w:val="fr-FR" w:eastAsia="ko-KR"/>
        </w:rPr>
        <w:t>(</w:t>
      </w:r>
      <w:r w:rsidR="009039CA" w:rsidRPr="002715F2">
        <w:rPr>
          <w:rFonts w:eastAsia="Malgun Gothic"/>
          <w:kern w:val="2"/>
          <w:lang w:val="fr-FR" w:eastAsia="ko-KR"/>
        </w:rPr>
        <w:t>loi sur l’immigration,</w:t>
      </w:r>
      <w:r w:rsidR="000078DA" w:rsidRPr="002715F2">
        <w:rPr>
          <w:rFonts w:eastAsia="Malgun Gothic"/>
          <w:kern w:val="2"/>
          <w:lang w:val="fr-FR" w:eastAsia="ko-KR"/>
        </w:rPr>
        <w:t xml:space="preserve"> </w:t>
      </w:r>
      <w:r w:rsidR="00BD1A84" w:rsidRPr="002715F2">
        <w:rPr>
          <w:rFonts w:eastAsia="Malgun Gothic"/>
          <w:kern w:val="2"/>
          <w:lang w:val="fr-FR" w:eastAsia="ko-KR"/>
        </w:rPr>
        <w:t>art. </w:t>
      </w:r>
      <w:r w:rsidR="000078DA" w:rsidRPr="002715F2">
        <w:rPr>
          <w:rFonts w:eastAsia="Malgun Gothic"/>
          <w:kern w:val="2"/>
          <w:lang w:val="fr-FR" w:eastAsia="ko-KR"/>
        </w:rPr>
        <w:t>56-8</w:t>
      </w:r>
      <w:r w:rsidR="009039CA" w:rsidRPr="002715F2">
        <w:rPr>
          <w:rFonts w:eastAsia="Malgun Gothic"/>
          <w:kern w:val="2"/>
          <w:lang w:val="fr-FR" w:eastAsia="ko-KR"/>
        </w:rPr>
        <w:t>,</w:t>
      </w:r>
      <w:r w:rsidR="000078DA" w:rsidRPr="002715F2">
        <w:rPr>
          <w:rFonts w:eastAsia="Malgun Gothic"/>
          <w:kern w:val="2"/>
          <w:lang w:val="fr-FR" w:eastAsia="ko-KR"/>
        </w:rPr>
        <w:t xml:space="preserve"> </w:t>
      </w:r>
      <w:r w:rsidR="00BD1A84" w:rsidRPr="002715F2">
        <w:rPr>
          <w:rFonts w:eastAsia="Malgun Gothic"/>
          <w:kern w:val="2"/>
          <w:lang w:val="fr-FR" w:eastAsia="ko-KR"/>
        </w:rPr>
        <w:t>par. </w:t>
      </w:r>
      <w:r w:rsidR="000078DA" w:rsidRPr="002715F2">
        <w:rPr>
          <w:rFonts w:eastAsia="Malgun Gothic"/>
          <w:kern w:val="2"/>
          <w:lang w:val="fr-FR" w:eastAsia="ko-KR"/>
        </w:rPr>
        <w:t>1).</w:t>
      </w:r>
    </w:p>
    <w:p w:rsidR="000078DA" w:rsidRPr="002715F2" w:rsidRDefault="007026FB" w:rsidP="007026FB">
      <w:pPr>
        <w:pStyle w:val="SingleTxtG"/>
        <w:rPr>
          <w:rFonts w:ascii="Dotum" w:eastAsia="Dotum" w:hAnsi="Dotum" w:cs="Gulim"/>
          <w:lang w:val="fr-FR" w:eastAsia="ko-KR"/>
        </w:rPr>
      </w:pPr>
      <w:r w:rsidRPr="002715F2">
        <w:rPr>
          <w:rFonts w:eastAsia="Dotum"/>
          <w:lang w:val="fr-FR" w:eastAsia="ko-KR"/>
        </w:rPr>
        <w:t>133.</w:t>
      </w:r>
      <w:r w:rsidRPr="002715F2">
        <w:rPr>
          <w:rFonts w:eastAsia="Dotum"/>
          <w:lang w:val="fr-FR" w:eastAsia="ko-KR"/>
        </w:rPr>
        <w:tab/>
      </w:r>
      <w:r w:rsidR="00D83826" w:rsidRPr="002715F2">
        <w:rPr>
          <w:rFonts w:eastAsia="Gulim"/>
          <w:lang w:val="fr-FR" w:eastAsia="ko-KR"/>
        </w:rPr>
        <w:t>La Commission nationale des droits de l’homme</w:t>
      </w:r>
      <w:r w:rsidR="000078DA" w:rsidRPr="002715F2">
        <w:rPr>
          <w:rFonts w:eastAsia="Gulim"/>
          <w:lang w:val="fr-FR" w:eastAsia="ko-KR"/>
        </w:rPr>
        <w:t xml:space="preserve"> </w:t>
      </w:r>
      <w:r w:rsidR="009039CA" w:rsidRPr="002715F2">
        <w:rPr>
          <w:rFonts w:eastAsia="Gulim"/>
          <w:lang w:val="fr-FR" w:eastAsia="ko-KR"/>
        </w:rPr>
        <w:t xml:space="preserve">a </w:t>
      </w:r>
      <w:r w:rsidR="009039CA" w:rsidRPr="002715F2">
        <w:rPr>
          <w:rFonts w:eastAsia="휴먼명조"/>
          <w:lang w:val="fr-FR" w:eastAsia="ko-KR"/>
        </w:rPr>
        <w:t xml:space="preserve">traité des requêtes </w:t>
      </w:r>
      <w:r w:rsidR="00B46CA0" w:rsidRPr="002715F2">
        <w:rPr>
          <w:rFonts w:eastAsia="휴먼명조"/>
          <w:lang w:val="fr-FR" w:eastAsia="ko-KR"/>
        </w:rPr>
        <w:t>portant sur des</w:t>
      </w:r>
      <w:r w:rsidR="009039CA" w:rsidRPr="002715F2">
        <w:rPr>
          <w:rFonts w:eastAsia="휴먼명조"/>
          <w:lang w:val="fr-FR" w:eastAsia="ko-KR"/>
        </w:rPr>
        <w:t xml:space="preserve"> violation</w:t>
      </w:r>
      <w:r w:rsidR="00B46CA0" w:rsidRPr="002715F2">
        <w:rPr>
          <w:rFonts w:eastAsia="휴먼명조"/>
          <w:lang w:val="fr-FR" w:eastAsia="ko-KR"/>
        </w:rPr>
        <w:t>s</w:t>
      </w:r>
      <w:r w:rsidR="009039CA" w:rsidRPr="002715F2">
        <w:rPr>
          <w:rFonts w:eastAsia="휴먼명조"/>
          <w:lang w:val="fr-FR" w:eastAsia="ko-KR"/>
        </w:rPr>
        <w:t xml:space="preserve"> de droits de l’homme </w:t>
      </w:r>
      <w:r w:rsidR="00B46CA0" w:rsidRPr="002715F2">
        <w:rPr>
          <w:rFonts w:eastAsia="휴먼명조"/>
          <w:lang w:val="fr-FR" w:eastAsia="ko-KR"/>
        </w:rPr>
        <w:t>en</w:t>
      </w:r>
      <w:r w:rsidR="009039CA" w:rsidRPr="002715F2">
        <w:rPr>
          <w:rFonts w:eastAsia="휴먼명조"/>
          <w:lang w:val="fr-FR" w:eastAsia="ko-KR"/>
        </w:rPr>
        <w:t xml:space="preserve"> détenti</w:t>
      </w:r>
      <w:r w:rsidR="00B46CA0" w:rsidRPr="002715F2">
        <w:rPr>
          <w:rFonts w:eastAsia="휴먼명조"/>
          <w:lang w:val="fr-FR" w:eastAsia="ko-KR"/>
        </w:rPr>
        <w:t>on depuis 2001 (voir le tableau </w:t>
      </w:r>
      <w:r w:rsidR="009039CA" w:rsidRPr="002715F2">
        <w:rPr>
          <w:rFonts w:eastAsia="휴먼명조"/>
          <w:lang w:val="fr-FR" w:eastAsia="ko-KR"/>
        </w:rPr>
        <w:t>26)</w:t>
      </w:r>
      <w:r w:rsidR="000078DA" w:rsidRPr="002715F2">
        <w:rPr>
          <w:rFonts w:eastAsia="Gulim"/>
          <w:lang w:val="fr-FR" w:eastAsia="ko-KR"/>
        </w:rPr>
        <w:t xml:space="preserve">. </w:t>
      </w:r>
      <w:r w:rsidR="009039CA" w:rsidRPr="002715F2">
        <w:rPr>
          <w:rFonts w:eastAsia="Gulim"/>
          <w:lang w:val="fr-FR" w:eastAsia="ko-KR"/>
        </w:rPr>
        <w:t>L’u</w:t>
      </w:r>
      <w:r w:rsidR="009039CA" w:rsidRPr="002715F2">
        <w:rPr>
          <w:rFonts w:eastAsia="휴먼명조"/>
          <w:lang w:val="fr-FR" w:eastAsia="ko-KR"/>
        </w:rPr>
        <w:t>n de ces cas a été transmis au parquet en 2011, et il a été confirmé que l’enquête interne sur cette affaire avait été close le 22</w:t>
      </w:r>
      <w:r w:rsidR="00B46CA0" w:rsidRPr="002715F2">
        <w:rPr>
          <w:rFonts w:eastAsia="휴먼명조"/>
          <w:lang w:val="fr-FR" w:eastAsia="ko-KR"/>
        </w:rPr>
        <w:t> </w:t>
      </w:r>
      <w:r w:rsidR="009039CA" w:rsidRPr="002715F2">
        <w:rPr>
          <w:rFonts w:eastAsia="휴먼명조"/>
          <w:lang w:val="fr-FR" w:eastAsia="ko-KR"/>
        </w:rPr>
        <w:t>avril 2013 faute d’éléments de preuve suffisants</w:t>
      </w:r>
      <w:r w:rsidR="000078DA" w:rsidRPr="002715F2">
        <w:rPr>
          <w:rFonts w:eastAsia="휴먼명조"/>
          <w:lang w:val="fr-FR" w:eastAsia="ko-KR"/>
        </w:rPr>
        <w:t xml:space="preserve">. </w:t>
      </w:r>
      <w:r w:rsidR="00B46CA0" w:rsidRPr="002715F2">
        <w:rPr>
          <w:rFonts w:eastAsia="휴먼명조"/>
          <w:lang w:val="fr-FR" w:eastAsia="ko-KR"/>
        </w:rPr>
        <w:t xml:space="preserve">En 2014, deux requêtes </w:t>
      </w:r>
      <w:r w:rsidR="009039CA" w:rsidRPr="002715F2">
        <w:rPr>
          <w:rFonts w:eastAsia="휴먼명조"/>
          <w:lang w:val="fr-FR" w:eastAsia="ko-KR"/>
        </w:rPr>
        <w:t>ont été jointes en une affaire, qui a été transmise au parquet</w:t>
      </w:r>
      <w:r w:rsidR="000078DA" w:rsidRPr="002715F2">
        <w:rPr>
          <w:rFonts w:eastAsia="휴먼명조"/>
          <w:lang w:val="fr-FR" w:eastAsia="ko-KR"/>
        </w:rPr>
        <w:t xml:space="preserve">. </w:t>
      </w:r>
      <w:r w:rsidR="009039CA" w:rsidRPr="002715F2">
        <w:rPr>
          <w:rFonts w:eastAsia="휴먼명조"/>
          <w:lang w:val="fr-FR" w:eastAsia="ko-KR"/>
        </w:rPr>
        <w:t xml:space="preserve">En </w:t>
      </w:r>
      <w:r w:rsidR="005E619F" w:rsidRPr="002715F2">
        <w:rPr>
          <w:rFonts w:eastAsia="휴먼명조"/>
          <w:lang w:val="fr-FR" w:eastAsia="ko-KR"/>
        </w:rPr>
        <w:t xml:space="preserve">janvier </w:t>
      </w:r>
      <w:r w:rsidR="000078DA" w:rsidRPr="002715F2">
        <w:rPr>
          <w:rFonts w:eastAsia="휴먼명조"/>
          <w:lang w:val="fr-FR" w:eastAsia="ko-KR"/>
        </w:rPr>
        <w:t xml:space="preserve">2016, </w:t>
      </w:r>
      <w:r w:rsidR="009039CA" w:rsidRPr="002715F2">
        <w:rPr>
          <w:rFonts w:eastAsia="휴먼명조"/>
          <w:lang w:val="fr-FR" w:eastAsia="ko-KR"/>
        </w:rPr>
        <w:t>cette affaire faisait l’objet d’une procédure pénale</w:t>
      </w:r>
      <w:r w:rsidR="000078DA" w:rsidRPr="002715F2">
        <w:rPr>
          <w:rFonts w:eastAsia="Gulim"/>
          <w:lang w:val="fr-FR" w:eastAsia="ko-K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9039CA" w:rsidRPr="002715F2">
        <w:rPr>
          <w:rFonts w:eastAsia="Batang"/>
          <w:lang w:val="fr-FR" w:eastAsia="ko-KR"/>
        </w:rPr>
        <w:t xml:space="preserve">Réponse aux questions soulevées au </w:t>
      </w:r>
      <w:r w:rsidR="005E619F" w:rsidRPr="002715F2">
        <w:rPr>
          <w:rFonts w:eastAsia="Batang"/>
          <w:lang w:val="fr-FR" w:eastAsia="ko-KR"/>
        </w:rPr>
        <w:t xml:space="preserve">paragraphe </w:t>
      </w:r>
      <w:r w:rsidR="009039CA" w:rsidRPr="002715F2">
        <w:rPr>
          <w:rFonts w:eastAsia="Batang"/>
          <w:lang w:val="fr-FR" w:eastAsia="ko-KR"/>
        </w:rPr>
        <w:t>22</w:t>
      </w:r>
    </w:p>
    <w:p w:rsidR="000078DA" w:rsidRPr="002715F2" w:rsidRDefault="007026FB" w:rsidP="007026FB">
      <w:pPr>
        <w:pStyle w:val="SingleTxtG"/>
        <w:rPr>
          <w:rFonts w:eastAsia="Batang"/>
          <w:lang w:val="fr-FR" w:eastAsia="ko-KR"/>
        </w:rPr>
      </w:pPr>
      <w:r w:rsidRPr="002715F2">
        <w:rPr>
          <w:rFonts w:eastAsia="Batang"/>
          <w:lang w:val="fr-FR" w:eastAsia="ko-KR"/>
        </w:rPr>
        <w:t>134.</w:t>
      </w:r>
      <w:r w:rsidRPr="002715F2">
        <w:rPr>
          <w:rFonts w:eastAsia="Batang"/>
          <w:lang w:val="fr-FR" w:eastAsia="ko-KR"/>
        </w:rPr>
        <w:tab/>
      </w:r>
      <w:r w:rsidR="009039CA" w:rsidRPr="002715F2">
        <w:rPr>
          <w:rFonts w:eastAsia="Batang"/>
          <w:lang w:val="fr-FR" w:eastAsia="ko-KR"/>
        </w:rPr>
        <w:t xml:space="preserve">Le </w:t>
      </w:r>
      <w:r w:rsidR="003372C0" w:rsidRPr="002715F2">
        <w:rPr>
          <w:lang w:val="fr-FR"/>
        </w:rPr>
        <w:t xml:space="preserve">Centre de déclaration des actes de torture, </w:t>
      </w:r>
      <w:r w:rsidR="00FD7B38" w:rsidRPr="002715F2">
        <w:rPr>
          <w:lang w:val="fr-FR"/>
        </w:rPr>
        <w:t>temporairement mis en place</w:t>
      </w:r>
      <w:r w:rsidR="003372C0" w:rsidRPr="002715F2">
        <w:rPr>
          <w:lang w:val="fr-FR"/>
        </w:rPr>
        <w:t xml:space="preserve"> par la Commission nationale des droits de l’homme, </w:t>
      </w:r>
      <w:r w:rsidR="00FD7B38" w:rsidRPr="002715F2">
        <w:rPr>
          <w:lang w:val="fr-FR"/>
        </w:rPr>
        <w:t>a fonctionné du</w:t>
      </w:r>
      <w:r w:rsidR="003372C0" w:rsidRPr="002715F2">
        <w:rPr>
          <w:lang w:val="fr-FR"/>
        </w:rPr>
        <w:t xml:space="preserve"> 28</w:t>
      </w:r>
      <w:r w:rsidR="00B46CA0" w:rsidRPr="002715F2">
        <w:rPr>
          <w:lang w:val="fr-FR"/>
        </w:rPr>
        <w:t> </w:t>
      </w:r>
      <w:r w:rsidR="003372C0" w:rsidRPr="002715F2">
        <w:rPr>
          <w:lang w:val="fr-FR"/>
        </w:rPr>
        <w:t xml:space="preserve">juin </w:t>
      </w:r>
      <w:r w:rsidR="00FD7B38" w:rsidRPr="002715F2">
        <w:rPr>
          <w:lang w:val="fr-FR"/>
        </w:rPr>
        <w:t>au</w:t>
      </w:r>
      <w:r w:rsidR="003372C0" w:rsidRPr="002715F2">
        <w:rPr>
          <w:lang w:val="fr-FR"/>
        </w:rPr>
        <w:t xml:space="preserve"> 28</w:t>
      </w:r>
      <w:r w:rsidR="00B46CA0" w:rsidRPr="002715F2">
        <w:rPr>
          <w:lang w:val="fr-FR"/>
        </w:rPr>
        <w:t> </w:t>
      </w:r>
      <w:r w:rsidR="003372C0" w:rsidRPr="002715F2">
        <w:rPr>
          <w:lang w:val="fr-FR"/>
        </w:rPr>
        <w:t>septembre 2010</w:t>
      </w:r>
      <w:r w:rsidR="000078DA" w:rsidRPr="002715F2">
        <w:rPr>
          <w:rFonts w:eastAsia="Batang"/>
          <w:lang w:val="fr-FR" w:eastAsia="ko-KR"/>
        </w:rPr>
        <w:t xml:space="preserve"> </w:t>
      </w:r>
      <w:r w:rsidR="00FD7B38" w:rsidRPr="002715F2">
        <w:rPr>
          <w:rFonts w:eastAsia="Batang"/>
          <w:lang w:val="fr-FR" w:eastAsia="ko-KR"/>
        </w:rPr>
        <w:t>afin de</w:t>
      </w:r>
      <w:r w:rsidR="003F23F7" w:rsidRPr="002715F2">
        <w:rPr>
          <w:rFonts w:eastAsia="Batang"/>
          <w:lang w:val="fr-FR" w:eastAsia="ko-KR"/>
        </w:rPr>
        <w:t xml:space="preserve"> donner suite</w:t>
      </w:r>
      <w:r w:rsidR="001665EE" w:rsidRPr="002715F2">
        <w:rPr>
          <w:rFonts w:eastAsia="Batang"/>
          <w:lang w:val="fr-FR" w:eastAsia="ko-KR"/>
        </w:rPr>
        <w:t xml:space="preserve"> à</w:t>
      </w:r>
      <w:r w:rsidR="00E7006B" w:rsidRPr="002715F2">
        <w:rPr>
          <w:rFonts w:eastAsia="Batang"/>
          <w:lang w:val="fr-FR" w:eastAsia="ko-KR"/>
        </w:rPr>
        <w:t xml:space="preserve"> l’enquête ouverte d</w:t>
      </w:r>
      <w:r w:rsidR="00E7006B" w:rsidRPr="002715F2">
        <w:rPr>
          <w:lang w:val="fr-FR"/>
        </w:rPr>
        <w:t xml:space="preserve">’office au sujet d’un cas de tortures </w:t>
      </w:r>
      <w:r w:rsidR="00B46CA0" w:rsidRPr="002715F2">
        <w:rPr>
          <w:lang w:val="fr-FR"/>
        </w:rPr>
        <w:t>imputé à</w:t>
      </w:r>
      <w:r w:rsidR="00E7006B" w:rsidRPr="002715F2">
        <w:rPr>
          <w:lang w:val="fr-FR"/>
        </w:rPr>
        <w:t xml:space="preserve"> des policiers du poste de police de </w:t>
      </w:r>
      <w:r w:rsidR="000078DA" w:rsidRPr="002715F2">
        <w:rPr>
          <w:rFonts w:eastAsia="Batang"/>
          <w:lang w:val="fr-FR" w:eastAsia="ko-KR"/>
        </w:rPr>
        <w:t xml:space="preserve">Yang-cheon. </w:t>
      </w:r>
      <w:r w:rsidR="009039CA" w:rsidRPr="002715F2">
        <w:rPr>
          <w:rFonts w:eastAsia="Batang"/>
          <w:lang w:val="fr-FR" w:eastAsia="ko-KR"/>
        </w:rPr>
        <w:t>Le</w:t>
      </w:r>
      <w:r w:rsidR="000078DA" w:rsidRPr="002715F2">
        <w:rPr>
          <w:rFonts w:eastAsia="Batang"/>
          <w:lang w:val="fr-FR" w:eastAsia="ko-KR"/>
        </w:rPr>
        <w:t xml:space="preserve"> Cent</w:t>
      </w:r>
      <w:r w:rsidR="009039CA" w:rsidRPr="002715F2">
        <w:rPr>
          <w:rFonts w:eastAsia="Batang"/>
          <w:lang w:val="fr-FR" w:eastAsia="ko-KR"/>
        </w:rPr>
        <w:t xml:space="preserve">re a </w:t>
      </w:r>
      <w:r w:rsidR="003372C0" w:rsidRPr="002715F2">
        <w:rPr>
          <w:rFonts w:eastAsia="Batang"/>
          <w:lang w:val="fr-FR" w:eastAsia="ko-KR"/>
        </w:rPr>
        <w:t>traité</w:t>
      </w:r>
      <w:r w:rsidR="000078DA" w:rsidRPr="002715F2">
        <w:rPr>
          <w:rFonts w:eastAsia="Batang"/>
          <w:lang w:val="fr-FR" w:eastAsia="ko-KR"/>
        </w:rPr>
        <w:t xml:space="preserve"> 15</w:t>
      </w:r>
      <w:r w:rsidR="009039CA" w:rsidRPr="002715F2">
        <w:rPr>
          <w:rFonts w:eastAsia="Batang"/>
          <w:lang w:val="fr-FR" w:eastAsia="ko-KR"/>
        </w:rPr>
        <w:t> cas</w:t>
      </w:r>
      <w:r w:rsidR="00E97B1A" w:rsidRPr="002715F2">
        <w:rPr>
          <w:rFonts w:eastAsia="Batang"/>
          <w:lang w:val="fr-FR" w:eastAsia="ko-KR"/>
        </w:rPr>
        <w:t>:</w:t>
      </w:r>
      <w:r w:rsidR="00B46CA0" w:rsidRPr="002715F2">
        <w:rPr>
          <w:rFonts w:eastAsia="Batang"/>
          <w:lang w:val="fr-FR" w:eastAsia="ko-KR"/>
        </w:rPr>
        <w:t xml:space="preserve"> </w:t>
      </w:r>
      <w:r w:rsidR="005E619F" w:rsidRPr="002715F2">
        <w:rPr>
          <w:rFonts w:eastAsia="Batang"/>
          <w:lang w:val="fr-FR" w:eastAsia="ko-KR"/>
        </w:rPr>
        <w:t>2 </w:t>
      </w:r>
      <w:r w:rsidR="009039CA" w:rsidRPr="002715F2">
        <w:rPr>
          <w:rFonts w:eastAsia="Batang"/>
          <w:lang w:val="fr-FR" w:eastAsia="ko-KR"/>
        </w:rPr>
        <w:t>requêtes</w:t>
      </w:r>
      <w:r w:rsidR="00B46CA0" w:rsidRPr="002715F2">
        <w:rPr>
          <w:rFonts w:eastAsia="Batang"/>
          <w:lang w:val="fr-FR" w:eastAsia="ko-KR"/>
        </w:rPr>
        <w:t>, 12 </w:t>
      </w:r>
      <w:r w:rsidR="003372C0" w:rsidRPr="002715F2">
        <w:rPr>
          <w:rFonts w:eastAsia="Batang"/>
          <w:lang w:val="fr-FR" w:eastAsia="ko-KR"/>
        </w:rPr>
        <w:t xml:space="preserve">cas de conseils et </w:t>
      </w:r>
      <w:r w:rsidR="005E619F" w:rsidRPr="002715F2">
        <w:rPr>
          <w:rFonts w:eastAsia="Batang"/>
          <w:lang w:val="fr-FR" w:eastAsia="ko-KR"/>
        </w:rPr>
        <w:t xml:space="preserve">un </w:t>
      </w:r>
      <w:r w:rsidR="009039CA" w:rsidRPr="002715F2">
        <w:rPr>
          <w:rFonts w:eastAsia="Batang"/>
          <w:lang w:val="fr-FR" w:eastAsia="ko-KR"/>
        </w:rPr>
        <w:t>rapport</w:t>
      </w:r>
      <w:r w:rsidR="000078DA" w:rsidRPr="002715F2">
        <w:rPr>
          <w:rFonts w:eastAsia="Batang"/>
          <w:lang w:val="fr-FR" w:eastAsia="ko-KR"/>
        </w:rPr>
        <w:t xml:space="preserve">. </w:t>
      </w:r>
      <w:r w:rsidR="00E7006B" w:rsidRPr="002715F2">
        <w:rPr>
          <w:rFonts w:eastAsia="Batang"/>
          <w:lang w:val="fr-FR" w:eastAsia="ko-KR"/>
        </w:rPr>
        <w:t>Les deux requêtes ont été rejetées</w:t>
      </w:r>
      <w:r w:rsidR="00E97B1A" w:rsidRPr="002715F2">
        <w:rPr>
          <w:rFonts w:eastAsia="Batang"/>
          <w:lang w:val="fr-FR" w:eastAsia="ko-KR"/>
        </w:rPr>
        <w:t>:</w:t>
      </w:r>
      <w:r w:rsidR="000078DA" w:rsidRPr="002715F2">
        <w:rPr>
          <w:rFonts w:eastAsia="Batang"/>
          <w:lang w:val="fr-FR" w:eastAsia="ko-KR"/>
        </w:rPr>
        <w:t xml:space="preserve"> </w:t>
      </w:r>
      <w:r w:rsidR="003372C0" w:rsidRPr="002715F2">
        <w:rPr>
          <w:rFonts w:eastAsia="Batang"/>
          <w:lang w:val="fr-FR" w:eastAsia="ko-KR"/>
        </w:rPr>
        <w:t>une requête faisait doublon avec le cas des policiers accusés par la Commission nationale des droits de l’homme d’avoir commis des actes de torture et de violence au poste de police de Yang-cheon</w:t>
      </w:r>
      <w:r w:rsidR="00E97B1A" w:rsidRPr="002715F2">
        <w:rPr>
          <w:rFonts w:eastAsia="Batang"/>
          <w:lang w:val="fr-FR" w:eastAsia="ko-KR"/>
        </w:rPr>
        <w:t>;</w:t>
      </w:r>
      <w:r w:rsidR="003372C0" w:rsidRPr="002715F2">
        <w:rPr>
          <w:rFonts w:eastAsia="Batang"/>
          <w:lang w:val="fr-FR" w:eastAsia="ko-KR"/>
        </w:rPr>
        <w:t xml:space="preserve"> l’autre a été retirée</w:t>
      </w:r>
      <w:r w:rsidR="000078DA" w:rsidRPr="002715F2">
        <w:rPr>
          <w:rFonts w:eastAsia="Batang"/>
          <w:lang w:val="fr-FR" w:eastAsia="ko-K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9039CA" w:rsidRPr="002715F2">
        <w:rPr>
          <w:rFonts w:eastAsia="Batang"/>
          <w:lang w:val="fr-FR" w:eastAsia="ko-KR"/>
        </w:rPr>
        <w:t>Réponse aux qu</w:t>
      </w:r>
      <w:r w:rsidR="003F23F7" w:rsidRPr="002715F2">
        <w:rPr>
          <w:rFonts w:eastAsia="Batang"/>
          <w:lang w:val="fr-FR" w:eastAsia="ko-KR"/>
        </w:rPr>
        <w:t xml:space="preserve">estions soulevées au </w:t>
      </w:r>
      <w:r w:rsidR="005E619F" w:rsidRPr="002715F2">
        <w:rPr>
          <w:rFonts w:eastAsia="Batang"/>
          <w:lang w:val="fr-FR" w:eastAsia="ko-KR"/>
        </w:rPr>
        <w:t xml:space="preserve">paragraphe </w:t>
      </w:r>
      <w:r w:rsidR="009039CA" w:rsidRPr="002715F2">
        <w:rPr>
          <w:rFonts w:eastAsia="Batang"/>
          <w:lang w:val="fr-FR" w:eastAsia="ko-KR"/>
        </w:rPr>
        <w:t>23</w:t>
      </w:r>
    </w:p>
    <w:p w:rsidR="000078DA" w:rsidRPr="002715F2" w:rsidRDefault="007026FB" w:rsidP="007026FB">
      <w:pPr>
        <w:pStyle w:val="SingleTxtG"/>
        <w:rPr>
          <w:rFonts w:eastAsia="Batang"/>
          <w:lang w:val="fr-FR" w:eastAsia="ko-KR"/>
        </w:rPr>
      </w:pPr>
      <w:r w:rsidRPr="002715F2">
        <w:rPr>
          <w:rFonts w:eastAsia="Batang"/>
          <w:lang w:val="fr-FR" w:eastAsia="ko-KR"/>
        </w:rPr>
        <w:t>135.</w:t>
      </w:r>
      <w:r w:rsidRPr="002715F2">
        <w:rPr>
          <w:rFonts w:eastAsia="Batang"/>
          <w:lang w:val="fr-FR" w:eastAsia="ko-KR"/>
        </w:rPr>
        <w:tab/>
      </w:r>
      <w:r w:rsidR="003F23F7" w:rsidRPr="002715F2">
        <w:rPr>
          <w:lang w:val="fr-FR"/>
        </w:rPr>
        <w:t>Conformément à l’article </w:t>
      </w:r>
      <w:r w:rsidR="003372C0" w:rsidRPr="002715F2">
        <w:rPr>
          <w:lang w:val="fr-FR"/>
        </w:rPr>
        <w:t>6 de la</w:t>
      </w:r>
      <w:r w:rsidR="003372C0" w:rsidRPr="002715F2">
        <w:rPr>
          <w:rFonts w:eastAsia="Batang"/>
          <w:lang w:val="fr-FR" w:eastAsia="ko-KR"/>
        </w:rPr>
        <w:t xml:space="preserve"> loi sur la répression des </w:t>
      </w:r>
      <w:r w:rsidR="00855A64" w:rsidRPr="002715F2">
        <w:rPr>
          <w:rFonts w:eastAsia="Batang"/>
          <w:lang w:val="fr-FR" w:eastAsia="ko-KR"/>
        </w:rPr>
        <w:t xml:space="preserve">délits </w:t>
      </w:r>
      <w:r w:rsidR="003372C0" w:rsidRPr="002715F2">
        <w:rPr>
          <w:rFonts w:eastAsia="Batang"/>
          <w:lang w:val="fr-FR" w:eastAsia="ko-KR"/>
        </w:rPr>
        <w:t xml:space="preserve">relevant de la compétence de la Cour pénale internationale, </w:t>
      </w:r>
      <w:r w:rsidR="00555F8E" w:rsidRPr="002715F2">
        <w:rPr>
          <w:rFonts w:eastAsia="Batang"/>
          <w:lang w:val="fr-FR" w:eastAsia="ko-KR"/>
        </w:rPr>
        <w:t>la</w:t>
      </w:r>
      <w:r w:rsidR="003372C0" w:rsidRPr="002715F2">
        <w:rPr>
          <w:rFonts w:eastAsia="Batang"/>
          <w:lang w:val="fr-FR" w:eastAsia="ko-KR"/>
        </w:rPr>
        <w:t xml:space="preserve"> prescrip</w:t>
      </w:r>
      <w:r w:rsidR="005A6E18" w:rsidRPr="002715F2">
        <w:rPr>
          <w:rFonts w:eastAsia="Batang"/>
          <w:lang w:val="fr-FR" w:eastAsia="ko-KR"/>
        </w:rPr>
        <w:t>tion ne s’applique</w:t>
      </w:r>
      <w:r w:rsidR="003372C0" w:rsidRPr="002715F2">
        <w:rPr>
          <w:rFonts w:eastAsia="Batang"/>
          <w:lang w:val="fr-FR" w:eastAsia="ko-KR"/>
        </w:rPr>
        <w:t xml:space="preserve"> </w:t>
      </w:r>
      <w:r w:rsidR="00555F8E" w:rsidRPr="002715F2">
        <w:rPr>
          <w:rFonts w:eastAsia="Batang"/>
          <w:lang w:val="fr-FR" w:eastAsia="ko-KR"/>
        </w:rPr>
        <w:t xml:space="preserve">pas </w:t>
      </w:r>
      <w:r w:rsidR="003372C0" w:rsidRPr="002715F2">
        <w:rPr>
          <w:rFonts w:eastAsia="Batang"/>
          <w:lang w:val="fr-FR" w:eastAsia="ko-KR"/>
        </w:rPr>
        <w:t>aux crimes contre l’humanité, y compris à la torture, au crime de génocide et aux crimes de guerre</w:t>
      </w:r>
      <w:r w:rsidR="000078DA" w:rsidRPr="002715F2">
        <w:rPr>
          <w:rFonts w:eastAsia="Batang"/>
          <w:lang w:val="fr-FR" w:eastAsia="ko-K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A17C05" w:rsidRPr="002715F2">
        <w:rPr>
          <w:rFonts w:eastAsia="Batang"/>
          <w:lang w:val="fr-FR" w:eastAsia="ko-KR"/>
        </w:rPr>
        <w:t xml:space="preserve">Réponse aux questions soulevées au </w:t>
      </w:r>
      <w:r w:rsidR="005E619F" w:rsidRPr="002715F2">
        <w:rPr>
          <w:rFonts w:eastAsia="Batang"/>
          <w:lang w:val="fr-FR" w:eastAsia="ko-KR"/>
        </w:rPr>
        <w:t xml:space="preserve">paragraphe </w:t>
      </w:r>
      <w:r w:rsidR="00A17C05" w:rsidRPr="002715F2">
        <w:rPr>
          <w:rFonts w:eastAsia="Batang"/>
          <w:lang w:val="fr-FR" w:eastAsia="ko-KR"/>
        </w:rPr>
        <w:t>24</w:t>
      </w:r>
    </w:p>
    <w:p w:rsidR="000078DA" w:rsidRPr="002715F2" w:rsidRDefault="007026FB" w:rsidP="00D44AB1">
      <w:pPr>
        <w:pStyle w:val="SingleTxtG"/>
        <w:rPr>
          <w:rFonts w:eastAsia="Batang"/>
          <w:lang w:val="fr-FR" w:eastAsia="ko-KR"/>
        </w:rPr>
      </w:pPr>
      <w:r w:rsidRPr="002715F2">
        <w:rPr>
          <w:rFonts w:eastAsia="Batang"/>
          <w:lang w:val="fr-FR" w:eastAsia="ko-KR"/>
        </w:rPr>
        <w:t>136.</w:t>
      </w:r>
      <w:r w:rsidRPr="002715F2">
        <w:rPr>
          <w:rFonts w:eastAsia="Batang"/>
          <w:lang w:val="fr-FR" w:eastAsia="ko-KR"/>
        </w:rPr>
        <w:tab/>
      </w:r>
      <w:r w:rsidR="00A17C05" w:rsidRPr="002715F2">
        <w:rPr>
          <w:rFonts w:eastAsia="Batang"/>
          <w:lang w:val="fr-FR" w:eastAsia="ko-KR"/>
        </w:rPr>
        <w:t xml:space="preserve">Les </w:t>
      </w:r>
      <w:r w:rsidR="005E619F" w:rsidRPr="002715F2">
        <w:rPr>
          <w:rFonts w:eastAsia="Batang"/>
          <w:lang w:val="fr-FR" w:eastAsia="ko-KR"/>
        </w:rPr>
        <w:t xml:space="preserve">cinq </w:t>
      </w:r>
      <w:r w:rsidR="00A17C05" w:rsidRPr="002715F2">
        <w:rPr>
          <w:rFonts w:eastAsia="Batang"/>
          <w:lang w:val="fr-FR" w:eastAsia="ko-KR"/>
        </w:rPr>
        <w:t>policiers d</w:t>
      </w:r>
      <w:r w:rsidR="00D44AB1" w:rsidRPr="002715F2">
        <w:rPr>
          <w:rFonts w:eastAsia="Batang"/>
          <w:lang w:val="fr-FR" w:eastAsia="ko-KR"/>
        </w:rPr>
        <w:t xml:space="preserve">u poste de police de Yang-cheon accusés de torture, </w:t>
      </w:r>
      <w:r w:rsidR="00A17C05" w:rsidRPr="002715F2">
        <w:rPr>
          <w:rFonts w:eastAsia="Batang"/>
          <w:lang w:val="fr-FR" w:eastAsia="ko-KR"/>
        </w:rPr>
        <w:t xml:space="preserve">qui avaient été </w:t>
      </w:r>
      <w:r w:rsidR="00A17C05" w:rsidRPr="002715F2">
        <w:rPr>
          <w:lang w:val="fr-FR"/>
        </w:rPr>
        <w:t xml:space="preserve">déférés devant le parquet </w:t>
      </w:r>
      <w:r w:rsidR="00A17C05" w:rsidRPr="002715F2">
        <w:rPr>
          <w:rFonts w:eastAsia="Batang"/>
          <w:lang w:val="fr-FR" w:eastAsia="ko-KR"/>
        </w:rPr>
        <w:t>par la Commission nationale des droits de l’homme, ont été jugés le 9</w:t>
      </w:r>
      <w:r w:rsidR="00D44AB1" w:rsidRPr="002715F2">
        <w:rPr>
          <w:rFonts w:eastAsia="Batang"/>
          <w:lang w:val="fr-FR" w:eastAsia="ko-KR"/>
        </w:rPr>
        <w:t> </w:t>
      </w:r>
      <w:r w:rsidR="00A17C05" w:rsidRPr="002715F2">
        <w:rPr>
          <w:rFonts w:eastAsia="Batang"/>
          <w:lang w:val="fr-FR" w:eastAsia="ko-KR"/>
        </w:rPr>
        <w:t>juillet 2010</w:t>
      </w:r>
      <w:r w:rsidR="000078DA" w:rsidRPr="002715F2">
        <w:rPr>
          <w:rFonts w:eastAsia="Batang"/>
          <w:lang w:val="fr-FR" w:eastAsia="ko-KR"/>
        </w:rPr>
        <w:t xml:space="preserve">. </w:t>
      </w:r>
      <w:r w:rsidR="00930F66" w:rsidRPr="002715F2">
        <w:rPr>
          <w:rFonts w:eastAsia="Batang"/>
          <w:lang w:val="fr-FR" w:eastAsia="ko-KR"/>
        </w:rPr>
        <w:t xml:space="preserve">Quatre </w:t>
      </w:r>
      <w:r w:rsidR="00A17C05" w:rsidRPr="002715F2">
        <w:rPr>
          <w:rFonts w:eastAsia="Batang"/>
          <w:lang w:val="fr-FR" w:eastAsia="ko-KR"/>
        </w:rPr>
        <w:t>ont fait l’objet de poursuites en vertu de l’a</w:t>
      </w:r>
      <w:r w:rsidR="00D44AB1" w:rsidRPr="002715F2">
        <w:rPr>
          <w:rFonts w:eastAsia="Batang"/>
          <w:lang w:val="fr-FR" w:eastAsia="ko-KR"/>
        </w:rPr>
        <w:t>rticle </w:t>
      </w:r>
      <w:r w:rsidR="000078DA" w:rsidRPr="002715F2">
        <w:rPr>
          <w:rFonts w:eastAsia="Batang"/>
          <w:lang w:val="fr-FR" w:eastAsia="ko-KR"/>
        </w:rPr>
        <w:t xml:space="preserve">4-2 </w:t>
      </w:r>
      <w:r w:rsidR="00A17C05" w:rsidRPr="002715F2">
        <w:rPr>
          <w:lang w:val="fr-FR"/>
        </w:rPr>
        <w:t>de la loi relative aux peines aggravées pour des crimes spécifiques</w:t>
      </w:r>
      <w:r w:rsidR="00A17C05" w:rsidRPr="002715F2">
        <w:rPr>
          <w:rFonts w:eastAsia="Batang"/>
          <w:lang w:val="fr-FR" w:eastAsia="ko-KR"/>
        </w:rPr>
        <w:t xml:space="preserve"> et de l’article </w:t>
      </w:r>
      <w:r w:rsidR="000078DA" w:rsidRPr="002715F2">
        <w:rPr>
          <w:rFonts w:eastAsia="Batang"/>
          <w:lang w:val="fr-FR" w:eastAsia="ko-KR"/>
        </w:rPr>
        <w:t xml:space="preserve">125 </w:t>
      </w:r>
      <w:r w:rsidR="00A17C05" w:rsidRPr="002715F2">
        <w:rPr>
          <w:rFonts w:eastAsia="Batang"/>
          <w:lang w:val="fr-FR" w:eastAsia="ko-KR"/>
        </w:rPr>
        <w:t>du Code pénal</w:t>
      </w:r>
      <w:r w:rsidR="000078DA" w:rsidRPr="002715F2">
        <w:rPr>
          <w:rFonts w:eastAsia="Batang"/>
          <w:lang w:val="fr-FR" w:eastAsia="ko-KR"/>
        </w:rPr>
        <w:t>,</w:t>
      </w:r>
      <w:r w:rsidR="000078DA" w:rsidRPr="002715F2">
        <w:rPr>
          <w:rFonts w:eastAsia="Batang"/>
          <w:i/>
          <w:lang w:val="fr-FR" w:eastAsia="ko-KR"/>
        </w:rPr>
        <w:t xml:space="preserve"> </w:t>
      </w:r>
      <w:r w:rsidR="00A17C05" w:rsidRPr="002715F2">
        <w:rPr>
          <w:rFonts w:eastAsia="Batang"/>
          <w:lang w:val="fr-FR" w:eastAsia="ko-KR"/>
        </w:rPr>
        <w:t xml:space="preserve">et </w:t>
      </w:r>
      <w:r w:rsidR="00930F66" w:rsidRPr="002715F2">
        <w:rPr>
          <w:rFonts w:eastAsia="Batang"/>
          <w:lang w:val="fr-FR" w:eastAsia="ko-KR"/>
        </w:rPr>
        <w:t xml:space="preserve">le cinquième </w:t>
      </w:r>
      <w:r w:rsidR="00A17C05" w:rsidRPr="002715F2">
        <w:rPr>
          <w:rFonts w:eastAsia="Batang"/>
          <w:lang w:val="fr-FR" w:eastAsia="ko-KR"/>
        </w:rPr>
        <w:t>a été</w:t>
      </w:r>
      <w:r w:rsidR="000078DA" w:rsidRPr="002715F2">
        <w:rPr>
          <w:rFonts w:eastAsia="Batang"/>
          <w:lang w:val="fr-FR" w:eastAsia="ko-KR"/>
        </w:rPr>
        <w:t xml:space="preserve"> </w:t>
      </w:r>
      <w:r w:rsidR="00A17C05" w:rsidRPr="002715F2">
        <w:rPr>
          <w:rFonts w:eastAsia="Batang"/>
          <w:lang w:val="fr-FR" w:eastAsia="ko-KR"/>
        </w:rPr>
        <w:t>poursuivi au titre de l’a</w:t>
      </w:r>
      <w:r w:rsidR="00D44AB1" w:rsidRPr="002715F2">
        <w:rPr>
          <w:rFonts w:eastAsia="Batang"/>
          <w:lang w:val="fr-FR" w:eastAsia="ko-KR"/>
        </w:rPr>
        <w:t>rticle </w:t>
      </w:r>
      <w:r w:rsidR="000078DA" w:rsidRPr="002715F2">
        <w:rPr>
          <w:rFonts w:eastAsia="Batang"/>
          <w:lang w:val="fr-FR" w:eastAsia="ko-KR"/>
        </w:rPr>
        <w:t>125</w:t>
      </w:r>
      <w:r w:rsidR="00A17C05" w:rsidRPr="002715F2">
        <w:rPr>
          <w:rFonts w:eastAsia="Batang"/>
          <w:lang w:val="fr-FR" w:eastAsia="ko-KR"/>
        </w:rPr>
        <w:t xml:space="preserve"> du Code pénal</w:t>
      </w:r>
      <w:r w:rsidR="000078DA" w:rsidRPr="002715F2">
        <w:rPr>
          <w:rFonts w:eastAsia="Batang"/>
          <w:lang w:val="fr-FR" w:eastAsia="ko-KR"/>
        </w:rPr>
        <w:t xml:space="preserve">. </w:t>
      </w:r>
      <w:r w:rsidR="00930F66" w:rsidRPr="002715F2">
        <w:rPr>
          <w:rFonts w:eastAsia="Batang"/>
          <w:lang w:val="fr-FR" w:eastAsia="ko-KR"/>
        </w:rPr>
        <w:t>Tous ont été condam</w:t>
      </w:r>
      <w:r w:rsidR="00CD5954" w:rsidRPr="002715F2">
        <w:rPr>
          <w:rFonts w:eastAsia="Batang"/>
          <w:lang w:val="fr-FR" w:eastAsia="ko-KR"/>
        </w:rPr>
        <w:t>n</w:t>
      </w:r>
      <w:r w:rsidR="00930F66" w:rsidRPr="002715F2">
        <w:rPr>
          <w:rFonts w:eastAsia="Batang"/>
          <w:lang w:val="fr-FR" w:eastAsia="ko-KR"/>
        </w:rPr>
        <w:t>és l</w:t>
      </w:r>
      <w:r w:rsidR="00D44AB1" w:rsidRPr="002715F2">
        <w:rPr>
          <w:rFonts w:eastAsia="Batang"/>
          <w:lang w:val="fr-FR" w:eastAsia="ko-KR"/>
        </w:rPr>
        <w:t>e 18 </w:t>
      </w:r>
      <w:r w:rsidR="00930F66" w:rsidRPr="002715F2">
        <w:rPr>
          <w:rFonts w:eastAsia="Batang"/>
          <w:lang w:val="fr-FR" w:eastAsia="ko-KR"/>
        </w:rPr>
        <w:t>juin 2011</w:t>
      </w:r>
      <w:r w:rsidR="00D44AB1" w:rsidRPr="002715F2">
        <w:rPr>
          <w:rFonts w:eastAsia="Batang"/>
          <w:lang w:val="fr-FR" w:eastAsia="ko-KR"/>
        </w:rPr>
        <w:t xml:space="preserve"> selon leur degré d’implication et la gravité des actes de violence concernés</w:t>
      </w:r>
      <w:r w:rsidR="00E97B1A" w:rsidRPr="002715F2">
        <w:rPr>
          <w:rFonts w:eastAsia="Batang"/>
          <w:lang w:val="fr-FR" w:eastAsia="ko-KR"/>
        </w:rPr>
        <w:t>:</w:t>
      </w:r>
      <w:r w:rsidR="000078DA" w:rsidRPr="002715F2">
        <w:rPr>
          <w:rFonts w:eastAsia="Batang"/>
          <w:lang w:val="fr-FR" w:eastAsia="ko-KR"/>
        </w:rPr>
        <w:t xml:space="preserve"> </w:t>
      </w:r>
      <w:r w:rsidR="00930F66" w:rsidRPr="002715F2">
        <w:rPr>
          <w:rFonts w:eastAsia="Batang"/>
          <w:lang w:val="fr-FR" w:eastAsia="ko-KR"/>
        </w:rPr>
        <w:t>un policier à une peine d’emprisonnement de trois</w:t>
      </w:r>
      <w:r w:rsidR="00D44AB1" w:rsidRPr="002715F2">
        <w:rPr>
          <w:rFonts w:eastAsia="Batang"/>
          <w:lang w:val="fr-FR" w:eastAsia="ko-KR"/>
        </w:rPr>
        <w:t> </w:t>
      </w:r>
      <w:r w:rsidR="00930F66" w:rsidRPr="002715F2">
        <w:rPr>
          <w:rFonts w:eastAsia="Batang"/>
          <w:lang w:val="fr-FR" w:eastAsia="ko-KR"/>
        </w:rPr>
        <w:t xml:space="preserve">ans, </w:t>
      </w:r>
      <w:r w:rsidR="005E619F" w:rsidRPr="002715F2">
        <w:rPr>
          <w:rFonts w:eastAsia="Batang"/>
          <w:lang w:val="fr-FR" w:eastAsia="ko-KR"/>
        </w:rPr>
        <w:t xml:space="preserve">trois </w:t>
      </w:r>
      <w:r w:rsidR="00930F66" w:rsidRPr="002715F2">
        <w:rPr>
          <w:rFonts w:eastAsia="Batang"/>
          <w:lang w:val="fr-FR" w:eastAsia="ko-KR"/>
        </w:rPr>
        <w:t xml:space="preserve">policiers à </w:t>
      </w:r>
      <w:r w:rsidR="00D44AB1" w:rsidRPr="002715F2">
        <w:rPr>
          <w:rFonts w:eastAsia="Batang"/>
          <w:lang w:val="fr-FR" w:eastAsia="ko-KR"/>
        </w:rPr>
        <w:t xml:space="preserve">une peine d’emprisonnement </w:t>
      </w:r>
      <w:r w:rsidR="005E619F" w:rsidRPr="002715F2">
        <w:rPr>
          <w:rFonts w:eastAsia="Batang"/>
          <w:lang w:val="fr-FR" w:eastAsia="ko-KR"/>
        </w:rPr>
        <w:t xml:space="preserve">d’un </w:t>
      </w:r>
      <w:r w:rsidR="00D44AB1" w:rsidRPr="002715F2">
        <w:rPr>
          <w:rFonts w:eastAsia="Batang"/>
          <w:lang w:val="fr-FR" w:eastAsia="ko-KR"/>
        </w:rPr>
        <w:t xml:space="preserve">an chacun et un </w:t>
      </w:r>
      <w:r w:rsidR="005E619F" w:rsidRPr="002715F2">
        <w:rPr>
          <w:rFonts w:eastAsia="Batang"/>
          <w:lang w:val="fr-FR" w:eastAsia="ko-KR"/>
        </w:rPr>
        <w:t xml:space="preserve">à </w:t>
      </w:r>
      <w:r w:rsidR="00D44AB1" w:rsidRPr="002715F2">
        <w:rPr>
          <w:rFonts w:eastAsia="Batang"/>
          <w:lang w:val="fr-FR" w:eastAsia="ko-KR"/>
        </w:rPr>
        <w:t>huit </w:t>
      </w:r>
      <w:r w:rsidR="00930F66" w:rsidRPr="002715F2">
        <w:rPr>
          <w:rFonts w:eastAsia="Batang"/>
          <w:lang w:val="fr-FR" w:eastAsia="ko-KR"/>
        </w:rPr>
        <w:t>mois de prison assortie d’un sursis de deux</w:t>
      </w:r>
      <w:r w:rsidR="00D44AB1" w:rsidRPr="002715F2">
        <w:rPr>
          <w:rFonts w:eastAsia="Batang"/>
          <w:lang w:val="fr-FR" w:eastAsia="ko-KR"/>
        </w:rPr>
        <w:t> </w:t>
      </w:r>
      <w:r w:rsidR="00930F66" w:rsidRPr="002715F2">
        <w:rPr>
          <w:rFonts w:eastAsia="Batang"/>
          <w:lang w:val="fr-FR" w:eastAsia="ko-KR"/>
        </w:rPr>
        <w:t>ans</w:t>
      </w:r>
      <w:r w:rsidR="001F21F3" w:rsidRPr="002715F2">
        <w:rPr>
          <w:rFonts w:eastAsia="Batang"/>
          <w:lang w:val="fr-FR" w:eastAsia="ko-KR"/>
        </w:rPr>
        <w:t xml:space="preserve"> à l’exécution se sa peine</w:t>
      </w:r>
      <w:r w:rsidR="00930F66" w:rsidRPr="002715F2">
        <w:rPr>
          <w:rFonts w:eastAsia="Batang"/>
          <w:lang w:val="fr-FR" w:eastAsia="ko-KR"/>
        </w:rPr>
        <w:t>. Tous ont été révoqués de la fonction publique</w:t>
      </w:r>
      <w:r w:rsidR="000078DA" w:rsidRPr="002715F2">
        <w:rPr>
          <w:rFonts w:eastAsia="Batang"/>
          <w:lang w:val="fr-FR" w:eastAsia="ko-K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3B3F1B" w:rsidRPr="002715F2">
        <w:rPr>
          <w:rFonts w:eastAsia="Batang"/>
          <w:lang w:val="fr-FR" w:eastAsia="ko-KR"/>
        </w:rPr>
        <w:t xml:space="preserve">Réponse aux questions soulevées au </w:t>
      </w:r>
      <w:r w:rsidR="005E619F" w:rsidRPr="002715F2">
        <w:rPr>
          <w:rFonts w:eastAsia="Batang"/>
          <w:lang w:val="fr-FR" w:eastAsia="ko-KR"/>
        </w:rPr>
        <w:t xml:space="preserve">paragraphe </w:t>
      </w:r>
      <w:r w:rsidR="003B3F1B" w:rsidRPr="002715F2">
        <w:rPr>
          <w:rFonts w:eastAsia="Batang"/>
          <w:lang w:val="fr-FR" w:eastAsia="ko-KR"/>
        </w:rPr>
        <w:t>25</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3B3F1B" w:rsidRPr="002715F2">
        <w:rPr>
          <w:lang w:val="fr-FR"/>
        </w:rPr>
        <w:t>Mécanisme de plainte et d’enquête permettant de vérifier les allégations de violence formulées par des travailleurs migrants</w:t>
      </w:r>
    </w:p>
    <w:p w:rsidR="000078DA" w:rsidRPr="002715F2" w:rsidRDefault="007026FB" w:rsidP="00E83823">
      <w:pPr>
        <w:pStyle w:val="SingleTxtG"/>
        <w:rPr>
          <w:rFonts w:eastAsia="Batang"/>
          <w:lang w:val="fr-FR" w:eastAsia="ko-KR"/>
        </w:rPr>
      </w:pPr>
      <w:r w:rsidRPr="002715F2">
        <w:rPr>
          <w:rFonts w:eastAsia="Batang"/>
          <w:lang w:val="fr-FR" w:eastAsia="ko-KR"/>
        </w:rPr>
        <w:t>137.</w:t>
      </w:r>
      <w:r w:rsidRPr="002715F2">
        <w:rPr>
          <w:rFonts w:eastAsia="Batang"/>
          <w:lang w:val="fr-FR" w:eastAsia="ko-KR"/>
        </w:rPr>
        <w:tab/>
      </w:r>
      <w:r w:rsidR="00880403" w:rsidRPr="002715F2">
        <w:rPr>
          <w:rFonts w:eastAsia="Batang"/>
          <w:lang w:val="fr-FR" w:eastAsia="ko-KR"/>
        </w:rPr>
        <w:t>La loi sur les normes du travail prévoit un système</w:t>
      </w:r>
      <w:r w:rsidR="00D33E3C" w:rsidRPr="002715F2">
        <w:rPr>
          <w:rFonts w:eastAsia="Batang"/>
          <w:lang w:val="fr-FR" w:eastAsia="ko-KR"/>
        </w:rPr>
        <w:t xml:space="preserve"> d’inspecteurs du travail (art</w:t>
      </w:r>
      <w:r w:rsidR="005E619F" w:rsidRPr="002715F2">
        <w:rPr>
          <w:rFonts w:eastAsia="Batang"/>
          <w:lang w:val="fr-FR" w:eastAsia="ko-KR"/>
        </w:rPr>
        <w:t xml:space="preserve">. </w:t>
      </w:r>
      <w:r w:rsidR="00880403" w:rsidRPr="002715F2">
        <w:rPr>
          <w:rFonts w:eastAsia="Batang"/>
          <w:lang w:val="fr-FR" w:eastAsia="ko-KR"/>
        </w:rPr>
        <w:t>101 à 106)</w:t>
      </w:r>
      <w:r w:rsidR="000078DA" w:rsidRPr="002715F2">
        <w:rPr>
          <w:rFonts w:eastAsia="Batang"/>
          <w:lang w:val="fr-FR" w:eastAsia="ko-KR"/>
        </w:rPr>
        <w:t xml:space="preserve">. </w:t>
      </w:r>
      <w:r w:rsidR="00880403" w:rsidRPr="002715F2">
        <w:rPr>
          <w:rFonts w:eastAsia="Batang"/>
          <w:lang w:val="fr-FR" w:eastAsia="ko-KR"/>
        </w:rPr>
        <w:t xml:space="preserve">Un employé qui a été désavantagé du fait </w:t>
      </w:r>
      <w:r w:rsidR="00477281" w:rsidRPr="002715F2">
        <w:rPr>
          <w:rFonts w:eastAsia="Batang"/>
          <w:lang w:val="fr-FR" w:eastAsia="ko-KR"/>
        </w:rPr>
        <w:t>que</w:t>
      </w:r>
      <w:r w:rsidR="00880403" w:rsidRPr="002715F2">
        <w:rPr>
          <w:rFonts w:eastAsia="Batang"/>
          <w:lang w:val="fr-FR" w:eastAsia="ko-KR"/>
        </w:rPr>
        <w:t xml:space="preserve"> son employeur</w:t>
      </w:r>
      <w:r w:rsidR="00E83823" w:rsidRPr="002715F2">
        <w:rPr>
          <w:rFonts w:eastAsia="Batang"/>
          <w:lang w:val="fr-FR" w:eastAsia="ko-KR"/>
        </w:rPr>
        <w:t xml:space="preserve"> </w:t>
      </w:r>
      <w:r w:rsidR="00477281" w:rsidRPr="002715F2">
        <w:rPr>
          <w:rFonts w:eastAsia="Batang"/>
          <w:lang w:val="fr-FR" w:eastAsia="ko-KR"/>
        </w:rPr>
        <w:t>a enfreint</w:t>
      </w:r>
      <w:r w:rsidR="00880403" w:rsidRPr="002715F2">
        <w:rPr>
          <w:rFonts w:eastAsia="Batang"/>
          <w:lang w:val="fr-FR" w:eastAsia="ko-KR"/>
        </w:rPr>
        <w:t xml:space="preserve"> la loi sur les normes du travail</w:t>
      </w:r>
      <w:r w:rsidR="00477281" w:rsidRPr="002715F2">
        <w:rPr>
          <w:rFonts w:eastAsia="Batang"/>
          <w:lang w:val="fr-FR" w:eastAsia="ko-KR"/>
        </w:rPr>
        <w:t>,</w:t>
      </w:r>
      <w:r w:rsidR="00880403" w:rsidRPr="002715F2">
        <w:rPr>
          <w:rFonts w:eastAsia="Batang"/>
          <w:lang w:val="fr-FR" w:eastAsia="ko-KR"/>
        </w:rPr>
        <w:t xml:space="preserve"> ou d’autres </w:t>
      </w:r>
      <w:r w:rsidR="00477281" w:rsidRPr="002715F2">
        <w:rPr>
          <w:rFonts w:eastAsia="Batang"/>
          <w:lang w:val="fr-FR" w:eastAsia="ko-KR"/>
        </w:rPr>
        <w:t>lois</w:t>
      </w:r>
      <w:r w:rsidR="00880403" w:rsidRPr="002715F2">
        <w:rPr>
          <w:rFonts w:eastAsia="Batang"/>
          <w:lang w:val="fr-FR" w:eastAsia="ko-KR"/>
        </w:rPr>
        <w:t xml:space="preserve"> </w:t>
      </w:r>
      <w:r w:rsidR="00E83823" w:rsidRPr="002715F2">
        <w:rPr>
          <w:rFonts w:eastAsia="Batang"/>
          <w:lang w:val="fr-FR" w:eastAsia="ko-KR"/>
        </w:rPr>
        <w:t xml:space="preserve">et règlements </w:t>
      </w:r>
      <w:r w:rsidR="00477281" w:rsidRPr="002715F2">
        <w:rPr>
          <w:rFonts w:eastAsia="Batang"/>
          <w:lang w:val="fr-FR" w:eastAsia="ko-KR"/>
        </w:rPr>
        <w:t>relati</w:t>
      </w:r>
      <w:r w:rsidR="00E83823" w:rsidRPr="002715F2">
        <w:rPr>
          <w:rFonts w:eastAsia="Batang"/>
          <w:lang w:val="fr-FR" w:eastAsia="ko-KR"/>
        </w:rPr>
        <w:t>fs</w:t>
      </w:r>
      <w:r w:rsidR="00477281" w:rsidRPr="002715F2">
        <w:rPr>
          <w:rFonts w:eastAsia="Batang"/>
          <w:lang w:val="fr-FR" w:eastAsia="ko-KR"/>
        </w:rPr>
        <w:t xml:space="preserve"> au travail,</w:t>
      </w:r>
      <w:r w:rsidR="00880403" w:rsidRPr="002715F2">
        <w:rPr>
          <w:rFonts w:eastAsia="Batang"/>
          <w:lang w:val="fr-FR" w:eastAsia="ko-KR"/>
        </w:rPr>
        <w:t xml:space="preserve"> peut signaler ces faits à l’inspecteur du travail quelle que soit sa nationalité</w:t>
      </w:r>
      <w:r w:rsidR="000078DA" w:rsidRPr="002715F2">
        <w:rPr>
          <w:rFonts w:eastAsia="Batang"/>
          <w:lang w:val="fr-FR" w:eastAsia="ko-KR"/>
        </w:rPr>
        <w:t xml:space="preserve">. </w:t>
      </w:r>
      <w:r w:rsidR="00E83823" w:rsidRPr="002715F2">
        <w:rPr>
          <w:rFonts w:eastAsia="Batang"/>
          <w:lang w:val="fr-FR" w:eastAsia="ko-KR"/>
        </w:rPr>
        <w:t>L’inspecteur du travail peut mener une enquête et ordonner à l’employeur de corriger la situation</w:t>
      </w:r>
      <w:r w:rsidR="000078DA" w:rsidRPr="002715F2">
        <w:rPr>
          <w:rFonts w:eastAsia="Batang"/>
          <w:lang w:val="fr-FR" w:eastAsia="ko-KR"/>
        </w:rPr>
        <w:t>, o</w:t>
      </w:r>
      <w:r w:rsidR="00E83823" w:rsidRPr="002715F2">
        <w:rPr>
          <w:rFonts w:eastAsia="Batang"/>
          <w:lang w:val="fr-FR" w:eastAsia="ko-KR"/>
        </w:rPr>
        <w:t>u transmettre l’affaire au parquet en vue de sanctions pénales</w:t>
      </w:r>
      <w:r w:rsidR="000078DA" w:rsidRPr="002715F2">
        <w:rPr>
          <w:rFonts w:eastAsia="Batang"/>
          <w:lang w:val="fr-FR" w:eastAsia="ko-KR"/>
        </w:rPr>
        <w:t xml:space="preserve">. </w:t>
      </w:r>
      <w:r w:rsidR="00E83823" w:rsidRPr="002715F2">
        <w:rPr>
          <w:rFonts w:eastAsia="Batang"/>
          <w:lang w:val="fr-FR" w:eastAsia="ko-KR"/>
        </w:rPr>
        <w:t>Les principales dispositions de la loi sur les normes du travail,</w:t>
      </w:r>
      <w:r w:rsidR="000078DA" w:rsidRPr="002715F2">
        <w:rPr>
          <w:rFonts w:eastAsia="Batang"/>
          <w:lang w:val="fr-FR" w:eastAsia="ko-KR"/>
        </w:rPr>
        <w:t xml:space="preserve"> </w:t>
      </w:r>
      <w:r w:rsidR="00E83823" w:rsidRPr="002715F2">
        <w:rPr>
          <w:rFonts w:eastAsia="Batang"/>
          <w:lang w:val="fr-FR" w:eastAsia="ko-KR"/>
        </w:rPr>
        <w:t>y compris le système de plainte et d’enquête</w:t>
      </w:r>
      <w:r w:rsidR="000078DA" w:rsidRPr="002715F2">
        <w:rPr>
          <w:rFonts w:eastAsia="Batang"/>
          <w:lang w:val="fr-FR" w:eastAsia="ko-KR"/>
        </w:rPr>
        <w:t xml:space="preserve">, </w:t>
      </w:r>
      <w:r w:rsidR="00E83823" w:rsidRPr="002715F2">
        <w:rPr>
          <w:rFonts w:eastAsia="Batang"/>
          <w:lang w:val="fr-FR" w:eastAsia="ko-KR"/>
        </w:rPr>
        <w:t>sont expliquées dans le cadre des formations proposées aux étrangers titulaires d’un permis de travail</w:t>
      </w:r>
      <w:r w:rsidR="000078DA" w:rsidRPr="002715F2">
        <w:rPr>
          <w:rFonts w:eastAsia="Batang"/>
          <w:lang w:val="fr-FR" w:eastAsia="ko-KR"/>
        </w:rPr>
        <w:t xml:space="preserve"> (</w:t>
      </w:r>
      <w:r w:rsidR="00E83823" w:rsidRPr="002715F2">
        <w:rPr>
          <w:rFonts w:eastAsia="Batang"/>
          <w:lang w:val="fr-FR" w:eastAsia="ko-KR"/>
        </w:rPr>
        <w:t>visas </w:t>
      </w:r>
      <w:r w:rsidR="000078DA" w:rsidRPr="002715F2">
        <w:rPr>
          <w:rFonts w:eastAsia="Batang"/>
          <w:lang w:val="fr-FR" w:eastAsia="ko-KR"/>
        </w:rPr>
        <w:t>E-9</w:t>
      </w:r>
      <w:r w:rsidR="00E83823" w:rsidRPr="002715F2">
        <w:rPr>
          <w:rFonts w:eastAsia="Batang"/>
          <w:lang w:val="fr-FR" w:eastAsia="ko-KR"/>
        </w:rPr>
        <w:t xml:space="preserve"> et</w:t>
      </w:r>
      <w:r w:rsidR="000078DA" w:rsidRPr="002715F2">
        <w:rPr>
          <w:rFonts w:eastAsia="Batang"/>
          <w:lang w:val="fr-FR" w:eastAsia="ko-KR"/>
        </w:rPr>
        <w:t xml:space="preserve"> H-2) </w:t>
      </w:r>
      <w:r w:rsidR="00E83823" w:rsidRPr="002715F2">
        <w:rPr>
          <w:rFonts w:eastAsia="Batang"/>
          <w:lang w:val="fr-FR" w:eastAsia="ko-KR"/>
        </w:rPr>
        <w:t>avant qu’ils</w:t>
      </w:r>
      <w:r w:rsidR="00642F75" w:rsidRPr="002715F2">
        <w:rPr>
          <w:rFonts w:eastAsia="Batang"/>
          <w:lang w:val="fr-FR" w:eastAsia="ko-KR"/>
        </w:rPr>
        <w:t xml:space="preserve"> ne</w:t>
      </w:r>
      <w:r w:rsidR="00E83823" w:rsidRPr="002715F2">
        <w:rPr>
          <w:rFonts w:eastAsia="Batang"/>
          <w:lang w:val="fr-FR" w:eastAsia="ko-KR"/>
        </w:rPr>
        <w:t xml:space="preserve"> soient envoyés sur leurs lieux de travail respectifs</w:t>
      </w:r>
      <w:r w:rsidR="000078DA" w:rsidRPr="002715F2">
        <w:rPr>
          <w:rFonts w:eastAsia="Batang"/>
          <w:lang w:val="fr-FR" w:eastAsia="ko-KR"/>
        </w:rPr>
        <w:t xml:space="preserve">. </w:t>
      </w:r>
      <w:r w:rsidR="00345D43" w:rsidRPr="002715F2">
        <w:rPr>
          <w:rFonts w:eastAsia="Batang"/>
          <w:lang w:val="fr-FR" w:eastAsia="ko-KR"/>
        </w:rPr>
        <w:t>En outre, l</w:t>
      </w:r>
      <w:r w:rsidR="00642F75" w:rsidRPr="002715F2">
        <w:rPr>
          <w:rFonts w:eastAsia="Batang"/>
          <w:lang w:val="fr-FR" w:eastAsia="ko-KR"/>
        </w:rPr>
        <w:t xml:space="preserve">e Centre d’aide aux travailleurs étrangers et le Centre de conseils </w:t>
      </w:r>
      <w:r w:rsidR="00411FEB" w:rsidRPr="002715F2">
        <w:rPr>
          <w:rFonts w:eastAsia="Batang"/>
          <w:lang w:val="fr-FR" w:eastAsia="ko-KR"/>
        </w:rPr>
        <w:t xml:space="preserve">pour </w:t>
      </w:r>
      <w:r w:rsidR="00642F75" w:rsidRPr="002715F2">
        <w:rPr>
          <w:rFonts w:eastAsia="Batang"/>
          <w:lang w:val="fr-FR" w:eastAsia="ko-KR"/>
        </w:rPr>
        <w:t xml:space="preserve">travailleurs étrangers </w:t>
      </w:r>
      <w:r w:rsidR="00411FEB" w:rsidRPr="002715F2">
        <w:rPr>
          <w:rFonts w:eastAsia="Batang"/>
          <w:lang w:val="fr-FR" w:eastAsia="ko-KR"/>
        </w:rPr>
        <w:t xml:space="preserve">apportent </w:t>
      </w:r>
      <w:r w:rsidR="00345D43" w:rsidRPr="002715F2">
        <w:rPr>
          <w:rFonts w:eastAsia="Batang"/>
          <w:lang w:val="fr-FR" w:eastAsia="ko-KR"/>
        </w:rPr>
        <w:t xml:space="preserve">à ces personnes </w:t>
      </w:r>
      <w:r w:rsidR="00411FEB" w:rsidRPr="002715F2">
        <w:rPr>
          <w:rFonts w:eastAsia="Batang"/>
          <w:lang w:val="fr-FR" w:eastAsia="ko-KR"/>
        </w:rPr>
        <w:t>une assistance en matière d’emploi et de plaintes afin d’éviter que les</w:t>
      </w:r>
      <w:r w:rsidR="00642F75" w:rsidRPr="002715F2">
        <w:rPr>
          <w:rFonts w:eastAsia="Batang"/>
          <w:lang w:val="fr-FR" w:eastAsia="ko-KR"/>
        </w:rPr>
        <w:t xml:space="preserve"> </w:t>
      </w:r>
      <w:r w:rsidR="00345D43" w:rsidRPr="002715F2">
        <w:rPr>
          <w:rFonts w:eastAsia="Batang"/>
          <w:lang w:val="fr-FR" w:eastAsia="ko-KR"/>
        </w:rPr>
        <w:t>actions illégales</w:t>
      </w:r>
      <w:r w:rsidR="00411FEB" w:rsidRPr="002715F2">
        <w:rPr>
          <w:rFonts w:eastAsia="Batang"/>
          <w:lang w:val="fr-FR" w:eastAsia="ko-KR"/>
        </w:rPr>
        <w:t xml:space="preserve"> de leurs employeurs ne les expose</w:t>
      </w:r>
      <w:r w:rsidR="00345D43" w:rsidRPr="002715F2">
        <w:rPr>
          <w:rFonts w:eastAsia="Batang"/>
          <w:lang w:val="fr-FR" w:eastAsia="ko-KR"/>
        </w:rPr>
        <w:t>nt</w:t>
      </w:r>
      <w:r w:rsidR="00411FEB" w:rsidRPr="002715F2">
        <w:rPr>
          <w:rFonts w:eastAsia="Batang"/>
          <w:lang w:val="fr-FR" w:eastAsia="ko-KR"/>
        </w:rPr>
        <w:t xml:space="preserve"> à</w:t>
      </w:r>
      <w:r w:rsidR="00642F75" w:rsidRPr="002715F2">
        <w:rPr>
          <w:rFonts w:eastAsia="Batang"/>
          <w:lang w:val="fr-FR" w:eastAsia="ko-KR"/>
        </w:rPr>
        <w:t xml:space="preserve"> des discriminations</w:t>
      </w:r>
      <w:r w:rsidR="000078DA" w:rsidRPr="002715F2">
        <w:rPr>
          <w:rFonts w:eastAsia="Batang"/>
          <w:lang w:val="fr-FR" w:eastAsia="ko-KR"/>
        </w:rPr>
        <w:t>.</w:t>
      </w:r>
    </w:p>
    <w:p w:rsidR="000078DA" w:rsidRPr="002715F2" w:rsidRDefault="007026FB" w:rsidP="007026FB">
      <w:pPr>
        <w:pStyle w:val="SingleTxtG"/>
        <w:rPr>
          <w:rFonts w:eastAsia="Batang"/>
          <w:lang w:val="fr-FR" w:eastAsia="ko-KR"/>
        </w:rPr>
      </w:pPr>
      <w:r w:rsidRPr="002715F2">
        <w:rPr>
          <w:rFonts w:eastAsia="Batang"/>
          <w:lang w:val="fr-FR" w:eastAsia="ko-KR"/>
        </w:rPr>
        <w:t>138.</w:t>
      </w:r>
      <w:r w:rsidRPr="002715F2">
        <w:rPr>
          <w:rFonts w:eastAsia="Batang"/>
          <w:lang w:val="fr-FR" w:eastAsia="ko-KR"/>
        </w:rPr>
        <w:tab/>
      </w:r>
      <w:r w:rsidR="00642F75" w:rsidRPr="002715F2">
        <w:rPr>
          <w:rFonts w:eastAsia="Batang"/>
          <w:lang w:val="fr-FR" w:eastAsia="ko-KR"/>
        </w:rPr>
        <w:t>La loi sur les normes du travail prévoit des sanctions pour les employeurs qui forcent des migrants</w:t>
      </w:r>
      <w:r w:rsidR="000078DA" w:rsidRPr="002715F2">
        <w:rPr>
          <w:rFonts w:eastAsia="Batang"/>
          <w:lang w:val="fr-FR" w:eastAsia="ko-KR"/>
        </w:rPr>
        <w:t xml:space="preserve"> </w:t>
      </w:r>
      <w:r w:rsidR="00642F75" w:rsidRPr="002715F2">
        <w:rPr>
          <w:rFonts w:eastAsia="Batang"/>
          <w:lang w:val="fr-FR" w:eastAsia="ko-KR"/>
        </w:rPr>
        <w:t xml:space="preserve">à travailler en leur confisquant leur passeport ou </w:t>
      </w:r>
      <w:r w:rsidR="005521B2" w:rsidRPr="002715F2">
        <w:rPr>
          <w:rFonts w:eastAsia="Batang"/>
          <w:lang w:val="fr-FR" w:eastAsia="ko-KR"/>
        </w:rPr>
        <w:t>titre de séjour</w:t>
      </w:r>
      <w:r w:rsidR="00642F75" w:rsidRPr="002715F2">
        <w:rPr>
          <w:rFonts w:eastAsia="Batang"/>
          <w:lang w:val="fr-FR" w:eastAsia="ko-KR"/>
        </w:rPr>
        <w:t>, les emp</w:t>
      </w:r>
      <w:r w:rsidR="005521B2" w:rsidRPr="002715F2">
        <w:rPr>
          <w:rFonts w:eastAsia="Batang"/>
          <w:lang w:val="fr-FR" w:eastAsia="ko-KR"/>
        </w:rPr>
        <w:t>ê</w:t>
      </w:r>
      <w:r w:rsidR="00642F75" w:rsidRPr="002715F2">
        <w:rPr>
          <w:rFonts w:eastAsia="Batang"/>
          <w:lang w:val="fr-FR" w:eastAsia="ko-KR"/>
        </w:rPr>
        <w:t xml:space="preserve">chant ainsi </w:t>
      </w:r>
      <w:r w:rsidR="00A43171" w:rsidRPr="002715F2">
        <w:rPr>
          <w:rFonts w:eastAsia="Batang"/>
          <w:lang w:val="fr-FR" w:eastAsia="ko-KR"/>
        </w:rPr>
        <w:t>illégalement de quitter leur</w:t>
      </w:r>
      <w:r w:rsidR="00642F75" w:rsidRPr="002715F2">
        <w:rPr>
          <w:rFonts w:eastAsia="Batang"/>
          <w:lang w:val="fr-FR" w:eastAsia="ko-KR"/>
        </w:rPr>
        <w:t xml:space="preserve"> lieu de travail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 xml:space="preserve">7). </w:t>
      </w:r>
      <w:r w:rsidR="00642F75" w:rsidRPr="002715F2">
        <w:rPr>
          <w:rFonts w:eastAsia="Batang"/>
          <w:lang w:val="fr-FR" w:eastAsia="ko-KR"/>
        </w:rPr>
        <w:t xml:space="preserve">De </w:t>
      </w:r>
      <w:r w:rsidR="0039617D" w:rsidRPr="002715F2">
        <w:rPr>
          <w:rFonts w:eastAsia="Batang"/>
          <w:lang w:val="fr-FR" w:eastAsia="ko-KR"/>
        </w:rPr>
        <w:t>surcroît</w:t>
      </w:r>
      <w:r w:rsidR="000078DA" w:rsidRPr="002715F2">
        <w:rPr>
          <w:rFonts w:eastAsia="Batang"/>
          <w:lang w:val="fr-FR" w:eastAsia="ko-KR"/>
        </w:rPr>
        <w:t xml:space="preserve">, </w:t>
      </w:r>
      <w:r w:rsidR="00642F75" w:rsidRPr="002715F2">
        <w:rPr>
          <w:rFonts w:eastAsia="Batang"/>
          <w:lang w:val="fr-FR" w:eastAsia="ko-KR"/>
        </w:rPr>
        <w:t xml:space="preserve">les employeurs ne sont pas autorisés à user de violence </w:t>
      </w:r>
      <w:r w:rsidR="004B1BCA" w:rsidRPr="002715F2">
        <w:rPr>
          <w:rFonts w:eastAsia="Batang"/>
          <w:lang w:val="fr-FR" w:eastAsia="ko-KR"/>
        </w:rPr>
        <w:t>envers</w:t>
      </w:r>
      <w:r w:rsidR="00642F75" w:rsidRPr="002715F2">
        <w:rPr>
          <w:rFonts w:eastAsia="Batang"/>
          <w:lang w:val="fr-FR" w:eastAsia="ko-KR"/>
        </w:rPr>
        <w:t xml:space="preserve"> leurs employés </w:t>
      </w:r>
      <w:r w:rsidR="005521B2" w:rsidRPr="002715F2">
        <w:rPr>
          <w:rFonts w:eastAsia="Batang"/>
          <w:lang w:val="fr-FR" w:eastAsia="ko-KR"/>
        </w:rPr>
        <w:t>en raison</w:t>
      </w:r>
      <w:r w:rsidR="004B1BCA" w:rsidRPr="002715F2">
        <w:rPr>
          <w:rFonts w:eastAsia="Batang"/>
          <w:lang w:val="fr-FR" w:eastAsia="ko-KR"/>
        </w:rPr>
        <w:t xml:space="preserve"> d’incidents</w:t>
      </w:r>
      <w:r w:rsidR="00642F75" w:rsidRPr="002715F2">
        <w:rPr>
          <w:rFonts w:eastAsia="Batang"/>
          <w:lang w:val="fr-FR" w:eastAsia="ko-KR"/>
        </w:rPr>
        <w:t xml:space="preserve"> ou pour tout autre </w:t>
      </w:r>
      <w:r w:rsidR="005521B2" w:rsidRPr="002715F2">
        <w:rPr>
          <w:rFonts w:eastAsia="Batang"/>
          <w:lang w:val="fr-FR" w:eastAsia="ko-KR"/>
        </w:rPr>
        <w:t>motif</w:t>
      </w:r>
      <w:r w:rsidR="00642F75" w:rsidRPr="002715F2">
        <w:rPr>
          <w:rFonts w:eastAsia="Batang"/>
          <w:lang w:val="fr-FR" w:eastAsia="ko-KR"/>
        </w:rPr>
        <w:t xml:space="preserve"> </w:t>
      </w:r>
      <w:r w:rsidR="000078DA" w:rsidRPr="002715F2">
        <w:rPr>
          <w:rFonts w:eastAsia="Batang"/>
          <w:lang w:val="fr-FR" w:eastAsia="ko-KR"/>
        </w:rPr>
        <w:t>(</w:t>
      </w:r>
      <w:r w:rsidR="00BD1A84" w:rsidRPr="002715F2">
        <w:rPr>
          <w:rFonts w:eastAsia="Batang"/>
          <w:lang w:val="fr-FR" w:eastAsia="ko-KR"/>
        </w:rPr>
        <w:t>art. </w:t>
      </w:r>
      <w:r w:rsidR="000078DA" w:rsidRPr="002715F2">
        <w:rPr>
          <w:rFonts w:eastAsia="Batang"/>
          <w:lang w:val="fr-FR" w:eastAsia="ko-KR"/>
        </w:rPr>
        <w:t xml:space="preserve">8). </w:t>
      </w:r>
      <w:r w:rsidR="004B1BCA" w:rsidRPr="002715F2">
        <w:rPr>
          <w:rFonts w:eastAsia="Batang"/>
          <w:lang w:val="fr-FR" w:eastAsia="ko-KR"/>
        </w:rPr>
        <w:t xml:space="preserve">Quiconque </w:t>
      </w:r>
      <w:r w:rsidR="00C94F5A" w:rsidRPr="002715F2">
        <w:rPr>
          <w:rFonts w:eastAsia="Batang"/>
          <w:lang w:val="fr-FR" w:eastAsia="ko-KR"/>
        </w:rPr>
        <w:t>enfreint</w:t>
      </w:r>
      <w:r w:rsidR="004B1BCA" w:rsidRPr="002715F2">
        <w:rPr>
          <w:rFonts w:eastAsia="Batang"/>
          <w:lang w:val="fr-FR" w:eastAsia="ko-KR"/>
        </w:rPr>
        <w:t xml:space="preserve"> ces dispositions est passible d’une pei</w:t>
      </w:r>
      <w:r w:rsidR="00CF036B" w:rsidRPr="002715F2">
        <w:rPr>
          <w:rFonts w:eastAsia="Batang"/>
          <w:lang w:val="fr-FR" w:eastAsia="ko-KR"/>
        </w:rPr>
        <w:t xml:space="preserve">ne d’emprisonnement de cinq </w:t>
      </w:r>
      <w:r w:rsidR="002E57D4" w:rsidRPr="002715F2">
        <w:rPr>
          <w:rFonts w:eastAsia="Batang"/>
          <w:lang w:val="fr-FR" w:eastAsia="ko-KR"/>
        </w:rPr>
        <w:t xml:space="preserve">ans </w:t>
      </w:r>
      <w:r w:rsidR="00D75BBF" w:rsidRPr="002715F2">
        <w:rPr>
          <w:rFonts w:eastAsia="Batang"/>
          <w:lang w:val="fr-FR" w:eastAsia="ko-KR"/>
        </w:rPr>
        <w:t xml:space="preserve">au </w:t>
      </w:r>
      <w:r w:rsidR="004B1BCA" w:rsidRPr="002715F2">
        <w:rPr>
          <w:rFonts w:eastAsia="Batang"/>
          <w:lang w:val="fr-FR" w:eastAsia="ko-KR"/>
        </w:rPr>
        <w:t xml:space="preserve">maximum </w:t>
      </w:r>
      <w:r w:rsidR="00264439" w:rsidRPr="002715F2">
        <w:rPr>
          <w:rFonts w:eastAsia="Batang"/>
          <w:lang w:val="fr-FR" w:eastAsia="ko-KR"/>
        </w:rPr>
        <w:t>ou d’une amende qui ne pourra excéder 3</w:t>
      </w:r>
      <w:r w:rsidR="00CF036B" w:rsidRPr="002715F2">
        <w:rPr>
          <w:rFonts w:eastAsia="Batang"/>
          <w:lang w:val="fr-FR" w:eastAsia="ko-KR"/>
        </w:rPr>
        <w:t>0 </w:t>
      </w:r>
      <w:r w:rsidR="000078DA" w:rsidRPr="002715F2">
        <w:rPr>
          <w:rFonts w:eastAsia="Batang"/>
          <w:lang w:val="fr-FR" w:eastAsia="ko-KR"/>
        </w:rPr>
        <w:t>million</w:t>
      </w:r>
      <w:r w:rsidR="00264439" w:rsidRPr="002715F2">
        <w:rPr>
          <w:rFonts w:eastAsia="Batang"/>
          <w:lang w:val="fr-FR" w:eastAsia="ko-KR"/>
        </w:rPr>
        <w:t>s de won, respectivement</w:t>
      </w:r>
      <w:r w:rsidR="00F60999" w:rsidRPr="002715F2">
        <w:rPr>
          <w:rFonts w:eastAsia="Batang"/>
          <w:lang w:val="fr-FR" w:eastAsia="ko-KR"/>
        </w:rPr>
        <w:t xml:space="preserve"> (</w:t>
      </w:r>
      <w:r w:rsidR="00BD1A84" w:rsidRPr="002715F2">
        <w:rPr>
          <w:rFonts w:eastAsia="Batang"/>
          <w:lang w:val="fr-FR" w:eastAsia="ko-KR"/>
        </w:rPr>
        <w:t>art. </w:t>
      </w:r>
      <w:r w:rsidR="00F60999" w:rsidRPr="002715F2">
        <w:rPr>
          <w:rFonts w:eastAsia="Batang"/>
          <w:lang w:val="fr-FR" w:eastAsia="ko-KR"/>
        </w:rPr>
        <w:t>107).</w:t>
      </w:r>
    </w:p>
    <w:p w:rsidR="000078DA" w:rsidRPr="002715F2" w:rsidRDefault="00F420C5" w:rsidP="00D90B15">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39617D" w:rsidRPr="002715F2">
        <w:rPr>
          <w:rFonts w:eastAsia="Batang"/>
          <w:lang w:val="fr-FR" w:eastAsia="ko-KR"/>
        </w:rPr>
        <w:t>Traitement</w:t>
      </w:r>
      <w:r w:rsidR="005521B2" w:rsidRPr="002715F2">
        <w:rPr>
          <w:rFonts w:eastAsia="Batang"/>
          <w:lang w:val="fr-FR" w:eastAsia="ko-KR"/>
        </w:rPr>
        <w:t xml:space="preserve"> des plaintes</w:t>
      </w:r>
      <w:r w:rsidR="000078DA" w:rsidRPr="002715F2">
        <w:rPr>
          <w:rFonts w:eastAsia="Batang"/>
          <w:lang w:val="fr-FR" w:eastAsia="ko-KR"/>
        </w:rPr>
        <w:t xml:space="preserve"> </w:t>
      </w:r>
      <w:r w:rsidR="005521B2" w:rsidRPr="002715F2">
        <w:rPr>
          <w:lang w:val="fr-FR"/>
        </w:rPr>
        <w:t>pour harcèlement sexuel déposées par des travailleuses migrantes</w:t>
      </w:r>
    </w:p>
    <w:p w:rsidR="000078DA" w:rsidRPr="002715F2" w:rsidRDefault="007026FB" w:rsidP="007026FB">
      <w:pPr>
        <w:pStyle w:val="SingleTxtG"/>
        <w:rPr>
          <w:rFonts w:eastAsia="Batang"/>
          <w:lang w:val="fr-FR" w:eastAsia="ko-KR"/>
        </w:rPr>
      </w:pPr>
      <w:r w:rsidRPr="002715F2">
        <w:rPr>
          <w:rFonts w:eastAsia="Batang"/>
          <w:lang w:val="fr-FR" w:eastAsia="ko-KR"/>
        </w:rPr>
        <w:t>139.</w:t>
      </w:r>
      <w:r w:rsidRPr="002715F2">
        <w:rPr>
          <w:rFonts w:eastAsia="Batang"/>
          <w:lang w:val="fr-FR" w:eastAsia="ko-KR"/>
        </w:rPr>
        <w:tab/>
      </w:r>
      <w:r w:rsidR="007F170F" w:rsidRPr="002715F2">
        <w:rPr>
          <w:rFonts w:eastAsia="Batang"/>
          <w:lang w:val="fr-FR" w:eastAsia="ko-KR"/>
        </w:rPr>
        <w:t xml:space="preserve">Entre 2006 et 2014, </w:t>
      </w:r>
      <w:r w:rsidR="002E57D4" w:rsidRPr="002715F2">
        <w:rPr>
          <w:rFonts w:eastAsia="Batang"/>
          <w:lang w:val="fr-FR" w:eastAsia="ko-KR"/>
        </w:rPr>
        <w:t xml:space="preserve">dix </w:t>
      </w:r>
      <w:r w:rsidR="005521B2" w:rsidRPr="002715F2">
        <w:rPr>
          <w:rFonts w:eastAsia="Batang"/>
          <w:lang w:val="fr-FR" w:eastAsia="ko-KR"/>
        </w:rPr>
        <w:t>plaintes pour harcèlement sexuel sur le lieu de travail ont été déposées auprès de la Commission nationale des droits de l’homme</w:t>
      </w:r>
      <w:r w:rsidR="007F170F" w:rsidRPr="002715F2">
        <w:rPr>
          <w:rFonts w:eastAsia="Batang"/>
          <w:lang w:val="fr-FR" w:eastAsia="ko-KR"/>
        </w:rPr>
        <w:t xml:space="preserve"> par des travailleuses migrantes</w:t>
      </w:r>
      <w:r w:rsidR="000078DA" w:rsidRPr="002715F2">
        <w:rPr>
          <w:rFonts w:eastAsia="Batang"/>
          <w:lang w:val="fr-FR" w:eastAsia="ko-KR"/>
        </w:rPr>
        <w:t xml:space="preserve">. </w:t>
      </w:r>
      <w:r w:rsidR="00A43171" w:rsidRPr="002715F2">
        <w:rPr>
          <w:rFonts w:eastAsia="Batang"/>
          <w:lang w:val="fr-FR" w:eastAsia="ko-KR"/>
        </w:rPr>
        <w:t xml:space="preserve">Sur ces </w:t>
      </w:r>
      <w:r w:rsidR="002E57D4" w:rsidRPr="002715F2">
        <w:rPr>
          <w:rFonts w:eastAsia="Batang"/>
          <w:lang w:val="fr-FR" w:eastAsia="ko-KR"/>
        </w:rPr>
        <w:t xml:space="preserve">dix </w:t>
      </w:r>
      <w:r w:rsidR="007F170F" w:rsidRPr="002715F2">
        <w:rPr>
          <w:rFonts w:eastAsia="Batang"/>
          <w:lang w:val="fr-FR" w:eastAsia="ko-KR"/>
        </w:rPr>
        <w:t xml:space="preserve">affaires, deux ont été fermées </w:t>
      </w:r>
      <w:r w:rsidR="000257D9" w:rsidRPr="002715F2">
        <w:rPr>
          <w:rFonts w:eastAsia="Batang"/>
          <w:lang w:val="fr-FR" w:eastAsia="ko-KR"/>
        </w:rPr>
        <w:t>après conciliation</w:t>
      </w:r>
      <w:r w:rsidR="007F170F" w:rsidRPr="002715F2">
        <w:rPr>
          <w:rFonts w:eastAsia="Batang"/>
          <w:lang w:val="fr-FR" w:eastAsia="ko-KR"/>
        </w:rPr>
        <w:t xml:space="preserve"> et une a abouti à la suspension de l’enquête</w:t>
      </w:r>
      <w:r w:rsidR="000078DA" w:rsidRPr="002715F2">
        <w:rPr>
          <w:rFonts w:eastAsia="Batang"/>
          <w:lang w:val="fr-FR" w:eastAsia="ko-KR"/>
        </w:rPr>
        <w:t>.</w:t>
      </w:r>
      <w:r w:rsidR="007F170F" w:rsidRPr="002715F2">
        <w:rPr>
          <w:rFonts w:eastAsia="Batang"/>
          <w:lang w:val="fr-FR" w:eastAsia="ko-KR"/>
        </w:rPr>
        <w:t xml:space="preserve"> Les </w:t>
      </w:r>
      <w:r w:rsidR="002E57D4" w:rsidRPr="002715F2">
        <w:rPr>
          <w:rFonts w:eastAsia="Batang"/>
          <w:lang w:val="fr-FR" w:eastAsia="ko-KR"/>
        </w:rPr>
        <w:t xml:space="preserve">sept </w:t>
      </w:r>
      <w:r w:rsidR="007F170F" w:rsidRPr="002715F2">
        <w:rPr>
          <w:rFonts w:eastAsia="Batang"/>
          <w:lang w:val="fr-FR" w:eastAsia="ko-KR"/>
        </w:rPr>
        <w:t xml:space="preserve">plaintes </w:t>
      </w:r>
      <w:r w:rsidR="00A43171" w:rsidRPr="002715F2">
        <w:rPr>
          <w:rFonts w:eastAsia="Batang"/>
          <w:lang w:val="fr-FR" w:eastAsia="ko-KR"/>
        </w:rPr>
        <w:t xml:space="preserve">restantes </w:t>
      </w:r>
      <w:r w:rsidR="007F170F" w:rsidRPr="002715F2">
        <w:rPr>
          <w:rFonts w:eastAsia="Batang"/>
          <w:lang w:val="fr-FR" w:eastAsia="ko-KR"/>
        </w:rPr>
        <w:t>ont été rejetées</w:t>
      </w:r>
      <w:r w:rsidR="000078DA" w:rsidRPr="002715F2">
        <w:rPr>
          <w:rFonts w:eastAsia="Batang"/>
          <w:lang w:val="fr-FR" w:eastAsia="ko-KR"/>
        </w:rPr>
        <w:t>.</w:t>
      </w:r>
    </w:p>
    <w:p w:rsidR="000078DA" w:rsidRPr="002715F2" w:rsidRDefault="00F420C5" w:rsidP="00D90B15">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7F170F" w:rsidRPr="002715F2">
        <w:rPr>
          <w:rFonts w:eastAsia="Batang"/>
          <w:lang w:val="fr-FR" w:eastAsia="ko-KR"/>
        </w:rPr>
        <w:t xml:space="preserve">Résultats de l’enquête menée concernant les mauvais traitements </w:t>
      </w:r>
      <w:r w:rsidR="007F170F" w:rsidRPr="002715F2">
        <w:rPr>
          <w:rFonts w:eastAsia="Batang"/>
          <w:lang w:val="fr-FR"/>
        </w:rPr>
        <w:t>infligés</w:t>
      </w:r>
      <w:r w:rsidR="007F170F" w:rsidRPr="002715F2">
        <w:rPr>
          <w:rFonts w:eastAsia="Batang"/>
          <w:lang w:val="fr-FR" w:eastAsia="ko-KR"/>
        </w:rPr>
        <w:t xml:space="preserve"> à </w:t>
      </w:r>
      <w:r w:rsidR="005E59CC" w:rsidRPr="002715F2">
        <w:rPr>
          <w:rFonts w:eastAsia="Batang"/>
          <w:lang w:val="fr-FR" w:eastAsia="ko-KR"/>
        </w:rPr>
        <w:t>des</w:t>
      </w:r>
      <w:r w:rsidR="007F170F" w:rsidRPr="002715F2">
        <w:rPr>
          <w:rFonts w:eastAsia="Batang"/>
          <w:lang w:val="fr-FR" w:eastAsia="ko-KR"/>
        </w:rPr>
        <w:t xml:space="preserve"> travailleuse</w:t>
      </w:r>
      <w:r w:rsidR="005E59CC" w:rsidRPr="002715F2">
        <w:rPr>
          <w:rFonts w:eastAsia="Batang"/>
          <w:lang w:val="fr-FR" w:eastAsia="ko-KR"/>
        </w:rPr>
        <w:t>s</w:t>
      </w:r>
      <w:r w:rsidR="007F170F" w:rsidRPr="002715F2">
        <w:rPr>
          <w:rFonts w:eastAsia="Batang"/>
          <w:lang w:val="fr-FR" w:eastAsia="ko-KR"/>
        </w:rPr>
        <w:t xml:space="preserve"> migrante</w:t>
      </w:r>
      <w:r w:rsidR="005E59CC" w:rsidRPr="002715F2">
        <w:rPr>
          <w:rFonts w:eastAsia="Batang"/>
          <w:lang w:val="fr-FR" w:eastAsia="ko-KR"/>
        </w:rPr>
        <w:t>s</w:t>
      </w:r>
      <w:r w:rsidR="007F170F" w:rsidRPr="002715F2">
        <w:rPr>
          <w:rFonts w:eastAsia="Batang"/>
          <w:lang w:val="fr-FR" w:eastAsia="ko-KR"/>
        </w:rPr>
        <w:t xml:space="preserve"> chinoise</w:t>
      </w:r>
      <w:r w:rsidR="005E59CC" w:rsidRPr="002715F2">
        <w:rPr>
          <w:rFonts w:eastAsia="Batang"/>
          <w:lang w:val="fr-FR" w:eastAsia="ko-KR"/>
        </w:rPr>
        <w:t>s</w:t>
      </w:r>
    </w:p>
    <w:p w:rsidR="000078DA" w:rsidRPr="002715F2" w:rsidRDefault="007026FB" w:rsidP="007026FB">
      <w:pPr>
        <w:pStyle w:val="SingleTxtG"/>
        <w:rPr>
          <w:rFonts w:eastAsia="Batang"/>
          <w:lang w:val="fr-FR" w:eastAsia="ko-KR"/>
        </w:rPr>
      </w:pPr>
      <w:r w:rsidRPr="002715F2">
        <w:rPr>
          <w:rFonts w:eastAsia="Batang"/>
          <w:lang w:val="fr-FR" w:eastAsia="ko-KR"/>
        </w:rPr>
        <w:t>140.</w:t>
      </w:r>
      <w:r w:rsidRPr="002715F2">
        <w:rPr>
          <w:rFonts w:eastAsia="Batang"/>
          <w:lang w:val="fr-FR" w:eastAsia="ko-KR"/>
        </w:rPr>
        <w:tab/>
      </w:r>
      <w:r w:rsidR="00A43171" w:rsidRPr="002715F2">
        <w:rPr>
          <w:rFonts w:eastAsia="Batang"/>
          <w:lang w:val="fr-FR" w:eastAsia="ko-KR"/>
        </w:rPr>
        <w:t>D</w:t>
      </w:r>
      <w:r w:rsidR="00561773" w:rsidRPr="002715F2">
        <w:rPr>
          <w:rFonts w:eastAsia="Batang"/>
          <w:lang w:val="fr-FR" w:eastAsia="ko-KR"/>
        </w:rPr>
        <w:t xml:space="preserve">es </w:t>
      </w:r>
      <w:r w:rsidR="003F39F4" w:rsidRPr="002715F2">
        <w:rPr>
          <w:rFonts w:eastAsia="Batang"/>
          <w:lang w:val="fr-FR" w:eastAsia="ko-KR"/>
        </w:rPr>
        <w:t>fonctionnaires</w:t>
      </w:r>
      <w:r w:rsidR="00561773" w:rsidRPr="002715F2">
        <w:rPr>
          <w:rFonts w:eastAsia="Batang"/>
          <w:lang w:val="fr-FR" w:eastAsia="ko-KR"/>
        </w:rPr>
        <w:t xml:space="preserve"> de</w:t>
      </w:r>
      <w:r w:rsidR="003F39F4" w:rsidRPr="002715F2">
        <w:rPr>
          <w:rFonts w:eastAsia="Batang"/>
          <w:lang w:val="fr-FR" w:eastAsia="ko-KR"/>
        </w:rPr>
        <w:t>s services de</w:t>
      </w:r>
      <w:r w:rsidR="00561773" w:rsidRPr="002715F2">
        <w:rPr>
          <w:rFonts w:eastAsia="Batang"/>
          <w:lang w:val="fr-FR" w:eastAsia="ko-KR"/>
        </w:rPr>
        <w:t xml:space="preserve"> l’</w:t>
      </w:r>
      <w:r w:rsidR="0039617D" w:rsidRPr="002715F2">
        <w:rPr>
          <w:rFonts w:eastAsia="Batang"/>
          <w:lang w:val="fr-FR" w:eastAsia="ko-KR"/>
        </w:rPr>
        <w:t>immigration</w:t>
      </w:r>
      <w:r w:rsidR="00561773" w:rsidRPr="002715F2">
        <w:rPr>
          <w:rFonts w:eastAsia="Batang"/>
          <w:lang w:val="fr-FR" w:eastAsia="ko-KR"/>
        </w:rPr>
        <w:t xml:space="preserve">, et non des policiers, </w:t>
      </w:r>
      <w:r w:rsidR="005E59CC" w:rsidRPr="002715F2">
        <w:rPr>
          <w:lang w:val="fr-FR"/>
        </w:rPr>
        <w:t>ont fait un usage excessif de la force contre des travailleuses migrantes chinoises</w:t>
      </w:r>
      <w:r w:rsidR="00C94F5A" w:rsidRPr="002715F2">
        <w:rPr>
          <w:lang w:val="fr-FR"/>
        </w:rPr>
        <w:t>,</w:t>
      </w:r>
      <w:r w:rsidR="005E59CC" w:rsidRPr="002715F2">
        <w:rPr>
          <w:lang w:val="fr-FR"/>
        </w:rPr>
        <w:t xml:space="preserve"> dans la province du Chungcheon-Sud, pendant une opération qui s’est déroulée le 8 avril 2009</w:t>
      </w:r>
      <w:r w:rsidR="000078DA" w:rsidRPr="002715F2">
        <w:rPr>
          <w:rFonts w:eastAsia="Batang"/>
          <w:lang w:val="fr-FR" w:eastAsia="ko-KR"/>
        </w:rPr>
        <w:t xml:space="preserve">. </w:t>
      </w:r>
      <w:r w:rsidR="005E59CC" w:rsidRPr="002715F2">
        <w:rPr>
          <w:rFonts w:eastAsia="Batang"/>
          <w:lang w:val="fr-FR" w:eastAsia="ko-KR"/>
        </w:rPr>
        <w:t>Le procureur a ouvert une enquête concernant ces deux fonctionnaires</w:t>
      </w:r>
      <w:r w:rsidR="00C94F5A" w:rsidRPr="002715F2">
        <w:rPr>
          <w:rFonts w:eastAsia="Batang"/>
          <w:lang w:val="fr-FR" w:eastAsia="ko-KR"/>
        </w:rPr>
        <w:t>,</w:t>
      </w:r>
      <w:r w:rsidR="005E59CC" w:rsidRPr="002715F2">
        <w:rPr>
          <w:rFonts w:eastAsia="Batang"/>
          <w:lang w:val="fr-FR" w:eastAsia="ko-KR"/>
        </w:rPr>
        <w:t xml:space="preserve"> sous le chef d’actes de violence envers deux femmes</w:t>
      </w:r>
      <w:r w:rsidR="000078DA" w:rsidRPr="002715F2">
        <w:rPr>
          <w:rFonts w:eastAsia="Batang"/>
          <w:lang w:val="fr-FR" w:eastAsia="ko-KR"/>
        </w:rPr>
        <w:t xml:space="preserve">. </w:t>
      </w:r>
      <w:r w:rsidR="005E59CC" w:rsidRPr="002715F2">
        <w:rPr>
          <w:rFonts w:eastAsia="Batang"/>
          <w:lang w:val="fr-FR" w:eastAsia="ko-KR"/>
        </w:rPr>
        <w:t xml:space="preserve">Pendant l’enquête, toutefois, les victimes </w:t>
      </w:r>
      <w:r w:rsidR="003F39F4" w:rsidRPr="002715F2">
        <w:rPr>
          <w:rFonts w:eastAsia="Batang"/>
          <w:lang w:val="fr-FR" w:eastAsia="ko-KR"/>
        </w:rPr>
        <w:t>s</w:t>
      </w:r>
      <w:r w:rsidR="005E59CC" w:rsidRPr="002715F2">
        <w:rPr>
          <w:rFonts w:eastAsia="Batang"/>
          <w:lang w:val="fr-FR" w:eastAsia="ko-KR"/>
        </w:rPr>
        <w:t xml:space="preserve">ont </w:t>
      </w:r>
      <w:r w:rsidR="003F39F4" w:rsidRPr="002715F2">
        <w:rPr>
          <w:rFonts w:eastAsia="Batang"/>
          <w:lang w:val="fr-FR" w:eastAsia="ko-KR"/>
        </w:rPr>
        <w:t>parvenues à</w:t>
      </w:r>
      <w:r w:rsidR="005E59CC" w:rsidRPr="002715F2">
        <w:rPr>
          <w:rFonts w:eastAsia="Batang"/>
          <w:lang w:val="fr-FR" w:eastAsia="ko-KR"/>
        </w:rPr>
        <w:t xml:space="preserve"> un accord avec les fonc</w:t>
      </w:r>
      <w:r w:rsidR="00A43171" w:rsidRPr="002715F2">
        <w:rPr>
          <w:rFonts w:eastAsia="Batang"/>
          <w:lang w:val="fr-FR" w:eastAsia="ko-KR"/>
        </w:rPr>
        <w:t xml:space="preserve">tionnaires et </w:t>
      </w:r>
      <w:r w:rsidR="003F39F4" w:rsidRPr="002715F2">
        <w:rPr>
          <w:rFonts w:eastAsia="Batang"/>
          <w:lang w:val="fr-FR" w:eastAsia="ko-KR"/>
        </w:rPr>
        <w:t>ont accepté 7</w:t>
      </w:r>
      <w:r w:rsidR="00A43171" w:rsidRPr="002715F2">
        <w:rPr>
          <w:rFonts w:eastAsia="Batang"/>
          <w:lang w:val="fr-FR" w:eastAsia="ko-KR"/>
        </w:rPr>
        <w:t>,5 </w:t>
      </w:r>
      <w:r w:rsidR="005E59CC" w:rsidRPr="002715F2">
        <w:rPr>
          <w:rFonts w:eastAsia="Batang"/>
          <w:lang w:val="fr-FR" w:eastAsia="ko-KR"/>
        </w:rPr>
        <w:t xml:space="preserve">millions </w:t>
      </w:r>
      <w:r w:rsidR="003F39F4" w:rsidRPr="002715F2">
        <w:rPr>
          <w:rFonts w:eastAsia="Batang"/>
          <w:lang w:val="fr-FR" w:eastAsia="ko-KR"/>
        </w:rPr>
        <w:t>et 4 millions de won (respectivement)</w:t>
      </w:r>
      <w:r w:rsidR="005E59CC" w:rsidRPr="002715F2">
        <w:rPr>
          <w:rFonts w:eastAsia="Batang"/>
          <w:lang w:val="fr-FR" w:eastAsia="ko-KR"/>
        </w:rPr>
        <w:t xml:space="preserve"> à titre de </w:t>
      </w:r>
      <w:r w:rsidR="0039617D" w:rsidRPr="002715F2">
        <w:rPr>
          <w:rFonts w:eastAsia="Batang"/>
          <w:lang w:val="fr-FR" w:eastAsia="ko-KR"/>
        </w:rPr>
        <w:t>dédommagement</w:t>
      </w:r>
      <w:r w:rsidR="005E59CC" w:rsidRPr="002715F2">
        <w:rPr>
          <w:rFonts w:eastAsia="Batang"/>
          <w:lang w:val="fr-FR" w:eastAsia="ko-KR"/>
        </w:rPr>
        <w:t>. L</w:t>
      </w:r>
      <w:r w:rsidR="00C94F5A" w:rsidRPr="002715F2">
        <w:rPr>
          <w:rFonts w:eastAsia="Batang"/>
          <w:lang w:val="fr-FR" w:eastAsia="ko-KR"/>
        </w:rPr>
        <w:t>e 11 </w:t>
      </w:r>
      <w:r w:rsidR="005E59CC" w:rsidRPr="002715F2">
        <w:rPr>
          <w:rFonts w:eastAsia="Batang"/>
          <w:lang w:val="fr-FR" w:eastAsia="ko-KR"/>
        </w:rPr>
        <w:t xml:space="preserve">août 2009, le procureur a donc décidé de ne pas </w:t>
      </w:r>
      <w:r w:rsidR="00D75BBF" w:rsidRPr="002715F2">
        <w:rPr>
          <w:rFonts w:eastAsia="Batang"/>
          <w:lang w:val="fr-FR" w:eastAsia="ko-KR"/>
        </w:rPr>
        <w:t>engager de poursuites contre</w:t>
      </w:r>
      <w:r w:rsidR="005E59CC" w:rsidRPr="002715F2">
        <w:rPr>
          <w:rFonts w:eastAsia="Batang"/>
          <w:lang w:val="fr-FR" w:eastAsia="ko-KR"/>
        </w:rPr>
        <w:t xml:space="preserve"> </w:t>
      </w:r>
      <w:r w:rsidR="003F39F4" w:rsidRPr="002715F2">
        <w:rPr>
          <w:rFonts w:eastAsia="Batang"/>
          <w:lang w:val="fr-FR" w:eastAsia="ko-KR"/>
        </w:rPr>
        <w:t>eux</w:t>
      </w:r>
      <w:r w:rsidR="000078DA" w:rsidRPr="002715F2">
        <w:rPr>
          <w:rStyle w:val="FootnoteReference"/>
          <w:rFonts w:eastAsia="Batang"/>
          <w:lang w:val="fr-FR"/>
        </w:rPr>
        <w:footnoteReference w:id="13"/>
      </w:r>
      <w:r w:rsidR="005E59CC" w:rsidRPr="002715F2">
        <w:rPr>
          <w:rFonts w:eastAsia="Batang"/>
          <w:lang w:val="fr-FR" w:eastAsia="ko-KR"/>
        </w:rPr>
        <w:t>.</w:t>
      </w:r>
      <w:r w:rsidR="000078DA" w:rsidRPr="002715F2">
        <w:rPr>
          <w:rFonts w:eastAsia="Batang"/>
          <w:lang w:val="fr-FR" w:eastAsia="ko-KR"/>
        </w:rPr>
        <w:t xml:space="preserve"> </w:t>
      </w:r>
      <w:r w:rsidR="00A43171" w:rsidRPr="002715F2">
        <w:rPr>
          <w:rFonts w:eastAsia="Batang"/>
          <w:lang w:val="fr-FR" w:eastAsia="ko-KR"/>
        </w:rPr>
        <w:t xml:space="preserve">Les </w:t>
      </w:r>
      <w:r w:rsidR="002E57D4" w:rsidRPr="002715F2">
        <w:rPr>
          <w:rFonts w:eastAsia="Batang"/>
          <w:lang w:val="fr-FR" w:eastAsia="ko-KR"/>
        </w:rPr>
        <w:t xml:space="preserve">deux </w:t>
      </w:r>
      <w:r w:rsidR="005E59CC" w:rsidRPr="002715F2">
        <w:rPr>
          <w:rFonts w:eastAsia="Batang"/>
          <w:lang w:val="fr-FR" w:eastAsia="ko-KR"/>
        </w:rPr>
        <w:t xml:space="preserve">hommes, ainsi que l’un de leurs supérieurs, ont fait l’objet de sanctions </w:t>
      </w:r>
      <w:r w:rsidR="0039617D" w:rsidRPr="002715F2">
        <w:rPr>
          <w:rFonts w:eastAsia="Batang"/>
          <w:lang w:val="fr-FR" w:eastAsia="ko-KR"/>
        </w:rPr>
        <w:t>disciplinaires</w:t>
      </w:r>
      <w:r w:rsidR="00E97B1A" w:rsidRPr="002715F2">
        <w:rPr>
          <w:rFonts w:eastAsia="Batang"/>
          <w:lang w:val="fr-FR" w:eastAsia="ko-KR"/>
        </w:rPr>
        <w:t>:</w:t>
      </w:r>
      <w:r w:rsidR="000078DA" w:rsidRPr="002715F2">
        <w:rPr>
          <w:rFonts w:eastAsia="Batang"/>
          <w:lang w:val="fr-FR" w:eastAsia="ko-KR"/>
        </w:rPr>
        <w:t xml:space="preserve"> </w:t>
      </w:r>
      <w:r w:rsidR="005E59CC" w:rsidRPr="002715F2">
        <w:rPr>
          <w:rFonts w:eastAsia="Batang"/>
          <w:lang w:val="fr-FR" w:eastAsia="ko-KR"/>
        </w:rPr>
        <w:t xml:space="preserve">un </w:t>
      </w:r>
      <w:r w:rsidR="00AF1DCD" w:rsidRPr="002715F2">
        <w:rPr>
          <w:rFonts w:eastAsia="Batang"/>
          <w:lang w:val="fr-FR" w:eastAsia="ko-KR"/>
        </w:rPr>
        <w:t xml:space="preserve">fonctionnaire </w:t>
      </w:r>
      <w:r w:rsidR="005E59CC" w:rsidRPr="002715F2">
        <w:rPr>
          <w:rFonts w:eastAsia="Batang"/>
          <w:lang w:val="fr-FR" w:eastAsia="ko-KR"/>
        </w:rPr>
        <w:t xml:space="preserve">a reçu un </w:t>
      </w:r>
      <w:r w:rsidR="0039617D" w:rsidRPr="002715F2">
        <w:rPr>
          <w:rFonts w:eastAsia="Batang"/>
          <w:lang w:val="fr-FR" w:eastAsia="ko-KR"/>
        </w:rPr>
        <w:t>blâme</w:t>
      </w:r>
      <w:r w:rsidR="00E97B1A" w:rsidRPr="002715F2">
        <w:rPr>
          <w:rFonts w:eastAsia="Batang"/>
          <w:lang w:val="fr-FR" w:eastAsia="ko-KR"/>
        </w:rPr>
        <w:t>;</w:t>
      </w:r>
      <w:r w:rsidR="005E59CC" w:rsidRPr="002715F2">
        <w:rPr>
          <w:rFonts w:eastAsia="Batang"/>
          <w:lang w:val="fr-FR" w:eastAsia="ko-KR"/>
        </w:rPr>
        <w:t xml:space="preserve"> l’autre</w:t>
      </w:r>
      <w:r w:rsidR="00D75BBF" w:rsidRPr="002715F2">
        <w:rPr>
          <w:rFonts w:eastAsia="Batang"/>
          <w:lang w:val="fr-FR" w:eastAsia="ko-KR"/>
        </w:rPr>
        <w:t xml:space="preserve"> </w:t>
      </w:r>
      <w:r w:rsidR="003F39F4" w:rsidRPr="002715F2">
        <w:rPr>
          <w:rFonts w:eastAsia="Batang"/>
          <w:lang w:val="fr-FR" w:eastAsia="ko-KR"/>
        </w:rPr>
        <w:t>fonctionnaire</w:t>
      </w:r>
      <w:r w:rsidR="00D75BBF" w:rsidRPr="002715F2">
        <w:rPr>
          <w:rFonts w:eastAsia="Batang"/>
          <w:lang w:val="fr-FR" w:eastAsia="ko-KR"/>
        </w:rPr>
        <w:t xml:space="preserve"> et le</w:t>
      </w:r>
      <w:r w:rsidR="005E59CC" w:rsidRPr="002715F2">
        <w:rPr>
          <w:rFonts w:eastAsia="Batang"/>
          <w:lang w:val="fr-FR" w:eastAsia="ko-KR"/>
        </w:rPr>
        <w:t xml:space="preserve"> supérieur </w:t>
      </w:r>
      <w:r w:rsidR="00C94F5A" w:rsidRPr="002715F2">
        <w:rPr>
          <w:rFonts w:eastAsia="Batang"/>
          <w:lang w:val="fr-FR" w:eastAsia="ko-KR"/>
        </w:rPr>
        <w:t>ont reçu des avertissements</w:t>
      </w:r>
      <w:r w:rsidR="00F60999" w:rsidRPr="002715F2">
        <w:rPr>
          <w:rFonts w:eastAsia="Batang"/>
          <w:lang w:val="fr-FR" w:eastAsia="ko-KR"/>
        </w:rPr>
        <w:t>.</w:t>
      </w:r>
    </w:p>
    <w:p w:rsidR="000078DA" w:rsidRPr="002715F2" w:rsidRDefault="007026FB" w:rsidP="006362DB">
      <w:pPr>
        <w:pStyle w:val="SingleTxtG"/>
        <w:rPr>
          <w:rFonts w:eastAsia="Batang"/>
          <w:lang w:val="fr-FR"/>
        </w:rPr>
      </w:pPr>
      <w:r w:rsidRPr="002715F2">
        <w:rPr>
          <w:rFonts w:eastAsia="Batang"/>
          <w:lang w:val="fr-FR"/>
        </w:rPr>
        <w:t>141.</w:t>
      </w:r>
      <w:r w:rsidRPr="002715F2">
        <w:rPr>
          <w:rFonts w:eastAsia="Batang"/>
          <w:lang w:val="fr-FR"/>
        </w:rPr>
        <w:tab/>
      </w:r>
      <w:r w:rsidR="00552A73" w:rsidRPr="002715F2">
        <w:rPr>
          <w:rFonts w:eastAsia="Batang"/>
          <w:lang w:val="fr-FR"/>
        </w:rPr>
        <w:t>Le Règlement relatif au respect de la légalité et à</w:t>
      </w:r>
      <w:r w:rsidR="006362DB" w:rsidRPr="002715F2">
        <w:rPr>
          <w:rFonts w:eastAsia="Batang"/>
          <w:lang w:val="fr-FR"/>
        </w:rPr>
        <w:t xml:space="preserve"> la protection des droits de l’homme </w:t>
      </w:r>
      <w:r w:rsidR="00811949" w:rsidRPr="002715F2">
        <w:rPr>
          <w:rFonts w:eastAsia="Batang"/>
          <w:lang w:val="fr-FR"/>
        </w:rPr>
        <w:t xml:space="preserve">dans le cadre de la lutte contre l’immigration clandestine </w:t>
      </w:r>
      <w:r w:rsidR="000078DA" w:rsidRPr="002715F2">
        <w:rPr>
          <w:rFonts w:eastAsia="Batang"/>
          <w:lang w:val="fr-FR"/>
        </w:rPr>
        <w:t>(</w:t>
      </w:r>
      <w:r w:rsidR="006362DB" w:rsidRPr="002715F2">
        <w:rPr>
          <w:rFonts w:eastAsia="Batang"/>
          <w:lang w:val="fr-FR"/>
        </w:rPr>
        <w:t>d</w:t>
      </w:r>
      <w:r w:rsidR="000078DA" w:rsidRPr="002715F2">
        <w:rPr>
          <w:rFonts w:eastAsia="Batang"/>
          <w:lang w:val="fr-FR"/>
        </w:rPr>
        <w:t xml:space="preserve">irective </w:t>
      </w:r>
      <w:r w:rsidR="006362DB" w:rsidRPr="002715F2">
        <w:rPr>
          <w:rFonts w:eastAsia="Batang"/>
          <w:lang w:val="fr-FR"/>
        </w:rPr>
        <w:t>du Ministère de la justice</w:t>
      </w:r>
      <w:r w:rsidR="000078DA" w:rsidRPr="002715F2">
        <w:rPr>
          <w:rFonts w:eastAsia="Batang"/>
          <w:lang w:val="fr-FR"/>
        </w:rPr>
        <w:t xml:space="preserve">) </w:t>
      </w:r>
      <w:r w:rsidR="006362DB" w:rsidRPr="002715F2">
        <w:rPr>
          <w:rFonts w:eastAsia="Batang"/>
          <w:lang w:val="fr-FR"/>
        </w:rPr>
        <w:t xml:space="preserve">a été </w:t>
      </w:r>
      <w:r w:rsidR="0039617D" w:rsidRPr="002715F2">
        <w:rPr>
          <w:rFonts w:eastAsia="Batang"/>
          <w:lang w:val="fr-FR"/>
        </w:rPr>
        <w:t>promulgué</w:t>
      </w:r>
      <w:r w:rsidR="006362DB" w:rsidRPr="002715F2">
        <w:rPr>
          <w:rFonts w:eastAsia="Batang"/>
          <w:lang w:val="fr-FR"/>
        </w:rPr>
        <w:t xml:space="preserve"> le 13 mai</w:t>
      </w:r>
      <w:r w:rsidR="000078DA" w:rsidRPr="002715F2">
        <w:rPr>
          <w:rFonts w:eastAsia="Batang"/>
          <w:lang w:val="fr-FR"/>
        </w:rPr>
        <w:t xml:space="preserve"> 2009</w:t>
      </w:r>
      <w:r w:rsidR="006569A0" w:rsidRPr="002715F2">
        <w:rPr>
          <w:rFonts w:eastAsia="Batang"/>
          <w:lang w:val="fr-FR"/>
        </w:rPr>
        <w:t>,</w:t>
      </w:r>
      <w:r w:rsidR="000078DA" w:rsidRPr="002715F2">
        <w:rPr>
          <w:rFonts w:eastAsia="Batang"/>
          <w:lang w:val="fr-FR"/>
        </w:rPr>
        <w:t xml:space="preserve"> </w:t>
      </w:r>
      <w:r w:rsidR="006362DB" w:rsidRPr="002715F2">
        <w:rPr>
          <w:rFonts w:eastAsia="Batang"/>
          <w:lang w:val="fr-FR"/>
        </w:rPr>
        <w:t xml:space="preserve">afin de prévenir les violations des droits </w:t>
      </w:r>
      <w:r w:rsidR="006569A0" w:rsidRPr="002715F2">
        <w:rPr>
          <w:rFonts w:eastAsia="Batang"/>
          <w:lang w:val="fr-FR"/>
        </w:rPr>
        <w:t>fondamentaux</w:t>
      </w:r>
      <w:r w:rsidR="006362DB" w:rsidRPr="002715F2">
        <w:rPr>
          <w:rFonts w:eastAsia="Batang"/>
          <w:lang w:val="fr-FR"/>
        </w:rPr>
        <w:t xml:space="preserve"> des étrangers </w:t>
      </w:r>
      <w:r w:rsidR="00BE07E3" w:rsidRPr="002715F2">
        <w:rPr>
          <w:rFonts w:eastAsia="Batang"/>
          <w:lang w:val="fr-FR"/>
        </w:rPr>
        <w:t>dans ce contexte</w:t>
      </w:r>
      <w:r w:rsidR="000078DA" w:rsidRPr="002715F2">
        <w:rPr>
          <w:rFonts w:eastAsia="Batang"/>
          <w:lang w:val="fr-FR"/>
        </w:rPr>
        <w:t xml:space="preserve">. </w:t>
      </w:r>
      <w:r w:rsidR="00811949" w:rsidRPr="002715F2">
        <w:rPr>
          <w:rFonts w:eastAsia="Batang"/>
          <w:lang w:val="fr-FR"/>
        </w:rPr>
        <w:t>Ce règlement</w:t>
      </w:r>
      <w:r w:rsidR="00A57377" w:rsidRPr="002715F2">
        <w:rPr>
          <w:rFonts w:eastAsia="Batang"/>
          <w:lang w:val="fr-FR"/>
        </w:rPr>
        <w:t xml:space="preserve"> </w:t>
      </w:r>
      <w:r w:rsidR="0039617D" w:rsidRPr="002715F2">
        <w:rPr>
          <w:rFonts w:eastAsia="Batang"/>
          <w:lang w:val="fr-FR"/>
        </w:rPr>
        <w:t>précise</w:t>
      </w:r>
      <w:r w:rsidR="00A57377" w:rsidRPr="002715F2">
        <w:rPr>
          <w:rFonts w:eastAsia="Batang"/>
          <w:lang w:val="fr-FR"/>
        </w:rPr>
        <w:t xml:space="preserve"> que le</w:t>
      </w:r>
      <w:r w:rsidR="000078DA" w:rsidRPr="002715F2">
        <w:rPr>
          <w:rFonts w:eastAsia="Batang"/>
          <w:lang w:val="fr-FR"/>
        </w:rPr>
        <w:t xml:space="preserve"> </w:t>
      </w:r>
      <w:r w:rsidR="00A57377" w:rsidRPr="002715F2">
        <w:rPr>
          <w:rFonts w:eastAsia="Batang"/>
          <w:lang w:val="fr-FR"/>
        </w:rPr>
        <w:t xml:space="preserve">directeur </w:t>
      </w:r>
      <w:r w:rsidR="00BE07E3" w:rsidRPr="002715F2">
        <w:rPr>
          <w:rFonts w:eastAsia="Batang"/>
          <w:lang w:val="fr-FR"/>
        </w:rPr>
        <w:t>de</w:t>
      </w:r>
      <w:r w:rsidR="00A57377" w:rsidRPr="002715F2">
        <w:rPr>
          <w:rFonts w:eastAsia="Batang"/>
          <w:lang w:val="fr-FR"/>
        </w:rPr>
        <w:t xml:space="preserve"> </w:t>
      </w:r>
      <w:r w:rsidR="00BE07E3" w:rsidRPr="002715F2">
        <w:rPr>
          <w:rFonts w:eastAsia="Batang"/>
          <w:lang w:val="fr-FR"/>
        </w:rPr>
        <w:t xml:space="preserve">la </w:t>
      </w:r>
      <w:r w:rsidR="00A57377" w:rsidRPr="002715F2">
        <w:rPr>
          <w:rFonts w:eastAsia="Batang"/>
          <w:lang w:val="fr-FR"/>
        </w:rPr>
        <w:t>section des enquêtes</w:t>
      </w:r>
      <w:r w:rsidR="000078DA" w:rsidRPr="002715F2">
        <w:rPr>
          <w:rFonts w:eastAsia="Batang"/>
          <w:lang w:val="fr-FR"/>
        </w:rPr>
        <w:t xml:space="preserve"> </w:t>
      </w:r>
      <w:r w:rsidR="00A57377" w:rsidRPr="002715F2">
        <w:rPr>
          <w:rFonts w:eastAsia="Batang"/>
          <w:lang w:val="fr-FR"/>
        </w:rPr>
        <w:t xml:space="preserve">doit au préalable expliquer le plan de </w:t>
      </w:r>
      <w:r w:rsidR="00BE07E3" w:rsidRPr="002715F2">
        <w:rPr>
          <w:rFonts w:eastAsia="Batang"/>
          <w:lang w:val="fr-FR"/>
        </w:rPr>
        <w:t>lutte</w:t>
      </w:r>
      <w:r w:rsidR="00A57377" w:rsidRPr="002715F2">
        <w:rPr>
          <w:rFonts w:eastAsia="Batang"/>
          <w:lang w:val="fr-FR"/>
        </w:rPr>
        <w:t xml:space="preserve"> aux fonctionnaires et organiser des séances de formation sur le respect des </w:t>
      </w:r>
      <w:r w:rsidR="0039617D" w:rsidRPr="002715F2">
        <w:rPr>
          <w:rFonts w:eastAsia="Batang"/>
          <w:lang w:val="fr-FR"/>
        </w:rPr>
        <w:t>formes</w:t>
      </w:r>
      <w:r w:rsidR="00A57377" w:rsidRPr="002715F2">
        <w:rPr>
          <w:rFonts w:eastAsia="Batang"/>
          <w:lang w:val="fr-FR"/>
        </w:rPr>
        <w:t xml:space="preserve"> régulières, la protection des droits de l’homme, etc.</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6).</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C94F5A" w:rsidRPr="002715F2">
        <w:rPr>
          <w:rFonts w:eastAsia="Batang"/>
          <w:lang w:val="fr-FR" w:eastAsia="ko-KR"/>
        </w:rPr>
        <w:t xml:space="preserve">Réponse aux questions soulevées au </w:t>
      </w:r>
      <w:r w:rsidR="00675A3D" w:rsidRPr="002715F2">
        <w:rPr>
          <w:rFonts w:eastAsia="Batang"/>
          <w:lang w:val="fr-FR" w:eastAsia="ko-KR"/>
        </w:rPr>
        <w:t xml:space="preserve">paragraphe </w:t>
      </w:r>
      <w:r w:rsidR="00C94F5A" w:rsidRPr="002715F2">
        <w:rPr>
          <w:rFonts w:eastAsia="Batang"/>
          <w:lang w:val="fr-FR" w:eastAsia="ko-KR"/>
        </w:rPr>
        <w:t>26</w:t>
      </w:r>
    </w:p>
    <w:p w:rsidR="000078DA" w:rsidRPr="002715F2" w:rsidRDefault="007026FB" w:rsidP="007026FB">
      <w:pPr>
        <w:pStyle w:val="SingleTxtG"/>
        <w:rPr>
          <w:rFonts w:eastAsia="Batang"/>
          <w:lang w:val="fr-FR"/>
        </w:rPr>
      </w:pPr>
      <w:r w:rsidRPr="002715F2">
        <w:rPr>
          <w:rFonts w:eastAsia="Batang"/>
          <w:lang w:val="fr-FR"/>
        </w:rPr>
        <w:t>142.</w:t>
      </w:r>
      <w:r w:rsidRPr="002715F2">
        <w:rPr>
          <w:rFonts w:eastAsia="Batang"/>
          <w:lang w:val="fr-FR"/>
        </w:rPr>
        <w:tab/>
      </w:r>
      <w:r w:rsidR="00A57377" w:rsidRPr="002715F2">
        <w:rPr>
          <w:rFonts w:eastAsia="Batang"/>
          <w:lang w:val="fr-FR"/>
        </w:rPr>
        <w:t>Le</w:t>
      </w:r>
      <w:r w:rsidR="00156C88" w:rsidRPr="002715F2">
        <w:rPr>
          <w:rFonts w:eastAsia="Batang"/>
          <w:lang w:val="fr-FR"/>
        </w:rPr>
        <w:t>s</w:t>
      </w:r>
      <w:r w:rsidR="00A57377" w:rsidRPr="002715F2">
        <w:rPr>
          <w:rFonts w:eastAsia="Batang"/>
          <w:lang w:val="fr-FR"/>
        </w:rPr>
        <w:t xml:space="preserve"> </w:t>
      </w:r>
      <w:r w:rsidR="00755713" w:rsidRPr="002715F2">
        <w:rPr>
          <w:rFonts w:eastAsia="Batang"/>
          <w:lang w:val="fr-FR"/>
        </w:rPr>
        <w:t>responsabilités</w:t>
      </w:r>
      <w:r w:rsidR="00A57377" w:rsidRPr="002715F2">
        <w:rPr>
          <w:rFonts w:eastAsia="Batang"/>
          <w:lang w:val="fr-FR"/>
        </w:rPr>
        <w:t xml:space="preserve"> confié</w:t>
      </w:r>
      <w:r w:rsidR="00156C88" w:rsidRPr="002715F2">
        <w:rPr>
          <w:rFonts w:eastAsia="Batang"/>
          <w:lang w:val="fr-FR"/>
        </w:rPr>
        <w:t>es</w:t>
      </w:r>
      <w:r w:rsidR="00A57377" w:rsidRPr="002715F2">
        <w:rPr>
          <w:rFonts w:eastAsia="Batang"/>
          <w:lang w:val="fr-FR"/>
        </w:rPr>
        <w:t xml:space="preserve"> à l</w:t>
      </w:r>
      <w:r w:rsidR="00D83826" w:rsidRPr="002715F2">
        <w:rPr>
          <w:rFonts w:eastAsia="Batang"/>
          <w:lang w:val="fr-FR"/>
        </w:rPr>
        <w:t>a Commission nationale des droits de l’homme</w:t>
      </w:r>
      <w:r w:rsidR="000078DA" w:rsidRPr="002715F2">
        <w:rPr>
          <w:rFonts w:eastAsia="Batang"/>
          <w:lang w:val="fr-FR"/>
        </w:rPr>
        <w:t xml:space="preserve"> </w:t>
      </w:r>
      <w:r w:rsidR="00A57377" w:rsidRPr="002715F2">
        <w:rPr>
          <w:rFonts w:eastAsia="Batang"/>
          <w:lang w:val="fr-FR"/>
        </w:rPr>
        <w:t>en matière</w:t>
      </w:r>
      <w:r w:rsidR="000078DA" w:rsidRPr="002715F2">
        <w:rPr>
          <w:rFonts w:eastAsia="Batang"/>
          <w:lang w:val="fr-FR"/>
        </w:rPr>
        <w:t xml:space="preserve"> </w:t>
      </w:r>
      <w:r w:rsidR="00A57377" w:rsidRPr="002715F2">
        <w:rPr>
          <w:rFonts w:eastAsia="Batang"/>
          <w:lang w:val="fr-FR"/>
        </w:rPr>
        <w:t xml:space="preserve">de protection des droits de l’homme </w:t>
      </w:r>
      <w:r w:rsidR="00156C88" w:rsidRPr="002715F2">
        <w:rPr>
          <w:rFonts w:eastAsia="Batang"/>
          <w:lang w:val="fr-FR"/>
        </w:rPr>
        <w:t>sont</w:t>
      </w:r>
      <w:r w:rsidR="00A57377" w:rsidRPr="002715F2">
        <w:rPr>
          <w:rFonts w:eastAsia="Batang"/>
          <w:lang w:val="fr-FR"/>
        </w:rPr>
        <w:t xml:space="preserve"> décrit</w:t>
      </w:r>
      <w:r w:rsidR="00156C88" w:rsidRPr="002715F2">
        <w:rPr>
          <w:rFonts w:eastAsia="Batang"/>
          <w:lang w:val="fr-FR"/>
        </w:rPr>
        <w:t>es</w:t>
      </w:r>
      <w:r w:rsidR="00A57377" w:rsidRPr="002715F2">
        <w:rPr>
          <w:rFonts w:eastAsia="Batang"/>
          <w:lang w:val="fr-FR"/>
        </w:rPr>
        <w:t xml:space="preserve"> dans les deuxième et troisième rapports</w:t>
      </w:r>
      <w:r w:rsidR="000078DA" w:rsidRPr="002715F2">
        <w:rPr>
          <w:rFonts w:eastAsia="Batang"/>
          <w:lang w:val="fr-FR"/>
        </w:rPr>
        <w:t xml:space="preserve"> </w:t>
      </w:r>
      <w:r w:rsidR="00156C88" w:rsidRPr="002715F2">
        <w:rPr>
          <w:rFonts w:eastAsia="Batang"/>
          <w:lang w:val="fr-FR"/>
        </w:rPr>
        <w:t xml:space="preserve">présentés par la République </w:t>
      </w:r>
      <w:r w:rsidR="00BE07E3" w:rsidRPr="002715F2">
        <w:rPr>
          <w:rFonts w:eastAsia="Batang"/>
          <w:lang w:val="fr-FR"/>
        </w:rPr>
        <w:t>de Corée conformément au Pacte</w:t>
      </w:r>
      <w:r w:rsidR="000078DA" w:rsidRPr="002715F2">
        <w:rPr>
          <w:rFonts w:eastAsia="Batang"/>
          <w:lang w:val="fr-FR"/>
        </w:rPr>
        <w:t xml:space="preserve"> (CAT/C/53/Add.2</w:t>
      </w:r>
      <w:r w:rsidR="000A540B" w:rsidRPr="002715F2">
        <w:rPr>
          <w:rFonts w:eastAsia="Batang"/>
          <w:lang w:val="fr-FR"/>
        </w:rPr>
        <w:t>,</w:t>
      </w:r>
      <w:r w:rsidR="000078DA" w:rsidRPr="002715F2">
        <w:rPr>
          <w:rFonts w:eastAsia="Batang"/>
          <w:lang w:val="fr-FR"/>
        </w:rPr>
        <w:t xml:space="preserve"> </w:t>
      </w:r>
      <w:r w:rsidR="000A540B" w:rsidRPr="002715F2">
        <w:rPr>
          <w:rFonts w:eastAsia="Batang"/>
          <w:lang w:val="fr-FR"/>
        </w:rPr>
        <w:t>par. </w:t>
      </w:r>
      <w:r w:rsidR="000078DA" w:rsidRPr="002715F2">
        <w:rPr>
          <w:rFonts w:eastAsia="Batang"/>
          <w:lang w:val="fr-FR"/>
        </w:rPr>
        <w:t>14</w:t>
      </w:r>
      <w:r w:rsidR="000A540B" w:rsidRPr="002715F2">
        <w:rPr>
          <w:rFonts w:eastAsia="Batang"/>
          <w:lang w:val="fr-FR"/>
        </w:rPr>
        <w:t xml:space="preserve"> à </w:t>
      </w:r>
      <w:r w:rsidR="000078DA" w:rsidRPr="002715F2">
        <w:rPr>
          <w:rFonts w:eastAsia="Batang"/>
          <w:lang w:val="fr-FR"/>
        </w:rPr>
        <w:t>19</w:t>
      </w:r>
      <w:r w:rsidR="00E97B1A" w:rsidRPr="002715F2">
        <w:rPr>
          <w:rFonts w:eastAsia="Batang"/>
          <w:lang w:val="fr-FR"/>
        </w:rPr>
        <w:t>;</w:t>
      </w:r>
      <w:r w:rsidR="000078DA" w:rsidRPr="002715F2">
        <w:rPr>
          <w:rFonts w:eastAsia="Batang"/>
          <w:lang w:val="fr-FR"/>
        </w:rPr>
        <w:t xml:space="preserve"> CCPR/C/KOR/2005/3</w:t>
      </w:r>
      <w:r w:rsidR="000A540B" w:rsidRPr="002715F2">
        <w:rPr>
          <w:rFonts w:eastAsia="Batang"/>
          <w:lang w:val="fr-FR"/>
        </w:rPr>
        <w:t>,</w:t>
      </w:r>
      <w:r w:rsidR="000078DA" w:rsidRPr="002715F2">
        <w:rPr>
          <w:rFonts w:eastAsia="Batang"/>
          <w:lang w:val="fr-FR"/>
        </w:rPr>
        <w:t xml:space="preserve"> </w:t>
      </w:r>
      <w:r w:rsidR="000A540B" w:rsidRPr="002715F2">
        <w:rPr>
          <w:rFonts w:eastAsia="Batang"/>
          <w:lang w:val="fr-FR"/>
        </w:rPr>
        <w:t>par</w:t>
      </w:r>
      <w:r w:rsidR="002E57D4" w:rsidRPr="002715F2">
        <w:rPr>
          <w:rFonts w:eastAsia="Batang"/>
          <w:lang w:val="fr-FR"/>
        </w:rPr>
        <w:t xml:space="preserve">. </w:t>
      </w:r>
      <w:r w:rsidR="000078DA" w:rsidRPr="002715F2">
        <w:rPr>
          <w:rFonts w:eastAsia="Batang"/>
          <w:lang w:val="fr-FR"/>
        </w:rPr>
        <w:t>7</w:t>
      </w:r>
      <w:r w:rsidR="000A540B" w:rsidRPr="002715F2">
        <w:rPr>
          <w:rFonts w:eastAsia="Batang"/>
          <w:lang w:val="fr-FR"/>
        </w:rPr>
        <w:t xml:space="preserve"> à </w:t>
      </w:r>
      <w:r w:rsidR="000078DA" w:rsidRPr="002715F2">
        <w:rPr>
          <w:rFonts w:eastAsia="Batang"/>
          <w:lang w:val="fr-FR"/>
        </w:rPr>
        <w:t>9).</w:t>
      </w:r>
    </w:p>
    <w:p w:rsidR="000078DA" w:rsidRPr="002715F2" w:rsidRDefault="007026FB" w:rsidP="007026FB">
      <w:pPr>
        <w:pStyle w:val="SingleTxtG"/>
        <w:rPr>
          <w:rFonts w:eastAsia="Batang"/>
          <w:lang w:val="fr-FR"/>
        </w:rPr>
      </w:pPr>
      <w:r w:rsidRPr="002715F2">
        <w:rPr>
          <w:rFonts w:eastAsia="Batang"/>
          <w:lang w:val="fr-FR"/>
        </w:rPr>
        <w:t>143.</w:t>
      </w:r>
      <w:r w:rsidRPr="002715F2">
        <w:rPr>
          <w:rFonts w:eastAsia="Batang"/>
          <w:lang w:val="fr-FR"/>
        </w:rPr>
        <w:tab/>
      </w:r>
      <w:r w:rsidR="00156C88" w:rsidRPr="002715F2">
        <w:rPr>
          <w:rFonts w:eastAsia="Batang"/>
          <w:lang w:val="fr-FR" w:eastAsia="ko-KR"/>
        </w:rPr>
        <w:t>En tant que de besoin</w:t>
      </w:r>
      <w:r w:rsidR="000078DA" w:rsidRPr="002715F2">
        <w:rPr>
          <w:rFonts w:eastAsia="Batang"/>
          <w:lang w:val="fr-FR"/>
        </w:rPr>
        <w:t xml:space="preserve">, </w:t>
      </w:r>
      <w:r w:rsidR="00156C88" w:rsidRPr="002715F2">
        <w:rPr>
          <w:rFonts w:eastAsia="Batang"/>
          <w:lang w:val="fr-FR"/>
        </w:rPr>
        <w:t>l</w:t>
      </w:r>
      <w:r w:rsidR="00D83826" w:rsidRPr="002715F2">
        <w:rPr>
          <w:rFonts w:eastAsia="Batang"/>
          <w:lang w:val="fr-FR"/>
        </w:rPr>
        <w:t>a Commission nationale des droits de l’homme</w:t>
      </w:r>
      <w:r w:rsidR="000078DA" w:rsidRPr="002715F2">
        <w:rPr>
          <w:rFonts w:eastAsia="Batang"/>
          <w:lang w:val="fr-FR"/>
        </w:rPr>
        <w:t xml:space="preserve"> </w:t>
      </w:r>
      <w:r w:rsidR="00DA6A29" w:rsidRPr="002715F2">
        <w:rPr>
          <w:rFonts w:eastAsia="Batang"/>
          <w:lang w:val="fr-FR"/>
        </w:rPr>
        <w:t xml:space="preserve">peut </w:t>
      </w:r>
      <w:r w:rsidR="00BE07E3" w:rsidRPr="002715F2">
        <w:rPr>
          <w:rFonts w:eastAsia="Batang"/>
          <w:lang w:val="fr-FR"/>
        </w:rPr>
        <w:t>se rendre dans</w:t>
      </w:r>
      <w:r w:rsidR="00DA6A29" w:rsidRPr="002715F2">
        <w:rPr>
          <w:rFonts w:eastAsia="Batang"/>
          <w:lang w:val="fr-FR"/>
        </w:rPr>
        <w:t xml:space="preserve"> </w:t>
      </w:r>
      <w:r w:rsidR="00755713" w:rsidRPr="002715F2">
        <w:rPr>
          <w:rFonts w:eastAsia="Batang"/>
          <w:lang w:val="fr-FR"/>
        </w:rPr>
        <w:t>l</w:t>
      </w:r>
      <w:r w:rsidR="00DA6A29" w:rsidRPr="002715F2">
        <w:rPr>
          <w:rFonts w:eastAsia="Batang"/>
          <w:lang w:val="fr-FR"/>
        </w:rPr>
        <w:t xml:space="preserve">es </w:t>
      </w:r>
      <w:r w:rsidR="009966B6" w:rsidRPr="002715F2">
        <w:rPr>
          <w:rFonts w:eastAsia="Batang"/>
          <w:lang w:val="fr-FR"/>
        </w:rPr>
        <w:t>structures</w:t>
      </w:r>
      <w:r w:rsidR="00DA6A29" w:rsidRPr="002715F2">
        <w:rPr>
          <w:rFonts w:eastAsia="Batang"/>
          <w:lang w:val="fr-FR"/>
        </w:rPr>
        <w:t xml:space="preserve"> de détention </w:t>
      </w:r>
      <w:r w:rsidR="00755713" w:rsidRPr="002715F2">
        <w:rPr>
          <w:rFonts w:eastAsia="Batang"/>
          <w:lang w:val="fr-FR"/>
        </w:rPr>
        <w:t>ou</w:t>
      </w:r>
      <w:r w:rsidR="00DA6A29" w:rsidRPr="002715F2">
        <w:rPr>
          <w:rFonts w:eastAsia="Batang"/>
          <w:lang w:val="fr-FR"/>
        </w:rPr>
        <w:t xml:space="preserve"> de protection pour</w:t>
      </w:r>
      <w:r w:rsidR="00BE07E3" w:rsidRPr="002715F2">
        <w:rPr>
          <w:rFonts w:eastAsia="Batang"/>
          <w:lang w:val="fr-FR"/>
        </w:rPr>
        <w:t xml:space="preserve"> y mener</w:t>
      </w:r>
      <w:r w:rsidR="00DA6A29" w:rsidRPr="002715F2">
        <w:rPr>
          <w:rFonts w:eastAsia="Batang"/>
          <w:lang w:val="fr-FR"/>
        </w:rPr>
        <w:t xml:space="preserve"> </w:t>
      </w:r>
      <w:r w:rsidR="00755713" w:rsidRPr="002715F2">
        <w:rPr>
          <w:rFonts w:eastAsia="Batang"/>
          <w:lang w:val="fr-FR"/>
        </w:rPr>
        <w:t>des</w:t>
      </w:r>
      <w:r w:rsidR="00DA6A29" w:rsidRPr="002715F2">
        <w:rPr>
          <w:rFonts w:eastAsia="Batang"/>
          <w:lang w:val="fr-FR"/>
        </w:rPr>
        <w:t xml:space="preserve"> enquête</w:t>
      </w:r>
      <w:r w:rsidR="00755713" w:rsidRPr="002715F2">
        <w:rPr>
          <w:rFonts w:eastAsia="Batang"/>
          <w:lang w:val="fr-FR"/>
        </w:rPr>
        <w:t>s</w:t>
      </w:r>
      <w:r w:rsidR="00DA6A29" w:rsidRPr="002715F2">
        <w:rPr>
          <w:rFonts w:eastAsia="Batang"/>
          <w:lang w:val="fr-FR"/>
        </w:rPr>
        <w:t xml:space="preserve"> </w:t>
      </w:r>
      <w:r w:rsidR="00755713" w:rsidRPr="002715F2">
        <w:rPr>
          <w:rFonts w:eastAsia="Batang"/>
          <w:lang w:val="fr-FR"/>
        </w:rPr>
        <w:t>au titre</w:t>
      </w:r>
      <w:r w:rsidR="00DA6A29" w:rsidRPr="002715F2">
        <w:rPr>
          <w:rFonts w:eastAsia="Batang"/>
          <w:lang w:val="fr-FR"/>
        </w:rPr>
        <w:t xml:space="preserve"> </w:t>
      </w:r>
      <w:r w:rsidR="00755713" w:rsidRPr="002715F2">
        <w:rPr>
          <w:rFonts w:eastAsia="Batang"/>
          <w:lang w:val="fr-FR" w:eastAsia="ko-KR"/>
        </w:rPr>
        <w:t>de la loi portant sa création</w:t>
      </w:r>
      <w:r w:rsidR="00755713" w:rsidRPr="002715F2">
        <w:rPr>
          <w:rFonts w:eastAsia="Batang"/>
          <w:lang w:val="fr-FR"/>
        </w:rPr>
        <w:t xml:space="preserve"> </w:t>
      </w:r>
      <w:r w:rsidR="000078DA" w:rsidRPr="002715F2">
        <w:rPr>
          <w:rFonts w:eastAsia="Batang"/>
          <w:lang w:val="fr-FR"/>
        </w:rPr>
        <w:t>(</w:t>
      </w:r>
      <w:r w:rsidR="00755713" w:rsidRPr="002715F2">
        <w:rPr>
          <w:rFonts w:eastAsia="Batang"/>
          <w:lang w:val="fr-FR"/>
        </w:rPr>
        <w:t>loi relative à la Commission nationale des droits de l’homme,</w:t>
      </w:r>
      <w:r w:rsidR="000078DA" w:rsidRPr="002715F2" w:rsidDel="002D1A1C">
        <w:rPr>
          <w:rFonts w:eastAsia="Batang"/>
          <w:lang w:val="fr-FR"/>
        </w:rPr>
        <w:t xml:space="preserve"> </w:t>
      </w:r>
      <w:r w:rsidR="00BD1A84" w:rsidRPr="002715F2">
        <w:rPr>
          <w:rFonts w:eastAsia="Batang"/>
          <w:lang w:val="fr-FR"/>
        </w:rPr>
        <w:t>art. </w:t>
      </w:r>
      <w:r w:rsidR="000078DA" w:rsidRPr="002715F2">
        <w:rPr>
          <w:rFonts w:eastAsia="Batang"/>
          <w:lang w:val="fr-FR"/>
        </w:rPr>
        <w:t xml:space="preserve">24). </w:t>
      </w:r>
      <w:r w:rsidR="00BE07E3" w:rsidRPr="002715F2">
        <w:rPr>
          <w:rFonts w:eastAsia="Batang"/>
          <w:lang w:val="fr-FR"/>
        </w:rPr>
        <w:t xml:space="preserve">Cette loi garantit son </w:t>
      </w:r>
      <w:r w:rsidR="00D213FB" w:rsidRPr="002715F2">
        <w:rPr>
          <w:rFonts w:eastAsia="Batang"/>
          <w:lang w:val="fr-FR"/>
        </w:rPr>
        <w:t xml:space="preserve">indépendance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3</w:t>
      </w:r>
      <w:r w:rsidR="00D213FB"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D213FB" w:rsidRPr="002715F2">
        <w:rPr>
          <w:rFonts w:eastAsia="Batang"/>
          <w:lang w:val="fr-FR"/>
        </w:rPr>
        <w:t>2), ainsi que la durée du mandat et</w:t>
      </w:r>
      <w:r w:rsidR="000078DA" w:rsidRPr="002715F2">
        <w:rPr>
          <w:rFonts w:eastAsia="Batang"/>
          <w:lang w:val="fr-FR"/>
        </w:rPr>
        <w:t xml:space="preserve"> </w:t>
      </w:r>
      <w:r w:rsidR="00D213FB" w:rsidRPr="002715F2">
        <w:rPr>
          <w:rFonts w:eastAsia="Batang"/>
          <w:lang w:val="fr-FR"/>
        </w:rPr>
        <w:t xml:space="preserve">le </w:t>
      </w:r>
      <w:r w:rsidR="000078DA" w:rsidRPr="002715F2">
        <w:rPr>
          <w:rFonts w:eastAsia="Batang"/>
          <w:lang w:val="fr-FR"/>
        </w:rPr>
        <w:t>s</w:t>
      </w:r>
      <w:r w:rsidR="00D213FB" w:rsidRPr="002715F2">
        <w:rPr>
          <w:rFonts w:eastAsia="Batang"/>
          <w:lang w:val="fr-FR"/>
        </w:rPr>
        <w:t>tatut de</w:t>
      </w:r>
      <w:r w:rsidR="006000CD" w:rsidRPr="002715F2">
        <w:rPr>
          <w:rFonts w:eastAsia="Batang"/>
          <w:lang w:val="fr-FR"/>
        </w:rPr>
        <w:t xml:space="preserve"> ses membres </w:t>
      </w:r>
      <w:r w:rsidR="00F60999" w:rsidRPr="002715F2">
        <w:rPr>
          <w:rFonts w:eastAsia="Batang"/>
          <w:lang w:val="fr-FR"/>
        </w:rPr>
        <w:t>(</w:t>
      </w:r>
      <w:r w:rsidR="007C5014" w:rsidRPr="002715F2">
        <w:rPr>
          <w:rFonts w:eastAsia="Batang"/>
          <w:lang w:val="fr-FR"/>
        </w:rPr>
        <w:t>art. </w:t>
      </w:r>
      <w:r w:rsidR="00F60999" w:rsidRPr="002715F2">
        <w:rPr>
          <w:rFonts w:eastAsia="Batang"/>
          <w:lang w:val="fr-FR"/>
        </w:rPr>
        <w:t>7</w:t>
      </w:r>
      <w:r w:rsidR="00D213FB" w:rsidRPr="002715F2">
        <w:rPr>
          <w:rFonts w:eastAsia="Batang"/>
          <w:lang w:val="fr-FR"/>
        </w:rPr>
        <w:t xml:space="preserve"> et</w:t>
      </w:r>
      <w:r w:rsidR="00F60999" w:rsidRPr="002715F2">
        <w:rPr>
          <w:rFonts w:eastAsia="Batang"/>
          <w:lang w:val="fr-FR"/>
        </w:rPr>
        <w:t xml:space="preserve"> 8).</w:t>
      </w:r>
    </w:p>
    <w:p w:rsidR="000078DA" w:rsidRPr="002715F2" w:rsidRDefault="007026FB" w:rsidP="00771DD7">
      <w:pPr>
        <w:pStyle w:val="SingleTxtG"/>
        <w:rPr>
          <w:rFonts w:eastAsia="Batang"/>
          <w:lang w:val="fr-FR"/>
        </w:rPr>
      </w:pPr>
      <w:r w:rsidRPr="002715F2">
        <w:rPr>
          <w:rFonts w:eastAsia="Batang"/>
          <w:lang w:val="fr-FR"/>
        </w:rPr>
        <w:t>144.</w:t>
      </w:r>
      <w:r w:rsidRPr="002715F2">
        <w:rPr>
          <w:rFonts w:eastAsia="Batang"/>
          <w:lang w:val="fr-FR"/>
        </w:rPr>
        <w:tab/>
      </w:r>
      <w:r w:rsidR="00D83826" w:rsidRPr="002715F2">
        <w:rPr>
          <w:rFonts w:eastAsia="Batang"/>
          <w:lang w:val="fr-FR"/>
        </w:rPr>
        <w:t>La Commission nationale des droits de l’homme</w:t>
      </w:r>
      <w:r w:rsidR="000078DA" w:rsidRPr="002715F2">
        <w:rPr>
          <w:rFonts w:eastAsia="Batang"/>
          <w:lang w:val="fr-FR"/>
        </w:rPr>
        <w:t xml:space="preserve"> </w:t>
      </w:r>
      <w:r w:rsidR="000F478A" w:rsidRPr="002715F2">
        <w:rPr>
          <w:rFonts w:eastAsia="Batang"/>
          <w:lang w:val="fr-FR"/>
        </w:rPr>
        <w:t xml:space="preserve">peut soumettre des recommandations aux parquets, car la loi susmentionnée </w:t>
      </w:r>
      <w:r w:rsidR="00585853" w:rsidRPr="002715F2">
        <w:rPr>
          <w:rFonts w:eastAsia="Batang"/>
          <w:lang w:val="fr-FR"/>
        </w:rPr>
        <w:t>prévoit que toutes les</w:t>
      </w:r>
      <w:r w:rsidR="000F478A" w:rsidRPr="002715F2">
        <w:rPr>
          <w:rFonts w:eastAsia="Batang"/>
          <w:lang w:val="fr-FR"/>
        </w:rPr>
        <w:t xml:space="preserve"> institution</w:t>
      </w:r>
      <w:r w:rsidR="00585853" w:rsidRPr="002715F2">
        <w:rPr>
          <w:rFonts w:eastAsia="Batang"/>
          <w:lang w:val="fr-FR"/>
        </w:rPr>
        <w:t>s</w:t>
      </w:r>
      <w:r w:rsidR="000F478A" w:rsidRPr="002715F2">
        <w:rPr>
          <w:rFonts w:eastAsia="Batang"/>
          <w:lang w:val="fr-FR"/>
        </w:rPr>
        <w:t xml:space="preserve"> de </w:t>
      </w:r>
      <w:r w:rsidR="00585853" w:rsidRPr="002715F2">
        <w:rPr>
          <w:rFonts w:eastAsia="Batang"/>
          <w:lang w:val="fr-FR"/>
        </w:rPr>
        <w:t>l’État</w:t>
      </w:r>
      <w:r w:rsidR="000F478A" w:rsidRPr="002715F2">
        <w:rPr>
          <w:rFonts w:eastAsia="Batang"/>
          <w:lang w:val="fr-FR"/>
        </w:rPr>
        <w:t xml:space="preserve"> </w:t>
      </w:r>
      <w:r w:rsidR="00585853" w:rsidRPr="002715F2">
        <w:rPr>
          <w:rFonts w:eastAsia="Batang"/>
          <w:lang w:val="fr-FR"/>
        </w:rPr>
        <w:t>peuve</w:t>
      </w:r>
      <w:r w:rsidR="002E4F5F" w:rsidRPr="002715F2">
        <w:rPr>
          <w:rFonts w:eastAsia="Batang"/>
          <w:lang w:val="fr-FR"/>
        </w:rPr>
        <w:t>nt faire l’objet de</w:t>
      </w:r>
      <w:r w:rsidR="000F478A" w:rsidRPr="002715F2">
        <w:rPr>
          <w:rFonts w:eastAsia="Batang"/>
          <w:lang w:val="fr-FR"/>
        </w:rPr>
        <w:t xml:space="preserve"> recommandations</w:t>
      </w:r>
      <w:r w:rsidR="000078DA" w:rsidRPr="002715F2">
        <w:rPr>
          <w:rFonts w:eastAsia="Batang"/>
          <w:lang w:val="fr-FR"/>
        </w:rPr>
        <w:t xml:space="preserve">. </w:t>
      </w:r>
      <w:r w:rsidR="002E4F5F" w:rsidRPr="002715F2">
        <w:rPr>
          <w:rFonts w:eastAsia="Batang"/>
          <w:lang w:val="fr-FR"/>
        </w:rPr>
        <w:t>En outre, l</w:t>
      </w:r>
      <w:r w:rsidR="00D83826" w:rsidRPr="002715F2">
        <w:rPr>
          <w:rFonts w:eastAsia="Batang"/>
          <w:lang w:val="fr-FR"/>
        </w:rPr>
        <w:t xml:space="preserve">a </w:t>
      </w:r>
      <w:r w:rsidR="00771DD7" w:rsidRPr="002715F2">
        <w:rPr>
          <w:rFonts w:eastAsia="Batang"/>
          <w:lang w:val="fr-FR"/>
        </w:rPr>
        <w:t xml:space="preserve">Commission peut </w:t>
      </w:r>
      <w:r w:rsidR="00771DD7" w:rsidRPr="002715F2">
        <w:rPr>
          <w:lang w:val="fr-FR"/>
        </w:rPr>
        <w:t>demander au Procureur général d’engager des poursuites</w:t>
      </w:r>
      <w:r w:rsidR="00771DD7" w:rsidRPr="002715F2">
        <w:rPr>
          <w:rFonts w:eastAsia="Batang"/>
          <w:lang w:val="fr-FR"/>
        </w:rPr>
        <w:t xml:space="preserve"> si elle </w:t>
      </w:r>
      <w:r w:rsidR="004D2699" w:rsidRPr="002715F2">
        <w:rPr>
          <w:rFonts w:eastAsia="Batang"/>
          <w:lang w:val="fr-FR"/>
        </w:rPr>
        <w:t xml:space="preserve">établit à l’issue de son enquête </w:t>
      </w:r>
      <w:r w:rsidR="002E4F5F" w:rsidRPr="002715F2">
        <w:rPr>
          <w:rFonts w:eastAsia="Batang"/>
          <w:lang w:val="fr-FR"/>
        </w:rPr>
        <w:t xml:space="preserve">que les faits </w:t>
      </w:r>
      <w:r w:rsidR="004D2699" w:rsidRPr="002715F2">
        <w:rPr>
          <w:rFonts w:eastAsia="Batang"/>
          <w:lang w:val="fr-FR"/>
        </w:rPr>
        <w:t xml:space="preserve">allégués dans </w:t>
      </w:r>
      <w:r w:rsidR="00FD7B38" w:rsidRPr="002715F2">
        <w:rPr>
          <w:rFonts w:eastAsia="Batang"/>
          <w:lang w:val="fr-FR"/>
        </w:rPr>
        <w:t>une</w:t>
      </w:r>
      <w:r w:rsidR="004D2699" w:rsidRPr="002715F2">
        <w:rPr>
          <w:rFonts w:eastAsia="Batang"/>
          <w:lang w:val="fr-FR"/>
        </w:rPr>
        <w:t xml:space="preserve"> plainte</w:t>
      </w:r>
      <w:r w:rsidR="002E4F5F" w:rsidRPr="002715F2">
        <w:rPr>
          <w:rFonts w:eastAsia="Batang"/>
          <w:lang w:val="fr-FR"/>
        </w:rPr>
        <w:t xml:space="preserve"> constituent </w:t>
      </w:r>
      <w:r w:rsidR="00F50C45" w:rsidRPr="002715F2">
        <w:rPr>
          <w:rFonts w:eastAsia="Batang"/>
          <w:lang w:val="fr-FR"/>
        </w:rPr>
        <w:t>des</w:t>
      </w:r>
      <w:r w:rsidR="002E4F5F" w:rsidRPr="002715F2">
        <w:rPr>
          <w:rFonts w:eastAsia="Batang"/>
          <w:lang w:val="fr-FR"/>
        </w:rPr>
        <w:t xml:space="preserve"> acte</w:t>
      </w:r>
      <w:r w:rsidR="00F50C45" w:rsidRPr="002715F2">
        <w:rPr>
          <w:rFonts w:eastAsia="Batang"/>
          <w:lang w:val="fr-FR"/>
        </w:rPr>
        <w:t>s</w:t>
      </w:r>
      <w:r w:rsidR="002E4F5F" w:rsidRPr="002715F2">
        <w:rPr>
          <w:rFonts w:eastAsia="Batang"/>
          <w:lang w:val="fr-FR"/>
        </w:rPr>
        <w:t xml:space="preserve"> criminel</w:t>
      </w:r>
      <w:r w:rsidR="00F50C45" w:rsidRPr="002715F2">
        <w:rPr>
          <w:rFonts w:eastAsia="Batang"/>
          <w:lang w:val="fr-FR"/>
        </w:rPr>
        <w:t>s</w:t>
      </w:r>
      <w:r w:rsidR="002E4F5F" w:rsidRPr="002715F2">
        <w:rPr>
          <w:rFonts w:eastAsia="Batang"/>
          <w:lang w:val="fr-FR"/>
        </w:rPr>
        <w:t xml:space="preserve"> </w:t>
      </w:r>
      <w:r w:rsidR="004D2699" w:rsidRPr="002715F2">
        <w:rPr>
          <w:rFonts w:eastAsia="Batang"/>
          <w:lang w:val="fr-FR"/>
        </w:rPr>
        <w:t>passible</w:t>
      </w:r>
      <w:r w:rsidR="00F50C45" w:rsidRPr="002715F2">
        <w:rPr>
          <w:rFonts w:eastAsia="Batang"/>
          <w:lang w:val="fr-FR"/>
        </w:rPr>
        <w:t>s</w:t>
      </w:r>
      <w:r w:rsidR="002E4F5F" w:rsidRPr="002715F2">
        <w:rPr>
          <w:rFonts w:eastAsia="Batang"/>
          <w:lang w:val="fr-FR"/>
        </w:rPr>
        <w:t xml:space="preserve"> de</w:t>
      </w:r>
      <w:r w:rsidR="00771DD7" w:rsidRPr="002715F2">
        <w:rPr>
          <w:rFonts w:eastAsia="Batang"/>
          <w:lang w:val="fr-FR"/>
        </w:rPr>
        <w:t xml:space="preserve"> sanctions pénales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45</w:t>
      </w:r>
      <w:r w:rsidR="004D2699"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r w:rsidR="00585853" w:rsidRPr="002715F2">
        <w:rPr>
          <w:rFonts w:eastAsia="Batang"/>
          <w:lang w:val="fr-FR"/>
        </w:rPr>
        <w:t xml:space="preserve">Le Procureur </w:t>
      </w:r>
      <w:r w:rsidR="0039617D" w:rsidRPr="002715F2">
        <w:rPr>
          <w:rFonts w:eastAsia="Batang"/>
          <w:lang w:val="fr-FR"/>
        </w:rPr>
        <w:t>général</w:t>
      </w:r>
      <w:r w:rsidR="00585853" w:rsidRPr="002715F2">
        <w:rPr>
          <w:rFonts w:eastAsia="Batang"/>
          <w:lang w:val="fr-FR"/>
        </w:rPr>
        <w:t xml:space="preserve"> saisi d’une plainte doit </w:t>
      </w:r>
      <w:r w:rsidR="00771DD7" w:rsidRPr="002715F2">
        <w:rPr>
          <w:rFonts w:eastAsia="Batang"/>
          <w:lang w:val="fr-FR"/>
        </w:rPr>
        <w:t>mener une enquête</w:t>
      </w:r>
      <w:r w:rsidR="00585853" w:rsidRPr="002715F2">
        <w:rPr>
          <w:rFonts w:eastAsia="Batang"/>
          <w:lang w:val="fr-FR"/>
        </w:rPr>
        <w:t xml:space="preserve"> </w:t>
      </w:r>
      <w:r w:rsidR="00771DD7" w:rsidRPr="002715F2">
        <w:rPr>
          <w:rFonts w:eastAsia="Batang"/>
          <w:lang w:val="fr-FR"/>
        </w:rPr>
        <w:t xml:space="preserve">dans les trois mois qui suivent </w:t>
      </w:r>
      <w:r w:rsidR="00AC43E7" w:rsidRPr="002715F2">
        <w:rPr>
          <w:rFonts w:eastAsia="Batang"/>
          <w:lang w:val="fr-FR"/>
        </w:rPr>
        <w:t xml:space="preserve">sa saisine, puis </w:t>
      </w:r>
      <w:r w:rsidR="00771DD7" w:rsidRPr="002715F2">
        <w:rPr>
          <w:rFonts w:eastAsia="Batang"/>
          <w:lang w:val="fr-FR"/>
        </w:rPr>
        <w:t>notifier la Commission des résultats de l’enquête</w:t>
      </w:r>
      <w:r w:rsidR="000078DA" w:rsidRPr="002715F2">
        <w:rPr>
          <w:rFonts w:eastAsia="Batang"/>
          <w:lang w:val="fr-FR"/>
        </w:rPr>
        <w:t xml:space="preserve">. </w:t>
      </w:r>
      <w:r w:rsidR="00FD7B38" w:rsidRPr="002715F2">
        <w:rPr>
          <w:rFonts w:eastAsia="Batang"/>
          <w:lang w:val="fr-FR"/>
        </w:rPr>
        <w:t>Dans le cas contraire</w:t>
      </w:r>
      <w:r w:rsidR="00AC43E7" w:rsidRPr="002715F2">
        <w:rPr>
          <w:rFonts w:eastAsia="Batang"/>
          <w:lang w:val="fr-FR"/>
        </w:rPr>
        <w:t xml:space="preserve">, il </w:t>
      </w:r>
      <w:r w:rsidR="00F50C45" w:rsidRPr="002715F2">
        <w:rPr>
          <w:rFonts w:eastAsia="Batang"/>
          <w:lang w:val="fr-FR"/>
        </w:rPr>
        <w:t>doit</w:t>
      </w:r>
      <w:r w:rsidR="00AC43E7" w:rsidRPr="002715F2">
        <w:rPr>
          <w:rFonts w:eastAsia="Batang"/>
          <w:lang w:val="fr-FR"/>
        </w:rPr>
        <w:t xml:space="preserve"> expliquer sous trois mois les raisons pour lesquelles il n’a pas procédé de la sorte</w:t>
      </w:r>
      <w:r w:rsidR="00F60999" w:rsidRPr="002715F2">
        <w:rPr>
          <w:rFonts w:eastAsia="Batang"/>
          <w:lang w:val="fr-FR"/>
        </w:rPr>
        <w:t xml:space="preserve"> (</w:t>
      </w:r>
      <w:r w:rsidR="00BD1A84" w:rsidRPr="002715F2">
        <w:rPr>
          <w:rFonts w:eastAsia="Batang"/>
          <w:lang w:val="fr-FR"/>
        </w:rPr>
        <w:t>par. </w:t>
      </w:r>
      <w:r w:rsidR="00F60999" w:rsidRPr="002715F2">
        <w:rPr>
          <w:rFonts w:eastAsia="Batang"/>
          <w:lang w:val="fr-FR"/>
        </w:rPr>
        <w:t>3).</w:t>
      </w:r>
    </w:p>
    <w:p w:rsidR="000078DA" w:rsidRPr="002715F2" w:rsidRDefault="007026FB" w:rsidP="007026FB">
      <w:pPr>
        <w:pStyle w:val="SingleTxtG"/>
        <w:rPr>
          <w:rFonts w:eastAsia="Batang"/>
          <w:lang w:val="fr-FR"/>
        </w:rPr>
      </w:pPr>
      <w:r w:rsidRPr="002715F2">
        <w:rPr>
          <w:rFonts w:eastAsia="Batang"/>
          <w:lang w:val="fr-FR"/>
        </w:rPr>
        <w:t>145.</w:t>
      </w:r>
      <w:r w:rsidRPr="002715F2">
        <w:rPr>
          <w:rFonts w:eastAsia="Batang"/>
          <w:lang w:val="fr-FR"/>
        </w:rPr>
        <w:tab/>
      </w:r>
      <w:r w:rsidR="00AC43E7" w:rsidRPr="002715F2">
        <w:rPr>
          <w:rFonts w:eastAsia="Batang"/>
          <w:lang w:val="fr-FR"/>
        </w:rPr>
        <w:t xml:space="preserve">La </w:t>
      </w:r>
      <w:r w:rsidR="009970B3" w:rsidRPr="002715F2">
        <w:rPr>
          <w:rFonts w:eastAsia="Batang"/>
          <w:lang w:val="fr-FR"/>
        </w:rPr>
        <w:t>modification</w:t>
      </w:r>
      <w:r w:rsidR="00AC43E7" w:rsidRPr="002715F2">
        <w:rPr>
          <w:rFonts w:eastAsia="Batang"/>
          <w:lang w:val="fr-FR"/>
        </w:rPr>
        <w:t xml:space="preserve"> de la loi sur la Commission nationale des droits de l’homme, </w:t>
      </w:r>
      <w:r w:rsidR="0039617D" w:rsidRPr="002715F2">
        <w:rPr>
          <w:rFonts w:eastAsia="Batang"/>
          <w:lang w:val="fr-FR"/>
        </w:rPr>
        <w:t>adoptée</w:t>
      </w:r>
      <w:r w:rsidR="00AC43E7" w:rsidRPr="002715F2">
        <w:rPr>
          <w:rFonts w:eastAsia="Batang"/>
          <w:lang w:val="fr-FR"/>
        </w:rPr>
        <w:t xml:space="preserve"> le </w:t>
      </w:r>
      <w:r w:rsidR="000078DA" w:rsidRPr="002715F2">
        <w:rPr>
          <w:rFonts w:eastAsia="Batang"/>
          <w:lang w:val="fr-FR"/>
        </w:rPr>
        <w:t>21</w:t>
      </w:r>
      <w:r w:rsidR="00AC43E7" w:rsidRPr="002715F2">
        <w:rPr>
          <w:rFonts w:eastAsia="Batang"/>
          <w:lang w:val="fr-FR"/>
        </w:rPr>
        <w:t> mars</w:t>
      </w:r>
      <w:r w:rsidR="000078DA" w:rsidRPr="002715F2">
        <w:rPr>
          <w:rFonts w:eastAsia="Batang"/>
          <w:lang w:val="fr-FR"/>
        </w:rPr>
        <w:t xml:space="preserve"> 2012</w:t>
      </w:r>
      <w:r w:rsidR="00AC43E7" w:rsidRPr="002715F2">
        <w:rPr>
          <w:rFonts w:eastAsia="Batang"/>
          <w:lang w:val="fr-FR"/>
        </w:rPr>
        <w:t>,</w:t>
      </w:r>
      <w:r w:rsidR="000078DA" w:rsidRPr="002715F2">
        <w:rPr>
          <w:rFonts w:eastAsia="Batang"/>
          <w:lang w:val="fr-FR"/>
        </w:rPr>
        <w:t xml:space="preserve"> </w:t>
      </w:r>
      <w:r w:rsidR="00AC43E7" w:rsidRPr="002715F2">
        <w:rPr>
          <w:rFonts w:eastAsia="Batang"/>
          <w:lang w:val="fr-FR"/>
        </w:rPr>
        <w:t xml:space="preserve">a permis d’étendre </w:t>
      </w:r>
      <w:r w:rsidR="000102A7" w:rsidRPr="002715F2">
        <w:rPr>
          <w:rFonts w:eastAsia="Batang"/>
          <w:lang w:val="fr-FR"/>
        </w:rPr>
        <w:t>le</w:t>
      </w:r>
      <w:r w:rsidR="00AC43E7" w:rsidRPr="002715F2">
        <w:rPr>
          <w:rFonts w:eastAsia="Batang"/>
          <w:lang w:val="fr-FR"/>
        </w:rPr>
        <w:t xml:space="preserve"> pouvoir d’enquête</w:t>
      </w:r>
      <w:r w:rsidR="000102A7" w:rsidRPr="002715F2">
        <w:rPr>
          <w:rFonts w:eastAsia="Batang"/>
          <w:lang w:val="fr-FR"/>
        </w:rPr>
        <w:t xml:space="preserve"> de la Commission</w:t>
      </w:r>
      <w:r w:rsidR="00AC43E7" w:rsidRPr="002715F2">
        <w:rPr>
          <w:rFonts w:eastAsia="Batang"/>
          <w:lang w:val="fr-FR"/>
        </w:rPr>
        <w:t xml:space="preserve"> </w:t>
      </w:r>
      <w:r w:rsidR="00F50C45" w:rsidRPr="002715F2">
        <w:rPr>
          <w:rFonts w:eastAsia="Batang"/>
          <w:lang w:val="fr-FR"/>
        </w:rPr>
        <w:t>en matière de</w:t>
      </w:r>
      <w:r w:rsidR="00AC43E7" w:rsidRPr="002715F2">
        <w:rPr>
          <w:rFonts w:eastAsia="Batang"/>
          <w:lang w:val="fr-FR"/>
        </w:rPr>
        <w:t xml:space="preserve"> violations des droits de l’homme</w:t>
      </w:r>
      <w:r w:rsidR="000102A7" w:rsidRPr="002715F2">
        <w:rPr>
          <w:rFonts w:eastAsia="Batang"/>
          <w:lang w:val="fr-FR"/>
        </w:rPr>
        <w:t>,</w:t>
      </w:r>
      <w:r w:rsidR="00AC43E7" w:rsidRPr="002715F2">
        <w:rPr>
          <w:rFonts w:eastAsia="Batang"/>
          <w:lang w:val="fr-FR"/>
        </w:rPr>
        <w:t xml:space="preserve"> comme décrit dans le </w:t>
      </w:r>
      <w:r w:rsidR="000102A7" w:rsidRPr="002715F2">
        <w:rPr>
          <w:rFonts w:eastAsia="Batang"/>
          <w:lang w:val="fr-FR"/>
        </w:rPr>
        <w:t xml:space="preserve">deuxième rapport présenté par la République de Corée au titre de l’Examen périodique universel </w:t>
      </w:r>
      <w:r w:rsidR="000078DA" w:rsidRPr="002715F2">
        <w:rPr>
          <w:rFonts w:eastAsia="Batang"/>
          <w:lang w:val="fr-FR"/>
        </w:rPr>
        <w:t>(A/HRC/WG.6/14/KOR/1</w:t>
      </w:r>
      <w:r w:rsidR="00AC43E7"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8).</w:t>
      </w:r>
      <w:r w:rsidR="000102A7" w:rsidRPr="002715F2">
        <w:rPr>
          <w:rFonts w:eastAsia="Batang"/>
          <w:lang w:val="fr-FR"/>
        </w:rPr>
        <w:t xml:space="preserve"> En outre, cette </w:t>
      </w:r>
      <w:r w:rsidR="009970B3" w:rsidRPr="002715F2">
        <w:rPr>
          <w:rFonts w:eastAsia="Batang"/>
          <w:lang w:val="fr-FR"/>
        </w:rPr>
        <w:t xml:space="preserve">modification </w:t>
      </w:r>
      <w:r w:rsidR="000102A7" w:rsidRPr="002715F2">
        <w:rPr>
          <w:rFonts w:eastAsia="Batang"/>
          <w:lang w:val="fr-FR"/>
        </w:rPr>
        <w:t xml:space="preserve">prévoit que les </w:t>
      </w:r>
      <w:r w:rsidR="003461AA" w:rsidRPr="002715F2">
        <w:rPr>
          <w:rFonts w:eastAsia="Batang"/>
          <w:lang w:val="fr-FR"/>
        </w:rPr>
        <w:t>directeurs</w:t>
      </w:r>
      <w:r w:rsidR="000102A7" w:rsidRPr="002715F2">
        <w:rPr>
          <w:rFonts w:eastAsia="Batang"/>
          <w:lang w:val="fr-FR"/>
        </w:rPr>
        <w:t xml:space="preserve"> des institutions qui ont reçu des recommandations de la Commission doivent </w:t>
      </w:r>
      <w:r w:rsidR="003461AA" w:rsidRPr="002715F2">
        <w:rPr>
          <w:rFonts w:eastAsia="Batang"/>
          <w:lang w:val="fr-FR"/>
        </w:rPr>
        <w:t>l’</w:t>
      </w:r>
      <w:r w:rsidR="000102A7" w:rsidRPr="002715F2">
        <w:rPr>
          <w:rFonts w:eastAsia="Batang"/>
          <w:lang w:val="fr-FR"/>
        </w:rPr>
        <w:t>informer des plans élaborés pour les mett</w:t>
      </w:r>
      <w:r w:rsidR="00F50C45" w:rsidRPr="002715F2">
        <w:rPr>
          <w:rFonts w:eastAsia="Batang"/>
          <w:lang w:val="fr-FR"/>
        </w:rPr>
        <w:t xml:space="preserve">re en œuvre, et ce, dans les </w:t>
      </w:r>
      <w:r w:rsidR="002E57D4" w:rsidRPr="002715F2">
        <w:rPr>
          <w:rFonts w:eastAsia="Batang"/>
          <w:lang w:val="fr-FR"/>
        </w:rPr>
        <w:t xml:space="preserve">quatre-vingt </w:t>
      </w:r>
      <w:r w:rsidR="000102A7" w:rsidRPr="002715F2">
        <w:rPr>
          <w:rFonts w:eastAsia="Batang"/>
          <w:lang w:val="fr-FR"/>
        </w:rPr>
        <w:t xml:space="preserve">jours qui suivent la </w:t>
      </w:r>
      <w:r w:rsidR="0039617D" w:rsidRPr="002715F2">
        <w:rPr>
          <w:rFonts w:eastAsia="Batang"/>
          <w:lang w:val="fr-FR"/>
        </w:rPr>
        <w:t>réception</w:t>
      </w:r>
      <w:r w:rsidR="000102A7" w:rsidRPr="002715F2">
        <w:rPr>
          <w:rFonts w:eastAsia="Batang"/>
          <w:lang w:val="fr-FR"/>
        </w:rPr>
        <w:t xml:space="preserve"> de ces recommandations</w:t>
      </w:r>
      <w:r w:rsidR="000078DA" w:rsidRPr="002715F2">
        <w:rPr>
          <w:rFonts w:eastAsia="Batang"/>
          <w:lang w:val="fr-FR"/>
        </w:rPr>
        <w:t xml:space="preserve"> (</w:t>
      </w:r>
      <w:r w:rsidR="00BD1A84" w:rsidRPr="002715F2">
        <w:rPr>
          <w:rFonts w:eastAsia="Batang"/>
          <w:lang w:val="fr-FR"/>
        </w:rPr>
        <w:t>art. </w:t>
      </w:r>
      <w:r w:rsidR="00F60999" w:rsidRPr="002715F2">
        <w:rPr>
          <w:rFonts w:eastAsia="Batang"/>
          <w:lang w:val="fr-FR"/>
        </w:rPr>
        <w:t>25</w:t>
      </w:r>
      <w:r w:rsidR="000102A7" w:rsidRPr="002715F2">
        <w:rPr>
          <w:rFonts w:eastAsia="Batang"/>
          <w:lang w:val="fr-FR"/>
        </w:rPr>
        <w:t>,</w:t>
      </w:r>
      <w:r w:rsidR="00F60999" w:rsidRPr="002715F2">
        <w:rPr>
          <w:rFonts w:eastAsia="Batang"/>
          <w:lang w:val="fr-FR"/>
        </w:rPr>
        <w:t xml:space="preserve"> </w:t>
      </w:r>
      <w:r w:rsidR="00BD1A84" w:rsidRPr="002715F2">
        <w:rPr>
          <w:rFonts w:eastAsia="Batang"/>
          <w:lang w:val="fr-FR"/>
        </w:rPr>
        <w:t>par. </w:t>
      </w:r>
      <w:r w:rsidR="00F60999" w:rsidRPr="002715F2">
        <w:rPr>
          <w:rFonts w:eastAsia="Batang"/>
          <w:lang w:val="fr-FR"/>
        </w:rPr>
        <w:t>3</w:t>
      </w:r>
      <w:r w:rsidR="00E97B1A" w:rsidRPr="002715F2">
        <w:rPr>
          <w:rFonts w:eastAsia="Batang"/>
          <w:lang w:val="fr-FR"/>
        </w:rPr>
        <w:t>;</w:t>
      </w:r>
      <w:r w:rsidR="00F60999" w:rsidRPr="002715F2">
        <w:rPr>
          <w:rFonts w:eastAsia="Batang"/>
          <w:lang w:val="fr-FR"/>
        </w:rPr>
        <w:t xml:space="preserve"> </w:t>
      </w:r>
      <w:r w:rsidR="00BD1A84" w:rsidRPr="002715F2">
        <w:rPr>
          <w:rFonts w:eastAsia="Batang"/>
          <w:lang w:val="fr-FR"/>
        </w:rPr>
        <w:t>art. </w:t>
      </w:r>
      <w:r w:rsidR="00F60999" w:rsidRPr="002715F2">
        <w:rPr>
          <w:rFonts w:eastAsia="Batang"/>
          <w:lang w:val="fr-FR"/>
        </w:rPr>
        <w:t>44</w:t>
      </w:r>
      <w:r w:rsidR="000102A7" w:rsidRPr="002715F2">
        <w:rPr>
          <w:rFonts w:eastAsia="Batang"/>
          <w:lang w:val="fr-FR"/>
        </w:rPr>
        <w:t>,</w:t>
      </w:r>
      <w:r w:rsidR="00F60999" w:rsidRPr="002715F2">
        <w:rPr>
          <w:rFonts w:eastAsia="Batang"/>
          <w:lang w:val="fr-FR"/>
        </w:rPr>
        <w:t xml:space="preserve"> </w:t>
      </w:r>
      <w:r w:rsidR="00BD1A84" w:rsidRPr="002715F2">
        <w:rPr>
          <w:rFonts w:eastAsia="Batang"/>
          <w:lang w:val="fr-FR"/>
        </w:rPr>
        <w:t>par. </w:t>
      </w:r>
      <w:r w:rsidR="00F60999" w:rsidRPr="002715F2">
        <w:rPr>
          <w:rFonts w:eastAsia="Batang"/>
          <w:lang w:val="fr-FR"/>
        </w:rPr>
        <w:t>2).</w:t>
      </w:r>
    </w:p>
    <w:p w:rsidR="000078DA" w:rsidRPr="002715F2" w:rsidRDefault="003461AA">
      <w:pPr>
        <w:pStyle w:val="H1G"/>
        <w:rPr>
          <w:rFonts w:eastAsia="Batang"/>
          <w:lang w:val="fr-FR"/>
        </w:rPr>
      </w:pPr>
      <w:r w:rsidRPr="002715F2">
        <w:rPr>
          <w:rFonts w:eastAsia="Batang"/>
          <w:lang w:val="fr-FR"/>
        </w:rPr>
        <w:tab/>
      </w:r>
      <w:r w:rsidRPr="002715F2">
        <w:rPr>
          <w:rFonts w:eastAsia="Batang"/>
          <w:lang w:val="fr-FR"/>
        </w:rPr>
        <w:tab/>
      </w:r>
      <w:r w:rsidR="002E57D4" w:rsidRPr="002715F2">
        <w:rPr>
          <w:rFonts w:eastAsia="Batang"/>
          <w:lang w:val="fr-FR"/>
        </w:rPr>
        <w:t xml:space="preserve">Article </w:t>
      </w:r>
      <w:r w:rsidR="00F420C5" w:rsidRPr="002715F2">
        <w:rPr>
          <w:rFonts w:eastAsia="Batang"/>
          <w:lang w:val="fr-FR"/>
        </w:rPr>
        <w:t>14</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0102A7" w:rsidRPr="002715F2">
        <w:rPr>
          <w:rFonts w:eastAsia="Batang"/>
          <w:lang w:val="fr-FR" w:eastAsia="ko-KR"/>
        </w:rPr>
        <w:t xml:space="preserve">Réponse aux questions soulevées au </w:t>
      </w:r>
      <w:r w:rsidR="002E57D4" w:rsidRPr="002715F2">
        <w:rPr>
          <w:rFonts w:eastAsia="Batang"/>
          <w:lang w:val="fr-FR" w:eastAsia="ko-KR"/>
        </w:rPr>
        <w:t xml:space="preserve">paragraphe </w:t>
      </w:r>
      <w:r w:rsidR="000102A7" w:rsidRPr="002715F2">
        <w:rPr>
          <w:rFonts w:eastAsia="Batang"/>
          <w:lang w:val="fr-FR" w:eastAsia="ko-KR"/>
        </w:rPr>
        <w:t>27</w:t>
      </w:r>
    </w:p>
    <w:p w:rsidR="000078DA" w:rsidRPr="002715F2" w:rsidRDefault="007026FB" w:rsidP="007026FB">
      <w:pPr>
        <w:pStyle w:val="SingleTxtG"/>
        <w:rPr>
          <w:rFonts w:eastAsia="Batang"/>
          <w:lang w:val="fr-FR"/>
        </w:rPr>
      </w:pPr>
      <w:r w:rsidRPr="002715F2">
        <w:rPr>
          <w:rFonts w:eastAsia="Batang"/>
          <w:lang w:val="fr-FR"/>
        </w:rPr>
        <w:t>146.</w:t>
      </w:r>
      <w:r w:rsidRPr="002715F2">
        <w:rPr>
          <w:rFonts w:eastAsia="Batang"/>
          <w:lang w:val="fr-FR"/>
        </w:rPr>
        <w:tab/>
      </w:r>
      <w:r w:rsidR="00B923EA" w:rsidRPr="002715F2">
        <w:rPr>
          <w:rFonts w:eastAsia="Batang"/>
          <w:lang w:val="fr-FR"/>
        </w:rPr>
        <w:t xml:space="preserve">La Constitution et les lois pertinentes garantissent aux victimes de torture </w:t>
      </w:r>
      <w:r w:rsidR="003461AA" w:rsidRPr="002715F2">
        <w:rPr>
          <w:rFonts w:eastAsia="Batang"/>
          <w:lang w:val="fr-FR"/>
        </w:rPr>
        <w:t>ou</w:t>
      </w:r>
      <w:r w:rsidR="00B923EA" w:rsidRPr="002715F2">
        <w:rPr>
          <w:rFonts w:eastAsia="Batang"/>
          <w:lang w:val="fr-FR"/>
        </w:rPr>
        <w:t xml:space="preserve"> à leur famille endeuillée </w:t>
      </w:r>
      <w:r w:rsidR="00B923EA" w:rsidRPr="002715F2">
        <w:rPr>
          <w:lang w:val="fr-FR"/>
        </w:rPr>
        <w:t>le droit d’obtenir réparation et d’être indemnisées équitablement et de manière adéquate</w:t>
      </w:r>
      <w:r w:rsidR="000078DA" w:rsidRPr="002715F2">
        <w:rPr>
          <w:rFonts w:eastAsia="Batang"/>
          <w:lang w:val="fr-FR"/>
        </w:rPr>
        <w:t xml:space="preserve">. </w:t>
      </w:r>
      <w:r w:rsidR="00B923EA" w:rsidRPr="002715F2">
        <w:rPr>
          <w:rFonts w:eastAsia="Batang"/>
          <w:lang w:val="fr-FR"/>
        </w:rPr>
        <w:t>Ainsi</w:t>
      </w:r>
      <w:r w:rsidR="000078DA" w:rsidRPr="002715F2">
        <w:rPr>
          <w:rFonts w:eastAsia="Batang"/>
          <w:lang w:val="fr-FR"/>
        </w:rPr>
        <w:t xml:space="preserve">, </w:t>
      </w:r>
      <w:r w:rsidR="00B923EA" w:rsidRPr="002715F2">
        <w:rPr>
          <w:rFonts w:eastAsia="Batang"/>
          <w:lang w:val="fr-FR"/>
        </w:rPr>
        <w:t xml:space="preserve">les </w:t>
      </w:r>
      <w:r w:rsidR="00152F61" w:rsidRPr="002715F2">
        <w:rPr>
          <w:rFonts w:eastAsia="Batang"/>
          <w:lang w:val="fr-FR"/>
        </w:rPr>
        <w:t>victimes d’</w:t>
      </w:r>
      <w:r w:rsidR="00B923EA" w:rsidRPr="002715F2">
        <w:rPr>
          <w:rFonts w:eastAsia="Batang"/>
          <w:lang w:val="fr-FR"/>
        </w:rPr>
        <w:t>actes de torture et de mauvais traitement</w:t>
      </w:r>
      <w:r w:rsidR="0061009D" w:rsidRPr="002715F2">
        <w:rPr>
          <w:rFonts w:eastAsia="Batang"/>
          <w:lang w:val="fr-FR"/>
        </w:rPr>
        <w:t>s</w:t>
      </w:r>
      <w:r w:rsidR="00B923EA" w:rsidRPr="002715F2">
        <w:rPr>
          <w:rFonts w:eastAsia="Batang"/>
          <w:lang w:val="fr-FR"/>
        </w:rPr>
        <w:t xml:space="preserve"> peuvent </w:t>
      </w:r>
      <w:r w:rsidR="00080D2E" w:rsidRPr="002715F2">
        <w:rPr>
          <w:lang w:val="fr-FR"/>
        </w:rPr>
        <w:t>exiger une indemnisation de l’État</w:t>
      </w:r>
      <w:r w:rsidR="00152F61" w:rsidRPr="002715F2">
        <w:rPr>
          <w:rFonts w:eastAsia="Batang"/>
          <w:lang w:val="fr-FR"/>
        </w:rPr>
        <w:t xml:space="preserve">, </w:t>
      </w:r>
      <w:r w:rsidR="00080D2E" w:rsidRPr="002715F2">
        <w:rPr>
          <w:rFonts w:eastAsia="Batang"/>
          <w:lang w:val="fr-FR"/>
        </w:rPr>
        <w:t xml:space="preserve">une </w:t>
      </w:r>
      <w:r w:rsidR="00080D2E" w:rsidRPr="002715F2">
        <w:rPr>
          <w:lang w:val="fr-FR"/>
        </w:rPr>
        <w:t xml:space="preserve">indemnisation </w:t>
      </w:r>
      <w:r w:rsidR="00B923EA" w:rsidRPr="002715F2">
        <w:rPr>
          <w:rFonts w:eastAsia="Batang"/>
          <w:lang w:val="fr-FR"/>
        </w:rPr>
        <w:t xml:space="preserve">pénale ou </w:t>
      </w:r>
      <w:r w:rsidR="00080D2E" w:rsidRPr="002715F2">
        <w:rPr>
          <w:rFonts w:eastAsia="Batang"/>
          <w:lang w:val="fr-FR"/>
        </w:rPr>
        <w:t>un</w:t>
      </w:r>
      <w:r w:rsidR="00E60AC5" w:rsidRPr="002715F2">
        <w:rPr>
          <w:rFonts w:eastAsia="Batang"/>
          <w:lang w:val="fr-FR"/>
        </w:rPr>
        <w:t xml:space="preserve"> </w:t>
      </w:r>
      <w:r w:rsidR="00E60AC5" w:rsidRPr="002715F2">
        <w:rPr>
          <w:lang w:val="fr-FR"/>
        </w:rPr>
        <w:t>dédommagement pécuniaire</w:t>
      </w:r>
      <w:r w:rsidR="00B923EA" w:rsidRPr="002715F2">
        <w:rPr>
          <w:rFonts w:eastAsia="Batang"/>
          <w:lang w:val="fr-FR"/>
        </w:rPr>
        <w:t xml:space="preserve"> pour </w:t>
      </w:r>
      <w:r w:rsidR="0061009D" w:rsidRPr="002715F2">
        <w:rPr>
          <w:rFonts w:eastAsia="Batang"/>
          <w:lang w:val="fr-FR"/>
        </w:rPr>
        <w:t xml:space="preserve">les blessures </w:t>
      </w:r>
      <w:r w:rsidR="0039617D" w:rsidRPr="002715F2">
        <w:rPr>
          <w:rFonts w:eastAsia="Batang"/>
          <w:lang w:val="fr-FR"/>
        </w:rPr>
        <w:t>résultant</w:t>
      </w:r>
      <w:r w:rsidR="0061009D" w:rsidRPr="002715F2">
        <w:rPr>
          <w:rFonts w:eastAsia="Batang"/>
          <w:lang w:val="fr-FR"/>
        </w:rPr>
        <w:t xml:space="preserve"> d’actes criminels</w:t>
      </w:r>
      <w:r w:rsidR="00B923EA" w:rsidRPr="002715F2">
        <w:rPr>
          <w:rFonts w:eastAsia="Batang"/>
          <w:lang w:val="fr-FR"/>
        </w:rPr>
        <w:t xml:space="preserve">, ou </w:t>
      </w:r>
      <w:r w:rsidR="00080D2E" w:rsidRPr="002715F2">
        <w:rPr>
          <w:rFonts w:eastAsia="Batang"/>
          <w:lang w:val="fr-FR"/>
        </w:rPr>
        <w:t xml:space="preserve">encore </w:t>
      </w:r>
      <w:r w:rsidR="00152F61" w:rsidRPr="002715F2">
        <w:rPr>
          <w:rFonts w:eastAsia="Batang"/>
          <w:lang w:val="fr-FR"/>
        </w:rPr>
        <w:t xml:space="preserve">réclamer </w:t>
      </w:r>
      <w:r w:rsidR="00B923EA" w:rsidRPr="002715F2">
        <w:rPr>
          <w:rFonts w:eastAsia="Batang"/>
          <w:lang w:val="fr-FR"/>
        </w:rPr>
        <w:t>de</w:t>
      </w:r>
      <w:r w:rsidR="00152F61" w:rsidRPr="002715F2">
        <w:rPr>
          <w:rFonts w:eastAsia="Batang"/>
          <w:lang w:val="fr-FR"/>
        </w:rPr>
        <w:t>s</w:t>
      </w:r>
      <w:r w:rsidR="00B923EA" w:rsidRPr="002715F2">
        <w:rPr>
          <w:rFonts w:eastAsia="Batang"/>
          <w:lang w:val="fr-FR"/>
        </w:rPr>
        <w:t xml:space="preserve"> dommages-intérêts conformément </w:t>
      </w:r>
      <w:r w:rsidR="00080D2E" w:rsidRPr="002715F2">
        <w:rPr>
          <w:rFonts w:eastAsia="Batang"/>
          <w:lang w:val="fr-FR"/>
        </w:rPr>
        <w:t>au Code civil</w:t>
      </w:r>
      <w:r w:rsidR="000078DA" w:rsidRPr="002715F2">
        <w:rPr>
          <w:rFonts w:eastAsia="Batang"/>
          <w:lang w:val="fr-FR"/>
        </w:rPr>
        <w:t xml:space="preserve">. </w:t>
      </w:r>
      <w:r w:rsidR="00152F61" w:rsidRPr="002715F2">
        <w:rPr>
          <w:rFonts w:eastAsia="Batang"/>
          <w:lang w:val="fr-FR"/>
        </w:rPr>
        <w:t xml:space="preserve">Les premier et deuxième rapports apportent plus de </w:t>
      </w:r>
      <w:r w:rsidR="0039617D" w:rsidRPr="002715F2">
        <w:rPr>
          <w:rFonts w:eastAsia="Batang"/>
          <w:lang w:val="fr-FR"/>
        </w:rPr>
        <w:t>précisions</w:t>
      </w:r>
      <w:r w:rsidR="00152F61" w:rsidRPr="002715F2">
        <w:rPr>
          <w:rFonts w:eastAsia="Batang"/>
          <w:lang w:val="fr-FR"/>
        </w:rPr>
        <w:t xml:space="preserve"> sur ce</w:t>
      </w:r>
      <w:r w:rsidR="003461AA" w:rsidRPr="002715F2">
        <w:rPr>
          <w:rFonts w:eastAsia="Batang"/>
          <w:lang w:val="fr-FR"/>
        </w:rPr>
        <w:t>s</w:t>
      </w:r>
      <w:r w:rsidR="00152F61" w:rsidRPr="002715F2">
        <w:rPr>
          <w:rFonts w:eastAsia="Batang"/>
          <w:lang w:val="fr-FR"/>
        </w:rPr>
        <w:t xml:space="preserve"> point</w:t>
      </w:r>
      <w:r w:rsidR="003461AA" w:rsidRPr="002715F2">
        <w:rPr>
          <w:rFonts w:eastAsia="Batang"/>
          <w:lang w:val="fr-FR"/>
        </w:rPr>
        <w:t>s</w:t>
      </w:r>
      <w:r w:rsidR="000078DA" w:rsidRPr="002715F2">
        <w:rPr>
          <w:rFonts w:eastAsia="Batang"/>
          <w:lang w:val="fr-FR"/>
        </w:rPr>
        <w:t xml:space="preserve"> (CAT/C/32/Add.1</w:t>
      </w:r>
      <w:r w:rsidR="00375A5F" w:rsidRPr="002715F2">
        <w:rPr>
          <w:rFonts w:eastAsia="Batang"/>
          <w:lang w:val="fr-FR"/>
        </w:rPr>
        <w:t>,</w:t>
      </w:r>
      <w:r w:rsidR="000078DA" w:rsidRPr="002715F2">
        <w:rPr>
          <w:rFonts w:eastAsia="Batang"/>
          <w:lang w:val="fr-FR"/>
        </w:rPr>
        <w:t xml:space="preserve"> </w:t>
      </w:r>
      <w:r w:rsidR="00480124" w:rsidRPr="002715F2">
        <w:rPr>
          <w:rFonts w:eastAsia="Batang"/>
          <w:lang w:val="fr-FR"/>
        </w:rPr>
        <w:t>par. </w:t>
      </w:r>
      <w:r w:rsidR="000078DA" w:rsidRPr="002715F2">
        <w:rPr>
          <w:rFonts w:eastAsia="Batang"/>
          <w:lang w:val="fr-FR"/>
        </w:rPr>
        <w:t>40</w:t>
      </w:r>
      <w:r w:rsidR="00B732CB" w:rsidRPr="002715F2">
        <w:rPr>
          <w:rFonts w:eastAsia="Batang"/>
          <w:lang w:val="fr-FR"/>
        </w:rPr>
        <w:t xml:space="preserve">, </w:t>
      </w:r>
      <w:r w:rsidR="000078DA" w:rsidRPr="002715F2">
        <w:rPr>
          <w:rFonts w:eastAsia="Batang"/>
          <w:lang w:val="fr-FR"/>
        </w:rPr>
        <w:t xml:space="preserve">41, </w:t>
      </w:r>
      <w:r w:rsidR="00375A5F" w:rsidRPr="002715F2">
        <w:rPr>
          <w:rFonts w:eastAsia="Batang"/>
          <w:lang w:val="fr-FR"/>
        </w:rPr>
        <w:t>192 </w:t>
      </w:r>
      <w:r w:rsidR="000078DA" w:rsidRPr="002715F2">
        <w:rPr>
          <w:rFonts w:eastAsia="Batang"/>
          <w:lang w:val="fr-FR"/>
        </w:rPr>
        <w:t>d)</w:t>
      </w:r>
      <w:r w:rsidR="00B732CB" w:rsidRPr="002715F2">
        <w:rPr>
          <w:rFonts w:eastAsia="Batang"/>
          <w:lang w:val="fr-FR"/>
        </w:rPr>
        <w:t xml:space="preserve"> et</w:t>
      </w:r>
      <w:r w:rsidR="000078DA" w:rsidRPr="002715F2">
        <w:rPr>
          <w:rFonts w:eastAsia="Batang"/>
          <w:lang w:val="fr-FR"/>
        </w:rPr>
        <w:t xml:space="preserve"> </w:t>
      </w:r>
      <w:r w:rsidR="00375A5F" w:rsidRPr="002715F2">
        <w:rPr>
          <w:rFonts w:eastAsia="Batang"/>
          <w:lang w:val="fr-FR"/>
        </w:rPr>
        <w:t xml:space="preserve">199 à </w:t>
      </w:r>
      <w:r w:rsidR="000078DA" w:rsidRPr="002715F2">
        <w:rPr>
          <w:rFonts w:eastAsia="Batang"/>
          <w:lang w:val="fr-FR"/>
        </w:rPr>
        <w:t>203</w:t>
      </w:r>
      <w:r w:rsidR="00E97B1A" w:rsidRPr="002715F2">
        <w:rPr>
          <w:rFonts w:eastAsia="Batang"/>
          <w:lang w:val="fr-FR"/>
        </w:rPr>
        <w:t>;</w:t>
      </w:r>
      <w:r w:rsidR="00F60999" w:rsidRPr="002715F2">
        <w:rPr>
          <w:rFonts w:eastAsia="Batang"/>
          <w:lang w:val="fr-FR"/>
        </w:rPr>
        <w:t xml:space="preserve"> CAT/C/53/Add.2</w:t>
      </w:r>
      <w:r w:rsidR="00375A5F" w:rsidRPr="002715F2">
        <w:rPr>
          <w:rFonts w:eastAsia="Batang"/>
          <w:lang w:val="fr-FR"/>
        </w:rPr>
        <w:t>,</w:t>
      </w:r>
      <w:r w:rsidR="00F60999" w:rsidRPr="002715F2">
        <w:rPr>
          <w:rFonts w:eastAsia="Batang"/>
          <w:lang w:val="fr-FR"/>
        </w:rPr>
        <w:t xml:space="preserve"> </w:t>
      </w:r>
      <w:r w:rsidR="00480124" w:rsidRPr="002715F2">
        <w:rPr>
          <w:rFonts w:eastAsia="Batang"/>
          <w:lang w:val="fr-FR"/>
        </w:rPr>
        <w:t>par. </w:t>
      </w:r>
      <w:r w:rsidR="00375A5F" w:rsidRPr="002715F2">
        <w:rPr>
          <w:rFonts w:eastAsia="Batang"/>
          <w:lang w:val="fr-FR"/>
        </w:rPr>
        <w:t xml:space="preserve">85 à </w:t>
      </w:r>
      <w:r w:rsidR="00F60999" w:rsidRPr="002715F2">
        <w:rPr>
          <w:rFonts w:eastAsia="Batang"/>
          <w:lang w:val="fr-FR"/>
        </w:rPr>
        <w:t>89).</w:t>
      </w:r>
    </w:p>
    <w:p w:rsidR="000078DA" w:rsidRPr="002715F2" w:rsidRDefault="007026FB" w:rsidP="007026FB">
      <w:pPr>
        <w:pStyle w:val="SingleTxtG"/>
        <w:rPr>
          <w:rFonts w:eastAsia="Batang"/>
          <w:lang w:val="fr-FR"/>
        </w:rPr>
      </w:pPr>
      <w:r w:rsidRPr="002715F2">
        <w:rPr>
          <w:rFonts w:eastAsia="Batang"/>
          <w:lang w:val="fr-FR"/>
        </w:rPr>
        <w:t>147.</w:t>
      </w:r>
      <w:r w:rsidRPr="002715F2">
        <w:rPr>
          <w:rFonts w:eastAsia="Batang"/>
          <w:lang w:val="fr-FR"/>
        </w:rPr>
        <w:tab/>
      </w:r>
      <w:r w:rsidR="003461AA" w:rsidRPr="002715F2">
        <w:rPr>
          <w:rFonts w:eastAsia="Batang"/>
          <w:lang w:val="fr-FR"/>
        </w:rPr>
        <w:t>Cela étant, l</w:t>
      </w:r>
      <w:r w:rsidR="00F3230D" w:rsidRPr="002715F2">
        <w:rPr>
          <w:rFonts w:eastAsia="Batang"/>
          <w:lang w:val="fr-FR"/>
        </w:rPr>
        <w:t xml:space="preserve">e </w:t>
      </w:r>
      <w:r w:rsidR="0039617D" w:rsidRPr="002715F2">
        <w:rPr>
          <w:rFonts w:eastAsia="Batang"/>
          <w:lang w:val="fr-FR" w:eastAsia="ko-KR"/>
        </w:rPr>
        <w:t>Gouvernement</w:t>
      </w:r>
      <w:r w:rsidR="00F3230D" w:rsidRPr="002715F2">
        <w:rPr>
          <w:rFonts w:eastAsia="Batang"/>
          <w:lang w:val="fr-FR" w:eastAsia="ko-KR"/>
        </w:rPr>
        <w:t xml:space="preserve"> ne possède pas de données statistiques distinctes </w:t>
      </w:r>
      <w:r w:rsidR="0061009D" w:rsidRPr="002715F2">
        <w:rPr>
          <w:rFonts w:eastAsia="Batang"/>
          <w:lang w:val="fr-FR"/>
        </w:rPr>
        <w:t xml:space="preserve">concernant les indemnisations </w:t>
      </w:r>
      <w:r w:rsidR="003461AA" w:rsidRPr="002715F2">
        <w:rPr>
          <w:rFonts w:eastAsia="Batang"/>
          <w:lang w:val="fr-FR"/>
        </w:rPr>
        <w:t xml:space="preserve">de </w:t>
      </w:r>
      <w:r w:rsidR="0061009D" w:rsidRPr="002715F2">
        <w:rPr>
          <w:rFonts w:eastAsia="Batang"/>
          <w:lang w:val="fr-FR"/>
        </w:rPr>
        <w:t xml:space="preserve">l’État </w:t>
      </w:r>
      <w:r w:rsidR="003461AA" w:rsidRPr="002715F2">
        <w:rPr>
          <w:rFonts w:eastAsia="Batang"/>
          <w:lang w:val="fr-FR"/>
        </w:rPr>
        <w:t xml:space="preserve">versées </w:t>
      </w:r>
      <w:r w:rsidR="0061009D" w:rsidRPr="002715F2">
        <w:rPr>
          <w:rFonts w:eastAsia="Batang"/>
          <w:lang w:val="fr-FR"/>
        </w:rPr>
        <w:t>aux victimes d</w:t>
      </w:r>
      <w:r w:rsidR="003461AA" w:rsidRPr="002715F2">
        <w:rPr>
          <w:rFonts w:eastAsia="Batang"/>
          <w:lang w:val="fr-FR"/>
        </w:rPr>
        <w:t>’actes de</w:t>
      </w:r>
      <w:r w:rsidR="000078DA" w:rsidRPr="002715F2">
        <w:rPr>
          <w:rFonts w:eastAsia="Batang"/>
          <w:lang w:val="fr-FR"/>
        </w:rPr>
        <w:t xml:space="preserve"> torture. </w:t>
      </w:r>
      <w:r w:rsidR="000274B2" w:rsidRPr="002715F2">
        <w:rPr>
          <w:rFonts w:eastAsia="Batang"/>
          <w:lang w:val="fr-FR"/>
        </w:rPr>
        <w:t>En outre</w:t>
      </w:r>
      <w:r w:rsidR="000078DA" w:rsidRPr="002715F2">
        <w:rPr>
          <w:rFonts w:eastAsia="Batang"/>
          <w:lang w:val="fr-FR"/>
        </w:rPr>
        <w:t xml:space="preserve">, </w:t>
      </w:r>
      <w:r w:rsidR="000274B2" w:rsidRPr="002715F2">
        <w:rPr>
          <w:rFonts w:eastAsia="Batang"/>
          <w:lang w:val="fr-FR"/>
        </w:rPr>
        <w:t>un accusé déclaré non coupable dans un jugement final et sans appel</w:t>
      </w:r>
      <w:r w:rsidR="001533DD" w:rsidRPr="002715F2">
        <w:rPr>
          <w:rFonts w:eastAsia="Batang"/>
          <w:lang w:val="fr-FR"/>
        </w:rPr>
        <w:t>,</w:t>
      </w:r>
      <w:r w:rsidR="000274B2" w:rsidRPr="002715F2">
        <w:rPr>
          <w:rFonts w:eastAsia="Batang"/>
          <w:lang w:val="fr-FR"/>
        </w:rPr>
        <w:t xml:space="preserve"> ou un suspect qui n’est pas poursuivi</w:t>
      </w:r>
      <w:r w:rsidR="001533DD" w:rsidRPr="002715F2">
        <w:rPr>
          <w:rFonts w:eastAsia="Batang"/>
          <w:lang w:val="fr-FR"/>
        </w:rPr>
        <w:t>,</w:t>
      </w:r>
      <w:r w:rsidR="000274B2" w:rsidRPr="002715F2">
        <w:rPr>
          <w:rFonts w:eastAsia="Batang"/>
          <w:lang w:val="fr-FR"/>
        </w:rPr>
        <w:t xml:space="preserve"> peut réclamer une indemnisation pénale</w:t>
      </w:r>
      <w:r w:rsidR="006F25A8" w:rsidRPr="002715F2">
        <w:rPr>
          <w:rFonts w:eastAsia="Batang"/>
          <w:lang w:val="fr-FR"/>
        </w:rPr>
        <w:t xml:space="preserve"> (pour le premier)</w:t>
      </w:r>
      <w:r w:rsidR="001533DD" w:rsidRPr="002715F2">
        <w:rPr>
          <w:rFonts w:eastAsia="Batang"/>
          <w:lang w:val="fr-FR"/>
        </w:rPr>
        <w:t>,</w:t>
      </w:r>
      <w:r w:rsidR="000274B2" w:rsidRPr="002715F2">
        <w:rPr>
          <w:rFonts w:eastAsia="Batang"/>
          <w:lang w:val="fr-FR"/>
        </w:rPr>
        <w:t xml:space="preserve"> ou une </w:t>
      </w:r>
      <w:r w:rsidR="006F25A8" w:rsidRPr="002715F2">
        <w:rPr>
          <w:rFonts w:eastAsia="Batang"/>
          <w:lang w:val="fr-FR"/>
        </w:rPr>
        <w:t>indemnisation en tant que suspect (pour le second)</w:t>
      </w:r>
      <w:r w:rsidR="001533DD" w:rsidRPr="002715F2">
        <w:rPr>
          <w:rFonts w:eastAsia="Batang"/>
          <w:lang w:val="fr-FR"/>
        </w:rPr>
        <w:t>,</w:t>
      </w:r>
      <w:r w:rsidR="006F25A8" w:rsidRPr="002715F2">
        <w:rPr>
          <w:rFonts w:eastAsia="Batang"/>
          <w:lang w:val="fr-FR"/>
        </w:rPr>
        <w:t xml:space="preserve"> </w:t>
      </w:r>
      <w:r w:rsidR="000274B2" w:rsidRPr="002715F2">
        <w:rPr>
          <w:rFonts w:eastAsia="Batang"/>
          <w:lang w:val="fr-FR"/>
        </w:rPr>
        <w:t xml:space="preserve">non seulement pour </w:t>
      </w:r>
      <w:r w:rsidR="006F25A8" w:rsidRPr="002715F2">
        <w:rPr>
          <w:rFonts w:eastAsia="Batang"/>
          <w:lang w:val="fr-FR"/>
        </w:rPr>
        <w:t xml:space="preserve">l’illégalité de son </w:t>
      </w:r>
      <w:r w:rsidR="000274B2" w:rsidRPr="002715F2">
        <w:rPr>
          <w:rFonts w:eastAsia="Batang"/>
          <w:lang w:val="fr-FR"/>
        </w:rPr>
        <w:t xml:space="preserve">arrestation </w:t>
      </w:r>
      <w:r w:rsidR="006F25A8" w:rsidRPr="002715F2">
        <w:rPr>
          <w:rFonts w:eastAsia="Batang"/>
          <w:lang w:val="fr-FR"/>
        </w:rPr>
        <w:t>ou</w:t>
      </w:r>
      <w:r w:rsidR="000274B2" w:rsidRPr="002715F2">
        <w:rPr>
          <w:rFonts w:eastAsia="Batang"/>
          <w:lang w:val="fr-FR"/>
        </w:rPr>
        <w:t xml:space="preserve"> </w:t>
      </w:r>
      <w:r w:rsidR="0039617D" w:rsidRPr="002715F2">
        <w:rPr>
          <w:rFonts w:eastAsia="Batang"/>
          <w:lang w:val="fr-FR"/>
        </w:rPr>
        <w:t>détention</w:t>
      </w:r>
      <w:r w:rsidR="000274B2" w:rsidRPr="002715F2">
        <w:rPr>
          <w:rFonts w:eastAsia="Batang"/>
          <w:lang w:val="fr-FR"/>
        </w:rPr>
        <w:t>, qui peu</w:t>
      </w:r>
      <w:r w:rsidR="006F25A8" w:rsidRPr="002715F2">
        <w:rPr>
          <w:rFonts w:eastAsia="Batang"/>
          <w:lang w:val="fr-FR"/>
        </w:rPr>
        <w:t>t</w:t>
      </w:r>
      <w:r w:rsidR="000274B2" w:rsidRPr="002715F2">
        <w:rPr>
          <w:rFonts w:eastAsia="Batang"/>
          <w:lang w:val="fr-FR"/>
        </w:rPr>
        <w:t xml:space="preserve"> constituer une forme de torture, mais également </w:t>
      </w:r>
      <w:r w:rsidR="006F25A8" w:rsidRPr="002715F2">
        <w:rPr>
          <w:rFonts w:eastAsia="Batang"/>
          <w:lang w:val="fr-FR"/>
        </w:rPr>
        <w:t>pour toute</w:t>
      </w:r>
      <w:r w:rsidR="000274B2" w:rsidRPr="002715F2">
        <w:rPr>
          <w:rFonts w:eastAsia="Batang"/>
          <w:lang w:val="fr-FR"/>
        </w:rPr>
        <w:t xml:space="preserve"> détention légitime </w:t>
      </w:r>
      <w:r w:rsidR="006F25A8" w:rsidRPr="002715F2">
        <w:rPr>
          <w:rFonts w:eastAsia="Batang"/>
          <w:lang w:val="fr-FR"/>
        </w:rPr>
        <w:t>ordonnée par un tribunal</w:t>
      </w:r>
      <w:r w:rsidR="000078DA" w:rsidRPr="002715F2">
        <w:rPr>
          <w:rFonts w:eastAsia="Batang"/>
          <w:lang w:val="fr-FR"/>
        </w:rPr>
        <w:t xml:space="preserve">. </w:t>
      </w:r>
      <w:r w:rsidR="00F3230D" w:rsidRPr="002715F2">
        <w:rPr>
          <w:rFonts w:eastAsia="Batang"/>
          <w:lang w:val="fr-FR"/>
        </w:rPr>
        <w:t xml:space="preserve">Toutefois, le </w:t>
      </w:r>
      <w:r w:rsidR="0039617D" w:rsidRPr="002715F2">
        <w:rPr>
          <w:rFonts w:eastAsia="Batang"/>
          <w:lang w:val="fr-FR" w:eastAsia="ko-KR"/>
        </w:rPr>
        <w:t>Gouvernement</w:t>
      </w:r>
      <w:r w:rsidR="00F3230D" w:rsidRPr="002715F2">
        <w:rPr>
          <w:rFonts w:eastAsia="Batang"/>
          <w:lang w:val="fr-FR" w:eastAsia="ko-KR"/>
        </w:rPr>
        <w:t xml:space="preserve"> ne possède pas</w:t>
      </w:r>
      <w:r w:rsidR="000274B2" w:rsidRPr="002715F2">
        <w:rPr>
          <w:rFonts w:eastAsia="Batang"/>
          <w:lang w:val="fr-FR" w:eastAsia="ko-KR"/>
        </w:rPr>
        <w:t xml:space="preserve"> </w:t>
      </w:r>
      <w:r w:rsidR="00F3230D" w:rsidRPr="002715F2">
        <w:rPr>
          <w:rFonts w:eastAsia="Batang"/>
          <w:lang w:val="fr-FR" w:eastAsia="ko-KR"/>
        </w:rPr>
        <w:t xml:space="preserve">de données statistiques distinctes </w:t>
      </w:r>
      <w:r w:rsidR="001533DD" w:rsidRPr="002715F2">
        <w:rPr>
          <w:rFonts w:eastAsia="Batang"/>
          <w:lang w:val="fr-FR"/>
        </w:rPr>
        <w:t>concernant les indemnisations</w:t>
      </w:r>
      <w:r w:rsidR="0022535C" w:rsidRPr="002715F2">
        <w:rPr>
          <w:rFonts w:eastAsia="Batang"/>
          <w:lang w:val="fr-FR"/>
        </w:rPr>
        <w:t xml:space="preserve"> </w:t>
      </w:r>
      <w:r w:rsidR="001533DD" w:rsidRPr="002715F2">
        <w:rPr>
          <w:rFonts w:eastAsia="Batang"/>
          <w:lang w:val="fr-FR"/>
        </w:rPr>
        <w:t>pénales ou</w:t>
      </w:r>
      <w:r w:rsidR="0022535C" w:rsidRPr="002715F2">
        <w:rPr>
          <w:rFonts w:eastAsia="Batang"/>
          <w:lang w:val="fr-FR"/>
        </w:rPr>
        <w:t xml:space="preserve"> </w:t>
      </w:r>
      <w:r w:rsidR="003461AA" w:rsidRPr="002715F2">
        <w:rPr>
          <w:rFonts w:eastAsia="Batang"/>
          <w:lang w:val="fr-FR"/>
        </w:rPr>
        <w:t>autres</w:t>
      </w:r>
      <w:r w:rsidR="0022535C" w:rsidRPr="002715F2">
        <w:rPr>
          <w:rFonts w:eastAsia="Batang"/>
          <w:lang w:val="fr-FR"/>
        </w:rPr>
        <w:t xml:space="preserve"> </w:t>
      </w:r>
      <w:r w:rsidR="001533DD" w:rsidRPr="002715F2">
        <w:rPr>
          <w:rFonts w:eastAsia="Batang"/>
          <w:lang w:val="fr-FR"/>
        </w:rPr>
        <w:t xml:space="preserve">versées </w:t>
      </w:r>
      <w:r w:rsidR="003461AA" w:rsidRPr="002715F2">
        <w:rPr>
          <w:rFonts w:eastAsia="Batang"/>
          <w:lang w:val="fr-FR"/>
        </w:rPr>
        <w:t>spécifiquement dans des</w:t>
      </w:r>
      <w:r w:rsidR="00EA045D" w:rsidRPr="002715F2">
        <w:rPr>
          <w:rFonts w:eastAsia="Batang"/>
          <w:lang w:val="fr-FR"/>
        </w:rPr>
        <w:t xml:space="preserve"> cas de</w:t>
      </w:r>
      <w:r w:rsidR="001533DD" w:rsidRPr="002715F2">
        <w:rPr>
          <w:rFonts w:eastAsia="Batang"/>
          <w:lang w:val="fr-FR"/>
        </w:rPr>
        <w:t xml:space="preserve"> torture</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148.</w:t>
      </w:r>
      <w:r w:rsidRPr="002715F2">
        <w:rPr>
          <w:rFonts w:eastAsia="Batang"/>
          <w:lang w:val="fr-FR"/>
        </w:rPr>
        <w:tab/>
      </w:r>
      <w:r w:rsidR="00D62B49" w:rsidRPr="002715F2">
        <w:rPr>
          <w:rFonts w:eastAsia="Batang"/>
          <w:lang w:val="fr-FR"/>
        </w:rPr>
        <w:t>Les victimes de torture étant considérées comme des victimes d</w:t>
      </w:r>
      <w:r w:rsidR="00460A28" w:rsidRPr="002715F2">
        <w:rPr>
          <w:rFonts w:eastAsia="Batang"/>
          <w:lang w:val="fr-FR"/>
        </w:rPr>
        <w:t>’actes criminels</w:t>
      </w:r>
      <w:r w:rsidR="000078DA" w:rsidRPr="002715F2">
        <w:rPr>
          <w:rFonts w:eastAsia="Batang"/>
          <w:lang w:val="fr-FR"/>
        </w:rPr>
        <w:t xml:space="preserve">, </w:t>
      </w:r>
      <w:r w:rsidR="00D62B49" w:rsidRPr="002715F2">
        <w:rPr>
          <w:rFonts w:eastAsia="Batang"/>
          <w:lang w:val="fr-FR"/>
        </w:rPr>
        <w:t>le</w:t>
      </w:r>
      <w:r w:rsidR="00673D8E" w:rsidRPr="002715F2">
        <w:rPr>
          <w:rFonts w:eastAsia="Batang"/>
          <w:lang w:val="fr-FR"/>
        </w:rPr>
        <w:t>s</w:t>
      </w:r>
      <w:r w:rsidR="00D62B49" w:rsidRPr="002715F2">
        <w:rPr>
          <w:rFonts w:eastAsia="Batang"/>
          <w:lang w:val="fr-FR"/>
        </w:rPr>
        <w:t xml:space="preserve"> Centre</w:t>
      </w:r>
      <w:r w:rsidR="00673D8E" w:rsidRPr="002715F2">
        <w:rPr>
          <w:rFonts w:eastAsia="Batang"/>
          <w:lang w:val="fr-FR"/>
        </w:rPr>
        <w:t>s</w:t>
      </w:r>
      <w:r w:rsidR="00D62B49" w:rsidRPr="002715F2">
        <w:rPr>
          <w:rFonts w:eastAsia="Batang"/>
          <w:lang w:val="fr-FR"/>
        </w:rPr>
        <w:t xml:space="preserve"> du sourire peu</w:t>
      </w:r>
      <w:r w:rsidR="00460A28" w:rsidRPr="002715F2">
        <w:rPr>
          <w:rFonts w:eastAsia="Batang"/>
          <w:lang w:val="fr-FR"/>
        </w:rPr>
        <w:t>ven</w:t>
      </w:r>
      <w:r w:rsidR="00D62B49" w:rsidRPr="002715F2">
        <w:rPr>
          <w:rFonts w:eastAsia="Batang"/>
          <w:lang w:val="fr-FR"/>
        </w:rPr>
        <w:t>t leur proposer un</w:t>
      </w:r>
      <w:r w:rsidR="00460A28" w:rsidRPr="002715F2">
        <w:rPr>
          <w:rFonts w:eastAsia="Batang"/>
          <w:lang w:val="fr-FR"/>
        </w:rPr>
        <w:t xml:space="preserve">e prise en charge </w:t>
      </w:r>
      <w:r w:rsidR="00460A28" w:rsidRPr="002715F2">
        <w:rPr>
          <w:rFonts w:ascii="TimesNewRomanPSMT" w:hAnsi="TimesNewRomanPSMT" w:cs="TimesNewRomanPSMT"/>
          <w:lang w:val="fr-FR" w:eastAsia="en-GB"/>
        </w:rPr>
        <w:t>psychologique</w:t>
      </w:r>
      <w:r w:rsidR="000078DA" w:rsidRPr="002715F2">
        <w:rPr>
          <w:rFonts w:eastAsia="Batang"/>
          <w:lang w:val="fr-FR"/>
        </w:rPr>
        <w:t xml:space="preserve">. </w:t>
      </w:r>
      <w:r w:rsidR="00460A28" w:rsidRPr="002715F2">
        <w:rPr>
          <w:rFonts w:eastAsia="Batang"/>
          <w:lang w:val="fr-FR"/>
        </w:rPr>
        <w:t>En 2015, huit </w:t>
      </w:r>
      <w:r w:rsidR="00D62B49" w:rsidRPr="002715F2">
        <w:rPr>
          <w:rFonts w:eastAsia="Batang"/>
          <w:lang w:val="fr-FR"/>
        </w:rPr>
        <w:t>Centres du sourire, mis en place par le Gouvernement, étaient en service (à Séoul, Busan, Gwang-ju, etc.)</w:t>
      </w:r>
      <w:r w:rsidR="00E97B1A" w:rsidRPr="002715F2">
        <w:rPr>
          <w:rFonts w:eastAsia="Batang"/>
          <w:lang w:val="fr-FR"/>
        </w:rPr>
        <w:t>;</w:t>
      </w:r>
      <w:r w:rsidR="00BF7E80" w:rsidRPr="002715F2">
        <w:rPr>
          <w:rFonts w:eastAsia="Batang"/>
          <w:lang w:val="fr-FR"/>
        </w:rPr>
        <w:t xml:space="preserve"> d</w:t>
      </w:r>
      <w:r w:rsidR="00D62B49" w:rsidRPr="002715F2">
        <w:rPr>
          <w:rFonts w:eastAsia="Batang"/>
          <w:lang w:val="fr-FR"/>
        </w:rPr>
        <w:t xml:space="preserve">es </w:t>
      </w:r>
      <w:r w:rsidR="00BF7E80" w:rsidRPr="002715F2">
        <w:rPr>
          <w:rFonts w:eastAsia="Batang"/>
          <w:lang w:val="fr-FR"/>
        </w:rPr>
        <w:t>spécialistes</w:t>
      </w:r>
      <w:r w:rsidR="00D62B49" w:rsidRPr="002715F2">
        <w:rPr>
          <w:rFonts w:eastAsia="Batang"/>
          <w:lang w:val="fr-FR"/>
        </w:rPr>
        <w:t xml:space="preserve"> qualifi</w:t>
      </w:r>
      <w:r w:rsidR="00BF7E80" w:rsidRPr="002715F2">
        <w:rPr>
          <w:rFonts w:eastAsia="Batang"/>
          <w:lang w:val="fr-FR"/>
        </w:rPr>
        <w:t>é</w:t>
      </w:r>
      <w:r w:rsidR="00D62B49" w:rsidRPr="002715F2">
        <w:rPr>
          <w:rFonts w:eastAsia="Batang"/>
          <w:lang w:val="fr-FR"/>
        </w:rPr>
        <w:t xml:space="preserve">s et </w:t>
      </w:r>
      <w:r w:rsidR="00BF7E80" w:rsidRPr="002715F2">
        <w:rPr>
          <w:rFonts w:eastAsia="Batang"/>
          <w:lang w:val="fr-FR"/>
        </w:rPr>
        <w:t>dotés d’une</w:t>
      </w:r>
      <w:r w:rsidR="00D62B49" w:rsidRPr="002715F2">
        <w:rPr>
          <w:rFonts w:eastAsia="Batang"/>
          <w:lang w:val="fr-FR"/>
        </w:rPr>
        <w:t xml:space="preserve"> vaste expérience </w:t>
      </w:r>
      <w:r w:rsidR="0039617D" w:rsidRPr="002715F2">
        <w:rPr>
          <w:rFonts w:eastAsia="Batang"/>
          <w:lang w:val="fr-FR"/>
        </w:rPr>
        <w:t>professionnelle</w:t>
      </w:r>
      <w:r w:rsidR="00BF7E80" w:rsidRPr="002715F2">
        <w:rPr>
          <w:rFonts w:eastAsia="Batang"/>
          <w:lang w:val="fr-FR"/>
        </w:rPr>
        <w:t xml:space="preserve"> apportent </w:t>
      </w:r>
      <w:r w:rsidR="00D62B49" w:rsidRPr="002715F2">
        <w:rPr>
          <w:rFonts w:eastAsia="Batang"/>
          <w:lang w:val="fr-FR"/>
        </w:rPr>
        <w:t xml:space="preserve">un soutien psychologique </w:t>
      </w:r>
      <w:r w:rsidR="00BF7E80" w:rsidRPr="002715F2">
        <w:rPr>
          <w:rFonts w:eastAsia="Batang"/>
          <w:lang w:val="fr-FR"/>
        </w:rPr>
        <w:t xml:space="preserve">aux </w:t>
      </w:r>
      <w:r w:rsidR="002D1B98" w:rsidRPr="002715F2">
        <w:rPr>
          <w:rFonts w:eastAsia="Batang"/>
          <w:lang w:val="fr-FR"/>
        </w:rPr>
        <w:t>personnes</w:t>
      </w:r>
      <w:r w:rsidR="00D62B49" w:rsidRPr="002715F2">
        <w:rPr>
          <w:rFonts w:eastAsia="Batang"/>
          <w:lang w:val="fr-FR"/>
        </w:rPr>
        <w:t xml:space="preserve"> qui séjournent temporairement dans </w:t>
      </w:r>
      <w:r w:rsidR="00BF7E80" w:rsidRPr="002715F2">
        <w:rPr>
          <w:rFonts w:eastAsia="Batang"/>
          <w:lang w:val="fr-FR"/>
        </w:rPr>
        <w:t>c</w:t>
      </w:r>
      <w:r w:rsidR="00D62B49" w:rsidRPr="002715F2">
        <w:rPr>
          <w:rFonts w:eastAsia="Batang"/>
          <w:lang w:val="fr-FR"/>
        </w:rPr>
        <w:t>es centres</w:t>
      </w:r>
      <w:r w:rsidR="000078DA" w:rsidRPr="002715F2">
        <w:rPr>
          <w:rFonts w:eastAsia="Batang"/>
          <w:lang w:val="fr-FR"/>
        </w:rPr>
        <w:t xml:space="preserve">. </w:t>
      </w:r>
      <w:r w:rsidR="002D1B98" w:rsidRPr="002715F2">
        <w:rPr>
          <w:rFonts w:eastAsia="Batang"/>
          <w:lang w:val="fr-FR"/>
        </w:rPr>
        <w:t>Ceux-ci</w:t>
      </w:r>
      <w:r w:rsidR="00BF7E80" w:rsidRPr="002715F2">
        <w:rPr>
          <w:rFonts w:eastAsia="Batang"/>
          <w:lang w:val="fr-FR"/>
        </w:rPr>
        <w:t xml:space="preserve"> peuvent également apporter des conseils juridiques et </w:t>
      </w:r>
      <w:r w:rsidR="00460A28" w:rsidRPr="002715F2">
        <w:rPr>
          <w:rFonts w:eastAsia="Batang"/>
          <w:lang w:val="fr-FR"/>
        </w:rPr>
        <w:t xml:space="preserve">aider </w:t>
      </w:r>
      <w:r w:rsidR="002D1B98" w:rsidRPr="002715F2">
        <w:rPr>
          <w:rFonts w:eastAsia="Batang"/>
          <w:lang w:val="fr-FR"/>
        </w:rPr>
        <w:t xml:space="preserve">les victimes </w:t>
      </w:r>
      <w:r w:rsidR="00460A28" w:rsidRPr="002715F2">
        <w:rPr>
          <w:rFonts w:eastAsia="Batang"/>
          <w:lang w:val="fr-FR"/>
        </w:rPr>
        <w:t>à</w:t>
      </w:r>
      <w:r w:rsidR="00BF7E80" w:rsidRPr="002715F2">
        <w:rPr>
          <w:rFonts w:eastAsia="Batang"/>
          <w:lang w:val="fr-FR"/>
        </w:rPr>
        <w:t xml:space="preserve"> </w:t>
      </w:r>
      <w:r w:rsidR="00460A28" w:rsidRPr="002715F2">
        <w:rPr>
          <w:rFonts w:eastAsia="Batang"/>
          <w:lang w:val="fr-FR"/>
        </w:rPr>
        <w:t xml:space="preserve">se </w:t>
      </w:r>
      <w:r w:rsidR="00BF7E80" w:rsidRPr="002715F2">
        <w:rPr>
          <w:rFonts w:eastAsia="Batang"/>
          <w:lang w:val="fr-FR"/>
        </w:rPr>
        <w:t xml:space="preserve">préparer </w:t>
      </w:r>
      <w:r w:rsidR="00460A28" w:rsidRPr="002715F2">
        <w:rPr>
          <w:rFonts w:eastAsia="Batang"/>
          <w:lang w:val="fr-FR"/>
        </w:rPr>
        <w:t xml:space="preserve">pour leur déposition </w:t>
      </w:r>
      <w:r w:rsidR="00BF7E80" w:rsidRPr="002715F2">
        <w:rPr>
          <w:rFonts w:eastAsia="Batang"/>
          <w:lang w:val="fr-FR"/>
        </w:rPr>
        <w:t>et</w:t>
      </w:r>
      <w:r w:rsidR="00460A28" w:rsidRPr="002715F2">
        <w:rPr>
          <w:rFonts w:eastAsia="Batang"/>
          <w:lang w:val="fr-FR"/>
        </w:rPr>
        <w:t xml:space="preserve"> à</w:t>
      </w:r>
      <w:r w:rsidR="00BF7E80" w:rsidRPr="002715F2">
        <w:rPr>
          <w:rFonts w:eastAsia="Batang"/>
          <w:lang w:val="fr-FR"/>
        </w:rPr>
        <w:t xml:space="preserve"> transmettre les avis des psychologues et les rapports psychiatriques aux autorités compétentes (voir</w:t>
      </w:r>
      <w:r w:rsidR="00460A28" w:rsidRPr="002715F2">
        <w:rPr>
          <w:rFonts w:eastAsia="Batang"/>
          <w:lang w:val="fr-FR"/>
        </w:rPr>
        <w:t xml:space="preserve"> le tableau </w:t>
      </w:r>
      <w:r w:rsidR="00BF7E80" w:rsidRPr="002715F2">
        <w:rPr>
          <w:rFonts w:eastAsia="Batang"/>
          <w:lang w:val="fr-FR"/>
        </w:rPr>
        <w:t>27)</w:t>
      </w:r>
      <w:r w:rsidR="000078DA" w:rsidRPr="002715F2">
        <w:rPr>
          <w:rFonts w:eastAsia="Batang"/>
          <w:lang w:val="fr-FR"/>
        </w:rPr>
        <w:t xml:space="preserve">. </w:t>
      </w:r>
      <w:r w:rsidR="00460A28" w:rsidRPr="002715F2">
        <w:rPr>
          <w:rFonts w:eastAsia="Batang"/>
          <w:lang w:val="fr-FR"/>
        </w:rPr>
        <w:t>Le tableau </w:t>
      </w:r>
      <w:r w:rsidR="002E120B" w:rsidRPr="002715F2">
        <w:rPr>
          <w:rFonts w:eastAsia="Batang"/>
          <w:lang w:val="fr-FR"/>
        </w:rPr>
        <w:t xml:space="preserve">27 présente les services </w:t>
      </w:r>
      <w:r w:rsidR="002D1B98" w:rsidRPr="002715F2">
        <w:rPr>
          <w:rFonts w:eastAsia="Batang"/>
          <w:lang w:val="fr-FR"/>
        </w:rPr>
        <w:t>que</w:t>
      </w:r>
      <w:r w:rsidR="005F1A61" w:rsidRPr="002715F2">
        <w:rPr>
          <w:rFonts w:eastAsia="Batang"/>
          <w:lang w:val="fr-FR"/>
        </w:rPr>
        <w:t xml:space="preserve"> </w:t>
      </w:r>
      <w:r w:rsidR="002E120B" w:rsidRPr="002715F2">
        <w:rPr>
          <w:rFonts w:eastAsia="Batang"/>
          <w:lang w:val="fr-FR"/>
        </w:rPr>
        <w:t xml:space="preserve">les </w:t>
      </w:r>
      <w:r w:rsidR="00460A28" w:rsidRPr="002715F2">
        <w:rPr>
          <w:rFonts w:eastAsia="Batang"/>
          <w:lang w:val="fr-FR"/>
        </w:rPr>
        <w:t>C</w:t>
      </w:r>
      <w:r w:rsidR="002E120B" w:rsidRPr="002715F2">
        <w:rPr>
          <w:rFonts w:eastAsia="Batang"/>
          <w:lang w:val="fr-FR"/>
        </w:rPr>
        <w:t xml:space="preserve">entres de sourire </w:t>
      </w:r>
      <w:r w:rsidR="002D1B98" w:rsidRPr="002715F2">
        <w:rPr>
          <w:rFonts w:eastAsia="Batang"/>
          <w:lang w:val="fr-FR"/>
        </w:rPr>
        <w:t xml:space="preserve">proposent </w:t>
      </w:r>
      <w:r w:rsidR="002E120B" w:rsidRPr="002715F2">
        <w:rPr>
          <w:rFonts w:eastAsia="Batang"/>
          <w:lang w:val="fr-FR"/>
        </w:rPr>
        <w:t xml:space="preserve">à toutes les victimes </w:t>
      </w:r>
      <w:r w:rsidR="002D1B98" w:rsidRPr="002715F2">
        <w:rPr>
          <w:rFonts w:eastAsia="Batang"/>
          <w:lang w:val="fr-FR"/>
        </w:rPr>
        <w:t>de crimes</w:t>
      </w:r>
      <w:r w:rsidR="000078DA" w:rsidRPr="002715F2">
        <w:rPr>
          <w:rFonts w:eastAsia="Batang"/>
          <w:lang w:val="fr-FR"/>
        </w:rPr>
        <w:t xml:space="preserve">. </w:t>
      </w:r>
      <w:r w:rsidR="002D1B98" w:rsidRPr="002715F2">
        <w:rPr>
          <w:rFonts w:eastAsia="Batang"/>
          <w:lang w:val="fr-FR"/>
        </w:rPr>
        <w:t>Par ailleurs</w:t>
      </w:r>
      <w:r w:rsidR="000078DA" w:rsidRPr="002715F2">
        <w:rPr>
          <w:rFonts w:eastAsia="Batang"/>
          <w:lang w:val="fr-FR"/>
        </w:rPr>
        <w:t xml:space="preserve">, </w:t>
      </w:r>
      <w:r w:rsidR="002E120B" w:rsidRPr="002715F2">
        <w:rPr>
          <w:rFonts w:eastAsia="Batang"/>
          <w:lang w:val="fr-FR"/>
        </w:rPr>
        <w:t xml:space="preserve">le </w:t>
      </w:r>
      <w:r w:rsidR="00673D8E" w:rsidRPr="002715F2">
        <w:rPr>
          <w:rFonts w:eastAsia="Batang"/>
          <w:lang w:val="fr-FR"/>
        </w:rPr>
        <w:t xml:space="preserve">Centre d’aide aux victimes d’actes criminels </w:t>
      </w:r>
      <w:r w:rsidR="002E120B" w:rsidRPr="002715F2">
        <w:rPr>
          <w:rFonts w:eastAsia="Batang"/>
          <w:lang w:val="fr-FR"/>
        </w:rPr>
        <w:t xml:space="preserve">peut leur </w:t>
      </w:r>
      <w:r w:rsidR="005F1A61" w:rsidRPr="002715F2">
        <w:rPr>
          <w:rFonts w:eastAsia="Batang"/>
          <w:lang w:val="fr-FR"/>
        </w:rPr>
        <w:t>apporter</w:t>
      </w:r>
      <w:r w:rsidR="002E120B" w:rsidRPr="002715F2">
        <w:rPr>
          <w:rFonts w:eastAsia="Batang"/>
          <w:lang w:val="fr-FR"/>
        </w:rPr>
        <w:t xml:space="preserve"> une aide</w:t>
      </w:r>
      <w:r w:rsidR="005F1A61" w:rsidRPr="002715F2">
        <w:rPr>
          <w:rFonts w:eastAsia="Batang"/>
          <w:lang w:val="fr-FR"/>
        </w:rPr>
        <w:t xml:space="preserve"> financière</w:t>
      </w:r>
      <w:r w:rsidR="002E120B" w:rsidRPr="002715F2">
        <w:rPr>
          <w:rFonts w:eastAsia="Batang"/>
          <w:lang w:val="fr-FR"/>
        </w:rPr>
        <w:t xml:space="preserve"> d’urgence et couvrir leurs frais </w:t>
      </w:r>
      <w:r w:rsidR="005F1A61" w:rsidRPr="002715F2">
        <w:rPr>
          <w:rFonts w:eastAsia="Batang"/>
          <w:lang w:val="fr-FR"/>
        </w:rPr>
        <w:t xml:space="preserve">de subsistance </w:t>
      </w:r>
      <w:r w:rsidR="002E120B" w:rsidRPr="002715F2">
        <w:rPr>
          <w:rFonts w:eastAsia="Batang"/>
          <w:lang w:val="fr-FR"/>
        </w:rPr>
        <w:t>et médicaux</w:t>
      </w:r>
      <w:r w:rsidR="000078DA" w:rsidRPr="002715F2">
        <w:rPr>
          <w:rFonts w:eastAsia="Batang"/>
          <w:lang w:val="fr-FR"/>
        </w:rPr>
        <w:t>.</w:t>
      </w:r>
      <w:r w:rsidR="005F1A61" w:rsidRPr="002715F2">
        <w:rPr>
          <w:rFonts w:eastAsia="Batang"/>
          <w:lang w:val="fr-FR"/>
        </w:rPr>
        <w:t xml:space="preserve"> </w:t>
      </w:r>
      <w:r w:rsidR="005F7489" w:rsidRPr="002715F2">
        <w:rPr>
          <w:rFonts w:eastAsia="Batang"/>
          <w:lang w:val="fr-FR"/>
        </w:rPr>
        <w:t>Enfin</w:t>
      </w:r>
      <w:r w:rsidR="005F1A61" w:rsidRPr="002715F2">
        <w:rPr>
          <w:rFonts w:eastAsia="Batang"/>
          <w:lang w:val="fr-FR"/>
        </w:rPr>
        <w:t xml:space="preserve">, le parquet suprême a </w:t>
      </w:r>
      <w:r w:rsidR="007D664D" w:rsidRPr="002715F2">
        <w:rPr>
          <w:rFonts w:eastAsia="Batang"/>
          <w:lang w:val="fr-FR"/>
        </w:rPr>
        <w:t>créé</w:t>
      </w:r>
      <w:r w:rsidR="0023355D" w:rsidRPr="002715F2">
        <w:rPr>
          <w:rFonts w:eastAsia="Batang"/>
          <w:lang w:val="fr-FR"/>
        </w:rPr>
        <w:t xml:space="preserve"> un</w:t>
      </w:r>
      <w:r w:rsidR="005F1A61" w:rsidRPr="002715F2">
        <w:rPr>
          <w:rFonts w:eastAsia="Batang"/>
          <w:lang w:val="fr-FR"/>
        </w:rPr>
        <w:t xml:space="preserve"> </w:t>
      </w:r>
      <w:r w:rsidR="0023355D" w:rsidRPr="002715F2">
        <w:rPr>
          <w:rFonts w:eastAsia="Batang"/>
          <w:lang w:val="fr-FR"/>
        </w:rPr>
        <w:t>département</w:t>
      </w:r>
      <w:r w:rsidR="005F1A61" w:rsidRPr="002715F2">
        <w:rPr>
          <w:rFonts w:eastAsia="Batang"/>
          <w:lang w:val="fr-FR"/>
        </w:rPr>
        <w:t xml:space="preserve"> des droits des victimes d</w:t>
      </w:r>
      <w:r w:rsidR="002D1B98" w:rsidRPr="002715F2">
        <w:rPr>
          <w:rFonts w:eastAsia="Batang"/>
          <w:lang w:val="fr-FR"/>
        </w:rPr>
        <w:t>’actes criminels</w:t>
      </w:r>
      <w:r w:rsidR="005F1A61" w:rsidRPr="002715F2">
        <w:rPr>
          <w:rFonts w:eastAsia="Batang"/>
          <w:lang w:val="fr-FR"/>
        </w:rPr>
        <w:t>, le 1</w:t>
      </w:r>
      <w:r w:rsidR="005F1A61" w:rsidRPr="002715F2">
        <w:rPr>
          <w:rFonts w:eastAsia="Batang"/>
          <w:vertAlign w:val="superscript"/>
          <w:lang w:val="fr-FR"/>
        </w:rPr>
        <w:t>er</w:t>
      </w:r>
      <w:r w:rsidR="00460A28" w:rsidRPr="002715F2">
        <w:rPr>
          <w:rFonts w:eastAsia="Batang"/>
          <w:lang w:val="fr-FR"/>
        </w:rPr>
        <w:t> </w:t>
      </w:r>
      <w:r w:rsidR="005F1A61" w:rsidRPr="002715F2">
        <w:rPr>
          <w:rFonts w:eastAsia="Batang"/>
          <w:lang w:val="fr-FR"/>
        </w:rPr>
        <w:t xml:space="preserve">janvier 2008, et déploie des efforts constants pour protéger </w:t>
      </w:r>
      <w:r w:rsidR="00460A28" w:rsidRPr="002715F2">
        <w:rPr>
          <w:rFonts w:eastAsia="Batang"/>
          <w:lang w:val="fr-FR"/>
        </w:rPr>
        <w:t>c</w:t>
      </w:r>
      <w:r w:rsidR="005F1A61" w:rsidRPr="002715F2">
        <w:rPr>
          <w:rFonts w:eastAsia="Batang"/>
          <w:lang w:val="fr-FR"/>
        </w:rPr>
        <w:t>es victimes</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149.</w:t>
      </w:r>
      <w:r w:rsidRPr="002715F2">
        <w:rPr>
          <w:rFonts w:eastAsia="Batang"/>
          <w:lang w:val="fr-FR"/>
        </w:rPr>
        <w:tab/>
      </w:r>
      <w:r w:rsidR="002D1B98" w:rsidRPr="002715F2">
        <w:rPr>
          <w:rFonts w:eastAsia="Batang"/>
          <w:lang w:val="fr-FR"/>
        </w:rPr>
        <w:t>En mars </w:t>
      </w:r>
      <w:r w:rsidR="005F1A61" w:rsidRPr="002715F2">
        <w:rPr>
          <w:rFonts w:eastAsia="Batang"/>
          <w:lang w:val="fr-FR"/>
        </w:rPr>
        <w:t>2008, le Gouvernement a mis en place le Programme de traitement des troubles post</w:t>
      </w:r>
      <w:r w:rsidR="007D664D" w:rsidRPr="002715F2">
        <w:rPr>
          <w:rFonts w:eastAsia="Batang"/>
          <w:lang w:val="fr-FR"/>
        </w:rPr>
        <w:t>-traumatiques à l’intention des forces armées</w:t>
      </w:r>
      <w:r w:rsidR="000078DA" w:rsidRPr="002715F2">
        <w:rPr>
          <w:rFonts w:eastAsia="Batang"/>
          <w:lang w:val="fr-FR"/>
        </w:rPr>
        <w:t xml:space="preserve">. </w:t>
      </w:r>
      <w:r w:rsidR="007A6D8C" w:rsidRPr="002715F2">
        <w:rPr>
          <w:rFonts w:eastAsia="Batang"/>
          <w:lang w:val="fr-FR"/>
        </w:rPr>
        <w:t>C</w:t>
      </w:r>
      <w:r w:rsidR="007D664D" w:rsidRPr="002715F2">
        <w:rPr>
          <w:rFonts w:eastAsia="Batang"/>
          <w:lang w:val="fr-FR"/>
        </w:rPr>
        <w:t xml:space="preserve">e programme </w:t>
      </w:r>
      <w:r w:rsidR="005F7489" w:rsidRPr="002715F2">
        <w:rPr>
          <w:rFonts w:eastAsia="Batang"/>
          <w:lang w:val="fr-FR"/>
        </w:rPr>
        <w:t>vise à</w:t>
      </w:r>
      <w:r w:rsidR="007D664D" w:rsidRPr="002715F2">
        <w:rPr>
          <w:rFonts w:eastAsia="Batang"/>
          <w:lang w:val="fr-FR"/>
        </w:rPr>
        <w:t xml:space="preserve"> fournir un diagnostic précoce et une réponse rapide </w:t>
      </w:r>
      <w:r w:rsidR="005F7489" w:rsidRPr="002715F2">
        <w:rPr>
          <w:rFonts w:eastAsia="Batang"/>
          <w:lang w:val="fr-FR"/>
        </w:rPr>
        <w:t>pour</w:t>
      </w:r>
      <w:r w:rsidR="007D664D" w:rsidRPr="002715F2">
        <w:rPr>
          <w:rFonts w:eastAsia="Batang"/>
          <w:lang w:val="fr-FR"/>
        </w:rPr>
        <w:t xml:space="preserve"> ce type de trouble</w:t>
      </w:r>
      <w:r w:rsidR="007A6D8C" w:rsidRPr="002715F2">
        <w:rPr>
          <w:rFonts w:eastAsia="Batang"/>
          <w:lang w:val="fr-FR"/>
        </w:rPr>
        <w:t>s</w:t>
      </w:r>
      <w:r w:rsidR="007D664D" w:rsidRPr="002715F2">
        <w:rPr>
          <w:rFonts w:eastAsia="Batang"/>
          <w:lang w:val="fr-FR"/>
        </w:rPr>
        <w:t xml:space="preserve">, et </w:t>
      </w:r>
      <w:r w:rsidR="005F7489" w:rsidRPr="002715F2">
        <w:rPr>
          <w:rFonts w:eastAsia="Batang"/>
          <w:lang w:val="fr-FR"/>
        </w:rPr>
        <w:t>à</w:t>
      </w:r>
      <w:r w:rsidR="007D664D" w:rsidRPr="002715F2">
        <w:rPr>
          <w:rFonts w:eastAsia="Batang"/>
          <w:lang w:val="fr-FR"/>
        </w:rPr>
        <w:t xml:space="preserve"> </w:t>
      </w:r>
      <w:r w:rsidR="004B2650" w:rsidRPr="002715F2">
        <w:rPr>
          <w:rFonts w:eastAsia="Batang"/>
          <w:lang w:val="fr-FR"/>
        </w:rPr>
        <w:t>éduquer</w:t>
      </w:r>
      <w:r w:rsidR="007D664D" w:rsidRPr="002715F2">
        <w:rPr>
          <w:rFonts w:eastAsia="Batang"/>
          <w:lang w:val="fr-FR"/>
        </w:rPr>
        <w:t xml:space="preserve"> les mil</w:t>
      </w:r>
      <w:r w:rsidR="004B2650" w:rsidRPr="002715F2">
        <w:rPr>
          <w:rFonts w:eastAsia="Batang"/>
          <w:lang w:val="fr-FR"/>
        </w:rPr>
        <w:t>itaires, les commandants et le</w:t>
      </w:r>
      <w:r w:rsidR="007D664D" w:rsidRPr="002715F2">
        <w:rPr>
          <w:rFonts w:eastAsia="Batang"/>
          <w:lang w:val="fr-FR"/>
        </w:rPr>
        <w:t xml:space="preserve"> personnel médical </w:t>
      </w:r>
      <w:r w:rsidR="004B2650" w:rsidRPr="002715F2">
        <w:rPr>
          <w:rFonts w:eastAsia="Batang"/>
          <w:lang w:val="fr-FR"/>
        </w:rPr>
        <w:t>en matière</w:t>
      </w:r>
      <w:r w:rsidR="007D664D" w:rsidRPr="002715F2">
        <w:rPr>
          <w:rFonts w:eastAsia="Batang"/>
          <w:lang w:val="fr-FR"/>
        </w:rPr>
        <w:t xml:space="preserve"> de santé mentale</w:t>
      </w:r>
      <w:r w:rsidR="000078DA" w:rsidRPr="002715F2">
        <w:rPr>
          <w:rFonts w:eastAsia="Batang"/>
          <w:lang w:val="fr-FR"/>
        </w:rPr>
        <w:t xml:space="preserve">. </w:t>
      </w:r>
      <w:r w:rsidR="007D664D" w:rsidRPr="002715F2">
        <w:rPr>
          <w:rFonts w:eastAsia="Batang"/>
          <w:lang w:val="fr-FR"/>
        </w:rPr>
        <w:t>Ce programme comprend un index d’évaluation des troubles post-traumatiques</w:t>
      </w:r>
      <w:r w:rsidR="007A6D8C" w:rsidRPr="002715F2">
        <w:rPr>
          <w:rFonts w:eastAsia="Batang"/>
          <w:lang w:val="fr-FR"/>
        </w:rPr>
        <w:t>, ainsi qu’</w:t>
      </w:r>
      <w:r w:rsidR="007D664D" w:rsidRPr="002715F2">
        <w:rPr>
          <w:rFonts w:eastAsia="Batang"/>
          <w:lang w:val="fr-FR"/>
        </w:rPr>
        <w:t xml:space="preserve">un manuel sur </w:t>
      </w:r>
      <w:r w:rsidR="007A6D8C" w:rsidRPr="002715F2">
        <w:rPr>
          <w:rFonts w:eastAsia="Batang"/>
          <w:lang w:val="fr-FR"/>
        </w:rPr>
        <w:t>leur prise en charge</w:t>
      </w:r>
      <w:r w:rsidR="007D664D" w:rsidRPr="002715F2">
        <w:rPr>
          <w:rFonts w:eastAsia="Batang"/>
          <w:lang w:val="fr-FR"/>
        </w:rPr>
        <w:t xml:space="preserve"> psychiatrique </w:t>
      </w:r>
      <w:r w:rsidR="007A6D8C" w:rsidRPr="002715F2">
        <w:rPr>
          <w:rFonts w:eastAsia="Batang"/>
          <w:lang w:val="fr-FR"/>
        </w:rPr>
        <w:t xml:space="preserve">intensive et </w:t>
      </w:r>
      <w:r w:rsidR="007D664D" w:rsidRPr="002715F2">
        <w:rPr>
          <w:rFonts w:eastAsia="Batang"/>
          <w:lang w:val="fr-FR"/>
        </w:rPr>
        <w:t>à court terme</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150.</w:t>
      </w:r>
      <w:r w:rsidRPr="002715F2">
        <w:rPr>
          <w:rFonts w:eastAsia="Batang"/>
          <w:lang w:val="fr-FR"/>
        </w:rPr>
        <w:tab/>
      </w:r>
      <w:r w:rsidR="007022EF" w:rsidRPr="002715F2">
        <w:rPr>
          <w:rFonts w:eastAsia="Batang"/>
          <w:lang w:val="fr-FR"/>
        </w:rPr>
        <w:t>Le Guide de prise en charge des patients souffrant de troubles post-trauma</w:t>
      </w:r>
      <w:r w:rsidR="004B2650" w:rsidRPr="002715F2">
        <w:rPr>
          <w:rFonts w:eastAsia="Batang"/>
          <w:lang w:val="fr-FR"/>
        </w:rPr>
        <w:t xml:space="preserve">tiques a été élaboré en </w:t>
      </w:r>
      <w:r w:rsidR="002E57D4" w:rsidRPr="002715F2">
        <w:rPr>
          <w:rFonts w:eastAsia="Batang"/>
          <w:lang w:val="fr-FR"/>
        </w:rPr>
        <w:t xml:space="preserve">octobre </w:t>
      </w:r>
      <w:r w:rsidR="007022EF" w:rsidRPr="002715F2">
        <w:rPr>
          <w:rFonts w:eastAsia="Batang"/>
          <w:lang w:val="fr-FR"/>
        </w:rPr>
        <w:t>2010</w:t>
      </w:r>
      <w:r w:rsidR="000078DA" w:rsidRPr="002715F2">
        <w:rPr>
          <w:rFonts w:eastAsia="Batang"/>
          <w:lang w:val="fr-FR"/>
        </w:rPr>
        <w:t xml:space="preserve">. </w:t>
      </w:r>
      <w:r w:rsidR="00F466E9" w:rsidRPr="002715F2">
        <w:rPr>
          <w:rFonts w:eastAsia="Batang"/>
          <w:lang w:val="fr-FR"/>
        </w:rPr>
        <w:t xml:space="preserve">Ce </w:t>
      </w:r>
      <w:r w:rsidR="002E57D4" w:rsidRPr="002715F2">
        <w:rPr>
          <w:rFonts w:eastAsia="Batang"/>
          <w:lang w:val="fr-FR"/>
        </w:rPr>
        <w:t xml:space="preserve">guide </w:t>
      </w:r>
      <w:r w:rsidR="007022EF" w:rsidRPr="002715F2">
        <w:rPr>
          <w:rFonts w:eastAsia="Batang"/>
          <w:lang w:val="fr-FR"/>
        </w:rPr>
        <w:t>explique comment mettre sur pied une équipe médicale</w:t>
      </w:r>
      <w:r w:rsidR="000078DA" w:rsidRPr="002715F2">
        <w:rPr>
          <w:rFonts w:eastAsia="Batang"/>
          <w:lang w:val="fr-FR"/>
        </w:rPr>
        <w:t xml:space="preserve"> </w:t>
      </w:r>
      <w:r w:rsidR="007022EF" w:rsidRPr="002715F2">
        <w:rPr>
          <w:rFonts w:eastAsia="Batang"/>
          <w:lang w:val="fr-FR"/>
        </w:rPr>
        <w:t>dédiée quand des patients</w:t>
      </w:r>
      <w:r w:rsidR="000078DA" w:rsidRPr="002715F2">
        <w:rPr>
          <w:rFonts w:eastAsia="Batang"/>
          <w:lang w:val="fr-FR"/>
        </w:rPr>
        <w:t xml:space="preserve"> </w:t>
      </w:r>
      <w:r w:rsidR="007022EF" w:rsidRPr="002715F2">
        <w:rPr>
          <w:rFonts w:eastAsia="Batang"/>
          <w:lang w:val="fr-FR"/>
        </w:rPr>
        <w:t xml:space="preserve">de ce type sont attendus, </w:t>
      </w:r>
      <w:r w:rsidR="007A6D8C" w:rsidRPr="002715F2">
        <w:rPr>
          <w:rFonts w:eastAsia="Batang"/>
          <w:lang w:val="fr-FR"/>
        </w:rPr>
        <w:t xml:space="preserve">et </w:t>
      </w:r>
      <w:r w:rsidR="007022EF" w:rsidRPr="002715F2">
        <w:rPr>
          <w:rFonts w:eastAsia="Batang"/>
          <w:lang w:val="fr-FR"/>
        </w:rPr>
        <w:t xml:space="preserve">comment planifier et mettre en œuvre un programme de prévention de ces troubles au sein de chaque </w:t>
      </w:r>
      <w:r w:rsidR="0039617D" w:rsidRPr="002715F2">
        <w:rPr>
          <w:rFonts w:eastAsia="Batang"/>
          <w:lang w:val="fr-FR"/>
        </w:rPr>
        <w:t>unité</w:t>
      </w:r>
      <w:r w:rsidR="007A6D8C" w:rsidRPr="002715F2">
        <w:rPr>
          <w:rFonts w:eastAsia="Batang"/>
          <w:lang w:val="fr-FR"/>
        </w:rPr>
        <w:t xml:space="preserve">. </w:t>
      </w:r>
      <w:r w:rsidR="00F466E9" w:rsidRPr="002715F2">
        <w:rPr>
          <w:rFonts w:eastAsia="Batang"/>
          <w:lang w:val="fr-FR"/>
        </w:rPr>
        <w:t>Il</w:t>
      </w:r>
      <w:r w:rsidR="007A6D8C" w:rsidRPr="002715F2">
        <w:rPr>
          <w:rFonts w:eastAsia="Batang"/>
          <w:lang w:val="fr-FR"/>
        </w:rPr>
        <w:t xml:space="preserve"> informe</w:t>
      </w:r>
      <w:r w:rsidR="007022EF" w:rsidRPr="002715F2">
        <w:rPr>
          <w:rFonts w:eastAsia="Batang"/>
          <w:lang w:val="fr-FR"/>
        </w:rPr>
        <w:t xml:space="preserve"> </w:t>
      </w:r>
      <w:r w:rsidR="007A6D8C" w:rsidRPr="002715F2">
        <w:rPr>
          <w:rFonts w:eastAsia="Batang"/>
          <w:lang w:val="fr-FR"/>
        </w:rPr>
        <w:t>également</w:t>
      </w:r>
      <w:r w:rsidR="007022EF" w:rsidRPr="002715F2">
        <w:rPr>
          <w:rFonts w:eastAsia="Batang"/>
          <w:lang w:val="fr-FR"/>
        </w:rPr>
        <w:t xml:space="preserve"> </w:t>
      </w:r>
      <w:r w:rsidR="007A6D8C" w:rsidRPr="002715F2">
        <w:rPr>
          <w:rFonts w:eastAsia="Batang"/>
          <w:lang w:val="fr-FR"/>
        </w:rPr>
        <w:t xml:space="preserve">les commandants, le personnel des ressources humaines, les </w:t>
      </w:r>
      <w:r w:rsidR="00F466E9" w:rsidRPr="002715F2">
        <w:rPr>
          <w:rFonts w:eastAsia="Batang"/>
          <w:lang w:val="fr-FR"/>
        </w:rPr>
        <w:t xml:space="preserve">médecins, les </w:t>
      </w:r>
      <w:r w:rsidR="007A6D8C" w:rsidRPr="002715F2">
        <w:rPr>
          <w:rFonts w:eastAsia="Batang"/>
          <w:lang w:val="fr-FR"/>
        </w:rPr>
        <w:t>policiers</w:t>
      </w:r>
      <w:r w:rsidR="00F466E9" w:rsidRPr="002715F2">
        <w:rPr>
          <w:rFonts w:eastAsia="Batang"/>
          <w:lang w:val="fr-FR"/>
        </w:rPr>
        <w:t xml:space="preserve"> et </w:t>
      </w:r>
      <w:r w:rsidR="0039617D" w:rsidRPr="002715F2">
        <w:rPr>
          <w:rFonts w:eastAsia="Batang"/>
          <w:lang w:val="fr-FR"/>
        </w:rPr>
        <w:t>les infirmières</w:t>
      </w:r>
      <w:r w:rsidR="007A6D8C" w:rsidRPr="002715F2">
        <w:rPr>
          <w:rFonts w:eastAsia="Batang"/>
          <w:lang w:val="fr-FR"/>
        </w:rPr>
        <w:t xml:space="preserve"> de chaque unité sur </w:t>
      </w:r>
      <w:r w:rsidR="007022EF" w:rsidRPr="002715F2">
        <w:rPr>
          <w:rFonts w:eastAsia="Batang"/>
          <w:lang w:val="fr-FR"/>
        </w:rPr>
        <w:t>la gestion de ces troubles</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151.</w:t>
      </w:r>
      <w:r w:rsidRPr="002715F2">
        <w:rPr>
          <w:rFonts w:eastAsia="Batang"/>
          <w:lang w:val="fr-FR"/>
        </w:rPr>
        <w:tab/>
      </w:r>
      <w:r w:rsidR="00F466E9" w:rsidRPr="002715F2">
        <w:rPr>
          <w:rFonts w:eastAsia="Batang"/>
          <w:lang w:val="fr-FR"/>
        </w:rPr>
        <w:t>L’</w:t>
      </w:r>
      <w:r w:rsidR="00923202" w:rsidRPr="002715F2">
        <w:rPr>
          <w:rFonts w:eastAsia="Batang"/>
          <w:lang w:val="fr-FR"/>
        </w:rPr>
        <w:t>h</w:t>
      </w:r>
      <w:r w:rsidR="00F466E9" w:rsidRPr="002715F2">
        <w:rPr>
          <w:rFonts w:eastAsia="Batang"/>
          <w:lang w:val="fr-FR"/>
        </w:rPr>
        <w:t xml:space="preserve">ôpital </w:t>
      </w:r>
      <w:r w:rsidR="00923202" w:rsidRPr="002715F2">
        <w:rPr>
          <w:rFonts w:eastAsia="Batang"/>
          <w:lang w:val="fr-FR"/>
        </w:rPr>
        <w:t>militaire de la capitale</w:t>
      </w:r>
      <w:r w:rsidR="00F466E9" w:rsidRPr="002715F2">
        <w:rPr>
          <w:rFonts w:eastAsia="Batang"/>
          <w:lang w:val="fr-FR"/>
        </w:rPr>
        <w:t xml:space="preserve"> a ouvert un </w:t>
      </w:r>
      <w:r w:rsidR="00923202" w:rsidRPr="002715F2">
        <w:rPr>
          <w:rFonts w:eastAsia="Batang"/>
          <w:lang w:val="fr-FR"/>
        </w:rPr>
        <w:t>C</w:t>
      </w:r>
      <w:r w:rsidR="00F466E9" w:rsidRPr="002715F2">
        <w:rPr>
          <w:rFonts w:eastAsia="Batang"/>
          <w:lang w:val="fr-FR"/>
        </w:rPr>
        <w:t xml:space="preserve">entre de promotion de la santé mentale en </w:t>
      </w:r>
      <w:r w:rsidR="002E57D4" w:rsidRPr="002715F2">
        <w:rPr>
          <w:rFonts w:eastAsia="Batang"/>
          <w:lang w:val="fr-FR"/>
        </w:rPr>
        <w:t xml:space="preserve">mai </w:t>
      </w:r>
      <w:r w:rsidR="00F466E9" w:rsidRPr="002715F2">
        <w:rPr>
          <w:rFonts w:eastAsia="Batang"/>
          <w:lang w:val="fr-FR"/>
        </w:rPr>
        <w:t>2011</w:t>
      </w:r>
      <w:r w:rsidR="000078DA" w:rsidRPr="002715F2">
        <w:rPr>
          <w:rFonts w:eastAsia="Batang"/>
          <w:lang w:val="fr-FR"/>
        </w:rPr>
        <w:t xml:space="preserve">. </w:t>
      </w:r>
      <w:r w:rsidR="00923202" w:rsidRPr="002715F2">
        <w:rPr>
          <w:rFonts w:eastAsia="Batang"/>
          <w:lang w:val="fr-FR"/>
        </w:rPr>
        <w:t>Sa mission couvre le traitement, l’éducation et la recherche sur les maladies mentales au sein des forces armées, et consiste également à développer un mécanisme permettant de répondre efficace</w:t>
      </w:r>
      <w:r w:rsidR="003B0D87" w:rsidRPr="002715F2">
        <w:rPr>
          <w:rFonts w:eastAsia="Batang"/>
          <w:lang w:val="fr-FR"/>
        </w:rPr>
        <w:t>ment</w:t>
      </w:r>
      <w:r w:rsidR="00923202" w:rsidRPr="002715F2">
        <w:rPr>
          <w:rFonts w:eastAsia="Batang"/>
          <w:lang w:val="fr-FR"/>
        </w:rPr>
        <w:t xml:space="preserve"> aux troubles post-traumatiques</w:t>
      </w:r>
      <w:r w:rsidR="000078DA" w:rsidRPr="002715F2">
        <w:rPr>
          <w:rFonts w:eastAsia="Batang"/>
          <w:lang w:val="fr-FR"/>
        </w:rPr>
        <w:t xml:space="preserve">. </w:t>
      </w:r>
      <w:r w:rsidR="00923202" w:rsidRPr="002715F2">
        <w:rPr>
          <w:rFonts w:eastAsia="Batang"/>
          <w:lang w:val="fr-FR"/>
        </w:rPr>
        <w:t>Pour plus de renseignements, on se reportera au p</w:t>
      </w:r>
      <w:r w:rsidR="000078DA" w:rsidRPr="002715F2">
        <w:rPr>
          <w:rFonts w:eastAsia="Batang"/>
          <w:lang w:val="fr-FR"/>
        </w:rPr>
        <w:t>aragraph</w:t>
      </w:r>
      <w:r w:rsidR="00923202" w:rsidRPr="002715F2">
        <w:rPr>
          <w:rFonts w:eastAsia="Batang"/>
          <w:lang w:val="fr-FR"/>
        </w:rPr>
        <w:t>e</w:t>
      </w:r>
      <w:r w:rsidR="004B2650" w:rsidRPr="002715F2">
        <w:rPr>
          <w:rFonts w:eastAsia="Batang"/>
          <w:lang w:val="fr-FR"/>
        </w:rPr>
        <w:t> </w:t>
      </w:r>
      <w:r w:rsidR="000078DA" w:rsidRPr="002715F2">
        <w:rPr>
          <w:rFonts w:eastAsia="Batang"/>
          <w:lang w:val="fr-FR"/>
        </w:rPr>
        <w:t>177</w:t>
      </w:r>
      <w:r w:rsidR="00923202" w:rsidRPr="002715F2">
        <w:rPr>
          <w:rFonts w:eastAsia="Batang"/>
          <w:lang w:val="fr-FR"/>
        </w:rPr>
        <w:t xml:space="preserve"> du </w:t>
      </w:r>
      <w:r w:rsidR="0039617D" w:rsidRPr="002715F2">
        <w:rPr>
          <w:rFonts w:eastAsia="Batang"/>
          <w:lang w:val="fr-FR"/>
        </w:rPr>
        <w:t>présent</w:t>
      </w:r>
      <w:r w:rsidR="00923202" w:rsidRPr="002715F2">
        <w:rPr>
          <w:rFonts w:eastAsia="Batang"/>
          <w:lang w:val="fr-FR"/>
        </w:rPr>
        <w:t xml:space="preserve"> </w:t>
      </w:r>
      <w:r w:rsidR="0039617D" w:rsidRPr="002715F2">
        <w:rPr>
          <w:rFonts w:eastAsia="Batang"/>
          <w:lang w:val="fr-FR"/>
        </w:rPr>
        <w:t>rapport.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3B0D87" w:rsidRPr="002715F2">
        <w:rPr>
          <w:rFonts w:eastAsia="Batang"/>
          <w:lang w:val="fr-FR" w:eastAsia="ko-KR"/>
        </w:rPr>
        <w:t xml:space="preserve">Réponse aux questions soulevées au </w:t>
      </w:r>
      <w:r w:rsidR="002E57D4" w:rsidRPr="002715F2">
        <w:rPr>
          <w:rFonts w:eastAsia="Batang"/>
          <w:lang w:val="fr-FR" w:eastAsia="ko-KR"/>
        </w:rPr>
        <w:t xml:space="preserve">paragraphe </w:t>
      </w:r>
      <w:r w:rsidR="003B0D87" w:rsidRPr="002715F2">
        <w:rPr>
          <w:rFonts w:eastAsia="Batang"/>
          <w:lang w:val="fr-FR" w:eastAsia="ko-KR"/>
        </w:rPr>
        <w:t>28</w:t>
      </w:r>
    </w:p>
    <w:p w:rsidR="000078DA" w:rsidRPr="002715F2" w:rsidRDefault="007026FB" w:rsidP="007026FB">
      <w:pPr>
        <w:pStyle w:val="SingleTxtG"/>
        <w:rPr>
          <w:rFonts w:eastAsia="Batang"/>
          <w:lang w:val="fr-FR"/>
        </w:rPr>
      </w:pPr>
      <w:r w:rsidRPr="002715F2">
        <w:rPr>
          <w:rFonts w:eastAsia="Batang"/>
          <w:lang w:val="fr-FR"/>
        </w:rPr>
        <w:t>152.</w:t>
      </w:r>
      <w:r w:rsidRPr="002715F2">
        <w:rPr>
          <w:rFonts w:eastAsia="Batang"/>
          <w:lang w:val="fr-FR"/>
        </w:rPr>
        <w:tab/>
      </w:r>
      <w:r w:rsidR="003B0D87" w:rsidRPr="002715F2">
        <w:rPr>
          <w:rFonts w:eastAsia="Batang"/>
          <w:lang w:val="fr-FR"/>
        </w:rPr>
        <w:t xml:space="preserve">Du </w:t>
      </w:r>
      <w:r w:rsidR="004B2650" w:rsidRPr="002715F2">
        <w:rPr>
          <w:rFonts w:eastAsia="Batang"/>
          <w:lang w:val="fr-FR"/>
        </w:rPr>
        <w:t>fait qu’il s’agit de victimes d’actes criminels</w:t>
      </w:r>
      <w:r w:rsidR="003B0D87" w:rsidRPr="002715F2">
        <w:rPr>
          <w:rFonts w:eastAsia="Batang"/>
          <w:lang w:val="fr-FR"/>
        </w:rPr>
        <w:t>, les victimes de la traite des êtres humains peuvent également recevoir une aide financière du Centre d</w:t>
      </w:r>
      <w:r w:rsidR="004B2650" w:rsidRPr="002715F2">
        <w:rPr>
          <w:rFonts w:eastAsia="Batang"/>
          <w:lang w:val="fr-FR"/>
        </w:rPr>
        <w:t>’aide</w:t>
      </w:r>
      <w:r w:rsidR="003B0D87" w:rsidRPr="002715F2">
        <w:rPr>
          <w:rFonts w:eastAsia="Batang"/>
          <w:lang w:val="fr-FR"/>
        </w:rPr>
        <w:t xml:space="preserve"> aux victimes, notamment pour leur frais de </w:t>
      </w:r>
      <w:r w:rsidR="0039617D" w:rsidRPr="002715F2">
        <w:rPr>
          <w:rFonts w:eastAsia="Batang"/>
          <w:lang w:val="fr-FR"/>
        </w:rPr>
        <w:t>subsistance</w:t>
      </w:r>
      <w:r w:rsidR="003B41D7" w:rsidRPr="002715F2">
        <w:rPr>
          <w:rFonts w:eastAsia="Batang"/>
          <w:lang w:val="fr-FR"/>
        </w:rPr>
        <w:t xml:space="preserve"> et de santé</w:t>
      </w:r>
      <w:r w:rsidR="000078DA" w:rsidRPr="002715F2">
        <w:rPr>
          <w:rFonts w:eastAsia="Batang"/>
          <w:lang w:val="fr-FR"/>
        </w:rPr>
        <w:t xml:space="preserve">. </w:t>
      </w:r>
      <w:r w:rsidR="003B0D87" w:rsidRPr="002715F2">
        <w:rPr>
          <w:rFonts w:eastAsia="Batang"/>
          <w:lang w:val="fr-FR"/>
        </w:rPr>
        <w:t xml:space="preserve">Si nécessaire, elles peuvent en outre </w:t>
      </w:r>
      <w:r w:rsidR="004B2650" w:rsidRPr="002715F2">
        <w:rPr>
          <w:rFonts w:eastAsia="Batang"/>
          <w:lang w:val="fr-FR"/>
        </w:rPr>
        <w:t xml:space="preserve">être accueillies dans les Centres du sourire pour y </w:t>
      </w:r>
      <w:r w:rsidR="003B0D87" w:rsidRPr="002715F2">
        <w:rPr>
          <w:rFonts w:eastAsia="Batang"/>
          <w:lang w:val="fr-FR"/>
        </w:rPr>
        <w:t>bénéficier d’une prise en charge psychologique</w:t>
      </w:r>
      <w:r w:rsidR="000078DA" w:rsidRPr="002715F2">
        <w:rPr>
          <w:rFonts w:eastAsia="Batang"/>
          <w:lang w:val="fr-FR"/>
        </w:rPr>
        <w:t xml:space="preserve">. </w:t>
      </w:r>
      <w:r w:rsidR="003B41D7" w:rsidRPr="002715F2">
        <w:rPr>
          <w:rFonts w:eastAsia="Batang"/>
          <w:lang w:val="fr-FR"/>
        </w:rPr>
        <w:t xml:space="preserve">Elles ont également le droit </w:t>
      </w:r>
      <w:r w:rsidR="003860DB" w:rsidRPr="002715F2">
        <w:rPr>
          <w:rFonts w:eastAsia="Batang"/>
          <w:lang w:val="fr-FR"/>
        </w:rPr>
        <w:t>de demander un</w:t>
      </w:r>
      <w:r w:rsidR="003B41D7" w:rsidRPr="002715F2">
        <w:rPr>
          <w:rFonts w:eastAsia="Batang"/>
          <w:lang w:val="fr-FR"/>
        </w:rPr>
        <w:t xml:space="preserve"> </w:t>
      </w:r>
      <w:r w:rsidR="00974AEC" w:rsidRPr="002715F2">
        <w:rPr>
          <w:lang w:val="fr-FR"/>
        </w:rPr>
        <w:t>dédommagement pécuniaire</w:t>
      </w:r>
      <w:r w:rsidR="00974AEC" w:rsidRPr="002715F2">
        <w:rPr>
          <w:rFonts w:eastAsia="Batang"/>
          <w:lang w:val="fr-FR"/>
        </w:rPr>
        <w:t xml:space="preserve"> </w:t>
      </w:r>
      <w:r w:rsidR="003860DB" w:rsidRPr="002715F2">
        <w:rPr>
          <w:rFonts w:eastAsia="Batang"/>
          <w:lang w:val="fr-FR"/>
        </w:rPr>
        <w:t>pour l</w:t>
      </w:r>
      <w:r w:rsidR="003B41D7" w:rsidRPr="002715F2">
        <w:rPr>
          <w:rFonts w:eastAsia="Batang"/>
          <w:lang w:val="fr-FR"/>
        </w:rPr>
        <w:t xml:space="preserve">es dommages corporels subis et une </w:t>
      </w:r>
      <w:r w:rsidR="003860DB" w:rsidRPr="002715F2">
        <w:rPr>
          <w:rFonts w:eastAsia="Batang"/>
          <w:lang w:val="fr-FR"/>
        </w:rPr>
        <w:t>aide</w:t>
      </w:r>
      <w:r w:rsidR="003B41D7" w:rsidRPr="002715F2">
        <w:rPr>
          <w:rFonts w:eastAsia="Batang"/>
          <w:lang w:val="fr-FR"/>
        </w:rPr>
        <w:t xml:space="preserve"> juridi</w:t>
      </w:r>
      <w:r w:rsidR="003860DB" w:rsidRPr="002715F2">
        <w:rPr>
          <w:rFonts w:eastAsia="Batang"/>
          <w:lang w:val="fr-FR"/>
        </w:rPr>
        <w:t>ctionnelle</w:t>
      </w:r>
      <w:r w:rsidR="003B41D7" w:rsidRPr="002715F2">
        <w:rPr>
          <w:rFonts w:eastAsia="Batang"/>
          <w:lang w:val="fr-FR"/>
        </w:rPr>
        <w:t xml:space="preserve"> gratuite</w:t>
      </w:r>
      <w:r w:rsidR="000078DA" w:rsidRPr="002715F2">
        <w:rPr>
          <w:rFonts w:eastAsia="Batang"/>
          <w:lang w:val="fr-FR"/>
        </w:rPr>
        <w:t xml:space="preserve">. </w:t>
      </w:r>
      <w:r w:rsidR="003860DB" w:rsidRPr="002715F2">
        <w:rPr>
          <w:rFonts w:eastAsia="Batang"/>
          <w:lang w:val="fr-FR"/>
        </w:rPr>
        <w:t>Po</w:t>
      </w:r>
      <w:r w:rsidR="004B2650" w:rsidRPr="002715F2">
        <w:rPr>
          <w:rFonts w:eastAsia="Batang"/>
          <w:lang w:val="fr-FR"/>
        </w:rPr>
        <w:t>ur plus de renseignements sur l’aide apportée aux</w:t>
      </w:r>
      <w:r w:rsidR="003860DB" w:rsidRPr="002715F2">
        <w:rPr>
          <w:rFonts w:eastAsia="Batang"/>
          <w:lang w:val="fr-FR"/>
        </w:rPr>
        <w:t xml:space="preserve"> femmes </w:t>
      </w:r>
      <w:r w:rsidR="0039617D" w:rsidRPr="002715F2">
        <w:rPr>
          <w:rFonts w:eastAsia="Batang"/>
          <w:lang w:val="fr-FR"/>
        </w:rPr>
        <w:t>étrangères</w:t>
      </w:r>
      <w:r w:rsidR="003860DB" w:rsidRPr="002715F2">
        <w:rPr>
          <w:rFonts w:eastAsia="Batang"/>
          <w:lang w:val="fr-FR"/>
        </w:rPr>
        <w:t xml:space="preserve"> victimes de traite, on se reportera aux paragraphes 73 à 75 du présent rapport</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153.</w:t>
      </w:r>
      <w:r w:rsidRPr="002715F2">
        <w:rPr>
          <w:rFonts w:eastAsia="Batang"/>
          <w:lang w:val="fr-FR"/>
        </w:rPr>
        <w:tab/>
      </w:r>
      <w:r w:rsidR="004B2650" w:rsidRPr="002715F2">
        <w:rPr>
          <w:rFonts w:eastAsia="Batang"/>
          <w:lang w:val="fr-FR"/>
        </w:rPr>
        <w:t>Se reporter au paragraphe </w:t>
      </w:r>
      <w:r w:rsidR="003860DB" w:rsidRPr="002715F2">
        <w:rPr>
          <w:rFonts w:eastAsia="Batang"/>
          <w:lang w:val="fr-FR"/>
        </w:rPr>
        <w:t>167 du présent rapport concernant le paragraphe</w:t>
      </w:r>
      <w:r w:rsidR="004B2650" w:rsidRPr="002715F2">
        <w:rPr>
          <w:rFonts w:eastAsia="Batang"/>
          <w:lang w:val="fr-FR"/>
        </w:rPr>
        <w:t> </w:t>
      </w:r>
      <w:r w:rsidR="003860DB" w:rsidRPr="002715F2">
        <w:rPr>
          <w:rFonts w:eastAsia="Batang"/>
          <w:lang w:val="fr-FR"/>
        </w:rPr>
        <w:t>14 des recommandations précédentes du Comité (CA</w:t>
      </w:r>
      <w:r w:rsidR="004B2650" w:rsidRPr="002715F2">
        <w:rPr>
          <w:rFonts w:eastAsia="Batang"/>
          <w:lang w:val="fr-FR"/>
        </w:rPr>
        <w:t>T/C/KOR/CO/2), et au paragraphe </w:t>
      </w:r>
      <w:r w:rsidR="003860DB" w:rsidRPr="002715F2">
        <w:rPr>
          <w:rFonts w:eastAsia="Batang"/>
          <w:lang w:val="fr-FR"/>
        </w:rPr>
        <w:t>174 du présent</w:t>
      </w:r>
      <w:r w:rsidR="004B2650" w:rsidRPr="002715F2">
        <w:rPr>
          <w:rFonts w:eastAsia="Batang"/>
          <w:lang w:val="fr-FR"/>
        </w:rPr>
        <w:t xml:space="preserve"> rapport au sujet du paragraphe </w:t>
      </w:r>
      <w:r w:rsidR="003860DB" w:rsidRPr="002715F2">
        <w:rPr>
          <w:rFonts w:eastAsia="Batang"/>
          <w:lang w:val="fr-FR"/>
        </w:rPr>
        <w:t>15 des recommandations antérieures du Comité (CAT/C/KOR/CO/2)</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154.</w:t>
      </w:r>
      <w:r w:rsidRPr="002715F2">
        <w:rPr>
          <w:rFonts w:eastAsia="Batang"/>
          <w:lang w:val="fr-FR"/>
        </w:rPr>
        <w:tab/>
      </w:r>
      <w:r w:rsidR="00974AEC" w:rsidRPr="002715F2">
        <w:rPr>
          <w:rFonts w:eastAsia="Batang"/>
          <w:lang w:val="fr-FR"/>
        </w:rPr>
        <w:t>Le</w:t>
      </w:r>
      <w:r w:rsidR="003860DB" w:rsidRPr="002715F2">
        <w:rPr>
          <w:rFonts w:eastAsia="Batang"/>
          <w:lang w:val="fr-FR"/>
        </w:rPr>
        <w:t xml:space="preserve"> Code pénal, l</w:t>
      </w:r>
      <w:r w:rsidR="00974AEC" w:rsidRPr="002715F2">
        <w:rPr>
          <w:rFonts w:eastAsia="Batang"/>
          <w:lang w:val="fr-FR"/>
        </w:rPr>
        <w:t>a loi</w:t>
      </w:r>
      <w:r w:rsidR="00974AEC" w:rsidRPr="002715F2">
        <w:rPr>
          <w:lang w:val="fr-FR"/>
        </w:rPr>
        <w:t xml:space="preserve"> sur les cas spéciaux relatifs à la répression des crimes sexuels et la </w:t>
      </w:r>
      <w:r w:rsidR="00974AEC" w:rsidRPr="002715F2">
        <w:rPr>
          <w:rFonts w:eastAsia="Batang"/>
          <w:lang w:val="fr-FR"/>
        </w:rPr>
        <w:t>l</w:t>
      </w:r>
      <w:r w:rsidR="003860DB" w:rsidRPr="002715F2">
        <w:rPr>
          <w:rFonts w:eastAsia="Batang"/>
          <w:lang w:val="fr-FR"/>
        </w:rPr>
        <w:t xml:space="preserve">oi sur la </w:t>
      </w:r>
      <w:r w:rsidR="007D2D08" w:rsidRPr="002715F2">
        <w:rPr>
          <w:rFonts w:eastAsia="Batang"/>
          <w:lang w:val="fr-FR"/>
        </w:rPr>
        <w:t>p</w:t>
      </w:r>
      <w:r w:rsidR="003860DB" w:rsidRPr="002715F2">
        <w:rPr>
          <w:rFonts w:eastAsia="Batang"/>
          <w:lang w:val="fr-FR"/>
        </w:rPr>
        <w:t xml:space="preserve">rotection des enfants et </w:t>
      </w:r>
      <w:r w:rsidR="007D2D08" w:rsidRPr="002715F2">
        <w:rPr>
          <w:rFonts w:eastAsia="Batang"/>
          <w:lang w:val="fr-FR"/>
        </w:rPr>
        <w:t xml:space="preserve">des </w:t>
      </w:r>
      <w:r w:rsidR="003860DB" w:rsidRPr="002715F2">
        <w:rPr>
          <w:rFonts w:eastAsia="Batang"/>
          <w:lang w:val="fr-FR"/>
        </w:rPr>
        <w:t xml:space="preserve">adolescents contre les violences sexuelles </w:t>
      </w:r>
      <w:r w:rsidR="007D2D08" w:rsidRPr="002715F2">
        <w:rPr>
          <w:lang w:val="fr-FR"/>
        </w:rPr>
        <w:t xml:space="preserve">ont été </w:t>
      </w:r>
      <w:r w:rsidR="003147F8" w:rsidRPr="002715F2">
        <w:rPr>
          <w:lang w:val="fr-FR"/>
        </w:rPr>
        <w:t>modifié</w:t>
      </w:r>
      <w:r w:rsidR="009970B3" w:rsidRPr="002715F2">
        <w:rPr>
          <w:lang w:val="fr-FR"/>
        </w:rPr>
        <w:t>s</w:t>
      </w:r>
      <w:r w:rsidR="007D2D08" w:rsidRPr="002715F2">
        <w:rPr>
          <w:lang w:val="fr-FR"/>
        </w:rPr>
        <w:t xml:space="preserve"> </w:t>
      </w:r>
      <w:r w:rsidR="00974AEC" w:rsidRPr="002715F2">
        <w:rPr>
          <w:lang w:val="fr-FR"/>
        </w:rPr>
        <w:t xml:space="preserve">en </w:t>
      </w:r>
      <w:r w:rsidR="002E57D4" w:rsidRPr="002715F2">
        <w:rPr>
          <w:lang w:val="fr-FR"/>
        </w:rPr>
        <w:t xml:space="preserve">décembre </w:t>
      </w:r>
      <w:r w:rsidR="00974AEC" w:rsidRPr="002715F2">
        <w:rPr>
          <w:lang w:val="fr-FR"/>
        </w:rPr>
        <w:t>2012 afin de supprimer toutes les dispositions qui imposaient aux victimes de violences sexuelles de porter plainte avant de pouvoir poursuivre les auteurs de ces violences en justice</w:t>
      </w:r>
      <w:r w:rsidR="000078DA" w:rsidRPr="002715F2">
        <w:rPr>
          <w:rFonts w:eastAsia="Batang"/>
          <w:lang w:val="fr-FR"/>
        </w:rPr>
        <w:t xml:space="preserve">. </w:t>
      </w:r>
      <w:r w:rsidR="007D2D08" w:rsidRPr="002715F2">
        <w:rPr>
          <w:rFonts w:eastAsia="Batang"/>
          <w:lang w:val="fr-FR"/>
        </w:rPr>
        <w:t xml:space="preserve">Grâce à ces modifications, </w:t>
      </w:r>
      <w:r w:rsidR="006E0674" w:rsidRPr="002715F2">
        <w:rPr>
          <w:rFonts w:eastAsia="Batang"/>
          <w:lang w:val="fr-FR"/>
        </w:rPr>
        <w:t xml:space="preserve">on peut désormais s’attendre à ce que </w:t>
      </w:r>
      <w:r w:rsidR="007D2D08" w:rsidRPr="002715F2">
        <w:rPr>
          <w:rFonts w:eastAsia="Batang"/>
          <w:lang w:val="fr-FR"/>
        </w:rPr>
        <w:t xml:space="preserve">les délinquants sexuels </w:t>
      </w:r>
      <w:r w:rsidR="006E0674" w:rsidRPr="002715F2">
        <w:rPr>
          <w:rFonts w:eastAsia="Batang"/>
          <w:lang w:val="fr-FR"/>
        </w:rPr>
        <w:t>soient</w:t>
      </w:r>
      <w:r w:rsidR="007D2D08" w:rsidRPr="002715F2">
        <w:rPr>
          <w:rFonts w:eastAsia="Batang"/>
          <w:lang w:val="fr-FR"/>
        </w:rPr>
        <w:t xml:space="preserve"> sanctionnés plus sévèrement</w:t>
      </w:r>
      <w:r w:rsidR="00F60999" w:rsidRPr="002715F2">
        <w:rPr>
          <w:rFonts w:eastAsia="Batang"/>
          <w:lang w:val="fr-FR"/>
        </w:rPr>
        <w:t>.</w:t>
      </w:r>
    </w:p>
    <w:p w:rsidR="000078DA" w:rsidRPr="002715F2" w:rsidRDefault="00F420C5">
      <w:pPr>
        <w:pStyle w:val="H1G"/>
        <w:rPr>
          <w:rFonts w:eastAsia="Batang"/>
          <w:lang w:val="fr-FR"/>
        </w:rPr>
      </w:pPr>
      <w:r w:rsidRPr="002715F2">
        <w:rPr>
          <w:rFonts w:eastAsia="Batang"/>
          <w:lang w:val="fr-FR"/>
        </w:rPr>
        <w:tab/>
      </w:r>
      <w:r w:rsidRPr="002715F2">
        <w:rPr>
          <w:rFonts w:eastAsia="Batang"/>
          <w:lang w:val="fr-FR"/>
        </w:rPr>
        <w:tab/>
      </w:r>
      <w:r w:rsidR="002E57D4" w:rsidRPr="002715F2">
        <w:rPr>
          <w:rFonts w:eastAsia="Batang"/>
          <w:lang w:val="fr-FR"/>
        </w:rPr>
        <w:t xml:space="preserve">Article </w:t>
      </w:r>
      <w:r w:rsidR="00F60999" w:rsidRPr="002715F2">
        <w:rPr>
          <w:rFonts w:eastAsia="Batang"/>
          <w:lang w:val="fr-FR"/>
        </w:rPr>
        <w:t>15</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7D2D08" w:rsidRPr="002715F2">
        <w:rPr>
          <w:rFonts w:eastAsia="Batang"/>
          <w:lang w:val="fr-FR" w:eastAsia="ko-KR"/>
        </w:rPr>
        <w:t>Réponse aux qu</w:t>
      </w:r>
      <w:r w:rsidR="00BF357C" w:rsidRPr="002715F2">
        <w:rPr>
          <w:rFonts w:eastAsia="Batang"/>
          <w:lang w:val="fr-FR" w:eastAsia="ko-KR"/>
        </w:rPr>
        <w:t xml:space="preserve">estions soulevées au </w:t>
      </w:r>
      <w:r w:rsidR="002E57D4" w:rsidRPr="002715F2">
        <w:rPr>
          <w:rFonts w:eastAsia="Batang"/>
          <w:lang w:val="fr-FR" w:eastAsia="ko-KR"/>
        </w:rPr>
        <w:t xml:space="preserve">paragraphe </w:t>
      </w:r>
      <w:r w:rsidR="007D2D08" w:rsidRPr="002715F2">
        <w:rPr>
          <w:rFonts w:eastAsia="Batang"/>
          <w:lang w:val="fr-FR" w:eastAsia="ko-KR"/>
        </w:rPr>
        <w:t>29</w:t>
      </w:r>
    </w:p>
    <w:p w:rsidR="000078DA" w:rsidRPr="002715F2" w:rsidRDefault="007026FB" w:rsidP="007026FB">
      <w:pPr>
        <w:pStyle w:val="SingleTxtG"/>
        <w:rPr>
          <w:rFonts w:eastAsia="Batang"/>
          <w:lang w:val="fr-FR"/>
        </w:rPr>
      </w:pPr>
      <w:r w:rsidRPr="002715F2">
        <w:rPr>
          <w:rFonts w:eastAsia="Batang"/>
          <w:lang w:val="fr-FR"/>
        </w:rPr>
        <w:t>155.</w:t>
      </w:r>
      <w:r w:rsidRPr="002715F2">
        <w:rPr>
          <w:rFonts w:eastAsia="Batang"/>
          <w:lang w:val="fr-FR"/>
        </w:rPr>
        <w:tab/>
      </w:r>
      <w:r w:rsidR="007D2D08" w:rsidRPr="002715F2">
        <w:rPr>
          <w:rFonts w:eastAsia="Batang"/>
          <w:lang w:val="fr-FR"/>
        </w:rPr>
        <w:t>Si un accus</w:t>
      </w:r>
      <w:r w:rsidR="00DC030C" w:rsidRPr="002715F2">
        <w:rPr>
          <w:rFonts w:eastAsia="Batang"/>
          <w:lang w:val="fr-FR"/>
        </w:rPr>
        <w:t>é</w:t>
      </w:r>
      <w:r w:rsidR="007D2D08" w:rsidRPr="002715F2">
        <w:rPr>
          <w:rFonts w:eastAsia="Batang"/>
          <w:lang w:val="fr-FR"/>
        </w:rPr>
        <w:t xml:space="preserve"> est déclaré coupable sur la base de déclarations </w:t>
      </w:r>
      <w:r w:rsidR="00DC030C" w:rsidRPr="002715F2">
        <w:rPr>
          <w:rFonts w:eastAsia="Batang"/>
          <w:lang w:val="fr-FR"/>
        </w:rPr>
        <w:t>faites</w:t>
      </w:r>
      <w:r w:rsidR="007D2D08" w:rsidRPr="002715F2">
        <w:rPr>
          <w:rFonts w:eastAsia="Batang"/>
          <w:lang w:val="fr-FR"/>
        </w:rPr>
        <w:t xml:space="preserve"> sous la torture, et que le fait qu’il a subi des tortures n’a pas</w:t>
      </w:r>
      <w:r w:rsidR="00DC030C" w:rsidRPr="002715F2">
        <w:rPr>
          <w:rFonts w:eastAsia="Batang"/>
          <w:lang w:val="fr-FR"/>
        </w:rPr>
        <w:t xml:space="preserve"> été</w:t>
      </w:r>
      <w:r w:rsidR="007D2D08" w:rsidRPr="002715F2">
        <w:rPr>
          <w:rFonts w:eastAsia="Batang"/>
          <w:lang w:val="fr-FR"/>
        </w:rPr>
        <w:t xml:space="preserve"> révélé au cours </w:t>
      </w:r>
      <w:r w:rsidR="00DC030C" w:rsidRPr="002715F2">
        <w:rPr>
          <w:rFonts w:eastAsia="Batang"/>
          <w:lang w:val="fr-FR"/>
        </w:rPr>
        <w:t>de son</w:t>
      </w:r>
      <w:r w:rsidR="007D2D08" w:rsidRPr="002715F2">
        <w:rPr>
          <w:rFonts w:eastAsia="Batang"/>
          <w:lang w:val="fr-FR"/>
        </w:rPr>
        <w:t xml:space="preserve"> procès mais</w:t>
      </w:r>
      <w:r w:rsidR="00DC030C" w:rsidRPr="002715F2">
        <w:rPr>
          <w:rFonts w:eastAsia="Batang"/>
          <w:lang w:val="fr-FR"/>
        </w:rPr>
        <w:t xml:space="preserve"> </w:t>
      </w:r>
      <w:r w:rsidR="007D2D08" w:rsidRPr="002715F2">
        <w:rPr>
          <w:rFonts w:eastAsia="Batang"/>
          <w:lang w:val="fr-FR"/>
        </w:rPr>
        <w:t xml:space="preserve">seulement par la suite, l’affaire </w:t>
      </w:r>
      <w:r w:rsidR="00DC030C" w:rsidRPr="002715F2">
        <w:rPr>
          <w:rFonts w:eastAsia="Batang"/>
          <w:lang w:val="fr-FR"/>
        </w:rPr>
        <w:t>sera</w:t>
      </w:r>
      <w:r w:rsidR="00395B17" w:rsidRPr="002715F2">
        <w:rPr>
          <w:rFonts w:eastAsia="Batang"/>
          <w:lang w:val="fr-FR"/>
        </w:rPr>
        <w:t xml:space="preserve"> rejugée (Code </w:t>
      </w:r>
      <w:r w:rsidR="00BF357C" w:rsidRPr="002715F2">
        <w:rPr>
          <w:rFonts w:eastAsia="Batang"/>
          <w:lang w:val="fr-FR"/>
        </w:rPr>
        <w:t xml:space="preserve">de procédure </w:t>
      </w:r>
      <w:r w:rsidR="00395B17" w:rsidRPr="002715F2">
        <w:rPr>
          <w:rFonts w:eastAsia="Batang"/>
          <w:lang w:val="fr-FR"/>
        </w:rPr>
        <w:t>pénal</w:t>
      </w:r>
      <w:r w:rsidR="00BF357C" w:rsidRPr="002715F2">
        <w:rPr>
          <w:rFonts w:eastAsia="Batang"/>
          <w:lang w:val="fr-FR"/>
        </w:rPr>
        <w:t>e</w:t>
      </w:r>
      <w:r w:rsidR="00395B17" w:rsidRPr="002715F2">
        <w:rPr>
          <w:rFonts w:eastAsia="Batang"/>
          <w:lang w:val="fr-FR"/>
        </w:rPr>
        <w:t>, art. </w:t>
      </w:r>
      <w:r w:rsidR="007D2D08" w:rsidRPr="002715F2">
        <w:rPr>
          <w:rFonts w:eastAsia="Batang"/>
          <w:lang w:val="fr-FR"/>
        </w:rPr>
        <w:t>420 7))</w:t>
      </w:r>
      <w:r w:rsidR="000078DA" w:rsidRPr="002715F2">
        <w:rPr>
          <w:rFonts w:eastAsia="Batang"/>
          <w:lang w:val="fr-FR"/>
        </w:rPr>
        <w:t xml:space="preserve">. </w:t>
      </w:r>
      <w:r w:rsidR="00DC030C" w:rsidRPr="002715F2">
        <w:rPr>
          <w:rFonts w:eastAsia="Batang"/>
          <w:lang w:val="fr-FR"/>
        </w:rPr>
        <w:t>Lesdites</w:t>
      </w:r>
      <w:r w:rsidR="007D2D08" w:rsidRPr="002715F2">
        <w:rPr>
          <w:rFonts w:eastAsia="Batang"/>
          <w:lang w:val="fr-FR"/>
        </w:rPr>
        <w:t xml:space="preserve"> </w:t>
      </w:r>
      <w:r w:rsidR="0039617D" w:rsidRPr="002715F2">
        <w:rPr>
          <w:rFonts w:eastAsia="Batang"/>
          <w:lang w:val="fr-FR"/>
        </w:rPr>
        <w:t>déclarations</w:t>
      </w:r>
      <w:r w:rsidR="007D2D08" w:rsidRPr="002715F2">
        <w:rPr>
          <w:rFonts w:eastAsia="Batang"/>
          <w:lang w:val="fr-FR"/>
        </w:rPr>
        <w:t xml:space="preserve"> </w:t>
      </w:r>
      <w:r w:rsidR="00DC030C" w:rsidRPr="002715F2">
        <w:rPr>
          <w:lang w:val="fr-FR"/>
        </w:rPr>
        <w:t xml:space="preserve">ne pourront pas servir de preuve </w:t>
      </w:r>
      <w:r w:rsidR="007D2D08" w:rsidRPr="002715F2">
        <w:rPr>
          <w:rFonts w:eastAsia="Batang"/>
          <w:lang w:val="fr-FR"/>
        </w:rPr>
        <w:t>dans le cadre du nouveau procès</w:t>
      </w:r>
      <w:r w:rsidR="00F60999" w:rsidRPr="002715F2">
        <w:rPr>
          <w:rFonts w:eastAsia="Batang"/>
          <w:lang w:val="fr-FR"/>
        </w:rPr>
        <w:t>.</w:t>
      </w:r>
    </w:p>
    <w:p w:rsidR="000078DA" w:rsidRPr="002715F2" w:rsidRDefault="007026FB" w:rsidP="009540FA">
      <w:pPr>
        <w:pStyle w:val="SingleTxtG"/>
        <w:rPr>
          <w:rFonts w:eastAsia="Batang"/>
          <w:lang w:val="fr-FR"/>
        </w:rPr>
      </w:pPr>
      <w:r w:rsidRPr="002715F2">
        <w:rPr>
          <w:rFonts w:eastAsia="Batang"/>
          <w:lang w:val="fr-FR"/>
        </w:rPr>
        <w:t>156.</w:t>
      </w:r>
      <w:r w:rsidRPr="002715F2">
        <w:rPr>
          <w:rFonts w:eastAsia="Batang"/>
          <w:lang w:val="fr-FR"/>
        </w:rPr>
        <w:tab/>
      </w:r>
      <w:r w:rsidR="00DC030C" w:rsidRPr="002715F2">
        <w:rPr>
          <w:rFonts w:eastAsia="Batang"/>
          <w:lang w:val="fr-FR"/>
        </w:rPr>
        <w:t>Après la promulgation</w:t>
      </w:r>
      <w:r w:rsidR="009F7647" w:rsidRPr="002715F2">
        <w:rPr>
          <w:rFonts w:eastAsia="Batang"/>
          <w:lang w:val="fr-FR"/>
        </w:rPr>
        <w:t>, le 31 mai 2005,</w:t>
      </w:r>
      <w:r w:rsidR="00DC030C" w:rsidRPr="002715F2">
        <w:rPr>
          <w:rFonts w:eastAsia="Batang"/>
          <w:lang w:val="fr-FR"/>
        </w:rPr>
        <w:t xml:space="preserve"> de la loi-cadre </w:t>
      </w:r>
      <w:r w:rsidR="009F7647" w:rsidRPr="002715F2">
        <w:rPr>
          <w:rFonts w:eastAsia="Batang"/>
          <w:lang w:val="fr-FR"/>
        </w:rPr>
        <w:t>sur l’élucidation des faits passés</w:t>
      </w:r>
      <w:r w:rsidR="000078DA" w:rsidRPr="002715F2">
        <w:rPr>
          <w:rFonts w:eastAsia="Batang"/>
          <w:lang w:val="fr-FR"/>
        </w:rPr>
        <w:t xml:space="preserve"> </w:t>
      </w:r>
      <w:r w:rsidR="00DC030C" w:rsidRPr="002715F2">
        <w:rPr>
          <w:rFonts w:eastAsia="Batang"/>
          <w:lang w:val="fr-FR"/>
        </w:rPr>
        <w:t xml:space="preserve">pour la vérité et la </w:t>
      </w:r>
      <w:r w:rsidR="0039617D" w:rsidRPr="002715F2">
        <w:rPr>
          <w:rFonts w:eastAsia="Batang"/>
          <w:lang w:val="fr-FR"/>
        </w:rPr>
        <w:t>réconciliation</w:t>
      </w:r>
      <w:r w:rsidR="000078DA" w:rsidRPr="002715F2">
        <w:rPr>
          <w:rFonts w:eastAsia="Batang"/>
          <w:lang w:val="fr-FR"/>
        </w:rPr>
        <w:t xml:space="preserve">, </w:t>
      </w:r>
      <w:r w:rsidR="00DC030C" w:rsidRPr="002715F2">
        <w:rPr>
          <w:rFonts w:eastAsia="Batang"/>
          <w:lang w:val="fr-FR"/>
        </w:rPr>
        <w:t>une Commission Vérité et réconciliation</w:t>
      </w:r>
      <w:r w:rsidR="000078DA" w:rsidRPr="002715F2">
        <w:rPr>
          <w:rFonts w:eastAsia="Batang"/>
          <w:lang w:val="fr-FR"/>
        </w:rPr>
        <w:t xml:space="preserve"> </w:t>
      </w:r>
      <w:r w:rsidR="00DC030C" w:rsidRPr="002715F2">
        <w:rPr>
          <w:rFonts w:eastAsia="Batang"/>
          <w:lang w:val="fr-FR"/>
        </w:rPr>
        <w:t>a été créée afin d’enquêter</w:t>
      </w:r>
      <w:r w:rsidR="00BF357C" w:rsidRPr="002715F2">
        <w:rPr>
          <w:rFonts w:eastAsia="Batang"/>
          <w:lang w:val="fr-FR"/>
        </w:rPr>
        <w:t>, d’une part,</w:t>
      </w:r>
      <w:r w:rsidR="00DC030C" w:rsidRPr="002715F2">
        <w:rPr>
          <w:rFonts w:eastAsia="Batang"/>
          <w:lang w:val="fr-FR"/>
        </w:rPr>
        <w:t xml:space="preserve"> sur les incidents liés aux mouvements </w:t>
      </w:r>
      <w:r w:rsidR="00FA171A" w:rsidRPr="002715F2">
        <w:rPr>
          <w:rFonts w:eastAsia="Batang"/>
          <w:lang w:val="fr-FR"/>
        </w:rPr>
        <w:t xml:space="preserve">d’indépendance </w:t>
      </w:r>
      <w:r w:rsidR="0039617D" w:rsidRPr="002715F2">
        <w:rPr>
          <w:rFonts w:eastAsia="Batang"/>
          <w:lang w:val="fr-FR"/>
        </w:rPr>
        <w:t>antijaponais</w:t>
      </w:r>
      <w:r w:rsidR="00FA171A" w:rsidRPr="002715F2">
        <w:rPr>
          <w:rFonts w:eastAsia="Batang"/>
          <w:lang w:val="fr-FR"/>
        </w:rPr>
        <w:t xml:space="preserve">, </w:t>
      </w:r>
      <w:r w:rsidR="00BF357C" w:rsidRPr="002715F2">
        <w:rPr>
          <w:rFonts w:eastAsia="Batang"/>
          <w:lang w:val="fr-FR"/>
        </w:rPr>
        <w:t xml:space="preserve">et, d’autre part, sur </w:t>
      </w:r>
      <w:r w:rsidR="00FA171A" w:rsidRPr="002715F2">
        <w:rPr>
          <w:rFonts w:eastAsia="Batang"/>
          <w:lang w:val="fr-FR"/>
        </w:rPr>
        <w:t>les</w:t>
      </w:r>
      <w:r w:rsidR="00DC030C" w:rsidRPr="002715F2">
        <w:rPr>
          <w:rFonts w:eastAsia="Batang"/>
          <w:lang w:val="fr-FR"/>
        </w:rPr>
        <w:t xml:space="preserve"> violations des droits de l’homme </w:t>
      </w:r>
      <w:r w:rsidR="00FA171A" w:rsidRPr="002715F2">
        <w:rPr>
          <w:rFonts w:eastAsia="Batang"/>
          <w:lang w:val="fr-FR"/>
        </w:rPr>
        <w:t xml:space="preserve">contraires à la </w:t>
      </w:r>
      <w:r w:rsidR="0039617D" w:rsidRPr="002715F2">
        <w:rPr>
          <w:rFonts w:eastAsia="Batang"/>
          <w:lang w:val="fr-FR"/>
        </w:rPr>
        <w:t>démocratie</w:t>
      </w:r>
      <w:r w:rsidR="00DC030C" w:rsidRPr="002715F2">
        <w:rPr>
          <w:rFonts w:eastAsia="Batang"/>
          <w:lang w:val="fr-FR"/>
        </w:rPr>
        <w:t xml:space="preserve"> et </w:t>
      </w:r>
      <w:r w:rsidR="00FA171A" w:rsidRPr="002715F2">
        <w:rPr>
          <w:rFonts w:eastAsia="Batang"/>
          <w:lang w:val="fr-FR"/>
        </w:rPr>
        <w:t xml:space="preserve">les </w:t>
      </w:r>
      <w:r w:rsidR="00DC030C" w:rsidRPr="002715F2">
        <w:rPr>
          <w:rFonts w:eastAsia="Batang"/>
          <w:lang w:val="fr-FR"/>
        </w:rPr>
        <w:t xml:space="preserve">morts suspectes depuis l’indépendance </w:t>
      </w:r>
      <w:r w:rsidR="00FA171A" w:rsidRPr="002715F2">
        <w:rPr>
          <w:rFonts w:eastAsia="Batang"/>
          <w:lang w:val="fr-FR"/>
        </w:rPr>
        <w:t>de la République de C</w:t>
      </w:r>
      <w:r w:rsidR="00DC030C" w:rsidRPr="002715F2">
        <w:rPr>
          <w:rFonts w:eastAsia="Batang"/>
          <w:lang w:val="fr-FR"/>
        </w:rPr>
        <w:t>orée en 1945</w:t>
      </w:r>
      <w:r w:rsidR="000078DA" w:rsidRPr="002715F2">
        <w:rPr>
          <w:rFonts w:eastAsia="Batang"/>
          <w:lang w:val="fr-FR"/>
        </w:rPr>
        <w:t xml:space="preserve">. </w:t>
      </w:r>
      <w:r w:rsidR="00FA171A" w:rsidRPr="002715F2">
        <w:rPr>
          <w:rFonts w:eastAsia="Batang"/>
          <w:lang w:val="fr-FR"/>
        </w:rPr>
        <w:t>Entre le 1</w:t>
      </w:r>
      <w:r w:rsidR="00FA171A" w:rsidRPr="002715F2">
        <w:rPr>
          <w:rFonts w:eastAsia="Batang"/>
          <w:vertAlign w:val="superscript"/>
          <w:lang w:val="fr-FR"/>
        </w:rPr>
        <w:t>er</w:t>
      </w:r>
      <w:r w:rsidR="00395B17" w:rsidRPr="002715F2">
        <w:rPr>
          <w:rFonts w:eastAsia="Batang"/>
          <w:lang w:val="fr-FR"/>
        </w:rPr>
        <w:t> </w:t>
      </w:r>
      <w:r w:rsidR="00FA171A" w:rsidRPr="002715F2">
        <w:rPr>
          <w:rFonts w:eastAsia="Batang"/>
          <w:lang w:val="fr-FR"/>
        </w:rPr>
        <w:t>décembre 2005 et le 30</w:t>
      </w:r>
      <w:r w:rsidR="00395B17" w:rsidRPr="002715F2">
        <w:rPr>
          <w:rFonts w:eastAsia="Batang"/>
          <w:lang w:val="fr-FR"/>
        </w:rPr>
        <w:t> </w:t>
      </w:r>
      <w:r w:rsidR="00FA171A" w:rsidRPr="002715F2">
        <w:rPr>
          <w:rFonts w:eastAsia="Batang"/>
          <w:lang w:val="fr-FR"/>
        </w:rPr>
        <w:t>juin 2010, 11</w:t>
      </w:r>
      <w:r w:rsidR="00395B17" w:rsidRPr="002715F2">
        <w:rPr>
          <w:rFonts w:eastAsia="Batang"/>
          <w:lang w:val="fr-FR"/>
        </w:rPr>
        <w:t> </w:t>
      </w:r>
      <w:r w:rsidR="00BF357C" w:rsidRPr="002715F2">
        <w:rPr>
          <w:rFonts w:eastAsia="Batang"/>
          <w:lang w:val="fr-FR"/>
        </w:rPr>
        <w:t>175 </w:t>
      </w:r>
      <w:r w:rsidR="00FA171A" w:rsidRPr="002715F2">
        <w:rPr>
          <w:rFonts w:eastAsia="Batang"/>
          <w:lang w:val="fr-FR"/>
        </w:rPr>
        <w:t xml:space="preserve">affaires ont été </w:t>
      </w:r>
      <w:r w:rsidR="00FB35A3" w:rsidRPr="002715F2">
        <w:rPr>
          <w:rFonts w:eastAsia="Batang"/>
          <w:lang w:val="fr-FR"/>
        </w:rPr>
        <w:t>traitées</w:t>
      </w:r>
      <w:r w:rsidR="00FA171A" w:rsidRPr="002715F2">
        <w:rPr>
          <w:rFonts w:eastAsia="Batang"/>
          <w:lang w:val="fr-FR"/>
        </w:rPr>
        <w:t xml:space="preserve">, </w:t>
      </w:r>
      <w:r w:rsidR="00A6196D" w:rsidRPr="002715F2">
        <w:rPr>
          <w:rFonts w:eastAsia="Batang"/>
          <w:lang w:val="fr-FR"/>
        </w:rPr>
        <w:t>y compris</w:t>
      </w:r>
      <w:r w:rsidR="00FA171A" w:rsidRPr="002715F2">
        <w:rPr>
          <w:rFonts w:eastAsia="Batang"/>
          <w:lang w:val="fr-FR"/>
        </w:rPr>
        <w:t xml:space="preserve"> </w:t>
      </w:r>
      <w:r w:rsidR="00A6196D" w:rsidRPr="002715F2">
        <w:rPr>
          <w:rFonts w:eastAsia="Batang"/>
          <w:lang w:val="fr-FR"/>
        </w:rPr>
        <w:t xml:space="preserve">les </w:t>
      </w:r>
      <w:r w:rsidR="00FA171A" w:rsidRPr="002715F2">
        <w:rPr>
          <w:rFonts w:eastAsia="Batang"/>
          <w:lang w:val="fr-FR"/>
        </w:rPr>
        <w:t>10</w:t>
      </w:r>
      <w:r w:rsidR="00395B17" w:rsidRPr="002715F2">
        <w:rPr>
          <w:rFonts w:eastAsia="Batang"/>
          <w:lang w:val="fr-FR"/>
        </w:rPr>
        <w:t> </w:t>
      </w:r>
      <w:r w:rsidR="00FA171A" w:rsidRPr="002715F2">
        <w:rPr>
          <w:rFonts w:eastAsia="Batang"/>
          <w:lang w:val="fr-FR"/>
        </w:rPr>
        <w:t>860</w:t>
      </w:r>
      <w:r w:rsidR="00BF357C" w:rsidRPr="002715F2">
        <w:rPr>
          <w:rFonts w:eastAsia="Batang"/>
          <w:lang w:val="fr-FR"/>
        </w:rPr>
        <w:t> </w:t>
      </w:r>
      <w:r w:rsidR="00A6196D" w:rsidRPr="002715F2">
        <w:rPr>
          <w:rFonts w:eastAsia="Batang"/>
          <w:lang w:val="fr-FR"/>
        </w:rPr>
        <w:t>affaires</w:t>
      </w:r>
      <w:r w:rsidR="00FA171A" w:rsidRPr="002715F2">
        <w:rPr>
          <w:rFonts w:eastAsia="Batang"/>
          <w:lang w:val="fr-FR"/>
        </w:rPr>
        <w:t xml:space="preserve"> </w:t>
      </w:r>
      <w:r w:rsidR="009540FA" w:rsidRPr="002715F2">
        <w:rPr>
          <w:rFonts w:eastAsia="Batang"/>
          <w:lang w:val="fr-FR"/>
        </w:rPr>
        <w:t>soumis</w:t>
      </w:r>
      <w:r w:rsidR="00200052" w:rsidRPr="002715F2">
        <w:rPr>
          <w:rFonts w:eastAsia="Batang"/>
          <w:lang w:val="fr-FR"/>
        </w:rPr>
        <w:t>es</w:t>
      </w:r>
      <w:r w:rsidR="009540FA" w:rsidRPr="002715F2">
        <w:rPr>
          <w:rFonts w:eastAsia="Batang"/>
          <w:lang w:val="fr-FR"/>
        </w:rPr>
        <w:t xml:space="preserve"> à cette </w:t>
      </w:r>
      <w:r w:rsidR="00B42A53" w:rsidRPr="002715F2">
        <w:rPr>
          <w:rFonts w:eastAsia="Batang"/>
          <w:lang w:val="fr-FR"/>
        </w:rPr>
        <w:t>commission</w:t>
      </w:r>
      <w:r w:rsidR="000078DA" w:rsidRPr="002715F2">
        <w:rPr>
          <w:rFonts w:eastAsia="Batang"/>
          <w:lang w:val="fr-FR"/>
        </w:rPr>
        <w:t xml:space="preserve">. </w:t>
      </w:r>
      <w:r w:rsidR="00FA171A" w:rsidRPr="002715F2">
        <w:rPr>
          <w:rFonts w:eastAsia="Batang"/>
          <w:lang w:val="fr-FR"/>
        </w:rPr>
        <w:t>Les f</w:t>
      </w:r>
      <w:r w:rsidR="00395B17" w:rsidRPr="002715F2">
        <w:rPr>
          <w:rFonts w:eastAsia="Batang"/>
          <w:lang w:val="fr-FR"/>
        </w:rPr>
        <w:t>aits ont pu être établis dans 8 </w:t>
      </w:r>
      <w:r w:rsidR="00FA171A" w:rsidRPr="002715F2">
        <w:rPr>
          <w:rFonts w:eastAsia="Batang"/>
          <w:lang w:val="fr-FR"/>
        </w:rPr>
        <w:t>450 affaires</w:t>
      </w:r>
      <w:r w:rsidR="000078DA" w:rsidRPr="002715F2">
        <w:rPr>
          <w:rFonts w:eastAsia="Batang"/>
          <w:lang w:val="fr-FR"/>
        </w:rPr>
        <w:t xml:space="preserve">. </w:t>
      </w:r>
      <w:r w:rsidR="00BE6E39" w:rsidRPr="002715F2">
        <w:rPr>
          <w:rFonts w:eastAsia="Batang"/>
          <w:lang w:val="fr-FR"/>
        </w:rPr>
        <w:t xml:space="preserve">Quand les préjudices subis ont </w:t>
      </w:r>
      <w:r w:rsidR="009540FA" w:rsidRPr="002715F2">
        <w:rPr>
          <w:rFonts w:eastAsia="Batang"/>
          <w:lang w:val="fr-FR"/>
        </w:rPr>
        <w:t>pu être</w:t>
      </w:r>
      <w:r w:rsidR="00BE6E39" w:rsidRPr="002715F2">
        <w:rPr>
          <w:rFonts w:eastAsia="Batang"/>
          <w:lang w:val="fr-FR"/>
        </w:rPr>
        <w:t xml:space="preserve"> confirmés </w:t>
      </w:r>
      <w:r w:rsidR="009540FA" w:rsidRPr="002715F2">
        <w:rPr>
          <w:rFonts w:eastAsia="Batang"/>
          <w:lang w:val="fr-FR"/>
        </w:rPr>
        <w:t xml:space="preserve">après obtention </w:t>
      </w:r>
      <w:r w:rsidR="00200052" w:rsidRPr="002715F2">
        <w:rPr>
          <w:rFonts w:eastAsia="Batang"/>
          <w:lang w:val="fr-FR"/>
        </w:rPr>
        <w:t>de</w:t>
      </w:r>
      <w:r w:rsidR="00BE6E39" w:rsidRPr="002715F2">
        <w:rPr>
          <w:rFonts w:eastAsia="Batang"/>
          <w:lang w:val="fr-FR"/>
        </w:rPr>
        <w:t xml:space="preserve"> documents</w:t>
      </w:r>
      <w:r w:rsidR="00200052" w:rsidRPr="002715F2">
        <w:rPr>
          <w:rFonts w:eastAsia="Batang"/>
          <w:lang w:val="fr-FR"/>
        </w:rPr>
        <w:t xml:space="preserve"> auprès</w:t>
      </w:r>
      <w:r w:rsidR="00BE6E39" w:rsidRPr="002715F2">
        <w:rPr>
          <w:rFonts w:eastAsia="Batang"/>
          <w:lang w:val="fr-FR"/>
        </w:rPr>
        <w:t xml:space="preserve"> </w:t>
      </w:r>
      <w:r w:rsidR="009540FA" w:rsidRPr="002715F2">
        <w:rPr>
          <w:rFonts w:eastAsia="Batang"/>
          <w:lang w:val="fr-FR"/>
        </w:rPr>
        <w:t>des</w:t>
      </w:r>
      <w:r w:rsidR="00BE6E39" w:rsidRPr="002715F2">
        <w:rPr>
          <w:rFonts w:eastAsia="Batang"/>
          <w:lang w:val="fr-FR"/>
        </w:rPr>
        <w:t xml:space="preserve"> organisations co</w:t>
      </w:r>
      <w:r w:rsidR="009540FA" w:rsidRPr="002715F2">
        <w:rPr>
          <w:rFonts w:eastAsia="Batang"/>
          <w:lang w:val="fr-FR"/>
        </w:rPr>
        <w:t xml:space="preserve">mpétentes et </w:t>
      </w:r>
      <w:r w:rsidR="00BE6E39" w:rsidRPr="002715F2">
        <w:rPr>
          <w:rFonts w:eastAsia="Batang"/>
          <w:lang w:val="fr-FR"/>
        </w:rPr>
        <w:t xml:space="preserve">enquêtes </w:t>
      </w:r>
      <w:r w:rsidR="009540FA" w:rsidRPr="002715F2">
        <w:rPr>
          <w:rFonts w:eastAsia="Batang"/>
          <w:lang w:val="fr-FR"/>
        </w:rPr>
        <w:t xml:space="preserve">menées </w:t>
      </w:r>
      <w:r w:rsidR="00BE6E39" w:rsidRPr="002715F2">
        <w:rPr>
          <w:rFonts w:eastAsia="Batang"/>
          <w:lang w:val="fr-FR"/>
        </w:rPr>
        <w:t xml:space="preserve">sur les victimes, les témoins et les </w:t>
      </w:r>
      <w:r w:rsidR="00BE6E39" w:rsidRPr="002715F2">
        <w:rPr>
          <w:lang w:val="fr-FR" w:eastAsia="en-GB"/>
        </w:rPr>
        <w:t>différents acteurs</w:t>
      </w:r>
      <w:r w:rsidR="009540FA" w:rsidRPr="002715F2">
        <w:rPr>
          <w:lang w:val="fr-FR" w:eastAsia="en-GB"/>
        </w:rPr>
        <w:t>,</w:t>
      </w:r>
      <w:r w:rsidR="00BE6E39" w:rsidRPr="002715F2">
        <w:rPr>
          <w:rFonts w:eastAsia="Batang"/>
          <w:lang w:val="fr-FR"/>
        </w:rPr>
        <w:t xml:space="preserve"> ou sur place, </w:t>
      </w:r>
      <w:r w:rsidR="009540FA" w:rsidRPr="002715F2">
        <w:rPr>
          <w:rFonts w:eastAsia="Batang"/>
          <w:lang w:val="fr-FR"/>
        </w:rPr>
        <w:t>cette</w:t>
      </w:r>
      <w:r w:rsidR="00BE6E39" w:rsidRPr="002715F2">
        <w:rPr>
          <w:rFonts w:eastAsia="Batang"/>
          <w:lang w:val="fr-FR"/>
        </w:rPr>
        <w:t xml:space="preserve"> </w:t>
      </w:r>
      <w:r w:rsidR="00B42A53" w:rsidRPr="002715F2">
        <w:rPr>
          <w:rFonts w:eastAsia="Batang"/>
          <w:lang w:val="fr-FR"/>
        </w:rPr>
        <w:t xml:space="preserve">commission </w:t>
      </w:r>
      <w:r w:rsidR="00BE6E39" w:rsidRPr="002715F2">
        <w:rPr>
          <w:rFonts w:eastAsia="Batang"/>
          <w:lang w:val="fr-FR"/>
        </w:rPr>
        <w:t xml:space="preserve">a recommandé à l’État de présenter </w:t>
      </w:r>
      <w:r w:rsidR="00A6196D" w:rsidRPr="002715F2">
        <w:rPr>
          <w:rFonts w:eastAsia="Batang"/>
          <w:lang w:val="fr-FR"/>
        </w:rPr>
        <w:t>des</w:t>
      </w:r>
      <w:r w:rsidR="00BE6E39" w:rsidRPr="002715F2">
        <w:rPr>
          <w:rFonts w:eastAsia="Batang"/>
          <w:lang w:val="fr-FR"/>
        </w:rPr>
        <w:t xml:space="preserve"> excuses</w:t>
      </w:r>
      <w:r w:rsidR="00A6196D" w:rsidRPr="002715F2">
        <w:rPr>
          <w:rFonts w:eastAsia="Batang"/>
          <w:lang w:val="fr-FR"/>
        </w:rPr>
        <w:t xml:space="preserve"> officielles</w:t>
      </w:r>
      <w:r w:rsidR="00BE6E39" w:rsidRPr="002715F2">
        <w:rPr>
          <w:rFonts w:eastAsia="Batang"/>
          <w:lang w:val="fr-FR"/>
        </w:rPr>
        <w:t xml:space="preserve"> et de prendre les mesures appropriées pour indemniser les victimes et rétablir leur honneur</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157.</w:t>
      </w:r>
      <w:r w:rsidRPr="002715F2">
        <w:rPr>
          <w:rFonts w:eastAsia="Batang"/>
          <w:lang w:val="fr-FR"/>
        </w:rPr>
        <w:tab/>
      </w:r>
      <w:r w:rsidR="00395B17" w:rsidRPr="002715F2">
        <w:rPr>
          <w:rFonts w:eastAsia="Batang"/>
          <w:lang w:val="fr-FR"/>
        </w:rPr>
        <w:t>Au 25 </w:t>
      </w:r>
      <w:r w:rsidR="00A6196D" w:rsidRPr="002715F2">
        <w:rPr>
          <w:rFonts w:eastAsia="Batang"/>
          <w:lang w:val="fr-FR"/>
        </w:rPr>
        <w:t>janvier 2016, sur les 73</w:t>
      </w:r>
      <w:r w:rsidR="00395B17" w:rsidRPr="002715F2">
        <w:rPr>
          <w:rFonts w:eastAsia="Batang"/>
          <w:lang w:val="fr-FR"/>
        </w:rPr>
        <w:t> </w:t>
      </w:r>
      <w:r w:rsidR="00A6196D" w:rsidRPr="002715F2">
        <w:rPr>
          <w:rFonts w:eastAsia="Batang"/>
          <w:lang w:val="fr-FR"/>
        </w:rPr>
        <w:t>affaires pour lesquelles la Commission avait recommand</w:t>
      </w:r>
      <w:r w:rsidR="00926BA7" w:rsidRPr="002715F2">
        <w:rPr>
          <w:rFonts w:eastAsia="Batang"/>
          <w:lang w:val="fr-FR"/>
        </w:rPr>
        <w:t xml:space="preserve">é la tenue de nouveaux procès, </w:t>
      </w:r>
      <w:r w:rsidR="00B42A53" w:rsidRPr="002715F2">
        <w:rPr>
          <w:rFonts w:eastAsia="Batang"/>
          <w:lang w:val="fr-FR"/>
        </w:rPr>
        <w:t xml:space="preserve">une </w:t>
      </w:r>
      <w:r w:rsidR="00583106" w:rsidRPr="002715F2">
        <w:rPr>
          <w:rFonts w:eastAsia="Batang"/>
          <w:lang w:val="fr-FR"/>
        </w:rPr>
        <w:t>affaire</w:t>
      </w:r>
      <w:r w:rsidR="00A6196D" w:rsidRPr="002715F2">
        <w:rPr>
          <w:rFonts w:eastAsia="Batang"/>
          <w:lang w:val="fr-FR"/>
        </w:rPr>
        <w:t xml:space="preserve"> a été renvoyée devant le tribunal militaire </w:t>
      </w:r>
      <w:r w:rsidR="00AC2231" w:rsidRPr="002715F2">
        <w:rPr>
          <w:rFonts w:eastAsia="Batang"/>
          <w:lang w:val="fr-FR"/>
        </w:rPr>
        <w:t>aux</w:t>
      </w:r>
      <w:r w:rsidR="00395B17" w:rsidRPr="002715F2">
        <w:rPr>
          <w:rFonts w:eastAsia="Batang"/>
          <w:lang w:val="fr-FR"/>
        </w:rPr>
        <w:t xml:space="preserve"> armées</w:t>
      </w:r>
      <w:r w:rsidR="00E97B1A" w:rsidRPr="002715F2">
        <w:rPr>
          <w:rFonts w:eastAsia="Batang"/>
          <w:lang w:val="fr-FR"/>
        </w:rPr>
        <w:t>;</w:t>
      </w:r>
      <w:r w:rsidR="00A6196D" w:rsidRPr="002715F2">
        <w:rPr>
          <w:rFonts w:eastAsia="Batang"/>
          <w:lang w:val="fr-FR"/>
        </w:rPr>
        <w:t xml:space="preserve"> 66 </w:t>
      </w:r>
      <w:r w:rsidR="00583106" w:rsidRPr="002715F2">
        <w:rPr>
          <w:rFonts w:eastAsia="Batang"/>
          <w:lang w:val="fr-FR"/>
        </w:rPr>
        <w:t>se sont conclues par</w:t>
      </w:r>
      <w:r w:rsidR="00A6196D" w:rsidRPr="002715F2">
        <w:rPr>
          <w:rFonts w:eastAsia="Batang"/>
          <w:lang w:val="fr-FR"/>
        </w:rPr>
        <w:t xml:space="preserve"> des </w:t>
      </w:r>
      <w:r w:rsidR="00583106" w:rsidRPr="002715F2">
        <w:rPr>
          <w:rFonts w:eastAsia="Batang"/>
          <w:lang w:val="fr-FR"/>
        </w:rPr>
        <w:t>verdicts définitif</w:t>
      </w:r>
      <w:r w:rsidR="00A6196D" w:rsidRPr="002715F2">
        <w:rPr>
          <w:rFonts w:eastAsia="Batang"/>
          <w:lang w:val="fr-FR"/>
        </w:rPr>
        <w:t xml:space="preserve">s et </w:t>
      </w:r>
      <w:r w:rsidR="00583106" w:rsidRPr="002715F2">
        <w:rPr>
          <w:rFonts w:eastAsia="Batang"/>
          <w:lang w:val="fr-FR"/>
        </w:rPr>
        <w:t>sans appel de non-culpabilité</w:t>
      </w:r>
      <w:r w:rsidR="00E97B1A" w:rsidRPr="002715F2">
        <w:rPr>
          <w:rFonts w:eastAsia="Batang"/>
          <w:lang w:val="fr-FR"/>
        </w:rPr>
        <w:t>;</w:t>
      </w:r>
      <w:r w:rsidR="00926BA7" w:rsidRPr="002715F2">
        <w:rPr>
          <w:rFonts w:eastAsia="Batang"/>
          <w:lang w:val="fr-FR"/>
        </w:rPr>
        <w:t xml:space="preserve"> </w:t>
      </w:r>
      <w:r w:rsidR="00B42A53" w:rsidRPr="002715F2">
        <w:rPr>
          <w:rFonts w:eastAsia="Batang"/>
          <w:lang w:val="fr-FR"/>
        </w:rPr>
        <w:t xml:space="preserve">une </w:t>
      </w:r>
      <w:r w:rsidR="00A6196D" w:rsidRPr="002715F2">
        <w:rPr>
          <w:rFonts w:eastAsia="Batang"/>
          <w:lang w:val="fr-FR"/>
        </w:rPr>
        <w:t xml:space="preserve">demande </w:t>
      </w:r>
      <w:r w:rsidR="00583106" w:rsidRPr="002715F2">
        <w:rPr>
          <w:rFonts w:eastAsia="Batang"/>
          <w:lang w:val="fr-FR"/>
        </w:rPr>
        <w:t>de</w:t>
      </w:r>
      <w:r w:rsidR="00A6196D" w:rsidRPr="002715F2">
        <w:rPr>
          <w:rFonts w:eastAsia="Batang"/>
          <w:lang w:val="fr-FR"/>
        </w:rPr>
        <w:t xml:space="preserve"> nouveau procès a été rejetée et </w:t>
      </w:r>
      <w:r w:rsidR="00926BA7" w:rsidRPr="002715F2">
        <w:rPr>
          <w:rFonts w:eastAsia="Batang"/>
          <w:lang w:val="fr-FR"/>
        </w:rPr>
        <w:t>une</w:t>
      </w:r>
      <w:r w:rsidR="00583106" w:rsidRPr="002715F2">
        <w:rPr>
          <w:rFonts w:eastAsia="Batang"/>
          <w:lang w:val="fr-FR"/>
        </w:rPr>
        <w:t xml:space="preserve"> autre</w:t>
      </w:r>
      <w:r w:rsidR="00A6196D" w:rsidRPr="002715F2">
        <w:rPr>
          <w:rFonts w:eastAsia="Batang"/>
          <w:lang w:val="fr-FR"/>
        </w:rPr>
        <w:t xml:space="preserve"> </w:t>
      </w:r>
      <w:r w:rsidR="0039617D" w:rsidRPr="002715F2">
        <w:rPr>
          <w:rFonts w:eastAsia="Batang"/>
          <w:lang w:val="fr-FR"/>
        </w:rPr>
        <w:t>retirée</w:t>
      </w:r>
      <w:r w:rsidR="00E97B1A" w:rsidRPr="002715F2">
        <w:rPr>
          <w:rFonts w:eastAsia="Batang"/>
          <w:lang w:val="fr-FR"/>
        </w:rPr>
        <w:t>;</w:t>
      </w:r>
      <w:r w:rsidR="00583106" w:rsidRPr="002715F2">
        <w:rPr>
          <w:rFonts w:eastAsia="Batang"/>
          <w:lang w:val="fr-FR"/>
        </w:rPr>
        <w:t xml:space="preserve"> et pour les </w:t>
      </w:r>
      <w:r w:rsidR="00B42A53" w:rsidRPr="002715F2">
        <w:rPr>
          <w:rFonts w:eastAsia="Batang"/>
          <w:lang w:val="fr-FR"/>
        </w:rPr>
        <w:t xml:space="preserve">quatre </w:t>
      </w:r>
      <w:r w:rsidR="00583106" w:rsidRPr="002715F2">
        <w:rPr>
          <w:rFonts w:eastAsia="Batang"/>
          <w:lang w:val="fr-FR"/>
        </w:rPr>
        <w:t>derniers</w:t>
      </w:r>
      <w:r w:rsidR="00A6196D" w:rsidRPr="002715F2">
        <w:rPr>
          <w:rFonts w:eastAsia="Batang"/>
          <w:lang w:val="fr-FR"/>
        </w:rPr>
        <w:t xml:space="preserve"> cas, les victimes n’ont pas demandé </w:t>
      </w:r>
      <w:r w:rsidR="00583106" w:rsidRPr="002715F2">
        <w:rPr>
          <w:rFonts w:eastAsia="Batang"/>
          <w:lang w:val="fr-FR"/>
        </w:rPr>
        <w:t xml:space="preserve">un </w:t>
      </w:r>
      <w:r w:rsidR="00A6196D" w:rsidRPr="002715F2">
        <w:rPr>
          <w:rFonts w:eastAsia="Batang"/>
          <w:lang w:val="fr-FR"/>
        </w:rPr>
        <w:t>nouveau procès</w:t>
      </w:r>
      <w:r w:rsidR="000078DA" w:rsidRPr="002715F2">
        <w:rPr>
          <w:rFonts w:eastAsia="Batang"/>
          <w:lang w:val="fr-FR"/>
        </w:rPr>
        <w:t xml:space="preserve">. </w:t>
      </w:r>
      <w:r w:rsidR="00AC2231" w:rsidRPr="002715F2">
        <w:rPr>
          <w:rFonts w:eastAsia="Batang"/>
          <w:lang w:val="fr-FR"/>
        </w:rPr>
        <w:t xml:space="preserve">Les </w:t>
      </w:r>
      <w:r w:rsidR="00AC2231" w:rsidRPr="002715F2">
        <w:rPr>
          <w:lang w:val="fr-FR"/>
        </w:rPr>
        <w:t>déclarations obtenues sous la torture n’ont pas été utilisées comme élément de preuve dans les nouveaux procès</w:t>
      </w:r>
      <w:r w:rsidR="00F60999"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AC2231" w:rsidRPr="002715F2">
        <w:rPr>
          <w:rFonts w:eastAsia="Batang"/>
          <w:lang w:val="fr-FR" w:eastAsia="ko-KR"/>
        </w:rPr>
        <w:t xml:space="preserve">Réponse aux questions soulevées au </w:t>
      </w:r>
      <w:r w:rsidR="00B42A53" w:rsidRPr="002715F2">
        <w:rPr>
          <w:rFonts w:eastAsia="Batang"/>
          <w:lang w:val="fr-FR" w:eastAsia="ko-KR"/>
        </w:rPr>
        <w:t xml:space="preserve">paragraphe </w:t>
      </w:r>
      <w:r w:rsidR="00AC2231" w:rsidRPr="002715F2">
        <w:rPr>
          <w:rFonts w:eastAsia="Batang"/>
          <w:lang w:val="fr-FR" w:eastAsia="ko-KR"/>
        </w:rPr>
        <w:t>30</w:t>
      </w:r>
    </w:p>
    <w:p w:rsidR="000078DA" w:rsidRPr="002715F2" w:rsidRDefault="007026FB" w:rsidP="00FB692F">
      <w:pPr>
        <w:pStyle w:val="SingleTxtG"/>
        <w:rPr>
          <w:rFonts w:eastAsia="Batang"/>
          <w:lang w:val="fr-FR"/>
        </w:rPr>
      </w:pPr>
      <w:r w:rsidRPr="002715F2">
        <w:rPr>
          <w:rFonts w:eastAsia="Batang"/>
          <w:lang w:val="fr-FR"/>
        </w:rPr>
        <w:t>158.</w:t>
      </w:r>
      <w:r w:rsidRPr="002715F2">
        <w:rPr>
          <w:rFonts w:eastAsia="Batang"/>
          <w:lang w:val="fr-FR"/>
        </w:rPr>
        <w:tab/>
      </w:r>
      <w:r w:rsidR="00DC301F" w:rsidRPr="002715F2">
        <w:rPr>
          <w:rFonts w:eastAsia="Batang"/>
          <w:lang w:val="fr-FR"/>
        </w:rPr>
        <w:t>Conformément au paragraphe</w:t>
      </w:r>
      <w:r w:rsidR="00395B17" w:rsidRPr="002715F2">
        <w:rPr>
          <w:rFonts w:eastAsia="Batang"/>
          <w:lang w:val="fr-FR"/>
        </w:rPr>
        <w:t> </w:t>
      </w:r>
      <w:r w:rsidR="00DC301F" w:rsidRPr="002715F2">
        <w:rPr>
          <w:rFonts w:eastAsia="Batang"/>
          <w:lang w:val="fr-FR"/>
        </w:rPr>
        <w:t>16 des précédentes recommandations du Comité (CAT/C/KOR/CO/2), le Code de procédure pénale a été modifié le 1</w:t>
      </w:r>
      <w:r w:rsidR="00DC301F" w:rsidRPr="002715F2">
        <w:rPr>
          <w:rFonts w:eastAsia="Batang"/>
          <w:vertAlign w:val="superscript"/>
          <w:lang w:val="fr-FR"/>
        </w:rPr>
        <w:t>er</w:t>
      </w:r>
      <w:r w:rsidR="00395B17" w:rsidRPr="002715F2">
        <w:rPr>
          <w:rFonts w:eastAsia="Batang"/>
          <w:lang w:val="fr-FR"/>
        </w:rPr>
        <w:t> </w:t>
      </w:r>
      <w:r w:rsidR="00DC301F" w:rsidRPr="002715F2">
        <w:rPr>
          <w:rFonts w:eastAsia="Batang"/>
          <w:lang w:val="fr-FR"/>
        </w:rPr>
        <w:t xml:space="preserve">juin 2007 afin de </w:t>
      </w:r>
      <w:r w:rsidR="00DC301F" w:rsidRPr="002715F2">
        <w:rPr>
          <w:lang w:val="fr-FR"/>
        </w:rPr>
        <w:t>rendre beaucoup plus strictes les conditions de recevabilité de la preuve écrite dans les procédures judiciaires</w:t>
      </w:r>
      <w:r w:rsidR="000078DA" w:rsidRPr="002715F2">
        <w:rPr>
          <w:rFonts w:eastAsia="Batang"/>
          <w:lang w:val="fr-FR"/>
        </w:rPr>
        <w:t xml:space="preserve">. </w:t>
      </w:r>
      <w:r w:rsidR="00DC301F" w:rsidRPr="002715F2">
        <w:rPr>
          <w:rFonts w:eastAsia="Batang"/>
          <w:lang w:val="fr-FR"/>
        </w:rPr>
        <w:t xml:space="preserve">Avant cette modification, le procès-verbal de l’interrogatoire d’un suspect établi par </w:t>
      </w:r>
      <w:r w:rsidR="00542D7D" w:rsidRPr="002715F2">
        <w:rPr>
          <w:rFonts w:eastAsia="Batang"/>
          <w:lang w:val="fr-FR"/>
        </w:rPr>
        <w:t>un</w:t>
      </w:r>
      <w:r w:rsidR="00395B17" w:rsidRPr="002715F2">
        <w:rPr>
          <w:rFonts w:eastAsia="Batang"/>
          <w:lang w:val="fr-FR"/>
        </w:rPr>
        <w:t xml:space="preserve"> procureur était recevable si </w:t>
      </w:r>
      <w:r w:rsidR="00E97B1A" w:rsidRPr="002715F2">
        <w:rPr>
          <w:rFonts w:eastAsia="Batang"/>
          <w:lang w:val="fr-FR"/>
        </w:rPr>
        <w:t>«</w:t>
      </w:r>
      <w:r w:rsidR="00DC301F" w:rsidRPr="002715F2">
        <w:rPr>
          <w:rFonts w:eastAsia="Batang"/>
          <w:lang w:val="fr-FR"/>
        </w:rPr>
        <w:t>l’accusé confirmait lors d’une audition préparatoire ou pendant le procès que ce document reflétait fidèlement ses propos et que</w:t>
      </w:r>
      <w:r w:rsidR="00395B17" w:rsidRPr="002715F2">
        <w:rPr>
          <w:rFonts w:eastAsia="Batang"/>
          <w:lang w:val="fr-FR"/>
        </w:rPr>
        <w:t xml:space="preserve"> sa signature était authentique</w:t>
      </w:r>
      <w:r w:rsidR="00E97B1A" w:rsidRPr="002715F2">
        <w:rPr>
          <w:rFonts w:eastAsia="Batang"/>
          <w:lang w:val="fr-FR"/>
        </w:rPr>
        <w:t>»</w:t>
      </w:r>
      <w:r w:rsidR="00DC301F" w:rsidRPr="002715F2">
        <w:rPr>
          <w:rFonts w:eastAsia="Batang"/>
          <w:lang w:val="fr-FR"/>
        </w:rPr>
        <w:t xml:space="preserve"> (authentification</w:t>
      </w:r>
      <w:r w:rsidR="000078DA" w:rsidRPr="002715F2">
        <w:rPr>
          <w:rFonts w:eastAsia="Batang"/>
          <w:lang w:val="fr-FR"/>
        </w:rPr>
        <w:t xml:space="preserve">). </w:t>
      </w:r>
      <w:r w:rsidR="00FB692F" w:rsidRPr="002715F2">
        <w:rPr>
          <w:rFonts w:eastAsia="Batang"/>
          <w:lang w:val="fr-FR"/>
        </w:rPr>
        <w:t xml:space="preserve">Cette modification </w:t>
      </w:r>
      <w:r w:rsidR="00DC301F" w:rsidRPr="002715F2">
        <w:rPr>
          <w:rFonts w:eastAsia="Batang"/>
          <w:lang w:val="fr-FR"/>
        </w:rPr>
        <w:t xml:space="preserve">a permis d’ajouter des </w:t>
      </w:r>
      <w:r w:rsidR="00FB692F" w:rsidRPr="002715F2">
        <w:rPr>
          <w:rFonts w:eastAsia="Batang"/>
          <w:lang w:val="fr-FR"/>
        </w:rPr>
        <w:t>critères</w:t>
      </w:r>
      <w:r w:rsidR="00DC301F" w:rsidRPr="002715F2">
        <w:rPr>
          <w:rFonts w:eastAsia="Batang"/>
          <w:lang w:val="fr-FR"/>
        </w:rPr>
        <w:t xml:space="preserve"> supplémentaires</w:t>
      </w:r>
      <w:r w:rsidR="000078DA" w:rsidRPr="002715F2">
        <w:rPr>
          <w:rFonts w:eastAsia="Batang"/>
          <w:lang w:val="fr-FR"/>
        </w:rPr>
        <w:t xml:space="preserve">, </w:t>
      </w:r>
      <w:r w:rsidR="00DC301F" w:rsidRPr="002715F2">
        <w:rPr>
          <w:rFonts w:eastAsia="Batang"/>
          <w:lang w:val="fr-FR"/>
        </w:rPr>
        <w:t xml:space="preserve">à savoir que </w:t>
      </w:r>
      <w:r w:rsidR="00E97B1A" w:rsidRPr="002715F2">
        <w:rPr>
          <w:rFonts w:eastAsia="Batang"/>
          <w:lang w:val="fr-FR"/>
        </w:rPr>
        <w:t>«</w:t>
      </w:r>
      <w:r w:rsidR="00DC301F" w:rsidRPr="002715F2">
        <w:rPr>
          <w:rFonts w:eastAsia="Batang"/>
          <w:lang w:val="fr-FR"/>
        </w:rPr>
        <w:t xml:space="preserve">le procès-verbal a été </w:t>
      </w:r>
      <w:r w:rsidR="00EB4D1F" w:rsidRPr="002715F2">
        <w:rPr>
          <w:rFonts w:eastAsia="Batang"/>
          <w:lang w:val="fr-FR"/>
        </w:rPr>
        <w:t>dressé</w:t>
      </w:r>
      <w:r w:rsidR="00DC301F" w:rsidRPr="002715F2">
        <w:rPr>
          <w:rFonts w:eastAsia="Batang"/>
          <w:lang w:val="fr-FR"/>
        </w:rPr>
        <w:t xml:space="preserve"> conformément à la procédure prévue par la loi et dans le respect des méthodes appropriées</w:t>
      </w:r>
      <w:r w:rsidR="00E97B1A" w:rsidRPr="002715F2">
        <w:rPr>
          <w:rFonts w:eastAsia="Batang"/>
          <w:lang w:val="fr-FR"/>
        </w:rPr>
        <w:t>»</w:t>
      </w:r>
      <w:r w:rsidR="00DC301F" w:rsidRPr="002715F2">
        <w:rPr>
          <w:rFonts w:eastAsia="Batang"/>
          <w:lang w:val="fr-FR"/>
        </w:rPr>
        <w:t xml:space="preserve"> </w:t>
      </w:r>
      <w:r w:rsidR="00FB692F" w:rsidRPr="002715F2">
        <w:rPr>
          <w:rFonts w:eastAsia="Batang"/>
          <w:lang w:val="fr-FR"/>
        </w:rPr>
        <w:t>et qu’</w:t>
      </w:r>
      <w:r w:rsidR="00B42A53" w:rsidRPr="002715F2">
        <w:rPr>
          <w:rFonts w:eastAsia="Batang"/>
          <w:lang w:val="fr-FR"/>
        </w:rPr>
        <w:t>«</w:t>
      </w:r>
      <w:r w:rsidR="00FB692F" w:rsidRPr="002715F2">
        <w:rPr>
          <w:rFonts w:eastAsia="Batang"/>
          <w:lang w:val="fr-FR"/>
        </w:rPr>
        <w:t xml:space="preserve">il soit établi que les </w:t>
      </w:r>
      <w:r w:rsidR="0039617D" w:rsidRPr="002715F2">
        <w:rPr>
          <w:rFonts w:eastAsia="Batang"/>
          <w:lang w:val="fr-FR"/>
        </w:rPr>
        <w:t>déclarations</w:t>
      </w:r>
      <w:r w:rsidR="00FB692F" w:rsidRPr="002715F2">
        <w:rPr>
          <w:rFonts w:eastAsia="Batang"/>
          <w:lang w:val="fr-FR"/>
        </w:rPr>
        <w:t xml:space="preserve"> figurant dans </w:t>
      </w:r>
      <w:r w:rsidR="00EB4D1F" w:rsidRPr="002715F2">
        <w:rPr>
          <w:rFonts w:eastAsia="Batang"/>
          <w:lang w:val="fr-FR"/>
        </w:rPr>
        <w:t>c</w:t>
      </w:r>
      <w:r w:rsidR="00FB692F" w:rsidRPr="002715F2">
        <w:rPr>
          <w:rFonts w:eastAsia="Batang"/>
          <w:lang w:val="fr-FR"/>
        </w:rPr>
        <w:t>e procès-verbal ont été faites dans des conditions qui garantissent leur authenticité</w:t>
      </w:r>
      <w:r w:rsidR="00E97B1A" w:rsidRPr="002715F2">
        <w:rPr>
          <w:rFonts w:eastAsia="Batang"/>
          <w:lang w:val="fr-FR"/>
        </w:rPr>
        <w:t>»</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312</w:t>
      </w:r>
      <w:r w:rsidR="00FB692F"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r w:rsidR="00FB692F" w:rsidRPr="002715F2">
        <w:rPr>
          <w:rFonts w:eastAsia="Batang"/>
          <w:lang w:val="fr-FR"/>
        </w:rPr>
        <w:t>Par ailleurs</w:t>
      </w:r>
      <w:r w:rsidR="000078DA" w:rsidRPr="002715F2">
        <w:rPr>
          <w:rFonts w:eastAsia="Batang"/>
          <w:lang w:val="fr-FR"/>
        </w:rPr>
        <w:t xml:space="preserve">, </w:t>
      </w:r>
      <w:r w:rsidR="00FB692F" w:rsidRPr="002715F2">
        <w:rPr>
          <w:rFonts w:eastAsia="Batang"/>
          <w:lang w:val="fr-FR"/>
        </w:rPr>
        <w:t>avant</w:t>
      </w:r>
      <w:r w:rsidR="000078DA" w:rsidRPr="002715F2">
        <w:rPr>
          <w:rFonts w:eastAsia="Batang"/>
          <w:lang w:val="fr-FR"/>
        </w:rPr>
        <w:t xml:space="preserve"> </w:t>
      </w:r>
      <w:r w:rsidR="00FB692F" w:rsidRPr="002715F2">
        <w:rPr>
          <w:rFonts w:eastAsia="Batang"/>
          <w:lang w:val="fr-FR"/>
        </w:rPr>
        <w:t xml:space="preserve">cette </w:t>
      </w:r>
      <w:r w:rsidR="00EB4D1F" w:rsidRPr="002715F2">
        <w:rPr>
          <w:rFonts w:eastAsia="Batang"/>
          <w:lang w:val="fr-FR"/>
        </w:rPr>
        <w:t>modification</w:t>
      </w:r>
      <w:r w:rsidR="000078DA" w:rsidRPr="002715F2">
        <w:rPr>
          <w:rFonts w:eastAsia="Batang"/>
          <w:lang w:val="fr-FR"/>
        </w:rPr>
        <w:t xml:space="preserve">, </w:t>
      </w:r>
      <w:r w:rsidR="00FB692F" w:rsidRPr="002715F2">
        <w:rPr>
          <w:rFonts w:eastAsia="Batang"/>
          <w:lang w:val="fr-FR"/>
        </w:rPr>
        <w:t>le procès-verbal de l’interrogatoire d’un suspect établi par une personne autre qu</w:t>
      </w:r>
      <w:r w:rsidR="009419D6" w:rsidRPr="002715F2">
        <w:rPr>
          <w:rFonts w:eastAsia="Batang"/>
          <w:lang w:val="fr-FR"/>
        </w:rPr>
        <w:t>’un</w:t>
      </w:r>
      <w:r w:rsidR="00FB692F" w:rsidRPr="002715F2">
        <w:rPr>
          <w:rFonts w:eastAsia="Batang"/>
          <w:lang w:val="fr-FR"/>
        </w:rPr>
        <w:t xml:space="preserve"> procureur pouvait être produit comme élément de preuve si </w:t>
      </w:r>
      <w:r w:rsidR="00E97B1A" w:rsidRPr="002715F2">
        <w:rPr>
          <w:rFonts w:eastAsia="Batang"/>
          <w:lang w:val="fr-FR"/>
        </w:rPr>
        <w:t>«</w:t>
      </w:r>
      <w:r w:rsidR="00FB692F" w:rsidRPr="002715F2">
        <w:rPr>
          <w:rFonts w:eastAsia="Batang"/>
          <w:lang w:val="fr-FR"/>
        </w:rPr>
        <w:t>l’accusé ou son avocat en confirmait le contenu</w:t>
      </w:r>
      <w:r w:rsidR="00E97B1A" w:rsidRPr="002715F2">
        <w:rPr>
          <w:rFonts w:eastAsia="Batang"/>
          <w:lang w:val="fr-FR"/>
        </w:rPr>
        <w:t>»</w:t>
      </w:r>
      <w:r w:rsidR="00FB692F" w:rsidRPr="002715F2">
        <w:rPr>
          <w:rFonts w:eastAsia="Batang"/>
          <w:lang w:val="fr-FR"/>
        </w:rPr>
        <w:t>.</w:t>
      </w:r>
      <w:r w:rsidR="000078DA" w:rsidRPr="002715F2">
        <w:rPr>
          <w:rFonts w:eastAsia="Batang"/>
          <w:lang w:val="fr-FR"/>
        </w:rPr>
        <w:t xml:space="preserve"> </w:t>
      </w:r>
      <w:r w:rsidR="00FB692F" w:rsidRPr="002715F2">
        <w:rPr>
          <w:rFonts w:eastAsia="Batang"/>
          <w:lang w:val="fr-FR"/>
        </w:rPr>
        <w:t xml:space="preserve">La modification </w:t>
      </w:r>
      <w:r w:rsidR="0039617D" w:rsidRPr="002715F2">
        <w:rPr>
          <w:rFonts w:eastAsia="Batang"/>
          <w:lang w:val="fr-FR"/>
        </w:rPr>
        <w:t>adoptée</w:t>
      </w:r>
      <w:r w:rsidR="00FB692F" w:rsidRPr="002715F2">
        <w:rPr>
          <w:rFonts w:eastAsia="Batang"/>
          <w:lang w:val="fr-FR"/>
        </w:rPr>
        <w:t xml:space="preserve"> en 2007 a permis d’ajouter la condition que </w:t>
      </w:r>
      <w:r w:rsidR="00E97B1A" w:rsidRPr="002715F2">
        <w:rPr>
          <w:rFonts w:eastAsia="Batang"/>
          <w:lang w:val="fr-FR"/>
        </w:rPr>
        <w:t>«</w:t>
      </w:r>
      <w:r w:rsidR="00FB692F" w:rsidRPr="002715F2">
        <w:rPr>
          <w:rFonts w:eastAsia="Batang"/>
          <w:lang w:val="fr-FR"/>
        </w:rPr>
        <w:t>le procès-verbal soit établi conformément à la procédure prévue par la loi et dans le respect des méthodes appropriées</w:t>
      </w:r>
      <w:r w:rsidR="00E97B1A" w:rsidRPr="002715F2">
        <w:rPr>
          <w:rFonts w:eastAsia="Batang"/>
          <w:lang w:val="fr-FR"/>
        </w:rPr>
        <w:t>»</w:t>
      </w:r>
      <w:r w:rsidR="00F60999" w:rsidRPr="002715F2">
        <w:rPr>
          <w:rFonts w:eastAsia="Batang"/>
          <w:lang w:val="fr-FR"/>
        </w:rPr>
        <w:t xml:space="preserve"> (</w:t>
      </w:r>
      <w:r w:rsidR="00BD1A84" w:rsidRPr="002715F2">
        <w:rPr>
          <w:rFonts w:eastAsia="Batang"/>
          <w:lang w:val="fr-FR"/>
        </w:rPr>
        <w:t>par. </w:t>
      </w:r>
      <w:r w:rsidR="00F60999" w:rsidRPr="002715F2">
        <w:rPr>
          <w:rFonts w:eastAsia="Batang"/>
          <w:lang w:val="fr-FR"/>
        </w:rPr>
        <w:t>3).</w:t>
      </w:r>
    </w:p>
    <w:p w:rsidR="000078DA" w:rsidRPr="002715F2" w:rsidRDefault="00F420C5">
      <w:pPr>
        <w:pStyle w:val="H1G"/>
        <w:rPr>
          <w:rFonts w:eastAsia="Batang"/>
          <w:lang w:val="fr-FR"/>
        </w:rPr>
      </w:pPr>
      <w:r w:rsidRPr="002715F2">
        <w:rPr>
          <w:rFonts w:eastAsia="Batang"/>
          <w:lang w:val="fr-FR"/>
        </w:rPr>
        <w:tab/>
      </w:r>
      <w:r w:rsidRPr="002715F2">
        <w:rPr>
          <w:rFonts w:eastAsia="Batang"/>
          <w:lang w:val="fr-FR"/>
        </w:rPr>
        <w:tab/>
      </w:r>
      <w:r w:rsidR="003852BE" w:rsidRPr="002715F2">
        <w:rPr>
          <w:rFonts w:eastAsia="Batang"/>
          <w:lang w:val="fr-FR"/>
        </w:rPr>
        <w:t xml:space="preserve">Article </w:t>
      </w:r>
      <w:r w:rsidRPr="002715F2">
        <w:rPr>
          <w:rFonts w:eastAsia="Batang"/>
          <w:lang w:val="fr-FR"/>
        </w:rPr>
        <w:t>16</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E34FEE" w:rsidRPr="002715F2">
        <w:rPr>
          <w:rFonts w:eastAsia="Batang"/>
          <w:lang w:val="fr-FR" w:eastAsia="ko-KR"/>
        </w:rPr>
        <w:t xml:space="preserve">Réponse aux questions soulevées au </w:t>
      </w:r>
      <w:r w:rsidR="003852BE" w:rsidRPr="002715F2">
        <w:rPr>
          <w:rFonts w:eastAsia="Batang"/>
          <w:lang w:val="fr-FR" w:eastAsia="ko-KR"/>
        </w:rPr>
        <w:t xml:space="preserve">paragraphe </w:t>
      </w:r>
      <w:r w:rsidR="00E34FEE" w:rsidRPr="002715F2">
        <w:rPr>
          <w:rFonts w:eastAsia="Batang"/>
          <w:lang w:val="fr-FR" w:eastAsia="ko-KR"/>
        </w:rPr>
        <w:t>31</w:t>
      </w:r>
    </w:p>
    <w:p w:rsidR="000078DA" w:rsidRPr="002715F2" w:rsidRDefault="007026FB" w:rsidP="007026FB">
      <w:pPr>
        <w:pStyle w:val="SingleTxtG"/>
        <w:rPr>
          <w:rFonts w:eastAsia="Batang"/>
          <w:lang w:val="fr-FR"/>
        </w:rPr>
      </w:pPr>
      <w:r w:rsidRPr="002715F2">
        <w:rPr>
          <w:rFonts w:eastAsia="Batang"/>
          <w:lang w:val="fr-FR"/>
        </w:rPr>
        <w:t>159.</w:t>
      </w:r>
      <w:r w:rsidRPr="002715F2">
        <w:rPr>
          <w:rFonts w:eastAsia="Batang"/>
          <w:lang w:val="fr-FR"/>
        </w:rPr>
        <w:tab/>
      </w:r>
      <w:r w:rsidR="00E34FEE" w:rsidRPr="002715F2">
        <w:rPr>
          <w:rFonts w:eastAsia="Batang"/>
          <w:lang w:val="fr-FR"/>
        </w:rPr>
        <w:t xml:space="preserve">Le Gouvernement </w:t>
      </w:r>
      <w:r w:rsidR="009419D6" w:rsidRPr="002715F2">
        <w:rPr>
          <w:rFonts w:eastAsia="Batang"/>
          <w:lang w:val="fr-FR"/>
        </w:rPr>
        <w:t>s’</w:t>
      </w:r>
      <w:r w:rsidR="00E34FEE" w:rsidRPr="002715F2">
        <w:rPr>
          <w:rFonts w:eastAsia="Batang"/>
          <w:lang w:val="fr-FR"/>
        </w:rPr>
        <w:t>efforc</w:t>
      </w:r>
      <w:r w:rsidR="009419D6" w:rsidRPr="002715F2">
        <w:rPr>
          <w:rFonts w:eastAsia="Batang"/>
          <w:lang w:val="fr-FR"/>
        </w:rPr>
        <w:t>e</w:t>
      </w:r>
      <w:r w:rsidR="00E34FEE" w:rsidRPr="002715F2">
        <w:rPr>
          <w:rFonts w:eastAsia="Batang"/>
          <w:lang w:val="fr-FR"/>
        </w:rPr>
        <w:t xml:space="preserve"> de garantir un meilleur accès </w:t>
      </w:r>
      <w:r w:rsidR="00A35816" w:rsidRPr="002715F2">
        <w:rPr>
          <w:rFonts w:eastAsia="Batang"/>
          <w:lang w:val="fr-FR"/>
        </w:rPr>
        <w:t>aux</w:t>
      </w:r>
      <w:r w:rsidR="00E34FEE" w:rsidRPr="002715F2">
        <w:rPr>
          <w:rFonts w:eastAsia="Batang"/>
          <w:lang w:val="fr-FR"/>
        </w:rPr>
        <w:t xml:space="preserve"> services médicaux appropriés dans les </w:t>
      </w:r>
      <w:r w:rsidR="009966B6" w:rsidRPr="002715F2">
        <w:rPr>
          <w:rFonts w:eastAsia="Batang"/>
          <w:lang w:val="fr-FR"/>
        </w:rPr>
        <w:t>structures</w:t>
      </w:r>
      <w:r w:rsidR="00E34FEE" w:rsidRPr="002715F2">
        <w:rPr>
          <w:rFonts w:eastAsia="Batang"/>
          <w:lang w:val="fr-FR"/>
        </w:rPr>
        <w:t xml:space="preserve"> de détention</w:t>
      </w:r>
      <w:r w:rsidR="000078DA" w:rsidRPr="002715F2">
        <w:rPr>
          <w:rFonts w:eastAsia="Batang"/>
          <w:lang w:val="fr-FR"/>
        </w:rPr>
        <w:t xml:space="preserve">. </w:t>
      </w:r>
      <w:r w:rsidR="00E34FEE" w:rsidRPr="002715F2">
        <w:rPr>
          <w:rFonts w:eastAsia="Batang"/>
          <w:lang w:val="fr-FR"/>
        </w:rPr>
        <w:t xml:space="preserve">Un gardien doit </w:t>
      </w:r>
      <w:r w:rsidR="00A35816" w:rsidRPr="002715F2">
        <w:rPr>
          <w:rFonts w:eastAsia="Batang"/>
          <w:lang w:val="fr-FR"/>
        </w:rPr>
        <w:t xml:space="preserve">périodiquement </w:t>
      </w:r>
      <w:r w:rsidR="00E34FEE" w:rsidRPr="002715F2">
        <w:rPr>
          <w:rFonts w:eastAsia="Batang"/>
          <w:lang w:val="fr-FR"/>
        </w:rPr>
        <w:t xml:space="preserve">faire passer des </w:t>
      </w:r>
      <w:r w:rsidR="00A35816" w:rsidRPr="002715F2">
        <w:rPr>
          <w:rFonts w:eastAsia="Batang"/>
          <w:lang w:val="fr-FR"/>
        </w:rPr>
        <w:t>visites</w:t>
      </w:r>
      <w:r w:rsidR="00E34FEE" w:rsidRPr="002715F2">
        <w:rPr>
          <w:rFonts w:eastAsia="Batang"/>
          <w:lang w:val="fr-FR"/>
        </w:rPr>
        <w:t xml:space="preserve"> médica</w:t>
      </w:r>
      <w:r w:rsidR="00A35816" w:rsidRPr="002715F2">
        <w:rPr>
          <w:rFonts w:eastAsia="Batang"/>
          <w:lang w:val="fr-FR"/>
        </w:rPr>
        <w:t>les</w:t>
      </w:r>
      <w:r w:rsidR="00E34FEE" w:rsidRPr="002715F2">
        <w:rPr>
          <w:rFonts w:eastAsia="Batang"/>
          <w:lang w:val="fr-FR"/>
        </w:rPr>
        <w:t xml:space="preserve"> aux détenus </w:t>
      </w:r>
      <w:r w:rsidR="000078DA" w:rsidRPr="002715F2">
        <w:rPr>
          <w:rFonts w:eastAsia="Batang"/>
          <w:lang w:val="fr-FR"/>
        </w:rPr>
        <w:t>(</w:t>
      </w:r>
      <w:r w:rsidR="00E34FEE" w:rsidRPr="002715F2">
        <w:rPr>
          <w:rFonts w:eastAsia="Batang"/>
          <w:lang w:val="fr-FR"/>
        </w:rPr>
        <w:t xml:space="preserve">loi </w:t>
      </w:r>
      <w:r w:rsidR="003D6E5E" w:rsidRPr="002715F2">
        <w:rPr>
          <w:rFonts w:eastAsia="Batang"/>
          <w:lang w:val="fr-FR"/>
        </w:rPr>
        <w:t xml:space="preserve">relative à l’exécution </w:t>
      </w:r>
      <w:r w:rsidR="00E34FEE" w:rsidRPr="002715F2">
        <w:rPr>
          <w:rFonts w:eastAsia="Batang"/>
          <w:lang w:val="fr-FR"/>
        </w:rPr>
        <w:t xml:space="preserve">des </w:t>
      </w:r>
      <w:r w:rsidR="009271C9" w:rsidRPr="002715F2">
        <w:rPr>
          <w:rFonts w:eastAsia="Batang"/>
          <w:lang w:val="fr-FR"/>
        </w:rPr>
        <w:t>sanctions</w:t>
      </w:r>
      <w:r w:rsidR="00E34FEE" w:rsidRPr="002715F2">
        <w:rPr>
          <w:rFonts w:eastAsia="Batang"/>
          <w:lang w:val="fr-FR"/>
        </w:rPr>
        <w:t xml:space="preserve"> pénales et </w:t>
      </w:r>
      <w:r w:rsidR="003D6E5E" w:rsidRPr="002715F2">
        <w:rPr>
          <w:rFonts w:eastAsia="Batang"/>
          <w:lang w:val="fr-FR"/>
        </w:rPr>
        <w:t>au</w:t>
      </w:r>
      <w:r w:rsidR="00E34FEE" w:rsidRPr="002715F2">
        <w:rPr>
          <w:rFonts w:eastAsia="Batang"/>
          <w:lang w:val="fr-FR"/>
        </w:rPr>
        <w:t xml:space="preserve"> traitement des détenus,</w:t>
      </w:r>
      <w:r w:rsidR="00E34FEE" w:rsidRPr="002715F2">
        <w:rPr>
          <w:rFonts w:eastAsia="Batang"/>
          <w:i/>
          <w:lang w:val="fr-FR"/>
        </w:rPr>
        <w:t xml:space="preserve"> </w:t>
      </w:r>
      <w:r w:rsidR="00BD1A84" w:rsidRPr="002715F2">
        <w:rPr>
          <w:rFonts w:eastAsia="Batang"/>
          <w:lang w:val="fr-FR"/>
        </w:rPr>
        <w:t>art. </w:t>
      </w:r>
      <w:r w:rsidR="000078DA" w:rsidRPr="002715F2">
        <w:rPr>
          <w:rFonts w:eastAsia="Batang"/>
          <w:lang w:val="fr-FR"/>
        </w:rPr>
        <w:t>34</w:t>
      </w:r>
      <w:r w:rsidR="00E34FEE"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r w:rsidR="00A35816" w:rsidRPr="002715F2">
        <w:rPr>
          <w:rFonts w:eastAsia="Batang"/>
          <w:lang w:val="fr-FR"/>
        </w:rPr>
        <w:t xml:space="preserve">et peut, si </w:t>
      </w:r>
      <w:r w:rsidR="0039617D" w:rsidRPr="002715F2">
        <w:rPr>
          <w:rFonts w:eastAsia="Batang"/>
          <w:lang w:val="fr-FR"/>
        </w:rPr>
        <w:t>nécessaire</w:t>
      </w:r>
      <w:r w:rsidR="00A35816" w:rsidRPr="002715F2">
        <w:rPr>
          <w:rFonts w:eastAsia="Batang"/>
          <w:lang w:val="fr-FR"/>
        </w:rPr>
        <w:t xml:space="preserve">, autoriser ces derniers à recevoir des soins médicaux dans des établissements </w:t>
      </w:r>
      <w:r w:rsidR="009419D6" w:rsidRPr="002715F2">
        <w:rPr>
          <w:rFonts w:eastAsia="Batang"/>
          <w:lang w:val="fr-FR"/>
        </w:rPr>
        <w:t>de santé</w:t>
      </w:r>
      <w:r w:rsidR="00A35816" w:rsidRPr="002715F2">
        <w:rPr>
          <w:rFonts w:eastAsia="Batang"/>
          <w:lang w:val="fr-FR"/>
        </w:rPr>
        <w:t xml:space="preserve"> extérieurs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37</w:t>
      </w:r>
      <w:r w:rsidR="00395B17"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A35816" w:rsidRPr="002715F2">
        <w:rPr>
          <w:rFonts w:eastAsia="Batang"/>
          <w:lang w:val="fr-FR"/>
        </w:rPr>
        <w:t xml:space="preserve">1). Si un détenu </w:t>
      </w:r>
      <w:r w:rsidR="004F7D67" w:rsidRPr="002715F2">
        <w:rPr>
          <w:rFonts w:eastAsia="Batang"/>
          <w:lang w:val="fr-FR"/>
        </w:rPr>
        <w:t>présente des signes de</w:t>
      </w:r>
      <w:r w:rsidR="00A35816" w:rsidRPr="002715F2">
        <w:rPr>
          <w:rFonts w:eastAsia="Batang"/>
          <w:lang w:val="fr-FR"/>
        </w:rPr>
        <w:t xml:space="preserve"> pathologie mentale, un gardien doit faire en sorte </w:t>
      </w:r>
      <w:r w:rsidR="00395B17" w:rsidRPr="002715F2">
        <w:rPr>
          <w:rFonts w:eastAsia="Batang"/>
          <w:lang w:val="fr-FR"/>
        </w:rPr>
        <w:t xml:space="preserve">qu’il </w:t>
      </w:r>
      <w:r w:rsidR="00A35816" w:rsidRPr="002715F2">
        <w:rPr>
          <w:rFonts w:eastAsia="Batang"/>
          <w:lang w:val="fr-FR"/>
        </w:rPr>
        <w:t xml:space="preserve">bénéficie d’une prise en charge médicale psychiatrique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39</w:t>
      </w:r>
      <w:r w:rsidR="00A35816"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2). </w:t>
      </w:r>
      <w:r w:rsidR="004F7D67" w:rsidRPr="002715F2">
        <w:rPr>
          <w:rFonts w:eastAsia="Batang"/>
          <w:lang w:val="fr-FR"/>
        </w:rPr>
        <w:t>Ces mesures concernent également l</w:t>
      </w:r>
      <w:r w:rsidR="00A35816" w:rsidRPr="002715F2">
        <w:rPr>
          <w:rFonts w:eastAsia="Batang"/>
          <w:lang w:val="fr-FR"/>
        </w:rPr>
        <w:t xml:space="preserve">es établissements </w:t>
      </w:r>
      <w:r w:rsidR="00AD696F" w:rsidRPr="002715F2">
        <w:rPr>
          <w:rFonts w:eastAsia="Gulim"/>
          <w:lang w:val="fr-FR" w:eastAsia="ko-KR"/>
        </w:rPr>
        <w:t>pénitentiaires</w:t>
      </w:r>
      <w:r w:rsidR="00AD2CD0" w:rsidRPr="002715F2">
        <w:rPr>
          <w:rFonts w:eastAsia="Gulim"/>
          <w:lang w:val="fr-FR" w:eastAsia="ko-KR"/>
        </w:rPr>
        <w:t xml:space="preserve"> </w:t>
      </w:r>
      <w:r w:rsidR="00A35816" w:rsidRPr="002715F2">
        <w:rPr>
          <w:rFonts w:eastAsia="Batang"/>
          <w:lang w:val="fr-FR"/>
        </w:rPr>
        <w:t xml:space="preserve">militaires </w:t>
      </w:r>
      <w:r w:rsidR="000078DA" w:rsidRPr="002715F2">
        <w:rPr>
          <w:rFonts w:eastAsia="Batang"/>
          <w:lang w:val="fr-FR"/>
        </w:rPr>
        <w:t>(</w:t>
      </w:r>
      <w:r w:rsidR="00A35816" w:rsidRPr="002715F2">
        <w:rPr>
          <w:rFonts w:eastAsia="Batang"/>
          <w:lang w:val="fr-FR"/>
        </w:rPr>
        <w:t xml:space="preserve">loi </w:t>
      </w:r>
      <w:r w:rsidR="003D6E5E" w:rsidRPr="002715F2">
        <w:rPr>
          <w:rFonts w:eastAsia="Batang"/>
          <w:lang w:val="fr-FR"/>
        </w:rPr>
        <w:t xml:space="preserve">relative à l’exécution des </w:t>
      </w:r>
      <w:r w:rsidR="00A35816" w:rsidRPr="002715F2">
        <w:rPr>
          <w:rFonts w:eastAsia="Batang"/>
          <w:lang w:val="fr-FR"/>
        </w:rPr>
        <w:t xml:space="preserve">sanctions pénales dans les forces armées et </w:t>
      </w:r>
      <w:r w:rsidR="003D6E5E" w:rsidRPr="002715F2">
        <w:rPr>
          <w:rFonts w:eastAsia="Batang"/>
          <w:lang w:val="fr-FR"/>
        </w:rPr>
        <w:t>au</w:t>
      </w:r>
      <w:r w:rsidR="00A35816" w:rsidRPr="002715F2">
        <w:rPr>
          <w:rFonts w:eastAsia="Batang"/>
          <w:lang w:val="fr-FR"/>
        </w:rPr>
        <w:t xml:space="preserve"> traitement des détenus militaires,</w:t>
      </w:r>
      <w:r w:rsidR="000078DA" w:rsidRPr="002715F2">
        <w:rPr>
          <w:rFonts w:eastAsia="Batang"/>
          <w:lang w:val="fr-FR"/>
        </w:rPr>
        <w:t xml:space="preserve"> </w:t>
      </w:r>
      <w:r w:rsidR="00A35816" w:rsidRPr="002715F2">
        <w:rPr>
          <w:rFonts w:eastAsia="Batang"/>
          <w:lang w:val="fr-FR"/>
        </w:rPr>
        <w:t>art. </w:t>
      </w:r>
      <w:r w:rsidR="000078DA" w:rsidRPr="002715F2">
        <w:rPr>
          <w:rFonts w:eastAsia="Batang"/>
          <w:lang w:val="fr-FR"/>
        </w:rPr>
        <w:t xml:space="preserve">35 </w:t>
      </w:r>
      <w:r w:rsidR="00BD1A84" w:rsidRPr="002715F2">
        <w:rPr>
          <w:rFonts w:eastAsia="Batang"/>
          <w:lang w:val="fr-FR"/>
        </w:rPr>
        <w:t>par. </w:t>
      </w:r>
      <w:r w:rsidR="000078DA" w:rsidRPr="002715F2">
        <w:rPr>
          <w:rFonts w:eastAsia="Batang"/>
          <w:lang w:val="fr-FR"/>
        </w:rPr>
        <w:t xml:space="preserve">1, </w:t>
      </w:r>
      <w:r w:rsidR="00BD1A84" w:rsidRPr="002715F2">
        <w:rPr>
          <w:rFonts w:eastAsia="Batang"/>
          <w:lang w:val="fr-FR"/>
        </w:rPr>
        <w:t>art. </w:t>
      </w:r>
      <w:r w:rsidR="000078DA" w:rsidRPr="002715F2">
        <w:rPr>
          <w:rFonts w:eastAsia="Batang"/>
          <w:lang w:val="fr-FR"/>
        </w:rPr>
        <w:t>38</w:t>
      </w:r>
      <w:r w:rsidR="00A35816"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r w:rsidR="004F7D67" w:rsidRPr="002715F2">
        <w:rPr>
          <w:rFonts w:eastAsia="Batang"/>
          <w:lang w:val="fr-FR"/>
        </w:rPr>
        <w:t xml:space="preserve">et </w:t>
      </w:r>
      <w:r w:rsidR="00BD1A84" w:rsidRPr="002715F2">
        <w:rPr>
          <w:rFonts w:eastAsia="Batang"/>
          <w:lang w:val="fr-FR"/>
        </w:rPr>
        <w:t>art. </w:t>
      </w:r>
      <w:r w:rsidR="000078DA" w:rsidRPr="002715F2">
        <w:rPr>
          <w:rFonts w:eastAsia="Batang"/>
          <w:lang w:val="fr-FR"/>
        </w:rPr>
        <w:t>40</w:t>
      </w:r>
      <w:r w:rsidR="00A35816"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2).</w:t>
      </w:r>
    </w:p>
    <w:p w:rsidR="000078DA" w:rsidRPr="002715F2" w:rsidRDefault="007026FB" w:rsidP="007026FB">
      <w:pPr>
        <w:pStyle w:val="SingleTxtG"/>
        <w:rPr>
          <w:rFonts w:eastAsia="Batang"/>
          <w:lang w:val="fr-FR"/>
        </w:rPr>
      </w:pPr>
      <w:r w:rsidRPr="002715F2">
        <w:rPr>
          <w:rFonts w:eastAsia="Batang"/>
          <w:lang w:val="fr-FR"/>
        </w:rPr>
        <w:t>160.</w:t>
      </w:r>
      <w:r w:rsidRPr="002715F2">
        <w:rPr>
          <w:rFonts w:eastAsia="Batang"/>
          <w:lang w:val="fr-FR"/>
        </w:rPr>
        <w:tab/>
      </w:r>
      <w:r w:rsidR="00C37132" w:rsidRPr="002715F2">
        <w:rPr>
          <w:rFonts w:eastAsia="Batang"/>
          <w:lang w:val="fr-FR"/>
        </w:rPr>
        <w:t>À l’heure actuelle</w:t>
      </w:r>
      <w:r w:rsidR="00667616" w:rsidRPr="002715F2">
        <w:rPr>
          <w:rFonts w:eastAsia="Batang"/>
          <w:lang w:val="fr-FR"/>
        </w:rPr>
        <w:t>, chacun des 52</w:t>
      </w:r>
      <w:r w:rsidR="00C37132" w:rsidRPr="002715F2">
        <w:rPr>
          <w:rFonts w:eastAsia="Batang"/>
          <w:lang w:val="fr-FR"/>
        </w:rPr>
        <w:t> </w:t>
      </w:r>
      <w:r w:rsidR="00667616" w:rsidRPr="002715F2">
        <w:rPr>
          <w:rFonts w:eastAsia="Batang"/>
          <w:lang w:val="fr-FR"/>
        </w:rPr>
        <w:t xml:space="preserve">établissements pénitentiaires dispose d’une unité médicale </w:t>
      </w:r>
      <w:r w:rsidR="00B50DCB" w:rsidRPr="002715F2">
        <w:rPr>
          <w:rFonts w:eastAsia="Batang"/>
          <w:lang w:val="fr-FR"/>
        </w:rPr>
        <w:t xml:space="preserve">qui équivaut à un </w:t>
      </w:r>
      <w:r w:rsidR="00667616" w:rsidRPr="002715F2">
        <w:rPr>
          <w:rFonts w:eastAsia="Batang"/>
          <w:lang w:val="fr-FR"/>
        </w:rPr>
        <w:t>dispensaire et</w:t>
      </w:r>
      <w:r w:rsidR="00B50DCB" w:rsidRPr="002715F2">
        <w:rPr>
          <w:rFonts w:eastAsia="Batang"/>
          <w:lang w:val="fr-FR"/>
        </w:rPr>
        <w:t xml:space="preserve"> qui est</w:t>
      </w:r>
      <w:r w:rsidR="00667616" w:rsidRPr="002715F2">
        <w:rPr>
          <w:rFonts w:eastAsia="Batang"/>
          <w:lang w:val="fr-FR"/>
        </w:rPr>
        <w:t xml:space="preserve"> dotée d’au moins </w:t>
      </w:r>
      <w:r w:rsidR="003852BE" w:rsidRPr="002715F2">
        <w:rPr>
          <w:rFonts w:eastAsia="Batang"/>
          <w:lang w:val="fr-FR"/>
        </w:rPr>
        <w:t xml:space="preserve">un </w:t>
      </w:r>
      <w:r w:rsidR="00667616" w:rsidRPr="002715F2">
        <w:rPr>
          <w:rFonts w:eastAsia="Batang"/>
          <w:lang w:val="fr-FR"/>
        </w:rPr>
        <w:t>médecin</w:t>
      </w:r>
      <w:r w:rsidR="000078DA" w:rsidRPr="002715F2">
        <w:rPr>
          <w:rFonts w:eastAsia="Batang"/>
          <w:lang w:val="fr-FR"/>
        </w:rPr>
        <w:t xml:space="preserve">. </w:t>
      </w:r>
      <w:r w:rsidR="00667616" w:rsidRPr="002715F2">
        <w:rPr>
          <w:rFonts w:eastAsia="Batang"/>
          <w:lang w:val="fr-FR"/>
        </w:rPr>
        <w:t xml:space="preserve">Un prestataire de soins extérieur fait passer un bilan de santé aux détenus au moins une fois par an, et ceux-ci </w:t>
      </w:r>
      <w:r w:rsidR="0039617D" w:rsidRPr="002715F2">
        <w:rPr>
          <w:rFonts w:eastAsia="Batang"/>
          <w:lang w:val="fr-FR"/>
        </w:rPr>
        <w:t>reçoivent</w:t>
      </w:r>
      <w:r w:rsidR="00667616" w:rsidRPr="002715F2">
        <w:rPr>
          <w:rFonts w:eastAsia="Batang"/>
          <w:lang w:val="fr-FR"/>
        </w:rPr>
        <w:t xml:space="preserve"> différents vaccins et passent une</w:t>
      </w:r>
      <w:r w:rsidR="00B50DCB" w:rsidRPr="002715F2">
        <w:rPr>
          <w:rFonts w:eastAsia="Batang"/>
          <w:lang w:val="fr-FR"/>
        </w:rPr>
        <w:t xml:space="preserve"> visite médicale au moment de leur </w:t>
      </w:r>
      <w:r w:rsidR="00A40A1D" w:rsidRPr="002715F2">
        <w:rPr>
          <w:rFonts w:eastAsia="Batang"/>
          <w:lang w:val="fr-FR"/>
        </w:rPr>
        <w:t>admission</w:t>
      </w:r>
      <w:r w:rsidR="00B50DCB" w:rsidRPr="002715F2">
        <w:rPr>
          <w:rFonts w:eastAsia="Batang"/>
          <w:lang w:val="fr-FR"/>
        </w:rPr>
        <w:t>. Les détenu</w:t>
      </w:r>
      <w:r w:rsidR="00667616" w:rsidRPr="002715F2">
        <w:rPr>
          <w:rFonts w:eastAsia="Batang"/>
          <w:lang w:val="fr-FR"/>
        </w:rPr>
        <w:t xml:space="preserve">s reçoivent </w:t>
      </w:r>
      <w:r w:rsidR="00B50DCB" w:rsidRPr="002715F2">
        <w:rPr>
          <w:rFonts w:eastAsia="Batang"/>
          <w:lang w:val="fr-FR"/>
        </w:rPr>
        <w:t>en outre</w:t>
      </w:r>
      <w:r w:rsidR="00667616" w:rsidRPr="002715F2">
        <w:rPr>
          <w:rFonts w:eastAsia="Batang"/>
          <w:lang w:val="fr-FR"/>
        </w:rPr>
        <w:t xml:space="preserve"> des traitements et des soins médicaux appropriés s’ils sont malades</w:t>
      </w:r>
      <w:r w:rsidR="000078DA" w:rsidRPr="002715F2">
        <w:rPr>
          <w:rFonts w:eastAsia="Batang"/>
          <w:lang w:val="fr-FR"/>
        </w:rPr>
        <w:t xml:space="preserve">. </w:t>
      </w:r>
      <w:r w:rsidR="00667616" w:rsidRPr="002715F2">
        <w:rPr>
          <w:rFonts w:eastAsia="Batang"/>
          <w:lang w:val="fr-FR"/>
        </w:rPr>
        <w:t>Au 31</w:t>
      </w:r>
      <w:r w:rsidR="00395B17" w:rsidRPr="002715F2">
        <w:rPr>
          <w:rFonts w:eastAsia="Batang"/>
          <w:lang w:val="fr-FR"/>
        </w:rPr>
        <w:t> </w:t>
      </w:r>
      <w:r w:rsidR="00667616" w:rsidRPr="002715F2">
        <w:rPr>
          <w:rFonts w:eastAsia="Batang"/>
          <w:lang w:val="fr-FR"/>
        </w:rPr>
        <w:t xml:space="preserve">décembre 2015, les établissements </w:t>
      </w:r>
      <w:r w:rsidR="00730B36" w:rsidRPr="002715F2">
        <w:rPr>
          <w:rFonts w:eastAsia="Batang"/>
          <w:lang w:val="fr-FR"/>
        </w:rPr>
        <w:t xml:space="preserve">pénitentiaires </w:t>
      </w:r>
      <w:r w:rsidR="00667616" w:rsidRPr="002715F2">
        <w:rPr>
          <w:rFonts w:eastAsia="Batang"/>
          <w:lang w:val="fr-FR"/>
        </w:rPr>
        <w:t>comptaient 87 médecins dont</w:t>
      </w:r>
      <w:r w:rsidR="00B50DCB" w:rsidRPr="002715F2">
        <w:rPr>
          <w:rFonts w:eastAsia="Batang"/>
          <w:lang w:val="fr-FR"/>
        </w:rPr>
        <w:t xml:space="preserve"> 58 spécialistes (66,7 </w:t>
      </w:r>
      <w:r w:rsidR="00395B17" w:rsidRPr="002715F2">
        <w:rPr>
          <w:rFonts w:eastAsia="Batang"/>
          <w:lang w:val="fr-FR"/>
        </w:rPr>
        <w:t>%) et 29 </w:t>
      </w:r>
      <w:r w:rsidR="00667616" w:rsidRPr="002715F2">
        <w:rPr>
          <w:rFonts w:eastAsia="Batang"/>
          <w:lang w:val="fr-FR"/>
        </w:rPr>
        <w:t>généralistes (33,3</w:t>
      </w:r>
      <w:r w:rsidR="00B50DCB" w:rsidRPr="002715F2">
        <w:rPr>
          <w:rFonts w:eastAsia="Batang"/>
          <w:lang w:val="fr-FR"/>
        </w:rPr>
        <w:t> </w:t>
      </w:r>
      <w:r w:rsidR="00667616" w:rsidRPr="002715F2">
        <w:rPr>
          <w:rFonts w:eastAsia="Batang"/>
          <w:lang w:val="fr-FR"/>
        </w:rPr>
        <w:t>%)</w:t>
      </w:r>
      <w:r w:rsidR="000078DA" w:rsidRPr="002715F2">
        <w:rPr>
          <w:rFonts w:eastAsia="Batang"/>
          <w:lang w:val="fr-FR"/>
        </w:rPr>
        <w:t>.</w:t>
      </w:r>
      <w:r w:rsidR="00667616" w:rsidRPr="002715F2">
        <w:rPr>
          <w:rFonts w:eastAsia="Batang"/>
          <w:lang w:val="fr-FR"/>
        </w:rPr>
        <w:t xml:space="preserve"> En outre, 53 </w:t>
      </w:r>
      <w:r w:rsidR="00C57B13" w:rsidRPr="002715F2">
        <w:rPr>
          <w:rFonts w:eastAsia="Batang"/>
          <w:lang w:val="fr-FR"/>
        </w:rPr>
        <w:t xml:space="preserve">médecins </w:t>
      </w:r>
      <w:r w:rsidR="003671E3" w:rsidRPr="002715F2">
        <w:rPr>
          <w:rFonts w:eastAsia="Batang"/>
          <w:lang w:val="fr-FR"/>
        </w:rPr>
        <w:t xml:space="preserve">du système de santé publique </w:t>
      </w:r>
      <w:r w:rsidR="009966B6" w:rsidRPr="002715F2">
        <w:rPr>
          <w:rFonts w:eastAsia="Batang"/>
          <w:lang w:val="fr-FR"/>
        </w:rPr>
        <w:t>exercent</w:t>
      </w:r>
      <w:r w:rsidR="00C57B13" w:rsidRPr="002715F2">
        <w:rPr>
          <w:rFonts w:eastAsia="Batang"/>
          <w:lang w:val="fr-FR"/>
        </w:rPr>
        <w:t xml:space="preserve"> leur profession</w:t>
      </w:r>
      <w:r w:rsidR="00667616" w:rsidRPr="002715F2">
        <w:rPr>
          <w:rFonts w:eastAsia="Batang"/>
          <w:lang w:val="fr-FR"/>
        </w:rPr>
        <w:t xml:space="preserve"> dans </w:t>
      </w:r>
      <w:r w:rsidR="003671E3" w:rsidRPr="002715F2">
        <w:rPr>
          <w:rFonts w:eastAsia="Batang"/>
          <w:lang w:val="fr-FR"/>
        </w:rPr>
        <w:t>le cadre de leur</w:t>
      </w:r>
      <w:r w:rsidR="00667616" w:rsidRPr="002715F2">
        <w:rPr>
          <w:rFonts w:eastAsia="Batang"/>
          <w:lang w:val="fr-FR"/>
        </w:rPr>
        <w:t xml:space="preserve"> service militaire</w:t>
      </w:r>
      <w:r w:rsidR="00E97B1A" w:rsidRPr="002715F2">
        <w:rPr>
          <w:rFonts w:eastAsia="Batang"/>
          <w:lang w:val="fr-FR"/>
        </w:rPr>
        <w:t>:</w:t>
      </w:r>
      <w:r w:rsidR="00667616" w:rsidRPr="002715F2">
        <w:rPr>
          <w:rFonts w:eastAsia="Batang"/>
          <w:lang w:val="fr-FR"/>
        </w:rPr>
        <w:t xml:space="preserve"> parmi eux, 44 </w:t>
      </w:r>
      <w:r w:rsidR="00C57B13" w:rsidRPr="002715F2">
        <w:rPr>
          <w:rFonts w:eastAsia="Batang"/>
          <w:lang w:val="fr-FR"/>
        </w:rPr>
        <w:t>pratiquent la médecine</w:t>
      </w:r>
      <w:r w:rsidR="00667616" w:rsidRPr="002715F2">
        <w:rPr>
          <w:rFonts w:eastAsia="Batang"/>
          <w:lang w:val="fr-FR"/>
        </w:rPr>
        <w:t xml:space="preserve"> et </w:t>
      </w:r>
      <w:r w:rsidR="003852BE" w:rsidRPr="002715F2">
        <w:rPr>
          <w:rFonts w:eastAsia="Batang"/>
          <w:lang w:val="fr-FR"/>
        </w:rPr>
        <w:t xml:space="preserve">9 </w:t>
      </w:r>
      <w:r w:rsidR="00667616" w:rsidRPr="002715F2">
        <w:rPr>
          <w:rFonts w:eastAsia="Batang"/>
          <w:lang w:val="fr-FR"/>
        </w:rPr>
        <w:t>sont des dentistes (voir le tableau</w:t>
      </w:r>
      <w:r w:rsidR="00395B17" w:rsidRPr="002715F2">
        <w:rPr>
          <w:rFonts w:eastAsia="Batang"/>
          <w:lang w:val="fr-FR"/>
        </w:rPr>
        <w:t> </w:t>
      </w:r>
      <w:r w:rsidR="00667616" w:rsidRPr="002715F2">
        <w:rPr>
          <w:rFonts w:eastAsia="Batang"/>
          <w:lang w:val="fr-FR"/>
        </w:rPr>
        <w:t>28)</w:t>
      </w:r>
      <w:r w:rsidR="000078DA" w:rsidRPr="002715F2">
        <w:rPr>
          <w:rFonts w:eastAsia="Batang"/>
          <w:lang w:val="fr-FR"/>
        </w:rPr>
        <w:t>.</w:t>
      </w:r>
      <w:r w:rsidR="00C57B13" w:rsidRPr="002715F2">
        <w:rPr>
          <w:rFonts w:eastAsia="Batang"/>
          <w:lang w:val="fr-FR"/>
        </w:rPr>
        <w:t xml:space="preserve"> Actuellement, des médecins généralistes visitent régulièrement les établissements pénitentiaires militaires et prodiguent des soins aux détenus militaires au moins </w:t>
      </w:r>
      <w:r w:rsidR="003852BE" w:rsidRPr="002715F2">
        <w:rPr>
          <w:rFonts w:eastAsia="Batang"/>
          <w:lang w:val="fr-FR"/>
        </w:rPr>
        <w:t xml:space="preserve">trois </w:t>
      </w:r>
      <w:r w:rsidR="00C57B13" w:rsidRPr="002715F2">
        <w:rPr>
          <w:rFonts w:eastAsia="Batang"/>
          <w:lang w:val="fr-FR"/>
        </w:rPr>
        <w:t>fois par semaine</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161.</w:t>
      </w:r>
      <w:r w:rsidRPr="002715F2">
        <w:rPr>
          <w:rFonts w:eastAsia="Batang"/>
          <w:lang w:val="fr-FR"/>
        </w:rPr>
        <w:tab/>
      </w:r>
      <w:r w:rsidR="00A40A1D" w:rsidRPr="002715F2">
        <w:rPr>
          <w:rFonts w:eastAsia="Batang"/>
          <w:lang w:val="fr-FR" w:eastAsia="ko-KR"/>
        </w:rPr>
        <w:t>Par ailleurs</w:t>
      </w:r>
      <w:r w:rsidR="000078DA" w:rsidRPr="002715F2">
        <w:rPr>
          <w:rFonts w:eastAsia="Batang"/>
          <w:lang w:val="fr-FR"/>
        </w:rPr>
        <w:t xml:space="preserve">, </w:t>
      </w:r>
      <w:r w:rsidR="003D016F" w:rsidRPr="002715F2">
        <w:rPr>
          <w:rFonts w:eastAsia="Batang"/>
          <w:lang w:val="fr-FR"/>
        </w:rPr>
        <w:t xml:space="preserve">la loi </w:t>
      </w:r>
      <w:r w:rsidR="003D6E5E" w:rsidRPr="002715F2">
        <w:rPr>
          <w:rFonts w:eastAsia="Batang"/>
          <w:lang w:val="fr-FR"/>
        </w:rPr>
        <w:t xml:space="preserve">relative à l’exécution </w:t>
      </w:r>
      <w:r w:rsidR="003D016F" w:rsidRPr="002715F2">
        <w:rPr>
          <w:rFonts w:eastAsia="Batang"/>
          <w:lang w:val="fr-FR"/>
        </w:rPr>
        <w:t xml:space="preserve">des </w:t>
      </w:r>
      <w:r w:rsidR="009271C9" w:rsidRPr="002715F2">
        <w:rPr>
          <w:rFonts w:eastAsia="Batang"/>
          <w:lang w:val="fr-FR"/>
        </w:rPr>
        <w:t>sanctions pénales</w:t>
      </w:r>
      <w:r w:rsidR="003D016F" w:rsidRPr="002715F2">
        <w:rPr>
          <w:rFonts w:eastAsia="Batang"/>
          <w:lang w:val="fr-FR"/>
        </w:rPr>
        <w:t xml:space="preserve"> et </w:t>
      </w:r>
      <w:r w:rsidR="003D6E5E" w:rsidRPr="002715F2">
        <w:rPr>
          <w:rFonts w:eastAsia="Batang"/>
          <w:lang w:val="fr-FR"/>
        </w:rPr>
        <w:t>au</w:t>
      </w:r>
      <w:r w:rsidR="003D016F" w:rsidRPr="002715F2">
        <w:rPr>
          <w:rFonts w:eastAsia="Batang"/>
          <w:lang w:val="fr-FR"/>
        </w:rPr>
        <w:t xml:space="preserve"> traitement des détenus a été modifiée le 4</w:t>
      </w:r>
      <w:r w:rsidR="00395B17" w:rsidRPr="002715F2">
        <w:rPr>
          <w:rFonts w:eastAsia="Batang"/>
          <w:lang w:val="fr-FR"/>
        </w:rPr>
        <w:t> </w:t>
      </w:r>
      <w:r w:rsidR="003D016F" w:rsidRPr="002715F2">
        <w:rPr>
          <w:rFonts w:eastAsia="Batang"/>
          <w:lang w:val="fr-FR"/>
        </w:rPr>
        <w:t xml:space="preserve">mai 2010 afin de </w:t>
      </w:r>
      <w:r w:rsidR="00A40A1D" w:rsidRPr="002715F2">
        <w:rPr>
          <w:rFonts w:eastAsia="Batang"/>
          <w:lang w:val="fr-FR"/>
        </w:rPr>
        <w:t>définir</w:t>
      </w:r>
      <w:r w:rsidR="003D016F" w:rsidRPr="002715F2">
        <w:rPr>
          <w:rFonts w:eastAsia="Batang"/>
          <w:lang w:val="fr-FR"/>
        </w:rPr>
        <w:t xml:space="preserve"> </w:t>
      </w:r>
      <w:r w:rsidR="00A40A1D" w:rsidRPr="002715F2">
        <w:rPr>
          <w:rFonts w:eastAsia="Batang"/>
          <w:lang w:val="fr-FR"/>
        </w:rPr>
        <w:t>le</w:t>
      </w:r>
      <w:r w:rsidR="003D016F" w:rsidRPr="002715F2">
        <w:rPr>
          <w:rFonts w:eastAsia="Batang"/>
          <w:lang w:val="fr-FR"/>
        </w:rPr>
        <w:t xml:space="preserve"> </w:t>
      </w:r>
      <w:r w:rsidR="00A40A1D" w:rsidRPr="002715F2">
        <w:rPr>
          <w:rFonts w:eastAsia="Batang"/>
          <w:lang w:val="fr-FR"/>
        </w:rPr>
        <w:t>cadre</w:t>
      </w:r>
      <w:r w:rsidR="003D016F" w:rsidRPr="002715F2">
        <w:rPr>
          <w:rFonts w:eastAsia="Batang"/>
          <w:lang w:val="fr-FR"/>
        </w:rPr>
        <w:t xml:space="preserve"> juridique </w:t>
      </w:r>
      <w:r w:rsidR="00A40A1D" w:rsidRPr="002715F2">
        <w:rPr>
          <w:rFonts w:eastAsia="Batang"/>
          <w:lang w:val="fr-FR"/>
        </w:rPr>
        <w:t>permettant aux</w:t>
      </w:r>
      <w:r w:rsidR="003D016F" w:rsidRPr="002715F2">
        <w:rPr>
          <w:rFonts w:eastAsia="Batang"/>
          <w:lang w:val="fr-FR"/>
        </w:rPr>
        <w:t xml:space="preserve"> infirmières </w:t>
      </w:r>
      <w:r w:rsidR="00A40A1D" w:rsidRPr="002715F2">
        <w:rPr>
          <w:rFonts w:eastAsia="Batang"/>
          <w:lang w:val="fr-FR"/>
        </w:rPr>
        <w:t>employées</w:t>
      </w:r>
      <w:r w:rsidR="003D016F" w:rsidRPr="002715F2">
        <w:rPr>
          <w:rFonts w:eastAsia="Batang"/>
          <w:lang w:val="fr-FR"/>
        </w:rPr>
        <w:t xml:space="preserve"> dans les établissements </w:t>
      </w:r>
      <w:r w:rsidR="00730B36" w:rsidRPr="002715F2">
        <w:rPr>
          <w:rFonts w:eastAsia="Batang"/>
          <w:lang w:val="fr-FR"/>
        </w:rPr>
        <w:t>pénitentiaires</w:t>
      </w:r>
      <w:r w:rsidR="00AD2CD0" w:rsidRPr="002715F2">
        <w:rPr>
          <w:rFonts w:eastAsia="Batang"/>
          <w:lang w:val="fr-FR"/>
        </w:rPr>
        <w:t xml:space="preserve"> </w:t>
      </w:r>
      <w:r w:rsidR="00A40A1D" w:rsidRPr="002715F2">
        <w:rPr>
          <w:rFonts w:eastAsia="Batang"/>
          <w:lang w:val="fr-FR"/>
        </w:rPr>
        <w:t>d’</w:t>
      </w:r>
      <w:r w:rsidR="003D016F" w:rsidRPr="002715F2">
        <w:rPr>
          <w:rFonts w:eastAsia="Batang"/>
          <w:lang w:val="fr-FR"/>
        </w:rPr>
        <w:t xml:space="preserve">effectuer de simples </w:t>
      </w:r>
      <w:r w:rsidR="00244E4C" w:rsidRPr="002715F2">
        <w:rPr>
          <w:rFonts w:eastAsia="Batang"/>
          <w:lang w:val="fr-FR"/>
        </w:rPr>
        <w:t>gestes</w:t>
      </w:r>
      <w:r w:rsidR="003D016F" w:rsidRPr="002715F2">
        <w:rPr>
          <w:rFonts w:eastAsia="Batang"/>
          <w:lang w:val="fr-FR"/>
        </w:rPr>
        <w:t xml:space="preserve"> médica</w:t>
      </w:r>
      <w:r w:rsidR="00244E4C" w:rsidRPr="002715F2">
        <w:rPr>
          <w:rFonts w:eastAsia="Batang"/>
          <w:lang w:val="fr-FR"/>
        </w:rPr>
        <w:t>ux,</w:t>
      </w:r>
      <w:r w:rsidR="003D016F" w:rsidRPr="002715F2">
        <w:rPr>
          <w:rFonts w:eastAsia="Batang"/>
          <w:lang w:val="fr-FR"/>
        </w:rPr>
        <w:t xml:space="preserve"> </w:t>
      </w:r>
      <w:r w:rsidR="00244E4C" w:rsidRPr="002715F2">
        <w:rPr>
          <w:rFonts w:eastAsia="Batang"/>
          <w:lang w:val="fr-FR"/>
        </w:rPr>
        <w:t>notamment</w:t>
      </w:r>
      <w:r w:rsidR="003D016F" w:rsidRPr="002715F2">
        <w:rPr>
          <w:rFonts w:eastAsia="Batang"/>
          <w:lang w:val="fr-FR"/>
        </w:rPr>
        <w:t xml:space="preserve"> </w:t>
      </w:r>
      <w:r w:rsidR="00A40A1D" w:rsidRPr="002715F2">
        <w:rPr>
          <w:rFonts w:eastAsia="Batang"/>
          <w:lang w:val="fr-FR"/>
        </w:rPr>
        <w:t xml:space="preserve">de </w:t>
      </w:r>
      <w:r w:rsidR="00244E4C" w:rsidRPr="002715F2">
        <w:rPr>
          <w:rFonts w:eastAsia="Batang"/>
          <w:lang w:val="fr-FR"/>
        </w:rPr>
        <w:t xml:space="preserve">prodiguer les </w:t>
      </w:r>
      <w:r w:rsidR="003D016F" w:rsidRPr="002715F2">
        <w:rPr>
          <w:rFonts w:eastAsia="Batang"/>
          <w:lang w:val="fr-FR"/>
        </w:rPr>
        <w:t>premiers soins</w:t>
      </w:r>
      <w:r w:rsidR="00244E4C" w:rsidRPr="002715F2">
        <w:rPr>
          <w:rFonts w:eastAsia="Batang"/>
          <w:lang w:val="fr-FR"/>
        </w:rPr>
        <w:t>,</w:t>
      </w:r>
      <w:r w:rsidR="003D016F" w:rsidRPr="002715F2">
        <w:rPr>
          <w:rFonts w:eastAsia="Batang"/>
          <w:lang w:val="fr-FR"/>
        </w:rPr>
        <w:t xml:space="preserve"> </w:t>
      </w:r>
      <w:r w:rsidR="00A40A1D" w:rsidRPr="002715F2">
        <w:rPr>
          <w:rFonts w:eastAsia="Batang"/>
          <w:lang w:val="fr-FR"/>
        </w:rPr>
        <w:t xml:space="preserve">pour pouvoir </w:t>
      </w:r>
      <w:r w:rsidR="003D016F" w:rsidRPr="002715F2">
        <w:rPr>
          <w:rFonts w:eastAsia="Batang"/>
          <w:lang w:val="fr-FR"/>
        </w:rPr>
        <w:t>répondre</w:t>
      </w:r>
      <w:r w:rsidR="00395B17" w:rsidRPr="002715F2">
        <w:rPr>
          <w:rFonts w:eastAsia="Batang"/>
          <w:lang w:val="fr-FR"/>
        </w:rPr>
        <w:t xml:space="preserve"> </w:t>
      </w:r>
      <w:r w:rsidR="003D016F" w:rsidRPr="002715F2">
        <w:rPr>
          <w:rFonts w:eastAsia="Batang"/>
          <w:lang w:val="fr-FR"/>
        </w:rPr>
        <w:t xml:space="preserve">rapidement aux situations d’urgence </w:t>
      </w:r>
      <w:r w:rsidR="00244E4C" w:rsidRPr="002715F2">
        <w:rPr>
          <w:rFonts w:eastAsia="Batang"/>
          <w:lang w:val="fr-FR"/>
        </w:rPr>
        <w:t>susceptibles de</w:t>
      </w:r>
      <w:r w:rsidR="003D016F" w:rsidRPr="002715F2">
        <w:rPr>
          <w:rFonts w:eastAsia="Batang"/>
          <w:lang w:val="fr-FR"/>
        </w:rPr>
        <w:t xml:space="preserve"> survenir dans </w:t>
      </w:r>
      <w:r w:rsidR="00395B17" w:rsidRPr="002715F2">
        <w:rPr>
          <w:rFonts w:eastAsia="Batang"/>
          <w:lang w:val="fr-FR"/>
        </w:rPr>
        <w:t>c</w:t>
      </w:r>
      <w:r w:rsidR="003D016F" w:rsidRPr="002715F2">
        <w:rPr>
          <w:rFonts w:eastAsia="Batang"/>
          <w:lang w:val="fr-FR"/>
        </w:rPr>
        <w:t>es établissements la nuit ou les jours fériés</w:t>
      </w:r>
      <w:r w:rsidR="00244E4C" w:rsidRPr="002715F2">
        <w:rPr>
          <w:rFonts w:eastAsia="Batang"/>
          <w:lang w:val="fr-FR"/>
        </w:rPr>
        <w:t xml:space="preserve"> </w:t>
      </w:r>
      <w:r w:rsidR="00F60999" w:rsidRPr="002715F2">
        <w:rPr>
          <w:rFonts w:eastAsia="Batang"/>
          <w:lang w:val="fr-FR"/>
        </w:rPr>
        <w:t>(</w:t>
      </w:r>
      <w:r w:rsidR="00BD1A84" w:rsidRPr="002715F2">
        <w:rPr>
          <w:rFonts w:eastAsia="Batang"/>
          <w:lang w:val="fr-FR"/>
        </w:rPr>
        <w:t>art. </w:t>
      </w:r>
      <w:r w:rsidR="00F60999" w:rsidRPr="002715F2">
        <w:rPr>
          <w:rFonts w:eastAsia="Batang"/>
          <w:lang w:val="fr-FR"/>
        </w:rPr>
        <w:t>36</w:t>
      </w:r>
      <w:r w:rsidR="003D016F" w:rsidRPr="002715F2">
        <w:rPr>
          <w:rFonts w:eastAsia="Batang"/>
          <w:lang w:val="fr-FR"/>
        </w:rPr>
        <w:t>,</w:t>
      </w:r>
      <w:r w:rsidR="00F60999" w:rsidRPr="002715F2">
        <w:rPr>
          <w:rFonts w:eastAsia="Batang"/>
          <w:lang w:val="fr-FR"/>
        </w:rPr>
        <w:t xml:space="preserve"> </w:t>
      </w:r>
      <w:r w:rsidR="00BD1A84" w:rsidRPr="002715F2">
        <w:rPr>
          <w:rFonts w:eastAsia="Batang"/>
          <w:lang w:val="fr-FR"/>
        </w:rPr>
        <w:t>par. </w:t>
      </w:r>
      <w:r w:rsidR="00F60999" w:rsidRPr="002715F2">
        <w:rPr>
          <w:rFonts w:eastAsia="Batang"/>
          <w:lang w:val="fr-FR"/>
        </w:rPr>
        <w:t>2).</w:t>
      </w:r>
    </w:p>
    <w:p w:rsidR="000078DA" w:rsidRPr="002715F2" w:rsidRDefault="007026FB" w:rsidP="0044578C">
      <w:pPr>
        <w:pStyle w:val="SingleTxtG"/>
        <w:rPr>
          <w:rFonts w:eastAsia="Batang"/>
          <w:lang w:val="fr-FR"/>
        </w:rPr>
      </w:pPr>
      <w:r w:rsidRPr="002715F2">
        <w:rPr>
          <w:rFonts w:eastAsia="Batang"/>
          <w:lang w:val="fr-FR"/>
        </w:rPr>
        <w:t>162.</w:t>
      </w:r>
      <w:r w:rsidRPr="002715F2">
        <w:rPr>
          <w:rFonts w:eastAsia="Batang"/>
          <w:lang w:val="fr-FR"/>
        </w:rPr>
        <w:tab/>
      </w:r>
      <w:r w:rsidR="00244E4C" w:rsidRPr="002715F2">
        <w:rPr>
          <w:rFonts w:eastAsia="Batang"/>
          <w:lang w:val="fr-FR"/>
        </w:rPr>
        <w:t xml:space="preserve">Afin de prévenir les suicides dans les établissements </w:t>
      </w:r>
      <w:r w:rsidR="00FB35A3" w:rsidRPr="002715F2">
        <w:rPr>
          <w:rFonts w:eastAsia="Batang"/>
          <w:lang w:val="fr-FR"/>
        </w:rPr>
        <w:t>pénitentiaires,</w:t>
      </w:r>
      <w:r w:rsidR="00244E4C" w:rsidRPr="002715F2">
        <w:rPr>
          <w:rFonts w:eastAsia="Batang"/>
          <w:lang w:val="fr-FR"/>
        </w:rPr>
        <w:t xml:space="preserve"> </w:t>
      </w:r>
      <w:r w:rsidR="0044578C" w:rsidRPr="002715F2">
        <w:rPr>
          <w:rFonts w:eastAsia="Batang"/>
          <w:lang w:val="fr-FR"/>
        </w:rPr>
        <w:t>un</w:t>
      </w:r>
      <w:r w:rsidR="00244E4C" w:rsidRPr="002715F2">
        <w:rPr>
          <w:rFonts w:eastAsia="Batang"/>
          <w:lang w:val="fr-FR"/>
        </w:rPr>
        <w:t xml:space="preserve"> Programme </w:t>
      </w:r>
      <w:r w:rsidR="00A40A1D" w:rsidRPr="002715F2">
        <w:rPr>
          <w:rFonts w:eastAsia="Batang"/>
          <w:lang w:val="fr-FR"/>
        </w:rPr>
        <w:t xml:space="preserve">d’évaluation psychologique en milieu </w:t>
      </w:r>
      <w:r w:rsidR="00730B36" w:rsidRPr="002715F2">
        <w:rPr>
          <w:rFonts w:eastAsia="Batang"/>
          <w:lang w:val="fr-FR"/>
        </w:rPr>
        <w:t>pénitentiaire</w:t>
      </w:r>
      <w:r w:rsidR="00244E4C" w:rsidRPr="002715F2">
        <w:rPr>
          <w:rFonts w:eastAsia="Batang"/>
          <w:lang w:val="fr-FR"/>
        </w:rPr>
        <w:t>, élaboré en 2000, est appliqué dans tous les établissements du pays depuis 2001</w:t>
      </w:r>
      <w:r w:rsidR="000078DA" w:rsidRPr="002715F2">
        <w:rPr>
          <w:rFonts w:eastAsia="Batang"/>
          <w:lang w:val="fr-FR"/>
        </w:rPr>
        <w:t xml:space="preserve">. </w:t>
      </w:r>
      <w:r w:rsidR="0044578C" w:rsidRPr="002715F2">
        <w:rPr>
          <w:rFonts w:eastAsia="Batang"/>
          <w:lang w:val="fr-FR"/>
        </w:rPr>
        <w:t xml:space="preserve">Cet </w:t>
      </w:r>
      <w:r w:rsidR="00244E4C" w:rsidRPr="002715F2">
        <w:rPr>
          <w:rFonts w:eastAsia="Batang"/>
          <w:lang w:val="fr-FR"/>
        </w:rPr>
        <w:t xml:space="preserve">outil d’évaluation permet d’identifier les individus </w:t>
      </w:r>
      <w:r w:rsidR="0044578C" w:rsidRPr="002715F2">
        <w:rPr>
          <w:rFonts w:eastAsia="Batang"/>
          <w:lang w:val="fr-FR"/>
        </w:rPr>
        <w:t xml:space="preserve">qui </w:t>
      </w:r>
      <w:r w:rsidR="00244E4C" w:rsidRPr="002715F2">
        <w:rPr>
          <w:rFonts w:eastAsia="Batang"/>
          <w:lang w:val="fr-FR"/>
        </w:rPr>
        <w:t>présent</w:t>
      </w:r>
      <w:r w:rsidR="0044578C" w:rsidRPr="002715F2">
        <w:rPr>
          <w:rFonts w:eastAsia="Batang"/>
          <w:lang w:val="fr-FR"/>
        </w:rPr>
        <w:t>e</w:t>
      </w:r>
      <w:r w:rsidR="00244E4C" w:rsidRPr="002715F2">
        <w:rPr>
          <w:rFonts w:eastAsia="Batang"/>
          <w:lang w:val="fr-FR"/>
        </w:rPr>
        <w:t xml:space="preserve">nt des tendances difficiles à </w:t>
      </w:r>
      <w:r w:rsidR="00A40A1D" w:rsidRPr="002715F2">
        <w:rPr>
          <w:rFonts w:eastAsia="Batang"/>
          <w:lang w:val="fr-FR"/>
        </w:rPr>
        <w:t>déceler</w:t>
      </w:r>
      <w:r w:rsidR="00244E4C" w:rsidRPr="002715F2">
        <w:rPr>
          <w:rFonts w:eastAsia="Batang"/>
          <w:lang w:val="fr-FR"/>
        </w:rPr>
        <w:t xml:space="preserve"> à court terme</w:t>
      </w:r>
      <w:r w:rsidR="0044578C" w:rsidRPr="002715F2">
        <w:rPr>
          <w:rFonts w:eastAsia="Batang"/>
          <w:lang w:val="fr-FR"/>
        </w:rPr>
        <w:t>, afin de faciliter la gestion de la vie carcérale et l’adaptation rapide des détenus</w:t>
      </w:r>
      <w:r w:rsidR="000078DA" w:rsidRPr="002715F2">
        <w:rPr>
          <w:rFonts w:eastAsia="Batang"/>
          <w:lang w:val="fr-FR"/>
        </w:rPr>
        <w:t xml:space="preserve">. </w:t>
      </w:r>
      <w:r w:rsidR="00244E4C" w:rsidRPr="002715F2">
        <w:rPr>
          <w:rFonts w:eastAsia="Batang"/>
          <w:lang w:val="fr-FR"/>
        </w:rPr>
        <w:t xml:space="preserve">Avec ce programme, les détenus </w:t>
      </w:r>
      <w:r w:rsidR="00BF7E9E" w:rsidRPr="002715F2">
        <w:rPr>
          <w:rFonts w:eastAsia="Batang"/>
          <w:lang w:val="fr-FR"/>
        </w:rPr>
        <w:t>à</w:t>
      </w:r>
      <w:r w:rsidR="00244E4C" w:rsidRPr="002715F2">
        <w:rPr>
          <w:rFonts w:eastAsia="Batang"/>
          <w:lang w:val="fr-FR"/>
        </w:rPr>
        <w:t xml:space="preserve"> comportement suicidaire peuvent être identifiés et pris en charge</w:t>
      </w:r>
      <w:r w:rsidR="000078DA" w:rsidRPr="002715F2">
        <w:rPr>
          <w:rFonts w:eastAsia="Batang"/>
          <w:lang w:val="fr-FR"/>
        </w:rPr>
        <w:t xml:space="preserve">. </w:t>
      </w:r>
      <w:r w:rsidR="00BF7E9E" w:rsidRPr="002715F2">
        <w:rPr>
          <w:rFonts w:eastAsia="Batang"/>
          <w:lang w:val="fr-FR"/>
        </w:rPr>
        <w:t>En parallèle</w:t>
      </w:r>
      <w:r w:rsidR="000078DA" w:rsidRPr="002715F2">
        <w:rPr>
          <w:rFonts w:eastAsia="Batang"/>
          <w:lang w:val="fr-FR"/>
        </w:rPr>
        <w:t xml:space="preserve">, </w:t>
      </w:r>
      <w:r w:rsidR="00BF7E9E" w:rsidRPr="002715F2">
        <w:rPr>
          <w:rFonts w:eastAsia="Batang"/>
          <w:lang w:val="fr-FR"/>
        </w:rPr>
        <w:t xml:space="preserve">le </w:t>
      </w:r>
      <w:r w:rsidR="00A40A1D" w:rsidRPr="002715F2">
        <w:rPr>
          <w:rFonts w:eastAsia="Batang"/>
          <w:lang w:val="fr-FR"/>
        </w:rPr>
        <w:t xml:space="preserve">Programme d’évaluation psychologique en milieu </w:t>
      </w:r>
      <w:r w:rsidR="00730B36" w:rsidRPr="002715F2">
        <w:rPr>
          <w:rFonts w:eastAsia="Batang"/>
          <w:lang w:val="fr-FR"/>
        </w:rPr>
        <w:t>pénitentiaire</w:t>
      </w:r>
      <w:r w:rsidR="00AD2CD0" w:rsidRPr="002715F2">
        <w:rPr>
          <w:rFonts w:eastAsia="Batang"/>
          <w:lang w:val="fr-FR"/>
        </w:rPr>
        <w:t xml:space="preserve"> </w:t>
      </w:r>
      <w:r w:rsidR="00BF7E9E" w:rsidRPr="002715F2">
        <w:rPr>
          <w:rFonts w:eastAsia="Batang"/>
          <w:lang w:val="fr-FR"/>
        </w:rPr>
        <w:t>à l’intention des nouveaux détenus</w:t>
      </w:r>
      <w:r w:rsidR="000078DA" w:rsidRPr="002715F2">
        <w:rPr>
          <w:rFonts w:eastAsia="Batang"/>
          <w:lang w:val="fr-FR"/>
        </w:rPr>
        <w:t xml:space="preserve">, </w:t>
      </w:r>
      <w:r w:rsidR="0044578C" w:rsidRPr="002715F2">
        <w:rPr>
          <w:rFonts w:eastAsia="Batang"/>
          <w:lang w:val="fr-FR"/>
        </w:rPr>
        <w:t>fondé sur le</w:t>
      </w:r>
      <w:r w:rsidR="00BF7E9E" w:rsidRPr="002715F2">
        <w:rPr>
          <w:rFonts w:eastAsia="Batang"/>
          <w:lang w:val="fr-FR"/>
        </w:rPr>
        <w:t xml:space="preserve"> programme utilisé dans les établissements </w:t>
      </w:r>
      <w:r w:rsidR="00730B36" w:rsidRPr="002715F2">
        <w:rPr>
          <w:rFonts w:eastAsia="Batang"/>
          <w:lang w:val="fr-FR"/>
        </w:rPr>
        <w:t>pénitentiaires</w:t>
      </w:r>
      <w:r w:rsidR="00AD2CD0" w:rsidRPr="002715F2">
        <w:rPr>
          <w:rFonts w:eastAsia="Batang"/>
          <w:lang w:val="fr-FR"/>
        </w:rPr>
        <w:t xml:space="preserve"> </w:t>
      </w:r>
      <w:r w:rsidR="00BF7E9E" w:rsidRPr="002715F2">
        <w:rPr>
          <w:rFonts w:eastAsia="Batang"/>
          <w:lang w:val="fr-FR"/>
        </w:rPr>
        <w:t xml:space="preserve">civils, a été élaboré et mis en </w:t>
      </w:r>
      <w:r w:rsidR="0039617D" w:rsidRPr="002715F2">
        <w:rPr>
          <w:rFonts w:eastAsia="Batang"/>
          <w:lang w:val="fr-FR"/>
        </w:rPr>
        <w:t>œuvre</w:t>
      </w:r>
      <w:r w:rsidR="00BF7E9E" w:rsidRPr="002715F2">
        <w:rPr>
          <w:rFonts w:eastAsia="Batang"/>
          <w:lang w:val="fr-FR"/>
        </w:rPr>
        <w:t xml:space="preserve"> dans les établissements militaires en tant que cadre de référence pour </w:t>
      </w:r>
      <w:r w:rsidR="0044578C" w:rsidRPr="002715F2">
        <w:rPr>
          <w:rFonts w:eastAsia="Batang"/>
          <w:lang w:val="fr-FR"/>
        </w:rPr>
        <w:t>la gestion d</w:t>
      </w:r>
      <w:r w:rsidR="00BF7E9E" w:rsidRPr="002715F2">
        <w:rPr>
          <w:rFonts w:eastAsia="Batang"/>
          <w:lang w:val="fr-FR"/>
        </w:rPr>
        <w:t>es détenus militaires.</w:t>
      </w:r>
    </w:p>
    <w:p w:rsidR="000078DA" w:rsidRPr="002715F2" w:rsidRDefault="007026FB" w:rsidP="007026FB">
      <w:pPr>
        <w:pStyle w:val="SingleTxtG"/>
        <w:rPr>
          <w:rFonts w:eastAsia="Batang"/>
          <w:lang w:val="fr-FR"/>
        </w:rPr>
      </w:pPr>
      <w:r w:rsidRPr="002715F2">
        <w:rPr>
          <w:rFonts w:eastAsia="Batang"/>
          <w:lang w:val="fr-FR"/>
        </w:rPr>
        <w:t>163.</w:t>
      </w:r>
      <w:r w:rsidRPr="002715F2">
        <w:rPr>
          <w:rFonts w:eastAsia="Batang"/>
          <w:lang w:val="fr-FR"/>
        </w:rPr>
        <w:tab/>
      </w:r>
      <w:r w:rsidR="00702703" w:rsidRPr="002715F2">
        <w:rPr>
          <w:rFonts w:eastAsia="Batang"/>
          <w:lang w:val="fr-FR"/>
        </w:rPr>
        <w:t>Depuis le 1</w:t>
      </w:r>
      <w:r w:rsidR="00702703" w:rsidRPr="002715F2">
        <w:rPr>
          <w:rFonts w:eastAsia="Batang"/>
          <w:vertAlign w:val="superscript"/>
          <w:lang w:val="fr-FR"/>
        </w:rPr>
        <w:t>er</w:t>
      </w:r>
      <w:r w:rsidR="00395B17" w:rsidRPr="002715F2">
        <w:rPr>
          <w:rFonts w:eastAsia="Batang"/>
          <w:lang w:val="fr-FR"/>
        </w:rPr>
        <w:t> </w:t>
      </w:r>
      <w:r w:rsidR="00702703" w:rsidRPr="002715F2">
        <w:rPr>
          <w:rFonts w:eastAsia="Batang"/>
          <w:lang w:val="fr-FR"/>
        </w:rPr>
        <w:t>mars 2010, un</w:t>
      </w:r>
      <w:r w:rsidR="00BF7E9E" w:rsidRPr="002715F2">
        <w:rPr>
          <w:rFonts w:eastAsia="Batang"/>
          <w:lang w:val="fr-FR"/>
        </w:rPr>
        <w:t xml:space="preserve"> Système d’aide psychologique aux détenus qui nécessitent une attention est en service</w:t>
      </w:r>
      <w:r w:rsidR="00702703" w:rsidRPr="002715F2">
        <w:rPr>
          <w:rFonts w:eastAsia="Batang"/>
          <w:lang w:val="fr-FR"/>
        </w:rPr>
        <w:t xml:space="preserve"> dans les établissements </w:t>
      </w:r>
      <w:r w:rsidR="00730B36" w:rsidRPr="002715F2">
        <w:rPr>
          <w:rFonts w:eastAsia="Batang"/>
          <w:lang w:val="fr-FR"/>
        </w:rPr>
        <w:t>pénitentiaires</w:t>
      </w:r>
      <w:r w:rsidR="00AD2CD0" w:rsidRPr="002715F2">
        <w:rPr>
          <w:rFonts w:eastAsia="Batang"/>
          <w:lang w:val="fr-FR"/>
        </w:rPr>
        <w:t xml:space="preserve"> </w:t>
      </w:r>
      <w:r w:rsidR="00702703" w:rsidRPr="002715F2">
        <w:rPr>
          <w:rFonts w:eastAsia="Batang"/>
          <w:lang w:val="fr-FR"/>
        </w:rPr>
        <w:t>militaires</w:t>
      </w:r>
      <w:r w:rsidR="000078DA" w:rsidRPr="002715F2">
        <w:rPr>
          <w:rFonts w:eastAsia="Batang"/>
          <w:lang w:val="fr-FR"/>
        </w:rPr>
        <w:t xml:space="preserve">. </w:t>
      </w:r>
      <w:r w:rsidR="00702703" w:rsidRPr="002715F2">
        <w:rPr>
          <w:rFonts w:eastAsia="Batang"/>
          <w:lang w:val="fr-FR"/>
        </w:rPr>
        <w:t>Ce système</w:t>
      </w:r>
      <w:r w:rsidR="00BF7E9E" w:rsidRPr="002715F2">
        <w:rPr>
          <w:rFonts w:eastAsia="Batang"/>
          <w:lang w:val="fr-FR"/>
        </w:rPr>
        <w:t xml:space="preserve"> permet de prendre en charge les détenus qui nécessitent une attention particulière, y compris les personnes qui présentent des risques de suicide, en invitant des conseillers </w:t>
      </w:r>
      <w:r w:rsidR="0039617D" w:rsidRPr="002715F2">
        <w:rPr>
          <w:rFonts w:eastAsia="Batang"/>
          <w:lang w:val="fr-FR"/>
        </w:rPr>
        <w:t>extérieurs</w:t>
      </w:r>
      <w:r w:rsidR="00BF7E9E" w:rsidRPr="002715F2">
        <w:rPr>
          <w:rFonts w:eastAsia="Batang"/>
          <w:lang w:val="fr-FR"/>
        </w:rPr>
        <w:t xml:space="preserve"> </w:t>
      </w:r>
      <w:r w:rsidR="00ED44AF" w:rsidRPr="002715F2">
        <w:rPr>
          <w:rFonts w:eastAsia="Batang"/>
          <w:lang w:val="fr-FR"/>
        </w:rPr>
        <w:t>chargés de</w:t>
      </w:r>
      <w:r w:rsidR="00BF7E9E" w:rsidRPr="002715F2">
        <w:rPr>
          <w:rFonts w:eastAsia="Batang"/>
          <w:lang w:val="fr-FR"/>
        </w:rPr>
        <w:t xml:space="preserve"> les aider à s’adapter à la vie </w:t>
      </w:r>
      <w:r w:rsidR="00ED44AF" w:rsidRPr="002715F2">
        <w:rPr>
          <w:rFonts w:eastAsia="Batang"/>
          <w:lang w:val="fr-FR"/>
        </w:rPr>
        <w:t>carcérale</w:t>
      </w:r>
      <w:r w:rsidR="00BF7E9E" w:rsidRPr="002715F2">
        <w:rPr>
          <w:rFonts w:eastAsia="Batang"/>
          <w:lang w:val="fr-FR"/>
        </w:rPr>
        <w:t xml:space="preserve"> et </w:t>
      </w:r>
      <w:r w:rsidR="00ED44AF" w:rsidRPr="002715F2">
        <w:rPr>
          <w:rFonts w:eastAsia="Batang"/>
          <w:lang w:val="fr-FR"/>
        </w:rPr>
        <w:t>à</w:t>
      </w:r>
      <w:r w:rsidR="0044578C" w:rsidRPr="002715F2">
        <w:rPr>
          <w:rFonts w:eastAsia="Batang"/>
          <w:lang w:val="fr-FR"/>
        </w:rPr>
        <w:t xml:space="preserve"> acquérir une certaine stabilité émotionnelle</w:t>
      </w:r>
      <w:r w:rsidR="000078DA" w:rsidRPr="002715F2">
        <w:rPr>
          <w:rFonts w:eastAsia="Batang"/>
          <w:lang w:val="fr-FR"/>
        </w:rPr>
        <w:t xml:space="preserve">. </w:t>
      </w:r>
      <w:r w:rsidR="00BF7E9E" w:rsidRPr="002715F2">
        <w:rPr>
          <w:rFonts w:eastAsia="Batang"/>
          <w:lang w:val="fr-FR"/>
        </w:rPr>
        <w:t>Entre le 29</w:t>
      </w:r>
      <w:r w:rsidR="00395B17" w:rsidRPr="002715F2">
        <w:rPr>
          <w:rFonts w:eastAsia="Batang"/>
          <w:lang w:val="fr-FR"/>
        </w:rPr>
        <w:t> </w:t>
      </w:r>
      <w:r w:rsidR="00BF7E9E" w:rsidRPr="002715F2">
        <w:rPr>
          <w:rFonts w:eastAsia="Batang"/>
          <w:lang w:val="fr-FR"/>
        </w:rPr>
        <w:t xml:space="preserve">novembre et le </w:t>
      </w:r>
      <w:r w:rsidR="00395B17" w:rsidRPr="002715F2">
        <w:rPr>
          <w:rFonts w:eastAsia="Batang"/>
          <w:lang w:val="fr-FR"/>
        </w:rPr>
        <w:t>3 décembre 2010, 15 </w:t>
      </w:r>
      <w:r w:rsidR="00BF7E9E" w:rsidRPr="002715F2">
        <w:rPr>
          <w:rFonts w:eastAsia="Batang"/>
          <w:lang w:val="fr-FR"/>
        </w:rPr>
        <w:t>détenus</w:t>
      </w:r>
      <w:r w:rsidR="0044578C" w:rsidRPr="002715F2">
        <w:rPr>
          <w:rFonts w:eastAsia="Batang"/>
          <w:lang w:val="fr-FR"/>
        </w:rPr>
        <w:t xml:space="preserve"> ont participé à ce système. </w:t>
      </w:r>
      <w:r w:rsidR="00AA7A36" w:rsidRPr="002715F2">
        <w:rPr>
          <w:rFonts w:eastAsia="Batang"/>
          <w:lang w:val="fr-FR"/>
        </w:rPr>
        <w:t xml:space="preserve">En </w:t>
      </w:r>
      <w:r w:rsidR="00BF7E9E" w:rsidRPr="002715F2">
        <w:rPr>
          <w:rFonts w:eastAsia="Batang"/>
          <w:lang w:val="fr-FR"/>
        </w:rPr>
        <w:t>2011, on a dénombré</w:t>
      </w:r>
      <w:r w:rsidR="00395B17" w:rsidRPr="002715F2">
        <w:rPr>
          <w:rFonts w:eastAsia="Batang"/>
          <w:lang w:val="fr-FR"/>
        </w:rPr>
        <w:t xml:space="preserve"> 10 </w:t>
      </w:r>
      <w:r w:rsidR="00BF7E9E" w:rsidRPr="002715F2">
        <w:rPr>
          <w:rFonts w:eastAsia="Batang"/>
          <w:lang w:val="fr-FR"/>
        </w:rPr>
        <w:t>personnes pour le premier</w:t>
      </w:r>
      <w:r w:rsidR="0044578C" w:rsidRPr="002715F2">
        <w:rPr>
          <w:rFonts w:eastAsia="Batang"/>
          <w:lang w:val="fr-FR"/>
        </w:rPr>
        <w:t> </w:t>
      </w:r>
      <w:r w:rsidR="00BF7E9E" w:rsidRPr="002715F2">
        <w:rPr>
          <w:rFonts w:eastAsia="Batang"/>
          <w:lang w:val="fr-FR"/>
        </w:rPr>
        <w:t xml:space="preserve">trimestre, </w:t>
      </w:r>
      <w:r w:rsidR="008A30C9" w:rsidRPr="002715F2">
        <w:rPr>
          <w:rFonts w:eastAsia="Batang"/>
          <w:lang w:val="fr-FR"/>
        </w:rPr>
        <w:t xml:space="preserve">9 </w:t>
      </w:r>
      <w:r w:rsidR="00BF7E9E" w:rsidRPr="002715F2">
        <w:rPr>
          <w:rFonts w:eastAsia="Batang"/>
          <w:lang w:val="fr-FR"/>
        </w:rPr>
        <w:t xml:space="preserve">pour le </w:t>
      </w:r>
      <w:r w:rsidR="00AA7A36" w:rsidRPr="002715F2">
        <w:rPr>
          <w:rFonts w:eastAsia="Batang"/>
          <w:lang w:val="fr-FR"/>
        </w:rPr>
        <w:t xml:space="preserve">deuxième </w:t>
      </w:r>
      <w:r w:rsidR="0044578C" w:rsidRPr="002715F2">
        <w:rPr>
          <w:rFonts w:eastAsia="Batang"/>
          <w:lang w:val="fr-FR"/>
        </w:rPr>
        <w:t xml:space="preserve">trimestre, 13 pour le </w:t>
      </w:r>
      <w:r w:rsidR="008A30C9" w:rsidRPr="002715F2">
        <w:rPr>
          <w:rFonts w:eastAsia="Batang"/>
          <w:lang w:val="fr-FR"/>
        </w:rPr>
        <w:t xml:space="preserve">troisième </w:t>
      </w:r>
      <w:r w:rsidR="00BF7E9E" w:rsidRPr="002715F2">
        <w:rPr>
          <w:rFonts w:eastAsia="Batang"/>
          <w:lang w:val="fr-FR"/>
        </w:rPr>
        <w:t xml:space="preserve">trimestre et 12 pour le </w:t>
      </w:r>
      <w:r w:rsidR="008A30C9" w:rsidRPr="002715F2">
        <w:rPr>
          <w:rFonts w:eastAsia="Batang"/>
          <w:lang w:val="fr-FR"/>
        </w:rPr>
        <w:t xml:space="preserve">quatrième </w:t>
      </w:r>
      <w:r w:rsidR="0039617D" w:rsidRPr="002715F2">
        <w:rPr>
          <w:rFonts w:eastAsia="Batang"/>
          <w:lang w:val="fr-FR"/>
        </w:rPr>
        <w:t>trimestre</w:t>
      </w:r>
      <w:r w:rsidR="000078DA" w:rsidRPr="002715F2">
        <w:rPr>
          <w:rFonts w:eastAsia="Batang"/>
          <w:lang w:val="fr-FR"/>
        </w:rPr>
        <w:t xml:space="preserve">. </w:t>
      </w:r>
      <w:r w:rsidR="00AA7A36" w:rsidRPr="002715F2">
        <w:rPr>
          <w:rFonts w:eastAsia="Batang"/>
          <w:lang w:val="fr-FR"/>
        </w:rPr>
        <w:t xml:space="preserve">Depuis </w:t>
      </w:r>
      <w:r w:rsidR="00BF7E9E" w:rsidRPr="002715F2">
        <w:rPr>
          <w:rFonts w:eastAsia="Batang"/>
          <w:lang w:val="fr-FR"/>
        </w:rPr>
        <w:t xml:space="preserve">2015, des programmes plus détaillés ont été élaborés, et </w:t>
      </w:r>
      <w:r w:rsidR="00395B17" w:rsidRPr="002715F2">
        <w:rPr>
          <w:rFonts w:eastAsia="Batang"/>
          <w:lang w:val="fr-FR"/>
        </w:rPr>
        <w:t>46 </w:t>
      </w:r>
      <w:r w:rsidR="00BF7E9E" w:rsidRPr="002715F2">
        <w:rPr>
          <w:rFonts w:eastAsia="Batang"/>
          <w:lang w:val="fr-FR"/>
        </w:rPr>
        <w:t>détenus ont ainsi été pris en charge.</w:t>
      </w:r>
    </w:p>
    <w:p w:rsidR="000078DA" w:rsidRPr="002715F2" w:rsidRDefault="007026FB" w:rsidP="007026FB">
      <w:pPr>
        <w:pStyle w:val="SingleTxtG"/>
        <w:rPr>
          <w:rFonts w:eastAsia="Batang"/>
          <w:lang w:val="fr-FR"/>
        </w:rPr>
      </w:pPr>
      <w:r w:rsidRPr="002715F2">
        <w:rPr>
          <w:rFonts w:eastAsia="Batang"/>
          <w:lang w:val="fr-FR"/>
        </w:rPr>
        <w:t>164.</w:t>
      </w:r>
      <w:r w:rsidRPr="002715F2">
        <w:rPr>
          <w:rFonts w:eastAsia="Batang"/>
          <w:lang w:val="fr-FR"/>
        </w:rPr>
        <w:tab/>
      </w:r>
      <w:r w:rsidR="00626E1A" w:rsidRPr="002715F2">
        <w:rPr>
          <w:rFonts w:eastAsia="Batang"/>
          <w:lang w:val="fr-FR"/>
        </w:rPr>
        <w:t xml:space="preserve">Un Système d’évaluation </w:t>
      </w:r>
      <w:r w:rsidR="001730B2" w:rsidRPr="002715F2">
        <w:rPr>
          <w:rFonts w:eastAsia="Batang"/>
          <w:lang w:val="fr-FR"/>
        </w:rPr>
        <w:t>psychiatrique</w:t>
      </w:r>
      <w:r w:rsidR="00626E1A" w:rsidRPr="002715F2">
        <w:rPr>
          <w:rFonts w:eastAsia="Batang"/>
          <w:lang w:val="fr-FR"/>
        </w:rPr>
        <w:t xml:space="preserve"> </w:t>
      </w:r>
      <w:r w:rsidR="0039617D" w:rsidRPr="002715F2">
        <w:rPr>
          <w:rFonts w:eastAsia="Batang"/>
          <w:lang w:val="fr-FR"/>
        </w:rPr>
        <w:t>régulière</w:t>
      </w:r>
      <w:r w:rsidR="001730B2" w:rsidRPr="002715F2">
        <w:rPr>
          <w:rFonts w:eastAsia="Batang"/>
          <w:lang w:val="fr-FR"/>
        </w:rPr>
        <w:t xml:space="preserve"> pour les détenus qui nécessitent une attention </w:t>
      </w:r>
      <w:r w:rsidR="00626E1A" w:rsidRPr="002715F2">
        <w:rPr>
          <w:rFonts w:eastAsia="Batang"/>
          <w:lang w:val="fr-FR"/>
        </w:rPr>
        <w:t xml:space="preserve">a été mis en </w:t>
      </w:r>
      <w:r w:rsidR="0039617D" w:rsidRPr="002715F2">
        <w:rPr>
          <w:rFonts w:eastAsia="Batang"/>
          <w:lang w:val="fr-FR"/>
        </w:rPr>
        <w:t>œuvre</w:t>
      </w:r>
      <w:r w:rsidR="00626E1A" w:rsidRPr="002715F2">
        <w:rPr>
          <w:rFonts w:eastAsia="Batang"/>
          <w:lang w:val="fr-FR"/>
        </w:rPr>
        <w:t xml:space="preserve"> </w:t>
      </w:r>
      <w:r w:rsidR="001730B2" w:rsidRPr="002715F2">
        <w:rPr>
          <w:rFonts w:eastAsia="Batang"/>
          <w:lang w:val="fr-FR"/>
        </w:rPr>
        <w:t xml:space="preserve">dans les établissements </w:t>
      </w:r>
      <w:r w:rsidR="00730B36" w:rsidRPr="002715F2">
        <w:rPr>
          <w:rFonts w:eastAsia="Batang"/>
          <w:lang w:val="fr-FR"/>
        </w:rPr>
        <w:t>pénitentiaires</w:t>
      </w:r>
      <w:r w:rsidR="00AD2CD0" w:rsidRPr="002715F2">
        <w:rPr>
          <w:rFonts w:eastAsia="Batang"/>
          <w:lang w:val="fr-FR"/>
        </w:rPr>
        <w:t xml:space="preserve"> </w:t>
      </w:r>
      <w:r w:rsidR="00C66B63" w:rsidRPr="002715F2">
        <w:rPr>
          <w:rFonts w:eastAsia="Batang"/>
          <w:lang w:val="fr-FR"/>
        </w:rPr>
        <w:t>militaires</w:t>
      </w:r>
      <w:r w:rsidR="000078DA" w:rsidRPr="002715F2">
        <w:rPr>
          <w:rFonts w:eastAsia="Batang"/>
          <w:lang w:val="fr-FR"/>
        </w:rPr>
        <w:t xml:space="preserve">. </w:t>
      </w:r>
      <w:r w:rsidR="00626E1A" w:rsidRPr="002715F2">
        <w:rPr>
          <w:rFonts w:eastAsia="Batang"/>
          <w:lang w:val="fr-FR"/>
        </w:rPr>
        <w:t>Tous les trimestres, des psychiatres des hôpitaux militaires examinent attentivement les détenus qui présentent un risque élevé de suicide ou d’accident</w:t>
      </w:r>
      <w:r w:rsidR="000078DA" w:rsidRPr="002715F2">
        <w:rPr>
          <w:rFonts w:eastAsia="Batang"/>
          <w:lang w:val="fr-FR"/>
        </w:rPr>
        <w:t xml:space="preserve">. </w:t>
      </w:r>
      <w:r w:rsidR="00626E1A" w:rsidRPr="002715F2">
        <w:rPr>
          <w:rFonts w:eastAsia="Batang"/>
          <w:lang w:val="fr-FR"/>
        </w:rPr>
        <w:t xml:space="preserve">Si un </w:t>
      </w:r>
      <w:r w:rsidR="0039617D" w:rsidRPr="002715F2">
        <w:rPr>
          <w:rFonts w:eastAsia="Batang"/>
          <w:lang w:val="fr-FR"/>
        </w:rPr>
        <w:t>détenu</w:t>
      </w:r>
      <w:r w:rsidR="00626E1A" w:rsidRPr="002715F2">
        <w:rPr>
          <w:rFonts w:eastAsia="Batang"/>
          <w:lang w:val="fr-FR"/>
        </w:rPr>
        <w:t xml:space="preserve"> </w:t>
      </w:r>
      <w:r w:rsidR="0039617D" w:rsidRPr="002715F2">
        <w:rPr>
          <w:rFonts w:eastAsia="Batang"/>
          <w:lang w:val="fr-FR"/>
        </w:rPr>
        <w:t>nécessite</w:t>
      </w:r>
      <w:r w:rsidR="00626E1A" w:rsidRPr="002715F2">
        <w:rPr>
          <w:rFonts w:eastAsia="Batang"/>
          <w:lang w:val="fr-FR"/>
        </w:rPr>
        <w:t xml:space="preserve"> une plus grande attention, les psychiatres lui apportent une aide psychologique et prescrivent un traitement médical</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165.</w:t>
      </w:r>
      <w:r w:rsidRPr="002715F2">
        <w:rPr>
          <w:rFonts w:eastAsia="Batang"/>
          <w:lang w:val="fr-FR"/>
        </w:rPr>
        <w:tab/>
      </w:r>
      <w:r w:rsidR="00626E1A" w:rsidRPr="002715F2">
        <w:rPr>
          <w:rFonts w:eastAsia="Batang"/>
          <w:lang w:val="fr-FR"/>
        </w:rPr>
        <w:t xml:space="preserve">Afin de prévenir les décès </w:t>
      </w:r>
      <w:r w:rsidR="00520D08" w:rsidRPr="002715F2">
        <w:rPr>
          <w:rFonts w:eastAsia="Batang"/>
          <w:lang w:val="fr-FR"/>
        </w:rPr>
        <w:t>en garde à vue</w:t>
      </w:r>
      <w:r w:rsidR="00626E1A" w:rsidRPr="002715F2">
        <w:rPr>
          <w:rFonts w:eastAsia="Batang"/>
          <w:lang w:val="fr-FR"/>
        </w:rPr>
        <w:t xml:space="preserve">, </w:t>
      </w:r>
      <w:r w:rsidR="00626E1A" w:rsidRPr="002715F2">
        <w:rPr>
          <w:lang w:val="fr-FR"/>
        </w:rPr>
        <w:t xml:space="preserve">l’Agence de police </w:t>
      </w:r>
      <w:r w:rsidR="00C66B63" w:rsidRPr="002715F2">
        <w:rPr>
          <w:lang w:val="fr-FR"/>
        </w:rPr>
        <w:t xml:space="preserve">nationale </w:t>
      </w:r>
      <w:r w:rsidR="00626E1A" w:rsidRPr="002715F2">
        <w:rPr>
          <w:lang w:val="fr-FR"/>
        </w:rPr>
        <w:t xml:space="preserve">a </w:t>
      </w:r>
      <w:r w:rsidR="00612ED6" w:rsidRPr="002715F2">
        <w:rPr>
          <w:lang w:val="fr-FR"/>
        </w:rPr>
        <w:t>publié</w:t>
      </w:r>
      <w:r w:rsidR="00626E1A" w:rsidRPr="002715F2">
        <w:rPr>
          <w:lang w:val="fr-FR"/>
        </w:rPr>
        <w:t xml:space="preserve"> </w:t>
      </w:r>
      <w:r w:rsidR="00626E1A" w:rsidRPr="002715F2">
        <w:rPr>
          <w:rFonts w:eastAsia="Batang"/>
          <w:lang w:val="fr-FR"/>
        </w:rPr>
        <w:t xml:space="preserve">en 2008 </w:t>
      </w:r>
      <w:r w:rsidR="00626E1A" w:rsidRPr="002715F2">
        <w:rPr>
          <w:lang w:val="fr-FR"/>
        </w:rPr>
        <w:t>la</w:t>
      </w:r>
      <w:r w:rsidR="00626E1A" w:rsidRPr="002715F2">
        <w:rPr>
          <w:rFonts w:eastAsia="Batang"/>
          <w:lang w:val="fr-FR"/>
        </w:rPr>
        <w:t xml:space="preserve"> Directive sur la gestion des cellules </w:t>
      </w:r>
      <w:r w:rsidR="00520D08" w:rsidRPr="002715F2">
        <w:rPr>
          <w:rFonts w:eastAsia="Batang"/>
          <w:lang w:val="fr-FR"/>
        </w:rPr>
        <w:t xml:space="preserve">de </w:t>
      </w:r>
      <w:r w:rsidR="00C66B63" w:rsidRPr="002715F2">
        <w:rPr>
          <w:rFonts w:eastAsia="Batang"/>
          <w:lang w:val="fr-FR"/>
        </w:rPr>
        <w:t>garde à vue</w:t>
      </w:r>
      <w:r w:rsidR="00626E1A" w:rsidRPr="002715F2">
        <w:rPr>
          <w:rFonts w:eastAsia="Batang"/>
          <w:lang w:val="fr-FR"/>
        </w:rPr>
        <w:t xml:space="preserve">. </w:t>
      </w:r>
      <w:r w:rsidR="00612ED6" w:rsidRPr="002715F2">
        <w:rPr>
          <w:rFonts w:eastAsia="Batang"/>
          <w:lang w:val="fr-FR"/>
        </w:rPr>
        <w:t>C</w:t>
      </w:r>
      <w:r w:rsidR="00626E1A" w:rsidRPr="002715F2">
        <w:rPr>
          <w:rFonts w:eastAsia="Batang"/>
          <w:lang w:val="fr-FR"/>
        </w:rPr>
        <w:t>ette directive</w:t>
      </w:r>
      <w:r w:rsidR="00612ED6" w:rsidRPr="002715F2">
        <w:rPr>
          <w:rFonts w:eastAsia="Batang"/>
          <w:lang w:val="fr-FR"/>
        </w:rPr>
        <w:t xml:space="preserve"> prévoit que</w:t>
      </w:r>
      <w:r w:rsidR="00626E1A" w:rsidRPr="002715F2">
        <w:rPr>
          <w:rFonts w:eastAsia="Batang"/>
          <w:lang w:val="fr-FR"/>
        </w:rPr>
        <w:t xml:space="preserve"> </w:t>
      </w:r>
      <w:r w:rsidR="009017D5" w:rsidRPr="002715F2">
        <w:rPr>
          <w:rFonts w:eastAsia="Batang"/>
          <w:lang w:val="fr-FR"/>
        </w:rPr>
        <w:t>les</w:t>
      </w:r>
      <w:r w:rsidR="00626E1A" w:rsidRPr="002715F2">
        <w:rPr>
          <w:rFonts w:eastAsia="Batang"/>
          <w:lang w:val="fr-FR"/>
        </w:rPr>
        <w:t xml:space="preserve"> détenu</w:t>
      </w:r>
      <w:r w:rsidR="009017D5" w:rsidRPr="002715F2">
        <w:rPr>
          <w:rFonts w:eastAsia="Batang"/>
          <w:lang w:val="fr-FR"/>
        </w:rPr>
        <w:t>s</w:t>
      </w:r>
      <w:r w:rsidR="00626E1A" w:rsidRPr="002715F2">
        <w:rPr>
          <w:rFonts w:eastAsia="Batang"/>
          <w:lang w:val="fr-FR"/>
        </w:rPr>
        <w:t xml:space="preserve"> d</w:t>
      </w:r>
      <w:r w:rsidR="00612ED6" w:rsidRPr="002715F2">
        <w:rPr>
          <w:rFonts w:eastAsia="Batang"/>
          <w:lang w:val="fr-FR"/>
        </w:rPr>
        <w:t>oi</w:t>
      </w:r>
      <w:r w:rsidR="009017D5" w:rsidRPr="002715F2">
        <w:rPr>
          <w:rFonts w:eastAsia="Batang"/>
          <w:lang w:val="fr-FR"/>
        </w:rPr>
        <w:t>ven</w:t>
      </w:r>
      <w:r w:rsidR="00626E1A" w:rsidRPr="002715F2">
        <w:rPr>
          <w:rFonts w:eastAsia="Batang"/>
          <w:lang w:val="fr-FR"/>
        </w:rPr>
        <w:t xml:space="preserve">t </w:t>
      </w:r>
      <w:r w:rsidR="009017D5" w:rsidRPr="002715F2">
        <w:rPr>
          <w:rFonts w:eastAsia="Batang"/>
          <w:lang w:val="fr-FR"/>
        </w:rPr>
        <w:t>se départir</w:t>
      </w:r>
      <w:r w:rsidR="00626E1A" w:rsidRPr="002715F2">
        <w:rPr>
          <w:rFonts w:eastAsia="Batang"/>
          <w:lang w:val="fr-FR"/>
        </w:rPr>
        <w:t xml:space="preserve"> </w:t>
      </w:r>
      <w:r w:rsidR="009017D5" w:rsidRPr="002715F2">
        <w:rPr>
          <w:rFonts w:eastAsia="Batang"/>
          <w:lang w:val="fr-FR"/>
        </w:rPr>
        <w:t xml:space="preserve">de </w:t>
      </w:r>
      <w:r w:rsidR="00612ED6" w:rsidRPr="002715F2">
        <w:rPr>
          <w:rFonts w:eastAsia="Batang"/>
          <w:lang w:val="fr-FR"/>
        </w:rPr>
        <w:t xml:space="preserve">tout objet dangereux </w:t>
      </w:r>
      <w:r w:rsidR="00626E1A" w:rsidRPr="002715F2">
        <w:rPr>
          <w:rFonts w:eastAsia="Batang"/>
          <w:lang w:val="fr-FR"/>
        </w:rPr>
        <w:t>avant</w:t>
      </w:r>
      <w:r w:rsidR="00612ED6" w:rsidRPr="002715F2">
        <w:rPr>
          <w:rFonts w:eastAsia="Batang"/>
          <w:lang w:val="fr-FR"/>
        </w:rPr>
        <w:t xml:space="preserve"> </w:t>
      </w:r>
      <w:r w:rsidR="00C66B63" w:rsidRPr="002715F2">
        <w:rPr>
          <w:rFonts w:eastAsia="Batang"/>
          <w:lang w:val="fr-FR"/>
        </w:rPr>
        <w:t>d’entrer</w:t>
      </w:r>
      <w:r w:rsidR="00612ED6" w:rsidRPr="002715F2">
        <w:rPr>
          <w:rFonts w:eastAsia="Batang"/>
          <w:lang w:val="fr-FR"/>
        </w:rPr>
        <w:t xml:space="preserve"> </w:t>
      </w:r>
      <w:r w:rsidR="00EB33BD" w:rsidRPr="002715F2">
        <w:rPr>
          <w:rFonts w:eastAsia="Batang"/>
          <w:lang w:val="fr-FR"/>
        </w:rPr>
        <w:t>dans ce type de cellule</w:t>
      </w:r>
      <w:r w:rsidR="00C66B63" w:rsidRPr="002715F2">
        <w:rPr>
          <w:rFonts w:eastAsia="Batang"/>
          <w:lang w:val="fr-FR"/>
        </w:rPr>
        <w:t>,</w:t>
      </w:r>
      <w:r w:rsidR="00EB33BD" w:rsidRPr="002715F2">
        <w:rPr>
          <w:rFonts w:eastAsia="Batang"/>
          <w:lang w:val="fr-FR"/>
        </w:rPr>
        <w:t xml:space="preserve"> </w:t>
      </w:r>
      <w:r w:rsidR="00626E1A" w:rsidRPr="002715F2">
        <w:rPr>
          <w:rFonts w:eastAsia="Batang"/>
          <w:lang w:val="fr-FR"/>
        </w:rPr>
        <w:t xml:space="preserve">et </w:t>
      </w:r>
      <w:r w:rsidR="009017D5" w:rsidRPr="002715F2">
        <w:rPr>
          <w:rFonts w:eastAsia="Batang"/>
          <w:lang w:val="fr-FR"/>
        </w:rPr>
        <w:t xml:space="preserve">leur </w:t>
      </w:r>
      <w:r w:rsidR="00626E1A" w:rsidRPr="002715F2">
        <w:rPr>
          <w:rFonts w:eastAsia="Batang"/>
          <w:lang w:val="fr-FR"/>
        </w:rPr>
        <w:t xml:space="preserve">garantit </w:t>
      </w:r>
      <w:r w:rsidR="00612ED6" w:rsidRPr="002715F2">
        <w:rPr>
          <w:rFonts w:eastAsia="Batang"/>
          <w:lang w:val="fr-FR"/>
        </w:rPr>
        <w:t>le droit d’y</w:t>
      </w:r>
      <w:r w:rsidR="00626E1A" w:rsidRPr="002715F2">
        <w:rPr>
          <w:rFonts w:eastAsia="Batang"/>
          <w:lang w:val="fr-FR"/>
        </w:rPr>
        <w:t xml:space="preserve"> </w:t>
      </w:r>
      <w:r w:rsidR="00612ED6" w:rsidRPr="002715F2">
        <w:rPr>
          <w:rFonts w:eastAsia="Batang"/>
          <w:lang w:val="fr-FR"/>
        </w:rPr>
        <w:t>pratiquer</w:t>
      </w:r>
      <w:r w:rsidR="00626E1A" w:rsidRPr="002715F2">
        <w:rPr>
          <w:rFonts w:eastAsia="Batang"/>
          <w:lang w:val="fr-FR"/>
        </w:rPr>
        <w:t xml:space="preserve"> active</w:t>
      </w:r>
      <w:r w:rsidR="00612ED6" w:rsidRPr="002715F2">
        <w:rPr>
          <w:rFonts w:eastAsia="Batang"/>
          <w:lang w:val="fr-FR"/>
        </w:rPr>
        <w:t xml:space="preserve">ment </w:t>
      </w:r>
      <w:r w:rsidR="00C66B63" w:rsidRPr="002715F2">
        <w:rPr>
          <w:rFonts w:eastAsia="Batang"/>
          <w:lang w:val="fr-FR"/>
        </w:rPr>
        <w:t>leur</w:t>
      </w:r>
      <w:r w:rsidR="00626E1A" w:rsidRPr="002715F2">
        <w:rPr>
          <w:rFonts w:eastAsia="Batang"/>
          <w:lang w:val="fr-FR"/>
        </w:rPr>
        <w:t xml:space="preserve"> religi</w:t>
      </w:r>
      <w:r w:rsidR="00612ED6" w:rsidRPr="002715F2">
        <w:rPr>
          <w:rFonts w:eastAsia="Batang"/>
          <w:lang w:val="fr-FR"/>
        </w:rPr>
        <w:t>on</w:t>
      </w:r>
      <w:r w:rsidR="000078DA" w:rsidRPr="002715F2">
        <w:rPr>
          <w:rFonts w:eastAsia="Batang"/>
          <w:lang w:val="fr-FR"/>
        </w:rPr>
        <w:t xml:space="preserve">. </w:t>
      </w:r>
      <w:r w:rsidR="00612ED6" w:rsidRPr="002715F2">
        <w:rPr>
          <w:rFonts w:eastAsia="Batang"/>
          <w:lang w:val="fr-FR"/>
        </w:rPr>
        <w:t xml:space="preserve">Également en 2015, l’Agence de </w:t>
      </w:r>
      <w:r w:rsidR="00C66B63" w:rsidRPr="002715F2">
        <w:rPr>
          <w:rFonts w:eastAsia="Batang"/>
          <w:lang w:val="fr-FR"/>
        </w:rPr>
        <w:t>p</w:t>
      </w:r>
      <w:r w:rsidR="00612ED6" w:rsidRPr="002715F2">
        <w:rPr>
          <w:rFonts w:eastAsia="Batang"/>
          <w:lang w:val="fr-FR"/>
        </w:rPr>
        <w:t xml:space="preserve">olice nationale a donné des instructions pour </w:t>
      </w:r>
      <w:r w:rsidR="00C66B63" w:rsidRPr="002715F2">
        <w:rPr>
          <w:rFonts w:eastAsia="Batang"/>
          <w:lang w:val="fr-FR"/>
        </w:rPr>
        <w:t>que les policiers confisquent les</w:t>
      </w:r>
      <w:r w:rsidR="00612ED6" w:rsidRPr="002715F2">
        <w:rPr>
          <w:rFonts w:eastAsia="Batang"/>
          <w:lang w:val="fr-FR"/>
        </w:rPr>
        <w:t xml:space="preserve"> </w:t>
      </w:r>
      <w:r w:rsidR="00C66B63" w:rsidRPr="002715F2">
        <w:rPr>
          <w:rFonts w:eastAsia="Batang"/>
          <w:lang w:val="fr-FR"/>
        </w:rPr>
        <w:t xml:space="preserve">objets dangereux des </w:t>
      </w:r>
      <w:r w:rsidR="00612ED6" w:rsidRPr="002715F2">
        <w:rPr>
          <w:rFonts w:eastAsia="Batang"/>
          <w:lang w:val="fr-FR"/>
        </w:rPr>
        <w:t>détenus et suivent des programmes de formation aux premiers secours</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166.</w:t>
      </w:r>
      <w:r w:rsidRPr="002715F2">
        <w:rPr>
          <w:rFonts w:eastAsia="Batang"/>
          <w:lang w:val="fr-FR"/>
        </w:rPr>
        <w:tab/>
      </w:r>
      <w:r w:rsidR="00520D08" w:rsidRPr="002715F2">
        <w:rPr>
          <w:rFonts w:eastAsia="Batang"/>
          <w:lang w:val="fr-FR"/>
        </w:rPr>
        <w:t>Le 30 mai 2012, le tribunal du district central de Séoul a accordé une indemnisation de l’État aux quatre</w:t>
      </w:r>
      <w:r w:rsidR="009017D5" w:rsidRPr="002715F2">
        <w:rPr>
          <w:rFonts w:eastAsia="Batang"/>
          <w:lang w:val="fr-FR"/>
        </w:rPr>
        <w:t> </w:t>
      </w:r>
      <w:r w:rsidR="00520D08" w:rsidRPr="002715F2">
        <w:rPr>
          <w:rFonts w:eastAsia="Batang"/>
          <w:lang w:val="fr-FR"/>
        </w:rPr>
        <w:t>femmes qui avaient été arrêté</w:t>
      </w:r>
      <w:r w:rsidR="00EB33BD" w:rsidRPr="002715F2">
        <w:rPr>
          <w:rFonts w:eastAsia="Batang"/>
          <w:lang w:val="fr-FR"/>
        </w:rPr>
        <w:t>e</w:t>
      </w:r>
      <w:r w:rsidR="00520D08" w:rsidRPr="002715F2">
        <w:rPr>
          <w:rFonts w:eastAsia="Batang"/>
          <w:lang w:val="fr-FR"/>
        </w:rPr>
        <w:t xml:space="preserve">s </w:t>
      </w:r>
      <w:r w:rsidR="00CF702C" w:rsidRPr="002715F2">
        <w:rPr>
          <w:rFonts w:eastAsia="Batang"/>
          <w:lang w:val="fr-FR"/>
        </w:rPr>
        <w:t>en 2008</w:t>
      </w:r>
      <w:r w:rsidR="00B81C04" w:rsidRPr="002715F2">
        <w:rPr>
          <w:rFonts w:eastAsia="Batang"/>
          <w:lang w:val="fr-FR"/>
        </w:rPr>
        <w:t>,</w:t>
      </w:r>
      <w:r w:rsidR="00CF702C" w:rsidRPr="002715F2">
        <w:rPr>
          <w:rFonts w:eastAsia="Batang"/>
          <w:lang w:val="fr-FR"/>
        </w:rPr>
        <w:t xml:space="preserve"> </w:t>
      </w:r>
      <w:r w:rsidR="00520D08" w:rsidRPr="002715F2">
        <w:rPr>
          <w:rFonts w:eastAsia="Batang"/>
          <w:lang w:val="fr-FR"/>
        </w:rPr>
        <w:t xml:space="preserve">lors d’une veillée aux </w:t>
      </w:r>
      <w:r w:rsidR="009017D5" w:rsidRPr="002715F2">
        <w:rPr>
          <w:rFonts w:eastAsia="Batang"/>
          <w:lang w:val="fr-FR"/>
        </w:rPr>
        <w:t>bougies</w:t>
      </w:r>
      <w:r w:rsidR="00B81C04" w:rsidRPr="002715F2">
        <w:rPr>
          <w:rFonts w:eastAsia="Batang"/>
          <w:lang w:val="fr-FR"/>
        </w:rPr>
        <w:t>,</w:t>
      </w:r>
      <w:r w:rsidR="00520D08" w:rsidRPr="002715F2">
        <w:rPr>
          <w:rFonts w:eastAsia="Batang"/>
          <w:lang w:val="fr-FR"/>
        </w:rPr>
        <w:t xml:space="preserve"> et contraintes d</w:t>
      </w:r>
      <w:r w:rsidR="00B81C04" w:rsidRPr="002715F2">
        <w:rPr>
          <w:rFonts w:eastAsia="Batang"/>
          <w:lang w:val="fr-FR"/>
        </w:rPr>
        <w:t>’</w:t>
      </w:r>
      <w:r w:rsidR="00520D08" w:rsidRPr="002715F2">
        <w:rPr>
          <w:rFonts w:eastAsia="Batang"/>
          <w:lang w:val="fr-FR"/>
        </w:rPr>
        <w:t>e</w:t>
      </w:r>
      <w:r w:rsidR="00B81C04" w:rsidRPr="002715F2">
        <w:rPr>
          <w:rFonts w:eastAsia="Batang"/>
          <w:lang w:val="fr-FR"/>
        </w:rPr>
        <w:t>nlever</w:t>
      </w:r>
      <w:r w:rsidR="00520D08" w:rsidRPr="002715F2">
        <w:rPr>
          <w:rFonts w:eastAsia="Batang"/>
          <w:lang w:val="fr-FR"/>
        </w:rPr>
        <w:t xml:space="preserve"> leur </w:t>
      </w:r>
      <w:r w:rsidR="0039617D" w:rsidRPr="002715F2">
        <w:rPr>
          <w:rFonts w:eastAsia="Batang"/>
          <w:lang w:val="fr-FR"/>
        </w:rPr>
        <w:t>soutien-gorge</w:t>
      </w:r>
      <w:r w:rsidR="00520D08" w:rsidRPr="002715F2">
        <w:rPr>
          <w:rFonts w:eastAsia="Batang"/>
          <w:lang w:val="fr-FR"/>
        </w:rPr>
        <w:t xml:space="preserve"> au motif </w:t>
      </w:r>
      <w:r w:rsidR="00CF702C" w:rsidRPr="002715F2">
        <w:rPr>
          <w:rFonts w:eastAsia="Batang"/>
          <w:lang w:val="fr-FR"/>
        </w:rPr>
        <w:t xml:space="preserve">que </w:t>
      </w:r>
      <w:r w:rsidR="00704614" w:rsidRPr="002715F2">
        <w:rPr>
          <w:rFonts w:eastAsia="Batang"/>
          <w:lang w:val="fr-FR"/>
        </w:rPr>
        <w:t>celui</w:t>
      </w:r>
      <w:r w:rsidR="00CF702C" w:rsidRPr="002715F2">
        <w:rPr>
          <w:rFonts w:eastAsia="Batang"/>
          <w:lang w:val="fr-FR"/>
        </w:rPr>
        <w:t>-ci</w:t>
      </w:r>
      <w:r w:rsidR="00EB33BD" w:rsidRPr="002715F2">
        <w:rPr>
          <w:rFonts w:eastAsia="Batang"/>
          <w:lang w:val="fr-FR"/>
        </w:rPr>
        <w:t xml:space="preserve"> </w:t>
      </w:r>
      <w:r w:rsidR="00520D08" w:rsidRPr="002715F2">
        <w:rPr>
          <w:rFonts w:eastAsia="Batang"/>
          <w:lang w:val="fr-FR"/>
        </w:rPr>
        <w:t xml:space="preserve">pouvait être utilisé pour se suicider en </w:t>
      </w:r>
      <w:r w:rsidR="00EB33BD" w:rsidRPr="002715F2">
        <w:rPr>
          <w:rFonts w:eastAsia="Batang"/>
          <w:lang w:val="fr-FR"/>
        </w:rPr>
        <w:t>garde à vue</w:t>
      </w:r>
      <w:r w:rsidR="000078DA" w:rsidRPr="002715F2">
        <w:rPr>
          <w:rFonts w:eastAsia="Batang"/>
          <w:lang w:val="fr-FR"/>
        </w:rPr>
        <w:t xml:space="preserve">. </w:t>
      </w:r>
      <w:r w:rsidR="00EB33BD" w:rsidRPr="002715F2">
        <w:rPr>
          <w:rFonts w:eastAsia="Batang"/>
          <w:lang w:val="fr-FR"/>
        </w:rPr>
        <w:t>Le tribunal a jugé que l’ordre donné par le policie</w:t>
      </w:r>
      <w:r w:rsidR="009017D5" w:rsidRPr="002715F2">
        <w:rPr>
          <w:rFonts w:eastAsia="Batang"/>
          <w:lang w:val="fr-FR"/>
        </w:rPr>
        <w:t>r de retirer les soutiens-gorge</w:t>
      </w:r>
      <w:r w:rsidR="00EB33BD" w:rsidRPr="002715F2">
        <w:rPr>
          <w:rFonts w:eastAsia="Batang"/>
          <w:lang w:val="fr-FR"/>
        </w:rPr>
        <w:t xml:space="preserve"> était </w:t>
      </w:r>
      <w:r w:rsidR="0039617D" w:rsidRPr="002715F2">
        <w:rPr>
          <w:rFonts w:eastAsia="Batang"/>
          <w:lang w:val="fr-FR"/>
        </w:rPr>
        <w:t>illégal</w:t>
      </w:r>
      <w:r w:rsidR="00EB33BD" w:rsidRPr="002715F2">
        <w:rPr>
          <w:rFonts w:eastAsia="Batang"/>
          <w:lang w:val="fr-FR"/>
        </w:rPr>
        <w:t>, car alla</w:t>
      </w:r>
      <w:r w:rsidR="009017D5" w:rsidRPr="002715F2">
        <w:rPr>
          <w:rFonts w:eastAsia="Batang"/>
          <w:lang w:val="fr-FR"/>
        </w:rPr>
        <w:t>n</w:t>
      </w:r>
      <w:r w:rsidR="00EB33BD" w:rsidRPr="002715F2">
        <w:rPr>
          <w:rFonts w:eastAsia="Batang"/>
          <w:lang w:val="fr-FR"/>
        </w:rPr>
        <w:t xml:space="preserve">t au-delà des mesures minimales </w:t>
      </w:r>
      <w:r w:rsidR="00CF702C" w:rsidRPr="002715F2">
        <w:rPr>
          <w:rFonts w:eastAsia="Batang"/>
          <w:lang w:val="fr-FR"/>
        </w:rPr>
        <w:t>requises</w:t>
      </w:r>
      <w:r w:rsidR="00EB33BD" w:rsidRPr="002715F2">
        <w:rPr>
          <w:rFonts w:eastAsia="Batang"/>
          <w:lang w:val="fr-FR"/>
        </w:rPr>
        <w:t xml:space="preserve"> pour prévenir le suicide</w:t>
      </w:r>
      <w:r w:rsidR="007716A7" w:rsidRPr="002715F2">
        <w:rPr>
          <w:rFonts w:eastAsia="Batang"/>
          <w:lang w:val="fr-FR"/>
        </w:rPr>
        <w:t>,</w:t>
      </w:r>
      <w:r w:rsidR="00EB33BD" w:rsidRPr="002715F2">
        <w:rPr>
          <w:rFonts w:eastAsia="Batang"/>
          <w:lang w:val="fr-FR"/>
        </w:rPr>
        <w:t xml:space="preserve"> et que l’État </w:t>
      </w:r>
      <w:r w:rsidR="007716A7" w:rsidRPr="002715F2">
        <w:rPr>
          <w:rFonts w:eastAsia="Batang"/>
          <w:lang w:val="fr-FR"/>
        </w:rPr>
        <w:t>devait verser 1,5 </w:t>
      </w:r>
      <w:r w:rsidR="00EB33BD" w:rsidRPr="002715F2">
        <w:rPr>
          <w:rFonts w:eastAsia="Batang"/>
          <w:lang w:val="fr-FR"/>
        </w:rPr>
        <w:t xml:space="preserve">millions de won </w:t>
      </w:r>
      <w:r w:rsidR="008E3390" w:rsidRPr="002715F2">
        <w:rPr>
          <w:rFonts w:eastAsia="Batang"/>
          <w:lang w:val="fr-FR"/>
        </w:rPr>
        <w:t xml:space="preserve">à chacune de ces femmes </w:t>
      </w:r>
      <w:r w:rsidR="00EB33BD" w:rsidRPr="002715F2">
        <w:rPr>
          <w:rFonts w:eastAsia="Batang"/>
          <w:lang w:val="fr-FR"/>
        </w:rPr>
        <w:t xml:space="preserve">à titre de </w:t>
      </w:r>
      <w:r w:rsidR="009017D5" w:rsidRPr="002715F2">
        <w:rPr>
          <w:rFonts w:eastAsia="Batang"/>
          <w:lang w:val="fr-FR"/>
        </w:rPr>
        <w:t>dédommagement</w:t>
      </w:r>
      <w:r w:rsidR="000078DA" w:rsidRPr="002715F2">
        <w:rPr>
          <w:rFonts w:eastAsia="Batang"/>
          <w:lang w:val="fr-FR"/>
        </w:rPr>
        <w:t xml:space="preserve">. </w:t>
      </w:r>
      <w:r w:rsidR="008E3390" w:rsidRPr="002715F2">
        <w:rPr>
          <w:rFonts w:eastAsia="Batang"/>
          <w:lang w:val="fr-FR"/>
        </w:rPr>
        <w:t>Ce</w:t>
      </w:r>
      <w:r w:rsidR="007716A7" w:rsidRPr="002715F2">
        <w:rPr>
          <w:rFonts w:eastAsia="Batang"/>
          <w:lang w:val="fr-FR"/>
        </w:rPr>
        <w:t xml:space="preserve"> jugement a été confirmé par la Cour suprême le 9 mai 2013 </w:t>
      </w:r>
      <w:r w:rsidR="009017D5" w:rsidRPr="002715F2">
        <w:rPr>
          <w:rFonts w:eastAsia="Batang"/>
          <w:lang w:val="fr-FR"/>
        </w:rPr>
        <w:t>(2011GaDan290916 et</w:t>
      </w:r>
      <w:r w:rsidR="000078DA" w:rsidRPr="002715F2">
        <w:rPr>
          <w:rFonts w:eastAsia="Batang"/>
          <w:lang w:val="fr-FR"/>
        </w:rPr>
        <w:t xml:space="preserve"> 2013Da200438).</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1730B2" w:rsidRPr="002715F2">
        <w:rPr>
          <w:rFonts w:eastAsia="Batang"/>
          <w:lang w:val="fr-FR" w:eastAsia="ko-KR"/>
        </w:rPr>
        <w:t>Réponse aux qu</w:t>
      </w:r>
      <w:r w:rsidR="00B81C04" w:rsidRPr="002715F2">
        <w:rPr>
          <w:rFonts w:eastAsia="Batang"/>
          <w:lang w:val="fr-FR" w:eastAsia="ko-KR"/>
        </w:rPr>
        <w:t xml:space="preserve">estions soulevées au </w:t>
      </w:r>
      <w:r w:rsidR="00704614" w:rsidRPr="002715F2">
        <w:rPr>
          <w:rFonts w:eastAsia="Batang"/>
          <w:lang w:val="fr-FR" w:eastAsia="ko-KR"/>
        </w:rPr>
        <w:t xml:space="preserve">paragraphe </w:t>
      </w:r>
      <w:r w:rsidR="001730B2" w:rsidRPr="002715F2">
        <w:rPr>
          <w:rFonts w:eastAsia="Batang"/>
          <w:lang w:val="fr-FR" w:eastAsia="ko-KR"/>
        </w:rPr>
        <w:t>32</w:t>
      </w:r>
    </w:p>
    <w:p w:rsidR="000078DA" w:rsidRPr="002715F2" w:rsidRDefault="007026FB" w:rsidP="007026FB">
      <w:pPr>
        <w:pStyle w:val="SingleTxtG"/>
        <w:rPr>
          <w:rFonts w:eastAsia="Batang"/>
          <w:lang w:val="fr-FR"/>
        </w:rPr>
      </w:pPr>
      <w:r w:rsidRPr="002715F2">
        <w:rPr>
          <w:rFonts w:eastAsia="Batang"/>
          <w:lang w:val="fr-FR"/>
        </w:rPr>
        <w:t>167.</w:t>
      </w:r>
      <w:r w:rsidRPr="002715F2">
        <w:rPr>
          <w:rFonts w:eastAsia="Batang"/>
          <w:lang w:val="fr-FR"/>
        </w:rPr>
        <w:tab/>
      </w:r>
      <w:r w:rsidR="00CF702C" w:rsidRPr="002715F2">
        <w:rPr>
          <w:rFonts w:eastAsia="Batang"/>
          <w:lang w:val="fr-FR"/>
        </w:rPr>
        <w:t xml:space="preserve">Eu égard au paragraphe 14 </w:t>
      </w:r>
      <w:r w:rsidR="007D503B" w:rsidRPr="002715F2">
        <w:rPr>
          <w:rFonts w:eastAsia="Batang"/>
          <w:lang w:val="fr-FR"/>
        </w:rPr>
        <w:t>aux</w:t>
      </w:r>
      <w:r w:rsidR="00CF702C" w:rsidRPr="002715F2">
        <w:rPr>
          <w:rFonts w:eastAsia="Batang"/>
          <w:lang w:val="fr-FR"/>
        </w:rPr>
        <w:t xml:space="preserve"> </w:t>
      </w:r>
      <w:r w:rsidR="0039617D" w:rsidRPr="002715F2">
        <w:rPr>
          <w:rFonts w:eastAsia="Batang"/>
          <w:lang w:val="fr-FR"/>
        </w:rPr>
        <w:t>précédentes</w:t>
      </w:r>
      <w:r w:rsidR="00CF702C" w:rsidRPr="002715F2">
        <w:rPr>
          <w:rFonts w:eastAsia="Batang"/>
          <w:lang w:val="fr-FR"/>
        </w:rPr>
        <w:t xml:space="preserve"> recommandations du Comité</w:t>
      </w:r>
      <w:r w:rsidR="000078DA" w:rsidRPr="002715F2">
        <w:rPr>
          <w:rFonts w:eastAsia="Batang"/>
          <w:lang w:val="fr-FR"/>
        </w:rPr>
        <w:t xml:space="preserve"> (CAT/C/KOR/CO/2), </w:t>
      </w:r>
      <w:r w:rsidR="00CF702C" w:rsidRPr="002715F2">
        <w:rPr>
          <w:rFonts w:eastAsia="Batang"/>
          <w:lang w:val="fr-FR"/>
        </w:rPr>
        <w:t>chaque fois qu’un détenu se suicide ou décède subite</w:t>
      </w:r>
      <w:r w:rsidR="008E3390" w:rsidRPr="002715F2">
        <w:rPr>
          <w:rFonts w:eastAsia="Batang"/>
          <w:lang w:val="fr-FR"/>
        </w:rPr>
        <w:t>ment</w:t>
      </w:r>
      <w:r w:rsidR="00CF702C" w:rsidRPr="002715F2">
        <w:rPr>
          <w:rFonts w:eastAsia="Batang"/>
          <w:lang w:val="fr-FR"/>
        </w:rPr>
        <w:t xml:space="preserve"> dans un </w:t>
      </w:r>
      <w:r w:rsidR="00B81C04" w:rsidRPr="002715F2">
        <w:rPr>
          <w:rFonts w:eastAsia="Batang"/>
          <w:lang w:val="fr-FR"/>
        </w:rPr>
        <w:t>lieu</w:t>
      </w:r>
      <w:r w:rsidR="00CF702C" w:rsidRPr="002715F2">
        <w:rPr>
          <w:rFonts w:eastAsia="Batang"/>
          <w:lang w:val="fr-FR"/>
        </w:rPr>
        <w:t xml:space="preserve"> de </w:t>
      </w:r>
      <w:r w:rsidR="0039617D" w:rsidRPr="002715F2">
        <w:rPr>
          <w:rFonts w:eastAsia="Batang"/>
          <w:lang w:val="fr-FR"/>
        </w:rPr>
        <w:t>détention</w:t>
      </w:r>
      <w:r w:rsidR="00CF702C" w:rsidRPr="002715F2">
        <w:rPr>
          <w:rFonts w:eastAsia="Batang"/>
          <w:lang w:val="fr-FR"/>
        </w:rPr>
        <w:t xml:space="preserve">, le Ministère de la justice, le Ministère de la défense nationale ou l’Agence de Police nationale mène une enquête approfondie afin d’en </w:t>
      </w:r>
      <w:r w:rsidR="0039617D" w:rsidRPr="002715F2">
        <w:rPr>
          <w:rFonts w:eastAsia="Batang"/>
          <w:lang w:val="fr-FR"/>
        </w:rPr>
        <w:t>déterminer</w:t>
      </w:r>
      <w:r w:rsidR="00CF702C" w:rsidRPr="002715F2">
        <w:rPr>
          <w:rFonts w:eastAsia="Batang"/>
          <w:lang w:val="fr-FR"/>
        </w:rPr>
        <w:t xml:space="preserve"> la cause</w:t>
      </w:r>
      <w:r w:rsidR="000078DA" w:rsidRPr="002715F2">
        <w:rPr>
          <w:rFonts w:eastAsia="Batang"/>
          <w:lang w:val="fr-FR"/>
        </w:rPr>
        <w:t xml:space="preserve">. </w:t>
      </w:r>
      <w:r w:rsidR="008E3390" w:rsidRPr="002715F2">
        <w:rPr>
          <w:rFonts w:eastAsia="Batang"/>
          <w:lang w:val="fr-FR"/>
        </w:rPr>
        <w:t xml:space="preserve">Jusqu’à présent, aucun cas de suicide ou de mort subite n’a été </w:t>
      </w:r>
      <w:r w:rsidR="00B81C04" w:rsidRPr="002715F2">
        <w:rPr>
          <w:rFonts w:eastAsia="Batang"/>
          <w:lang w:val="fr-FR"/>
        </w:rPr>
        <w:t>imputé</w:t>
      </w:r>
      <w:r w:rsidR="008E3390" w:rsidRPr="002715F2">
        <w:rPr>
          <w:rFonts w:eastAsia="Batang"/>
          <w:lang w:val="fr-FR"/>
        </w:rPr>
        <w:t xml:space="preserve"> à </w:t>
      </w:r>
      <w:r w:rsidR="00B81C04" w:rsidRPr="002715F2">
        <w:rPr>
          <w:rFonts w:eastAsia="Batang"/>
          <w:lang w:val="fr-FR"/>
        </w:rPr>
        <w:t>des actes de torture</w:t>
      </w:r>
      <w:r w:rsidR="008E3390" w:rsidRPr="002715F2">
        <w:rPr>
          <w:rFonts w:eastAsia="Batang"/>
          <w:lang w:val="fr-FR"/>
        </w:rPr>
        <w:t xml:space="preserve"> ou à des mauvais traitements</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168.</w:t>
      </w:r>
      <w:r w:rsidRPr="002715F2">
        <w:rPr>
          <w:rFonts w:eastAsia="Batang"/>
          <w:lang w:val="fr-FR"/>
        </w:rPr>
        <w:tab/>
      </w:r>
      <w:r w:rsidR="007D503B" w:rsidRPr="002715F2">
        <w:rPr>
          <w:rFonts w:eastAsia="Batang"/>
          <w:lang w:val="fr-FR"/>
        </w:rPr>
        <w:t>Quand</w:t>
      </w:r>
      <w:r w:rsidR="008E3390" w:rsidRPr="002715F2">
        <w:rPr>
          <w:rFonts w:eastAsia="Batang"/>
          <w:lang w:val="fr-FR"/>
        </w:rPr>
        <w:t xml:space="preserve"> une personne </w:t>
      </w:r>
      <w:r w:rsidR="00C57238" w:rsidRPr="002715F2">
        <w:rPr>
          <w:rFonts w:eastAsia="Batang"/>
          <w:lang w:val="fr-FR"/>
        </w:rPr>
        <w:t>meurt</w:t>
      </w:r>
      <w:r w:rsidR="008E3390" w:rsidRPr="002715F2">
        <w:rPr>
          <w:rFonts w:eastAsia="Batang"/>
          <w:lang w:val="fr-FR"/>
        </w:rPr>
        <w:t xml:space="preserve"> ou se suicide dans un établissement </w:t>
      </w:r>
      <w:r w:rsidR="00FB35A3" w:rsidRPr="002715F2">
        <w:rPr>
          <w:rFonts w:eastAsia="Batang"/>
          <w:lang w:val="fr-FR"/>
        </w:rPr>
        <w:t>pénitentiaire,</w:t>
      </w:r>
      <w:r w:rsidR="008E3390" w:rsidRPr="002715F2">
        <w:rPr>
          <w:rFonts w:eastAsia="Batang"/>
          <w:lang w:val="fr-FR"/>
        </w:rPr>
        <w:t xml:space="preserve"> le</w:t>
      </w:r>
      <w:r w:rsidR="007D503B" w:rsidRPr="002715F2">
        <w:rPr>
          <w:rFonts w:eastAsia="Batang"/>
          <w:lang w:val="fr-FR"/>
        </w:rPr>
        <w:t>s</w:t>
      </w:r>
      <w:r w:rsidR="008E3390" w:rsidRPr="002715F2">
        <w:rPr>
          <w:rFonts w:eastAsia="Batang"/>
          <w:lang w:val="fr-FR"/>
        </w:rPr>
        <w:t xml:space="preserve"> </w:t>
      </w:r>
      <w:r w:rsidR="007D503B" w:rsidRPr="002715F2">
        <w:rPr>
          <w:rFonts w:eastAsia="Batang"/>
          <w:lang w:val="fr-FR"/>
        </w:rPr>
        <w:t xml:space="preserve">services correctionnels régionaux </w:t>
      </w:r>
      <w:r w:rsidR="008E3390" w:rsidRPr="002715F2">
        <w:rPr>
          <w:rFonts w:eastAsia="Batang"/>
          <w:lang w:val="fr-FR"/>
        </w:rPr>
        <w:t>se rend</w:t>
      </w:r>
      <w:r w:rsidR="007D503B" w:rsidRPr="002715F2">
        <w:rPr>
          <w:rFonts w:eastAsia="Batang"/>
          <w:lang w:val="fr-FR"/>
        </w:rPr>
        <w:t>ent</w:t>
      </w:r>
      <w:r w:rsidR="008E3390" w:rsidRPr="002715F2">
        <w:rPr>
          <w:rFonts w:eastAsia="Batang"/>
          <w:lang w:val="fr-FR"/>
        </w:rPr>
        <w:t xml:space="preserve"> sur place pour enquêter sur les circonstances du décès et les pratiques </w:t>
      </w:r>
      <w:r w:rsidR="0049366D" w:rsidRPr="002715F2">
        <w:rPr>
          <w:rFonts w:eastAsia="Batang"/>
          <w:lang w:val="fr-FR"/>
        </w:rPr>
        <w:t>du</w:t>
      </w:r>
      <w:r w:rsidR="008E3390" w:rsidRPr="002715F2">
        <w:rPr>
          <w:rFonts w:eastAsia="Batang"/>
          <w:lang w:val="fr-FR"/>
        </w:rPr>
        <w:t xml:space="preserve"> personnel</w:t>
      </w:r>
      <w:r w:rsidR="00C57238" w:rsidRPr="002715F2">
        <w:rPr>
          <w:rFonts w:eastAsia="Batang"/>
          <w:lang w:val="fr-FR"/>
        </w:rPr>
        <w:t xml:space="preserve"> </w:t>
      </w:r>
      <w:r w:rsidR="0086745D" w:rsidRPr="002715F2">
        <w:rPr>
          <w:rFonts w:eastAsia="Batang"/>
          <w:lang w:val="fr-FR"/>
        </w:rPr>
        <w:t>de</w:t>
      </w:r>
      <w:r w:rsidR="00C57238" w:rsidRPr="002715F2">
        <w:rPr>
          <w:rFonts w:eastAsia="Batang"/>
          <w:lang w:val="fr-FR"/>
        </w:rPr>
        <w:t xml:space="preserve"> service</w:t>
      </w:r>
      <w:r w:rsidR="000078DA" w:rsidRPr="002715F2">
        <w:rPr>
          <w:rFonts w:eastAsia="Batang"/>
          <w:lang w:val="fr-FR"/>
        </w:rPr>
        <w:t xml:space="preserve">. </w:t>
      </w:r>
      <w:r w:rsidR="002612E0" w:rsidRPr="002715F2">
        <w:rPr>
          <w:rFonts w:eastAsia="Batang"/>
          <w:lang w:val="fr-FR"/>
        </w:rPr>
        <w:t>Des</w:t>
      </w:r>
      <w:r w:rsidR="0049366D" w:rsidRPr="002715F2">
        <w:rPr>
          <w:rFonts w:eastAsia="Batang"/>
          <w:lang w:val="fr-FR"/>
        </w:rPr>
        <w:t xml:space="preserve"> </w:t>
      </w:r>
      <w:r w:rsidR="007A48FE" w:rsidRPr="002715F2">
        <w:rPr>
          <w:rFonts w:eastAsia="Batang"/>
          <w:lang w:val="fr-FR"/>
        </w:rPr>
        <w:t>fo</w:t>
      </w:r>
      <w:r w:rsidR="002612E0" w:rsidRPr="002715F2">
        <w:rPr>
          <w:rFonts w:eastAsia="Batang"/>
          <w:lang w:val="fr-FR"/>
        </w:rPr>
        <w:t>n</w:t>
      </w:r>
      <w:r w:rsidR="007A48FE" w:rsidRPr="002715F2">
        <w:rPr>
          <w:rFonts w:eastAsia="Batang"/>
          <w:lang w:val="fr-FR"/>
        </w:rPr>
        <w:t>c</w:t>
      </w:r>
      <w:r w:rsidR="002612E0" w:rsidRPr="002715F2">
        <w:rPr>
          <w:rFonts w:eastAsia="Batang"/>
          <w:lang w:val="fr-FR"/>
        </w:rPr>
        <w:t>tionnaires</w:t>
      </w:r>
      <w:r w:rsidR="0049366D" w:rsidRPr="002715F2">
        <w:rPr>
          <w:rFonts w:eastAsia="Batang"/>
          <w:lang w:val="fr-FR"/>
        </w:rPr>
        <w:t xml:space="preserve"> de </w:t>
      </w:r>
      <w:r w:rsidR="00C57238" w:rsidRPr="002715F2">
        <w:rPr>
          <w:rFonts w:eastAsia="Batang"/>
          <w:lang w:val="fr-FR"/>
        </w:rPr>
        <w:t xml:space="preserve">l’administration </w:t>
      </w:r>
      <w:r w:rsidR="009966B6" w:rsidRPr="002715F2">
        <w:rPr>
          <w:rFonts w:eastAsia="Batang"/>
          <w:lang w:val="fr-FR"/>
        </w:rPr>
        <w:t>pénitentiaire</w:t>
      </w:r>
      <w:r w:rsidR="0049366D" w:rsidRPr="002715F2">
        <w:rPr>
          <w:rFonts w:eastAsia="Batang"/>
          <w:lang w:val="fr-FR"/>
        </w:rPr>
        <w:t xml:space="preserve"> </w:t>
      </w:r>
      <w:r w:rsidR="002612E0" w:rsidRPr="002715F2">
        <w:rPr>
          <w:rFonts w:eastAsia="Batang"/>
          <w:lang w:val="fr-FR"/>
        </w:rPr>
        <w:t>ont fait l’objet de</w:t>
      </w:r>
      <w:r w:rsidR="0049366D" w:rsidRPr="002715F2">
        <w:rPr>
          <w:rFonts w:eastAsia="Batang"/>
          <w:lang w:val="fr-FR"/>
        </w:rPr>
        <w:t xml:space="preserve"> </w:t>
      </w:r>
      <w:r w:rsidR="00CB37E0" w:rsidRPr="002715F2">
        <w:rPr>
          <w:rFonts w:eastAsia="Batang"/>
          <w:lang w:val="fr-FR"/>
        </w:rPr>
        <w:t>sanctions</w:t>
      </w:r>
      <w:r w:rsidR="0049366D" w:rsidRPr="002715F2">
        <w:rPr>
          <w:rFonts w:eastAsia="Batang"/>
          <w:lang w:val="fr-FR"/>
        </w:rPr>
        <w:t xml:space="preserve"> disciplinaires</w:t>
      </w:r>
      <w:r w:rsidR="00C57238" w:rsidRPr="002715F2">
        <w:rPr>
          <w:rFonts w:eastAsia="Batang"/>
          <w:lang w:val="fr-FR"/>
        </w:rPr>
        <w:t>,</w:t>
      </w:r>
      <w:r w:rsidR="0049366D" w:rsidRPr="002715F2">
        <w:rPr>
          <w:rFonts w:eastAsia="Batang"/>
          <w:lang w:val="fr-FR"/>
        </w:rPr>
        <w:t xml:space="preserve"> </w:t>
      </w:r>
      <w:r w:rsidR="00CB37E0" w:rsidRPr="002715F2">
        <w:rPr>
          <w:rFonts w:eastAsia="Batang"/>
          <w:lang w:val="fr-FR"/>
        </w:rPr>
        <w:t>au titre de</w:t>
      </w:r>
      <w:r w:rsidR="0049366D" w:rsidRPr="002715F2">
        <w:rPr>
          <w:rFonts w:eastAsia="Batang"/>
          <w:lang w:val="fr-FR"/>
        </w:rPr>
        <w:t xml:space="preserve"> la </w:t>
      </w:r>
      <w:r w:rsidR="002612E0" w:rsidRPr="002715F2">
        <w:rPr>
          <w:rFonts w:eastAsia="Batang"/>
          <w:lang w:val="fr-FR"/>
        </w:rPr>
        <w:t>l</w:t>
      </w:r>
      <w:r w:rsidR="0049366D" w:rsidRPr="002715F2">
        <w:rPr>
          <w:rFonts w:eastAsia="Batang"/>
          <w:lang w:val="fr-FR"/>
        </w:rPr>
        <w:t xml:space="preserve">oi </w:t>
      </w:r>
      <w:r w:rsidR="002612E0" w:rsidRPr="002715F2">
        <w:rPr>
          <w:rFonts w:eastAsia="Batang"/>
          <w:lang w:val="fr-FR"/>
        </w:rPr>
        <w:t xml:space="preserve">sur les agents de la </w:t>
      </w:r>
      <w:r w:rsidR="0039617D" w:rsidRPr="002715F2">
        <w:rPr>
          <w:rFonts w:eastAsia="Batang"/>
          <w:lang w:val="fr-FR"/>
        </w:rPr>
        <w:t>fonction</w:t>
      </w:r>
      <w:r w:rsidR="002612E0" w:rsidRPr="002715F2">
        <w:rPr>
          <w:rFonts w:eastAsia="Batang"/>
          <w:lang w:val="fr-FR"/>
        </w:rPr>
        <w:t xml:space="preserve"> publique</w:t>
      </w:r>
      <w:r w:rsidR="00CB37E0" w:rsidRPr="002715F2">
        <w:rPr>
          <w:rFonts w:eastAsia="Batang"/>
          <w:lang w:val="fr-FR"/>
        </w:rPr>
        <w:t>,</w:t>
      </w:r>
      <w:r w:rsidR="0049366D" w:rsidRPr="002715F2">
        <w:rPr>
          <w:rFonts w:eastAsia="Batang"/>
          <w:lang w:val="fr-FR"/>
        </w:rPr>
        <w:t xml:space="preserve"> pour avoir </w:t>
      </w:r>
      <w:r w:rsidR="002612E0" w:rsidRPr="002715F2">
        <w:rPr>
          <w:rFonts w:eastAsia="Batang"/>
          <w:lang w:val="fr-FR"/>
        </w:rPr>
        <w:t>enfreint</w:t>
      </w:r>
      <w:r w:rsidR="0049366D" w:rsidRPr="002715F2">
        <w:rPr>
          <w:rFonts w:eastAsia="Batang"/>
          <w:lang w:val="fr-FR"/>
        </w:rPr>
        <w:t xml:space="preserve"> les règles </w:t>
      </w:r>
      <w:r w:rsidR="002612E0" w:rsidRPr="002715F2">
        <w:rPr>
          <w:rFonts w:eastAsia="Batang"/>
          <w:lang w:val="fr-FR"/>
        </w:rPr>
        <w:t>régissant</w:t>
      </w:r>
      <w:r w:rsidR="0049366D" w:rsidRPr="002715F2">
        <w:rPr>
          <w:rFonts w:eastAsia="Batang"/>
          <w:lang w:val="fr-FR"/>
        </w:rPr>
        <w:t xml:space="preserve"> leurs fonctions mais </w:t>
      </w:r>
      <w:r w:rsidR="00CB37E0" w:rsidRPr="002715F2">
        <w:rPr>
          <w:rFonts w:eastAsia="Batang"/>
          <w:lang w:val="fr-FR"/>
        </w:rPr>
        <w:t>aucun</w:t>
      </w:r>
      <w:r w:rsidR="0049366D" w:rsidRPr="002715F2">
        <w:rPr>
          <w:rFonts w:eastAsia="Batang"/>
          <w:lang w:val="fr-FR"/>
        </w:rPr>
        <w:t xml:space="preserve"> n’a reçu </w:t>
      </w:r>
      <w:r w:rsidR="007A48FE" w:rsidRPr="002715F2">
        <w:rPr>
          <w:rFonts w:eastAsia="Batang"/>
          <w:lang w:val="fr-FR"/>
        </w:rPr>
        <w:t>de sanction pénale</w:t>
      </w:r>
      <w:r w:rsidR="000078DA" w:rsidRPr="002715F2">
        <w:rPr>
          <w:rFonts w:eastAsia="Batang"/>
          <w:lang w:val="fr-FR"/>
        </w:rPr>
        <w:t xml:space="preserve">. </w:t>
      </w:r>
      <w:r w:rsidR="007A48FE" w:rsidRPr="002715F2">
        <w:rPr>
          <w:rFonts w:eastAsia="Batang"/>
          <w:lang w:val="fr-FR"/>
        </w:rPr>
        <w:t>Entre 2006 et 2015, 98 personnes se sont suicidées et 183 personnes sont décédées</w:t>
      </w:r>
      <w:r w:rsidR="00C57238" w:rsidRPr="002715F2">
        <w:rPr>
          <w:rFonts w:eastAsia="Batang"/>
          <w:lang w:val="fr-FR"/>
        </w:rPr>
        <w:t xml:space="preserve"> principalement</w:t>
      </w:r>
      <w:r w:rsidR="007A48FE" w:rsidRPr="002715F2">
        <w:rPr>
          <w:rFonts w:eastAsia="Batang"/>
          <w:lang w:val="fr-FR"/>
        </w:rPr>
        <w:t xml:space="preserve"> de maladie (voir le tableau 29)</w:t>
      </w:r>
      <w:r w:rsidR="00D90B15"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169.</w:t>
      </w:r>
      <w:r w:rsidRPr="002715F2">
        <w:rPr>
          <w:rFonts w:eastAsia="Batang"/>
          <w:lang w:val="fr-FR"/>
        </w:rPr>
        <w:tab/>
      </w:r>
      <w:r w:rsidR="00CB37E0" w:rsidRPr="002715F2">
        <w:rPr>
          <w:rFonts w:eastAsia="Batang"/>
          <w:lang w:val="fr-FR"/>
        </w:rPr>
        <w:t>Si une personne se suicide ou décède subitement dans un</w:t>
      </w:r>
      <w:r w:rsidR="00741727" w:rsidRPr="002715F2">
        <w:rPr>
          <w:rFonts w:eastAsia="Batang"/>
          <w:lang w:val="fr-FR"/>
        </w:rPr>
        <w:t xml:space="preserve"> centre</w:t>
      </w:r>
      <w:r w:rsidR="00CB37E0" w:rsidRPr="002715F2">
        <w:rPr>
          <w:rFonts w:eastAsia="Batang"/>
          <w:lang w:val="fr-FR"/>
        </w:rPr>
        <w:t xml:space="preserve"> de rétention</w:t>
      </w:r>
      <w:r w:rsidR="00C57238" w:rsidRPr="002715F2">
        <w:rPr>
          <w:rFonts w:eastAsia="Batang"/>
          <w:lang w:val="fr-FR"/>
        </w:rPr>
        <w:t xml:space="preserve"> pour </w:t>
      </w:r>
      <w:r w:rsidR="00CB37E0" w:rsidRPr="002715F2">
        <w:rPr>
          <w:rFonts w:eastAsia="Batang"/>
          <w:lang w:val="fr-FR"/>
        </w:rPr>
        <w:t xml:space="preserve">migrants, ces structures </w:t>
      </w:r>
      <w:r w:rsidR="00C57238" w:rsidRPr="002715F2">
        <w:rPr>
          <w:rFonts w:eastAsia="Batang"/>
          <w:lang w:val="fr-FR"/>
        </w:rPr>
        <w:t>signalent</w:t>
      </w:r>
      <w:r w:rsidR="00CB37E0" w:rsidRPr="002715F2">
        <w:rPr>
          <w:rFonts w:eastAsia="Batang"/>
          <w:lang w:val="fr-FR"/>
        </w:rPr>
        <w:t xml:space="preserve"> ces incidents</w:t>
      </w:r>
      <w:r w:rsidR="00C57238" w:rsidRPr="002715F2">
        <w:rPr>
          <w:rFonts w:eastAsia="Batang"/>
          <w:lang w:val="fr-FR"/>
        </w:rPr>
        <w:t>,</w:t>
      </w:r>
      <w:r w:rsidR="00CB37E0" w:rsidRPr="002715F2">
        <w:rPr>
          <w:rFonts w:eastAsia="Batang"/>
          <w:lang w:val="fr-FR"/>
        </w:rPr>
        <w:t xml:space="preserve"> et </w:t>
      </w:r>
      <w:r w:rsidR="00C57238" w:rsidRPr="002715F2">
        <w:rPr>
          <w:rFonts w:eastAsia="Batang"/>
          <w:lang w:val="fr-FR"/>
        </w:rPr>
        <w:t xml:space="preserve">les organes d’enquête mènent </w:t>
      </w:r>
      <w:r w:rsidR="00CB37E0" w:rsidRPr="002715F2">
        <w:rPr>
          <w:rFonts w:eastAsia="Batang"/>
          <w:lang w:val="fr-FR"/>
        </w:rPr>
        <w:t>des enquêtes approfondies</w:t>
      </w:r>
      <w:r w:rsidR="000078DA" w:rsidRPr="002715F2">
        <w:rPr>
          <w:rFonts w:eastAsia="Batang"/>
          <w:lang w:val="fr-FR"/>
        </w:rPr>
        <w:t>.</w:t>
      </w:r>
      <w:r w:rsidR="00741727" w:rsidRPr="002715F2">
        <w:rPr>
          <w:rFonts w:eastAsia="Batang"/>
          <w:lang w:val="fr-FR"/>
        </w:rPr>
        <w:t xml:space="preserve"> </w:t>
      </w:r>
      <w:r w:rsidR="0086745D" w:rsidRPr="002715F2">
        <w:rPr>
          <w:rFonts w:eastAsia="Batang"/>
          <w:lang w:val="fr-FR"/>
        </w:rPr>
        <w:t>Les centres de rétention</w:t>
      </w:r>
      <w:r w:rsidR="00741727" w:rsidRPr="002715F2">
        <w:rPr>
          <w:rFonts w:eastAsia="Batang"/>
          <w:lang w:val="fr-FR"/>
        </w:rPr>
        <w:t xml:space="preserve"> collaborent </w:t>
      </w:r>
      <w:r w:rsidR="00C57238" w:rsidRPr="002715F2">
        <w:rPr>
          <w:rFonts w:eastAsia="Batang"/>
          <w:lang w:val="fr-FR"/>
        </w:rPr>
        <w:t xml:space="preserve">en outre </w:t>
      </w:r>
      <w:r w:rsidR="00741727" w:rsidRPr="002715F2">
        <w:rPr>
          <w:rFonts w:eastAsia="Batang"/>
          <w:lang w:val="fr-FR"/>
        </w:rPr>
        <w:t xml:space="preserve">activement aux enquêtes </w:t>
      </w:r>
      <w:r w:rsidR="00C57238" w:rsidRPr="002715F2">
        <w:rPr>
          <w:rFonts w:eastAsia="Batang"/>
          <w:lang w:val="fr-FR"/>
        </w:rPr>
        <w:t>de</w:t>
      </w:r>
      <w:r w:rsidR="00741727" w:rsidRPr="002715F2">
        <w:rPr>
          <w:rFonts w:eastAsia="Batang"/>
          <w:lang w:val="fr-FR"/>
        </w:rPr>
        <w:t xml:space="preserve"> la Commission nationale des droits de l’homme</w:t>
      </w:r>
      <w:r w:rsidR="000078DA" w:rsidRPr="002715F2">
        <w:rPr>
          <w:rFonts w:eastAsia="Batang"/>
          <w:lang w:val="fr-FR"/>
        </w:rPr>
        <w:t xml:space="preserve">. </w:t>
      </w:r>
      <w:r w:rsidR="000856AA" w:rsidRPr="002715F2">
        <w:rPr>
          <w:rFonts w:eastAsia="Batang"/>
          <w:lang w:val="fr-FR"/>
        </w:rPr>
        <w:t>S’agissant</w:t>
      </w:r>
      <w:r w:rsidR="00741727" w:rsidRPr="002715F2">
        <w:rPr>
          <w:rFonts w:eastAsia="Batang"/>
          <w:lang w:val="fr-FR"/>
        </w:rPr>
        <w:t xml:space="preserve"> </w:t>
      </w:r>
      <w:r w:rsidR="000856AA" w:rsidRPr="002715F2">
        <w:rPr>
          <w:rFonts w:eastAsia="Batang"/>
          <w:lang w:val="fr-FR"/>
        </w:rPr>
        <w:t>d</w:t>
      </w:r>
      <w:r w:rsidR="00741727" w:rsidRPr="002715F2">
        <w:rPr>
          <w:rFonts w:eastAsia="Batang"/>
          <w:lang w:val="fr-FR"/>
        </w:rPr>
        <w:t xml:space="preserve">es suicides et </w:t>
      </w:r>
      <w:r w:rsidR="000856AA" w:rsidRPr="002715F2">
        <w:rPr>
          <w:rFonts w:eastAsia="Batang"/>
          <w:lang w:val="fr-FR"/>
        </w:rPr>
        <w:t>d</w:t>
      </w:r>
      <w:r w:rsidR="00741727" w:rsidRPr="002715F2">
        <w:rPr>
          <w:rFonts w:eastAsia="Batang"/>
          <w:lang w:val="fr-FR"/>
        </w:rPr>
        <w:t>es morts subites signalés dans les centres de rétention</w:t>
      </w:r>
      <w:r w:rsidR="00C57238" w:rsidRPr="002715F2">
        <w:rPr>
          <w:rFonts w:eastAsia="Batang"/>
          <w:lang w:val="fr-FR"/>
        </w:rPr>
        <w:t xml:space="preserve"> pour m</w:t>
      </w:r>
      <w:r w:rsidR="00741727" w:rsidRPr="002715F2">
        <w:rPr>
          <w:rFonts w:eastAsia="Batang"/>
          <w:lang w:val="fr-FR"/>
        </w:rPr>
        <w:t>igrants entre 2006 et 2015, un étranger est mort en 2006 et un autre en 2012</w:t>
      </w:r>
      <w:r w:rsidR="000078DA" w:rsidRPr="002715F2">
        <w:rPr>
          <w:rFonts w:eastAsia="Batang"/>
          <w:lang w:val="fr-FR"/>
        </w:rPr>
        <w:t xml:space="preserve">. </w:t>
      </w:r>
      <w:r w:rsidR="00507B9D" w:rsidRPr="002715F2">
        <w:rPr>
          <w:rFonts w:eastAsia="Batang"/>
          <w:lang w:val="fr-FR"/>
        </w:rPr>
        <w:t>L</w:t>
      </w:r>
      <w:r w:rsidR="00741727" w:rsidRPr="002715F2">
        <w:rPr>
          <w:rFonts w:eastAsia="Batang"/>
          <w:lang w:val="fr-FR"/>
        </w:rPr>
        <w:t>es enquêtes réalisées par les organ</w:t>
      </w:r>
      <w:r w:rsidR="00155859" w:rsidRPr="002715F2">
        <w:rPr>
          <w:rFonts w:eastAsia="Batang"/>
          <w:lang w:val="fr-FR"/>
        </w:rPr>
        <w:t>e</w:t>
      </w:r>
      <w:r w:rsidR="00741727" w:rsidRPr="002715F2">
        <w:rPr>
          <w:rFonts w:eastAsia="Batang"/>
          <w:lang w:val="fr-FR"/>
        </w:rPr>
        <w:t>s compétents</w:t>
      </w:r>
      <w:r w:rsidR="00507B9D" w:rsidRPr="002715F2">
        <w:rPr>
          <w:rFonts w:eastAsia="Batang"/>
          <w:lang w:val="fr-FR"/>
        </w:rPr>
        <w:t xml:space="preserve"> ont montré que</w:t>
      </w:r>
      <w:r w:rsidR="00741727" w:rsidRPr="002715F2">
        <w:rPr>
          <w:rFonts w:eastAsia="Batang"/>
          <w:lang w:val="fr-FR"/>
        </w:rPr>
        <w:t xml:space="preserve"> </w:t>
      </w:r>
      <w:r w:rsidR="00C57238" w:rsidRPr="002715F2">
        <w:rPr>
          <w:rFonts w:eastAsia="Batang"/>
          <w:lang w:val="fr-FR"/>
        </w:rPr>
        <w:t>le premier</w:t>
      </w:r>
      <w:r w:rsidR="00741727" w:rsidRPr="002715F2">
        <w:rPr>
          <w:rFonts w:eastAsia="Batang"/>
          <w:lang w:val="fr-FR"/>
        </w:rPr>
        <w:t xml:space="preserve"> </w:t>
      </w:r>
      <w:r w:rsidR="00507B9D" w:rsidRPr="002715F2">
        <w:rPr>
          <w:rFonts w:eastAsia="Batang"/>
          <w:lang w:val="fr-FR"/>
        </w:rPr>
        <w:t>décès (en 2006) était</w:t>
      </w:r>
      <w:r w:rsidR="00741727" w:rsidRPr="002715F2">
        <w:rPr>
          <w:rFonts w:eastAsia="Batang"/>
          <w:lang w:val="fr-FR"/>
        </w:rPr>
        <w:t xml:space="preserve"> </w:t>
      </w:r>
      <w:r w:rsidR="00507B9D" w:rsidRPr="002715F2">
        <w:rPr>
          <w:rFonts w:eastAsia="Batang"/>
          <w:lang w:val="fr-FR"/>
        </w:rPr>
        <w:t xml:space="preserve">dû à </w:t>
      </w:r>
      <w:r w:rsidR="00741727" w:rsidRPr="002715F2">
        <w:rPr>
          <w:rFonts w:eastAsia="Batang"/>
          <w:lang w:val="fr-FR"/>
        </w:rPr>
        <w:t xml:space="preserve">une chute </w:t>
      </w:r>
      <w:r w:rsidR="00507B9D" w:rsidRPr="002715F2">
        <w:rPr>
          <w:rFonts w:eastAsia="Batang"/>
          <w:lang w:val="fr-FR"/>
        </w:rPr>
        <w:t>lors d’une tentative d’évasion</w:t>
      </w:r>
      <w:r w:rsidR="00741727" w:rsidRPr="002715F2">
        <w:rPr>
          <w:rFonts w:eastAsia="Batang"/>
          <w:lang w:val="fr-FR"/>
        </w:rPr>
        <w:t xml:space="preserve"> et </w:t>
      </w:r>
      <w:r w:rsidR="00507B9D" w:rsidRPr="002715F2">
        <w:rPr>
          <w:rFonts w:eastAsia="Batang"/>
          <w:lang w:val="fr-FR"/>
        </w:rPr>
        <w:t xml:space="preserve">que </w:t>
      </w:r>
      <w:r w:rsidR="00C57238" w:rsidRPr="002715F2">
        <w:rPr>
          <w:rFonts w:eastAsia="Batang"/>
          <w:lang w:val="fr-FR"/>
        </w:rPr>
        <w:t>le second</w:t>
      </w:r>
      <w:r w:rsidR="00741727" w:rsidRPr="002715F2">
        <w:rPr>
          <w:rFonts w:eastAsia="Batang"/>
          <w:lang w:val="fr-FR"/>
        </w:rPr>
        <w:t xml:space="preserve"> </w:t>
      </w:r>
      <w:r w:rsidR="00507B9D" w:rsidRPr="002715F2">
        <w:rPr>
          <w:rFonts w:eastAsia="Batang"/>
          <w:lang w:val="fr-FR"/>
        </w:rPr>
        <w:t>(en 2012) était dû au</w:t>
      </w:r>
      <w:r w:rsidR="00741727" w:rsidRPr="002715F2">
        <w:rPr>
          <w:rFonts w:eastAsia="Batang"/>
          <w:lang w:val="fr-FR"/>
        </w:rPr>
        <w:t xml:space="preserve"> syndrome de sevrage de l’alcool</w:t>
      </w:r>
      <w:r w:rsidR="000078DA" w:rsidRPr="002715F2">
        <w:rPr>
          <w:rFonts w:eastAsia="Batang"/>
          <w:lang w:val="fr-FR"/>
        </w:rPr>
        <w:t xml:space="preserve">. </w:t>
      </w:r>
      <w:r w:rsidR="00155859" w:rsidRPr="002715F2">
        <w:rPr>
          <w:rFonts w:eastAsia="Batang"/>
          <w:lang w:val="fr-FR"/>
        </w:rPr>
        <w:t>En ce qui concerne les incidents survenus entre 2006 et 2012, des membres du personnel qui étaient</w:t>
      </w:r>
      <w:r w:rsidR="00A267EE" w:rsidRPr="002715F2">
        <w:rPr>
          <w:rFonts w:eastAsia="Batang"/>
          <w:lang w:val="fr-FR"/>
        </w:rPr>
        <w:t xml:space="preserve"> alors</w:t>
      </w:r>
      <w:r w:rsidR="00155859" w:rsidRPr="002715F2">
        <w:rPr>
          <w:rFonts w:eastAsia="Batang"/>
          <w:lang w:val="fr-FR"/>
        </w:rPr>
        <w:t xml:space="preserve"> en service ont fait l’objet de sanctions disciplinaires pour </w:t>
      </w:r>
      <w:r w:rsidR="0039617D" w:rsidRPr="002715F2">
        <w:rPr>
          <w:rFonts w:eastAsia="Batang"/>
          <w:lang w:val="fr-FR"/>
        </w:rPr>
        <w:t>négligence</w:t>
      </w:r>
      <w:r w:rsidR="00A267EE" w:rsidRPr="002715F2">
        <w:rPr>
          <w:rFonts w:eastAsia="Batang"/>
          <w:lang w:val="fr-FR"/>
        </w:rPr>
        <w:t>,</w:t>
      </w:r>
      <w:r w:rsidR="00155859" w:rsidRPr="002715F2">
        <w:rPr>
          <w:rFonts w:eastAsia="Batang"/>
          <w:lang w:val="fr-FR"/>
        </w:rPr>
        <w:t xml:space="preserve"> et des dommages-intérêts ont été </w:t>
      </w:r>
      <w:r w:rsidR="00507B9D" w:rsidRPr="002715F2">
        <w:rPr>
          <w:rFonts w:eastAsia="Batang"/>
          <w:lang w:val="fr-FR"/>
        </w:rPr>
        <w:t>versés</w:t>
      </w:r>
      <w:r w:rsidR="00155859" w:rsidRPr="002715F2">
        <w:rPr>
          <w:rFonts w:eastAsia="Batang"/>
          <w:lang w:val="fr-FR"/>
        </w:rPr>
        <w:t xml:space="preserve">, mais personne n’a reçu de sanction </w:t>
      </w:r>
      <w:r w:rsidR="0039617D" w:rsidRPr="002715F2">
        <w:rPr>
          <w:rFonts w:eastAsia="Batang"/>
          <w:lang w:val="fr-FR"/>
        </w:rPr>
        <w:t>pénale</w:t>
      </w:r>
      <w:r w:rsidR="00D12CB6"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170.</w:t>
      </w:r>
      <w:r w:rsidRPr="002715F2">
        <w:rPr>
          <w:rFonts w:eastAsia="Batang"/>
          <w:lang w:val="fr-FR"/>
        </w:rPr>
        <w:tab/>
      </w:r>
      <w:r w:rsidR="00A25EE6" w:rsidRPr="002715F2">
        <w:rPr>
          <w:rFonts w:eastAsia="Batang"/>
          <w:lang w:val="fr-FR"/>
        </w:rPr>
        <w:t xml:space="preserve">Si une personne se suicide ou meurt subitement dans un établissement </w:t>
      </w:r>
      <w:r w:rsidR="00730B36" w:rsidRPr="002715F2">
        <w:rPr>
          <w:rFonts w:eastAsia="Batang"/>
          <w:lang w:val="fr-FR"/>
        </w:rPr>
        <w:t>pénitentiaire</w:t>
      </w:r>
      <w:r w:rsidR="00AD2CD0" w:rsidRPr="002715F2">
        <w:rPr>
          <w:rFonts w:eastAsia="Batang"/>
          <w:lang w:val="fr-FR"/>
        </w:rPr>
        <w:t xml:space="preserve"> </w:t>
      </w:r>
      <w:r w:rsidR="00A25EE6" w:rsidRPr="002715F2">
        <w:rPr>
          <w:rFonts w:eastAsia="Batang"/>
          <w:lang w:val="fr-FR"/>
        </w:rPr>
        <w:t xml:space="preserve">militaire, le service d’enquête de l’armée ou la police militaire inspecte soigneusement le site, procède à une autopsie et </w:t>
      </w:r>
      <w:r w:rsidR="00053D86" w:rsidRPr="002715F2">
        <w:rPr>
          <w:rFonts w:eastAsia="Batang"/>
          <w:lang w:val="fr-FR"/>
        </w:rPr>
        <w:t>détermine</w:t>
      </w:r>
      <w:r w:rsidR="00A25EE6" w:rsidRPr="002715F2">
        <w:rPr>
          <w:rFonts w:eastAsia="Batang"/>
          <w:lang w:val="fr-FR"/>
        </w:rPr>
        <w:t xml:space="preserve"> la cause du décès</w:t>
      </w:r>
      <w:r w:rsidR="000078DA" w:rsidRPr="002715F2">
        <w:rPr>
          <w:rFonts w:eastAsia="Batang"/>
          <w:lang w:val="fr-FR"/>
        </w:rPr>
        <w:t xml:space="preserve">. </w:t>
      </w:r>
      <w:r w:rsidR="00A25EE6" w:rsidRPr="002715F2">
        <w:rPr>
          <w:rFonts w:eastAsia="Batang"/>
          <w:lang w:val="fr-FR"/>
        </w:rPr>
        <w:t>Selon les résultats de</w:t>
      </w:r>
      <w:r w:rsidR="00507B9D" w:rsidRPr="002715F2">
        <w:rPr>
          <w:rFonts w:eastAsia="Batang"/>
          <w:lang w:val="fr-FR"/>
        </w:rPr>
        <w:t xml:space="preserve">s </w:t>
      </w:r>
      <w:r w:rsidR="00A25EE6" w:rsidRPr="002715F2">
        <w:rPr>
          <w:rFonts w:eastAsia="Batang"/>
          <w:lang w:val="fr-FR"/>
        </w:rPr>
        <w:t>enquête</w:t>
      </w:r>
      <w:r w:rsidR="00507B9D" w:rsidRPr="002715F2">
        <w:rPr>
          <w:rFonts w:eastAsia="Batang"/>
          <w:lang w:val="fr-FR"/>
        </w:rPr>
        <w:t>s</w:t>
      </w:r>
      <w:r w:rsidR="00A25EE6" w:rsidRPr="002715F2">
        <w:rPr>
          <w:rFonts w:eastAsia="Batang"/>
          <w:lang w:val="fr-FR"/>
        </w:rPr>
        <w:t xml:space="preserve">, les personnes responsables de ces incidents </w:t>
      </w:r>
      <w:r w:rsidR="00507B9D" w:rsidRPr="002715F2">
        <w:rPr>
          <w:rFonts w:eastAsia="Batang"/>
          <w:lang w:val="fr-FR"/>
        </w:rPr>
        <w:t>peuvent être</w:t>
      </w:r>
      <w:r w:rsidR="00A25EE6" w:rsidRPr="002715F2">
        <w:rPr>
          <w:rFonts w:eastAsia="Batang"/>
          <w:lang w:val="fr-FR"/>
        </w:rPr>
        <w:t xml:space="preserve"> sanctionnées pour leurs actions</w:t>
      </w:r>
      <w:r w:rsidR="000078DA" w:rsidRPr="002715F2">
        <w:rPr>
          <w:rFonts w:eastAsia="Batang"/>
          <w:lang w:val="fr-FR"/>
        </w:rPr>
        <w:t>.</w:t>
      </w:r>
      <w:r w:rsidR="00A25EE6" w:rsidRPr="002715F2">
        <w:rPr>
          <w:rFonts w:eastAsia="Batang"/>
          <w:lang w:val="fr-FR"/>
        </w:rPr>
        <w:t xml:space="preserve"> Toutefois, aucune personne n’est décédée </w:t>
      </w:r>
      <w:r w:rsidR="00507B9D" w:rsidRPr="002715F2">
        <w:rPr>
          <w:rFonts w:eastAsia="Batang"/>
          <w:lang w:val="fr-FR"/>
        </w:rPr>
        <w:t>dans une structure de</w:t>
      </w:r>
      <w:r w:rsidR="00A25EE6" w:rsidRPr="002715F2">
        <w:rPr>
          <w:rFonts w:eastAsia="Batang"/>
          <w:lang w:val="fr-FR"/>
        </w:rPr>
        <w:t xml:space="preserve"> détention militaire entre 2006 et 2015</w:t>
      </w:r>
      <w:r w:rsidR="00F6099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171.</w:t>
      </w:r>
      <w:r w:rsidRPr="002715F2">
        <w:rPr>
          <w:rFonts w:eastAsia="Batang"/>
          <w:lang w:val="fr-FR"/>
        </w:rPr>
        <w:tab/>
      </w:r>
      <w:r w:rsidR="00A25EE6" w:rsidRPr="002715F2">
        <w:rPr>
          <w:rFonts w:eastAsia="Batang"/>
          <w:lang w:val="fr-FR"/>
        </w:rPr>
        <w:t xml:space="preserve">Les cas de </w:t>
      </w:r>
      <w:r w:rsidR="008736D2" w:rsidRPr="002715F2">
        <w:rPr>
          <w:rFonts w:eastAsia="Batang"/>
          <w:lang w:val="fr-FR"/>
        </w:rPr>
        <w:t>suicide ou de mort subite dans l</w:t>
      </w:r>
      <w:r w:rsidR="00A25EE6" w:rsidRPr="002715F2">
        <w:rPr>
          <w:rFonts w:eastAsia="Batang"/>
          <w:lang w:val="fr-FR"/>
        </w:rPr>
        <w:t xml:space="preserve">es </w:t>
      </w:r>
      <w:r w:rsidR="008736D2" w:rsidRPr="002715F2">
        <w:rPr>
          <w:rFonts w:eastAsia="Batang"/>
          <w:lang w:val="fr-FR"/>
        </w:rPr>
        <w:t>locaux de garde à vue</w:t>
      </w:r>
      <w:r w:rsidR="00A25EE6" w:rsidRPr="002715F2">
        <w:rPr>
          <w:rFonts w:eastAsia="Batang"/>
          <w:lang w:val="fr-FR"/>
        </w:rPr>
        <w:t xml:space="preserve"> de </w:t>
      </w:r>
      <w:r w:rsidR="008736D2" w:rsidRPr="002715F2">
        <w:rPr>
          <w:rFonts w:eastAsia="Batang"/>
          <w:lang w:val="fr-FR"/>
        </w:rPr>
        <w:t xml:space="preserve">la </w:t>
      </w:r>
      <w:r w:rsidR="00A25EE6" w:rsidRPr="002715F2">
        <w:rPr>
          <w:rFonts w:eastAsia="Batang"/>
          <w:lang w:val="fr-FR"/>
        </w:rPr>
        <w:t>police font l’objet d’une enquête conformément à la Directive sur la gestion des décès non naturels</w:t>
      </w:r>
      <w:r w:rsidR="000078DA" w:rsidRPr="002715F2">
        <w:rPr>
          <w:rFonts w:eastAsia="Batang"/>
          <w:lang w:val="fr-FR"/>
        </w:rPr>
        <w:t xml:space="preserve">. </w:t>
      </w:r>
      <w:r w:rsidR="00A25EE6" w:rsidRPr="002715F2">
        <w:rPr>
          <w:rFonts w:eastAsia="Batang"/>
          <w:lang w:val="fr-FR"/>
        </w:rPr>
        <w:t xml:space="preserve">Entre 2006 et 2015, </w:t>
      </w:r>
      <w:r w:rsidR="00D50932" w:rsidRPr="002715F2">
        <w:rPr>
          <w:rFonts w:eastAsia="Batang"/>
          <w:lang w:val="fr-FR"/>
        </w:rPr>
        <w:t xml:space="preserve">sept </w:t>
      </w:r>
      <w:r w:rsidR="00A25EE6" w:rsidRPr="002715F2">
        <w:rPr>
          <w:rFonts w:eastAsia="Batang"/>
          <w:lang w:val="fr-FR"/>
        </w:rPr>
        <w:t xml:space="preserve">personnes se sont suicidées et </w:t>
      </w:r>
      <w:r w:rsidR="008736D2" w:rsidRPr="002715F2">
        <w:rPr>
          <w:rFonts w:eastAsia="Batang"/>
          <w:lang w:val="fr-FR"/>
        </w:rPr>
        <w:t>neuf</w:t>
      </w:r>
      <w:r w:rsidR="00A25EE6" w:rsidRPr="002715F2">
        <w:rPr>
          <w:rFonts w:eastAsia="Batang"/>
          <w:lang w:val="fr-FR"/>
        </w:rPr>
        <w:t xml:space="preserve"> sont décédées </w:t>
      </w:r>
      <w:r w:rsidR="008736D2" w:rsidRPr="002715F2">
        <w:rPr>
          <w:rFonts w:eastAsia="Batang"/>
          <w:lang w:val="fr-FR"/>
        </w:rPr>
        <w:t>en garde à vue</w:t>
      </w:r>
      <w:r w:rsidR="00A25EE6" w:rsidRPr="002715F2">
        <w:rPr>
          <w:rFonts w:eastAsia="Batang"/>
          <w:lang w:val="fr-FR"/>
        </w:rPr>
        <w:t xml:space="preserve"> (voir le tableau 30)</w:t>
      </w:r>
      <w:r w:rsidR="00F60999"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A25EE6" w:rsidRPr="002715F2">
        <w:rPr>
          <w:rFonts w:eastAsia="Batang"/>
          <w:lang w:val="fr-FR" w:eastAsia="ko-KR"/>
        </w:rPr>
        <w:t xml:space="preserve">Réponse aux questions soulevées au </w:t>
      </w:r>
      <w:r w:rsidR="00D50932" w:rsidRPr="002715F2">
        <w:rPr>
          <w:rFonts w:eastAsia="Batang"/>
          <w:lang w:val="fr-FR" w:eastAsia="ko-KR"/>
        </w:rPr>
        <w:t xml:space="preserve">paragraphe </w:t>
      </w:r>
      <w:r w:rsidR="00A25EE6" w:rsidRPr="002715F2">
        <w:rPr>
          <w:rFonts w:eastAsia="Batang"/>
          <w:lang w:val="fr-FR" w:eastAsia="ko-KR"/>
        </w:rPr>
        <w:t>33</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D34DBF" w:rsidRPr="002715F2">
        <w:rPr>
          <w:rFonts w:eastAsia="Batang"/>
          <w:lang w:val="fr-FR" w:eastAsia="ko-KR"/>
        </w:rPr>
        <w:t>Mesures prises pour prévenir les mauvais traitements dans l’armée</w:t>
      </w:r>
    </w:p>
    <w:p w:rsidR="000078DA" w:rsidRPr="002715F2" w:rsidRDefault="007026FB" w:rsidP="007026FB">
      <w:pPr>
        <w:pStyle w:val="SingleTxtG"/>
        <w:rPr>
          <w:rFonts w:eastAsia="Batang"/>
          <w:lang w:val="fr-FR"/>
        </w:rPr>
      </w:pPr>
      <w:r w:rsidRPr="002715F2">
        <w:rPr>
          <w:rFonts w:eastAsia="Batang"/>
          <w:lang w:val="fr-FR"/>
        </w:rPr>
        <w:t>172.</w:t>
      </w:r>
      <w:r w:rsidRPr="002715F2">
        <w:rPr>
          <w:rFonts w:eastAsia="Batang"/>
          <w:lang w:val="fr-FR"/>
        </w:rPr>
        <w:tab/>
      </w:r>
      <w:r w:rsidR="00D34DBF" w:rsidRPr="002715F2">
        <w:rPr>
          <w:rFonts w:eastAsia="Batang"/>
          <w:lang w:val="fr-FR"/>
        </w:rPr>
        <w:t xml:space="preserve">Dans l’armée, la Directive sur la gestion des unités a été publiée le 19 mai 2009 afin de prévenir les mauvais traitements et les </w:t>
      </w:r>
      <w:r w:rsidR="0086745D" w:rsidRPr="002715F2">
        <w:rPr>
          <w:rFonts w:eastAsia="Batang"/>
          <w:lang w:val="fr-FR"/>
        </w:rPr>
        <w:t>abus</w:t>
      </w:r>
      <w:r w:rsidR="00D34DBF" w:rsidRPr="002715F2">
        <w:rPr>
          <w:rFonts w:eastAsia="Batang"/>
          <w:lang w:val="fr-FR"/>
        </w:rPr>
        <w:t>, y compris le bizutage</w:t>
      </w:r>
      <w:r w:rsidR="000078DA" w:rsidRPr="002715F2">
        <w:rPr>
          <w:rFonts w:eastAsia="Batang"/>
          <w:lang w:val="fr-FR"/>
        </w:rPr>
        <w:t xml:space="preserve">. </w:t>
      </w:r>
      <w:r w:rsidR="00D34DBF" w:rsidRPr="002715F2">
        <w:rPr>
          <w:rFonts w:eastAsia="Batang"/>
          <w:lang w:val="fr-FR"/>
        </w:rPr>
        <w:t xml:space="preserve">Cette directive prévoit des règlements spécifiques pour prévenir les accidents, surtout en ce qui concerne les passages à tabac, les actes de cruauté et la violence verbale, et fixe la norme pour </w:t>
      </w:r>
      <w:r w:rsidR="00F56041" w:rsidRPr="002715F2">
        <w:rPr>
          <w:rFonts w:eastAsia="Batang"/>
          <w:lang w:val="fr-FR"/>
        </w:rPr>
        <w:t>sanctionner</w:t>
      </w:r>
      <w:r w:rsidR="00D34DBF" w:rsidRPr="002715F2">
        <w:rPr>
          <w:rFonts w:eastAsia="Batang"/>
          <w:lang w:val="fr-FR"/>
        </w:rPr>
        <w:t xml:space="preserve"> </w:t>
      </w:r>
      <w:r w:rsidR="00F56041" w:rsidRPr="002715F2">
        <w:rPr>
          <w:rFonts w:eastAsia="Batang"/>
          <w:lang w:val="fr-FR"/>
        </w:rPr>
        <w:t>l</w:t>
      </w:r>
      <w:r w:rsidR="00D34DBF" w:rsidRPr="002715F2">
        <w:rPr>
          <w:rFonts w:eastAsia="Batang"/>
          <w:lang w:val="fr-FR"/>
        </w:rPr>
        <w:t xml:space="preserve">es contrevenants (voir le </w:t>
      </w:r>
      <w:r w:rsidR="00D50932" w:rsidRPr="002715F2">
        <w:rPr>
          <w:rFonts w:eastAsia="Batang"/>
          <w:lang w:val="fr-FR"/>
        </w:rPr>
        <w:t xml:space="preserve">tableau </w:t>
      </w:r>
      <w:r w:rsidR="00D34DBF" w:rsidRPr="002715F2">
        <w:rPr>
          <w:rFonts w:eastAsia="Batang"/>
          <w:lang w:val="fr-FR"/>
        </w:rPr>
        <w:t>31)</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173.</w:t>
      </w:r>
      <w:r w:rsidRPr="002715F2">
        <w:rPr>
          <w:rFonts w:eastAsia="Batang"/>
          <w:lang w:val="fr-FR"/>
        </w:rPr>
        <w:tab/>
      </w:r>
      <w:r w:rsidR="00F56041" w:rsidRPr="002715F2">
        <w:rPr>
          <w:rFonts w:eastAsia="Batang"/>
          <w:lang w:val="fr-FR"/>
        </w:rPr>
        <w:t xml:space="preserve">Le Code de conduite pour la vie de caserne a été établi en </w:t>
      </w:r>
      <w:r w:rsidR="00D50932" w:rsidRPr="002715F2">
        <w:rPr>
          <w:rFonts w:eastAsia="Batang"/>
          <w:lang w:val="fr-FR"/>
        </w:rPr>
        <w:t xml:space="preserve">juillet </w:t>
      </w:r>
      <w:r w:rsidR="00F56041" w:rsidRPr="002715F2">
        <w:rPr>
          <w:rFonts w:eastAsia="Batang"/>
          <w:lang w:val="fr-FR"/>
        </w:rPr>
        <w:t>2011 dans le but d’éradiquer les pratiques déraisonnables qui perdurent au sein des casernes et de promouvoir une culture du respect parmi le personnel militaire</w:t>
      </w:r>
      <w:r w:rsidR="00F60999"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F56041" w:rsidRPr="002715F2">
        <w:rPr>
          <w:rFonts w:eastAsia="Batang"/>
          <w:lang w:val="fr-FR" w:eastAsia="ko-KR"/>
        </w:rPr>
        <w:t>Recherches systématiques des causes des suicides au sein de l’armée</w:t>
      </w:r>
    </w:p>
    <w:p w:rsidR="000078DA" w:rsidRPr="002715F2" w:rsidRDefault="007026FB" w:rsidP="007026FB">
      <w:pPr>
        <w:pStyle w:val="SingleTxtG"/>
        <w:rPr>
          <w:rFonts w:eastAsia="Batang"/>
          <w:lang w:val="fr-FR"/>
        </w:rPr>
      </w:pPr>
      <w:r w:rsidRPr="002715F2">
        <w:rPr>
          <w:rFonts w:eastAsia="Batang"/>
          <w:lang w:val="fr-FR"/>
        </w:rPr>
        <w:t>174.</w:t>
      </w:r>
      <w:r w:rsidRPr="002715F2">
        <w:rPr>
          <w:rFonts w:eastAsia="Batang"/>
          <w:lang w:val="fr-FR"/>
        </w:rPr>
        <w:tab/>
      </w:r>
      <w:r w:rsidR="00F56041" w:rsidRPr="002715F2">
        <w:rPr>
          <w:rFonts w:eastAsia="Batang"/>
          <w:lang w:val="fr-FR"/>
        </w:rPr>
        <w:t xml:space="preserve">Suite au paragraphe 15 des recommandations précédentes du Comité </w:t>
      </w:r>
      <w:r w:rsidR="000078DA" w:rsidRPr="002715F2">
        <w:rPr>
          <w:rFonts w:eastAsia="Batang"/>
          <w:lang w:val="fr-FR"/>
        </w:rPr>
        <w:t xml:space="preserve">(CAT/C/KOR/CO/2), </w:t>
      </w:r>
      <w:r w:rsidR="00F56041" w:rsidRPr="002715F2">
        <w:rPr>
          <w:rFonts w:eastAsia="Batang"/>
          <w:lang w:val="fr-FR"/>
        </w:rPr>
        <w:t xml:space="preserve">le Gouvernement a </w:t>
      </w:r>
      <w:r w:rsidR="004E7269" w:rsidRPr="002715F2">
        <w:rPr>
          <w:rFonts w:eastAsia="Batang"/>
          <w:lang w:val="fr-FR"/>
        </w:rPr>
        <w:t>analysé</w:t>
      </w:r>
      <w:r w:rsidR="00F56041" w:rsidRPr="002715F2">
        <w:rPr>
          <w:rFonts w:eastAsia="Batang"/>
          <w:lang w:val="fr-FR"/>
        </w:rPr>
        <w:t xml:space="preserve"> les causes de</w:t>
      </w:r>
      <w:r w:rsidR="004E7269" w:rsidRPr="002715F2">
        <w:rPr>
          <w:rFonts w:eastAsia="Batang"/>
          <w:lang w:val="fr-FR"/>
        </w:rPr>
        <w:t>s</w:t>
      </w:r>
      <w:r w:rsidR="00F56041" w:rsidRPr="002715F2">
        <w:rPr>
          <w:rFonts w:eastAsia="Batang"/>
          <w:lang w:val="fr-FR"/>
        </w:rPr>
        <w:t xml:space="preserve"> suicide</w:t>
      </w:r>
      <w:r w:rsidR="004E7269" w:rsidRPr="002715F2">
        <w:rPr>
          <w:rFonts w:eastAsia="Batang"/>
          <w:lang w:val="fr-FR"/>
        </w:rPr>
        <w:t>s survenus</w:t>
      </w:r>
      <w:r w:rsidR="00F56041" w:rsidRPr="002715F2">
        <w:rPr>
          <w:rFonts w:eastAsia="Batang"/>
          <w:lang w:val="fr-FR"/>
        </w:rPr>
        <w:t xml:space="preserve"> </w:t>
      </w:r>
      <w:r w:rsidR="004E7269" w:rsidRPr="002715F2">
        <w:rPr>
          <w:rFonts w:eastAsia="Batang"/>
          <w:lang w:val="fr-FR"/>
        </w:rPr>
        <w:t>dans l’armée</w:t>
      </w:r>
      <w:r w:rsidR="000078DA" w:rsidRPr="002715F2">
        <w:rPr>
          <w:rFonts w:eastAsia="Batang"/>
          <w:lang w:val="fr-FR"/>
        </w:rPr>
        <w:t>.</w:t>
      </w:r>
      <w:r w:rsidR="00F56041" w:rsidRPr="002715F2">
        <w:rPr>
          <w:rFonts w:eastAsia="Batang"/>
          <w:lang w:val="fr-FR"/>
        </w:rPr>
        <w:t xml:space="preserve"> </w:t>
      </w:r>
      <w:r w:rsidR="004E7269" w:rsidRPr="002715F2">
        <w:rPr>
          <w:rFonts w:eastAsia="Batang"/>
          <w:lang w:val="fr-FR"/>
        </w:rPr>
        <w:t>I</w:t>
      </w:r>
      <w:r w:rsidR="00F56041" w:rsidRPr="002715F2">
        <w:rPr>
          <w:rFonts w:eastAsia="Batang"/>
          <w:lang w:val="fr-FR"/>
        </w:rPr>
        <w:t xml:space="preserve">l a </w:t>
      </w:r>
      <w:r w:rsidR="004E7269" w:rsidRPr="002715F2">
        <w:rPr>
          <w:rFonts w:eastAsia="Batang"/>
          <w:lang w:val="fr-FR"/>
        </w:rPr>
        <w:t xml:space="preserve">cependant </w:t>
      </w:r>
      <w:r w:rsidR="00F56041" w:rsidRPr="002715F2">
        <w:rPr>
          <w:rFonts w:eastAsia="Batang"/>
          <w:lang w:val="fr-FR"/>
        </w:rPr>
        <w:t xml:space="preserve">été difficile de classer ces causes </w:t>
      </w:r>
      <w:r w:rsidR="00B20E83" w:rsidRPr="002715F2">
        <w:rPr>
          <w:rFonts w:eastAsia="Batang"/>
          <w:lang w:val="fr-FR"/>
        </w:rPr>
        <w:t>dans</w:t>
      </w:r>
      <w:r w:rsidR="00F56041" w:rsidRPr="002715F2">
        <w:rPr>
          <w:rFonts w:eastAsia="Batang"/>
          <w:lang w:val="fr-FR"/>
        </w:rPr>
        <w:t xml:space="preserve"> </w:t>
      </w:r>
      <w:r w:rsidR="00B20E83" w:rsidRPr="002715F2">
        <w:rPr>
          <w:rFonts w:eastAsia="Batang"/>
          <w:lang w:val="fr-FR"/>
        </w:rPr>
        <w:t>des</w:t>
      </w:r>
      <w:r w:rsidR="00F56041" w:rsidRPr="002715F2">
        <w:rPr>
          <w:rFonts w:eastAsia="Batang"/>
          <w:lang w:val="fr-FR"/>
        </w:rPr>
        <w:t xml:space="preserve"> caté</w:t>
      </w:r>
      <w:r w:rsidR="00437752" w:rsidRPr="002715F2">
        <w:rPr>
          <w:rFonts w:eastAsia="Batang"/>
          <w:lang w:val="fr-FR"/>
        </w:rPr>
        <w:t>gorie</w:t>
      </w:r>
      <w:r w:rsidR="00B20E83" w:rsidRPr="002715F2">
        <w:rPr>
          <w:rFonts w:eastAsia="Batang"/>
          <w:lang w:val="fr-FR"/>
        </w:rPr>
        <w:t>s</w:t>
      </w:r>
      <w:r w:rsidR="00F56041" w:rsidRPr="002715F2">
        <w:rPr>
          <w:rFonts w:eastAsia="Batang"/>
          <w:lang w:val="fr-FR"/>
        </w:rPr>
        <w:t xml:space="preserve"> </w:t>
      </w:r>
      <w:r w:rsidR="00437752" w:rsidRPr="002715F2">
        <w:rPr>
          <w:rFonts w:eastAsia="Batang"/>
          <w:lang w:val="fr-FR"/>
        </w:rPr>
        <w:t>précise</w:t>
      </w:r>
      <w:r w:rsidR="00B20E83" w:rsidRPr="002715F2">
        <w:rPr>
          <w:rFonts w:eastAsia="Batang"/>
          <w:lang w:val="fr-FR"/>
        </w:rPr>
        <w:t>s</w:t>
      </w:r>
      <w:r w:rsidR="004E7269" w:rsidRPr="002715F2">
        <w:rPr>
          <w:rFonts w:eastAsia="Batang"/>
          <w:lang w:val="fr-FR"/>
        </w:rPr>
        <w:t>, car</w:t>
      </w:r>
      <w:r w:rsidR="00F56041" w:rsidRPr="002715F2">
        <w:rPr>
          <w:rFonts w:eastAsia="Batang"/>
          <w:lang w:val="fr-FR"/>
        </w:rPr>
        <w:t xml:space="preserve"> les suicides sont déclenchés par une combinaison de divers facteurs</w:t>
      </w:r>
      <w:r w:rsidR="00F7371F"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437752" w:rsidRPr="002715F2">
        <w:rPr>
          <w:rFonts w:eastAsia="Batang"/>
          <w:lang w:val="fr-FR" w:eastAsia="ko-KR"/>
        </w:rPr>
        <w:t>Évaluation des mesures de prévention du suicide et des services d’aide psychologique et de santé mentale dans l’armée</w:t>
      </w:r>
    </w:p>
    <w:p w:rsidR="000078DA" w:rsidRPr="002715F2" w:rsidRDefault="007026FB" w:rsidP="00E17D9B">
      <w:pPr>
        <w:pStyle w:val="SingleTxtG"/>
        <w:rPr>
          <w:rFonts w:eastAsia="Batang"/>
          <w:lang w:val="fr-FR"/>
        </w:rPr>
      </w:pPr>
      <w:r w:rsidRPr="002715F2">
        <w:rPr>
          <w:rFonts w:eastAsia="Batang"/>
          <w:lang w:val="fr-FR"/>
        </w:rPr>
        <w:t>175.</w:t>
      </w:r>
      <w:r w:rsidRPr="002715F2">
        <w:rPr>
          <w:rFonts w:eastAsia="Batang"/>
          <w:lang w:val="fr-FR"/>
        </w:rPr>
        <w:tab/>
      </w:r>
      <w:r w:rsidR="00437752" w:rsidRPr="002715F2">
        <w:rPr>
          <w:rFonts w:eastAsia="Batang"/>
          <w:lang w:val="fr-FR"/>
        </w:rPr>
        <w:t>Depuis 2005, des spécialistes civils en matière de soutien psychologique sont employés en qualité de Conseiller professionnel pour la vie de caserne afin de fournir une aide et un traitement psychologique aux militaires qui présentent des tendances suicidaires</w:t>
      </w:r>
      <w:r w:rsidR="00B20E83" w:rsidRPr="002715F2">
        <w:rPr>
          <w:rFonts w:eastAsia="Batang"/>
          <w:lang w:val="fr-FR"/>
        </w:rPr>
        <w:t xml:space="preserve"> </w:t>
      </w:r>
      <w:r w:rsidR="00C0501E" w:rsidRPr="002715F2">
        <w:rPr>
          <w:rFonts w:eastAsia="Batang"/>
          <w:lang w:val="fr-FR"/>
        </w:rPr>
        <w:t xml:space="preserve">ou </w:t>
      </w:r>
      <w:r w:rsidR="00B20E83" w:rsidRPr="002715F2">
        <w:rPr>
          <w:rFonts w:eastAsia="Batang"/>
          <w:lang w:val="fr-FR"/>
        </w:rPr>
        <w:t>éprouvent</w:t>
      </w:r>
      <w:r w:rsidR="00437752" w:rsidRPr="002715F2">
        <w:rPr>
          <w:rFonts w:eastAsia="Batang"/>
          <w:lang w:val="fr-FR"/>
        </w:rPr>
        <w:t xml:space="preserve"> des difficultés à s’adapter à la vie militaire ou </w:t>
      </w:r>
      <w:r w:rsidR="00C0501E" w:rsidRPr="002715F2">
        <w:rPr>
          <w:rFonts w:eastAsia="Batang"/>
          <w:lang w:val="fr-FR"/>
        </w:rPr>
        <w:t xml:space="preserve">encore </w:t>
      </w:r>
      <w:r w:rsidR="00B20E83" w:rsidRPr="002715F2">
        <w:rPr>
          <w:rFonts w:eastAsia="Batang"/>
          <w:lang w:val="fr-FR"/>
        </w:rPr>
        <w:t>souffrent de</w:t>
      </w:r>
      <w:r w:rsidR="00437752" w:rsidRPr="002715F2">
        <w:rPr>
          <w:rFonts w:eastAsia="Batang"/>
          <w:lang w:val="fr-FR"/>
        </w:rPr>
        <w:t xml:space="preserve"> problèmes personnels</w:t>
      </w:r>
      <w:r w:rsidR="000078DA" w:rsidRPr="002715F2">
        <w:rPr>
          <w:rFonts w:eastAsia="Batang"/>
          <w:lang w:val="fr-FR"/>
        </w:rPr>
        <w:t xml:space="preserve">. </w:t>
      </w:r>
      <w:r w:rsidR="00437752" w:rsidRPr="002715F2">
        <w:rPr>
          <w:rFonts w:eastAsia="Batang"/>
          <w:lang w:val="fr-FR"/>
        </w:rPr>
        <w:t>Eu égard au paragraphe 15 des recommandations précédentes du Comité</w:t>
      </w:r>
      <w:r w:rsidR="000078DA" w:rsidRPr="002715F2">
        <w:rPr>
          <w:rFonts w:eastAsia="Batang"/>
          <w:lang w:val="fr-FR"/>
        </w:rPr>
        <w:t xml:space="preserve"> (CAT/C/KOR/CO/2), </w:t>
      </w:r>
      <w:r w:rsidR="00437752" w:rsidRPr="002715F2">
        <w:rPr>
          <w:rFonts w:eastAsia="Batang"/>
          <w:lang w:val="fr-FR"/>
        </w:rPr>
        <w:t>les enquêtes et études réalisées sur le terrain en 2010 ont montré que le personnel militaire était très satisfait</w:t>
      </w:r>
      <w:r w:rsidR="00083947" w:rsidRPr="002715F2">
        <w:rPr>
          <w:rFonts w:eastAsia="Batang"/>
          <w:lang w:val="fr-FR"/>
        </w:rPr>
        <w:t xml:space="preserve"> du Conseiller professionnel pour la vie de caserne</w:t>
      </w:r>
      <w:r w:rsidR="000078DA" w:rsidRPr="002715F2">
        <w:rPr>
          <w:rFonts w:eastAsia="Batang"/>
          <w:lang w:val="fr-FR"/>
        </w:rPr>
        <w:t xml:space="preserve">. </w:t>
      </w:r>
      <w:r w:rsidR="00437752" w:rsidRPr="002715F2">
        <w:rPr>
          <w:rFonts w:eastAsia="Batang"/>
          <w:lang w:val="fr-FR"/>
        </w:rPr>
        <w:t>En 2014, d</w:t>
      </w:r>
      <w:r w:rsidR="00083947" w:rsidRPr="002715F2">
        <w:rPr>
          <w:rFonts w:eastAsia="Batang"/>
          <w:lang w:val="fr-FR"/>
        </w:rPr>
        <w:t>es enquêtes ont révélé que 57,4 </w:t>
      </w:r>
      <w:r w:rsidR="00437752" w:rsidRPr="002715F2">
        <w:rPr>
          <w:rFonts w:eastAsia="Batang"/>
          <w:lang w:val="fr-FR"/>
        </w:rPr>
        <w:t xml:space="preserve">% des membres du personnel qui avaient eu recours </w:t>
      </w:r>
      <w:r w:rsidR="00A76469" w:rsidRPr="002715F2">
        <w:rPr>
          <w:rFonts w:eastAsia="Batang"/>
          <w:lang w:val="fr-FR"/>
        </w:rPr>
        <w:t>à ces</w:t>
      </w:r>
      <w:r w:rsidR="00437752" w:rsidRPr="002715F2">
        <w:rPr>
          <w:rFonts w:eastAsia="Batang"/>
          <w:lang w:val="fr-FR"/>
        </w:rPr>
        <w:t xml:space="preserve"> services de consultation les avaient trouvés d’une grande aide pour </w:t>
      </w:r>
      <w:r w:rsidR="00E17D9B" w:rsidRPr="002715F2">
        <w:rPr>
          <w:rFonts w:eastAsia="Batang"/>
          <w:lang w:val="fr-FR"/>
        </w:rPr>
        <w:t>gérer leurs</w:t>
      </w:r>
      <w:r w:rsidR="00437752" w:rsidRPr="002715F2">
        <w:rPr>
          <w:rFonts w:eastAsia="Batang"/>
          <w:lang w:val="fr-FR"/>
        </w:rPr>
        <w:t xml:space="preserve"> griefs et </w:t>
      </w:r>
      <w:r w:rsidR="00A1449E" w:rsidRPr="002715F2">
        <w:rPr>
          <w:rFonts w:eastAsia="Batang"/>
          <w:lang w:val="fr-FR"/>
        </w:rPr>
        <w:t>acquérir</w:t>
      </w:r>
      <w:r w:rsidR="00437752" w:rsidRPr="002715F2">
        <w:rPr>
          <w:rFonts w:eastAsia="Batang"/>
          <w:lang w:val="fr-FR"/>
        </w:rPr>
        <w:t xml:space="preserve"> une stabilité psychologique</w:t>
      </w:r>
      <w:r w:rsidR="000078DA" w:rsidRPr="002715F2">
        <w:rPr>
          <w:rFonts w:eastAsia="Batang"/>
          <w:lang w:val="fr-FR"/>
        </w:rPr>
        <w:t xml:space="preserve">. </w:t>
      </w:r>
      <w:r w:rsidR="00E17D9B" w:rsidRPr="002715F2">
        <w:rPr>
          <w:rFonts w:eastAsia="Batang"/>
          <w:lang w:val="fr-FR"/>
        </w:rPr>
        <w:t>Les conseillers n’étant pas suffisamment nombreux à l’heure actuelle pour répondre à toutes les demandes du personnel mili</w:t>
      </w:r>
      <w:r w:rsidR="0032248C" w:rsidRPr="002715F2">
        <w:rPr>
          <w:rFonts w:eastAsia="Batang"/>
          <w:lang w:val="fr-FR"/>
        </w:rPr>
        <w:t>t</w:t>
      </w:r>
      <w:r w:rsidR="00E17D9B" w:rsidRPr="002715F2">
        <w:rPr>
          <w:rFonts w:eastAsia="Batang"/>
          <w:lang w:val="fr-FR"/>
        </w:rPr>
        <w:t>aire, des conseillers supplémentaires sont embauchés par étapes (voir le tableau 32)</w:t>
      </w:r>
      <w:r w:rsidR="000078DA" w:rsidRPr="002715F2">
        <w:rPr>
          <w:rFonts w:eastAsia="Batang"/>
          <w:lang w:val="fr-FR"/>
        </w:rPr>
        <w:t xml:space="preserve">. </w:t>
      </w:r>
      <w:r w:rsidR="00437752" w:rsidRPr="002715F2">
        <w:rPr>
          <w:rFonts w:eastAsia="Batang"/>
          <w:lang w:val="fr-FR"/>
        </w:rPr>
        <w:t>En 2015, 320 conseillers</w:t>
      </w:r>
      <w:r w:rsidR="00B20E83" w:rsidRPr="002715F2">
        <w:rPr>
          <w:rFonts w:eastAsia="Batang"/>
          <w:lang w:val="fr-FR"/>
        </w:rPr>
        <w:t xml:space="preserve"> étaient en activité</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176.</w:t>
      </w:r>
      <w:r w:rsidRPr="002715F2">
        <w:rPr>
          <w:rFonts w:eastAsia="Batang"/>
          <w:lang w:val="fr-FR"/>
        </w:rPr>
        <w:tab/>
      </w:r>
      <w:r w:rsidR="00E17D9B" w:rsidRPr="002715F2">
        <w:rPr>
          <w:rFonts w:eastAsia="Batang"/>
          <w:lang w:val="fr-FR"/>
        </w:rPr>
        <w:t>Les militaires qui présentent un risque élevé de suicide peuvent consulter un psychiatre militaire</w:t>
      </w:r>
      <w:r w:rsidR="000078DA" w:rsidRPr="002715F2">
        <w:rPr>
          <w:rFonts w:eastAsia="Batang"/>
          <w:lang w:val="fr-FR"/>
        </w:rPr>
        <w:t xml:space="preserve">. </w:t>
      </w:r>
      <w:r w:rsidR="00E17D9B" w:rsidRPr="002715F2">
        <w:rPr>
          <w:rFonts w:eastAsia="Batang"/>
          <w:lang w:val="fr-FR"/>
        </w:rPr>
        <w:t>En 2015, on dénombrait 93</w:t>
      </w:r>
      <w:r w:rsidR="00A24B60" w:rsidRPr="002715F2">
        <w:rPr>
          <w:rFonts w:eastAsia="Batang"/>
          <w:lang w:val="fr-FR"/>
        </w:rPr>
        <w:t> </w:t>
      </w:r>
      <w:r w:rsidR="00E17D9B" w:rsidRPr="002715F2">
        <w:rPr>
          <w:rFonts w:eastAsia="Batang"/>
          <w:lang w:val="fr-FR"/>
        </w:rPr>
        <w:t xml:space="preserve">médecins militaires spécialisés en psychiatrie, </w:t>
      </w:r>
      <w:r w:rsidR="0039617D" w:rsidRPr="002715F2">
        <w:rPr>
          <w:rFonts w:eastAsia="Batang"/>
          <w:lang w:val="fr-FR"/>
        </w:rPr>
        <w:t>parmi</w:t>
      </w:r>
      <w:r w:rsidR="00D747AC" w:rsidRPr="002715F2">
        <w:rPr>
          <w:rFonts w:eastAsia="Batang"/>
          <w:lang w:val="fr-FR"/>
        </w:rPr>
        <w:t xml:space="preserve"> lesquels </w:t>
      </w:r>
      <w:r w:rsidR="00D50932" w:rsidRPr="002715F2">
        <w:rPr>
          <w:rFonts w:eastAsia="Batang"/>
          <w:lang w:val="fr-FR"/>
        </w:rPr>
        <w:t xml:space="preserve">34 </w:t>
      </w:r>
      <w:r w:rsidR="00E17D9B" w:rsidRPr="002715F2">
        <w:rPr>
          <w:rFonts w:eastAsia="Batang"/>
          <w:lang w:val="fr-FR"/>
        </w:rPr>
        <w:t xml:space="preserve">travaillaient dans des hôpitaux militaires et </w:t>
      </w:r>
      <w:r w:rsidR="00D50932" w:rsidRPr="002715F2">
        <w:rPr>
          <w:rFonts w:eastAsia="Batang"/>
          <w:lang w:val="fr-FR"/>
        </w:rPr>
        <w:t xml:space="preserve">59 </w:t>
      </w:r>
      <w:r w:rsidR="00E17D9B" w:rsidRPr="002715F2">
        <w:rPr>
          <w:rFonts w:eastAsia="Batang"/>
          <w:lang w:val="fr-FR"/>
        </w:rPr>
        <w:t>dans des unités</w:t>
      </w:r>
      <w:r w:rsidR="000078DA" w:rsidRPr="002715F2">
        <w:rPr>
          <w:rFonts w:eastAsia="Batang"/>
          <w:lang w:val="fr-FR"/>
        </w:rPr>
        <w:t xml:space="preserve">. </w:t>
      </w:r>
      <w:r w:rsidR="00E17D9B" w:rsidRPr="002715F2">
        <w:rPr>
          <w:rFonts w:eastAsia="Batang"/>
          <w:lang w:val="fr-FR"/>
        </w:rPr>
        <w:t>Les médecins en poste au sein des unités apportent un</w:t>
      </w:r>
      <w:r w:rsidR="00D747AC" w:rsidRPr="002715F2">
        <w:rPr>
          <w:rFonts w:eastAsia="Batang"/>
          <w:lang w:val="fr-FR"/>
        </w:rPr>
        <w:t>e</w:t>
      </w:r>
      <w:r w:rsidR="00E17D9B" w:rsidRPr="002715F2">
        <w:rPr>
          <w:rFonts w:eastAsia="Batang"/>
          <w:lang w:val="fr-FR"/>
        </w:rPr>
        <w:t xml:space="preserve"> </w:t>
      </w:r>
      <w:r w:rsidR="00D747AC" w:rsidRPr="002715F2">
        <w:rPr>
          <w:rFonts w:eastAsia="Batang"/>
          <w:lang w:val="fr-FR"/>
        </w:rPr>
        <w:t>aide</w:t>
      </w:r>
      <w:r w:rsidR="00E17D9B" w:rsidRPr="002715F2">
        <w:rPr>
          <w:rFonts w:eastAsia="Batang"/>
          <w:lang w:val="fr-FR"/>
        </w:rPr>
        <w:t xml:space="preserve"> psychologique aux militaires qui songent au suicide</w:t>
      </w:r>
      <w:r w:rsidR="00E97B1A" w:rsidRPr="002715F2">
        <w:rPr>
          <w:rFonts w:eastAsia="Batang"/>
          <w:lang w:val="fr-FR"/>
        </w:rPr>
        <w:t>;</w:t>
      </w:r>
      <w:r w:rsidR="00A24B60" w:rsidRPr="002715F2">
        <w:rPr>
          <w:rFonts w:eastAsia="Batang"/>
          <w:lang w:val="fr-FR"/>
        </w:rPr>
        <w:t xml:space="preserve"> </w:t>
      </w:r>
      <w:r w:rsidR="0039617D" w:rsidRPr="002715F2">
        <w:rPr>
          <w:rFonts w:eastAsia="Batang"/>
          <w:lang w:val="fr-FR"/>
        </w:rPr>
        <w:t>ils interviennent</w:t>
      </w:r>
      <w:r w:rsidR="00E17D9B" w:rsidRPr="002715F2">
        <w:rPr>
          <w:rFonts w:eastAsia="Batang"/>
          <w:lang w:val="fr-FR"/>
        </w:rPr>
        <w:t xml:space="preserve"> </w:t>
      </w:r>
      <w:r w:rsidR="00D747AC" w:rsidRPr="002715F2">
        <w:rPr>
          <w:rFonts w:eastAsia="Batang"/>
          <w:lang w:val="fr-FR"/>
        </w:rPr>
        <w:t>dès les</w:t>
      </w:r>
      <w:r w:rsidR="00E17D9B" w:rsidRPr="002715F2">
        <w:rPr>
          <w:rFonts w:eastAsia="Batang"/>
          <w:lang w:val="fr-FR"/>
        </w:rPr>
        <w:t xml:space="preserve"> premiers </w:t>
      </w:r>
      <w:r w:rsidR="00A24B60" w:rsidRPr="002715F2">
        <w:rPr>
          <w:rFonts w:eastAsia="Batang"/>
          <w:lang w:val="fr-FR"/>
        </w:rPr>
        <w:t>signes</w:t>
      </w:r>
      <w:r w:rsidR="00E17D9B" w:rsidRPr="002715F2">
        <w:rPr>
          <w:rFonts w:eastAsia="Batang"/>
          <w:lang w:val="fr-FR"/>
        </w:rPr>
        <w:t xml:space="preserve"> de risque et décident des hospitalisations</w:t>
      </w:r>
      <w:r w:rsidR="000078DA" w:rsidRPr="002715F2">
        <w:rPr>
          <w:rFonts w:eastAsia="Batang"/>
          <w:lang w:val="fr-FR"/>
        </w:rPr>
        <w:t xml:space="preserve">. </w:t>
      </w:r>
      <w:r w:rsidR="00E17D9B" w:rsidRPr="002715F2">
        <w:rPr>
          <w:rFonts w:eastAsia="Batang"/>
          <w:lang w:val="fr-FR"/>
        </w:rPr>
        <w:t xml:space="preserve">Le nombre de militaires </w:t>
      </w:r>
      <w:r w:rsidR="00D747AC" w:rsidRPr="002715F2">
        <w:rPr>
          <w:rFonts w:eastAsia="Batang"/>
          <w:lang w:val="fr-FR"/>
        </w:rPr>
        <w:t xml:space="preserve">non hospitalisés qui consultent des </w:t>
      </w:r>
      <w:r w:rsidR="00E17D9B" w:rsidRPr="002715F2">
        <w:rPr>
          <w:rFonts w:eastAsia="Batang"/>
          <w:lang w:val="fr-FR"/>
        </w:rPr>
        <w:t>service</w:t>
      </w:r>
      <w:r w:rsidR="00D747AC" w:rsidRPr="002715F2">
        <w:rPr>
          <w:rFonts w:eastAsia="Batang"/>
          <w:lang w:val="fr-FR"/>
        </w:rPr>
        <w:t>s</w:t>
      </w:r>
      <w:r w:rsidR="00E17D9B" w:rsidRPr="002715F2">
        <w:rPr>
          <w:rFonts w:eastAsia="Batang"/>
          <w:lang w:val="fr-FR"/>
        </w:rPr>
        <w:t xml:space="preserve"> de psychiatrie est en augmentation (voir le tableau 33)</w:t>
      </w:r>
      <w:r w:rsidR="000078DA" w:rsidRPr="002715F2">
        <w:rPr>
          <w:rFonts w:eastAsia="Batang"/>
          <w:lang w:val="fr-FR"/>
        </w:rPr>
        <w:t xml:space="preserve">. </w:t>
      </w:r>
      <w:r w:rsidR="00A46FD8" w:rsidRPr="002715F2">
        <w:rPr>
          <w:rFonts w:eastAsia="Batang"/>
          <w:lang w:val="fr-FR"/>
        </w:rPr>
        <w:t>Ils</w:t>
      </w:r>
      <w:r w:rsidR="00E17D9B" w:rsidRPr="002715F2">
        <w:rPr>
          <w:rFonts w:eastAsia="Batang"/>
          <w:lang w:val="fr-FR"/>
        </w:rPr>
        <w:t xml:space="preserve"> </w:t>
      </w:r>
      <w:r w:rsidR="00D747AC" w:rsidRPr="002715F2">
        <w:rPr>
          <w:rFonts w:eastAsia="Batang"/>
          <w:lang w:val="fr-FR"/>
        </w:rPr>
        <w:t>continuent d’être suivis</w:t>
      </w:r>
      <w:r w:rsidR="007D1744" w:rsidRPr="002715F2">
        <w:rPr>
          <w:rFonts w:eastAsia="Batang"/>
          <w:lang w:val="fr-FR"/>
        </w:rPr>
        <w:t xml:space="preserve"> </w:t>
      </w:r>
      <w:r w:rsidR="00A46FD8" w:rsidRPr="002715F2">
        <w:rPr>
          <w:rFonts w:eastAsia="Batang"/>
          <w:lang w:val="fr-FR"/>
        </w:rPr>
        <w:t xml:space="preserve">après avoir </w:t>
      </w:r>
      <w:r w:rsidR="009966B6" w:rsidRPr="002715F2">
        <w:rPr>
          <w:rFonts w:eastAsia="Batang"/>
          <w:lang w:val="fr-FR"/>
        </w:rPr>
        <w:t>quitté</w:t>
      </w:r>
      <w:r w:rsidR="00A46FD8" w:rsidRPr="002715F2">
        <w:rPr>
          <w:rFonts w:eastAsia="Batang"/>
          <w:lang w:val="fr-FR"/>
        </w:rPr>
        <w:t xml:space="preserve"> l’hôpital</w:t>
      </w:r>
      <w:r w:rsidR="00D747AC" w:rsidRPr="002715F2">
        <w:rPr>
          <w:rFonts w:eastAsia="Batang"/>
          <w:lang w:val="fr-FR"/>
        </w:rPr>
        <w:t xml:space="preserve"> et </w:t>
      </w:r>
      <w:r w:rsidR="00804520" w:rsidRPr="002715F2">
        <w:rPr>
          <w:rFonts w:eastAsia="Batang"/>
          <w:lang w:val="fr-FR"/>
        </w:rPr>
        <w:t xml:space="preserve">peuvent </w:t>
      </w:r>
      <w:r w:rsidR="00D747AC" w:rsidRPr="002715F2">
        <w:rPr>
          <w:rFonts w:eastAsia="Batang"/>
          <w:lang w:val="fr-FR"/>
        </w:rPr>
        <w:t>bénéficie</w:t>
      </w:r>
      <w:r w:rsidR="00804520" w:rsidRPr="002715F2">
        <w:rPr>
          <w:rFonts w:eastAsia="Batang"/>
          <w:lang w:val="fr-FR"/>
        </w:rPr>
        <w:t>r</w:t>
      </w:r>
      <w:r w:rsidR="00D747AC" w:rsidRPr="002715F2">
        <w:rPr>
          <w:rFonts w:eastAsia="Batang"/>
          <w:lang w:val="fr-FR"/>
        </w:rPr>
        <w:t xml:space="preserve"> de</w:t>
      </w:r>
      <w:r w:rsidR="00E17D9B" w:rsidRPr="002715F2">
        <w:rPr>
          <w:rFonts w:eastAsia="Batang"/>
          <w:lang w:val="fr-FR"/>
        </w:rPr>
        <w:t xml:space="preserve"> divers programmes intensifs </w:t>
      </w:r>
      <w:r w:rsidR="0039617D" w:rsidRPr="002715F2">
        <w:rPr>
          <w:lang w:val="fr-FR"/>
        </w:rPr>
        <w:t>nécessitant</w:t>
      </w:r>
      <w:r w:rsidR="007D1744" w:rsidRPr="002715F2">
        <w:rPr>
          <w:lang w:val="fr-FR"/>
        </w:rPr>
        <w:t xml:space="preserve"> une hospitalisation</w:t>
      </w:r>
      <w:r w:rsidR="00E17D9B" w:rsidRPr="002715F2">
        <w:rPr>
          <w:rFonts w:eastAsia="Batang"/>
          <w:lang w:val="fr-FR"/>
        </w:rPr>
        <w:t xml:space="preserve">, y compris </w:t>
      </w:r>
      <w:r w:rsidR="007D1744" w:rsidRPr="002715F2">
        <w:rPr>
          <w:rFonts w:eastAsia="Batang"/>
          <w:lang w:val="fr-FR"/>
        </w:rPr>
        <w:t>de</w:t>
      </w:r>
      <w:r w:rsidR="00E17D9B" w:rsidRPr="002715F2">
        <w:rPr>
          <w:rFonts w:eastAsia="Batang"/>
          <w:lang w:val="fr-FR"/>
        </w:rPr>
        <w:t xml:space="preserve"> </w:t>
      </w:r>
      <w:r w:rsidR="007D1744" w:rsidRPr="002715F2">
        <w:rPr>
          <w:rFonts w:eastAsia="Batang"/>
          <w:lang w:val="fr-FR"/>
        </w:rPr>
        <w:t>soins psychologiques</w:t>
      </w:r>
      <w:r w:rsidR="00E17D9B" w:rsidRPr="002715F2">
        <w:rPr>
          <w:rFonts w:eastAsia="Batang"/>
          <w:lang w:val="fr-FR"/>
        </w:rPr>
        <w:t xml:space="preserve">, </w:t>
      </w:r>
      <w:r w:rsidR="007D1744" w:rsidRPr="002715F2">
        <w:rPr>
          <w:rFonts w:eastAsia="Batang"/>
          <w:lang w:val="fr-FR"/>
        </w:rPr>
        <w:t>de thérapies de</w:t>
      </w:r>
      <w:r w:rsidR="00E17D9B" w:rsidRPr="002715F2">
        <w:rPr>
          <w:rFonts w:eastAsia="Batang"/>
          <w:lang w:val="fr-FR"/>
        </w:rPr>
        <w:t xml:space="preserve"> groupe et </w:t>
      </w:r>
      <w:r w:rsidR="007D1744" w:rsidRPr="002715F2">
        <w:rPr>
          <w:rFonts w:eastAsia="Batang"/>
          <w:lang w:val="fr-FR"/>
        </w:rPr>
        <w:t xml:space="preserve">de thérapies par l’art et la </w:t>
      </w:r>
      <w:r w:rsidR="00E17D9B" w:rsidRPr="002715F2">
        <w:rPr>
          <w:rFonts w:eastAsia="Batang"/>
          <w:lang w:val="fr-FR"/>
        </w:rPr>
        <w:t>musique</w:t>
      </w:r>
      <w:r w:rsidR="00F7371F" w:rsidRPr="002715F2">
        <w:rPr>
          <w:rFonts w:eastAsia="Batang"/>
          <w:lang w:val="fr-FR"/>
        </w:rPr>
        <w:t>.</w:t>
      </w:r>
    </w:p>
    <w:p w:rsidR="000078DA" w:rsidRPr="002715F2" w:rsidRDefault="007026FB" w:rsidP="00A24B60">
      <w:pPr>
        <w:pStyle w:val="SingleTxtG"/>
        <w:rPr>
          <w:rFonts w:eastAsia="Batang"/>
          <w:lang w:val="fr-FR"/>
        </w:rPr>
      </w:pPr>
      <w:r w:rsidRPr="002715F2">
        <w:rPr>
          <w:rFonts w:eastAsia="Batang"/>
          <w:lang w:val="fr-FR"/>
        </w:rPr>
        <w:t>177.</w:t>
      </w:r>
      <w:r w:rsidRPr="002715F2">
        <w:rPr>
          <w:rFonts w:eastAsia="Batang"/>
          <w:lang w:val="fr-FR"/>
        </w:rPr>
        <w:tab/>
      </w:r>
      <w:r w:rsidR="007D1744" w:rsidRPr="002715F2">
        <w:rPr>
          <w:rFonts w:eastAsia="Batang"/>
          <w:lang w:val="fr-FR"/>
        </w:rPr>
        <w:t xml:space="preserve">Le Centre de promotion de la santé mentale, qui </w:t>
      </w:r>
      <w:r w:rsidR="00A24B60" w:rsidRPr="002715F2">
        <w:rPr>
          <w:rFonts w:eastAsia="Batang"/>
          <w:lang w:val="fr-FR"/>
        </w:rPr>
        <w:t>comprend</w:t>
      </w:r>
      <w:r w:rsidR="007D1744" w:rsidRPr="002715F2">
        <w:rPr>
          <w:rFonts w:eastAsia="Batang"/>
          <w:lang w:val="fr-FR"/>
        </w:rPr>
        <w:t xml:space="preserve"> des sp</w:t>
      </w:r>
      <w:r w:rsidR="00A24B60" w:rsidRPr="002715F2">
        <w:rPr>
          <w:rFonts w:eastAsia="Batang"/>
          <w:lang w:val="fr-FR"/>
        </w:rPr>
        <w:t>é</w:t>
      </w:r>
      <w:r w:rsidR="007D1744" w:rsidRPr="002715F2">
        <w:rPr>
          <w:rFonts w:eastAsia="Batang"/>
          <w:lang w:val="fr-FR"/>
        </w:rPr>
        <w:t xml:space="preserve">cialistes civils, a été </w:t>
      </w:r>
      <w:r w:rsidR="009A38F9" w:rsidRPr="002715F2">
        <w:rPr>
          <w:rFonts w:eastAsia="Batang"/>
          <w:lang w:val="fr-FR"/>
        </w:rPr>
        <w:t>mis en place</w:t>
      </w:r>
      <w:r w:rsidR="007D1744" w:rsidRPr="002715F2">
        <w:rPr>
          <w:rFonts w:eastAsia="Batang"/>
          <w:lang w:val="fr-FR"/>
        </w:rPr>
        <w:t xml:space="preserve"> en </w:t>
      </w:r>
      <w:r w:rsidR="00D50932" w:rsidRPr="002715F2">
        <w:rPr>
          <w:rFonts w:eastAsia="Batang"/>
          <w:lang w:val="fr-FR"/>
        </w:rPr>
        <w:t xml:space="preserve">mai </w:t>
      </w:r>
      <w:r w:rsidR="007D1744" w:rsidRPr="002715F2">
        <w:rPr>
          <w:rFonts w:eastAsia="Batang"/>
          <w:lang w:val="fr-FR"/>
        </w:rPr>
        <w:t xml:space="preserve">2011 </w:t>
      </w:r>
      <w:r w:rsidR="009A38F9" w:rsidRPr="002715F2">
        <w:rPr>
          <w:rFonts w:eastAsia="Batang"/>
          <w:lang w:val="fr-FR"/>
        </w:rPr>
        <w:t xml:space="preserve">au sein de l’hôpital militaire de la capitale </w:t>
      </w:r>
      <w:r w:rsidR="00A24B60" w:rsidRPr="002715F2">
        <w:rPr>
          <w:rFonts w:eastAsia="Batang"/>
          <w:lang w:val="fr-FR"/>
        </w:rPr>
        <w:t>pour traiter</w:t>
      </w:r>
      <w:r w:rsidR="00A46FD8" w:rsidRPr="002715F2">
        <w:rPr>
          <w:rFonts w:eastAsia="Batang"/>
          <w:lang w:val="fr-FR"/>
        </w:rPr>
        <w:t xml:space="preserve"> et étudier</w:t>
      </w:r>
      <w:r w:rsidR="009A38F9" w:rsidRPr="002715F2">
        <w:rPr>
          <w:rFonts w:eastAsia="Batang"/>
          <w:lang w:val="fr-FR"/>
        </w:rPr>
        <w:t xml:space="preserve"> </w:t>
      </w:r>
      <w:r w:rsidR="007D1744" w:rsidRPr="002715F2">
        <w:rPr>
          <w:rFonts w:eastAsia="Batang"/>
          <w:lang w:val="fr-FR"/>
        </w:rPr>
        <w:t xml:space="preserve">les </w:t>
      </w:r>
      <w:r w:rsidR="00A24B60" w:rsidRPr="002715F2">
        <w:rPr>
          <w:rFonts w:eastAsia="Batang"/>
          <w:lang w:val="fr-FR"/>
        </w:rPr>
        <w:t>pathologies</w:t>
      </w:r>
      <w:r w:rsidR="007D1744" w:rsidRPr="002715F2">
        <w:rPr>
          <w:rFonts w:eastAsia="Batang"/>
          <w:lang w:val="fr-FR"/>
        </w:rPr>
        <w:t xml:space="preserve"> </w:t>
      </w:r>
      <w:r w:rsidR="00A24B60" w:rsidRPr="002715F2">
        <w:rPr>
          <w:rFonts w:eastAsia="Batang"/>
          <w:lang w:val="fr-FR"/>
        </w:rPr>
        <w:t>qui affectent particulièrement les</w:t>
      </w:r>
      <w:r w:rsidR="007D1744" w:rsidRPr="002715F2">
        <w:rPr>
          <w:rFonts w:eastAsia="Batang"/>
          <w:lang w:val="fr-FR"/>
        </w:rPr>
        <w:t xml:space="preserve"> militaires</w:t>
      </w:r>
      <w:r w:rsidR="009A38F9" w:rsidRPr="002715F2">
        <w:rPr>
          <w:rFonts w:eastAsia="Batang"/>
          <w:lang w:val="fr-FR"/>
        </w:rPr>
        <w:t>,</w:t>
      </w:r>
      <w:r w:rsidR="007D1744" w:rsidRPr="002715F2">
        <w:rPr>
          <w:rFonts w:eastAsia="Batang"/>
          <w:lang w:val="fr-FR"/>
        </w:rPr>
        <w:t xml:space="preserve"> </w:t>
      </w:r>
      <w:r w:rsidR="009A38F9" w:rsidRPr="002715F2">
        <w:rPr>
          <w:rFonts w:eastAsia="Batang"/>
          <w:lang w:val="fr-FR"/>
        </w:rPr>
        <w:t>notamment</w:t>
      </w:r>
      <w:r w:rsidR="007D1744" w:rsidRPr="002715F2">
        <w:rPr>
          <w:rFonts w:eastAsia="Batang"/>
          <w:lang w:val="fr-FR"/>
        </w:rPr>
        <w:t xml:space="preserve"> les troubles post-traumatiques et les troubles de l’adaptation</w:t>
      </w:r>
      <w:r w:rsidR="000078DA" w:rsidRPr="002715F2">
        <w:rPr>
          <w:rFonts w:eastAsia="Batang"/>
          <w:lang w:val="fr-FR"/>
        </w:rPr>
        <w:t xml:space="preserve">. </w:t>
      </w:r>
      <w:r w:rsidR="00A24B60" w:rsidRPr="002715F2">
        <w:rPr>
          <w:rFonts w:eastAsia="Batang"/>
          <w:lang w:val="fr-FR"/>
        </w:rPr>
        <w:t xml:space="preserve">Le Centre </w:t>
      </w:r>
      <w:r w:rsidR="009A38F9" w:rsidRPr="002715F2">
        <w:rPr>
          <w:rFonts w:eastAsia="Batang"/>
          <w:lang w:val="fr-FR"/>
        </w:rPr>
        <w:t>élabore</w:t>
      </w:r>
      <w:r w:rsidR="00A24B60" w:rsidRPr="002715F2">
        <w:rPr>
          <w:rFonts w:eastAsia="Batang"/>
          <w:lang w:val="fr-FR"/>
        </w:rPr>
        <w:t xml:space="preserve"> </w:t>
      </w:r>
      <w:r w:rsidR="009A38F9" w:rsidRPr="002715F2">
        <w:rPr>
          <w:rFonts w:eastAsia="Batang"/>
          <w:lang w:val="fr-FR"/>
        </w:rPr>
        <w:t>l</w:t>
      </w:r>
      <w:r w:rsidR="00A24B60" w:rsidRPr="002715F2">
        <w:rPr>
          <w:rFonts w:eastAsia="Batang"/>
          <w:lang w:val="fr-FR"/>
        </w:rPr>
        <w:t xml:space="preserve">es politiques psychiatriques militaires, soutient l’éducation et </w:t>
      </w:r>
      <w:r w:rsidR="009A38F9" w:rsidRPr="002715F2">
        <w:rPr>
          <w:rFonts w:eastAsia="Batang"/>
          <w:lang w:val="fr-FR"/>
        </w:rPr>
        <w:t>mène</w:t>
      </w:r>
      <w:r w:rsidR="00A24B60" w:rsidRPr="002715F2">
        <w:rPr>
          <w:rFonts w:eastAsia="Batang"/>
          <w:lang w:val="fr-FR"/>
        </w:rPr>
        <w:t xml:space="preserve"> des projets en partenariat avec le secteur privé</w:t>
      </w:r>
      <w:r w:rsidR="000078DA" w:rsidRPr="002715F2">
        <w:rPr>
          <w:rFonts w:eastAsia="Batang"/>
          <w:lang w:val="fr-FR"/>
        </w:rPr>
        <w:t xml:space="preserve">. </w:t>
      </w:r>
      <w:r w:rsidR="009A38F9" w:rsidRPr="002715F2">
        <w:rPr>
          <w:rFonts w:eastAsia="Batang"/>
          <w:lang w:val="fr-FR"/>
        </w:rPr>
        <w:t xml:space="preserve">Il compte deux salles pour les malades non hospitalisés, des pièces pour les évaluations psychologiques, des </w:t>
      </w:r>
      <w:r w:rsidR="0039617D" w:rsidRPr="002715F2">
        <w:rPr>
          <w:rFonts w:eastAsia="Batang"/>
          <w:lang w:val="fr-FR"/>
        </w:rPr>
        <w:t>pièces</w:t>
      </w:r>
      <w:r w:rsidR="009A38F9" w:rsidRPr="002715F2">
        <w:rPr>
          <w:rFonts w:eastAsia="Batang"/>
          <w:lang w:val="fr-FR"/>
        </w:rPr>
        <w:t xml:space="preserve"> pour les consultations, un psychiatre civil, un psychologue clinicien, un travailleur social spécialisé en santé mentale, </w:t>
      </w:r>
      <w:r w:rsidR="00D50932" w:rsidRPr="002715F2">
        <w:rPr>
          <w:rFonts w:eastAsia="Batang"/>
          <w:lang w:val="fr-FR"/>
        </w:rPr>
        <w:t xml:space="preserve">cinq </w:t>
      </w:r>
      <w:r w:rsidR="009A38F9" w:rsidRPr="002715F2">
        <w:rPr>
          <w:rFonts w:eastAsia="Batang"/>
          <w:lang w:val="fr-FR"/>
        </w:rPr>
        <w:t>médecins militaires et six infi</w:t>
      </w:r>
      <w:r w:rsidR="00646627" w:rsidRPr="002715F2">
        <w:rPr>
          <w:rFonts w:eastAsia="Batang"/>
          <w:lang w:val="fr-FR"/>
        </w:rPr>
        <w:t>rmiers/</w:t>
      </w:r>
      <w:r w:rsidR="0039617D" w:rsidRPr="002715F2">
        <w:rPr>
          <w:rFonts w:eastAsia="Batang"/>
          <w:lang w:val="fr-FR"/>
        </w:rPr>
        <w:t>infirmières</w:t>
      </w:r>
      <w:r w:rsidR="000078DA"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680455" w:rsidRPr="002715F2">
        <w:rPr>
          <w:rFonts w:eastAsia="Batang"/>
          <w:lang w:val="fr-FR" w:eastAsia="ko-KR"/>
        </w:rPr>
        <w:t xml:space="preserve">Programme de prévention du suicide chez les militaires coréens et </w:t>
      </w:r>
      <w:r w:rsidR="00D90B15" w:rsidRPr="002715F2">
        <w:rPr>
          <w:lang w:val="fr-FR"/>
        </w:rPr>
        <w:t>système complet de </w:t>
      </w:r>
      <w:r w:rsidR="00680455" w:rsidRPr="002715F2">
        <w:rPr>
          <w:lang w:val="fr-FR"/>
        </w:rPr>
        <w:t>prévention des suicides</w:t>
      </w:r>
    </w:p>
    <w:p w:rsidR="000078DA" w:rsidRPr="002715F2" w:rsidRDefault="007026FB" w:rsidP="007026FB">
      <w:pPr>
        <w:pStyle w:val="SingleTxtG"/>
        <w:rPr>
          <w:rFonts w:eastAsia="Batang"/>
          <w:lang w:val="fr-FR"/>
        </w:rPr>
      </w:pPr>
      <w:r w:rsidRPr="002715F2">
        <w:rPr>
          <w:rFonts w:eastAsia="Batang"/>
          <w:lang w:val="fr-FR"/>
        </w:rPr>
        <w:t>178.</w:t>
      </w:r>
      <w:r w:rsidRPr="002715F2">
        <w:rPr>
          <w:rFonts w:eastAsia="Batang"/>
          <w:lang w:val="fr-FR"/>
        </w:rPr>
        <w:tab/>
      </w:r>
      <w:r w:rsidR="00680455" w:rsidRPr="002715F2">
        <w:rPr>
          <w:rFonts w:eastAsia="Batang"/>
          <w:lang w:val="fr-FR"/>
        </w:rPr>
        <w:t xml:space="preserve">En 2008, le Gouvernement a créé le Programme de prévention du suicide dans l’armée coréenne pour sensibiliser et éduquer tous les militaires sur la prévention du suicide, conformément au paragraphe 15 des recommandations précédentes du Comité </w:t>
      </w:r>
      <w:r w:rsidR="000078DA" w:rsidRPr="002715F2">
        <w:rPr>
          <w:rFonts w:eastAsia="Batang"/>
          <w:lang w:val="fr-FR"/>
        </w:rPr>
        <w:t xml:space="preserve">(CAT/C/KOR/CO/2). </w:t>
      </w:r>
      <w:r w:rsidR="00680455" w:rsidRPr="002715F2">
        <w:rPr>
          <w:rFonts w:eastAsia="Batang"/>
          <w:lang w:val="fr-FR"/>
        </w:rPr>
        <w:t>Ce programme est en service depuis 2009</w:t>
      </w:r>
      <w:r w:rsidR="000078DA" w:rsidRPr="002715F2">
        <w:rPr>
          <w:rFonts w:eastAsia="Batang"/>
          <w:lang w:val="fr-FR"/>
        </w:rPr>
        <w:t xml:space="preserve">. </w:t>
      </w:r>
      <w:r w:rsidR="00680455" w:rsidRPr="002715F2">
        <w:rPr>
          <w:rFonts w:eastAsia="Batang"/>
          <w:lang w:val="fr-FR"/>
        </w:rPr>
        <w:t>Grâce à ce programme, 5 800 instructeurs spécialisés en prévention du suicide avaient été formés en 2015, et une éducation continue et répétée est dispensée au personnel militaire de chaque unité sur une base trimestrielle</w:t>
      </w:r>
      <w:r w:rsidR="000078DA" w:rsidRPr="002715F2">
        <w:rPr>
          <w:rFonts w:eastAsia="Batang"/>
          <w:lang w:val="fr-FR"/>
        </w:rPr>
        <w:t xml:space="preserve">. </w:t>
      </w:r>
      <w:r w:rsidR="00680455" w:rsidRPr="002715F2">
        <w:rPr>
          <w:rFonts w:eastAsia="Batang"/>
          <w:lang w:val="fr-FR"/>
        </w:rPr>
        <w:t>Ce programme vise à sensibiliser tous les militaires afin qu’ils puissent reconnaître les tendances suicidaires et signaler les personnes affectées</w:t>
      </w:r>
      <w:r w:rsidR="000078DA" w:rsidRPr="002715F2">
        <w:rPr>
          <w:rFonts w:eastAsia="Batang"/>
          <w:lang w:val="fr-FR"/>
        </w:rPr>
        <w:t xml:space="preserve">. </w:t>
      </w:r>
      <w:r w:rsidR="00680455" w:rsidRPr="002715F2">
        <w:rPr>
          <w:rFonts w:eastAsia="Batang"/>
          <w:lang w:val="fr-FR"/>
        </w:rPr>
        <w:t>Tous les membres du personnel militaire sont ainsi encouragés à participer activement aux activités de prévention pour contribuer davantage à préven</w:t>
      </w:r>
      <w:r w:rsidR="00341F95" w:rsidRPr="002715F2">
        <w:rPr>
          <w:rFonts w:eastAsia="Batang"/>
          <w:lang w:val="fr-FR"/>
        </w:rPr>
        <w:t>ir</w:t>
      </w:r>
      <w:r w:rsidR="00680455" w:rsidRPr="002715F2">
        <w:rPr>
          <w:rFonts w:eastAsia="Batang"/>
          <w:lang w:val="fr-FR"/>
        </w:rPr>
        <w:t xml:space="preserve"> </w:t>
      </w:r>
      <w:r w:rsidR="00341F95" w:rsidRPr="002715F2">
        <w:rPr>
          <w:rFonts w:eastAsia="Batang"/>
          <w:lang w:val="fr-FR"/>
        </w:rPr>
        <w:t>le</w:t>
      </w:r>
      <w:r w:rsidR="00680455" w:rsidRPr="002715F2">
        <w:rPr>
          <w:rFonts w:eastAsia="Batang"/>
          <w:lang w:val="fr-FR"/>
        </w:rPr>
        <w:t xml:space="preserve"> suicide en général</w:t>
      </w:r>
      <w:r w:rsidR="00F7371F"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179.</w:t>
      </w:r>
      <w:r w:rsidRPr="002715F2">
        <w:rPr>
          <w:rFonts w:eastAsia="Batang"/>
          <w:lang w:val="fr-FR"/>
        </w:rPr>
        <w:tab/>
      </w:r>
      <w:r w:rsidR="00680455" w:rsidRPr="002715F2">
        <w:rPr>
          <w:rFonts w:eastAsia="Batang"/>
          <w:lang w:val="fr-FR"/>
        </w:rPr>
        <w:t xml:space="preserve">Depuis </w:t>
      </w:r>
      <w:r w:rsidR="00AA7A36" w:rsidRPr="002715F2">
        <w:rPr>
          <w:rFonts w:eastAsia="Batang"/>
          <w:lang w:val="fr-FR"/>
        </w:rPr>
        <w:t xml:space="preserve">juillet </w:t>
      </w:r>
      <w:r w:rsidR="00680455" w:rsidRPr="002715F2">
        <w:rPr>
          <w:rFonts w:eastAsia="Batang"/>
          <w:lang w:val="fr-FR"/>
        </w:rPr>
        <w:t xml:space="preserve">2009, un </w:t>
      </w:r>
      <w:r w:rsidR="00A84498" w:rsidRPr="002715F2">
        <w:rPr>
          <w:rFonts w:eastAsia="Batang"/>
          <w:lang w:val="fr-FR"/>
        </w:rPr>
        <w:t>S</w:t>
      </w:r>
      <w:r w:rsidR="00680455" w:rsidRPr="002715F2">
        <w:rPr>
          <w:rFonts w:eastAsia="Batang"/>
          <w:lang w:val="fr-FR"/>
        </w:rPr>
        <w:t xml:space="preserve">ystème complet de prévention du suicide en </w:t>
      </w:r>
      <w:r w:rsidR="00D50932" w:rsidRPr="002715F2">
        <w:rPr>
          <w:rFonts w:eastAsia="Batang"/>
          <w:lang w:val="fr-FR"/>
        </w:rPr>
        <w:t xml:space="preserve">trois </w:t>
      </w:r>
      <w:r w:rsidR="00680455" w:rsidRPr="002715F2">
        <w:rPr>
          <w:rFonts w:eastAsia="Batang"/>
          <w:lang w:val="fr-FR"/>
        </w:rPr>
        <w:t>étapes</w:t>
      </w:r>
      <w:r w:rsidR="000920C0" w:rsidRPr="002715F2">
        <w:rPr>
          <w:rFonts w:eastAsia="Batang"/>
          <w:lang w:val="fr-FR"/>
        </w:rPr>
        <w:t xml:space="preserve"> a été mis en place. Ces étapes sont les suivantes</w:t>
      </w:r>
      <w:r w:rsidR="00E97B1A" w:rsidRPr="002715F2">
        <w:rPr>
          <w:rFonts w:eastAsia="Batang"/>
          <w:lang w:val="fr-FR"/>
        </w:rPr>
        <w:t>:</w:t>
      </w:r>
      <w:r w:rsidR="00680455" w:rsidRPr="002715F2">
        <w:rPr>
          <w:rFonts w:eastAsia="Batang"/>
          <w:lang w:val="fr-FR"/>
        </w:rPr>
        <w:t xml:space="preserve"> 1)</w:t>
      </w:r>
      <w:r w:rsidR="000920C0" w:rsidRPr="002715F2">
        <w:rPr>
          <w:rFonts w:eastAsia="Batang"/>
          <w:lang w:val="fr-FR"/>
        </w:rPr>
        <w:t> </w:t>
      </w:r>
      <w:r w:rsidR="00680455" w:rsidRPr="002715F2">
        <w:rPr>
          <w:rFonts w:eastAsia="Batang"/>
          <w:lang w:val="fr-FR"/>
        </w:rPr>
        <w:t>identification, 2)</w:t>
      </w:r>
      <w:r w:rsidR="000920C0" w:rsidRPr="002715F2">
        <w:rPr>
          <w:rFonts w:eastAsia="Batang"/>
          <w:lang w:val="fr-FR"/>
        </w:rPr>
        <w:t> prise en charge, 3) </w:t>
      </w:r>
      <w:r w:rsidR="00802342" w:rsidRPr="002715F2">
        <w:rPr>
          <w:rFonts w:eastAsia="Batang"/>
          <w:lang w:val="fr-FR"/>
        </w:rPr>
        <w:t>décision</w:t>
      </w:r>
      <w:r w:rsidR="00680455" w:rsidRPr="002715F2">
        <w:rPr>
          <w:rFonts w:eastAsia="Batang"/>
          <w:lang w:val="fr-FR"/>
        </w:rPr>
        <w:t xml:space="preserve">. Dans un </w:t>
      </w:r>
      <w:r w:rsidR="00AA7A36" w:rsidRPr="002715F2">
        <w:rPr>
          <w:rFonts w:eastAsia="Batang"/>
          <w:lang w:val="fr-FR"/>
        </w:rPr>
        <w:t xml:space="preserve">premier </w:t>
      </w:r>
      <w:r w:rsidR="00680455" w:rsidRPr="002715F2">
        <w:rPr>
          <w:rFonts w:eastAsia="Batang"/>
          <w:lang w:val="fr-FR"/>
        </w:rPr>
        <w:t xml:space="preserve">temps, </w:t>
      </w:r>
      <w:r w:rsidR="00A84498" w:rsidRPr="002715F2">
        <w:rPr>
          <w:rFonts w:eastAsia="Batang"/>
          <w:lang w:val="fr-FR"/>
        </w:rPr>
        <w:t xml:space="preserve">avant d’entrer dans l’armée, un test de personnalité </w:t>
      </w:r>
      <w:r w:rsidR="002C546D" w:rsidRPr="002715F2">
        <w:rPr>
          <w:rFonts w:eastAsia="Batang"/>
          <w:lang w:val="fr-FR"/>
        </w:rPr>
        <w:t>est uti</w:t>
      </w:r>
      <w:r w:rsidR="00A84498" w:rsidRPr="002715F2">
        <w:rPr>
          <w:rFonts w:eastAsia="Batang"/>
          <w:lang w:val="fr-FR"/>
        </w:rPr>
        <w:t>lisé pendant la</w:t>
      </w:r>
      <w:r w:rsidR="00802342" w:rsidRPr="002715F2">
        <w:rPr>
          <w:rFonts w:eastAsia="Batang"/>
          <w:lang w:val="fr-FR"/>
        </w:rPr>
        <w:t xml:space="preserve"> visite médicale </w:t>
      </w:r>
      <w:r w:rsidR="00A84498" w:rsidRPr="002715F2">
        <w:rPr>
          <w:rFonts w:eastAsia="Batang"/>
          <w:lang w:val="fr-FR"/>
        </w:rPr>
        <w:t>des nouvelles recrues afin d’</w:t>
      </w:r>
      <w:r w:rsidR="00680455" w:rsidRPr="002715F2">
        <w:rPr>
          <w:rFonts w:eastAsia="Batang"/>
          <w:lang w:val="fr-FR"/>
        </w:rPr>
        <w:t xml:space="preserve">identifier </w:t>
      </w:r>
      <w:r w:rsidR="00802342" w:rsidRPr="002715F2">
        <w:rPr>
          <w:rFonts w:eastAsia="Batang"/>
          <w:lang w:val="fr-FR"/>
        </w:rPr>
        <w:t>d’</w:t>
      </w:r>
      <w:r w:rsidR="0039617D" w:rsidRPr="002715F2">
        <w:rPr>
          <w:rFonts w:eastAsia="Batang"/>
          <w:lang w:val="fr-FR"/>
        </w:rPr>
        <w:t>éventuelles</w:t>
      </w:r>
      <w:r w:rsidR="000920C0" w:rsidRPr="002715F2">
        <w:rPr>
          <w:rFonts w:eastAsia="Batang"/>
          <w:lang w:val="fr-FR"/>
        </w:rPr>
        <w:t xml:space="preserve"> difficultés</w:t>
      </w:r>
      <w:r w:rsidR="00680455" w:rsidRPr="002715F2">
        <w:rPr>
          <w:rFonts w:eastAsia="Batang"/>
          <w:lang w:val="fr-FR"/>
        </w:rPr>
        <w:t xml:space="preserve"> mental</w:t>
      </w:r>
      <w:r w:rsidR="000920C0" w:rsidRPr="002715F2">
        <w:rPr>
          <w:rFonts w:eastAsia="Batang"/>
          <w:lang w:val="fr-FR"/>
        </w:rPr>
        <w:t>es</w:t>
      </w:r>
      <w:r w:rsidR="00680455" w:rsidRPr="002715F2">
        <w:rPr>
          <w:rFonts w:eastAsia="Batang"/>
          <w:lang w:val="fr-FR"/>
        </w:rPr>
        <w:t>, psychologique</w:t>
      </w:r>
      <w:r w:rsidR="000920C0" w:rsidRPr="002715F2">
        <w:rPr>
          <w:rFonts w:eastAsia="Batang"/>
          <w:lang w:val="fr-FR"/>
        </w:rPr>
        <w:t>s</w:t>
      </w:r>
      <w:r w:rsidR="00802342" w:rsidRPr="002715F2">
        <w:rPr>
          <w:rFonts w:eastAsia="Batang"/>
          <w:lang w:val="fr-FR"/>
        </w:rPr>
        <w:t xml:space="preserve"> ou personnelles</w:t>
      </w:r>
      <w:r w:rsidR="00E97B1A" w:rsidRPr="002715F2">
        <w:rPr>
          <w:rFonts w:eastAsia="Batang"/>
          <w:lang w:val="fr-FR"/>
        </w:rPr>
        <w:t>;</w:t>
      </w:r>
      <w:r w:rsidR="000920C0" w:rsidRPr="002715F2">
        <w:rPr>
          <w:rFonts w:eastAsia="Batang"/>
          <w:lang w:val="fr-FR"/>
        </w:rPr>
        <w:t xml:space="preserve"> d</w:t>
      </w:r>
      <w:r w:rsidR="00680455" w:rsidRPr="002715F2">
        <w:rPr>
          <w:rFonts w:eastAsia="Batang"/>
          <w:lang w:val="fr-FR"/>
        </w:rPr>
        <w:t xml:space="preserve">es </w:t>
      </w:r>
      <w:r w:rsidR="000920C0" w:rsidRPr="002715F2">
        <w:rPr>
          <w:rFonts w:eastAsia="Batang"/>
          <w:lang w:val="fr-FR"/>
        </w:rPr>
        <w:t>évaluations sont</w:t>
      </w:r>
      <w:r w:rsidR="00680455" w:rsidRPr="002715F2">
        <w:rPr>
          <w:rFonts w:eastAsia="Batang"/>
          <w:lang w:val="fr-FR"/>
        </w:rPr>
        <w:t xml:space="preserve"> </w:t>
      </w:r>
      <w:r w:rsidR="000920C0" w:rsidRPr="002715F2">
        <w:rPr>
          <w:rFonts w:eastAsia="Batang"/>
          <w:lang w:val="fr-FR"/>
        </w:rPr>
        <w:t xml:space="preserve">ensuite régulièrement </w:t>
      </w:r>
      <w:r w:rsidR="00680455" w:rsidRPr="002715F2">
        <w:rPr>
          <w:rFonts w:eastAsia="Batang"/>
          <w:lang w:val="fr-FR"/>
        </w:rPr>
        <w:t xml:space="preserve">effectuées </w:t>
      </w:r>
      <w:r w:rsidR="000920C0" w:rsidRPr="002715F2">
        <w:rPr>
          <w:rFonts w:eastAsia="Batang"/>
          <w:lang w:val="fr-FR"/>
        </w:rPr>
        <w:t xml:space="preserve">pour </w:t>
      </w:r>
      <w:r w:rsidR="00802342" w:rsidRPr="002715F2">
        <w:rPr>
          <w:rFonts w:eastAsia="Batang"/>
          <w:lang w:val="fr-FR"/>
        </w:rPr>
        <w:t>repérer les mili</w:t>
      </w:r>
      <w:r w:rsidR="000920C0" w:rsidRPr="002715F2">
        <w:rPr>
          <w:rFonts w:eastAsia="Batang"/>
          <w:lang w:val="fr-FR"/>
        </w:rPr>
        <w:t xml:space="preserve">taires </w:t>
      </w:r>
      <w:r w:rsidR="00A84498" w:rsidRPr="002715F2">
        <w:rPr>
          <w:rFonts w:eastAsia="Batang"/>
          <w:lang w:val="fr-FR"/>
        </w:rPr>
        <w:t xml:space="preserve">qui </w:t>
      </w:r>
      <w:r w:rsidR="00680455" w:rsidRPr="002715F2">
        <w:rPr>
          <w:rFonts w:eastAsia="Batang"/>
          <w:lang w:val="fr-FR"/>
        </w:rPr>
        <w:t>présent</w:t>
      </w:r>
      <w:r w:rsidR="00A84498" w:rsidRPr="002715F2">
        <w:rPr>
          <w:rFonts w:eastAsia="Batang"/>
          <w:lang w:val="fr-FR"/>
        </w:rPr>
        <w:t>e</w:t>
      </w:r>
      <w:r w:rsidR="00680455" w:rsidRPr="002715F2">
        <w:rPr>
          <w:rFonts w:eastAsia="Batang"/>
          <w:lang w:val="fr-FR"/>
        </w:rPr>
        <w:t>nt un risque élevé de suicide</w:t>
      </w:r>
      <w:r w:rsidR="000078DA" w:rsidRPr="002715F2">
        <w:rPr>
          <w:rFonts w:eastAsia="Batang"/>
          <w:lang w:val="fr-FR"/>
        </w:rPr>
        <w:t xml:space="preserve">. </w:t>
      </w:r>
      <w:r w:rsidR="0039617D" w:rsidRPr="002715F2">
        <w:rPr>
          <w:rFonts w:eastAsia="Batang"/>
          <w:lang w:val="fr-FR"/>
        </w:rPr>
        <w:t>Dans</w:t>
      </w:r>
      <w:r w:rsidR="00A84498" w:rsidRPr="002715F2">
        <w:rPr>
          <w:rFonts w:eastAsia="Batang"/>
          <w:lang w:val="fr-FR"/>
        </w:rPr>
        <w:t xml:space="preserve"> un </w:t>
      </w:r>
      <w:r w:rsidR="00D50932" w:rsidRPr="002715F2">
        <w:rPr>
          <w:rFonts w:eastAsia="Batang"/>
          <w:lang w:val="fr-FR"/>
        </w:rPr>
        <w:t xml:space="preserve">deuxième </w:t>
      </w:r>
      <w:r w:rsidR="00802342" w:rsidRPr="002715F2">
        <w:rPr>
          <w:rFonts w:eastAsia="Batang"/>
          <w:lang w:val="fr-FR"/>
        </w:rPr>
        <w:t xml:space="preserve">temps, les militaires à comportement </w:t>
      </w:r>
      <w:r w:rsidR="0039617D" w:rsidRPr="002715F2">
        <w:rPr>
          <w:rFonts w:eastAsia="Batang"/>
          <w:lang w:val="fr-FR"/>
        </w:rPr>
        <w:t>suicidaire</w:t>
      </w:r>
      <w:r w:rsidR="00802342" w:rsidRPr="002715F2">
        <w:rPr>
          <w:rFonts w:eastAsia="Batang"/>
          <w:lang w:val="fr-FR"/>
        </w:rPr>
        <w:t xml:space="preserve"> entrent au </w:t>
      </w:r>
      <w:r w:rsidR="00D50932" w:rsidRPr="002715F2">
        <w:rPr>
          <w:rFonts w:eastAsia="Batang"/>
          <w:lang w:val="fr-FR"/>
        </w:rPr>
        <w:t xml:space="preserve">camp </w:t>
      </w:r>
      <w:r w:rsidR="00A84498" w:rsidRPr="002715F2">
        <w:rPr>
          <w:rFonts w:eastAsia="Batang"/>
          <w:lang w:val="fr-FR"/>
        </w:rPr>
        <w:t xml:space="preserve">Vision et au </w:t>
      </w:r>
      <w:r w:rsidR="00AA7A36" w:rsidRPr="002715F2">
        <w:rPr>
          <w:rFonts w:eastAsia="Batang"/>
          <w:lang w:val="fr-FR"/>
        </w:rPr>
        <w:t xml:space="preserve">camp </w:t>
      </w:r>
      <w:r w:rsidR="00A84498" w:rsidRPr="002715F2">
        <w:rPr>
          <w:rFonts w:eastAsia="Batang"/>
          <w:lang w:val="fr-FR"/>
        </w:rPr>
        <w:t>V</w:t>
      </w:r>
      <w:r w:rsidR="00802342" w:rsidRPr="002715F2">
        <w:rPr>
          <w:rFonts w:eastAsia="Batang"/>
          <w:lang w:val="fr-FR"/>
        </w:rPr>
        <w:t xml:space="preserve">ert pour participer </w:t>
      </w:r>
      <w:r w:rsidR="00A84498" w:rsidRPr="002715F2">
        <w:rPr>
          <w:rFonts w:eastAsia="Batang"/>
          <w:lang w:val="fr-FR"/>
        </w:rPr>
        <w:t>à des</w:t>
      </w:r>
      <w:r w:rsidR="00802342" w:rsidRPr="002715F2">
        <w:rPr>
          <w:rFonts w:eastAsia="Batang"/>
          <w:lang w:val="fr-FR"/>
        </w:rPr>
        <w:t xml:space="preserve"> programmes </w:t>
      </w:r>
      <w:r w:rsidR="00A84498" w:rsidRPr="002715F2">
        <w:rPr>
          <w:rFonts w:eastAsia="Batang"/>
          <w:lang w:val="fr-FR"/>
        </w:rPr>
        <w:t>thérapeutiques</w:t>
      </w:r>
      <w:r w:rsidR="00802342" w:rsidRPr="002715F2">
        <w:rPr>
          <w:rFonts w:eastAsia="Batang"/>
          <w:lang w:val="fr-FR"/>
        </w:rPr>
        <w:t xml:space="preserve"> et </w:t>
      </w:r>
      <w:r w:rsidR="00A84498" w:rsidRPr="002715F2">
        <w:rPr>
          <w:rFonts w:eastAsia="Batang"/>
          <w:lang w:val="fr-FR"/>
        </w:rPr>
        <w:t>bénéficier d’une aide ps</w:t>
      </w:r>
      <w:r w:rsidR="0039617D" w:rsidRPr="002715F2">
        <w:rPr>
          <w:rFonts w:eastAsia="Batang"/>
          <w:lang w:val="fr-FR"/>
        </w:rPr>
        <w:t>ychiatrique</w:t>
      </w:r>
      <w:r w:rsidR="00802342" w:rsidRPr="002715F2">
        <w:rPr>
          <w:rFonts w:eastAsia="Batang"/>
          <w:lang w:val="fr-FR"/>
        </w:rPr>
        <w:t xml:space="preserve"> </w:t>
      </w:r>
      <w:r w:rsidR="002C546D" w:rsidRPr="002715F2">
        <w:rPr>
          <w:rFonts w:eastAsia="Batang"/>
          <w:lang w:val="fr-FR"/>
        </w:rPr>
        <w:t>et</w:t>
      </w:r>
      <w:r w:rsidR="00A84498" w:rsidRPr="002715F2">
        <w:rPr>
          <w:rFonts w:eastAsia="Batang"/>
          <w:lang w:val="fr-FR"/>
        </w:rPr>
        <w:t xml:space="preserve"> </w:t>
      </w:r>
      <w:r w:rsidR="00802342" w:rsidRPr="002715F2">
        <w:rPr>
          <w:rFonts w:eastAsia="Batang"/>
          <w:lang w:val="fr-FR"/>
        </w:rPr>
        <w:t xml:space="preserve">s’adapter </w:t>
      </w:r>
      <w:r w:rsidR="002C546D" w:rsidRPr="002715F2">
        <w:rPr>
          <w:rFonts w:eastAsia="Batang"/>
          <w:lang w:val="fr-FR"/>
        </w:rPr>
        <w:t xml:space="preserve">ainsi </w:t>
      </w:r>
      <w:r w:rsidR="00802342" w:rsidRPr="002715F2">
        <w:rPr>
          <w:rFonts w:eastAsia="Batang"/>
          <w:lang w:val="fr-FR"/>
        </w:rPr>
        <w:t>progressivement à la vie mili</w:t>
      </w:r>
      <w:r w:rsidR="00A84498" w:rsidRPr="002715F2">
        <w:rPr>
          <w:rFonts w:eastAsia="Batang"/>
          <w:lang w:val="fr-FR"/>
        </w:rPr>
        <w:t>t</w:t>
      </w:r>
      <w:r w:rsidR="00802342" w:rsidRPr="002715F2">
        <w:rPr>
          <w:rFonts w:eastAsia="Batang"/>
          <w:lang w:val="fr-FR"/>
        </w:rPr>
        <w:t xml:space="preserve">aire, Dans un </w:t>
      </w:r>
      <w:r w:rsidR="00D50932" w:rsidRPr="002715F2">
        <w:rPr>
          <w:rFonts w:eastAsia="Batang"/>
          <w:lang w:val="fr-FR"/>
        </w:rPr>
        <w:t xml:space="preserve">troisième </w:t>
      </w:r>
      <w:r w:rsidR="00802342" w:rsidRPr="002715F2">
        <w:rPr>
          <w:rFonts w:eastAsia="Batang"/>
          <w:lang w:val="fr-FR"/>
        </w:rPr>
        <w:t xml:space="preserve">temps, les </w:t>
      </w:r>
      <w:r w:rsidR="0039617D" w:rsidRPr="002715F2">
        <w:rPr>
          <w:rFonts w:eastAsia="Batang"/>
          <w:lang w:val="fr-FR"/>
        </w:rPr>
        <w:t>militaires</w:t>
      </w:r>
      <w:r w:rsidR="00802342" w:rsidRPr="002715F2">
        <w:rPr>
          <w:rFonts w:eastAsia="Batang"/>
          <w:lang w:val="fr-FR"/>
        </w:rPr>
        <w:t xml:space="preserve"> qui présentent des tendances suicidaires graves sont </w:t>
      </w:r>
      <w:r w:rsidR="00A84498" w:rsidRPr="002715F2">
        <w:rPr>
          <w:rFonts w:eastAsia="Batang"/>
          <w:lang w:val="fr-FR"/>
        </w:rPr>
        <w:t>identifiés</w:t>
      </w:r>
      <w:r w:rsidR="00802342" w:rsidRPr="002715F2">
        <w:rPr>
          <w:rFonts w:eastAsia="Batang"/>
          <w:lang w:val="fr-FR"/>
        </w:rPr>
        <w:t xml:space="preserve">, et une </w:t>
      </w:r>
      <w:r w:rsidR="0039617D" w:rsidRPr="002715F2">
        <w:rPr>
          <w:rFonts w:eastAsia="Batang"/>
          <w:lang w:val="fr-FR"/>
        </w:rPr>
        <w:t>décision</w:t>
      </w:r>
      <w:r w:rsidR="00802342" w:rsidRPr="002715F2">
        <w:rPr>
          <w:rFonts w:eastAsia="Batang"/>
          <w:lang w:val="fr-FR"/>
        </w:rPr>
        <w:t xml:space="preserve"> est prise quant à leur capacité à servir dans l’armée</w:t>
      </w:r>
      <w:r w:rsidR="00F7371F"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680455" w:rsidRPr="002715F2">
        <w:rPr>
          <w:rFonts w:eastAsia="Batang"/>
          <w:lang w:val="fr-FR" w:eastAsia="ko-KR"/>
        </w:rPr>
        <w:t xml:space="preserve">Réponse aux questions soulevées au </w:t>
      </w:r>
      <w:r w:rsidR="00D50932" w:rsidRPr="002715F2">
        <w:rPr>
          <w:rFonts w:eastAsia="Batang"/>
          <w:lang w:val="fr-FR" w:eastAsia="ko-KR"/>
        </w:rPr>
        <w:t xml:space="preserve">paragraphe </w:t>
      </w:r>
      <w:r w:rsidR="00680455" w:rsidRPr="002715F2">
        <w:rPr>
          <w:rFonts w:eastAsia="Batang"/>
          <w:lang w:val="fr-FR" w:eastAsia="ko-KR"/>
        </w:rPr>
        <w:t>34</w:t>
      </w:r>
    </w:p>
    <w:p w:rsidR="000078DA" w:rsidRPr="002715F2" w:rsidRDefault="00F420C5" w:rsidP="000920C0">
      <w:pPr>
        <w:pStyle w:val="H4G"/>
        <w:tabs>
          <w:tab w:val="left" w:pos="5310"/>
        </w:tabs>
        <w:rPr>
          <w:rFonts w:eastAsia="Batang"/>
          <w:lang w:val="fr-FR" w:eastAsia="ko-KR"/>
        </w:rPr>
      </w:pPr>
      <w:r w:rsidRPr="002715F2">
        <w:rPr>
          <w:rFonts w:eastAsia="Batang"/>
          <w:lang w:val="fr-FR" w:eastAsia="ko-KR"/>
        </w:rPr>
        <w:tab/>
      </w:r>
      <w:r w:rsidRPr="002715F2">
        <w:rPr>
          <w:rFonts w:eastAsia="Batang"/>
          <w:lang w:val="fr-FR" w:eastAsia="ko-KR"/>
        </w:rPr>
        <w:tab/>
      </w:r>
      <w:r w:rsidR="00680455" w:rsidRPr="002715F2">
        <w:rPr>
          <w:rFonts w:eastAsia="Batang"/>
          <w:lang w:val="fr-FR" w:eastAsia="ko-KR"/>
        </w:rPr>
        <w:t xml:space="preserve">Prévention des mauvais traitements dans les établissements </w:t>
      </w:r>
      <w:r w:rsidR="00730B36" w:rsidRPr="002715F2">
        <w:rPr>
          <w:rFonts w:eastAsia="Batang"/>
          <w:lang w:val="fr-FR"/>
        </w:rPr>
        <w:t xml:space="preserve">pénitentiaires </w:t>
      </w:r>
    </w:p>
    <w:p w:rsidR="000078DA" w:rsidRPr="002715F2" w:rsidRDefault="007026FB" w:rsidP="007026FB">
      <w:pPr>
        <w:pStyle w:val="SingleTxtG"/>
        <w:rPr>
          <w:rFonts w:eastAsia="Batang"/>
          <w:lang w:val="fr-FR"/>
        </w:rPr>
      </w:pPr>
      <w:r w:rsidRPr="002715F2">
        <w:rPr>
          <w:rFonts w:eastAsia="Batang"/>
          <w:lang w:val="fr-FR"/>
        </w:rPr>
        <w:t>180.</w:t>
      </w:r>
      <w:r w:rsidRPr="002715F2">
        <w:rPr>
          <w:rFonts w:eastAsia="Batang"/>
          <w:lang w:val="fr-FR"/>
        </w:rPr>
        <w:tab/>
      </w:r>
      <w:r w:rsidR="00802342" w:rsidRPr="002715F2">
        <w:rPr>
          <w:rFonts w:eastAsia="Batang"/>
          <w:lang w:val="fr-FR"/>
        </w:rPr>
        <w:t>Afin de prévenir les mauvais traitements associés à l’utilisation des équipements de protecti</w:t>
      </w:r>
      <w:r w:rsidR="001F4F95" w:rsidRPr="002715F2">
        <w:rPr>
          <w:rFonts w:eastAsia="Batang"/>
          <w:lang w:val="fr-FR"/>
        </w:rPr>
        <w:t>on et à l’imposition de sanctio</w:t>
      </w:r>
      <w:r w:rsidR="00802342" w:rsidRPr="002715F2">
        <w:rPr>
          <w:rFonts w:eastAsia="Batang"/>
          <w:lang w:val="fr-FR"/>
        </w:rPr>
        <w:t>n</w:t>
      </w:r>
      <w:r w:rsidR="001F4F95" w:rsidRPr="002715F2">
        <w:rPr>
          <w:rFonts w:eastAsia="Batang"/>
          <w:lang w:val="fr-FR"/>
        </w:rPr>
        <w:t>s</w:t>
      </w:r>
      <w:r w:rsidR="00802342" w:rsidRPr="002715F2">
        <w:rPr>
          <w:rFonts w:eastAsia="Batang"/>
          <w:lang w:val="fr-FR"/>
        </w:rPr>
        <w:t xml:space="preserve"> disciplinaires dans les établissements </w:t>
      </w:r>
      <w:r w:rsidR="00730B36" w:rsidRPr="002715F2">
        <w:rPr>
          <w:rFonts w:eastAsia="Batang"/>
          <w:lang w:val="fr-FR"/>
        </w:rPr>
        <w:t>pénitentiaires</w:t>
      </w:r>
      <w:r w:rsidR="00310D2A" w:rsidRPr="002715F2">
        <w:rPr>
          <w:rFonts w:eastAsia="Batang"/>
          <w:lang w:val="fr-FR"/>
        </w:rPr>
        <w:t>,</w:t>
      </w:r>
      <w:r w:rsidR="00730B36" w:rsidRPr="002715F2">
        <w:rPr>
          <w:rFonts w:eastAsia="Batang"/>
          <w:lang w:val="fr-FR"/>
        </w:rPr>
        <w:t xml:space="preserve"> </w:t>
      </w:r>
      <w:r w:rsidR="00802342" w:rsidRPr="002715F2">
        <w:rPr>
          <w:rFonts w:eastAsia="Batang"/>
          <w:lang w:val="fr-FR"/>
        </w:rPr>
        <w:t xml:space="preserve">les </w:t>
      </w:r>
      <w:r w:rsidR="005F1337" w:rsidRPr="002715F2">
        <w:rPr>
          <w:rFonts w:eastAsia="Batang"/>
          <w:lang w:val="fr-FR"/>
        </w:rPr>
        <w:t>lois pertinentes</w:t>
      </w:r>
      <w:r w:rsidR="001F4F95" w:rsidRPr="002715F2">
        <w:rPr>
          <w:rFonts w:eastAsia="Batang"/>
          <w:lang w:val="fr-FR"/>
        </w:rPr>
        <w:t xml:space="preserve"> </w:t>
      </w:r>
      <w:r w:rsidR="005F1337" w:rsidRPr="002715F2">
        <w:rPr>
          <w:rFonts w:eastAsia="Batang"/>
          <w:lang w:val="fr-FR"/>
        </w:rPr>
        <w:t>encadrent</w:t>
      </w:r>
      <w:r w:rsidR="00802342" w:rsidRPr="002715F2">
        <w:rPr>
          <w:rFonts w:eastAsia="Batang"/>
          <w:lang w:val="fr-FR"/>
        </w:rPr>
        <w:t xml:space="preserve"> les conditions d’utilisation </w:t>
      </w:r>
      <w:r w:rsidR="001F4F95" w:rsidRPr="002715F2">
        <w:rPr>
          <w:rFonts w:eastAsia="Batang"/>
          <w:lang w:val="fr-FR"/>
        </w:rPr>
        <w:t xml:space="preserve">desdits équipements, </w:t>
      </w:r>
      <w:r w:rsidR="00802342" w:rsidRPr="002715F2">
        <w:rPr>
          <w:rFonts w:eastAsia="Batang"/>
          <w:lang w:val="fr-FR"/>
        </w:rPr>
        <w:t>interdi</w:t>
      </w:r>
      <w:r w:rsidR="005F1337" w:rsidRPr="002715F2">
        <w:rPr>
          <w:rFonts w:eastAsia="Batang"/>
          <w:lang w:val="fr-FR"/>
        </w:rPr>
        <w:t xml:space="preserve">sent </w:t>
      </w:r>
      <w:r w:rsidR="001F4F95" w:rsidRPr="002715F2">
        <w:rPr>
          <w:rFonts w:eastAsia="Batang"/>
          <w:lang w:val="fr-FR"/>
        </w:rPr>
        <w:t>d</w:t>
      </w:r>
      <w:r w:rsidR="005F1337" w:rsidRPr="002715F2">
        <w:rPr>
          <w:rFonts w:eastAsia="Batang"/>
          <w:lang w:val="fr-FR"/>
        </w:rPr>
        <w:t>’utiliser</w:t>
      </w:r>
      <w:r w:rsidR="001F4F95" w:rsidRPr="002715F2">
        <w:rPr>
          <w:rFonts w:eastAsia="Batang"/>
          <w:lang w:val="fr-FR"/>
        </w:rPr>
        <w:t xml:space="preserve"> ce matériel</w:t>
      </w:r>
      <w:r w:rsidR="005F1337" w:rsidRPr="002715F2">
        <w:rPr>
          <w:rFonts w:eastAsia="Batang"/>
          <w:lang w:val="fr-FR"/>
        </w:rPr>
        <w:t xml:space="preserve"> </w:t>
      </w:r>
      <w:r w:rsidR="00802342" w:rsidRPr="002715F2">
        <w:rPr>
          <w:rFonts w:eastAsia="Batang"/>
          <w:lang w:val="fr-FR"/>
        </w:rPr>
        <w:t xml:space="preserve">comme </w:t>
      </w:r>
      <w:r w:rsidR="005F1337" w:rsidRPr="002715F2">
        <w:rPr>
          <w:rFonts w:eastAsia="Batang"/>
          <w:lang w:val="fr-FR"/>
        </w:rPr>
        <w:t>instrument</w:t>
      </w:r>
      <w:r w:rsidR="00802342" w:rsidRPr="002715F2">
        <w:rPr>
          <w:rFonts w:eastAsia="Batang"/>
          <w:lang w:val="fr-FR"/>
        </w:rPr>
        <w:t xml:space="preserve"> de sanction disciplinaire</w:t>
      </w:r>
      <w:r w:rsidR="001F4F95" w:rsidRPr="002715F2">
        <w:rPr>
          <w:rFonts w:eastAsia="Batang"/>
          <w:lang w:val="fr-FR"/>
        </w:rPr>
        <w:t>, fixent l</w:t>
      </w:r>
      <w:r w:rsidR="005F1337" w:rsidRPr="002715F2">
        <w:rPr>
          <w:rFonts w:eastAsia="Batang"/>
          <w:lang w:val="fr-FR"/>
        </w:rPr>
        <w:t>es</w:t>
      </w:r>
      <w:r w:rsidR="00802342" w:rsidRPr="002715F2">
        <w:rPr>
          <w:rFonts w:eastAsia="Batang"/>
          <w:lang w:val="fr-FR"/>
        </w:rPr>
        <w:t xml:space="preserve"> motifs </w:t>
      </w:r>
      <w:r w:rsidR="005F1337" w:rsidRPr="002715F2">
        <w:rPr>
          <w:rFonts w:eastAsia="Batang"/>
          <w:lang w:val="fr-FR"/>
        </w:rPr>
        <w:t>justifiant l’imposition de</w:t>
      </w:r>
      <w:r w:rsidR="001F4F95" w:rsidRPr="002715F2">
        <w:rPr>
          <w:rFonts w:eastAsia="Batang"/>
          <w:lang w:val="fr-FR"/>
        </w:rPr>
        <w:t xml:space="preserve"> sanctions disciplinaires et interdisent d’imposer plusieurs fois des </w:t>
      </w:r>
      <w:r w:rsidR="00802342" w:rsidRPr="002715F2">
        <w:rPr>
          <w:rFonts w:eastAsia="Batang"/>
          <w:lang w:val="fr-FR"/>
        </w:rPr>
        <w:t>sanction</w:t>
      </w:r>
      <w:r w:rsidR="001F4F95" w:rsidRPr="002715F2">
        <w:rPr>
          <w:rFonts w:eastAsia="Batang"/>
          <w:lang w:val="fr-FR"/>
        </w:rPr>
        <w:t>s</w:t>
      </w:r>
      <w:r w:rsidR="00802342" w:rsidRPr="002715F2">
        <w:rPr>
          <w:rFonts w:eastAsia="Batang"/>
          <w:lang w:val="fr-FR"/>
        </w:rPr>
        <w:t xml:space="preserve"> disciplinaire</w:t>
      </w:r>
      <w:r w:rsidR="001F4F95" w:rsidRPr="002715F2">
        <w:rPr>
          <w:rFonts w:eastAsia="Batang"/>
          <w:lang w:val="fr-FR"/>
        </w:rPr>
        <w:t>s</w:t>
      </w:r>
      <w:r w:rsidR="00802342" w:rsidRPr="002715F2">
        <w:rPr>
          <w:rFonts w:eastAsia="Batang"/>
          <w:lang w:val="fr-FR"/>
        </w:rPr>
        <w:t xml:space="preserve"> pour le</w:t>
      </w:r>
      <w:r w:rsidR="005F1337" w:rsidRPr="002715F2">
        <w:rPr>
          <w:rFonts w:eastAsia="Batang"/>
          <w:lang w:val="fr-FR"/>
        </w:rPr>
        <w:t>s</w:t>
      </w:r>
      <w:r w:rsidR="00802342" w:rsidRPr="002715F2">
        <w:rPr>
          <w:rFonts w:eastAsia="Batang"/>
          <w:lang w:val="fr-FR"/>
        </w:rPr>
        <w:t xml:space="preserve"> même </w:t>
      </w:r>
      <w:r w:rsidR="005F1337" w:rsidRPr="002715F2">
        <w:rPr>
          <w:rFonts w:eastAsia="Batang"/>
          <w:lang w:val="fr-FR"/>
        </w:rPr>
        <w:t>faits</w:t>
      </w:r>
      <w:r w:rsidR="001F4F95" w:rsidRPr="002715F2">
        <w:rPr>
          <w:rFonts w:eastAsia="Batang"/>
          <w:lang w:val="fr-FR"/>
        </w:rPr>
        <w:t xml:space="preserve">. Ces lois sont décrites dans le troisième rapport sur le Pacte </w:t>
      </w:r>
      <w:r w:rsidR="008A36A5" w:rsidRPr="002715F2">
        <w:rPr>
          <w:lang w:val="fr-FR"/>
        </w:rPr>
        <w:t>international relatif aux droits civils et politiques</w:t>
      </w:r>
      <w:r w:rsidR="00AA7A36" w:rsidRPr="002715F2">
        <w:rPr>
          <w:lang w:val="fr-FR"/>
        </w:rPr>
        <w:t xml:space="preserve"> </w:t>
      </w:r>
      <w:r w:rsidR="001F4F95" w:rsidRPr="002715F2">
        <w:rPr>
          <w:rFonts w:eastAsia="Batang"/>
          <w:lang w:val="fr-FR"/>
        </w:rPr>
        <w:t>(</w:t>
      </w:r>
      <w:hyperlink r:id="rId8" w:tgtFrame="_blank" w:history="1">
        <w:r w:rsidR="001F4F95" w:rsidRPr="002715F2">
          <w:rPr>
            <w:rFonts w:eastAsia="Batang"/>
            <w:lang w:val="fr-FR"/>
          </w:rPr>
          <w:t>CCPR/C/KOR/2005/3</w:t>
        </w:r>
      </w:hyperlink>
      <w:r w:rsidR="001F4F95" w:rsidRPr="002715F2">
        <w:rPr>
          <w:rFonts w:eastAsia="Batang"/>
          <w:lang w:val="fr-FR"/>
        </w:rPr>
        <w:t>, par. 170 à 177).</w:t>
      </w:r>
      <w:r w:rsidR="005F1337" w:rsidRPr="002715F2">
        <w:rPr>
          <w:rFonts w:eastAsia="Batang"/>
          <w:lang w:val="fr-FR"/>
        </w:rPr>
        <w:t xml:space="preserve"> </w:t>
      </w:r>
    </w:p>
    <w:p w:rsidR="000078DA" w:rsidRPr="002715F2" w:rsidRDefault="007026FB" w:rsidP="007026FB">
      <w:pPr>
        <w:pStyle w:val="SingleTxtG"/>
        <w:rPr>
          <w:rFonts w:eastAsia="Batang"/>
          <w:lang w:val="fr-FR"/>
        </w:rPr>
      </w:pPr>
      <w:r w:rsidRPr="002715F2">
        <w:rPr>
          <w:rFonts w:eastAsia="Batang"/>
          <w:lang w:val="fr-FR"/>
        </w:rPr>
        <w:t>181.</w:t>
      </w:r>
      <w:r w:rsidRPr="002715F2">
        <w:rPr>
          <w:rFonts w:eastAsia="Batang"/>
          <w:lang w:val="fr-FR"/>
        </w:rPr>
        <w:tab/>
      </w:r>
      <w:r w:rsidR="00A25C62" w:rsidRPr="002715F2">
        <w:rPr>
          <w:rFonts w:eastAsia="Batang"/>
          <w:lang w:val="fr-FR"/>
        </w:rPr>
        <w:t>L</w:t>
      </w:r>
      <w:r w:rsidR="00204684" w:rsidRPr="002715F2">
        <w:rPr>
          <w:lang w:val="fr-FR"/>
        </w:rPr>
        <w:t xml:space="preserve">a loi relative à l’exécution des </w:t>
      </w:r>
      <w:r w:rsidR="003D6E5E" w:rsidRPr="002715F2">
        <w:rPr>
          <w:lang w:val="fr-FR"/>
        </w:rPr>
        <w:t>sanctions pénales</w:t>
      </w:r>
      <w:r w:rsidR="00204684" w:rsidRPr="002715F2">
        <w:rPr>
          <w:lang w:val="fr-FR"/>
        </w:rPr>
        <w:t xml:space="preserve"> </w:t>
      </w:r>
      <w:r w:rsidR="00A25C62" w:rsidRPr="002715F2">
        <w:rPr>
          <w:lang w:val="fr-FR"/>
        </w:rPr>
        <w:t xml:space="preserve">et au </w:t>
      </w:r>
      <w:r w:rsidR="00A25C62" w:rsidRPr="002715F2">
        <w:rPr>
          <w:rFonts w:eastAsia="Batang"/>
          <w:lang w:val="fr-FR"/>
        </w:rPr>
        <w:t xml:space="preserve">traitement des détenus, portant refonte de la loi sur l’exécution des </w:t>
      </w:r>
      <w:r w:rsidR="00DF6BD7" w:rsidRPr="002715F2">
        <w:rPr>
          <w:rFonts w:eastAsia="Batang"/>
          <w:lang w:val="fr-FR"/>
        </w:rPr>
        <w:t>sanctions pénales</w:t>
      </w:r>
      <w:r w:rsidR="00A25C62" w:rsidRPr="002715F2">
        <w:rPr>
          <w:rFonts w:eastAsia="Batang"/>
          <w:lang w:val="fr-FR"/>
        </w:rPr>
        <w:t>,</w:t>
      </w:r>
      <w:r w:rsidR="00A25C62" w:rsidRPr="002715F2">
        <w:rPr>
          <w:lang w:val="fr-FR"/>
        </w:rPr>
        <w:t xml:space="preserve"> a été adoptée le 21</w:t>
      </w:r>
      <w:r w:rsidR="00B30942" w:rsidRPr="002715F2">
        <w:rPr>
          <w:lang w:val="fr-FR"/>
        </w:rPr>
        <w:t> </w:t>
      </w:r>
      <w:r w:rsidR="00A25C62" w:rsidRPr="002715F2">
        <w:rPr>
          <w:lang w:val="fr-FR"/>
        </w:rPr>
        <w:t>décembre 2007</w:t>
      </w:r>
      <w:r w:rsidR="00204684" w:rsidRPr="002715F2">
        <w:rPr>
          <w:lang w:val="fr-FR"/>
        </w:rPr>
        <w:t xml:space="preserve"> </w:t>
      </w:r>
      <w:r w:rsidR="009271C9" w:rsidRPr="002715F2">
        <w:rPr>
          <w:rFonts w:eastAsia="Batang"/>
          <w:lang w:val="fr-FR"/>
        </w:rPr>
        <w:t xml:space="preserve">afin de prévenir toutes les formes de mauvais traitements dans les établissements </w:t>
      </w:r>
      <w:r w:rsidR="00AA7A36" w:rsidRPr="002715F2">
        <w:rPr>
          <w:rFonts w:eastAsia="Batang"/>
          <w:lang w:val="fr-FR"/>
        </w:rPr>
        <w:t xml:space="preserve">pénitentiaires. </w:t>
      </w:r>
      <w:r w:rsidR="009271C9" w:rsidRPr="002715F2">
        <w:rPr>
          <w:rFonts w:eastAsia="Batang"/>
          <w:lang w:val="fr-FR"/>
        </w:rPr>
        <w:t xml:space="preserve">La teneur principale de cette </w:t>
      </w:r>
      <w:r w:rsidR="00A25C62" w:rsidRPr="002715F2">
        <w:rPr>
          <w:lang w:val="fr-FR"/>
        </w:rPr>
        <w:t>refonte</w:t>
      </w:r>
      <w:r w:rsidR="00A25C62" w:rsidRPr="002715F2">
        <w:rPr>
          <w:rFonts w:eastAsia="Batang"/>
          <w:lang w:val="fr-FR"/>
        </w:rPr>
        <w:t xml:space="preserve"> </w:t>
      </w:r>
      <w:r w:rsidR="00B30942" w:rsidRPr="002715F2">
        <w:rPr>
          <w:rFonts w:eastAsia="Batang"/>
          <w:lang w:val="fr-FR"/>
        </w:rPr>
        <w:t xml:space="preserve">est décrite dans le </w:t>
      </w:r>
      <w:r w:rsidR="00AA7A36" w:rsidRPr="002715F2">
        <w:rPr>
          <w:rFonts w:eastAsia="Batang"/>
          <w:lang w:val="fr-FR"/>
        </w:rPr>
        <w:t xml:space="preserve">quatrième </w:t>
      </w:r>
      <w:r w:rsidR="009271C9" w:rsidRPr="002715F2">
        <w:rPr>
          <w:rFonts w:eastAsia="Batang"/>
          <w:lang w:val="fr-FR"/>
        </w:rPr>
        <w:t xml:space="preserve">rapport </w:t>
      </w:r>
      <w:r w:rsidR="00A25C62" w:rsidRPr="002715F2">
        <w:rPr>
          <w:rFonts w:eastAsia="Batang"/>
          <w:lang w:val="fr-FR"/>
        </w:rPr>
        <w:t>sur le P</w:t>
      </w:r>
      <w:r w:rsidR="009271C9" w:rsidRPr="002715F2">
        <w:rPr>
          <w:rFonts w:eastAsia="Batang"/>
          <w:lang w:val="fr-FR"/>
        </w:rPr>
        <w:t>acte</w:t>
      </w:r>
      <w:r w:rsidR="00F7371F" w:rsidRPr="002715F2">
        <w:rPr>
          <w:rFonts w:eastAsia="Batang"/>
          <w:lang w:val="fr-FR"/>
        </w:rPr>
        <w:t xml:space="preserve"> </w:t>
      </w:r>
      <w:r w:rsidR="008A36A5" w:rsidRPr="002715F2">
        <w:rPr>
          <w:lang w:val="fr-FR"/>
        </w:rPr>
        <w:t>international relatif aux droits civils et politiques</w:t>
      </w:r>
      <w:r w:rsidR="00AA7A36" w:rsidRPr="002715F2">
        <w:rPr>
          <w:rFonts w:eastAsia="Batang"/>
          <w:lang w:val="fr-FR"/>
        </w:rPr>
        <w:t xml:space="preserve"> </w:t>
      </w:r>
      <w:r w:rsidR="00F7371F" w:rsidRPr="002715F2">
        <w:rPr>
          <w:rFonts w:eastAsia="Batang"/>
          <w:lang w:val="fr-FR"/>
        </w:rPr>
        <w:t>(CCPR/C/KOR/4</w:t>
      </w:r>
      <w:r w:rsidR="009271C9" w:rsidRPr="002715F2">
        <w:rPr>
          <w:rFonts w:eastAsia="Batang"/>
          <w:lang w:val="fr-FR"/>
        </w:rPr>
        <w:t>,</w:t>
      </w:r>
      <w:r w:rsidR="00F7371F" w:rsidRPr="002715F2">
        <w:rPr>
          <w:rFonts w:eastAsia="Batang"/>
          <w:lang w:val="fr-FR"/>
        </w:rPr>
        <w:t xml:space="preserve"> </w:t>
      </w:r>
      <w:r w:rsidR="00BD1A84" w:rsidRPr="002715F2">
        <w:rPr>
          <w:rFonts w:eastAsia="Batang"/>
          <w:lang w:val="fr-FR"/>
        </w:rPr>
        <w:t>par. </w:t>
      </w:r>
      <w:r w:rsidR="00F7371F" w:rsidRPr="002715F2">
        <w:rPr>
          <w:rFonts w:eastAsia="Batang"/>
          <w:lang w:val="fr-FR"/>
        </w:rPr>
        <w:t>121).</w:t>
      </w:r>
    </w:p>
    <w:p w:rsidR="000078DA" w:rsidRPr="002715F2" w:rsidRDefault="007026FB" w:rsidP="007026FB">
      <w:pPr>
        <w:pStyle w:val="SingleTxtG"/>
        <w:rPr>
          <w:rFonts w:eastAsia="Batang"/>
          <w:lang w:val="fr-FR"/>
        </w:rPr>
      </w:pPr>
      <w:r w:rsidRPr="002715F2">
        <w:rPr>
          <w:rFonts w:eastAsia="Batang"/>
          <w:lang w:val="fr-FR"/>
        </w:rPr>
        <w:t>182.</w:t>
      </w:r>
      <w:r w:rsidRPr="002715F2">
        <w:rPr>
          <w:rFonts w:eastAsia="Batang"/>
          <w:lang w:val="fr-FR"/>
        </w:rPr>
        <w:tab/>
      </w:r>
      <w:r w:rsidR="00A25C62" w:rsidRPr="002715F2">
        <w:rPr>
          <w:rFonts w:eastAsia="Batang"/>
          <w:lang w:val="fr-FR"/>
        </w:rPr>
        <w:t>L</w:t>
      </w:r>
      <w:r w:rsidR="00A25C62" w:rsidRPr="002715F2">
        <w:rPr>
          <w:lang w:val="fr-FR"/>
        </w:rPr>
        <w:t xml:space="preserve">a loi relative à l’exécution des sanctions pénales dans les forces armées et au </w:t>
      </w:r>
      <w:r w:rsidR="00A25C62" w:rsidRPr="002715F2">
        <w:rPr>
          <w:rFonts w:eastAsia="Batang"/>
          <w:lang w:val="fr-FR"/>
        </w:rPr>
        <w:t>traitement des détenus militaires</w:t>
      </w:r>
      <w:r w:rsidR="00DF6BD7" w:rsidRPr="002715F2">
        <w:rPr>
          <w:rFonts w:eastAsia="Batang"/>
          <w:lang w:val="fr-FR"/>
        </w:rPr>
        <w:t>, portant refonte de la loi sur l’exécution des sanctions pénales dans les forces armées,</w:t>
      </w:r>
      <w:r w:rsidR="00A25C62" w:rsidRPr="002715F2">
        <w:rPr>
          <w:rFonts w:eastAsia="Batang"/>
          <w:i/>
          <w:lang w:val="fr-FR"/>
        </w:rPr>
        <w:t xml:space="preserve"> </w:t>
      </w:r>
      <w:r w:rsidR="00DF6BD7" w:rsidRPr="002715F2">
        <w:rPr>
          <w:rFonts w:eastAsia="Batang"/>
          <w:lang w:val="fr-FR"/>
        </w:rPr>
        <w:t xml:space="preserve">a été </w:t>
      </w:r>
      <w:r w:rsidR="0039617D" w:rsidRPr="002715F2">
        <w:rPr>
          <w:rFonts w:eastAsia="Batang"/>
          <w:lang w:val="fr-FR"/>
        </w:rPr>
        <w:t>adoptée</w:t>
      </w:r>
      <w:r w:rsidR="00DF6BD7" w:rsidRPr="002715F2">
        <w:rPr>
          <w:rFonts w:eastAsia="Batang"/>
          <w:lang w:val="fr-FR"/>
        </w:rPr>
        <w:t xml:space="preserve"> le 2</w:t>
      </w:r>
      <w:r w:rsidR="00B30942" w:rsidRPr="002715F2">
        <w:rPr>
          <w:rFonts w:eastAsia="Batang"/>
          <w:lang w:val="fr-FR"/>
        </w:rPr>
        <w:t> </w:t>
      </w:r>
      <w:r w:rsidR="00DF6BD7" w:rsidRPr="002715F2">
        <w:rPr>
          <w:rFonts w:eastAsia="Batang"/>
          <w:lang w:val="fr-FR"/>
        </w:rPr>
        <w:t>novembre</w:t>
      </w:r>
      <w:r w:rsidR="000078DA" w:rsidRPr="002715F2">
        <w:rPr>
          <w:rFonts w:eastAsia="Batang"/>
          <w:lang w:val="fr-FR"/>
        </w:rPr>
        <w:t xml:space="preserve"> 2009 </w:t>
      </w:r>
      <w:r w:rsidR="00DF6BD7" w:rsidRPr="002715F2">
        <w:rPr>
          <w:rFonts w:eastAsia="Batang"/>
          <w:lang w:val="fr-FR"/>
        </w:rPr>
        <w:t xml:space="preserve">afin de prévenir toutes les formes de mauvais traitements dans les établissements </w:t>
      </w:r>
      <w:r w:rsidR="00AD696F" w:rsidRPr="002715F2">
        <w:rPr>
          <w:rFonts w:eastAsia="Batang"/>
          <w:lang w:val="fr-FR"/>
        </w:rPr>
        <w:t>pénitentiaires</w:t>
      </w:r>
      <w:r w:rsidR="00AD2CD0" w:rsidRPr="002715F2">
        <w:rPr>
          <w:rFonts w:eastAsia="Batang"/>
          <w:lang w:val="fr-FR"/>
        </w:rPr>
        <w:t xml:space="preserve"> </w:t>
      </w:r>
      <w:r w:rsidR="00DF6BD7" w:rsidRPr="002715F2">
        <w:rPr>
          <w:rFonts w:eastAsia="Batang"/>
          <w:lang w:val="fr-FR"/>
        </w:rPr>
        <w:t>militaires</w:t>
      </w:r>
      <w:r w:rsidR="000078DA" w:rsidRPr="002715F2">
        <w:rPr>
          <w:rFonts w:eastAsia="Batang"/>
          <w:lang w:val="fr-FR"/>
        </w:rPr>
        <w:t xml:space="preserve">. </w:t>
      </w:r>
      <w:r w:rsidR="00DF6BD7" w:rsidRPr="002715F2">
        <w:rPr>
          <w:rFonts w:eastAsia="Batang"/>
          <w:lang w:val="fr-FR"/>
        </w:rPr>
        <w:t>Cette refonte a permis de diversifier les types de sanctions disciplinaires</w:t>
      </w:r>
      <w:r w:rsidR="00B30942" w:rsidRPr="002715F2">
        <w:rPr>
          <w:rFonts w:eastAsia="Batang"/>
          <w:lang w:val="fr-FR"/>
        </w:rPr>
        <w:t xml:space="preserve"> autorisés</w:t>
      </w:r>
      <w:r w:rsidR="0080315C" w:rsidRPr="002715F2">
        <w:rPr>
          <w:rFonts w:eastAsia="Batang"/>
          <w:lang w:val="fr-FR"/>
        </w:rPr>
        <w:t>,</w:t>
      </w:r>
      <w:r w:rsidR="00DF6BD7" w:rsidRPr="002715F2">
        <w:rPr>
          <w:rFonts w:eastAsia="Batang"/>
          <w:lang w:val="fr-FR"/>
        </w:rPr>
        <w:t xml:space="preserve"> </w:t>
      </w:r>
      <w:r w:rsidR="00B30942" w:rsidRPr="002715F2">
        <w:rPr>
          <w:rFonts w:eastAsia="Batang"/>
          <w:lang w:val="fr-FR"/>
        </w:rPr>
        <w:t>de</w:t>
      </w:r>
      <w:r w:rsidR="00DF6BD7" w:rsidRPr="002715F2">
        <w:rPr>
          <w:rFonts w:eastAsia="Batang"/>
          <w:lang w:val="fr-FR"/>
        </w:rPr>
        <w:t xml:space="preserve"> </w:t>
      </w:r>
      <w:r w:rsidR="00AA7AA0" w:rsidRPr="002715F2">
        <w:rPr>
          <w:rFonts w:eastAsia="Batang"/>
          <w:lang w:val="fr-FR"/>
        </w:rPr>
        <w:t>limit</w:t>
      </w:r>
      <w:r w:rsidR="00B30942" w:rsidRPr="002715F2">
        <w:rPr>
          <w:rFonts w:eastAsia="Batang"/>
          <w:lang w:val="fr-FR"/>
        </w:rPr>
        <w:t xml:space="preserve">er </w:t>
      </w:r>
      <w:r w:rsidR="00DF6BD7" w:rsidRPr="002715F2">
        <w:rPr>
          <w:rFonts w:eastAsia="Batang"/>
          <w:lang w:val="fr-FR"/>
        </w:rPr>
        <w:t xml:space="preserve">la </w:t>
      </w:r>
      <w:r w:rsidR="0080315C" w:rsidRPr="002715F2">
        <w:rPr>
          <w:rFonts w:eastAsia="Batang"/>
          <w:lang w:val="fr-FR"/>
        </w:rPr>
        <w:t xml:space="preserve">durée maximale de la </w:t>
      </w:r>
      <w:r w:rsidR="00DF6BD7" w:rsidRPr="002715F2">
        <w:rPr>
          <w:rFonts w:eastAsia="Batang"/>
          <w:lang w:val="fr-FR"/>
        </w:rPr>
        <w:t xml:space="preserve">mise à l’isolement </w:t>
      </w:r>
      <w:r w:rsidR="00B30942" w:rsidRPr="002715F2">
        <w:rPr>
          <w:rFonts w:eastAsia="Batang"/>
          <w:lang w:val="fr-FR"/>
        </w:rPr>
        <w:t xml:space="preserve">à </w:t>
      </w:r>
      <w:r w:rsidR="00E5009D" w:rsidRPr="002715F2">
        <w:rPr>
          <w:rFonts w:eastAsia="Batang"/>
          <w:lang w:val="fr-FR"/>
        </w:rPr>
        <w:t xml:space="preserve">trente </w:t>
      </w:r>
      <w:r w:rsidR="00B30942" w:rsidRPr="002715F2">
        <w:rPr>
          <w:rFonts w:eastAsia="Batang"/>
          <w:lang w:val="fr-FR"/>
        </w:rPr>
        <w:t xml:space="preserve">jours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94)</w:t>
      </w:r>
      <w:r w:rsidR="00B30942" w:rsidRPr="002715F2">
        <w:rPr>
          <w:rFonts w:eastAsia="Batang"/>
          <w:lang w:val="fr-FR"/>
        </w:rPr>
        <w:t xml:space="preserve"> et d’</w:t>
      </w:r>
      <w:r w:rsidR="00DF6BD7" w:rsidRPr="002715F2">
        <w:rPr>
          <w:rFonts w:eastAsia="Batang"/>
          <w:lang w:val="fr-FR"/>
        </w:rPr>
        <w:t>impos</w:t>
      </w:r>
      <w:r w:rsidR="00B30942" w:rsidRPr="002715F2">
        <w:rPr>
          <w:rFonts w:eastAsia="Batang"/>
          <w:lang w:val="fr-FR"/>
        </w:rPr>
        <w:t>er</w:t>
      </w:r>
      <w:r w:rsidR="00DF6BD7" w:rsidRPr="002715F2">
        <w:rPr>
          <w:rFonts w:eastAsia="Batang"/>
          <w:lang w:val="fr-FR"/>
        </w:rPr>
        <w:t xml:space="preserve"> la </w:t>
      </w:r>
      <w:r w:rsidR="008614E2" w:rsidRPr="002715F2">
        <w:rPr>
          <w:rFonts w:eastAsia="Batang"/>
          <w:lang w:val="fr-FR"/>
        </w:rPr>
        <w:t>participation</w:t>
      </w:r>
      <w:r w:rsidR="00DF6BD7" w:rsidRPr="002715F2">
        <w:rPr>
          <w:rFonts w:eastAsia="Batang"/>
          <w:lang w:val="fr-FR"/>
        </w:rPr>
        <w:t xml:space="preserve"> d’experts extérieurs </w:t>
      </w:r>
      <w:r w:rsidR="00B30942" w:rsidRPr="002715F2">
        <w:rPr>
          <w:rFonts w:eastAsia="Batang"/>
          <w:lang w:val="fr-FR"/>
        </w:rPr>
        <w:t>au sein de</w:t>
      </w:r>
      <w:r w:rsidR="00DF6BD7" w:rsidRPr="002715F2">
        <w:rPr>
          <w:rFonts w:eastAsia="Batang"/>
          <w:lang w:val="fr-FR"/>
        </w:rPr>
        <w:t xml:space="preserve"> la </w:t>
      </w:r>
      <w:r w:rsidR="00B30942" w:rsidRPr="002715F2">
        <w:rPr>
          <w:rFonts w:eastAsia="Batang"/>
          <w:lang w:val="fr-FR"/>
        </w:rPr>
        <w:t>C</w:t>
      </w:r>
      <w:r w:rsidR="00DF6BD7" w:rsidRPr="002715F2">
        <w:rPr>
          <w:rFonts w:eastAsia="Batang"/>
          <w:lang w:val="fr-FR"/>
        </w:rPr>
        <w:t xml:space="preserve">ommission de discipline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97</w:t>
      </w:r>
      <w:r w:rsidR="00DF6BD7"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2).</w:t>
      </w:r>
      <w:r w:rsidR="00AA7AA0" w:rsidRPr="002715F2">
        <w:rPr>
          <w:rFonts w:eastAsia="Batang"/>
          <w:lang w:val="fr-FR"/>
        </w:rPr>
        <w:t xml:space="preserve"> </w:t>
      </w:r>
      <w:r w:rsidR="00B30942" w:rsidRPr="002715F2">
        <w:rPr>
          <w:rFonts w:eastAsia="Batang"/>
          <w:lang w:val="fr-FR"/>
        </w:rPr>
        <w:t>Par ailleurs</w:t>
      </w:r>
      <w:r w:rsidR="0080315C" w:rsidRPr="002715F2">
        <w:rPr>
          <w:rFonts w:eastAsia="Batang"/>
          <w:lang w:val="fr-FR"/>
        </w:rPr>
        <w:t>,</w:t>
      </w:r>
      <w:r w:rsidR="00AA7AA0" w:rsidRPr="002715F2">
        <w:rPr>
          <w:rFonts w:eastAsia="Batang"/>
          <w:lang w:val="fr-FR"/>
        </w:rPr>
        <w:t xml:space="preserve"> </w:t>
      </w:r>
      <w:r w:rsidR="0080315C" w:rsidRPr="002715F2">
        <w:rPr>
          <w:rFonts w:eastAsia="Batang"/>
          <w:lang w:val="fr-FR"/>
        </w:rPr>
        <w:t xml:space="preserve">le </w:t>
      </w:r>
      <w:r w:rsidR="0080315C" w:rsidRPr="002715F2">
        <w:rPr>
          <w:lang w:val="fr-FR"/>
        </w:rPr>
        <w:t>décret d’application de cette loi</w:t>
      </w:r>
      <w:r w:rsidR="00B30942" w:rsidRPr="002715F2">
        <w:rPr>
          <w:rFonts w:eastAsia="Batang"/>
          <w:lang w:val="fr-FR"/>
        </w:rPr>
        <w:t>, modifié le 3 </w:t>
      </w:r>
      <w:r w:rsidR="00AA7AA0" w:rsidRPr="002715F2">
        <w:rPr>
          <w:rFonts w:eastAsia="Batang"/>
          <w:lang w:val="fr-FR"/>
        </w:rPr>
        <w:t>mai 2010, prévoit que l’utilisation des équipements de protection à des fins autres que la surveillance des détenus doit être documentée</w:t>
      </w:r>
      <w:r w:rsidR="0080315C" w:rsidRPr="002715F2">
        <w:rPr>
          <w:rFonts w:eastAsia="Batang"/>
          <w:lang w:val="fr-FR"/>
        </w:rPr>
        <w:t xml:space="preserve"> </w:t>
      </w:r>
      <w:r w:rsidR="000078DA" w:rsidRPr="002715F2">
        <w:rPr>
          <w:rFonts w:eastAsia="Batang"/>
          <w:lang w:val="fr-FR"/>
        </w:rPr>
        <w:t>(</w:t>
      </w:r>
      <w:r w:rsidR="00BD1A84" w:rsidRPr="002715F2">
        <w:rPr>
          <w:rFonts w:eastAsia="Batang"/>
          <w:lang w:val="fr-FR"/>
        </w:rPr>
        <w:t>art. </w:t>
      </w:r>
      <w:r w:rsidR="00FE7C6A" w:rsidRPr="002715F2">
        <w:rPr>
          <w:rFonts w:eastAsia="Batang"/>
          <w:lang w:val="fr-FR"/>
        </w:rPr>
        <w:t xml:space="preserve">134) </w:t>
      </w:r>
      <w:r w:rsidR="0080315C" w:rsidRPr="002715F2">
        <w:rPr>
          <w:rFonts w:eastAsia="Batang"/>
          <w:lang w:val="fr-FR"/>
        </w:rPr>
        <w:t xml:space="preserve">afin </w:t>
      </w:r>
      <w:r w:rsidR="00994007" w:rsidRPr="002715F2">
        <w:rPr>
          <w:rFonts w:eastAsia="Batang"/>
          <w:lang w:val="fr-FR"/>
        </w:rPr>
        <w:t>qu’elle</w:t>
      </w:r>
      <w:r w:rsidR="0080315C" w:rsidRPr="002715F2">
        <w:rPr>
          <w:rFonts w:eastAsia="Batang"/>
          <w:lang w:val="fr-FR"/>
        </w:rPr>
        <w:t xml:space="preserve"> soit strictement encadrée</w:t>
      </w:r>
      <w:r w:rsidR="00F7371F"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80315C" w:rsidRPr="002715F2">
        <w:rPr>
          <w:rFonts w:eastAsia="Batang"/>
          <w:lang w:val="fr-FR" w:eastAsia="ko-KR"/>
        </w:rPr>
        <w:t>Utilisation des équipements de protection et imposition de sanctions disciplinaires</w:t>
      </w:r>
    </w:p>
    <w:p w:rsidR="000078DA" w:rsidRPr="002715F2" w:rsidRDefault="007026FB" w:rsidP="007026FB">
      <w:pPr>
        <w:pStyle w:val="SingleTxtG"/>
        <w:rPr>
          <w:rFonts w:eastAsia="Batang"/>
          <w:lang w:val="fr-FR"/>
        </w:rPr>
      </w:pPr>
      <w:r w:rsidRPr="002715F2">
        <w:rPr>
          <w:rFonts w:eastAsia="Batang"/>
          <w:lang w:val="fr-FR"/>
        </w:rPr>
        <w:t>183.</w:t>
      </w:r>
      <w:r w:rsidRPr="002715F2">
        <w:rPr>
          <w:rFonts w:eastAsia="Batang"/>
          <w:lang w:val="fr-FR"/>
        </w:rPr>
        <w:tab/>
      </w:r>
      <w:r w:rsidR="0080315C" w:rsidRPr="002715F2">
        <w:rPr>
          <w:rFonts w:eastAsia="Batang"/>
          <w:lang w:val="fr-FR"/>
        </w:rPr>
        <w:t>On a dénombré 3 </w:t>
      </w:r>
      <w:r w:rsidR="000078DA" w:rsidRPr="002715F2">
        <w:rPr>
          <w:rFonts w:eastAsia="Batang"/>
          <w:lang w:val="fr-FR"/>
        </w:rPr>
        <w:t>450</w:t>
      </w:r>
      <w:r w:rsidR="0080315C" w:rsidRPr="002715F2">
        <w:rPr>
          <w:rFonts w:eastAsia="Batang"/>
          <w:lang w:val="fr-FR"/>
        </w:rPr>
        <w:t xml:space="preserve"> cas d’utilisation d’équipements de protection dans les établissements </w:t>
      </w:r>
      <w:r w:rsidR="00AD696F" w:rsidRPr="002715F2">
        <w:rPr>
          <w:rFonts w:eastAsia="Batang"/>
          <w:lang w:val="fr-FR"/>
        </w:rPr>
        <w:t>pénitentiaires</w:t>
      </w:r>
      <w:r w:rsidR="00AD2CD0" w:rsidRPr="002715F2">
        <w:rPr>
          <w:rFonts w:eastAsia="Batang"/>
          <w:lang w:val="fr-FR"/>
        </w:rPr>
        <w:t xml:space="preserve"> </w:t>
      </w:r>
      <w:r w:rsidR="0080315C" w:rsidRPr="002715F2">
        <w:rPr>
          <w:rFonts w:eastAsia="Batang"/>
          <w:lang w:val="fr-FR"/>
        </w:rPr>
        <w:t>en 2007, 3 972 en 2008, 5 408 en 2009, 5 295 en 2010, 4 870 en 2011, 3 807 en 2012, 4 875 en 2013, 5 033 en 2014 et 5 732 en 2015</w:t>
      </w:r>
      <w:r w:rsidR="000078DA" w:rsidRPr="002715F2">
        <w:rPr>
          <w:rFonts w:eastAsia="Batang"/>
          <w:lang w:val="fr-FR"/>
        </w:rPr>
        <w:t xml:space="preserve">. </w:t>
      </w:r>
      <w:r w:rsidR="0080315C" w:rsidRPr="002715F2">
        <w:rPr>
          <w:rFonts w:eastAsia="Batang"/>
          <w:lang w:val="fr-FR"/>
        </w:rPr>
        <w:t xml:space="preserve">Ces données </w:t>
      </w:r>
      <w:r w:rsidR="008614E2" w:rsidRPr="002715F2">
        <w:rPr>
          <w:rFonts w:eastAsia="Batang"/>
          <w:lang w:val="fr-FR"/>
        </w:rPr>
        <w:t xml:space="preserve">ne tiennent pas compte des </w:t>
      </w:r>
      <w:r w:rsidR="0080315C" w:rsidRPr="002715F2">
        <w:rPr>
          <w:rFonts w:eastAsia="Batang"/>
          <w:lang w:val="fr-FR"/>
        </w:rPr>
        <w:t xml:space="preserve">équipements de protection </w:t>
      </w:r>
      <w:r w:rsidR="008614E2" w:rsidRPr="002715F2">
        <w:rPr>
          <w:rFonts w:eastAsia="Batang"/>
          <w:lang w:val="fr-FR"/>
        </w:rPr>
        <w:t xml:space="preserve">utilisés </w:t>
      </w:r>
      <w:r w:rsidR="0080315C" w:rsidRPr="002715F2">
        <w:rPr>
          <w:rFonts w:eastAsia="Batang"/>
          <w:lang w:val="fr-FR"/>
        </w:rPr>
        <w:t xml:space="preserve">dans le but de surveiller les détenus </w:t>
      </w:r>
      <w:r w:rsidR="008614E2" w:rsidRPr="002715F2">
        <w:rPr>
          <w:rFonts w:eastAsia="Batang"/>
          <w:lang w:val="fr-FR"/>
        </w:rPr>
        <w:t>lors</w:t>
      </w:r>
      <w:r w:rsidR="0080315C" w:rsidRPr="002715F2">
        <w:rPr>
          <w:rFonts w:eastAsia="Batang"/>
          <w:lang w:val="fr-FR"/>
        </w:rPr>
        <w:t xml:space="preserve"> leur transfert ou de leur comparution devant le tribunal</w:t>
      </w:r>
      <w:r w:rsidR="000078DA" w:rsidRPr="002715F2">
        <w:rPr>
          <w:rFonts w:eastAsia="Batang"/>
          <w:lang w:val="fr-FR"/>
        </w:rPr>
        <w:t xml:space="preserve">. </w:t>
      </w:r>
      <w:r w:rsidR="0080315C" w:rsidRPr="002715F2">
        <w:rPr>
          <w:rFonts w:eastAsia="Batang"/>
          <w:lang w:val="fr-FR"/>
        </w:rPr>
        <w:t xml:space="preserve">On a compté en outre 12 031 cas de </w:t>
      </w:r>
      <w:r w:rsidR="009966B6" w:rsidRPr="002715F2">
        <w:rPr>
          <w:rFonts w:eastAsia="Batang"/>
          <w:lang w:val="fr-FR"/>
        </w:rPr>
        <w:t>sanctions</w:t>
      </w:r>
      <w:r w:rsidR="0080315C" w:rsidRPr="002715F2">
        <w:rPr>
          <w:rFonts w:eastAsia="Batang"/>
          <w:lang w:val="fr-FR"/>
        </w:rPr>
        <w:t xml:space="preserve"> </w:t>
      </w:r>
      <w:r w:rsidR="009966B6" w:rsidRPr="002715F2">
        <w:rPr>
          <w:rFonts w:eastAsia="Batang"/>
          <w:lang w:val="fr-FR"/>
        </w:rPr>
        <w:t>disciplinaires</w:t>
      </w:r>
      <w:r w:rsidR="0080315C" w:rsidRPr="002715F2">
        <w:rPr>
          <w:rFonts w:eastAsia="Batang"/>
          <w:lang w:val="fr-FR"/>
        </w:rPr>
        <w:t xml:space="preserve"> dans les établissements </w:t>
      </w:r>
      <w:r w:rsidR="00AD696F" w:rsidRPr="002715F2">
        <w:rPr>
          <w:rFonts w:eastAsia="Batang"/>
          <w:lang w:val="fr-FR"/>
        </w:rPr>
        <w:t>pénitentiaires</w:t>
      </w:r>
      <w:r w:rsidR="00AD2CD0" w:rsidRPr="002715F2">
        <w:rPr>
          <w:rFonts w:eastAsia="Batang"/>
          <w:lang w:val="fr-FR"/>
        </w:rPr>
        <w:t xml:space="preserve"> </w:t>
      </w:r>
      <w:r w:rsidR="0080315C" w:rsidRPr="002715F2">
        <w:rPr>
          <w:rFonts w:eastAsia="Batang"/>
          <w:lang w:val="fr-FR"/>
        </w:rPr>
        <w:t>en 2006, 13 439 en 2007, 13 875 en 2008, 17 016 en 2009, 15 963 en 2010, 14 682 en 2011, 13 702 en 2012, 14 652 en 2013, 15 541 en 2014 et 17 055 en 2015</w:t>
      </w:r>
      <w:r w:rsidR="00F7371F" w:rsidRPr="002715F2">
        <w:rPr>
          <w:rFonts w:eastAsia="Batang"/>
          <w:lang w:val="fr-FR"/>
        </w:rPr>
        <w:t>.</w:t>
      </w:r>
    </w:p>
    <w:p w:rsidR="000078DA" w:rsidRPr="002715F2" w:rsidRDefault="007026FB" w:rsidP="004C3FE3">
      <w:pPr>
        <w:pStyle w:val="SingleTxtG"/>
        <w:rPr>
          <w:rFonts w:eastAsia="Batang"/>
          <w:lang w:val="fr-FR"/>
        </w:rPr>
      </w:pPr>
      <w:r w:rsidRPr="002715F2">
        <w:rPr>
          <w:rFonts w:eastAsia="Batang"/>
          <w:lang w:val="fr-FR"/>
        </w:rPr>
        <w:t>184.</w:t>
      </w:r>
      <w:r w:rsidRPr="002715F2">
        <w:rPr>
          <w:rFonts w:eastAsia="Batang"/>
          <w:lang w:val="fr-FR"/>
        </w:rPr>
        <w:tab/>
      </w:r>
      <w:r w:rsidR="004C3FE3" w:rsidRPr="002715F2">
        <w:rPr>
          <w:rFonts w:eastAsia="Batang"/>
          <w:lang w:val="fr-FR"/>
        </w:rPr>
        <w:t>Deux</w:t>
      </w:r>
      <w:r w:rsidR="008C63F9" w:rsidRPr="002715F2">
        <w:rPr>
          <w:rFonts w:eastAsia="Batang"/>
          <w:lang w:val="fr-FR"/>
        </w:rPr>
        <w:t xml:space="preserve"> cas d</w:t>
      </w:r>
      <w:r w:rsidR="004C3FE3" w:rsidRPr="002715F2">
        <w:rPr>
          <w:rFonts w:eastAsia="Batang"/>
          <w:lang w:val="fr-FR"/>
        </w:rPr>
        <w:t>’utilisation d’</w:t>
      </w:r>
      <w:r w:rsidR="008C63F9" w:rsidRPr="002715F2">
        <w:rPr>
          <w:rFonts w:eastAsia="Batang"/>
          <w:lang w:val="fr-FR"/>
        </w:rPr>
        <w:t xml:space="preserve">équipements de protection </w:t>
      </w:r>
      <w:r w:rsidR="004C3FE3" w:rsidRPr="002715F2">
        <w:rPr>
          <w:rFonts w:eastAsia="Batang"/>
          <w:lang w:val="fr-FR"/>
        </w:rPr>
        <w:t>ont été recensés</w:t>
      </w:r>
      <w:r w:rsidR="008C63F9" w:rsidRPr="002715F2">
        <w:rPr>
          <w:rFonts w:eastAsia="Batang"/>
          <w:lang w:val="fr-FR"/>
        </w:rPr>
        <w:t xml:space="preserve"> dans les établissements </w:t>
      </w:r>
      <w:r w:rsidR="00AD696F" w:rsidRPr="002715F2">
        <w:rPr>
          <w:rFonts w:eastAsia="Batang"/>
          <w:lang w:val="fr-FR"/>
        </w:rPr>
        <w:t>pénitentiaires</w:t>
      </w:r>
      <w:r w:rsidR="00AD2CD0" w:rsidRPr="002715F2">
        <w:rPr>
          <w:rFonts w:eastAsia="Batang"/>
          <w:lang w:val="fr-FR"/>
        </w:rPr>
        <w:t xml:space="preserve"> </w:t>
      </w:r>
      <w:r w:rsidR="008C63F9" w:rsidRPr="002715F2">
        <w:rPr>
          <w:rFonts w:eastAsia="Batang"/>
          <w:lang w:val="fr-FR"/>
        </w:rPr>
        <w:t xml:space="preserve">militaires en 2010 et </w:t>
      </w:r>
      <w:r w:rsidR="00217F26" w:rsidRPr="002715F2">
        <w:rPr>
          <w:rFonts w:eastAsia="Batang"/>
          <w:lang w:val="fr-FR"/>
        </w:rPr>
        <w:t>trois</w:t>
      </w:r>
      <w:r w:rsidR="008C63F9" w:rsidRPr="002715F2">
        <w:rPr>
          <w:rFonts w:eastAsia="Batang"/>
          <w:lang w:val="fr-FR"/>
        </w:rPr>
        <w:t xml:space="preserve"> en 2011</w:t>
      </w:r>
      <w:r w:rsidR="000078DA" w:rsidRPr="002715F2">
        <w:rPr>
          <w:rFonts w:eastAsia="Batang"/>
          <w:lang w:val="fr-FR"/>
        </w:rPr>
        <w:t xml:space="preserve">. </w:t>
      </w:r>
      <w:r w:rsidR="004C3FE3" w:rsidRPr="002715F2">
        <w:rPr>
          <w:rFonts w:eastAsia="Batang"/>
          <w:lang w:val="fr-FR"/>
        </w:rPr>
        <w:t xml:space="preserve">Ces données </w:t>
      </w:r>
      <w:r w:rsidR="00217F26" w:rsidRPr="002715F2">
        <w:rPr>
          <w:rFonts w:eastAsia="Batang"/>
          <w:lang w:val="fr-FR"/>
        </w:rPr>
        <w:t>ne tiennent pas compte des équipements de protection utilisés</w:t>
      </w:r>
      <w:r w:rsidR="004C3FE3" w:rsidRPr="002715F2">
        <w:rPr>
          <w:rFonts w:eastAsia="Batang"/>
          <w:lang w:val="fr-FR"/>
        </w:rPr>
        <w:t xml:space="preserve"> dans le but de surveiller les détenus dans le cadre de leur transfert ou de leur comparution devant le tribunal</w:t>
      </w:r>
      <w:r w:rsidR="000078DA" w:rsidRPr="002715F2">
        <w:rPr>
          <w:rFonts w:eastAsia="Batang"/>
          <w:lang w:val="fr-FR"/>
        </w:rPr>
        <w:t xml:space="preserve">. </w:t>
      </w:r>
      <w:r w:rsidR="004C3FE3" w:rsidRPr="002715F2">
        <w:rPr>
          <w:rFonts w:eastAsia="Batang"/>
          <w:lang w:val="fr-FR"/>
        </w:rPr>
        <w:t>En outre, 25</w:t>
      </w:r>
      <w:r w:rsidR="00217F26" w:rsidRPr="002715F2">
        <w:rPr>
          <w:rFonts w:eastAsia="Batang"/>
          <w:lang w:val="fr-FR"/>
        </w:rPr>
        <w:t> </w:t>
      </w:r>
      <w:r w:rsidR="004C3FE3" w:rsidRPr="002715F2">
        <w:rPr>
          <w:rFonts w:eastAsia="Batang"/>
          <w:lang w:val="fr-FR"/>
        </w:rPr>
        <w:t>cas de mise à l’isolement ont été dénombrés en 2006, 22 en 2007, 8 en 2008, 28 en 2009, 18 en 2010, 13 en 2011, 49 en 2012, 30 en 2013, 39 en 2014 et 27 en 2015</w:t>
      </w:r>
      <w:r w:rsidR="00F7371F"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5B2BE9" w:rsidRPr="002715F2">
        <w:rPr>
          <w:rFonts w:eastAsia="Batang"/>
          <w:lang w:val="fr-FR" w:eastAsia="ko-KR"/>
        </w:rPr>
        <w:t>Plaintes</w:t>
      </w:r>
      <w:r w:rsidR="00773DD0" w:rsidRPr="002715F2">
        <w:rPr>
          <w:rFonts w:eastAsia="Batang"/>
          <w:lang w:val="fr-FR" w:eastAsia="ko-KR"/>
        </w:rPr>
        <w:t xml:space="preserve"> adressées au Centre de déclaration des actes de torture</w:t>
      </w:r>
    </w:p>
    <w:p w:rsidR="000078DA" w:rsidRPr="002715F2" w:rsidRDefault="007026FB" w:rsidP="007026FB">
      <w:pPr>
        <w:pStyle w:val="SingleTxtG"/>
        <w:rPr>
          <w:rFonts w:eastAsia="Batang"/>
          <w:lang w:val="fr-FR"/>
        </w:rPr>
      </w:pPr>
      <w:r w:rsidRPr="002715F2">
        <w:rPr>
          <w:rFonts w:eastAsia="Batang"/>
          <w:lang w:val="fr-FR"/>
        </w:rPr>
        <w:t>185.</w:t>
      </w:r>
      <w:r w:rsidRPr="002715F2">
        <w:rPr>
          <w:rFonts w:eastAsia="Batang"/>
          <w:lang w:val="fr-FR"/>
        </w:rPr>
        <w:tab/>
      </w:r>
      <w:r w:rsidR="00DF0D95" w:rsidRPr="002715F2">
        <w:rPr>
          <w:rFonts w:eastAsia="Batang"/>
          <w:lang w:val="fr-FR"/>
        </w:rPr>
        <w:t xml:space="preserve">Aucune </w:t>
      </w:r>
      <w:r w:rsidR="005B2BE9" w:rsidRPr="002715F2">
        <w:rPr>
          <w:rFonts w:eastAsia="Batang"/>
          <w:lang w:val="fr-FR"/>
        </w:rPr>
        <w:t>plainte</w:t>
      </w:r>
      <w:r w:rsidR="00DF0D95" w:rsidRPr="002715F2">
        <w:rPr>
          <w:rFonts w:eastAsia="Batang"/>
          <w:lang w:val="fr-FR"/>
        </w:rPr>
        <w:t xml:space="preserve"> </w:t>
      </w:r>
      <w:r w:rsidR="00EB1A19" w:rsidRPr="002715F2">
        <w:rPr>
          <w:rFonts w:eastAsia="Batang"/>
          <w:lang w:val="fr-FR"/>
        </w:rPr>
        <w:t>relative à</w:t>
      </w:r>
      <w:r w:rsidR="00DF0D95" w:rsidRPr="002715F2">
        <w:rPr>
          <w:rFonts w:eastAsia="Batang"/>
          <w:lang w:val="fr-FR"/>
        </w:rPr>
        <w:t xml:space="preserve"> l’utilisation </w:t>
      </w:r>
      <w:r w:rsidR="00EB1A19" w:rsidRPr="002715F2">
        <w:rPr>
          <w:rFonts w:eastAsia="Batang"/>
          <w:lang w:val="fr-FR"/>
        </w:rPr>
        <w:t>d’</w:t>
      </w:r>
      <w:r w:rsidR="00DF0D95" w:rsidRPr="002715F2">
        <w:rPr>
          <w:rFonts w:eastAsia="Batang"/>
          <w:lang w:val="fr-FR"/>
        </w:rPr>
        <w:t>équipements de protection ou</w:t>
      </w:r>
      <w:r w:rsidR="00EB1A19" w:rsidRPr="002715F2">
        <w:rPr>
          <w:rFonts w:eastAsia="Batang"/>
          <w:lang w:val="fr-FR"/>
        </w:rPr>
        <w:t xml:space="preserve"> à</w:t>
      </w:r>
      <w:r w:rsidR="00DF0D95" w:rsidRPr="002715F2">
        <w:rPr>
          <w:rFonts w:eastAsia="Batang"/>
          <w:lang w:val="fr-FR"/>
        </w:rPr>
        <w:t xml:space="preserve"> l’imposition de sanction disciplinaire dans les établissements de </w:t>
      </w:r>
      <w:r w:rsidR="0039617D" w:rsidRPr="002715F2">
        <w:rPr>
          <w:rFonts w:eastAsia="Batang"/>
          <w:lang w:val="fr-FR"/>
        </w:rPr>
        <w:t>détention</w:t>
      </w:r>
      <w:r w:rsidR="00DF0D95" w:rsidRPr="002715F2">
        <w:rPr>
          <w:rFonts w:eastAsia="Batang"/>
          <w:lang w:val="fr-FR"/>
        </w:rPr>
        <w:t xml:space="preserve"> n’a été adressée au Centre de déclaration des actes de torture </w:t>
      </w:r>
      <w:r w:rsidR="00ED6844" w:rsidRPr="002715F2">
        <w:rPr>
          <w:rFonts w:eastAsia="Batang"/>
          <w:lang w:val="fr-FR"/>
        </w:rPr>
        <w:t xml:space="preserve">qui avait été </w:t>
      </w:r>
      <w:r w:rsidR="00DF0D95" w:rsidRPr="002715F2">
        <w:rPr>
          <w:rFonts w:eastAsia="Batang"/>
          <w:lang w:val="fr-FR"/>
        </w:rPr>
        <w:t>temporairement mis en place par la Commission nationale des droits de l’homme</w:t>
      </w:r>
      <w:r w:rsidR="000078DA" w:rsidRPr="002715F2">
        <w:rPr>
          <w:rFonts w:eastAsia="Batang"/>
          <w:lang w:val="fr-FR"/>
        </w:rPr>
        <w:t>.</w:t>
      </w:r>
      <w:r w:rsidR="00DF0D95" w:rsidRPr="002715F2">
        <w:rPr>
          <w:rFonts w:eastAsia="Batang"/>
          <w:lang w:val="fr-FR"/>
        </w:rPr>
        <w:t xml:space="preserve"> </w:t>
      </w:r>
      <w:r w:rsidR="00217F26" w:rsidRPr="002715F2">
        <w:rPr>
          <w:rFonts w:eastAsia="Batang"/>
          <w:lang w:val="fr-FR"/>
        </w:rPr>
        <w:t>L</w:t>
      </w:r>
      <w:r w:rsidR="00DF0D95" w:rsidRPr="002715F2">
        <w:rPr>
          <w:rFonts w:eastAsia="Batang"/>
          <w:lang w:val="fr-FR"/>
        </w:rPr>
        <w:t>a Commission nationale des droits de l’homme a</w:t>
      </w:r>
      <w:r w:rsidR="00217F26" w:rsidRPr="002715F2">
        <w:rPr>
          <w:rFonts w:eastAsia="Batang"/>
          <w:lang w:val="fr-FR"/>
        </w:rPr>
        <w:t>, quant à elle,</w:t>
      </w:r>
      <w:r w:rsidR="00DF0D95" w:rsidRPr="002715F2">
        <w:rPr>
          <w:rFonts w:eastAsia="Batang"/>
          <w:lang w:val="fr-FR"/>
        </w:rPr>
        <w:t xml:space="preserve"> </w:t>
      </w:r>
      <w:r w:rsidR="00EB1A19" w:rsidRPr="002715F2">
        <w:rPr>
          <w:rFonts w:eastAsia="Batang"/>
          <w:lang w:val="fr-FR"/>
        </w:rPr>
        <w:t>traité</w:t>
      </w:r>
      <w:r w:rsidR="00DF0D95" w:rsidRPr="002715F2">
        <w:rPr>
          <w:rFonts w:eastAsia="Batang"/>
          <w:lang w:val="fr-FR"/>
        </w:rPr>
        <w:t xml:space="preserve"> des </w:t>
      </w:r>
      <w:r w:rsidR="005B2BE9" w:rsidRPr="002715F2">
        <w:rPr>
          <w:rFonts w:eastAsia="Batang"/>
          <w:lang w:val="fr-FR"/>
        </w:rPr>
        <w:t xml:space="preserve">plaintes </w:t>
      </w:r>
      <w:r w:rsidR="00217F26" w:rsidRPr="002715F2">
        <w:rPr>
          <w:rFonts w:eastAsia="Batang"/>
          <w:lang w:val="fr-FR"/>
        </w:rPr>
        <w:t>relatives à</w:t>
      </w:r>
      <w:r w:rsidR="00DF0D95" w:rsidRPr="002715F2">
        <w:rPr>
          <w:rFonts w:eastAsia="Batang"/>
          <w:lang w:val="fr-FR"/>
        </w:rPr>
        <w:t xml:space="preserve"> l’utilisation </w:t>
      </w:r>
      <w:r w:rsidR="00EB1A19" w:rsidRPr="002715F2">
        <w:rPr>
          <w:rFonts w:eastAsia="Batang"/>
          <w:lang w:val="fr-FR"/>
        </w:rPr>
        <w:t>d’</w:t>
      </w:r>
      <w:r w:rsidR="00DF0D95" w:rsidRPr="002715F2">
        <w:rPr>
          <w:rFonts w:eastAsia="Batang"/>
          <w:lang w:val="fr-FR"/>
        </w:rPr>
        <w:t>équipements de protection et l’imposition de sanction disciplinaire dans les établissements de détenti</w:t>
      </w:r>
      <w:r w:rsidR="00217F26" w:rsidRPr="002715F2">
        <w:rPr>
          <w:rFonts w:eastAsia="Batang"/>
          <w:lang w:val="fr-FR"/>
        </w:rPr>
        <w:t>on depuis 2001 (voir le tableau </w:t>
      </w:r>
      <w:r w:rsidR="00DF0D95" w:rsidRPr="002715F2">
        <w:rPr>
          <w:rFonts w:eastAsia="Batang"/>
          <w:lang w:val="fr-FR"/>
        </w:rPr>
        <w:t>26)</w:t>
      </w:r>
      <w:r w:rsidR="00EB1A19"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EB1A19" w:rsidRPr="002715F2">
        <w:rPr>
          <w:rFonts w:eastAsia="Batang"/>
          <w:lang w:val="fr-FR" w:eastAsia="ko-KR"/>
        </w:rPr>
        <w:t>Réponse aux qu</w:t>
      </w:r>
      <w:r w:rsidR="00217F26" w:rsidRPr="002715F2">
        <w:rPr>
          <w:rFonts w:eastAsia="Batang"/>
          <w:lang w:val="fr-FR" w:eastAsia="ko-KR"/>
        </w:rPr>
        <w:t xml:space="preserve">estions soulevées au </w:t>
      </w:r>
      <w:r w:rsidR="00E5009D" w:rsidRPr="002715F2">
        <w:rPr>
          <w:rFonts w:eastAsia="Batang"/>
          <w:lang w:val="fr-FR" w:eastAsia="ko-KR"/>
        </w:rPr>
        <w:t xml:space="preserve">paragraphe </w:t>
      </w:r>
      <w:r w:rsidR="00EB1A19" w:rsidRPr="002715F2">
        <w:rPr>
          <w:rFonts w:eastAsia="Batang"/>
          <w:lang w:val="fr-FR" w:eastAsia="ko-KR"/>
        </w:rPr>
        <w:t>35</w:t>
      </w:r>
    </w:p>
    <w:p w:rsidR="000078DA" w:rsidRPr="002715F2" w:rsidRDefault="007026FB" w:rsidP="007A5968">
      <w:pPr>
        <w:pStyle w:val="SingleTxtG"/>
        <w:rPr>
          <w:rFonts w:eastAsia="Batang"/>
          <w:lang w:val="fr-FR"/>
        </w:rPr>
      </w:pPr>
      <w:r w:rsidRPr="002715F2">
        <w:rPr>
          <w:rFonts w:eastAsia="Batang"/>
          <w:lang w:val="fr-FR"/>
        </w:rPr>
        <w:t>186.</w:t>
      </w:r>
      <w:r w:rsidRPr="002715F2">
        <w:rPr>
          <w:rFonts w:eastAsia="Batang"/>
          <w:lang w:val="fr-FR"/>
        </w:rPr>
        <w:tab/>
      </w:r>
      <w:r w:rsidR="00EB1A19" w:rsidRPr="002715F2">
        <w:rPr>
          <w:rFonts w:eastAsia="Batang"/>
          <w:lang w:val="fr-FR"/>
        </w:rPr>
        <w:t>Suite aux veillées aux bougies</w:t>
      </w:r>
      <w:r w:rsidR="000078DA" w:rsidRPr="002715F2">
        <w:rPr>
          <w:rFonts w:eastAsia="Batang"/>
          <w:lang w:val="fr-FR"/>
        </w:rPr>
        <w:t xml:space="preserve"> </w:t>
      </w:r>
      <w:r w:rsidR="007A5968" w:rsidRPr="002715F2">
        <w:rPr>
          <w:rFonts w:eastAsia="Batang"/>
          <w:lang w:val="fr-FR"/>
        </w:rPr>
        <w:t>de</w:t>
      </w:r>
      <w:r w:rsidR="000078DA" w:rsidRPr="002715F2">
        <w:rPr>
          <w:rFonts w:eastAsia="Batang"/>
          <w:lang w:val="fr-FR"/>
        </w:rPr>
        <w:t xml:space="preserve"> 2008, </w:t>
      </w:r>
      <w:r w:rsidR="007A5968" w:rsidRPr="002715F2">
        <w:rPr>
          <w:rFonts w:eastAsia="Batang"/>
          <w:lang w:val="fr-FR"/>
        </w:rPr>
        <w:t>les procureurs ont mené des enquêtes sur 24 plaintes ou accusations relatives à l’usage excessif de la force par la police dans le cadre de ces manifestations</w:t>
      </w:r>
      <w:r w:rsidR="00455670" w:rsidRPr="002715F2">
        <w:rPr>
          <w:rFonts w:eastAsia="Batang"/>
          <w:lang w:val="fr-FR"/>
        </w:rPr>
        <w:t>. Ils ont ainsi</w:t>
      </w:r>
      <w:r w:rsidR="007A5968" w:rsidRPr="002715F2">
        <w:rPr>
          <w:rFonts w:eastAsia="Batang"/>
          <w:lang w:val="fr-FR"/>
        </w:rPr>
        <w:t xml:space="preserve"> instruit </w:t>
      </w:r>
      <w:r w:rsidR="00E5009D" w:rsidRPr="002715F2">
        <w:rPr>
          <w:rFonts w:eastAsia="Batang"/>
          <w:lang w:val="fr-FR"/>
        </w:rPr>
        <w:t xml:space="preserve">deux </w:t>
      </w:r>
      <w:r w:rsidR="007A5968" w:rsidRPr="002715F2">
        <w:rPr>
          <w:rFonts w:eastAsia="Batang"/>
          <w:lang w:val="fr-FR"/>
        </w:rPr>
        <w:t xml:space="preserve">affaires qui ont </w:t>
      </w:r>
      <w:r w:rsidR="00E745D4" w:rsidRPr="002715F2">
        <w:rPr>
          <w:rFonts w:eastAsia="Batang"/>
          <w:lang w:val="fr-FR"/>
        </w:rPr>
        <w:t>débouché sur</w:t>
      </w:r>
      <w:r w:rsidR="007A5968" w:rsidRPr="002715F2">
        <w:rPr>
          <w:rFonts w:eastAsia="Batang"/>
          <w:lang w:val="fr-FR"/>
        </w:rPr>
        <w:t xml:space="preserve"> des jugements définitifs et </w:t>
      </w:r>
      <w:r w:rsidR="00455670" w:rsidRPr="002715F2">
        <w:rPr>
          <w:rFonts w:eastAsia="Batang"/>
          <w:lang w:val="fr-FR"/>
        </w:rPr>
        <w:t>l’imposition d’amendes</w:t>
      </w:r>
      <w:r w:rsidR="000078DA" w:rsidRPr="002715F2">
        <w:rPr>
          <w:rFonts w:eastAsia="Batang"/>
          <w:lang w:val="fr-FR"/>
        </w:rPr>
        <w:t xml:space="preserve">. </w:t>
      </w:r>
      <w:r w:rsidR="0038380D" w:rsidRPr="002715F2">
        <w:rPr>
          <w:rFonts w:eastAsia="Batang"/>
          <w:lang w:val="fr-FR"/>
        </w:rPr>
        <w:t>Dans les 22</w:t>
      </w:r>
      <w:r w:rsidR="00455670" w:rsidRPr="002715F2">
        <w:rPr>
          <w:rFonts w:eastAsia="Batang"/>
          <w:lang w:val="fr-FR"/>
        </w:rPr>
        <w:t> </w:t>
      </w:r>
      <w:r w:rsidR="0038380D" w:rsidRPr="002715F2">
        <w:rPr>
          <w:rFonts w:eastAsia="Batang"/>
          <w:lang w:val="fr-FR"/>
        </w:rPr>
        <w:t>autres cas, les auteurs n’ont pas été identifiés ou les fonctionnaires visés par les plaintes ou les accusations n’étaient pas les personnes impliquées dans les infractions</w:t>
      </w:r>
      <w:r w:rsidR="000078DA" w:rsidRPr="002715F2">
        <w:rPr>
          <w:rFonts w:eastAsia="Batang"/>
          <w:lang w:val="fr-FR"/>
        </w:rPr>
        <w:t>.</w:t>
      </w:r>
    </w:p>
    <w:p w:rsidR="00C52DCB" w:rsidRPr="002715F2" w:rsidRDefault="007026FB" w:rsidP="007026FB">
      <w:pPr>
        <w:pStyle w:val="SingleTxtG"/>
        <w:rPr>
          <w:rFonts w:eastAsia="Batang"/>
          <w:lang w:val="fr-FR"/>
        </w:rPr>
      </w:pPr>
      <w:r w:rsidRPr="002715F2">
        <w:rPr>
          <w:rFonts w:eastAsia="Batang"/>
          <w:lang w:val="fr-FR"/>
        </w:rPr>
        <w:t>187.</w:t>
      </w:r>
      <w:r w:rsidRPr="002715F2">
        <w:rPr>
          <w:rFonts w:eastAsia="Batang"/>
          <w:lang w:val="fr-FR"/>
        </w:rPr>
        <w:tab/>
      </w:r>
      <w:r w:rsidR="00522780" w:rsidRPr="002715F2">
        <w:rPr>
          <w:rFonts w:eastAsia="Batang"/>
          <w:lang w:val="fr-FR"/>
        </w:rPr>
        <w:t xml:space="preserve">Au 25 janvier 2016, pour </w:t>
      </w:r>
      <w:r w:rsidR="00ED6844" w:rsidRPr="002715F2">
        <w:rPr>
          <w:rFonts w:eastAsia="Batang"/>
          <w:lang w:val="fr-FR"/>
        </w:rPr>
        <w:t xml:space="preserve">ce qui concerne les manifestations aux bougies </w:t>
      </w:r>
      <w:r w:rsidR="00522780" w:rsidRPr="002715F2">
        <w:rPr>
          <w:rFonts w:eastAsia="Batang"/>
          <w:lang w:val="fr-FR"/>
        </w:rPr>
        <w:t>organisées en</w:t>
      </w:r>
      <w:r w:rsidR="00ED6844" w:rsidRPr="002715F2">
        <w:rPr>
          <w:rFonts w:eastAsia="Batang"/>
          <w:lang w:val="fr-FR"/>
        </w:rPr>
        <w:t xml:space="preserve"> 2008, les procureurs avaient </w:t>
      </w:r>
      <w:r w:rsidR="00E304B4" w:rsidRPr="002715F2">
        <w:rPr>
          <w:rFonts w:eastAsia="Batang"/>
          <w:lang w:val="fr-FR"/>
        </w:rPr>
        <w:t>pris les décisions suivantes</w:t>
      </w:r>
      <w:r w:rsidR="00E97B1A" w:rsidRPr="002715F2">
        <w:rPr>
          <w:rFonts w:eastAsia="Batang"/>
          <w:lang w:val="fr-FR"/>
        </w:rPr>
        <w:t>:</w:t>
      </w:r>
      <w:r w:rsidR="00E304B4" w:rsidRPr="002715F2">
        <w:rPr>
          <w:rFonts w:eastAsia="Batang"/>
          <w:lang w:val="fr-FR"/>
        </w:rPr>
        <w:t xml:space="preserve"> </w:t>
      </w:r>
      <w:r w:rsidR="00ED6844" w:rsidRPr="002715F2">
        <w:rPr>
          <w:rFonts w:eastAsia="Batang"/>
          <w:lang w:val="fr-FR"/>
        </w:rPr>
        <w:t xml:space="preserve">engagé des poursuites </w:t>
      </w:r>
      <w:r w:rsidR="00E85B98" w:rsidRPr="002715F2">
        <w:rPr>
          <w:rFonts w:eastAsia="Batang"/>
          <w:lang w:val="fr-FR"/>
        </w:rPr>
        <w:t xml:space="preserve">avec placement en </w:t>
      </w:r>
      <w:r w:rsidR="0039617D" w:rsidRPr="002715F2">
        <w:rPr>
          <w:rFonts w:eastAsia="Batang"/>
          <w:lang w:val="fr-FR"/>
        </w:rPr>
        <w:t>détention</w:t>
      </w:r>
      <w:r w:rsidR="00E85B98" w:rsidRPr="002715F2">
        <w:rPr>
          <w:rFonts w:eastAsia="Batang"/>
          <w:lang w:val="fr-FR"/>
        </w:rPr>
        <w:t xml:space="preserve"> </w:t>
      </w:r>
      <w:r w:rsidR="00F46778" w:rsidRPr="002715F2">
        <w:rPr>
          <w:rFonts w:eastAsia="Batang"/>
          <w:lang w:val="fr-FR"/>
        </w:rPr>
        <w:t>à l’encontre de</w:t>
      </w:r>
      <w:r w:rsidR="00ED6844" w:rsidRPr="002715F2">
        <w:rPr>
          <w:rFonts w:eastAsia="Batang"/>
          <w:lang w:val="fr-FR"/>
        </w:rPr>
        <w:t xml:space="preserve"> 46 personnes</w:t>
      </w:r>
      <w:r w:rsidR="00F46778" w:rsidRPr="002715F2">
        <w:rPr>
          <w:rFonts w:eastAsia="Batang"/>
          <w:lang w:val="fr-FR"/>
        </w:rPr>
        <w:t xml:space="preserve"> et</w:t>
      </w:r>
      <w:r w:rsidR="00E85B98" w:rsidRPr="002715F2">
        <w:rPr>
          <w:rFonts w:eastAsia="Batang"/>
          <w:lang w:val="fr-FR"/>
        </w:rPr>
        <w:t xml:space="preserve"> sans placement en </w:t>
      </w:r>
      <w:r w:rsidR="0039617D" w:rsidRPr="002715F2">
        <w:rPr>
          <w:rFonts w:eastAsia="Batang"/>
          <w:lang w:val="fr-FR"/>
        </w:rPr>
        <w:t>détention</w:t>
      </w:r>
      <w:r w:rsidR="00F46778" w:rsidRPr="002715F2">
        <w:rPr>
          <w:rFonts w:eastAsia="Batang"/>
          <w:lang w:val="fr-FR"/>
        </w:rPr>
        <w:t xml:space="preserve"> pour</w:t>
      </w:r>
      <w:r w:rsidR="00E85B98" w:rsidRPr="002715F2">
        <w:rPr>
          <w:rFonts w:eastAsia="Batang"/>
          <w:lang w:val="fr-FR"/>
        </w:rPr>
        <w:t xml:space="preserve"> </w:t>
      </w:r>
      <w:r w:rsidR="00ED6844" w:rsidRPr="002715F2">
        <w:rPr>
          <w:rFonts w:eastAsia="Batang"/>
          <w:lang w:val="fr-FR"/>
        </w:rPr>
        <w:t>170 personnes</w:t>
      </w:r>
      <w:r w:rsidR="00E97B1A" w:rsidRPr="002715F2">
        <w:rPr>
          <w:rFonts w:eastAsia="Batang"/>
          <w:lang w:val="fr-FR"/>
        </w:rPr>
        <w:t>;</w:t>
      </w:r>
      <w:r w:rsidR="00ED6844" w:rsidRPr="002715F2">
        <w:rPr>
          <w:rFonts w:eastAsia="Batang"/>
          <w:lang w:val="fr-FR"/>
        </w:rPr>
        <w:t xml:space="preserve"> </w:t>
      </w:r>
      <w:r w:rsidR="00522780" w:rsidRPr="002715F2">
        <w:rPr>
          <w:rFonts w:eastAsia="Batang"/>
          <w:lang w:val="fr-FR"/>
        </w:rPr>
        <w:t>ouvert des procédures simplifiées contre 1 </w:t>
      </w:r>
      <w:r w:rsidR="00ED6844" w:rsidRPr="002715F2">
        <w:rPr>
          <w:rFonts w:eastAsia="Batang"/>
          <w:lang w:val="fr-FR"/>
        </w:rPr>
        <w:t>061</w:t>
      </w:r>
      <w:r w:rsidR="00522780" w:rsidRPr="002715F2">
        <w:rPr>
          <w:rFonts w:eastAsia="Batang"/>
          <w:lang w:val="fr-FR"/>
        </w:rPr>
        <w:t> </w:t>
      </w:r>
      <w:r w:rsidR="00ED6844" w:rsidRPr="002715F2">
        <w:rPr>
          <w:rFonts w:eastAsia="Batang"/>
          <w:lang w:val="fr-FR"/>
        </w:rPr>
        <w:t>personnes</w:t>
      </w:r>
      <w:r w:rsidR="00E97B1A" w:rsidRPr="002715F2">
        <w:rPr>
          <w:rFonts w:eastAsia="Batang"/>
          <w:lang w:val="fr-FR"/>
        </w:rPr>
        <w:t>;</w:t>
      </w:r>
      <w:r w:rsidR="00ED6844" w:rsidRPr="002715F2">
        <w:rPr>
          <w:rFonts w:eastAsia="Batang"/>
          <w:lang w:val="fr-FR"/>
        </w:rPr>
        <w:t xml:space="preserve"> </w:t>
      </w:r>
      <w:r w:rsidR="00E85B98" w:rsidRPr="002715F2">
        <w:rPr>
          <w:rFonts w:eastAsia="Batang"/>
          <w:lang w:val="fr-FR"/>
        </w:rPr>
        <w:t>abandonné les poursuites concernant</w:t>
      </w:r>
      <w:r w:rsidR="00522780" w:rsidRPr="002715F2">
        <w:rPr>
          <w:rFonts w:eastAsia="Batang"/>
          <w:lang w:val="fr-FR"/>
        </w:rPr>
        <w:t xml:space="preserve"> 211 </w:t>
      </w:r>
      <w:r w:rsidR="00ED6844" w:rsidRPr="002715F2">
        <w:rPr>
          <w:rFonts w:eastAsia="Batang"/>
          <w:lang w:val="fr-FR"/>
        </w:rPr>
        <w:t>personnes</w:t>
      </w:r>
      <w:r w:rsidR="000078DA" w:rsidRPr="002715F2">
        <w:rPr>
          <w:rFonts w:eastAsia="Batang"/>
          <w:lang w:val="fr-FR"/>
        </w:rPr>
        <w:t xml:space="preserve">. </w:t>
      </w:r>
      <w:r w:rsidR="00667E3C" w:rsidRPr="002715F2">
        <w:rPr>
          <w:rFonts w:eastAsia="Batang"/>
          <w:lang w:val="fr-FR"/>
        </w:rPr>
        <w:t xml:space="preserve">Sur les 46 personnes qui </w:t>
      </w:r>
      <w:r w:rsidR="00F46778" w:rsidRPr="002715F2">
        <w:rPr>
          <w:rFonts w:eastAsia="Batang"/>
          <w:lang w:val="fr-FR"/>
        </w:rPr>
        <w:t>avaient</w:t>
      </w:r>
      <w:r w:rsidR="00667E3C" w:rsidRPr="002715F2">
        <w:rPr>
          <w:rFonts w:eastAsia="Batang"/>
          <w:lang w:val="fr-FR"/>
        </w:rPr>
        <w:t xml:space="preserve"> été </w:t>
      </w:r>
      <w:r w:rsidR="00F46778" w:rsidRPr="002715F2">
        <w:rPr>
          <w:rFonts w:eastAsia="Batang"/>
          <w:lang w:val="fr-FR"/>
        </w:rPr>
        <w:t>placées en détention</w:t>
      </w:r>
      <w:r w:rsidR="00667E3C" w:rsidRPr="002715F2">
        <w:rPr>
          <w:rFonts w:eastAsia="Batang"/>
          <w:lang w:val="fr-FR"/>
        </w:rPr>
        <w:t xml:space="preserve"> et poursuivies en justice, </w:t>
      </w:r>
      <w:r w:rsidR="00E5009D" w:rsidRPr="002715F2">
        <w:rPr>
          <w:rFonts w:eastAsia="Batang"/>
          <w:lang w:val="fr-FR"/>
        </w:rPr>
        <w:t xml:space="preserve">3 </w:t>
      </w:r>
      <w:r w:rsidR="00667E3C" w:rsidRPr="002715F2">
        <w:rPr>
          <w:rFonts w:eastAsia="Batang"/>
          <w:lang w:val="fr-FR"/>
        </w:rPr>
        <w:t xml:space="preserve">ont été condamnées à une peine d’emprisonnement, </w:t>
      </w:r>
      <w:r w:rsidR="00E5009D" w:rsidRPr="002715F2">
        <w:rPr>
          <w:rFonts w:eastAsia="Batang"/>
          <w:lang w:val="fr-FR"/>
        </w:rPr>
        <w:t xml:space="preserve">7 </w:t>
      </w:r>
      <w:r w:rsidR="006B6450" w:rsidRPr="002715F2">
        <w:rPr>
          <w:rFonts w:eastAsia="Batang"/>
          <w:lang w:val="fr-FR" w:eastAsia="ko-KR"/>
        </w:rPr>
        <w:t>ont obtenu un sursis au prononcé de la peine</w:t>
      </w:r>
      <w:r w:rsidR="00667E3C" w:rsidRPr="002715F2">
        <w:rPr>
          <w:rFonts w:eastAsia="Batang"/>
          <w:lang w:val="fr-FR"/>
        </w:rPr>
        <w:t>, 25</w:t>
      </w:r>
      <w:r w:rsidR="00E304B4" w:rsidRPr="002715F2">
        <w:rPr>
          <w:rFonts w:eastAsia="Batang"/>
          <w:lang w:val="fr-FR"/>
        </w:rPr>
        <w:t> </w:t>
      </w:r>
      <w:r w:rsidR="006B6450" w:rsidRPr="002715F2">
        <w:rPr>
          <w:rFonts w:eastAsia="Batang"/>
          <w:lang w:val="fr-FR"/>
        </w:rPr>
        <w:t>se sont vu</w:t>
      </w:r>
      <w:r w:rsidR="005B2BE9" w:rsidRPr="002715F2">
        <w:rPr>
          <w:rFonts w:eastAsia="Batang"/>
          <w:lang w:val="fr-FR"/>
        </w:rPr>
        <w:t>e</w:t>
      </w:r>
      <w:r w:rsidR="006B6450" w:rsidRPr="002715F2">
        <w:rPr>
          <w:rFonts w:eastAsia="Batang"/>
          <w:lang w:val="fr-FR"/>
        </w:rPr>
        <w:t>s imposer</w:t>
      </w:r>
      <w:r w:rsidR="00667E3C" w:rsidRPr="002715F2">
        <w:rPr>
          <w:rFonts w:eastAsia="Batang"/>
          <w:lang w:val="fr-FR"/>
        </w:rPr>
        <w:t xml:space="preserve"> une amende (leurs peine</w:t>
      </w:r>
      <w:r w:rsidR="00E304B4" w:rsidRPr="002715F2">
        <w:rPr>
          <w:rFonts w:eastAsia="Batang"/>
          <w:lang w:val="fr-FR"/>
        </w:rPr>
        <w:t>s ont été confirmées) et les 11 </w:t>
      </w:r>
      <w:r w:rsidR="00667E3C" w:rsidRPr="002715F2">
        <w:rPr>
          <w:rFonts w:eastAsia="Batang"/>
          <w:lang w:val="fr-FR"/>
        </w:rPr>
        <w:t xml:space="preserve">autres sont actuellement en </w:t>
      </w:r>
      <w:r w:rsidR="00693A94" w:rsidRPr="002715F2">
        <w:rPr>
          <w:rFonts w:eastAsia="Batang"/>
          <w:lang w:val="fr-FR"/>
        </w:rPr>
        <w:t xml:space="preserve">cours de </w:t>
      </w:r>
      <w:r w:rsidR="00667E3C" w:rsidRPr="002715F2">
        <w:rPr>
          <w:rFonts w:eastAsia="Batang"/>
          <w:lang w:val="fr-FR"/>
        </w:rPr>
        <w:t>procès</w:t>
      </w:r>
      <w:r w:rsidR="000078DA" w:rsidRPr="002715F2">
        <w:rPr>
          <w:rFonts w:eastAsia="Batang"/>
          <w:lang w:val="fr-FR"/>
        </w:rPr>
        <w:t xml:space="preserve">. </w:t>
      </w:r>
      <w:r w:rsidR="00693A94" w:rsidRPr="002715F2">
        <w:rPr>
          <w:rFonts w:eastAsia="Batang"/>
          <w:lang w:val="fr-FR"/>
        </w:rPr>
        <w:t>Les t</w:t>
      </w:r>
      <w:r w:rsidR="002E1E9A" w:rsidRPr="002715F2">
        <w:rPr>
          <w:rFonts w:eastAsia="Batang"/>
          <w:lang w:val="fr-FR"/>
        </w:rPr>
        <w:t>rois </w:t>
      </w:r>
      <w:r w:rsidR="00693A94" w:rsidRPr="002715F2">
        <w:rPr>
          <w:rFonts w:eastAsia="Batang"/>
          <w:lang w:val="fr-FR"/>
        </w:rPr>
        <w:t xml:space="preserve">personnes condamnées à une peine de prison étaient accusées de voies de fait contre des policiers, </w:t>
      </w:r>
      <w:r w:rsidR="00E304B4" w:rsidRPr="002715F2">
        <w:rPr>
          <w:rFonts w:eastAsia="Batang"/>
          <w:lang w:val="fr-FR"/>
        </w:rPr>
        <w:t xml:space="preserve">de </w:t>
      </w:r>
      <w:r w:rsidR="00693A94" w:rsidRPr="002715F2">
        <w:rPr>
          <w:rFonts w:eastAsia="Batang"/>
          <w:lang w:val="fr-FR"/>
        </w:rPr>
        <w:t xml:space="preserve">jets de cocktails Molotov et </w:t>
      </w:r>
      <w:r w:rsidR="00E304B4" w:rsidRPr="002715F2">
        <w:rPr>
          <w:rFonts w:eastAsia="Batang"/>
          <w:lang w:val="fr-FR"/>
        </w:rPr>
        <w:t>d’</w:t>
      </w:r>
      <w:r w:rsidR="00693A94" w:rsidRPr="002715F2">
        <w:rPr>
          <w:rFonts w:eastAsia="Batang"/>
          <w:lang w:val="fr-FR"/>
        </w:rPr>
        <w:t xml:space="preserve">obstruction </w:t>
      </w:r>
      <w:r w:rsidR="00F46778" w:rsidRPr="002715F2">
        <w:rPr>
          <w:rFonts w:eastAsia="Batang"/>
          <w:lang w:val="fr-FR"/>
        </w:rPr>
        <w:t>à</w:t>
      </w:r>
      <w:r w:rsidR="00693A94" w:rsidRPr="002715F2">
        <w:rPr>
          <w:rFonts w:eastAsia="Batang"/>
          <w:lang w:val="fr-FR"/>
        </w:rPr>
        <w:t xml:space="preserve"> la circulation</w:t>
      </w:r>
      <w:r w:rsidR="00E97B1A" w:rsidRPr="002715F2">
        <w:rPr>
          <w:rFonts w:eastAsia="Batang"/>
          <w:lang w:val="fr-FR"/>
        </w:rPr>
        <w:t>;</w:t>
      </w:r>
      <w:r w:rsidR="00693A94" w:rsidRPr="002715F2">
        <w:rPr>
          <w:rFonts w:eastAsia="Batang"/>
          <w:lang w:val="fr-FR"/>
        </w:rPr>
        <w:t xml:space="preserve"> </w:t>
      </w:r>
      <w:r w:rsidR="00F46778" w:rsidRPr="002715F2">
        <w:rPr>
          <w:rFonts w:eastAsia="Batang"/>
          <w:lang w:val="fr-FR"/>
        </w:rPr>
        <w:t>ces personnes</w:t>
      </w:r>
      <w:r w:rsidR="002E1E9A" w:rsidRPr="002715F2">
        <w:rPr>
          <w:rFonts w:eastAsia="Batang"/>
          <w:lang w:val="fr-FR"/>
        </w:rPr>
        <w:t xml:space="preserve"> ont été</w:t>
      </w:r>
      <w:r w:rsidR="00693A94" w:rsidRPr="002715F2">
        <w:rPr>
          <w:rFonts w:eastAsia="Batang"/>
          <w:lang w:val="fr-FR"/>
        </w:rPr>
        <w:t xml:space="preserve"> libéré</w:t>
      </w:r>
      <w:r w:rsidR="002E1E9A" w:rsidRPr="002715F2">
        <w:rPr>
          <w:rFonts w:eastAsia="Batang"/>
          <w:lang w:val="fr-FR"/>
        </w:rPr>
        <w:t>e</w:t>
      </w:r>
      <w:r w:rsidR="00693A94" w:rsidRPr="002715F2">
        <w:rPr>
          <w:rFonts w:eastAsia="Batang"/>
          <w:lang w:val="fr-FR"/>
        </w:rPr>
        <w:t xml:space="preserve">s après </w:t>
      </w:r>
      <w:r w:rsidR="002E1E9A" w:rsidRPr="002715F2">
        <w:rPr>
          <w:rFonts w:eastAsia="Batang"/>
          <w:lang w:val="fr-FR"/>
        </w:rPr>
        <w:t>avoir purgé leur peine</w:t>
      </w:r>
      <w:r w:rsidR="000078DA" w:rsidRPr="002715F2">
        <w:rPr>
          <w:rFonts w:eastAsia="Batang"/>
          <w:lang w:val="fr-FR"/>
        </w:rPr>
        <w:t xml:space="preserve">. </w:t>
      </w:r>
      <w:r w:rsidR="002E1E9A" w:rsidRPr="002715F2">
        <w:rPr>
          <w:rFonts w:eastAsia="Batang"/>
          <w:lang w:val="fr-FR"/>
        </w:rPr>
        <w:t>En outre</w:t>
      </w:r>
      <w:r w:rsidR="000078DA" w:rsidRPr="002715F2">
        <w:rPr>
          <w:rFonts w:eastAsia="Batang"/>
          <w:lang w:val="fr-FR"/>
        </w:rPr>
        <w:t xml:space="preserve">, </w:t>
      </w:r>
      <w:r w:rsidR="005B6D7E" w:rsidRPr="002715F2">
        <w:rPr>
          <w:rFonts w:eastAsia="Batang"/>
          <w:lang w:val="fr-FR"/>
        </w:rPr>
        <w:t xml:space="preserve">les 11 personnes dont les procès </w:t>
      </w:r>
      <w:r w:rsidR="00E85B98" w:rsidRPr="002715F2">
        <w:rPr>
          <w:rFonts w:eastAsia="Batang"/>
          <w:lang w:val="fr-FR"/>
        </w:rPr>
        <w:t xml:space="preserve">sont toujours en cours ont toutes été remises en liberté dans l’attente de leur jugement. Au 25 janvier 2016, aucune </w:t>
      </w:r>
      <w:r w:rsidR="00F46778" w:rsidRPr="002715F2">
        <w:rPr>
          <w:rFonts w:eastAsia="Batang"/>
          <w:lang w:val="fr-FR"/>
        </w:rPr>
        <w:t xml:space="preserve">des </w:t>
      </w:r>
      <w:r w:rsidR="00E85B98" w:rsidRPr="002715F2">
        <w:rPr>
          <w:rFonts w:eastAsia="Batang"/>
          <w:lang w:val="fr-FR"/>
        </w:rPr>
        <w:t>personne</w:t>
      </w:r>
      <w:r w:rsidR="00F46778" w:rsidRPr="002715F2">
        <w:rPr>
          <w:rFonts w:eastAsia="Batang"/>
          <w:lang w:val="fr-FR"/>
        </w:rPr>
        <w:t xml:space="preserve">s </w:t>
      </w:r>
      <w:r w:rsidR="0039617D" w:rsidRPr="002715F2">
        <w:rPr>
          <w:rFonts w:eastAsia="Batang"/>
          <w:lang w:val="fr-FR"/>
        </w:rPr>
        <w:t>concernées</w:t>
      </w:r>
      <w:r w:rsidR="00E85B98" w:rsidRPr="002715F2">
        <w:rPr>
          <w:rFonts w:eastAsia="Batang"/>
          <w:lang w:val="fr-FR"/>
        </w:rPr>
        <w:t xml:space="preserve"> </w:t>
      </w:r>
      <w:r w:rsidR="00F46778" w:rsidRPr="002715F2">
        <w:rPr>
          <w:rFonts w:eastAsia="Batang"/>
          <w:lang w:val="fr-FR"/>
        </w:rPr>
        <w:t>ne se trouvait</w:t>
      </w:r>
      <w:r w:rsidR="00E85B98" w:rsidRPr="002715F2">
        <w:rPr>
          <w:rFonts w:eastAsia="Batang"/>
          <w:lang w:val="fr-FR"/>
        </w:rPr>
        <w:t xml:space="preserve"> en détention</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188.</w:t>
      </w:r>
      <w:r w:rsidRPr="002715F2">
        <w:rPr>
          <w:rFonts w:eastAsia="Batang"/>
          <w:lang w:val="fr-FR"/>
        </w:rPr>
        <w:tab/>
      </w:r>
      <w:r w:rsidR="00F46778" w:rsidRPr="002715F2">
        <w:rPr>
          <w:rFonts w:eastAsia="Batang"/>
          <w:lang w:val="fr-FR"/>
        </w:rPr>
        <w:t xml:space="preserve">Le Gouvernement </w:t>
      </w:r>
      <w:r w:rsidR="00FF3EAB" w:rsidRPr="002715F2">
        <w:rPr>
          <w:rFonts w:eastAsia="Batang"/>
          <w:lang w:val="fr-FR"/>
        </w:rPr>
        <w:t>a</w:t>
      </w:r>
      <w:r w:rsidR="00F46778" w:rsidRPr="002715F2">
        <w:rPr>
          <w:rFonts w:eastAsia="Batang"/>
          <w:lang w:val="fr-FR"/>
        </w:rPr>
        <w:t xml:space="preserve"> seulement arrêté les personnes qui avaient enfreint les lois et commis des infractions </w:t>
      </w:r>
      <w:r w:rsidR="00FF3EAB" w:rsidRPr="002715F2">
        <w:rPr>
          <w:rFonts w:eastAsia="Batang"/>
          <w:lang w:val="fr-FR"/>
        </w:rPr>
        <w:t>dans le cadre</w:t>
      </w:r>
      <w:r w:rsidR="00F46778" w:rsidRPr="002715F2">
        <w:rPr>
          <w:rFonts w:eastAsia="Batang"/>
          <w:lang w:val="fr-FR"/>
        </w:rPr>
        <w:t xml:space="preserve"> des </w:t>
      </w:r>
      <w:r w:rsidR="00FF3EAB" w:rsidRPr="002715F2">
        <w:rPr>
          <w:rFonts w:eastAsia="Batang"/>
          <w:lang w:val="fr-FR"/>
        </w:rPr>
        <w:t>mani</w:t>
      </w:r>
      <w:r w:rsidR="00F46778" w:rsidRPr="002715F2">
        <w:rPr>
          <w:rFonts w:eastAsia="Batang"/>
          <w:lang w:val="fr-FR"/>
        </w:rPr>
        <w:t xml:space="preserve">festations tenues à la lueur des bougies. Personne, y compris aucun défenseur des droits de l’homme, n’a été arrêté sans motif </w:t>
      </w:r>
      <w:r w:rsidR="0039617D" w:rsidRPr="002715F2">
        <w:rPr>
          <w:rFonts w:eastAsia="Batang"/>
          <w:lang w:val="fr-FR"/>
        </w:rPr>
        <w:t>légal</w:t>
      </w:r>
      <w:r w:rsidR="000078DA" w:rsidRPr="002715F2">
        <w:rPr>
          <w:rFonts w:eastAsia="Batang"/>
          <w:lang w:val="fr-FR"/>
        </w:rPr>
        <w:t xml:space="preserve">. </w:t>
      </w:r>
      <w:r w:rsidR="00FF3EAB" w:rsidRPr="002715F2">
        <w:rPr>
          <w:rFonts w:eastAsia="Batang"/>
          <w:lang w:val="fr-FR"/>
        </w:rPr>
        <w:t>Le Gouvernement autorise</w:t>
      </w:r>
      <w:r w:rsidR="00A416E0" w:rsidRPr="002715F2">
        <w:rPr>
          <w:rFonts w:eastAsia="Batang"/>
          <w:lang w:val="fr-FR"/>
        </w:rPr>
        <w:t xml:space="preserve"> pleinement</w:t>
      </w:r>
      <w:r w:rsidR="00FF3EAB" w:rsidRPr="002715F2">
        <w:rPr>
          <w:rFonts w:eastAsia="Batang"/>
          <w:lang w:val="fr-FR"/>
        </w:rPr>
        <w:t xml:space="preserve"> la tenue de rassemblements et de manifestations légaux, </w:t>
      </w:r>
      <w:r w:rsidR="00A416E0" w:rsidRPr="002715F2">
        <w:rPr>
          <w:rFonts w:eastAsia="Batang"/>
          <w:lang w:val="fr-FR"/>
        </w:rPr>
        <w:t>ainsi que</w:t>
      </w:r>
      <w:r w:rsidR="00FF3EAB" w:rsidRPr="002715F2">
        <w:rPr>
          <w:rFonts w:eastAsia="Batang"/>
          <w:lang w:val="fr-FR"/>
        </w:rPr>
        <w:t xml:space="preserve"> l’organisation d’activités pertinentes, et sanctionne uniquement les actions illégales comme les actes de violence ou la destruction d’objets</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189.</w:t>
      </w:r>
      <w:r w:rsidRPr="002715F2">
        <w:rPr>
          <w:rFonts w:eastAsia="Batang"/>
          <w:lang w:val="fr-FR"/>
        </w:rPr>
        <w:tab/>
      </w:r>
      <w:r w:rsidR="00D83826" w:rsidRPr="002715F2">
        <w:rPr>
          <w:rFonts w:eastAsia="Batang"/>
          <w:lang w:val="fr-FR"/>
        </w:rPr>
        <w:t>La Commission nationale des droits de l’homme</w:t>
      </w:r>
      <w:r w:rsidR="000078DA" w:rsidRPr="002715F2">
        <w:rPr>
          <w:rFonts w:eastAsia="Batang"/>
          <w:lang w:val="fr-FR"/>
        </w:rPr>
        <w:t xml:space="preserve"> </w:t>
      </w:r>
      <w:r w:rsidR="00A416E0" w:rsidRPr="002715F2">
        <w:rPr>
          <w:rFonts w:eastAsia="Batang"/>
          <w:lang w:val="fr-FR"/>
        </w:rPr>
        <w:t xml:space="preserve">a mené des enquêtes d’office et sur </w:t>
      </w:r>
      <w:r w:rsidR="0039617D" w:rsidRPr="002715F2">
        <w:rPr>
          <w:rFonts w:eastAsia="Batang"/>
          <w:lang w:val="fr-FR"/>
        </w:rPr>
        <w:t>réception</w:t>
      </w:r>
      <w:r w:rsidR="00A416E0" w:rsidRPr="002715F2">
        <w:rPr>
          <w:rFonts w:eastAsia="Batang"/>
          <w:lang w:val="fr-FR"/>
        </w:rPr>
        <w:t xml:space="preserve"> de </w:t>
      </w:r>
      <w:r w:rsidR="00AD55A0" w:rsidRPr="002715F2">
        <w:rPr>
          <w:rFonts w:eastAsia="Batang"/>
          <w:lang w:val="fr-FR"/>
        </w:rPr>
        <w:t>plainte</w:t>
      </w:r>
      <w:r w:rsidR="00A416E0" w:rsidRPr="002715F2">
        <w:rPr>
          <w:rFonts w:eastAsia="Batang"/>
          <w:lang w:val="fr-FR"/>
        </w:rPr>
        <w:t xml:space="preserve"> </w:t>
      </w:r>
      <w:r w:rsidR="00E304B4" w:rsidRPr="002715F2">
        <w:rPr>
          <w:rFonts w:eastAsia="Batang"/>
          <w:lang w:val="fr-FR"/>
        </w:rPr>
        <w:t>au sujet d</w:t>
      </w:r>
      <w:r w:rsidR="00A416E0" w:rsidRPr="002715F2">
        <w:rPr>
          <w:rFonts w:eastAsia="Batang"/>
          <w:lang w:val="fr-FR"/>
        </w:rPr>
        <w:t xml:space="preserve">es manifestations </w:t>
      </w:r>
      <w:r w:rsidR="00E34AEB" w:rsidRPr="002715F2">
        <w:rPr>
          <w:rFonts w:eastAsia="Batang"/>
          <w:lang w:val="fr-FR"/>
        </w:rPr>
        <w:t xml:space="preserve">tenues </w:t>
      </w:r>
      <w:r w:rsidR="00A416E0" w:rsidRPr="002715F2">
        <w:rPr>
          <w:rFonts w:eastAsia="Batang"/>
          <w:lang w:val="fr-FR"/>
        </w:rPr>
        <w:t xml:space="preserve">aux </w:t>
      </w:r>
      <w:r w:rsidR="00E304B4" w:rsidRPr="002715F2">
        <w:rPr>
          <w:rFonts w:eastAsia="Batang"/>
          <w:lang w:val="fr-FR"/>
        </w:rPr>
        <w:t>bougies</w:t>
      </w:r>
      <w:r w:rsidR="00A416E0" w:rsidRPr="002715F2">
        <w:rPr>
          <w:rFonts w:eastAsia="Batang"/>
          <w:lang w:val="fr-FR"/>
        </w:rPr>
        <w:t xml:space="preserve"> </w:t>
      </w:r>
      <w:r w:rsidR="00E34AEB" w:rsidRPr="002715F2">
        <w:rPr>
          <w:rFonts w:eastAsia="Batang"/>
          <w:lang w:val="fr-FR"/>
        </w:rPr>
        <w:t>en</w:t>
      </w:r>
      <w:r w:rsidR="00A416E0" w:rsidRPr="002715F2">
        <w:rPr>
          <w:rFonts w:eastAsia="Batang"/>
          <w:lang w:val="fr-FR"/>
        </w:rPr>
        <w:t xml:space="preserve"> 2008</w:t>
      </w:r>
      <w:r w:rsidR="000078DA" w:rsidRPr="002715F2">
        <w:rPr>
          <w:rFonts w:eastAsia="Batang"/>
          <w:lang w:val="fr-FR"/>
        </w:rPr>
        <w:t xml:space="preserve">. </w:t>
      </w:r>
      <w:r w:rsidR="00A416E0" w:rsidRPr="002715F2">
        <w:rPr>
          <w:rFonts w:eastAsia="Batang"/>
          <w:lang w:val="fr-FR"/>
        </w:rPr>
        <w:t xml:space="preserve">Ces enquêtes ont confirmé que la police avait </w:t>
      </w:r>
      <w:r w:rsidR="000B0867" w:rsidRPr="002715F2">
        <w:rPr>
          <w:rFonts w:eastAsia="Batang"/>
          <w:lang w:val="fr-FR"/>
        </w:rPr>
        <w:t xml:space="preserve">parfois fait un usage </w:t>
      </w:r>
      <w:r w:rsidR="00A416E0" w:rsidRPr="002715F2">
        <w:rPr>
          <w:rFonts w:eastAsia="Batang"/>
          <w:lang w:val="fr-FR"/>
        </w:rPr>
        <w:t>excessi</w:t>
      </w:r>
      <w:r w:rsidR="000B0867" w:rsidRPr="002715F2">
        <w:rPr>
          <w:rFonts w:eastAsia="Batang"/>
          <w:lang w:val="fr-FR"/>
        </w:rPr>
        <w:t>f de la force</w:t>
      </w:r>
      <w:r w:rsidR="00A416E0" w:rsidRPr="002715F2">
        <w:rPr>
          <w:rFonts w:eastAsia="Batang"/>
          <w:lang w:val="fr-FR"/>
        </w:rPr>
        <w:t xml:space="preserve"> pour </w:t>
      </w:r>
      <w:r w:rsidR="00E34AEB" w:rsidRPr="002715F2">
        <w:rPr>
          <w:rFonts w:eastAsia="Batang"/>
          <w:lang w:val="fr-FR"/>
        </w:rPr>
        <w:t xml:space="preserve">les </w:t>
      </w:r>
      <w:r w:rsidR="00A416E0" w:rsidRPr="002715F2">
        <w:rPr>
          <w:rFonts w:eastAsia="Batang"/>
          <w:lang w:val="fr-FR"/>
        </w:rPr>
        <w:t>réprimer</w:t>
      </w:r>
      <w:r w:rsidR="00E34AEB" w:rsidRPr="002715F2">
        <w:rPr>
          <w:rFonts w:eastAsia="Batang"/>
          <w:lang w:val="fr-FR"/>
        </w:rPr>
        <w:t>,</w:t>
      </w:r>
      <w:r w:rsidR="00A416E0" w:rsidRPr="002715F2">
        <w:rPr>
          <w:rFonts w:eastAsia="Batang"/>
          <w:lang w:val="fr-FR"/>
        </w:rPr>
        <w:t xml:space="preserve"> et </w:t>
      </w:r>
      <w:r w:rsidR="000B0867" w:rsidRPr="002715F2">
        <w:rPr>
          <w:rFonts w:eastAsia="Batang"/>
          <w:lang w:val="fr-FR"/>
        </w:rPr>
        <w:t>enfreint</w:t>
      </w:r>
      <w:r w:rsidR="00A416E0" w:rsidRPr="002715F2">
        <w:rPr>
          <w:rFonts w:eastAsia="Batang"/>
          <w:lang w:val="fr-FR"/>
        </w:rPr>
        <w:t xml:space="preserve"> les droits de l’homme en blessant </w:t>
      </w:r>
      <w:r w:rsidR="000B0867" w:rsidRPr="002715F2">
        <w:rPr>
          <w:rFonts w:eastAsia="Batang"/>
          <w:lang w:val="fr-FR"/>
        </w:rPr>
        <w:t>des</w:t>
      </w:r>
      <w:r w:rsidR="00A416E0" w:rsidRPr="002715F2">
        <w:rPr>
          <w:rFonts w:eastAsia="Batang"/>
          <w:lang w:val="fr-FR"/>
        </w:rPr>
        <w:t xml:space="preserve"> manifestants</w:t>
      </w:r>
      <w:r w:rsidR="000078DA" w:rsidRPr="002715F2">
        <w:rPr>
          <w:rFonts w:eastAsia="Batang"/>
          <w:lang w:val="fr-FR"/>
        </w:rPr>
        <w:t xml:space="preserve">. </w:t>
      </w:r>
      <w:r w:rsidR="00D83826" w:rsidRPr="002715F2">
        <w:rPr>
          <w:rFonts w:eastAsia="Batang"/>
          <w:lang w:val="fr-FR"/>
        </w:rPr>
        <w:t xml:space="preserve">La Commission </w:t>
      </w:r>
      <w:r w:rsidR="000B0867" w:rsidRPr="002715F2">
        <w:rPr>
          <w:rFonts w:eastAsia="Batang"/>
          <w:lang w:val="fr-FR"/>
        </w:rPr>
        <w:t xml:space="preserve">a recommandé au Ministre de l’intérieur d’adresser </w:t>
      </w:r>
      <w:r w:rsidR="0068192A" w:rsidRPr="002715F2">
        <w:rPr>
          <w:rFonts w:eastAsia="Batang"/>
          <w:lang w:val="fr-FR"/>
        </w:rPr>
        <w:t xml:space="preserve">une mise en garde </w:t>
      </w:r>
      <w:r w:rsidR="00E304B4" w:rsidRPr="002715F2">
        <w:rPr>
          <w:rFonts w:eastAsia="Batang"/>
          <w:lang w:val="fr-FR"/>
        </w:rPr>
        <w:t>au Commissaire général de la P</w:t>
      </w:r>
      <w:r w:rsidR="000B0867" w:rsidRPr="002715F2">
        <w:rPr>
          <w:rFonts w:eastAsia="Batang"/>
          <w:lang w:val="fr-FR"/>
        </w:rPr>
        <w:t>olice</w:t>
      </w:r>
      <w:r w:rsidR="0068192A" w:rsidRPr="002715F2">
        <w:rPr>
          <w:rFonts w:eastAsia="Batang"/>
          <w:lang w:val="fr-FR"/>
        </w:rPr>
        <w:t xml:space="preserve"> nationale</w:t>
      </w:r>
      <w:r w:rsidR="000078DA" w:rsidRPr="002715F2">
        <w:rPr>
          <w:rFonts w:eastAsia="Batang"/>
          <w:lang w:val="fr-FR"/>
        </w:rPr>
        <w:t xml:space="preserve">. </w:t>
      </w:r>
      <w:r w:rsidR="0068192A" w:rsidRPr="002715F2">
        <w:rPr>
          <w:rFonts w:eastAsia="Batang"/>
          <w:lang w:val="fr-FR"/>
        </w:rPr>
        <w:t xml:space="preserve">Elle a également recommandé </w:t>
      </w:r>
      <w:r w:rsidR="00E304B4" w:rsidRPr="002715F2">
        <w:rPr>
          <w:rFonts w:eastAsia="Batang"/>
          <w:lang w:val="fr-FR"/>
        </w:rPr>
        <w:t>à ce dernier</w:t>
      </w:r>
      <w:r w:rsidR="0068192A" w:rsidRPr="002715F2">
        <w:rPr>
          <w:rFonts w:eastAsia="Batang"/>
          <w:lang w:val="fr-FR"/>
        </w:rPr>
        <w:t xml:space="preserve"> de </w:t>
      </w:r>
      <w:r w:rsidR="00AD55A0" w:rsidRPr="002715F2">
        <w:rPr>
          <w:rFonts w:eastAsia="Batang"/>
          <w:lang w:val="fr-FR"/>
        </w:rPr>
        <w:t>respecter les</w:t>
      </w:r>
      <w:r w:rsidR="0068192A" w:rsidRPr="002715F2">
        <w:rPr>
          <w:rFonts w:eastAsia="Batang"/>
          <w:lang w:val="fr-FR"/>
        </w:rPr>
        <w:t xml:space="preserve"> mesures de sécurité en </w:t>
      </w:r>
      <w:r w:rsidR="00AD55A0" w:rsidRPr="002715F2">
        <w:rPr>
          <w:rFonts w:eastAsia="Batang"/>
          <w:lang w:val="fr-FR"/>
        </w:rPr>
        <w:t xml:space="preserve">la </w:t>
      </w:r>
      <w:r w:rsidR="0068192A" w:rsidRPr="002715F2">
        <w:rPr>
          <w:rFonts w:eastAsia="Batang"/>
          <w:lang w:val="fr-FR"/>
        </w:rPr>
        <w:t>matière, lesquelles donnent la priorité à la vie et à l’intégrité physique</w:t>
      </w:r>
      <w:r w:rsidR="00E34AEB" w:rsidRPr="002715F2">
        <w:rPr>
          <w:rFonts w:eastAsia="Batang"/>
          <w:lang w:val="fr-FR"/>
        </w:rPr>
        <w:t>,</w:t>
      </w:r>
      <w:r w:rsidR="0068192A" w:rsidRPr="002715F2">
        <w:rPr>
          <w:rFonts w:eastAsia="Batang"/>
          <w:lang w:val="fr-FR"/>
        </w:rPr>
        <w:t xml:space="preserve"> afin de prévenir </w:t>
      </w:r>
      <w:r w:rsidR="00E34AEB" w:rsidRPr="002715F2">
        <w:rPr>
          <w:rFonts w:eastAsia="Batang"/>
          <w:lang w:val="fr-FR"/>
        </w:rPr>
        <w:t>toute nouvelle violation</w:t>
      </w:r>
      <w:r w:rsidR="0068192A" w:rsidRPr="002715F2">
        <w:rPr>
          <w:rFonts w:eastAsia="Batang"/>
          <w:lang w:val="fr-FR"/>
        </w:rPr>
        <w:t xml:space="preserve"> des droits de l’homme </w:t>
      </w:r>
      <w:r w:rsidR="00E34AEB" w:rsidRPr="002715F2">
        <w:rPr>
          <w:lang w:val="fr-FR"/>
        </w:rPr>
        <w:t>quand il doit être mis fin à d</w:t>
      </w:r>
      <w:r w:rsidR="007D4E1E" w:rsidRPr="002715F2">
        <w:rPr>
          <w:lang w:val="fr-FR"/>
        </w:rPr>
        <w:t>e</w:t>
      </w:r>
      <w:r w:rsidR="00E34AEB" w:rsidRPr="002715F2">
        <w:rPr>
          <w:lang w:val="fr-FR"/>
        </w:rPr>
        <w:t>s manifestations</w:t>
      </w:r>
      <w:r w:rsidR="007D4E1E" w:rsidRPr="002715F2">
        <w:rPr>
          <w:lang w:val="fr-FR"/>
        </w:rPr>
        <w:t xml:space="preserve"> </w:t>
      </w:r>
      <w:r w:rsidR="000078DA" w:rsidRPr="002715F2">
        <w:rPr>
          <w:rFonts w:eastAsia="Batang"/>
          <w:lang w:val="fr-FR"/>
        </w:rPr>
        <w:t>(</w:t>
      </w:r>
      <w:r w:rsidR="00AD55A0" w:rsidRPr="002715F2">
        <w:rPr>
          <w:rFonts w:eastAsia="Batang"/>
          <w:lang w:val="fr-FR"/>
        </w:rPr>
        <w:t>Décision de la Commission plénière en date du 27 octobre 2008</w:t>
      </w:r>
      <w:r w:rsidR="00F7371F"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AD55A0" w:rsidRPr="002715F2">
        <w:rPr>
          <w:rFonts w:eastAsia="Batang"/>
          <w:lang w:val="fr-FR" w:eastAsia="ko-KR"/>
        </w:rPr>
        <w:t xml:space="preserve">Réponse aux questions soulevées au </w:t>
      </w:r>
      <w:r w:rsidR="00E5009D" w:rsidRPr="002715F2">
        <w:rPr>
          <w:rFonts w:eastAsia="Batang"/>
          <w:lang w:val="fr-FR" w:eastAsia="ko-KR"/>
        </w:rPr>
        <w:t xml:space="preserve">paragraphe </w:t>
      </w:r>
      <w:r w:rsidR="00AD55A0" w:rsidRPr="002715F2">
        <w:rPr>
          <w:rFonts w:eastAsia="Batang"/>
          <w:lang w:val="fr-FR" w:eastAsia="ko-KR"/>
        </w:rPr>
        <w:t>36</w:t>
      </w:r>
    </w:p>
    <w:p w:rsidR="000078DA" w:rsidRPr="002715F2" w:rsidRDefault="007026FB" w:rsidP="007026FB">
      <w:pPr>
        <w:pStyle w:val="SingleTxtG"/>
        <w:rPr>
          <w:rFonts w:eastAsia="Batang"/>
          <w:lang w:val="fr-FR"/>
        </w:rPr>
      </w:pPr>
      <w:r w:rsidRPr="002715F2">
        <w:rPr>
          <w:rFonts w:eastAsia="Batang"/>
          <w:lang w:val="fr-FR"/>
        </w:rPr>
        <w:t>190.</w:t>
      </w:r>
      <w:r w:rsidRPr="002715F2">
        <w:rPr>
          <w:rFonts w:eastAsia="Batang"/>
          <w:lang w:val="fr-FR"/>
        </w:rPr>
        <w:tab/>
      </w:r>
      <w:r w:rsidR="00D002DA" w:rsidRPr="002715F2">
        <w:rPr>
          <w:rFonts w:eastAsia="Batang"/>
          <w:lang w:val="fr-FR"/>
        </w:rPr>
        <w:t>L</w:t>
      </w:r>
      <w:r w:rsidR="00AD55A0" w:rsidRPr="002715F2">
        <w:rPr>
          <w:rFonts w:eastAsia="Batang"/>
          <w:lang w:val="fr-FR"/>
        </w:rPr>
        <w:t>a loi sur la santé mentale</w:t>
      </w:r>
      <w:r w:rsidR="00D002DA" w:rsidRPr="002715F2">
        <w:rPr>
          <w:rFonts w:eastAsia="Batang"/>
          <w:lang w:val="fr-FR"/>
        </w:rPr>
        <w:t xml:space="preserve"> prévoit que</w:t>
      </w:r>
      <w:r w:rsidR="000078DA" w:rsidRPr="002715F2">
        <w:rPr>
          <w:rFonts w:eastAsia="Batang"/>
          <w:lang w:val="fr-FR"/>
        </w:rPr>
        <w:t xml:space="preserve"> </w:t>
      </w:r>
      <w:r w:rsidR="007D4E1E" w:rsidRPr="002715F2">
        <w:rPr>
          <w:rFonts w:eastAsia="Batang"/>
          <w:lang w:val="fr-FR"/>
        </w:rPr>
        <w:t>lorsqu’</w:t>
      </w:r>
      <w:r w:rsidR="00AD55A0" w:rsidRPr="002715F2">
        <w:rPr>
          <w:rFonts w:eastAsia="Batang"/>
          <w:lang w:val="fr-FR"/>
        </w:rPr>
        <w:t xml:space="preserve">un patient </w:t>
      </w:r>
      <w:r w:rsidR="007D4E1E" w:rsidRPr="002715F2">
        <w:rPr>
          <w:rFonts w:eastAsia="Batang"/>
          <w:lang w:val="fr-FR"/>
        </w:rPr>
        <w:t xml:space="preserve">est </w:t>
      </w:r>
      <w:r w:rsidR="00AD55A0" w:rsidRPr="002715F2">
        <w:rPr>
          <w:rFonts w:eastAsia="Batang"/>
          <w:lang w:val="fr-FR"/>
        </w:rPr>
        <w:t xml:space="preserve">hospitalisé </w:t>
      </w:r>
      <w:r w:rsidR="007D4E1E" w:rsidRPr="002715F2">
        <w:rPr>
          <w:rFonts w:eastAsia="Batang"/>
          <w:lang w:val="fr-FR"/>
        </w:rPr>
        <w:t>à la demande d’</w:t>
      </w:r>
      <w:r w:rsidR="00AD55A0" w:rsidRPr="002715F2">
        <w:rPr>
          <w:rFonts w:eastAsia="Batang"/>
          <w:lang w:val="fr-FR"/>
        </w:rPr>
        <w:t>un</w:t>
      </w:r>
      <w:r w:rsidR="007D4E1E" w:rsidRPr="002715F2">
        <w:rPr>
          <w:rFonts w:eastAsia="Batang"/>
          <w:lang w:val="fr-FR"/>
        </w:rPr>
        <w:t>e personne</w:t>
      </w:r>
      <w:r w:rsidR="00AD55A0" w:rsidRPr="002715F2">
        <w:rPr>
          <w:rFonts w:eastAsia="Batang"/>
          <w:lang w:val="fr-FR"/>
        </w:rPr>
        <w:t xml:space="preserve"> </w:t>
      </w:r>
      <w:r w:rsidR="00606FDC" w:rsidRPr="002715F2">
        <w:rPr>
          <w:rFonts w:eastAsia="Batang"/>
          <w:lang w:val="fr-FR"/>
        </w:rPr>
        <w:t>chargée</w:t>
      </w:r>
      <w:r w:rsidR="00AD55A0" w:rsidRPr="002715F2">
        <w:rPr>
          <w:rFonts w:eastAsia="Batang"/>
          <w:lang w:val="fr-FR"/>
        </w:rPr>
        <w:t xml:space="preserve"> de </w:t>
      </w:r>
      <w:r w:rsidR="007D4E1E" w:rsidRPr="002715F2">
        <w:rPr>
          <w:rFonts w:eastAsia="Batang"/>
          <w:lang w:val="fr-FR"/>
        </w:rPr>
        <w:t>sa</w:t>
      </w:r>
      <w:r w:rsidR="00AD55A0" w:rsidRPr="002715F2">
        <w:rPr>
          <w:rFonts w:eastAsia="Batang"/>
          <w:lang w:val="fr-FR"/>
        </w:rPr>
        <w:t xml:space="preserve"> </w:t>
      </w:r>
      <w:r w:rsidR="00606FDC" w:rsidRPr="002715F2">
        <w:rPr>
          <w:rFonts w:eastAsia="Batang"/>
          <w:lang w:val="fr-FR"/>
        </w:rPr>
        <w:t>tutelle</w:t>
      </w:r>
      <w:r w:rsidR="00AD55A0" w:rsidRPr="002715F2">
        <w:rPr>
          <w:rFonts w:eastAsia="Batang"/>
          <w:lang w:val="fr-FR"/>
        </w:rPr>
        <w:t xml:space="preserve">, </w:t>
      </w:r>
      <w:r w:rsidR="007D4E1E" w:rsidRPr="002715F2">
        <w:rPr>
          <w:rFonts w:eastAsia="Batang"/>
          <w:lang w:val="fr-FR"/>
        </w:rPr>
        <w:t>ce</w:t>
      </w:r>
      <w:r w:rsidR="00AD55A0" w:rsidRPr="002715F2">
        <w:rPr>
          <w:rFonts w:eastAsia="Batang"/>
          <w:lang w:val="fr-FR"/>
        </w:rPr>
        <w:t xml:space="preserve"> patient ou </w:t>
      </w:r>
      <w:r w:rsidR="00606FDC" w:rsidRPr="002715F2">
        <w:rPr>
          <w:rFonts w:eastAsia="Batang"/>
          <w:lang w:val="fr-FR"/>
        </w:rPr>
        <w:t xml:space="preserve">sa tutelle </w:t>
      </w:r>
      <w:r w:rsidR="00AD55A0" w:rsidRPr="002715F2">
        <w:rPr>
          <w:rFonts w:eastAsia="Batang"/>
          <w:lang w:val="fr-FR"/>
        </w:rPr>
        <w:t xml:space="preserve">peut </w:t>
      </w:r>
      <w:r w:rsidR="001F4965" w:rsidRPr="002715F2">
        <w:rPr>
          <w:rFonts w:eastAsia="Batang"/>
          <w:lang w:val="fr-FR"/>
        </w:rPr>
        <w:t xml:space="preserve">s’adresser </w:t>
      </w:r>
      <w:r w:rsidR="007D4E1E" w:rsidRPr="002715F2">
        <w:rPr>
          <w:rFonts w:eastAsia="Batang"/>
          <w:lang w:val="fr-FR"/>
        </w:rPr>
        <w:t>au</w:t>
      </w:r>
      <w:r w:rsidR="002411E1" w:rsidRPr="002715F2">
        <w:rPr>
          <w:rFonts w:eastAsia="Batang"/>
          <w:lang w:val="fr-FR"/>
        </w:rPr>
        <w:t>x</w:t>
      </w:r>
      <w:r w:rsidR="007D4E1E" w:rsidRPr="002715F2">
        <w:rPr>
          <w:rFonts w:eastAsia="Batang"/>
          <w:lang w:val="fr-FR"/>
        </w:rPr>
        <w:t xml:space="preserve"> </w:t>
      </w:r>
      <w:r w:rsidR="002411E1" w:rsidRPr="002715F2">
        <w:rPr>
          <w:rFonts w:eastAsia="Batang"/>
          <w:lang w:val="fr-FR"/>
        </w:rPr>
        <w:t>autorités de</w:t>
      </w:r>
      <w:r w:rsidR="007D4E1E" w:rsidRPr="002715F2">
        <w:rPr>
          <w:rFonts w:eastAsia="Batang"/>
          <w:lang w:val="fr-FR"/>
        </w:rPr>
        <w:t xml:space="preserve"> la </w:t>
      </w:r>
      <w:r w:rsidR="007D4E1E" w:rsidRPr="002715F2">
        <w:rPr>
          <w:rFonts w:ascii="TimesNewRomanPSMT" w:hAnsi="TimesNewRomanPSMT" w:cs="TimesNewRomanPSMT"/>
          <w:lang w:val="fr-FR" w:eastAsia="en-GB"/>
        </w:rPr>
        <w:t xml:space="preserve">ville (Si), du comté (Gun) </w:t>
      </w:r>
      <w:r w:rsidR="002411E1" w:rsidRPr="002715F2">
        <w:rPr>
          <w:rFonts w:ascii="TimesNewRomanPSMT" w:hAnsi="TimesNewRomanPSMT" w:cs="TimesNewRomanPSMT"/>
          <w:lang w:val="fr-FR" w:eastAsia="en-GB"/>
        </w:rPr>
        <w:t>ou</w:t>
      </w:r>
      <w:r w:rsidR="007D4E1E" w:rsidRPr="002715F2">
        <w:rPr>
          <w:rFonts w:ascii="TimesNewRomanPSMT" w:hAnsi="TimesNewRomanPSMT" w:cs="TimesNewRomanPSMT"/>
          <w:lang w:val="fr-FR" w:eastAsia="en-GB"/>
        </w:rPr>
        <w:t xml:space="preserve"> du district (Gu) </w:t>
      </w:r>
      <w:r w:rsidR="001F4965" w:rsidRPr="002715F2">
        <w:rPr>
          <w:rFonts w:ascii="TimesNewRomanPSMT" w:hAnsi="TimesNewRomanPSMT" w:cs="TimesNewRomanPSMT"/>
          <w:lang w:val="fr-FR" w:eastAsia="en-GB"/>
        </w:rPr>
        <w:t xml:space="preserve">pour </w:t>
      </w:r>
      <w:r w:rsidR="009966B6" w:rsidRPr="002715F2">
        <w:rPr>
          <w:rFonts w:ascii="TimesNewRomanPSMT" w:hAnsi="TimesNewRomanPSMT" w:cs="TimesNewRomanPSMT"/>
          <w:lang w:val="fr-FR" w:eastAsia="en-GB"/>
        </w:rPr>
        <w:t>solliciter</w:t>
      </w:r>
      <w:r w:rsidR="002411E1" w:rsidRPr="002715F2">
        <w:rPr>
          <w:rFonts w:ascii="TimesNewRomanPSMT" w:hAnsi="TimesNewRomanPSMT" w:cs="TimesNewRomanPSMT"/>
          <w:lang w:val="fr-FR" w:eastAsia="en-GB"/>
        </w:rPr>
        <w:t xml:space="preserve"> une </w:t>
      </w:r>
      <w:r w:rsidR="00606FDC" w:rsidRPr="002715F2">
        <w:rPr>
          <w:rFonts w:ascii="TimesNewRomanPSMT" w:hAnsi="TimesNewRomanPSMT" w:cs="TimesNewRomanPSMT"/>
          <w:lang w:val="fr-FR" w:eastAsia="en-GB"/>
        </w:rPr>
        <w:t>autorisation</w:t>
      </w:r>
      <w:r w:rsidR="00873262" w:rsidRPr="002715F2">
        <w:rPr>
          <w:rFonts w:ascii="TimesNewRomanPSMT" w:hAnsi="TimesNewRomanPSMT" w:cs="TimesNewRomanPSMT"/>
          <w:lang w:val="fr-FR" w:eastAsia="en-GB"/>
        </w:rPr>
        <w:t xml:space="preserve"> de </w:t>
      </w:r>
      <w:r w:rsidR="00AC0F68" w:rsidRPr="002715F2">
        <w:rPr>
          <w:rFonts w:ascii="TimesNewRomanPSMT" w:hAnsi="TimesNewRomanPSMT" w:cs="TimesNewRomanPSMT"/>
          <w:lang w:val="fr-FR" w:eastAsia="en-GB"/>
        </w:rPr>
        <w:t>quitter l’établissement</w:t>
      </w:r>
      <w:r w:rsidR="00873262" w:rsidRPr="002715F2">
        <w:rPr>
          <w:rFonts w:ascii="TimesNewRomanPSMT" w:hAnsi="TimesNewRomanPSMT" w:cs="TimesNewRomanPSMT"/>
          <w:lang w:val="fr-FR" w:eastAsia="en-GB"/>
        </w:rPr>
        <w:t xml:space="preserve"> ou une </w:t>
      </w:r>
      <w:r w:rsidR="0039617D" w:rsidRPr="002715F2">
        <w:rPr>
          <w:rFonts w:ascii="TimesNewRomanPSMT" w:hAnsi="TimesNewRomanPSMT" w:cs="TimesNewRomanPSMT"/>
          <w:lang w:val="fr-FR" w:eastAsia="en-GB"/>
        </w:rPr>
        <w:t>amélioration</w:t>
      </w:r>
      <w:r w:rsidR="00873262" w:rsidRPr="002715F2">
        <w:rPr>
          <w:rFonts w:ascii="TimesNewRomanPSMT" w:hAnsi="TimesNewRomanPSMT" w:cs="TimesNewRomanPSMT"/>
          <w:lang w:val="fr-FR" w:eastAsia="en-GB"/>
        </w:rPr>
        <w:t xml:space="preserve"> de</w:t>
      </w:r>
      <w:r w:rsidR="00AD55A0" w:rsidRPr="002715F2">
        <w:rPr>
          <w:rFonts w:eastAsia="Batang"/>
          <w:lang w:val="fr-FR"/>
        </w:rPr>
        <w:t xml:space="preserve"> traitement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29</w:t>
      </w:r>
      <w:r w:rsidR="00AD55A0"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p>
    <w:p w:rsidR="000078DA" w:rsidRPr="002715F2" w:rsidRDefault="007026FB" w:rsidP="007026FB">
      <w:pPr>
        <w:pStyle w:val="SingleTxtG"/>
        <w:rPr>
          <w:rFonts w:eastAsia="Batang"/>
          <w:lang w:val="fr-FR"/>
        </w:rPr>
      </w:pPr>
      <w:r w:rsidRPr="002715F2">
        <w:rPr>
          <w:rFonts w:eastAsia="Batang"/>
          <w:lang w:val="fr-FR"/>
        </w:rPr>
        <w:t>191.</w:t>
      </w:r>
      <w:r w:rsidRPr="002715F2">
        <w:rPr>
          <w:rFonts w:eastAsia="Batang"/>
          <w:lang w:val="fr-FR"/>
        </w:rPr>
        <w:tab/>
      </w:r>
      <w:r w:rsidR="000C1821" w:rsidRPr="002715F2">
        <w:rPr>
          <w:rFonts w:eastAsia="Batang"/>
          <w:lang w:val="fr-FR"/>
        </w:rPr>
        <w:t>En ce qui concerne les demande</w:t>
      </w:r>
      <w:r w:rsidR="001777CE" w:rsidRPr="002715F2">
        <w:rPr>
          <w:rFonts w:eastAsia="Batang"/>
          <w:lang w:val="fr-FR"/>
        </w:rPr>
        <w:t>s</w:t>
      </w:r>
      <w:r w:rsidR="000C1821" w:rsidRPr="002715F2">
        <w:rPr>
          <w:rFonts w:eastAsia="Batang"/>
          <w:lang w:val="fr-FR"/>
        </w:rPr>
        <w:t xml:space="preserve"> de dommages-intérêts</w:t>
      </w:r>
      <w:r w:rsidR="001777CE" w:rsidRPr="002715F2">
        <w:rPr>
          <w:rFonts w:eastAsia="Batang"/>
          <w:lang w:val="fr-FR"/>
        </w:rPr>
        <w:t xml:space="preserve"> portées devant les tribunaux</w:t>
      </w:r>
      <w:r w:rsidR="000C1821" w:rsidRPr="002715F2">
        <w:rPr>
          <w:rFonts w:eastAsia="Batang"/>
          <w:lang w:val="fr-FR"/>
        </w:rPr>
        <w:t>, la Cour suprême a jugé que si un établissement de santé mentale omet d’</w:t>
      </w:r>
      <w:r w:rsidR="001F4965" w:rsidRPr="002715F2">
        <w:rPr>
          <w:rFonts w:eastAsia="Batang"/>
          <w:lang w:val="fr-FR"/>
        </w:rPr>
        <w:t xml:space="preserve">informer </w:t>
      </w:r>
      <w:r w:rsidR="002411E1" w:rsidRPr="002715F2">
        <w:rPr>
          <w:rFonts w:eastAsia="Batang"/>
          <w:lang w:val="fr-FR"/>
        </w:rPr>
        <w:t xml:space="preserve">une personne souffrant de troubles mentaux, </w:t>
      </w:r>
      <w:r w:rsidR="000C1821" w:rsidRPr="002715F2">
        <w:rPr>
          <w:rFonts w:eastAsia="Batang"/>
          <w:lang w:val="fr-FR"/>
        </w:rPr>
        <w:t>par écrit</w:t>
      </w:r>
      <w:r w:rsidR="00D60744" w:rsidRPr="002715F2">
        <w:rPr>
          <w:rFonts w:ascii="TimesNewRomanPSMT" w:hAnsi="TimesNewRomanPSMT" w:cs="TimesNewRomanPSMT"/>
          <w:lang w:val="fr-FR" w:eastAsia="en-GB"/>
        </w:rPr>
        <w:t xml:space="preserve">, </w:t>
      </w:r>
      <w:r w:rsidR="002411E1" w:rsidRPr="002715F2">
        <w:rPr>
          <w:rFonts w:ascii="TimesNewRomanPSMT" w:hAnsi="TimesNewRomanPSMT" w:cs="TimesNewRomanPSMT"/>
          <w:lang w:val="fr-FR" w:eastAsia="en-GB"/>
        </w:rPr>
        <w:t>et dès que</w:t>
      </w:r>
      <w:r w:rsidR="001777CE" w:rsidRPr="002715F2">
        <w:rPr>
          <w:rFonts w:ascii="TimesNewRomanPSMT" w:hAnsi="TimesNewRomanPSMT" w:cs="TimesNewRomanPSMT"/>
          <w:lang w:val="fr-FR" w:eastAsia="en-GB"/>
        </w:rPr>
        <w:t xml:space="preserve"> celle-ci est</w:t>
      </w:r>
      <w:r w:rsidR="00D60744" w:rsidRPr="002715F2">
        <w:rPr>
          <w:rFonts w:ascii="TimesNewRomanPSMT" w:hAnsi="TimesNewRomanPSMT" w:cs="TimesNewRomanPSMT"/>
          <w:lang w:val="fr-FR" w:eastAsia="en-GB"/>
        </w:rPr>
        <w:t xml:space="preserve"> </w:t>
      </w:r>
      <w:r w:rsidR="002411E1" w:rsidRPr="002715F2">
        <w:rPr>
          <w:rFonts w:ascii="TimesNewRomanPSMT" w:hAnsi="TimesNewRomanPSMT" w:cs="TimesNewRomanPSMT"/>
          <w:lang w:val="fr-FR" w:eastAsia="en-GB"/>
        </w:rPr>
        <w:t>hospitalisée</w:t>
      </w:r>
      <w:r w:rsidR="001777CE" w:rsidRPr="002715F2">
        <w:rPr>
          <w:rFonts w:ascii="TimesNewRomanPSMT" w:hAnsi="TimesNewRomanPSMT" w:cs="TimesNewRomanPSMT"/>
          <w:lang w:val="fr-FR" w:eastAsia="en-GB"/>
        </w:rPr>
        <w:t xml:space="preserve"> </w:t>
      </w:r>
      <w:r w:rsidR="00D60744" w:rsidRPr="002715F2">
        <w:rPr>
          <w:rFonts w:eastAsia="Batang"/>
          <w:lang w:val="fr-FR"/>
        </w:rPr>
        <w:t>ou lorsque son hospitalisation est prolongée,</w:t>
      </w:r>
      <w:r w:rsidR="000C1821" w:rsidRPr="002715F2">
        <w:rPr>
          <w:rFonts w:eastAsia="Batang"/>
          <w:lang w:val="fr-FR"/>
        </w:rPr>
        <w:t xml:space="preserve"> </w:t>
      </w:r>
      <w:r w:rsidR="002411E1" w:rsidRPr="002715F2">
        <w:rPr>
          <w:rFonts w:eastAsia="Batang"/>
          <w:lang w:val="fr-FR"/>
        </w:rPr>
        <w:t>sur</w:t>
      </w:r>
      <w:r w:rsidR="000C1821" w:rsidRPr="002715F2">
        <w:rPr>
          <w:rFonts w:eastAsia="Batang"/>
          <w:lang w:val="fr-FR"/>
        </w:rPr>
        <w:t xml:space="preserve"> la procédure </w:t>
      </w:r>
      <w:r w:rsidR="002411E1" w:rsidRPr="002715F2">
        <w:rPr>
          <w:rFonts w:eastAsia="Batang"/>
          <w:lang w:val="fr-FR"/>
        </w:rPr>
        <w:t>à suivre</w:t>
      </w:r>
      <w:r w:rsidR="000C1821" w:rsidRPr="002715F2">
        <w:rPr>
          <w:rFonts w:eastAsia="Batang"/>
          <w:lang w:val="fr-FR"/>
        </w:rPr>
        <w:t xml:space="preserve"> pour demander </w:t>
      </w:r>
      <w:r w:rsidR="00AC0F68" w:rsidRPr="002715F2">
        <w:rPr>
          <w:rFonts w:eastAsia="Batang"/>
          <w:lang w:val="fr-FR"/>
        </w:rPr>
        <w:t xml:space="preserve">à </w:t>
      </w:r>
      <w:r w:rsidR="00AC0F68" w:rsidRPr="002715F2">
        <w:rPr>
          <w:rFonts w:ascii="TimesNewRomanPSMT" w:hAnsi="TimesNewRomanPSMT" w:cs="TimesNewRomanPSMT"/>
          <w:lang w:val="fr-FR" w:eastAsia="en-GB"/>
        </w:rPr>
        <w:t>quitter l’établissement</w:t>
      </w:r>
      <w:r w:rsidR="00D60744" w:rsidRPr="002715F2">
        <w:rPr>
          <w:rFonts w:ascii="TimesNewRomanPSMT" w:hAnsi="TimesNewRomanPSMT" w:cs="TimesNewRomanPSMT"/>
          <w:lang w:val="fr-FR" w:eastAsia="en-GB"/>
        </w:rPr>
        <w:t xml:space="preserve">, </w:t>
      </w:r>
      <w:r w:rsidR="000C1821" w:rsidRPr="002715F2">
        <w:rPr>
          <w:rFonts w:eastAsia="Batang"/>
          <w:lang w:val="fr-FR"/>
        </w:rPr>
        <w:t xml:space="preserve">ou </w:t>
      </w:r>
      <w:r w:rsidR="00C73C54" w:rsidRPr="002715F2">
        <w:rPr>
          <w:rFonts w:eastAsia="Batang"/>
          <w:lang w:val="fr-FR"/>
        </w:rPr>
        <w:t>si</w:t>
      </w:r>
      <w:r w:rsidR="00D60744" w:rsidRPr="002715F2">
        <w:rPr>
          <w:rFonts w:eastAsia="Batang"/>
          <w:lang w:val="fr-FR"/>
        </w:rPr>
        <w:t xml:space="preserve"> </w:t>
      </w:r>
      <w:r w:rsidR="00C73C54" w:rsidRPr="002715F2">
        <w:rPr>
          <w:rFonts w:eastAsia="Batang"/>
          <w:lang w:val="fr-FR"/>
        </w:rPr>
        <w:t xml:space="preserve">cet établissement </w:t>
      </w:r>
      <w:r w:rsidR="000C1821" w:rsidRPr="002715F2">
        <w:rPr>
          <w:rFonts w:eastAsia="Batang"/>
          <w:lang w:val="fr-FR"/>
        </w:rPr>
        <w:t xml:space="preserve">ne </w:t>
      </w:r>
      <w:r w:rsidR="00C73C54" w:rsidRPr="002715F2">
        <w:rPr>
          <w:rFonts w:eastAsia="Batang"/>
          <w:lang w:val="fr-FR"/>
        </w:rPr>
        <w:t>respecte</w:t>
      </w:r>
      <w:r w:rsidR="000C1821" w:rsidRPr="002715F2">
        <w:rPr>
          <w:rFonts w:eastAsia="Batang"/>
          <w:lang w:val="fr-FR"/>
        </w:rPr>
        <w:t xml:space="preserve"> pas les procédures prévues par la loi sur la santé mentale lorsqu’un patient de ce type demande </w:t>
      </w:r>
      <w:r w:rsidR="00AC0F68" w:rsidRPr="002715F2">
        <w:rPr>
          <w:rFonts w:eastAsia="Batang"/>
          <w:lang w:val="fr-FR"/>
        </w:rPr>
        <w:t>à sortir</w:t>
      </w:r>
      <w:r w:rsidR="000C1821" w:rsidRPr="002715F2">
        <w:rPr>
          <w:rFonts w:eastAsia="Batang"/>
          <w:lang w:val="fr-FR"/>
        </w:rPr>
        <w:t xml:space="preserve">, </w:t>
      </w:r>
      <w:r w:rsidR="00C73C54" w:rsidRPr="002715F2">
        <w:rPr>
          <w:rFonts w:eastAsia="Batang"/>
          <w:lang w:val="fr-FR"/>
        </w:rPr>
        <w:t xml:space="preserve">toute la durée de </w:t>
      </w:r>
      <w:r w:rsidR="00D60744" w:rsidRPr="002715F2">
        <w:rPr>
          <w:rFonts w:eastAsia="Batang"/>
          <w:lang w:val="fr-FR"/>
        </w:rPr>
        <w:t xml:space="preserve">son </w:t>
      </w:r>
      <w:r w:rsidR="00C73C54" w:rsidRPr="002715F2">
        <w:rPr>
          <w:rFonts w:eastAsia="Batang"/>
          <w:lang w:val="fr-FR"/>
        </w:rPr>
        <w:t>hospitalisation</w:t>
      </w:r>
      <w:r w:rsidR="000C1821" w:rsidRPr="002715F2">
        <w:rPr>
          <w:rFonts w:eastAsia="Batang"/>
          <w:lang w:val="fr-FR"/>
        </w:rPr>
        <w:t xml:space="preserve"> est considéré</w:t>
      </w:r>
      <w:r w:rsidR="00D60744" w:rsidRPr="002715F2">
        <w:rPr>
          <w:rFonts w:eastAsia="Batang"/>
          <w:lang w:val="fr-FR"/>
        </w:rPr>
        <w:t>e</w:t>
      </w:r>
      <w:r w:rsidR="000C1821" w:rsidRPr="002715F2">
        <w:rPr>
          <w:rFonts w:eastAsia="Batang"/>
          <w:lang w:val="fr-FR"/>
        </w:rPr>
        <w:t xml:space="preserve"> comme </w:t>
      </w:r>
      <w:r w:rsidR="00606FDC" w:rsidRPr="002715F2">
        <w:rPr>
          <w:rFonts w:eastAsia="Batang"/>
          <w:lang w:val="fr-FR"/>
        </w:rPr>
        <w:t>un</w:t>
      </w:r>
      <w:r w:rsidR="00C73C54" w:rsidRPr="002715F2">
        <w:rPr>
          <w:rFonts w:eastAsia="Batang"/>
          <w:lang w:val="fr-FR"/>
        </w:rPr>
        <w:t>e période</w:t>
      </w:r>
      <w:r w:rsidR="00606FDC" w:rsidRPr="002715F2">
        <w:rPr>
          <w:rFonts w:eastAsia="Batang"/>
          <w:lang w:val="fr-FR"/>
        </w:rPr>
        <w:t xml:space="preserve"> </w:t>
      </w:r>
      <w:r w:rsidR="00C73C54" w:rsidRPr="002715F2">
        <w:rPr>
          <w:rFonts w:eastAsia="Batang"/>
          <w:lang w:val="fr-FR"/>
        </w:rPr>
        <w:t>de</w:t>
      </w:r>
      <w:r w:rsidR="000C1821" w:rsidRPr="002715F2">
        <w:rPr>
          <w:rFonts w:eastAsia="Batang"/>
          <w:lang w:val="fr-FR"/>
        </w:rPr>
        <w:t xml:space="preserve"> détention illégal</w:t>
      </w:r>
      <w:r w:rsidR="00C73C54" w:rsidRPr="002715F2">
        <w:rPr>
          <w:rFonts w:eastAsia="Batang"/>
          <w:lang w:val="fr-FR"/>
        </w:rPr>
        <w:t>e et constitue un</w:t>
      </w:r>
      <w:r w:rsidR="000C1821" w:rsidRPr="002715F2">
        <w:rPr>
          <w:rFonts w:eastAsia="Batang"/>
          <w:lang w:val="fr-FR"/>
        </w:rPr>
        <w:t xml:space="preserve"> délit </w:t>
      </w:r>
      <w:r w:rsidR="00F7371F" w:rsidRPr="002715F2">
        <w:rPr>
          <w:rFonts w:eastAsia="Batang"/>
          <w:lang w:val="fr-FR"/>
        </w:rPr>
        <w:t>(2006Da19832).</w:t>
      </w:r>
    </w:p>
    <w:p w:rsidR="000078DA" w:rsidRPr="002715F2" w:rsidRDefault="007026FB" w:rsidP="007026FB">
      <w:pPr>
        <w:pStyle w:val="SingleTxtG"/>
        <w:rPr>
          <w:rFonts w:eastAsia="Batang"/>
          <w:lang w:val="fr-FR"/>
        </w:rPr>
      </w:pPr>
      <w:r w:rsidRPr="002715F2">
        <w:rPr>
          <w:rFonts w:eastAsia="Batang"/>
          <w:lang w:val="fr-FR"/>
        </w:rPr>
        <w:t>192.</w:t>
      </w:r>
      <w:r w:rsidRPr="002715F2">
        <w:rPr>
          <w:rFonts w:eastAsia="Batang"/>
          <w:lang w:val="fr-FR"/>
        </w:rPr>
        <w:tab/>
      </w:r>
      <w:r w:rsidR="001777CE" w:rsidRPr="002715F2">
        <w:rPr>
          <w:rFonts w:eastAsia="Batang"/>
          <w:lang w:val="fr-FR"/>
        </w:rPr>
        <w:t>La loi sur l’</w:t>
      </w:r>
      <w:r w:rsidR="001777CE" w:rsidRPr="002715F2">
        <w:rPr>
          <w:rFonts w:eastAsia="Batang"/>
          <w:i/>
          <w:lang w:val="fr-FR"/>
        </w:rPr>
        <w:t>h</w:t>
      </w:r>
      <w:r w:rsidR="000078DA" w:rsidRPr="002715F2">
        <w:rPr>
          <w:rFonts w:eastAsia="Batang"/>
          <w:i/>
          <w:lang w:val="fr-FR"/>
        </w:rPr>
        <w:t xml:space="preserve">abeas </w:t>
      </w:r>
      <w:r w:rsidR="001777CE" w:rsidRPr="002715F2">
        <w:rPr>
          <w:rFonts w:eastAsia="Batang"/>
          <w:i/>
          <w:lang w:val="fr-FR"/>
        </w:rPr>
        <w:t>c</w:t>
      </w:r>
      <w:r w:rsidR="000078DA" w:rsidRPr="002715F2">
        <w:rPr>
          <w:rFonts w:eastAsia="Batang"/>
          <w:i/>
          <w:lang w:val="fr-FR"/>
        </w:rPr>
        <w:t>orpus</w:t>
      </w:r>
      <w:r w:rsidR="001777CE" w:rsidRPr="002715F2">
        <w:rPr>
          <w:rFonts w:eastAsia="Batang"/>
          <w:lang w:val="fr-FR"/>
        </w:rPr>
        <w:t xml:space="preserve">, </w:t>
      </w:r>
      <w:r w:rsidR="0039617D" w:rsidRPr="002715F2">
        <w:rPr>
          <w:rFonts w:eastAsia="Batang"/>
          <w:lang w:val="fr-FR"/>
        </w:rPr>
        <w:t>adoptée</w:t>
      </w:r>
      <w:r w:rsidR="001777CE" w:rsidRPr="002715F2">
        <w:rPr>
          <w:rFonts w:eastAsia="Batang"/>
          <w:lang w:val="fr-FR"/>
        </w:rPr>
        <w:t xml:space="preserve"> le</w:t>
      </w:r>
      <w:r w:rsidR="000078DA" w:rsidRPr="002715F2">
        <w:rPr>
          <w:rFonts w:eastAsia="Batang"/>
          <w:lang w:val="fr-FR"/>
        </w:rPr>
        <w:t xml:space="preserve"> 21</w:t>
      </w:r>
      <w:r w:rsidR="001777CE" w:rsidRPr="002715F2">
        <w:rPr>
          <w:rFonts w:eastAsia="Batang"/>
          <w:lang w:val="fr-FR"/>
        </w:rPr>
        <w:t> décembre</w:t>
      </w:r>
      <w:r w:rsidR="000078DA" w:rsidRPr="002715F2">
        <w:rPr>
          <w:rFonts w:eastAsia="Batang"/>
          <w:lang w:val="fr-FR"/>
        </w:rPr>
        <w:t xml:space="preserve"> 2007</w:t>
      </w:r>
      <w:r w:rsidR="001777CE" w:rsidRPr="002715F2">
        <w:rPr>
          <w:rFonts w:eastAsia="Batang"/>
          <w:lang w:val="fr-FR"/>
        </w:rPr>
        <w:t>,</w:t>
      </w:r>
      <w:r w:rsidR="000078DA" w:rsidRPr="002715F2">
        <w:rPr>
          <w:rFonts w:eastAsia="Batang"/>
          <w:lang w:val="fr-FR"/>
        </w:rPr>
        <w:t xml:space="preserve"> </w:t>
      </w:r>
      <w:r w:rsidR="001777CE" w:rsidRPr="002715F2">
        <w:rPr>
          <w:rFonts w:eastAsia="Batang"/>
          <w:lang w:val="fr-FR"/>
        </w:rPr>
        <w:t>définit l</w:t>
      </w:r>
      <w:r w:rsidR="003C6D2F" w:rsidRPr="002715F2">
        <w:rPr>
          <w:rFonts w:eastAsia="Batang"/>
          <w:lang w:val="fr-FR"/>
        </w:rPr>
        <w:t>a</w:t>
      </w:r>
      <w:r w:rsidR="001777CE" w:rsidRPr="002715F2">
        <w:rPr>
          <w:rFonts w:eastAsia="Batang"/>
          <w:lang w:val="fr-FR"/>
        </w:rPr>
        <w:t xml:space="preserve"> procédure </w:t>
      </w:r>
      <w:r w:rsidR="003C6D2F" w:rsidRPr="002715F2">
        <w:rPr>
          <w:rFonts w:eastAsia="Batang"/>
          <w:lang w:val="fr-FR"/>
        </w:rPr>
        <w:t>permet</w:t>
      </w:r>
      <w:r w:rsidR="00BA73C8" w:rsidRPr="002715F2">
        <w:rPr>
          <w:rFonts w:eastAsia="Batang"/>
          <w:lang w:val="fr-FR"/>
        </w:rPr>
        <w:t>tant</w:t>
      </w:r>
      <w:r w:rsidR="0043214D" w:rsidRPr="002715F2">
        <w:rPr>
          <w:rFonts w:eastAsia="Batang"/>
          <w:lang w:val="fr-FR"/>
        </w:rPr>
        <w:t xml:space="preserve"> à toute personne d’introduire un recours en justice si elle a été injustement privée de sa liberté </w:t>
      </w:r>
      <w:r w:rsidR="003C6D2F" w:rsidRPr="002715F2">
        <w:rPr>
          <w:rFonts w:eastAsia="Batang"/>
          <w:lang w:val="fr-FR"/>
        </w:rPr>
        <w:t>individuelle</w:t>
      </w:r>
      <w:r w:rsidR="0043214D" w:rsidRPr="002715F2">
        <w:rPr>
          <w:rFonts w:eastAsia="Batang"/>
          <w:lang w:val="fr-FR"/>
        </w:rPr>
        <w:t xml:space="preserve"> </w:t>
      </w:r>
      <w:r w:rsidR="003C6D2F" w:rsidRPr="002715F2">
        <w:rPr>
          <w:rFonts w:eastAsia="Batang"/>
          <w:lang w:val="fr-FR"/>
        </w:rPr>
        <w:t>et</w:t>
      </w:r>
      <w:r w:rsidR="0043214D" w:rsidRPr="002715F2">
        <w:rPr>
          <w:rFonts w:eastAsia="Batang"/>
          <w:lang w:val="fr-FR"/>
        </w:rPr>
        <w:t xml:space="preserve"> intern</w:t>
      </w:r>
      <w:r w:rsidR="003C6D2F" w:rsidRPr="002715F2">
        <w:rPr>
          <w:rFonts w:eastAsia="Batang"/>
          <w:lang w:val="fr-FR"/>
        </w:rPr>
        <w:t>ée</w:t>
      </w:r>
      <w:r w:rsidR="0043214D" w:rsidRPr="002715F2">
        <w:rPr>
          <w:rFonts w:eastAsia="Batang"/>
          <w:lang w:val="fr-FR"/>
        </w:rPr>
        <w:t xml:space="preserve"> sur décision administrative illégale ou du fait de l’action d’un</w:t>
      </w:r>
      <w:r w:rsidR="003C6D2F" w:rsidRPr="002715F2">
        <w:rPr>
          <w:rFonts w:eastAsia="Batang"/>
          <w:lang w:val="fr-FR"/>
        </w:rPr>
        <w:t>e</w:t>
      </w:r>
      <w:r w:rsidR="0043214D" w:rsidRPr="002715F2">
        <w:rPr>
          <w:rFonts w:eastAsia="Batang"/>
          <w:lang w:val="fr-FR"/>
        </w:rPr>
        <w:t xml:space="preserve"> </w:t>
      </w:r>
      <w:r w:rsidR="003C6D2F" w:rsidRPr="002715F2">
        <w:rPr>
          <w:rFonts w:eastAsia="Batang"/>
          <w:lang w:val="fr-FR"/>
        </w:rPr>
        <w:t>personne privée</w:t>
      </w:r>
      <w:r w:rsidR="000078DA" w:rsidRPr="002715F2">
        <w:rPr>
          <w:rFonts w:eastAsia="Batang"/>
          <w:lang w:val="fr-FR"/>
        </w:rPr>
        <w:t xml:space="preserve">. </w:t>
      </w:r>
      <w:r w:rsidR="003C6D2F" w:rsidRPr="002715F2">
        <w:rPr>
          <w:rFonts w:eastAsia="Batang"/>
          <w:lang w:val="fr-FR"/>
        </w:rPr>
        <w:t xml:space="preserve">Cette loi a été modifiée le 10 juin 2010 afin de permettre également aux employés des établissements </w:t>
      </w:r>
      <w:r w:rsidR="0094531A" w:rsidRPr="002715F2">
        <w:rPr>
          <w:rFonts w:eastAsia="Batang"/>
          <w:lang w:val="fr-FR"/>
        </w:rPr>
        <w:t>de santé</w:t>
      </w:r>
      <w:r w:rsidR="003C6D2F" w:rsidRPr="002715F2">
        <w:rPr>
          <w:rFonts w:eastAsia="Batang"/>
          <w:lang w:val="fr-FR"/>
        </w:rPr>
        <w:t xml:space="preserve"> d’introduire </w:t>
      </w:r>
      <w:r w:rsidR="00846052" w:rsidRPr="002715F2">
        <w:rPr>
          <w:rFonts w:eastAsia="Batang"/>
          <w:lang w:val="fr-FR"/>
        </w:rPr>
        <w:t>des</w:t>
      </w:r>
      <w:r w:rsidR="003C6D2F" w:rsidRPr="002715F2">
        <w:rPr>
          <w:rFonts w:eastAsia="Batang"/>
          <w:lang w:val="fr-FR"/>
        </w:rPr>
        <w:t xml:space="preserve"> recours en justice (disposition principale de l’article 3)</w:t>
      </w:r>
      <w:r w:rsidR="000078DA" w:rsidRPr="002715F2">
        <w:rPr>
          <w:rFonts w:eastAsia="Batang"/>
          <w:lang w:val="fr-FR"/>
        </w:rPr>
        <w:t xml:space="preserve">. </w:t>
      </w:r>
      <w:r w:rsidR="0024542F" w:rsidRPr="002715F2">
        <w:rPr>
          <w:rFonts w:eastAsia="Batang"/>
          <w:lang w:val="fr-FR"/>
        </w:rPr>
        <w:t>Elle prévoit en outre que les directeurs</w:t>
      </w:r>
      <w:r w:rsidR="000078DA" w:rsidRPr="002715F2">
        <w:rPr>
          <w:rFonts w:eastAsia="Batang"/>
          <w:lang w:val="fr-FR"/>
        </w:rPr>
        <w:t xml:space="preserve"> </w:t>
      </w:r>
      <w:r w:rsidR="0024542F" w:rsidRPr="002715F2">
        <w:rPr>
          <w:rFonts w:eastAsia="Batang"/>
          <w:lang w:val="fr-FR"/>
        </w:rPr>
        <w:t>de</w:t>
      </w:r>
      <w:r w:rsidR="0094531A" w:rsidRPr="002715F2">
        <w:rPr>
          <w:rFonts w:eastAsia="Batang"/>
          <w:lang w:val="fr-FR"/>
        </w:rPr>
        <w:t xml:space="preserve"> ce</w:t>
      </w:r>
      <w:r w:rsidR="00846052" w:rsidRPr="002715F2">
        <w:rPr>
          <w:rFonts w:eastAsia="Batang"/>
          <w:lang w:val="fr-FR"/>
        </w:rPr>
        <w:t>s</w:t>
      </w:r>
      <w:r w:rsidR="0024542F" w:rsidRPr="002715F2">
        <w:rPr>
          <w:rFonts w:eastAsia="Batang"/>
          <w:lang w:val="fr-FR"/>
        </w:rPr>
        <w:t xml:space="preserve"> établissements </w:t>
      </w:r>
      <w:r w:rsidR="00846052" w:rsidRPr="002715F2">
        <w:rPr>
          <w:rFonts w:eastAsia="Batang"/>
          <w:lang w:val="fr-FR"/>
        </w:rPr>
        <w:t>son</w:t>
      </w:r>
      <w:r w:rsidR="0024542F" w:rsidRPr="002715F2">
        <w:rPr>
          <w:rFonts w:eastAsia="Batang"/>
          <w:lang w:val="fr-FR"/>
        </w:rPr>
        <w:t xml:space="preserve">t tenus d’informer </w:t>
      </w:r>
      <w:r w:rsidR="00846052" w:rsidRPr="002715F2">
        <w:rPr>
          <w:rFonts w:eastAsia="Batang"/>
          <w:lang w:val="fr-FR"/>
        </w:rPr>
        <w:t>toute personne</w:t>
      </w:r>
      <w:r w:rsidR="0094531A" w:rsidRPr="002715F2">
        <w:rPr>
          <w:rFonts w:eastAsia="Batang"/>
          <w:lang w:val="fr-FR"/>
        </w:rPr>
        <w:t>,</w:t>
      </w:r>
      <w:r w:rsidR="0024542F" w:rsidRPr="002715F2">
        <w:rPr>
          <w:rFonts w:eastAsia="Batang"/>
          <w:lang w:val="fr-FR"/>
        </w:rPr>
        <w:t xml:space="preserve"> avant</w:t>
      </w:r>
      <w:r w:rsidR="000078DA" w:rsidRPr="002715F2">
        <w:rPr>
          <w:rFonts w:eastAsia="Batang"/>
          <w:lang w:val="fr-FR"/>
        </w:rPr>
        <w:t xml:space="preserve"> </w:t>
      </w:r>
      <w:r w:rsidR="00846052" w:rsidRPr="002715F2">
        <w:rPr>
          <w:rFonts w:eastAsia="Batang"/>
          <w:lang w:val="fr-FR"/>
        </w:rPr>
        <w:t xml:space="preserve">son </w:t>
      </w:r>
      <w:r w:rsidR="0024542F" w:rsidRPr="002715F2">
        <w:rPr>
          <w:rFonts w:eastAsia="Batang"/>
          <w:lang w:val="fr-FR"/>
        </w:rPr>
        <w:t>internement</w:t>
      </w:r>
      <w:r w:rsidR="002411E1" w:rsidRPr="002715F2">
        <w:rPr>
          <w:rFonts w:eastAsia="Batang"/>
          <w:lang w:val="fr-FR"/>
        </w:rPr>
        <w:t>,</w:t>
      </w:r>
      <w:r w:rsidR="0024542F" w:rsidRPr="002715F2">
        <w:rPr>
          <w:rFonts w:eastAsia="Batang"/>
          <w:lang w:val="fr-FR"/>
        </w:rPr>
        <w:t xml:space="preserve"> qu’</w:t>
      </w:r>
      <w:r w:rsidR="00846052" w:rsidRPr="002715F2">
        <w:rPr>
          <w:rFonts w:eastAsia="Batang"/>
          <w:lang w:val="fr-FR"/>
        </w:rPr>
        <w:t xml:space="preserve">elle est en droit </w:t>
      </w:r>
      <w:r w:rsidR="0024542F" w:rsidRPr="002715F2">
        <w:rPr>
          <w:rFonts w:eastAsia="Batang"/>
          <w:lang w:val="fr-FR"/>
        </w:rPr>
        <w:t>d’introduire un recours en justice</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3</w:t>
      </w:r>
      <w:r w:rsidR="00720F30" w:rsidRPr="002715F2">
        <w:rPr>
          <w:rFonts w:eastAsia="Batang"/>
          <w:lang w:val="fr-FR"/>
        </w:rPr>
        <w:t>­</w:t>
      </w:r>
      <w:r w:rsidR="000078DA" w:rsidRPr="002715F2">
        <w:rPr>
          <w:rFonts w:eastAsia="Batang"/>
          <w:lang w:val="fr-FR"/>
        </w:rPr>
        <w:t>2</w:t>
      </w:r>
      <w:r w:rsidR="0024542F"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1)</w:t>
      </w:r>
      <w:r w:rsidR="00846052" w:rsidRPr="002715F2">
        <w:rPr>
          <w:rFonts w:eastAsia="Batang"/>
          <w:lang w:val="fr-FR"/>
        </w:rPr>
        <w:t xml:space="preserve">, </w:t>
      </w:r>
      <w:r w:rsidR="002411E1" w:rsidRPr="002715F2">
        <w:rPr>
          <w:rFonts w:eastAsia="Batang"/>
          <w:lang w:val="fr-FR"/>
        </w:rPr>
        <w:t xml:space="preserve">et ce, </w:t>
      </w:r>
      <w:r w:rsidR="0094531A" w:rsidRPr="002715F2">
        <w:rPr>
          <w:rFonts w:eastAsia="Batang"/>
          <w:lang w:val="fr-FR"/>
        </w:rPr>
        <w:t>dans le but</w:t>
      </w:r>
      <w:r w:rsidR="00846052" w:rsidRPr="002715F2">
        <w:rPr>
          <w:rFonts w:eastAsia="Batang"/>
          <w:lang w:val="fr-FR"/>
        </w:rPr>
        <w:t xml:space="preserve"> de </w:t>
      </w:r>
      <w:r w:rsidR="0039617D" w:rsidRPr="002715F2">
        <w:rPr>
          <w:rFonts w:eastAsia="Batang"/>
          <w:lang w:val="fr-FR"/>
        </w:rPr>
        <w:t>faciliter</w:t>
      </w:r>
      <w:r w:rsidR="00846052" w:rsidRPr="002715F2">
        <w:rPr>
          <w:rFonts w:eastAsia="Batang"/>
          <w:lang w:val="fr-FR"/>
        </w:rPr>
        <w:t xml:space="preserve"> l’accès à ce type de recours</w:t>
      </w:r>
      <w:r w:rsidR="000078DA" w:rsidRPr="002715F2">
        <w:rPr>
          <w:rFonts w:eastAsia="Batang"/>
          <w:lang w:val="fr-FR"/>
        </w:rPr>
        <w:t xml:space="preserve">. </w:t>
      </w:r>
      <w:r w:rsidR="00846052" w:rsidRPr="002715F2">
        <w:rPr>
          <w:rFonts w:eastAsia="Batang"/>
          <w:lang w:val="fr-FR"/>
        </w:rPr>
        <w:t>À défaut</w:t>
      </w:r>
      <w:r w:rsidR="000078DA" w:rsidRPr="002715F2">
        <w:rPr>
          <w:rFonts w:eastAsia="Batang"/>
          <w:lang w:val="fr-FR"/>
        </w:rPr>
        <w:t xml:space="preserve">, </w:t>
      </w:r>
      <w:r w:rsidR="00846052" w:rsidRPr="002715F2">
        <w:rPr>
          <w:rFonts w:eastAsia="Batang"/>
          <w:lang w:val="fr-FR"/>
        </w:rPr>
        <w:t xml:space="preserve">les directeurs des établissements encourent une amende pour négligence d’un montant maximal de cinq millions de won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20</w:t>
      </w:r>
      <w:r w:rsidR="00846052"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r w:rsidR="00846052" w:rsidRPr="002715F2">
        <w:rPr>
          <w:rFonts w:eastAsia="Batang"/>
          <w:lang w:val="fr-FR"/>
        </w:rPr>
        <w:t xml:space="preserve">Entre </w:t>
      </w:r>
      <w:r w:rsidR="009326C3" w:rsidRPr="002715F2">
        <w:rPr>
          <w:rFonts w:eastAsia="Batang"/>
          <w:lang w:val="fr-FR"/>
        </w:rPr>
        <w:t xml:space="preserve">juillet </w:t>
      </w:r>
      <w:r w:rsidR="00846052" w:rsidRPr="002715F2">
        <w:rPr>
          <w:rFonts w:eastAsia="Batang"/>
          <w:lang w:val="fr-FR"/>
        </w:rPr>
        <w:t xml:space="preserve">2008 et </w:t>
      </w:r>
      <w:r w:rsidR="009326C3" w:rsidRPr="002715F2">
        <w:rPr>
          <w:rFonts w:eastAsia="Batang"/>
          <w:lang w:val="fr-FR"/>
        </w:rPr>
        <w:t xml:space="preserve">décembre </w:t>
      </w:r>
      <w:r w:rsidR="00846052" w:rsidRPr="002715F2">
        <w:rPr>
          <w:rFonts w:eastAsia="Batang"/>
          <w:lang w:val="fr-FR"/>
        </w:rPr>
        <w:t xml:space="preserve">2015, le tribunal a reçu 2 415 demandes de recours, et </w:t>
      </w:r>
      <w:r w:rsidR="0039617D" w:rsidRPr="002715F2">
        <w:rPr>
          <w:rFonts w:eastAsia="Batang"/>
          <w:lang w:val="fr-FR"/>
        </w:rPr>
        <w:t>accepté</w:t>
      </w:r>
      <w:r w:rsidR="002411E1" w:rsidRPr="002715F2">
        <w:rPr>
          <w:rFonts w:eastAsia="Batang"/>
          <w:lang w:val="fr-FR"/>
        </w:rPr>
        <w:t xml:space="preserve"> </w:t>
      </w:r>
      <w:r w:rsidR="009326C3" w:rsidRPr="002715F2">
        <w:rPr>
          <w:rFonts w:eastAsia="Batang"/>
          <w:lang w:val="fr-FR"/>
        </w:rPr>
        <w:t xml:space="preserve">194 </w:t>
      </w:r>
      <w:r w:rsidR="00846052" w:rsidRPr="002715F2">
        <w:rPr>
          <w:rFonts w:eastAsia="Batang"/>
          <w:lang w:val="fr-FR"/>
        </w:rPr>
        <w:t>d’entre elles</w:t>
      </w:r>
      <w:r w:rsidR="00F7371F"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193.</w:t>
      </w:r>
      <w:r w:rsidRPr="002715F2">
        <w:rPr>
          <w:rFonts w:eastAsia="Batang"/>
          <w:lang w:val="fr-FR"/>
        </w:rPr>
        <w:tab/>
      </w:r>
      <w:r w:rsidR="0094531A" w:rsidRPr="002715F2">
        <w:rPr>
          <w:rFonts w:eastAsia="Batang"/>
          <w:lang w:val="fr-FR"/>
        </w:rPr>
        <w:t xml:space="preserve">Conformément à la loi sur la Commission nationale des droits de l’homme, </w:t>
      </w:r>
      <w:r w:rsidR="0094531A" w:rsidRPr="002715F2">
        <w:rPr>
          <w:rFonts w:eastAsia="MS Mincho"/>
          <w:lang w:val="fr-FR"/>
        </w:rPr>
        <w:t>toute personne dont les droits fondamentaux ont été enfreints par le</w:t>
      </w:r>
      <w:r w:rsidR="00D143D8" w:rsidRPr="002715F2">
        <w:rPr>
          <w:rFonts w:eastAsia="MS Mincho"/>
          <w:lang w:val="fr-FR"/>
        </w:rPr>
        <w:t>s</w:t>
      </w:r>
      <w:r w:rsidR="0094531A" w:rsidRPr="002715F2">
        <w:rPr>
          <w:rFonts w:eastAsia="MS Mincho"/>
          <w:lang w:val="fr-FR"/>
        </w:rPr>
        <w:t xml:space="preserve"> personnel</w:t>
      </w:r>
      <w:r w:rsidR="00D143D8" w:rsidRPr="002715F2">
        <w:rPr>
          <w:rFonts w:eastAsia="MS Mincho"/>
          <w:lang w:val="fr-FR"/>
        </w:rPr>
        <w:t>s</w:t>
      </w:r>
      <w:r w:rsidR="0094531A" w:rsidRPr="002715F2">
        <w:rPr>
          <w:rFonts w:eastAsia="MS Mincho"/>
          <w:lang w:val="fr-FR"/>
        </w:rPr>
        <w:t xml:space="preserve"> des établissements </w:t>
      </w:r>
      <w:r w:rsidR="0094531A" w:rsidRPr="002715F2">
        <w:rPr>
          <w:rFonts w:eastAsia="Batang"/>
          <w:lang w:val="fr-FR"/>
        </w:rPr>
        <w:t>de santé mentale</w:t>
      </w:r>
      <w:r w:rsidR="00D143D8" w:rsidRPr="002715F2">
        <w:rPr>
          <w:rFonts w:eastAsia="Batang"/>
          <w:lang w:val="fr-FR"/>
        </w:rPr>
        <w:t xml:space="preserve"> dans le cadre de leurs fonctions</w:t>
      </w:r>
      <w:r w:rsidR="0094531A" w:rsidRPr="002715F2">
        <w:rPr>
          <w:rFonts w:eastAsia="Batang"/>
          <w:lang w:val="fr-FR"/>
        </w:rPr>
        <w:t xml:space="preserve"> </w:t>
      </w:r>
      <w:r w:rsidR="0094531A" w:rsidRPr="002715F2">
        <w:rPr>
          <w:rFonts w:eastAsia="MS Mincho"/>
          <w:lang w:val="fr-FR"/>
        </w:rPr>
        <w:t xml:space="preserve">peut porter plainte auprès de la Commission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30</w:t>
      </w:r>
      <w:r w:rsidR="0094531A"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94531A" w:rsidRPr="002715F2">
        <w:rPr>
          <w:rFonts w:eastAsia="Batang"/>
          <w:lang w:val="fr-FR"/>
        </w:rPr>
        <w:t>1 </w:t>
      </w:r>
      <w:r w:rsidR="000078DA" w:rsidRPr="002715F2">
        <w:rPr>
          <w:rFonts w:eastAsia="Batang"/>
          <w:lang w:val="fr-FR"/>
        </w:rPr>
        <w:t xml:space="preserve">1)), </w:t>
      </w:r>
      <w:r w:rsidR="00953D2B" w:rsidRPr="002715F2">
        <w:rPr>
          <w:rFonts w:eastAsia="Batang"/>
          <w:lang w:val="fr-FR"/>
        </w:rPr>
        <w:t>laquelle peut, s</w:t>
      </w:r>
      <w:r w:rsidR="0094531A" w:rsidRPr="002715F2">
        <w:rPr>
          <w:rFonts w:eastAsia="Batang"/>
          <w:lang w:val="fr-FR"/>
        </w:rPr>
        <w:t>i nécessaire, se rend</w:t>
      </w:r>
      <w:r w:rsidR="00953D2B" w:rsidRPr="002715F2">
        <w:rPr>
          <w:rFonts w:eastAsia="Batang"/>
          <w:lang w:val="fr-FR"/>
        </w:rPr>
        <w:t>r</w:t>
      </w:r>
      <w:r w:rsidR="0094531A" w:rsidRPr="002715F2">
        <w:rPr>
          <w:rFonts w:eastAsia="Batang"/>
          <w:lang w:val="fr-FR"/>
        </w:rPr>
        <w:t xml:space="preserve">e dans les établissements </w:t>
      </w:r>
      <w:r w:rsidR="0039617D" w:rsidRPr="002715F2">
        <w:rPr>
          <w:rFonts w:eastAsia="Batang"/>
          <w:lang w:val="fr-FR"/>
        </w:rPr>
        <w:t>concernés</w:t>
      </w:r>
      <w:r w:rsidR="0094531A" w:rsidRPr="002715F2">
        <w:rPr>
          <w:rFonts w:eastAsia="Batang"/>
          <w:lang w:val="fr-FR"/>
        </w:rPr>
        <w:t xml:space="preserve"> </w:t>
      </w:r>
      <w:r w:rsidR="00953D2B" w:rsidRPr="002715F2">
        <w:rPr>
          <w:rFonts w:eastAsia="Batang"/>
          <w:lang w:val="fr-FR"/>
        </w:rPr>
        <w:t xml:space="preserve">afin d’y </w:t>
      </w:r>
      <w:r w:rsidR="0094531A" w:rsidRPr="002715F2">
        <w:rPr>
          <w:rFonts w:eastAsia="Batang"/>
          <w:lang w:val="fr-FR"/>
        </w:rPr>
        <w:t xml:space="preserve">mener une enquête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 xml:space="preserve">24). </w:t>
      </w:r>
      <w:r w:rsidR="0094531A" w:rsidRPr="002715F2">
        <w:rPr>
          <w:rFonts w:eastAsia="Batang"/>
          <w:lang w:val="fr-FR"/>
        </w:rPr>
        <w:t xml:space="preserve">Entre 2006 et 2015, le nombre de plaintes reçues par la Commission nationale des droits de l’homme concernant </w:t>
      </w:r>
      <w:r w:rsidR="00C826A5" w:rsidRPr="002715F2">
        <w:rPr>
          <w:rFonts w:eastAsia="Batang"/>
          <w:lang w:val="fr-FR"/>
        </w:rPr>
        <w:t>d</w:t>
      </w:r>
      <w:r w:rsidR="0094531A" w:rsidRPr="002715F2">
        <w:rPr>
          <w:rFonts w:eastAsia="Batang"/>
          <w:lang w:val="fr-FR"/>
        </w:rPr>
        <w:t>es établissements de santé mentale a augmenté</w:t>
      </w:r>
      <w:r w:rsidR="00E97B1A" w:rsidRPr="002715F2">
        <w:rPr>
          <w:rFonts w:eastAsia="Batang"/>
          <w:lang w:val="fr-FR"/>
        </w:rPr>
        <w:t>:</w:t>
      </w:r>
      <w:r w:rsidR="0094531A" w:rsidRPr="002715F2">
        <w:rPr>
          <w:rFonts w:eastAsia="Batang"/>
          <w:lang w:val="fr-FR"/>
        </w:rPr>
        <w:t xml:space="preserve"> </w:t>
      </w:r>
      <w:r w:rsidR="00D143D8" w:rsidRPr="002715F2">
        <w:rPr>
          <w:rFonts w:eastAsia="Batang"/>
          <w:lang w:val="fr-FR"/>
        </w:rPr>
        <w:t>c</w:t>
      </w:r>
      <w:r w:rsidR="00C826A5" w:rsidRPr="002715F2">
        <w:rPr>
          <w:rFonts w:eastAsia="Batang"/>
          <w:lang w:val="fr-FR"/>
        </w:rPr>
        <w:t>elles</w:t>
      </w:r>
      <w:r w:rsidR="00D143D8" w:rsidRPr="002715F2">
        <w:rPr>
          <w:rFonts w:eastAsia="Batang"/>
          <w:lang w:val="fr-FR"/>
        </w:rPr>
        <w:t>-ci</w:t>
      </w:r>
      <w:r w:rsidR="00C826A5" w:rsidRPr="002715F2">
        <w:rPr>
          <w:rFonts w:eastAsia="Batang"/>
          <w:lang w:val="fr-FR"/>
        </w:rPr>
        <w:t xml:space="preserve"> s’élevaient à </w:t>
      </w:r>
      <w:r w:rsidR="0094531A" w:rsidRPr="002715F2">
        <w:rPr>
          <w:rFonts w:eastAsia="Batang"/>
          <w:lang w:val="fr-FR"/>
        </w:rPr>
        <w:t>217 en 2006</w:t>
      </w:r>
      <w:r w:rsidR="00E97B1A" w:rsidRPr="002715F2">
        <w:rPr>
          <w:rFonts w:eastAsia="Batang"/>
          <w:lang w:val="fr-FR"/>
        </w:rPr>
        <w:t>;</w:t>
      </w:r>
      <w:r w:rsidR="0094531A" w:rsidRPr="002715F2">
        <w:rPr>
          <w:rFonts w:eastAsia="Batang"/>
          <w:lang w:val="fr-FR"/>
        </w:rPr>
        <w:t xml:space="preserve"> 500 en 2007</w:t>
      </w:r>
      <w:r w:rsidR="00E97B1A" w:rsidRPr="002715F2">
        <w:rPr>
          <w:rFonts w:eastAsia="Batang"/>
          <w:lang w:val="fr-FR"/>
        </w:rPr>
        <w:t>;</w:t>
      </w:r>
      <w:r w:rsidR="0094531A" w:rsidRPr="002715F2">
        <w:rPr>
          <w:rFonts w:eastAsia="Batang"/>
          <w:lang w:val="fr-FR"/>
        </w:rPr>
        <w:t xml:space="preserve"> 593 en 2008</w:t>
      </w:r>
      <w:r w:rsidR="00E97B1A" w:rsidRPr="002715F2">
        <w:rPr>
          <w:rFonts w:eastAsia="Batang"/>
          <w:lang w:val="fr-FR"/>
        </w:rPr>
        <w:t>;</w:t>
      </w:r>
      <w:r w:rsidR="0094531A" w:rsidRPr="002715F2">
        <w:rPr>
          <w:rFonts w:eastAsia="Batang"/>
          <w:lang w:val="fr-FR"/>
        </w:rPr>
        <w:t xml:space="preserve"> 900 en 2009</w:t>
      </w:r>
      <w:r w:rsidR="00E97B1A" w:rsidRPr="002715F2">
        <w:rPr>
          <w:rFonts w:eastAsia="Batang"/>
          <w:lang w:val="fr-FR"/>
        </w:rPr>
        <w:t>;</w:t>
      </w:r>
      <w:r w:rsidR="0094531A" w:rsidRPr="002715F2">
        <w:rPr>
          <w:rFonts w:eastAsia="Batang"/>
          <w:lang w:val="fr-FR"/>
        </w:rPr>
        <w:t xml:space="preserve"> 1 277 en 2010</w:t>
      </w:r>
      <w:r w:rsidR="00E97B1A" w:rsidRPr="002715F2">
        <w:rPr>
          <w:rFonts w:eastAsia="Batang"/>
          <w:lang w:val="fr-FR"/>
        </w:rPr>
        <w:t>;</w:t>
      </w:r>
      <w:r w:rsidR="0094531A" w:rsidRPr="002715F2">
        <w:rPr>
          <w:rFonts w:eastAsia="Batang"/>
          <w:lang w:val="fr-FR"/>
        </w:rPr>
        <w:t xml:space="preserve"> 1 534 en 2011</w:t>
      </w:r>
      <w:r w:rsidR="00E97B1A" w:rsidRPr="002715F2">
        <w:rPr>
          <w:rFonts w:eastAsia="Batang"/>
          <w:lang w:val="fr-FR"/>
        </w:rPr>
        <w:t>;</w:t>
      </w:r>
      <w:r w:rsidR="0094531A" w:rsidRPr="002715F2">
        <w:rPr>
          <w:rFonts w:eastAsia="Batang"/>
          <w:lang w:val="fr-FR"/>
        </w:rPr>
        <w:t xml:space="preserve"> 2 067 en 2012</w:t>
      </w:r>
      <w:r w:rsidR="00E97B1A" w:rsidRPr="002715F2">
        <w:rPr>
          <w:rFonts w:eastAsia="Batang"/>
          <w:lang w:val="fr-FR"/>
        </w:rPr>
        <w:t>;</w:t>
      </w:r>
      <w:r w:rsidR="0094531A" w:rsidRPr="002715F2">
        <w:rPr>
          <w:rFonts w:eastAsia="Batang"/>
          <w:lang w:val="fr-FR"/>
        </w:rPr>
        <w:t xml:space="preserve"> 2 649 en 2013</w:t>
      </w:r>
      <w:r w:rsidR="00E97B1A" w:rsidRPr="002715F2">
        <w:rPr>
          <w:rFonts w:eastAsia="Batang"/>
          <w:lang w:val="fr-FR"/>
        </w:rPr>
        <w:t>;</w:t>
      </w:r>
      <w:r w:rsidR="0094531A" w:rsidRPr="002715F2">
        <w:rPr>
          <w:rFonts w:eastAsia="Batang"/>
          <w:lang w:val="fr-FR"/>
        </w:rPr>
        <w:t xml:space="preserve"> 3 374 en 2014</w:t>
      </w:r>
      <w:r w:rsidR="00E97B1A" w:rsidRPr="002715F2">
        <w:rPr>
          <w:rFonts w:eastAsia="Batang"/>
          <w:lang w:val="fr-FR"/>
        </w:rPr>
        <w:t>;</w:t>
      </w:r>
      <w:r w:rsidR="0094531A" w:rsidRPr="002715F2">
        <w:rPr>
          <w:rFonts w:eastAsia="Batang"/>
          <w:lang w:val="fr-FR"/>
        </w:rPr>
        <w:t xml:space="preserve"> et 3 348 en 2015. Sur les 12 972 plaintes reçues entre 2011 et 2015, 285 ont </w:t>
      </w:r>
      <w:r w:rsidR="00B65081" w:rsidRPr="002715F2">
        <w:rPr>
          <w:rFonts w:eastAsia="Batang"/>
          <w:lang w:val="fr-FR"/>
        </w:rPr>
        <w:t>donné lieu à d</w:t>
      </w:r>
      <w:r w:rsidR="0094531A" w:rsidRPr="002715F2">
        <w:rPr>
          <w:rFonts w:eastAsia="Batang"/>
          <w:lang w:val="fr-FR"/>
        </w:rPr>
        <w:t xml:space="preserve">es recommandations, 636 </w:t>
      </w:r>
      <w:r w:rsidR="00B65081" w:rsidRPr="002715F2">
        <w:rPr>
          <w:rFonts w:eastAsia="Batang"/>
          <w:lang w:val="fr-FR" w:eastAsia="ko-KR"/>
        </w:rPr>
        <w:t xml:space="preserve">ont été fermées </w:t>
      </w:r>
      <w:r w:rsidR="00C826A5" w:rsidRPr="002715F2">
        <w:rPr>
          <w:rFonts w:eastAsia="Batang"/>
          <w:lang w:val="fr-FR" w:eastAsia="ko-KR"/>
        </w:rPr>
        <w:t>suite à une conciliation</w:t>
      </w:r>
      <w:r w:rsidR="00B65081" w:rsidRPr="002715F2">
        <w:rPr>
          <w:rFonts w:eastAsia="Batang"/>
          <w:lang w:val="fr-FR" w:eastAsia="ko-KR"/>
        </w:rPr>
        <w:t xml:space="preserve"> et </w:t>
      </w:r>
      <w:r w:rsidR="009326C3" w:rsidRPr="002715F2">
        <w:rPr>
          <w:rFonts w:eastAsia="Batang"/>
          <w:lang w:val="fr-FR" w:eastAsia="ko-KR"/>
        </w:rPr>
        <w:t>21</w:t>
      </w:r>
      <w:r w:rsidR="009326C3" w:rsidRPr="002715F2">
        <w:rPr>
          <w:rFonts w:eastAsia="Batang"/>
          <w:lang w:val="fr-FR"/>
        </w:rPr>
        <w:t xml:space="preserve"> </w:t>
      </w:r>
      <w:r w:rsidR="00B65081" w:rsidRPr="002715F2">
        <w:rPr>
          <w:rFonts w:eastAsia="Batang"/>
          <w:lang w:val="fr-FR"/>
        </w:rPr>
        <w:t xml:space="preserve">ont </w:t>
      </w:r>
      <w:r w:rsidR="0039617D" w:rsidRPr="002715F2">
        <w:rPr>
          <w:rFonts w:eastAsia="Batang"/>
          <w:lang w:val="fr-FR"/>
        </w:rPr>
        <w:t>entraîné</w:t>
      </w:r>
      <w:r w:rsidR="00B65081" w:rsidRPr="002715F2">
        <w:rPr>
          <w:rFonts w:eastAsia="Batang"/>
          <w:lang w:val="fr-FR"/>
        </w:rPr>
        <w:t xml:space="preserve"> des poursuites</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194.</w:t>
      </w:r>
      <w:r w:rsidRPr="002715F2">
        <w:rPr>
          <w:rFonts w:eastAsia="Batang"/>
          <w:lang w:val="fr-FR"/>
        </w:rPr>
        <w:tab/>
      </w:r>
      <w:r w:rsidR="00530A49" w:rsidRPr="002715F2">
        <w:rPr>
          <w:rFonts w:eastAsia="Batang"/>
          <w:lang w:val="fr-FR"/>
        </w:rPr>
        <w:t>L</w:t>
      </w:r>
      <w:r w:rsidR="00FB6712" w:rsidRPr="002715F2">
        <w:rPr>
          <w:rFonts w:eastAsia="Batang"/>
          <w:lang w:val="fr-FR"/>
        </w:rPr>
        <w:t>a loi sur la santé mentale</w:t>
      </w:r>
      <w:r w:rsidR="00530A49" w:rsidRPr="002715F2">
        <w:rPr>
          <w:rFonts w:eastAsia="Batang"/>
          <w:lang w:val="fr-FR"/>
        </w:rPr>
        <w:t xml:space="preserve"> a été </w:t>
      </w:r>
      <w:r w:rsidR="0039617D" w:rsidRPr="002715F2">
        <w:rPr>
          <w:rFonts w:eastAsia="Batang"/>
          <w:lang w:val="fr-FR"/>
        </w:rPr>
        <w:t>modifiée</w:t>
      </w:r>
      <w:r w:rsidR="00530A49" w:rsidRPr="002715F2">
        <w:rPr>
          <w:rFonts w:eastAsia="Batang"/>
          <w:lang w:val="fr-FR"/>
        </w:rPr>
        <w:t xml:space="preserve"> </w:t>
      </w:r>
      <w:r w:rsidR="00FB6712" w:rsidRPr="002715F2">
        <w:rPr>
          <w:rFonts w:eastAsia="Batang"/>
          <w:lang w:val="fr-FR"/>
        </w:rPr>
        <w:t xml:space="preserve">le 21 mars 2008, </w:t>
      </w:r>
      <w:r w:rsidR="004438CE" w:rsidRPr="002715F2">
        <w:rPr>
          <w:rFonts w:eastAsia="Batang"/>
          <w:lang w:val="fr-FR"/>
        </w:rPr>
        <w:t xml:space="preserve">et la </w:t>
      </w:r>
      <w:r w:rsidR="0039617D" w:rsidRPr="002715F2">
        <w:rPr>
          <w:rFonts w:eastAsia="Batang"/>
          <w:lang w:val="fr-FR"/>
        </w:rPr>
        <w:t>teneur</w:t>
      </w:r>
      <w:r w:rsidR="004438CE" w:rsidRPr="002715F2">
        <w:rPr>
          <w:rFonts w:eastAsia="Batang"/>
          <w:lang w:val="fr-FR"/>
        </w:rPr>
        <w:t xml:space="preserve"> de cette modification est décrite dans </w:t>
      </w:r>
      <w:r w:rsidR="00FB6712" w:rsidRPr="002715F2">
        <w:rPr>
          <w:rFonts w:eastAsia="Batang"/>
          <w:lang w:val="fr-FR"/>
        </w:rPr>
        <w:t>le deuxième rapport</w:t>
      </w:r>
      <w:r w:rsidR="00953D2B" w:rsidRPr="002715F2">
        <w:rPr>
          <w:rFonts w:eastAsia="Batang"/>
          <w:lang w:val="fr-FR"/>
        </w:rPr>
        <w:t xml:space="preserve"> </w:t>
      </w:r>
      <w:r w:rsidR="00FB6712" w:rsidRPr="002715F2">
        <w:rPr>
          <w:rFonts w:eastAsia="Batang"/>
          <w:lang w:val="fr-FR"/>
        </w:rPr>
        <w:t xml:space="preserve">présenté par la République de Corée au titre de l’Examen périodique universel </w:t>
      </w:r>
      <w:r w:rsidR="000078DA" w:rsidRPr="002715F2">
        <w:rPr>
          <w:rFonts w:eastAsia="Batang"/>
          <w:lang w:val="fr-FR"/>
        </w:rPr>
        <w:t>(A/HRC/WG.6/14/KOR/1</w:t>
      </w:r>
      <w:r w:rsidR="00953D2B"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12).</w:t>
      </w:r>
      <w:r w:rsidR="00165644" w:rsidRPr="002715F2">
        <w:rPr>
          <w:rFonts w:eastAsia="Batang"/>
          <w:lang w:val="fr-FR"/>
        </w:rPr>
        <w:t xml:space="preserve"> </w:t>
      </w:r>
      <w:r w:rsidR="00D143D8" w:rsidRPr="002715F2">
        <w:rPr>
          <w:rFonts w:eastAsia="Batang"/>
          <w:lang w:val="fr-FR"/>
        </w:rPr>
        <w:t>Cette loi</w:t>
      </w:r>
      <w:r w:rsidR="00165644" w:rsidRPr="002715F2">
        <w:rPr>
          <w:rFonts w:eastAsia="Batang"/>
          <w:lang w:val="fr-FR"/>
        </w:rPr>
        <w:t xml:space="preserve"> interdit </w:t>
      </w:r>
      <w:r w:rsidR="00A0101E" w:rsidRPr="002715F2">
        <w:rPr>
          <w:rFonts w:eastAsia="Batang"/>
          <w:lang w:val="fr-FR"/>
        </w:rPr>
        <w:t xml:space="preserve">en outre </w:t>
      </w:r>
      <w:r w:rsidR="00165644" w:rsidRPr="002715F2">
        <w:rPr>
          <w:rFonts w:eastAsia="Batang"/>
          <w:lang w:val="fr-FR"/>
        </w:rPr>
        <w:t xml:space="preserve">à la direction d’un établissement de santé mentale de contraindre une personne souffrant de troubles mentaux à travailler si ce travail </w:t>
      </w:r>
      <w:r w:rsidR="004438CE" w:rsidRPr="002715F2">
        <w:rPr>
          <w:rFonts w:eastAsia="Batang"/>
          <w:lang w:val="fr-FR"/>
        </w:rPr>
        <w:t>n’a pas de but</w:t>
      </w:r>
      <w:r w:rsidR="00165644" w:rsidRPr="002715F2">
        <w:rPr>
          <w:rFonts w:eastAsia="Batang"/>
          <w:lang w:val="fr-FR"/>
        </w:rPr>
        <w:t xml:space="preserve"> thérapeutique</w:t>
      </w:r>
      <w:r w:rsidR="00D143D8" w:rsidRPr="002715F2">
        <w:rPr>
          <w:rFonts w:eastAsia="Batang"/>
          <w:lang w:val="fr-FR"/>
        </w:rPr>
        <w:t>,</w:t>
      </w:r>
      <w:r w:rsidR="00165644" w:rsidRPr="002715F2">
        <w:rPr>
          <w:rFonts w:eastAsia="Batang"/>
          <w:lang w:val="fr-FR"/>
        </w:rPr>
        <w:t xml:space="preserve"> ou</w:t>
      </w:r>
      <w:r w:rsidR="004438CE" w:rsidRPr="002715F2">
        <w:rPr>
          <w:rFonts w:eastAsia="Batang"/>
          <w:lang w:val="fr-FR"/>
        </w:rPr>
        <w:t xml:space="preserve"> ne sert pas</w:t>
      </w:r>
      <w:r w:rsidR="00165644" w:rsidRPr="002715F2">
        <w:rPr>
          <w:rFonts w:eastAsia="Batang"/>
          <w:lang w:val="fr-FR"/>
        </w:rPr>
        <w:t xml:space="preserve"> sa réinsertion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41</w:t>
      </w:r>
      <w:r w:rsidR="00165644"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3)</w:t>
      </w:r>
      <w:r w:rsidR="00165644" w:rsidRPr="002715F2">
        <w:rPr>
          <w:rFonts w:eastAsia="Batang"/>
          <w:lang w:val="fr-FR"/>
        </w:rPr>
        <w:t xml:space="preserve">, et </w:t>
      </w:r>
      <w:r w:rsidR="00D143D8" w:rsidRPr="002715F2">
        <w:rPr>
          <w:rFonts w:eastAsia="Batang"/>
          <w:lang w:val="fr-FR"/>
        </w:rPr>
        <w:t>prohibe</w:t>
      </w:r>
      <w:r w:rsidR="00165644" w:rsidRPr="002715F2">
        <w:rPr>
          <w:rFonts w:eastAsia="Batang"/>
          <w:lang w:val="fr-FR"/>
        </w:rPr>
        <w:t xml:space="preserve"> les actes de violences et de cruauté</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43</w:t>
      </w:r>
      <w:r w:rsidR="00165644"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2). </w:t>
      </w:r>
      <w:r w:rsidR="00D143D8" w:rsidRPr="002715F2">
        <w:rPr>
          <w:rFonts w:eastAsia="Batang"/>
          <w:lang w:val="fr-FR"/>
        </w:rPr>
        <w:t>Quiconque</w:t>
      </w:r>
      <w:r w:rsidR="00165644" w:rsidRPr="002715F2">
        <w:rPr>
          <w:rFonts w:eastAsia="Batang"/>
          <w:lang w:val="fr-FR"/>
        </w:rPr>
        <w:t xml:space="preserve"> enfreint ces dispositions sera passible de sanctions pénales </w:t>
      </w:r>
      <w:r w:rsidR="00F7371F" w:rsidRPr="002715F2">
        <w:rPr>
          <w:rFonts w:eastAsia="Batang"/>
          <w:lang w:val="fr-FR"/>
        </w:rPr>
        <w:t>(</w:t>
      </w:r>
      <w:r w:rsidR="007C5014" w:rsidRPr="002715F2">
        <w:rPr>
          <w:rFonts w:eastAsia="Batang"/>
          <w:lang w:val="fr-FR"/>
        </w:rPr>
        <w:t>art. </w:t>
      </w:r>
      <w:r w:rsidR="00F7371F" w:rsidRPr="002715F2">
        <w:rPr>
          <w:rFonts w:eastAsia="Batang"/>
          <w:lang w:val="fr-FR"/>
        </w:rPr>
        <w:t>56 (2-2</w:t>
      </w:r>
      <w:r w:rsidR="00165644" w:rsidRPr="002715F2">
        <w:rPr>
          <w:rFonts w:eastAsia="Batang"/>
          <w:lang w:val="fr-FR"/>
        </w:rPr>
        <w:t>) et</w:t>
      </w:r>
      <w:r w:rsidR="00F7371F" w:rsidRPr="002715F2">
        <w:rPr>
          <w:rFonts w:eastAsia="Batang"/>
          <w:lang w:val="fr-FR"/>
        </w:rPr>
        <w:t xml:space="preserve"> 55 (6</w:t>
      </w:r>
      <w:r w:rsidR="00720F30" w:rsidRPr="002715F2">
        <w:rPr>
          <w:rFonts w:eastAsia="Batang"/>
          <w:lang w:val="fr-FR"/>
        </w:rPr>
        <w:t>­</w:t>
      </w:r>
      <w:r w:rsidR="00F7371F" w:rsidRPr="002715F2">
        <w:rPr>
          <w:rFonts w:eastAsia="Batang"/>
          <w:lang w:val="fr-FR"/>
        </w:rPr>
        <w:t>2)).</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4438CE" w:rsidRPr="002715F2">
        <w:rPr>
          <w:rFonts w:eastAsia="Batang"/>
          <w:lang w:val="fr-FR" w:eastAsia="ko-KR"/>
        </w:rPr>
        <w:t xml:space="preserve">Réponse aux questions soulevées au </w:t>
      </w:r>
      <w:r w:rsidR="009326C3" w:rsidRPr="002715F2">
        <w:rPr>
          <w:rFonts w:eastAsia="Batang"/>
          <w:lang w:val="fr-FR" w:eastAsia="ko-KR"/>
        </w:rPr>
        <w:t xml:space="preserve">paragraphe </w:t>
      </w:r>
      <w:r w:rsidR="004438CE" w:rsidRPr="002715F2">
        <w:rPr>
          <w:rFonts w:eastAsia="Batang"/>
          <w:lang w:val="fr-FR" w:eastAsia="ko-KR"/>
        </w:rPr>
        <w:t>37</w:t>
      </w:r>
    </w:p>
    <w:p w:rsidR="000078DA" w:rsidRPr="002715F2" w:rsidRDefault="007026FB" w:rsidP="007026FB">
      <w:pPr>
        <w:pStyle w:val="SingleTxtG"/>
        <w:rPr>
          <w:rFonts w:eastAsia="Batang"/>
          <w:lang w:val="fr-FR"/>
        </w:rPr>
      </w:pPr>
      <w:r w:rsidRPr="002715F2">
        <w:rPr>
          <w:rFonts w:eastAsia="Batang"/>
          <w:lang w:val="fr-FR"/>
        </w:rPr>
        <w:t>195.</w:t>
      </w:r>
      <w:r w:rsidRPr="002715F2">
        <w:rPr>
          <w:rFonts w:eastAsia="Batang"/>
          <w:lang w:val="fr-FR"/>
        </w:rPr>
        <w:tab/>
      </w:r>
      <w:r w:rsidR="00A0101E" w:rsidRPr="002715F2">
        <w:rPr>
          <w:lang w:val="fr-FR"/>
        </w:rPr>
        <w:t xml:space="preserve">Grâce à la modification du décret d’application de la loi sur l’enseignement primaire et secondaire </w:t>
      </w:r>
      <w:r w:rsidR="00A0101E" w:rsidRPr="002715F2">
        <w:rPr>
          <w:rFonts w:eastAsia="Batang"/>
          <w:lang w:val="fr-FR"/>
        </w:rPr>
        <w:t xml:space="preserve">le 18 mars 2011, </w:t>
      </w:r>
      <w:r w:rsidR="004438CE" w:rsidRPr="002715F2">
        <w:rPr>
          <w:rFonts w:eastAsia="Batang"/>
          <w:lang w:val="fr-FR"/>
        </w:rPr>
        <w:t xml:space="preserve">les châtiments corporels </w:t>
      </w:r>
      <w:r w:rsidR="00A0101E" w:rsidRPr="002715F2">
        <w:rPr>
          <w:rFonts w:eastAsia="Batang"/>
          <w:lang w:val="fr-FR"/>
        </w:rPr>
        <w:t xml:space="preserve">sont expressément interdits </w:t>
      </w:r>
      <w:r w:rsidR="004438CE" w:rsidRPr="002715F2">
        <w:rPr>
          <w:rFonts w:eastAsia="Batang"/>
          <w:lang w:val="fr-FR"/>
        </w:rPr>
        <w:t xml:space="preserve">dans les écoles, comme décrit </w:t>
      </w:r>
      <w:r w:rsidR="00FB6712" w:rsidRPr="002715F2">
        <w:rPr>
          <w:rFonts w:eastAsia="Batang"/>
          <w:lang w:val="fr-FR"/>
        </w:rPr>
        <w:t>le deuxième</w:t>
      </w:r>
      <w:r w:rsidR="000078DA" w:rsidRPr="002715F2">
        <w:rPr>
          <w:rFonts w:eastAsia="Batang"/>
          <w:lang w:val="fr-FR"/>
        </w:rPr>
        <w:t xml:space="preserve"> </w:t>
      </w:r>
      <w:r w:rsidR="00FB6712" w:rsidRPr="002715F2">
        <w:rPr>
          <w:rFonts w:eastAsia="Batang"/>
          <w:lang w:val="fr-FR"/>
        </w:rPr>
        <w:t xml:space="preserve">rapport présenté par la République de Corée au titre de l’Examen périodique universel </w:t>
      </w:r>
      <w:r w:rsidR="000078DA" w:rsidRPr="002715F2">
        <w:rPr>
          <w:rFonts w:eastAsia="Batang"/>
          <w:lang w:val="fr-FR"/>
        </w:rPr>
        <w:t>(A/HRC/WG.6/14/KOR/1</w:t>
      </w:r>
      <w:r w:rsidR="00FB6712"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60). </w:t>
      </w:r>
      <w:r w:rsidR="00D23306" w:rsidRPr="002715F2">
        <w:rPr>
          <w:rFonts w:eastAsia="Batang"/>
          <w:lang w:val="fr-FR"/>
        </w:rPr>
        <w:t>L’</w:t>
      </w:r>
      <w:r w:rsidR="009A4B97" w:rsidRPr="002715F2">
        <w:rPr>
          <w:rFonts w:eastAsia="Batang"/>
          <w:lang w:val="fr-FR"/>
        </w:rPr>
        <w:t>interdictio</w:t>
      </w:r>
      <w:r w:rsidR="00D23306" w:rsidRPr="002715F2">
        <w:rPr>
          <w:rFonts w:eastAsia="Batang"/>
          <w:lang w:val="fr-FR"/>
        </w:rPr>
        <w:t xml:space="preserve">n des châtiments corporels </w:t>
      </w:r>
      <w:r w:rsidR="008E1CE8" w:rsidRPr="002715F2">
        <w:rPr>
          <w:lang w:val="fr-FR"/>
        </w:rPr>
        <w:t>en milieu scolaire</w:t>
      </w:r>
      <w:r w:rsidR="008E1CE8" w:rsidRPr="002715F2">
        <w:rPr>
          <w:rFonts w:eastAsia="Batang"/>
          <w:lang w:val="fr-FR"/>
        </w:rPr>
        <w:t xml:space="preserve"> </w:t>
      </w:r>
      <w:r w:rsidR="009A4B97" w:rsidRPr="002715F2">
        <w:rPr>
          <w:rFonts w:eastAsia="Batang"/>
          <w:lang w:val="fr-FR"/>
        </w:rPr>
        <w:t>figure</w:t>
      </w:r>
      <w:r w:rsidR="00D23306" w:rsidRPr="002715F2">
        <w:rPr>
          <w:rFonts w:eastAsia="Batang"/>
          <w:lang w:val="fr-FR"/>
        </w:rPr>
        <w:t xml:space="preserve"> également </w:t>
      </w:r>
      <w:r w:rsidR="009A4B97" w:rsidRPr="002715F2">
        <w:rPr>
          <w:rFonts w:eastAsia="Batang"/>
          <w:lang w:val="fr-FR"/>
        </w:rPr>
        <w:t>dans les</w:t>
      </w:r>
      <w:r w:rsidR="00D23306" w:rsidRPr="002715F2">
        <w:rPr>
          <w:rFonts w:eastAsia="Batang"/>
          <w:lang w:val="fr-FR"/>
        </w:rPr>
        <w:t xml:space="preserve"> programme</w:t>
      </w:r>
      <w:r w:rsidR="009A4B97" w:rsidRPr="002715F2">
        <w:rPr>
          <w:rFonts w:eastAsia="Batang"/>
          <w:lang w:val="fr-FR"/>
        </w:rPr>
        <w:t>s</w:t>
      </w:r>
      <w:r w:rsidR="00D23306" w:rsidRPr="002715F2">
        <w:rPr>
          <w:rFonts w:eastAsia="Batang"/>
          <w:lang w:val="fr-FR"/>
        </w:rPr>
        <w:t xml:space="preserve"> de formation des enseignants</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196.</w:t>
      </w:r>
      <w:r w:rsidRPr="002715F2">
        <w:rPr>
          <w:rFonts w:eastAsia="Batang"/>
          <w:lang w:val="fr-FR"/>
        </w:rPr>
        <w:tab/>
      </w:r>
      <w:r w:rsidR="009A4B97" w:rsidRPr="002715F2">
        <w:rPr>
          <w:rFonts w:eastAsia="Batang"/>
          <w:lang w:val="fr-FR"/>
        </w:rPr>
        <w:t>Un enseignant qui a recours aux châtiments corporels à l’école pourra faire l’objet de sanctions disciplinaires. Il risqu</w:t>
      </w:r>
      <w:r w:rsidR="006F5110" w:rsidRPr="002715F2">
        <w:rPr>
          <w:rFonts w:eastAsia="Batang"/>
          <w:lang w:val="fr-FR"/>
        </w:rPr>
        <w:t>e</w:t>
      </w:r>
      <w:r w:rsidR="009A4B97" w:rsidRPr="002715F2">
        <w:rPr>
          <w:rFonts w:eastAsia="Batang"/>
          <w:lang w:val="fr-FR"/>
        </w:rPr>
        <w:t xml:space="preserve"> </w:t>
      </w:r>
      <w:r w:rsidR="00B17069" w:rsidRPr="002715F2">
        <w:rPr>
          <w:rFonts w:eastAsia="Batang"/>
          <w:lang w:val="fr-FR"/>
        </w:rPr>
        <w:t>en outre</w:t>
      </w:r>
      <w:r w:rsidR="009A4B97" w:rsidRPr="002715F2">
        <w:rPr>
          <w:rFonts w:eastAsia="Batang"/>
          <w:lang w:val="fr-FR"/>
        </w:rPr>
        <w:t xml:space="preserve"> des sanctions pénales si ces châtiments constituent des actes de violence ou </w:t>
      </w:r>
      <w:r w:rsidR="0039617D" w:rsidRPr="002715F2">
        <w:rPr>
          <w:rFonts w:eastAsia="Batang"/>
          <w:lang w:val="fr-FR"/>
        </w:rPr>
        <w:t>entraînent</w:t>
      </w:r>
      <w:r w:rsidR="009A4B97" w:rsidRPr="002715F2">
        <w:rPr>
          <w:rFonts w:eastAsia="Batang"/>
          <w:lang w:val="fr-FR"/>
        </w:rPr>
        <w:t xml:space="preserve"> des blessures</w:t>
      </w:r>
      <w:r w:rsidR="000078DA" w:rsidRPr="002715F2">
        <w:rPr>
          <w:rFonts w:eastAsia="Batang"/>
          <w:lang w:val="fr-FR"/>
        </w:rPr>
        <w:t xml:space="preserve">. </w:t>
      </w:r>
      <w:r w:rsidR="008845B0" w:rsidRPr="002715F2">
        <w:rPr>
          <w:rFonts w:eastAsia="Batang"/>
          <w:lang w:val="fr-FR"/>
        </w:rPr>
        <w:t xml:space="preserve">Par ailleurs, la loi sur la Commission nationale des droits de l’homme, modifiée le 21 mars 2012, autorise la Commission à se </w:t>
      </w:r>
      <w:r w:rsidR="0039617D" w:rsidRPr="002715F2">
        <w:rPr>
          <w:rFonts w:eastAsia="Batang"/>
          <w:lang w:val="fr-FR"/>
        </w:rPr>
        <w:t>rendre</w:t>
      </w:r>
      <w:r w:rsidR="008845B0" w:rsidRPr="002715F2">
        <w:rPr>
          <w:rFonts w:eastAsia="Batang"/>
          <w:lang w:val="fr-FR"/>
        </w:rPr>
        <w:t xml:space="preserve"> dans les écoles élémentaires, secondaires et collèges pour y mener </w:t>
      </w:r>
      <w:r w:rsidR="006F5110" w:rsidRPr="002715F2">
        <w:rPr>
          <w:rFonts w:eastAsia="Batang"/>
          <w:lang w:val="fr-FR"/>
        </w:rPr>
        <w:t>d</w:t>
      </w:r>
      <w:r w:rsidR="008845B0" w:rsidRPr="002715F2">
        <w:rPr>
          <w:rFonts w:eastAsia="Batang"/>
          <w:lang w:val="fr-FR"/>
        </w:rPr>
        <w:t>es enquêtes</w:t>
      </w:r>
      <w:r w:rsidR="006F5110" w:rsidRPr="002715F2">
        <w:rPr>
          <w:rFonts w:eastAsia="Batang"/>
          <w:lang w:val="fr-FR"/>
        </w:rPr>
        <w:t xml:space="preserve">. </w:t>
      </w:r>
      <w:r w:rsidR="008F0D4B" w:rsidRPr="002715F2">
        <w:rPr>
          <w:rFonts w:eastAsia="Batang"/>
          <w:lang w:val="fr-FR"/>
        </w:rPr>
        <w:t>Cette loi</w:t>
      </w:r>
      <w:r w:rsidR="006F5110" w:rsidRPr="002715F2">
        <w:rPr>
          <w:rFonts w:eastAsia="Batang"/>
          <w:lang w:val="fr-FR"/>
        </w:rPr>
        <w:t xml:space="preserve"> permet</w:t>
      </w:r>
      <w:r w:rsidR="008845B0" w:rsidRPr="002715F2">
        <w:rPr>
          <w:rFonts w:eastAsia="Batang"/>
          <w:lang w:val="fr-FR"/>
        </w:rPr>
        <w:t xml:space="preserve"> </w:t>
      </w:r>
      <w:r w:rsidR="00B17069" w:rsidRPr="002715F2">
        <w:rPr>
          <w:rFonts w:eastAsia="Batang"/>
          <w:lang w:val="fr-FR"/>
        </w:rPr>
        <w:t>également</w:t>
      </w:r>
      <w:r w:rsidR="006F5110" w:rsidRPr="002715F2">
        <w:rPr>
          <w:rFonts w:eastAsia="Batang"/>
          <w:lang w:val="fr-FR"/>
        </w:rPr>
        <w:t xml:space="preserve"> aux</w:t>
      </w:r>
      <w:r w:rsidR="008845B0" w:rsidRPr="002715F2">
        <w:rPr>
          <w:rFonts w:eastAsia="Batang"/>
          <w:lang w:val="fr-FR"/>
        </w:rPr>
        <w:t xml:space="preserve"> élèves </w:t>
      </w:r>
      <w:r w:rsidR="00B17069" w:rsidRPr="002715F2">
        <w:rPr>
          <w:rFonts w:eastAsia="Batang"/>
          <w:lang w:val="fr-FR"/>
        </w:rPr>
        <w:t>de</w:t>
      </w:r>
      <w:r w:rsidR="006F5110" w:rsidRPr="002715F2">
        <w:rPr>
          <w:rFonts w:eastAsia="Batang"/>
          <w:lang w:val="fr-FR"/>
        </w:rPr>
        <w:t xml:space="preserve"> </w:t>
      </w:r>
      <w:r w:rsidR="0039617D" w:rsidRPr="002715F2">
        <w:rPr>
          <w:rFonts w:eastAsia="Batang"/>
          <w:lang w:val="fr-FR"/>
        </w:rPr>
        <w:t>déposer</w:t>
      </w:r>
      <w:r w:rsidR="006F5110" w:rsidRPr="002715F2">
        <w:rPr>
          <w:rFonts w:eastAsia="Batang"/>
          <w:lang w:val="fr-FR"/>
        </w:rPr>
        <w:t xml:space="preserve"> une plainte devant la Commission </w:t>
      </w:r>
      <w:r w:rsidR="008F0D4B" w:rsidRPr="002715F2">
        <w:rPr>
          <w:rFonts w:eastAsia="Batang"/>
          <w:lang w:val="fr-FR"/>
        </w:rPr>
        <w:t>lorsque</w:t>
      </w:r>
      <w:r w:rsidR="008845B0" w:rsidRPr="002715F2">
        <w:rPr>
          <w:rFonts w:eastAsia="Batang"/>
          <w:lang w:val="fr-FR"/>
        </w:rPr>
        <w:t xml:space="preserve"> </w:t>
      </w:r>
      <w:r w:rsidR="006F5110" w:rsidRPr="002715F2">
        <w:rPr>
          <w:rFonts w:eastAsia="Batang"/>
          <w:lang w:val="fr-FR"/>
        </w:rPr>
        <w:t xml:space="preserve">des </w:t>
      </w:r>
      <w:r w:rsidR="008845B0" w:rsidRPr="002715F2">
        <w:rPr>
          <w:rFonts w:eastAsia="Batang"/>
          <w:lang w:val="fr-FR"/>
        </w:rPr>
        <w:t>violations des droits de l’homme</w:t>
      </w:r>
      <w:r w:rsidR="006F5110" w:rsidRPr="002715F2">
        <w:rPr>
          <w:rFonts w:eastAsia="Batang"/>
          <w:lang w:val="fr-FR"/>
        </w:rPr>
        <w:t xml:space="preserve"> sont commises</w:t>
      </w:r>
      <w:r w:rsidR="008845B0" w:rsidRPr="002715F2">
        <w:rPr>
          <w:rFonts w:eastAsia="Batang"/>
          <w:lang w:val="fr-FR"/>
        </w:rPr>
        <w:t xml:space="preserve"> </w:t>
      </w:r>
      <w:r w:rsidR="00B17069" w:rsidRPr="002715F2">
        <w:rPr>
          <w:rFonts w:eastAsia="Batang"/>
          <w:lang w:val="fr-FR"/>
        </w:rPr>
        <w:t>en milieu</w:t>
      </w:r>
      <w:r w:rsidR="008845B0" w:rsidRPr="002715F2">
        <w:rPr>
          <w:rFonts w:eastAsia="Batang"/>
          <w:lang w:val="fr-FR"/>
        </w:rPr>
        <w:t xml:space="preserve"> scolaire </w:t>
      </w:r>
      <w:r w:rsidR="00F7371F" w:rsidRPr="002715F2">
        <w:rPr>
          <w:rFonts w:eastAsia="Batang"/>
          <w:lang w:val="fr-FR"/>
        </w:rPr>
        <w:t>(</w:t>
      </w:r>
      <w:r w:rsidR="00BD1A84" w:rsidRPr="002715F2">
        <w:rPr>
          <w:rFonts w:eastAsia="Batang"/>
          <w:lang w:val="fr-FR"/>
        </w:rPr>
        <w:t>art. </w:t>
      </w:r>
      <w:r w:rsidR="00F7371F" w:rsidRPr="002715F2">
        <w:rPr>
          <w:rFonts w:eastAsia="Batang"/>
          <w:lang w:val="fr-FR"/>
        </w:rPr>
        <w:t>30</w:t>
      </w:r>
      <w:r w:rsidR="008845B0" w:rsidRPr="002715F2">
        <w:rPr>
          <w:rFonts w:eastAsia="Batang"/>
          <w:lang w:val="fr-FR"/>
        </w:rPr>
        <w:t>,</w:t>
      </w:r>
      <w:r w:rsidR="00F7371F" w:rsidRPr="002715F2">
        <w:rPr>
          <w:rFonts w:eastAsia="Batang"/>
          <w:lang w:val="fr-FR"/>
        </w:rPr>
        <w:t xml:space="preserve"> </w:t>
      </w:r>
      <w:r w:rsidR="00BD1A84" w:rsidRPr="002715F2">
        <w:rPr>
          <w:rFonts w:eastAsia="Batang"/>
          <w:lang w:val="fr-FR"/>
        </w:rPr>
        <w:t>par. </w:t>
      </w:r>
      <w:r w:rsidR="008845B0" w:rsidRPr="002715F2">
        <w:rPr>
          <w:rFonts w:eastAsia="Batang"/>
          <w:lang w:val="fr-FR"/>
        </w:rPr>
        <w:t>1 </w:t>
      </w:r>
      <w:r w:rsidR="00F7371F" w:rsidRPr="002715F2">
        <w:rPr>
          <w:rFonts w:eastAsia="Batang"/>
          <w:lang w:val="fr-FR"/>
        </w:rPr>
        <w:t>1)).</w:t>
      </w:r>
    </w:p>
    <w:p w:rsidR="000078DA" w:rsidRPr="002715F2" w:rsidRDefault="007026FB" w:rsidP="007026FB">
      <w:pPr>
        <w:pStyle w:val="SingleTxtG"/>
        <w:rPr>
          <w:rFonts w:eastAsia="Batang"/>
          <w:lang w:val="fr-FR"/>
        </w:rPr>
      </w:pPr>
      <w:r w:rsidRPr="002715F2">
        <w:rPr>
          <w:rFonts w:eastAsia="Batang"/>
          <w:lang w:val="fr-FR"/>
        </w:rPr>
        <w:t>197.</w:t>
      </w:r>
      <w:r w:rsidRPr="002715F2">
        <w:rPr>
          <w:rFonts w:eastAsia="Batang"/>
          <w:lang w:val="fr-FR"/>
        </w:rPr>
        <w:tab/>
      </w:r>
      <w:r w:rsidR="00B17069" w:rsidRPr="002715F2">
        <w:rPr>
          <w:rFonts w:eastAsia="Batang"/>
          <w:lang w:val="fr-FR"/>
        </w:rPr>
        <w:t xml:space="preserve">Le Gouvernement a </w:t>
      </w:r>
      <w:r w:rsidR="00E33EF1" w:rsidRPr="002715F2">
        <w:rPr>
          <w:rFonts w:eastAsia="Batang"/>
          <w:lang w:val="fr-FR"/>
        </w:rPr>
        <w:t>adopté</w:t>
      </w:r>
      <w:r w:rsidR="00B17069" w:rsidRPr="002715F2">
        <w:rPr>
          <w:lang w:val="fr-FR"/>
        </w:rPr>
        <w:t xml:space="preserve"> les</w:t>
      </w:r>
      <w:r w:rsidR="00B17069" w:rsidRPr="002715F2">
        <w:rPr>
          <w:rFonts w:eastAsia="Batang"/>
          <w:lang w:val="fr-FR"/>
        </w:rPr>
        <w:t xml:space="preserve"> </w:t>
      </w:r>
      <w:r w:rsidR="00B17069" w:rsidRPr="002715F2">
        <w:rPr>
          <w:lang w:val="fr-FR"/>
        </w:rPr>
        <w:t xml:space="preserve">méthodes de discipline positives et non violentes </w:t>
      </w:r>
      <w:r w:rsidR="0099406B" w:rsidRPr="002715F2">
        <w:rPr>
          <w:rFonts w:eastAsia="Batang"/>
          <w:lang w:val="fr-FR"/>
        </w:rPr>
        <w:t>décrites ci-après</w:t>
      </w:r>
      <w:r w:rsidR="000078DA" w:rsidRPr="002715F2">
        <w:rPr>
          <w:rFonts w:eastAsia="Batang"/>
          <w:lang w:val="fr-FR"/>
        </w:rPr>
        <w:t xml:space="preserve">. </w:t>
      </w:r>
      <w:r w:rsidR="00B17069" w:rsidRPr="002715F2">
        <w:rPr>
          <w:rFonts w:eastAsia="Batang"/>
          <w:lang w:val="fr-FR"/>
        </w:rPr>
        <w:t xml:space="preserve">Afin d’améliorer l’éducation axée sur la pratique de la citoyenneté démocratique par le biais de la </w:t>
      </w:r>
      <w:r w:rsidR="005F3991" w:rsidRPr="002715F2">
        <w:rPr>
          <w:rFonts w:eastAsia="Batang"/>
          <w:lang w:val="fr-FR"/>
        </w:rPr>
        <w:t>vitalisation des activités d’émancipation</w:t>
      </w:r>
      <w:r w:rsidR="00B17069" w:rsidRPr="002715F2">
        <w:rPr>
          <w:rFonts w:eastAsia="Batang"/>
          <w:lang w:val="fr-FR"/>
        </w:rPr>
        <w:t xml:space="preserve"> des </w:t>
      </w:r>
      <w:r w:rsidR="0039617D" w:rsidRPr="002715F2">
        <w:rPr>
          <w:rFonts w:eastAsia="Batang"/>
          <w:lang w:val="fr-FR"/>
        </w:rPr>
        <w:t>élèves</w:t>
      </w:r>
      <w:r w:rsidR="00B17069" w:rsidRPr="002715F2">
        <w:rPr>
          <w:rFonts w:eastAsia="Batang"/>
          <w:lang w:val="fr-FR"/>
        </w:rPr>
        <w:t xml:space="preserve">, </w:t>
      </w:r>
      <w:r w:rsidR="00F21BC0" w:rsidRPr="002715F2">
        <w:rPr>
          <w:rFonts w:eastAsia="Batang"/>
          <w:lang w:val="fr-FR"/>
        </w:rPr>
        <w:t>des</w:t>
      </w:r>
      <w:r w:rsidR="00B17069" w:rsidRPr="002715F2">
        <w:rPr>
          <w:rFonts w:eastAsia="Batang"/>
          <w:lang w:val="fr-FR"/>
        </w:rPr>
        <w:t xml:space="preserve"> </w:t>
      </w:r>
      <w:r w:rsidR="00B06DF0" w:rsidRPr="002715F2">
        <w:rPr>
          <w:rFonts w:eastAsia="Batang"/>
          <w:lang w:val="fr-FR"/>
        </w:rPr>
        <w:t>Conseil</w:t>
      </w:r>
      <w:r w:rsidR="00F21BC0" w:rsidRPr="002715F2">
        <w:rPr>
          <w:rFonts w:eastAsia="Batang"/>
          <w:lang w:val="fr-FR"/>
        </w:rPr>
        <w:t>s</w:t>
      </w:r>
      <w:r w:rsidR="00B06DF0" w:rsidRPr="002715F2">
        <w:rPr>
          <w:rFonts w:eastAsia="Batang"/>
          <w:lang w:val="fr-FR"/>
        </w:rPr>
        <w:t xml:space="preserve"> </w:t>
      </w:r>
      <w:r w:rsidR="005F3991" w:rsidRPr="002715F2">
        <w:rPr>
          <w:rFonts w:eastAsia="Batang"/>
          <w:lang w:val="fr-FR"/>
        </w:rPr>
        <w:t>d’</w:t>
      </w:r>
      <w:r w:rsidR="00B06DF0" w:rsidRPr="002715F2">
        <w:rPr>
          <w:rFonts w:eastAsia="Batang"/>
          <w:lang w:val="fr-FR"/>
        </w:rPr>
        <w:t xml:space="preserve">élèves </w:t>
      </w:r>
      <w:r w:rsidR="005F3991" w:rsidRPr="002715F2">
        <w:rPr>
          <w:rFonts w:eastAsia="Batang"/>
          <w:lang w:val="fr-FR"/>
        </w:rPr>
        <w:t>autonome</w:t>
      </w:r>
      <w:r w:rsidR="00F21BC0" w:rsidRPr="002715F2">
        <w:rPr>
          <w:rFonts w:eastAsia="Batang"/>
          <w:lang w:val="fr-FR"/>
        </w:rPr>
        <w:t>s</w:t>
      </w:r>
      <w:r w:rsidR="005F3991" w:rsidRPr="002715F2">
        <w:rPr>
          <w:rFonts w:eastAsia="Batang"/>
          <w:lang w:val="fr-FR"/>
        </w:rPr>
        <w:t xml:space="preserve"> </w:t>
      </w:r>
      <w:r w:rsidR="00E33EF1" w:rsidRPr="002715F2">
        <w:rPr>
          <w:rFonts w:eastAsia="Batang"/>
          <w:lang w:val="fr-FR"/>
        </w:rPr>
        <w:t>sont introduits</w:t>
      </w:r>
      <w:r w:rsidR="00B17069" w:rsidRPr="002715F2">
        <w:rPr>
          <w:rFonts w:eastAsia="Batang"/>
          <w:lang w:val="fr-FR"/>
        </w:rPr>
        <w:t xml:space="preserve"> dans les écoles depuis 2006. </w:t>
      </w:r>
      <w:r w:rsidR="00E33EF1" w:rsidRPr="002715F2">
        <w:rPr>
          <w:rFonts w:eastAsia="Batang"/>
          <w:lang w:val="fr-FR"/>
        </w:rPr>
        <w:t>Ainsi, e</w:t>
      </w:r>
      <w:r w:rsidR="00B17069" w:rsidRPr="002715F2">
        <w:rPr>
          <w:rFonts w:eastAsia="Batang"/>
          <w:lang w:val="fr-FR"/>
        </w:rPr>
        <w:t xml:space="preserve">n 2015, 1 720 écoles étaient dotées de ce </w:t>
      </w:r>
      <w:r w:rsidR="00F21BC0" w:rsidRPr="002715F2">
        <w:rPr>
          <w:rFonts w:eastAsia="Batang"/>
          <w:lang w:val="fr-FR"/>
        </w:rPr>
        <w:t xml:space="preserve">type de </w:t>
      </w:r>
      <w:r w:rsidR="00E33EF1" w:rsidRPr="002715F2">
        <w:rPr>
          <w:rFonts w:eastAsia="Batang"/>
          <w:lang w:val="fr-FR"/>
        </w:rPr>
        <w:t>c</w:t>
      </w:r>
      <w:r w:rsidR="00F21BC0" w:rsidRPr="002715F2">
        <w:rPr>
          <w:rFonts w:eastAsia="Batang"/>
          <w:lang w:val="fr-FR"/>
        </w:rPr>
        <w:t>onseil</w:t>
      </w:r>
      <w:r w:rsidR="000078DA" w:rsidRPr="002715F2">
        <w:rPr>
          <w:rFonts w:eastAsia="Batang"/>
          <w:lang w:val="fr-FR"/>
        </w:rPr>
        <w:t xml:space="preserve">. </w:t>
      </w:r>
      <w:r w:rsidR="00B06DF0" w:rsidRPr="002715F2">
        <w:rPr>
          <w:rFonts w:eastAsia="Batang"/>
          <w:lang w:val="fr-FR"/>
        </w:rPr>
        <w:t xml:space="preserve">En outre, pour </w:t>
      </w:r>
      <w:r w:rsidR="00E33EF1" w:rsidRPr="002715F2">
        <w:rPr>
          <w:rFonts w:eastAsia="Batang"/>
          <w:lang w:val="fr-FR"/>
        </w:rPr>
        <w:t>favoriser l’épanouissement des élèves</w:t>
      </w:r>
      <w:r w:rsidR="00A1449E" w:rsidRPr="002715F2">
        <w:rPr>
          <w:rFonts w:eastAsia="Batang"/>
          <w:lang w:val="fr-FR"/>
        </w:rPr>
        <w:t xml:space="preserve">, 797 écoles du droit et de </w:t>
      </w:r>
      <w:r w:rsidR="005E6C2C" w:rsidRPr="002715F2">
        <w:rPr>
          <w:rFonts w:eastAsia="Batang"/>
          <w:lang w:val="fr-FR"/>
        </w:rPr>
        <w:t>l’amitié</w:t>
      </w:r>
      <w:r w:rsidR="00A1449E" w:rsidRPr="002715F2">
        <w:rPr>
          <w:rFonts w:eastAsia="Batang"/>
          <w:lang w:val="fr-FR"/>
        </w:rPr>
        <w:t xml:space="preserve"> (</w:t>
      </w:r>
      <w:r w:rsidR="00B06DF0" w:rsidRPr="002715F2">
        <w:rPr>
          <w:rFonts w:eastAsia="Batang"/>
          <w:lang w:val="fr-FR"/>
        </w:rPr>
        <w:t xml:space="preserve">qui </w:t>
      </w:r>
      <w:r w:rsidR="005E6C2C" w:rsidRPr="002715F2">
        <w:rPr>
          <w:rFonts w:eastAsia="Batang"/>
          <w:lang w:val="fr-FR"/>
        </w:rPr>
        <w:t xml:space="preserve">visent à </w:t>
      </w:r>
      <w:r w:rsidR="0039617D" w:rsidRPr="002715F2">
        <w:rPr>
          <w:rFonts w:eastAsia="Batang"/>
          <w:lang w:val="fr-FR"/>
        </w:rPr>
        <w:t>développer</w:t>
      </w:r>
      <w:r w:rsidR="005E6C2C" w:rsidRPr="002715F2">
        <w:rPr>
          <w:rFonts w:eastAsia="Batang"/>
          <w:lang w:val="fr-FR"/>
        </w:rPr>
        <w:t xml:space="preserve"> la personnalité des enfants </w:t>
      </w:r>
      <w:r w:rsidR="00A1449E" w:rsidRPr="002715F2">
        <w:rPr>
          <w:rFonts w:eastAsia="Batang"/>
          <w:lang w:val="fr-FR"/>
        </w:rPr>
        <w:t>et</w:t>
      </w:r>
      <w:r w:rsidR="005E6C2C" w:rsidRPr="002715F2">
        <w:rPr>
          <w:rFonts w:eastAsia="Batang"/>
          <w:lang w:val="fr-FR"/>
        </w:rPr>
        <w:t xml:space="preserve"> à</w:t>
      </w:r>
      <w:r w:rsidR="00A1449E" w:rsidRPr="002715F2">
        <w:rPr>
          <w:rFonts w:eastAsia="Batang"/>
          <w:lang w:val="fr-FR"/>
        </w:rPr>
        <w:t xml:space="preserve"> préven</w:t>
      </w:r>
      <w:r w:rsidR="005E6C2C" w:rsidRPr="002715F2">
        <w:rPr>
          <w:rFonts w:eastAsia="Batang"/>
          <w:lang w:val="fr-FR"/>
        </w:rPr>
        <w:t>ir</w:t>
      </w:r>
      <w:r w:rsidR="00A1449E" w:rsidRPr="002715F2">
        <w:rPr>
          <w:rFonts w:eastAsia="Batang"/>
          <w:lang w:val="fr-FR"/>
        </w:rPr>
        <w:t xml:space="preserve"> la violence scolaire) </w:t>
      </w:r>
      <w:r w:rsidR="00B06DF0" w:rsidRPr="002715F2">
        <w:rPr>
          <w:rFonts w:eastAsia="Batang"/>
          <w:lang w:val="fr-FR"/>
        </w:rPr>
        <w:t>ont été mises en place</w:t>
      </w:r>
      <w:r w:rsidR="00E97B1A" w:rsidRPr="002715F2">
        <w:rPr>
          <w:rFonts w:eastAsia="Batang"/>
          <w:lang w:val="fr-FR"/>
        </w:rPr>
        <w:t>;</w:t>
      </w:r>
      <w:r w:rsidR="00B06DF0" w:rsidRPr="002715F2">
        <w:rPr>
          <w:rFonts w:eastAsia="Batang"/>
          <w:lang w:val="fr-FR"/>
        </w:rPr>
        <w:t xml:space="preserve"> </w:t>
      </w:r>
      <w:r w:rsidR="00A1449E" w:rsidRPr="002715F2">
        <w:rPr>
          <w:rFonts w:eastAsia="Batang"/>
          <w:lang w:val="fr-FR"/>
        </w:rPr>
        <w:t>34</w:t>
      </w:r>
      <w:r w:rsidR="00B06DF0" w:rsidRPr="002715F2">
        <w:rPr>
          <w:rFonts w:eastAsia="Batang"/>
          <w:lang w:val="fr-FR"/>
        </w:rPr>
        <w:t> </w:t>
      </w:r>
      <w:r w:rsidR="00A1449E" w:rsidRPr="002715F2">
        <w:rPr>
          <w:rFonts w:eastAsia="Batang"/>
          <w:lang w:val="fr-FR"/>
        </w:rPr>
        <w:t xml:space="preserve">écoles exemplaires </w:t>
      </w:r>
      <w:r w:rsidR="00937037" w:rsidRPr="002715F2">
        <w:rPr>
          <w:rFonts w:eastAsia="Batang"/>
          <w:lang w:val="fr-FR"/>
        </w:rPr>
        <w:t>pour l</w:t>
      </w:r>
      <w:r w:rsidR="00171468" w:rsidRPr="002715F2">
        <w:rPr>
          <w:rFonts w:eastAsia="Batang"/>
          <w:lang w:val="fr-FR"/>
        </w:rPr>
        <w:t xml:space="preserve">’épanouissement </w:t>
      </w:r>
      <w:r w:rsidR="005E6C2C" w:rsidRPr="002715F2">
        <w:rPr>
          <w:rFonts w:eastAsia="Batang"/>
          <w:lang w:val="fr-FR"/>
        </w:rPr>
        <w:t xml:space="preserve">des élèves </w:t>
      </w:r>
      <w:r w:rsidR="00A1449E" w:rsidRPr="002715F2">
        <w:rPr>
          <w:rFonts w:eastAsia="Batang"/>
          <w:lang w:val="fr-FR"/>
        </w:rPr>
        <w:t>ont été sélectionné</w:t>
      </w:r>
      <w:r w:rsidR="00B06DF0" w:rsidRPr="002715F2">
        <w:rPr>
          <w:rFonts w:eastAsia="Batang"/>
          <w:lang w:val="fr-FR"/>
        </w:rPr>
        <w:t>e</w:t>
      </w:r>
      <w:r w:rsidR="00AA160D" w:rsidRPr="002715F2">
        <w:rPr>
          <w:rFonts w:eastAsia="Batang"/>
          <w:lang w:val="fr-FR"/>
        </w:rPr>
        <w:t>s par voie de concours</w:t>
      </w:r>
      <w:r w:rsidR="00E97B1A" w:rsidRPr="002715F2">
        <w:rPr>
          <w:rFonts w:eastAsia="Batang"/>
          <w:lang w:val="fr-FR"/>
        </w:rPr>
        <w:t>;</w:t>
      </w:r>
      <w:r w:rsidR="00AA160D" w:rsidRPr="002715F2">
        <w:rPr>
          <w:rFonts w:eastAsia="Batang"/>
          <w:lang w:val="fr-FR"/>
        </w:rPr>
        <w:t xml:space="preserve"> et</w:t>
      </w:r>
      <w:r w:rsidR="00B06DF0" w:rsidRPr="002715F2">
        <w:rPr>
          <w:rFonts w:eastAsia="Batang"/>
          <w:lang w:val="fr-FR"/>
        </w:rPr>
        <w:t xml:space="preserve"> 31 </w:t>
      </w:r>
      <w:r w:rsidR="00A1449E" w:rsidRPr="002715F2">
        <w:rPr>
          <w:rFonts w:eastAsia="Batang"/>
          <w:lang w:val="fr-FR"/>
        </w:rPr>
        <w:t xml:space="preserve">écoles pilotes </w:t>
      </w:r>
      <w:r w:rsidR="00171468" w:rsidRPr="002715F2">
        <w:rPr>
          <w:rFonts w:eastAsia="Batang"/>
          <w:lang w:val="fr-FR"/>
        </w:rPr>
        <w:t xml:space="preserve">en </w:t>
      </w:r>
      <w:r w:rsidR="00E33EF1" w:rsidRPr="002715F2">
        <w:rPr>
          <w:rFonts w:eastAsia="Batang"/>
          <w:lang w:val="fr-FR"/>
        </w:rPr>
        <w:t xml:space="preserve">la </w:t>
      </w:r>
      <w:r w:rsidR="00171468" w:rsidRPr="002715F2">
        <w:rPr>
          <w:rFonts w:eastAsia="Batang"/>
          <w:lang w:val="fr-FR"/>
        </w:rPr>
        <w:t xml:space="preserve">matière </w:t>
      </w:r>
      <w:r w:rsidR="00A1449E" w:rsidRPr="002715F2">
        <w:rPr>
          <w:rFonts w:eastAsia="Batang"/>
          <w:lang w:val="fr-FR"/>
        </w:rPr>
        <w:t xml:space="preserve">étaient en </w:t>
      </w:r>
      <w:r w:rsidR="00B06DF0" w:rsidRPr="002715F2">
        <w:rPr>
          <w:rFonts w:eastAsia="Batang"/>
          <w:lang w:val="fr-FR"/>
        </w:rPr>
        <w:t>service</w:t>
      </w:r>
      <w:r w:rsidR="00A1449E" w:rsidRPr="002715F2">
        <w:rPr>
          <w:rFonts w:eastAsia="Batang"/>
          <w:lang w:val="fr-FR"/>
        </w:rPr>
        <w:t xml:space="preserve"> en 2015</w:t>
      </w:r>
      <w:r w:rsidR="000078DA" w:rsidRPr="002715F2">
        <w:rPr>
          <w:rFonts w:eastAsia="Batang"/>
          <w:lang w:val="fr-FR"/>
        </w:rPr>
        <w:t xml:space="preserve">. </w:t>
      </w:r>
      <w:r w:rsidR="00B06DF0" w:rsidRPr="002715F2">
        <w:rPr>
          <w:rFonts w:eastAsia="Batang"/>
          <w:lang w:val="fr-FR"/>
        </w:rPr>
        <w:t xml:space="preserve">Le Gouvernement a élargi la mise en </w:t>
      </w:r>
      <w:r w:rsidR="0039617D" w:rsidRPr="002715F2">
        <w:rPr>
          <w:rFonts w:eastAsia="Batang"/>
          <w:lang w:val="fr-FR"/>
        </w:rPr>
        <w:t>œuvre</w:t>
      </w:r>
      <w:r w:rsidR="00B06DF0" w:rsidRPr="002715F2">
        <w:rPr>
          <w:rFonts w:eastAsia="Batang"/>
          <w:lang w:val="fr-FR"/>
        </w:rPr>
        <w:t xml:space="preserve"> du projet Wee, un système d’a</w:t>
      </w:r>
      <w:r w:rsidR="00E33EF1" w:rsidRPr="002715F2">
        <w:rPr>
          <w:rFonts w:eastAsia="Batang"/>
          <w:lang w:val="fr-FR"/>
        </w:rPr>
        <w:t xml:space="preserve">ide </w:t>
      </w:r>
      <w:r w:rsidR="0039617D" w:rsidRPr="002715F2">
        <w:rPr>
          <w:rFonts w:eastAsia="Batang"/>
          <w:lang w:val="fr-FR"/>
        </w:rPr>
        <w:t>psychosociale</w:t>
      </w:r>
      <w:r w:rsidR="00C56523" w:rsidRPr="002715F2">
        <w:rPr>
          <w:rFonts w:eastAsia="Batang"/>
          <w:lang w:val="fr-FR"/>
        </w:rPr>
        <w:t xml:space="preserve"> qui fonctionne</w:t>
      </w:r>
      <w:r w:rsidR="00B06DF0" w:rsidRPr="002715F2">
        <w:rPr>
          <w:rFonts w:eastAsia="Batang"/>
          <w:lang w:val="fr-FR"/>
        </w:rPr>
        <w:t xml:space="preserve"> en partenariat avec les écoles, les bureaux municipaux de l’éducation et la communauté locale</w:t>
      </w:r>
      <w:r w:rsidR="002371C0" w:rsidRPr="002715F2">
        <w:rPr>
          <w:rFonts w:eastAsia="Batang"/>
          <w:lang w:val="fr-FR"/>
        </w:rPr>
        <w:t>,</w:t>
      </w:r>
      <w:r w:rsidR="00B06DF0" w:rsidRPr="002715F2">
        <w:rPr>
          <w:rFonts w:eastAsia="Batang"/>
          <w:lang w:val="fr-FR"/>
        </w:rPr>
        <w:t xml:space="preserve"> </w:t>
      </w:r>
      <w:r w:rsidR="005E6C2C" w:rsidRPr="002715F2">
        <w:rPr>
          <w:rFonts w:eastAsia="Batang"/>
          <w:lang w:val="fr-FR"/>
        </w:rPr>
        <w:t>afin de</w:t>
      </w:r>
      <w:r w:rsidR="00B06DF0" w:rsidRPr="002715F2">
        <w:rPr>
          <w:rFonts w:eastAsia="Batang"/>
          <w:lang w:val="fr-FR"/>
        </w:rPr>
        <w:t xml:space="preserve"> </w:t>
      </w:r>
      <w:r w:rsidR="00C56523" w:rsidRPr="002715F2">
        <w:rPr>
          <w:rFonts w:eastAsia="Batang"/>
          <w:lang w:val="fr-FR"/>
        </w:rPr>
        <w:t>repérer</w:t>
      </w:r>
      <w:r w:rsidR="00B06DF0" w:rsidRPr="002715F2">
        <w:rPr>
          <w:rFonts w:eastAsia="Batang"/>
          <w:lang w:val="fr-FR"/>
        </w:rPr>
        <w:t xml:space="preserve">, </w:t>
      </w:r>
      <w:r w:rsidR="00C56523" w:rsidRPr="002715F2">
        <w:rPr>
          <w:rFonts w:eastAsia="Batang"/>
          <w:lang w:val="fr-FR"/>
        </w:rPr>
        <w:t>conseiller</w:t>
      </w:r>
      <w:r w:rsidR="00B06DF0" w:rsidRPr="002715F2">
        <w:rPr>
          <w:rFonts w:eastAsia="Batang"/>
          <w:lang w:val="fr-FR"/>
        </w:rPr>
        <w:t xml:space="preserve"> et </w:t>
      </w:r>
      <w:r w:rsidR="00C56523" w:rsidRPr="002715F2">
        <w:rPr>
          <w:rFonts w:eastAsia="Batang"/>
          <w:lang w:val="fr-FR"/>
        </w:rPr>
        <w:t>suivre</w:t>
      </w:r>
      <w:r w:rsidR="00B06DF0" w:rsidRPr="002715F2">
        <w:rPr>
          <w:rFonts w:eastAsia="Batang"/>
          <w:lang w:val="fr-FR"/>
        </w:rPr>
        <w:t xml:space="preserve"> </w:t>
      </w:r>
      <w:r w:rsidR="00C56523" w:rsidRPr="002715F2">
        <w:rPr>
          <w:rFonts w:eastAsia="Batang"/>
          <w:lang w:val="fr-FR"/>
        </w:rPr>
        <w:t>l</w:t>
      </w:r>
      <w:r w:rsidR="00B06DF0" w:rsidRPr="002715F2">
        <w:rPr>
          <w:rFonts w:eastAsia="Batang"/>
          <w:lang w:val="fr-FR"/>
        </w:rPr>
        <w:t xml:space="preserve">es élèves à risque qui </w:t>
      </w:r>
      <w:r w:rsidR="00E33EF1" w:rsidRPr="002715F2">
        <w:rPr>
          <w:rFonts w:eastAsia="Batang"/>
          <w:lang w:val="fr-FR"/>
        </w:rPr>
        <w:t>peinent à s</w:t>
      </w:r>
      <w:r w:rsidR="002371C0" w:rsidRPr="002715F2">
        <w:rPr>
          <w:rFonts w:eastAsia="Batang"/>
          <w:lang w:val="fr-FR"/>
        </w:rPr>
        <w:t>’adapt</w:t>
      </w:r>
      <w:r w:rsidR="00E33EF1" w:rsidRPr="002715F2">
        <w:rPr>
          <w:rFonts w:eastAsia="Batang"/>
          <w:lang w:val="fr-FR"/>
        </w:rPr>
        <w:t xml:space="preserve">er </w:t>
      </w:r>
      <w:r w:rsidR="00B06DF0" w:rsidRPr="002715F2">
        <w:rPr>
          <w:rFonts w:eastAsia="Batang"/>
          <w:lang w:val="fr-FR"/>
        </w:rPr>
        <w:t>à la vie scolaire (voir le tableau 34)</w:t>
      </w:r>
      <w:r w:rsidR="000078DA"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198.</w:t>
      </w:r>
      <w:r w:rsidRPr="002715F2">
        <w:rPr>
          <w:rFonts w:eastAsia="Batang"/>
          <w:lang w:val="fr-FR"/>
        </w:rPr>
        <w:tab/>
      </w:r>
      <w:r w:rsidR="00362459" w:rsidRPr="002715F2">
        <w:rPr>
          <w:rFonts w:eastAsia="Batang"/>
          <w:lang w:val="fr-FR"/>
        </w:rPr>
        <w:t xml:space="preserve">S’agissant des châtiments corporels </w:t>
      </w:r>
      <w:r w:rsidR="00D837C1" w:rsidRPr="002715F2">
        <w:rPr>
          <w:lang w:val="fr-FR"/>
        </w:rPr>
        <w:t>dans la famille</w:t>
      </w:r>
      <w:r w:rsidR="00362459" w:rsidRPr="002715F2">
        <w:rPr>
          <w:rFonts w:eastAsia="Batang"/>
          <w:lang w:val="fr-FR"/>
        </w:rPr>
        <w:t>, a</w:t>
      </w:r>
      <w:r w:rsidR="00967934" w:rsidRPr="002715F2">
        <w:rPr>
          <w:rFonts w:eastAsia="Batang"/>
          <w:lang w:val="fr-FR"/>
        </w:rPr>
        <w:t>ucune loi ni aucun règlement n</w:t>
      </w:r>
      <w:r w:rsidR="00362459" w:rsidRPr="002715F2">
        <w:rPr>
          <w:rFonts w:eastAsia="Batang"/>
          <w:lang w:val="fr-FR"/>
        </w:rPr>
        <w:t xml:space="preserve">e les </w:t>
      </w:r>
      <w:r w:rsidR="00967934" w:rsidRPr="002715F2">
        <w:rPr>
          <w:rFonts w:eastAsia="Batang"/>
          <w:lang w:val="fr-FR"/>
        </w:rPr>
        <w:t xml:space="preserve">interdit </w:t>
      </w:r>
      <w:r w:rsidR="0039617D" w:rsidRPr="002715F2">
        <w:rPr>
          <w:rFonts w:eastAsia="Batang"/>
          <w:lang w:val="fr-FR"/>
        </w:rPr>
        <w:t>expressément</w:t>
      </w:r>
      <w:r w:rsidR="00362459" w:rsidRPr="002715F2">
        <w:rPr>
          <w:rFonts w:eastAsia="Batang"/>
          <w:lang w:val="fr-FR"/>
        </w:rPr>
        <w:t>.</w:t>
      </w:r>
      <w:r w:rsidR="00967934" w:rsidRPr="002715F2">
        <w:rPr>
          <w:rFonts w:eastAsia="Batang"/>
          <w:lang w:val="fr-FR"/>
        </w:rPr>
        <w:t xml:space="preserve"> Toutefois, si </w:t>
      </w:r>
      <w:r w:rsidR="00362459" w:rsidRPr="002715F2">
        <w:rPr>
          <w:rFonts w:eastAsia="Batang"/>
          <w:lang w:val="fr-FR"/>
        </w:rPr>
        <w:t>c</w:t>
      </w:r>
      <w:r w:rsidR="00967934" w:rsidRPr="002715F2">
        <w:rPr>
          <w:rFonts w:eastAsia="Batang"/>
          <w:lang w:val="fr-FR"/>
        </w:rPr>
        <w:t xml:space="preserve">es </w:t>
      </w:r>
      <w:r w:rsidR="0039617D" w:rsidRPr="002715F2">
        <w:rPr>
          <w:rFonts w:eastAsia="Batang"/>
          <w:lang w:val="fr-FR"/>
        </w:rPr>
        <w:t>châtiments</w:t>
      </w:r>
      <w:r w:rsidR="00967934" w:rsidRPr="002715F2">
        <w:rPr>
          <w:rFonts w:eastAsia="Batang"/>
          <w:lang w:val="fr-FR"/>
        </w:rPr>
        <w:t xml:space="preserve"> </w:t>
      </w:r>
      <w:r w:rsidR="00362459" w:rsidRPr="002715F2">
        <w:rPr>
          <w:rFonts w:eastAsia="Batang"/>
          <w:lang w:val="fr-FR"/>
        </w:rPr>
        <w:t>violent</w:t>
      </w:r>
      <w:r w:rsidR="00967934" w:rsidRPr="002715F2">
        <w:rPr>
          <w:rFonts w:eastAsia="Batang"/>
          <w:lang w:val="fr-FR"/>
        </w:rPr>
        <w:t xml:space="preserve"> les normes sociales </w:t>
      </w:r>
      <w:r w:rsidR="00694E78" w:rsidRPr="002715F2">
        <w:rPr>
          <w:rFonts w:eastAsia="Batang"/>
          <w:lang w:val="fr-FR"/>
        </w:rPr>
        <w:t xml:space="preserve">du fait qu’ils sont dénués de </w:t>
      </w:r>
      <w:r w:rsidR="00967934" w:rsidRPr="002715F2">
        <w:rPr>
          <w:rFonts w:eastAsia="Batang"/>
          <w:lang w:val="fr-FR"/>
        </w:rPr>
        <w:t xml:space="preserve">motif légitime ou ne constituent pas un moyen approprié d’exercer l’autorité parentale, </w:t>
      </w:r>
      <w:r w:rsidR="009F453F" w:rsidRPr="002715F2">
        <w:rPr>
          <w:rFonts w:eastAsia="Batang"/>
          <w:lang w:val="fr-FR"/>
        </w:rPr>
        <w:t>leurs</w:t>
      </w:r>
      <w:r w:rsidR="00967934" w:rsidRPr="002715F2">
        <w:rPr>
          <w:rFonts w:eastAsia="Batang"/>
          <w:lang w:val="fr-FR"/>
        </w:rPr>
        <w:t xml:space="preserve"> auteur</w:t>
      </w:r>
      <w:r w:rsidR="009F453F" w:rsidRPr="002715F2">
        <w:rPr>
          <w:rFonts w:eastAsia="Batang"/>
          <w:lang w:val="fr-FR"/>
        </w:rPr>
        <w:t>s</w:t>
      </w:r>
      <w:r w:rsidR="00967934" w:rsidRPr="002715F2">
        <w:rPr>
          <w:rFonts w:eastAsia="Batang"/>
          <w:lang w:val="fr-FR"/>
        </w:rPr>
        <w:t xml:space="preserve"> peu</w:t>
      </w:r>
      <w:r w:rsidR="009F453F" w:rsidRPr="002715F2">
        <w:rPr>
          <w:rFonts w:eastAsia="Batang"/>
          <w:lang w:val="fr-FR"/>
        </w:rPr>
        <w:t>ven</w:t>
      </w:r>
      <w:r w:rsidR="00967934" w:rsidRPr="002715F2">
        <w:rPr>
          <w:rFonts w:eastAsia="Batang"/>
          <w:lang w:val="fr-FR"/>
        </w:rPr>
        <w:t>t être sanctionné</w:t>
      </w:r>
      <w:r w:rsidR="009F453F" w:rsidRPr="002715F2">
        <w:rPr>
          <w:rFonts w:eastAsia="Batang"/>
          <w:lang w:val="fr-FR"/>
        </w:rPr>
        <w:t>s</w:t>
      </w:r>
      <w:r w:rsidR="00967934" w:rsidRPr="002715F2">
        <w:rPr>
          <w:rFonts w:eastAsia="Batang"/>
          <w:lang w:val="fr-FR"/>
        </w:rPr>
        <w:t xml:space="preserve"> </w:t>
      </w:r>
      <w:r w:rsidR="001E4916" w:rsidRPr="002715F2">
        <w:rPr>
          <w:rFonts w:eastAsia="Batang"/>
          <w:lang w:val="fr-FR"/>
        </w:rPr>
        <w:t>pour</w:t>
      </w:r>
      <w:r w:rsidR="009F453F" w:rsidRPr="002715F2">
        <w:rPr>
          <w:rFonts w:eastAsia="Batang"/>
          <w:lang w:val="fr-FR"/>
        </w:rPr>
        <w:t xml:space="preserve"> actes de v</w:t>
      </w:r>
      <w:r w:rsidR="00967934" w:rsidRPr="002715F2">
        <w:rPr>
          <w:rFonts w:eastAsia="Batang"/>
          <w:lang w:val="fr-FR"/>
        </w:rPr>
        <w:t>iolence ou blessures</w:t>
      </w:r>
      <w:r w:rsidR="000078DA" w:rsidRPr="002715F2">
        <w:rPr>
          <w:rFonts w:eastAsia="Batang"/>
          <w:lang w:val="fr-FR"/>
        </w:rPr>
        <w:t xml:space="preserve">. </w:t>
      </w:r>
      <w:r w:rsidR="00BF1E22" w:rsidRPr="002715F2">
        <w:rPr>
          <w:rFonts w:eastAsia="Batang"/>
          <w:lang w:val="fr-FR"/>
        </w:rPr>
        <w:t>En effet, l</w:t>
      </w:r>
      <w:r w:rsidR="001A249D" w:rsidRPr="002715F2">
        <w:rPr>
          <w:rFonts w:eastAsia="Batang"/>
          <w:lang w:val="fr-FR"/>
        </w:rPr>
        <w:t xml:space="preserve">a loi sur la protection de l’enfance interdit les </w:t>
      </w:r>
      <w:r w:rsidR="00484C7E" w:rsidRPr="002715F2">
        <w:rPr>
          <w:rFonts w:eastAsia="Batang"/>
          <w:lang w:val="fr-FR"/>
        </w:rPr>
        <w:t xml:space="preserve">maltraitances </w:t>
      </w:r>
      <w:r w:rsidR="001A249D" w:rsidRPr="002715F2">
        <w:rPr>
          <w:rFonts w:eastAsia="Batang"/>
          <w:lang w:val="fr-FR"/>
        </w:rPr>
        <w:t xml:space="preserve">qui </w:t>
      </w:r>
      <w:r w:rsidR="00484C7E" w:rsidRPr="002715F2">
        <w:rPr>
          <w:rFonts w:eastAsia="Batang"/>
          <w:lang w:val="fr-FR"/>
        </w:rPr>
        <w:t>produisent</w:t>
      </w:r>
      <w:r w:rsidR="001A249D" w:rsidRPr="002715F2">
        <w:rPr>
          <w:rFonts w:eastAsia="Batang"/>
          <w:lang w:val="fr-FR"/>
        </w:rPr>
        <w:t xml:space="preserve"> des blessures sur le corps de l’enfant (art. 17 </w:t>
      </w:r>
      <w:r w:rsidR="00867AE2" w:rsidRPr="002715F2">
        <w:rPr>
          <w:rFonts w:eastAsia="Batang"/>
          <w:lang w:val="fr-FR"/>
        </w:rPr>
        <w:t xml:space="preserve">3)), lesquelles </w:t>
      </w:r>
      <w:r w:rsidR="001A249D" w:rsidRPr="002715F2">
        <w:rPr>
          <w:rFonts w:eastAsia="Batang"/>
          <w:lang w:val="fr-FR"/>
        </w:rPr>
        <w:t>sont puni</w:t>
      </w:r>
      <w:r w:rsidR="00915448" w:rsidRPr="002715F2">
        <w:rPr>
          <w:rFonts w:eastAsia="Batang"/>
          <w:lang w:val="fr-FR"/>
        </w:rPr>
        <w:t>e</w:t>
      </w:r>
      <w:r w:rsidR="001A249D" w:rsidRPr="002715F2">
        <w:rPr>
          <w:rFonts w:eastAsia="Batang"/>
          <w:lang w:val="fr-FR"/>
        </w:rPr>
        <w:t xml:space="preserve">s d’une peine maximale d’emprisonnement de </w:t>
      </w:r>
      <w:r w:rsidR="00E2718F" w:rsidRPr="002715F2">
        <w:rPr>
          <w:rFonts w:eastAsia="Batang"/>
          <w:lang w:val="fr-FR"/>
        </w:rPr>
        <w:t xml:space="preserve">cinq </w:t>
      </w:r>
      <w:r w:rsidR="001A249D" w:rsidRPr="002715F2">
        <w:rPr>
          <w:rFonts w:eastAsia="Batang"/>
          <w:lang w:val="fr-FR"/>
        </w:rPr>
        <w:t xml:space="preserve">ans ou d’une amende ne </w:t>
      </w:r>
      <w:r w:rsidR="003D0AB1" w:rsidRPr="002715F2">
        <w:rPr>
          <w:rFonts w:eastAsia="Batang"/>
          <w:lang w:val="fr-FR"/>
        </w:rPr>
        <w:t>p</w:t>
      </w:r>
      <w:r w:rsidR="00915448" w:rsidRPr="002715F2">
        <w:rPr>
          <w:rFonts w:eastAsia="Batang"/>
          <w:lang w:val="fr-FR"/>
        </w:rPr>
        <w:t>o</w:t>
      </w:r>
      <w:r w:rsidR="003D0AB1" w:rsidRPr="002715F2">
        <w:rPr>
          <w:rFonts w:eastAsia="Batang"/>
          <w:lang w:val="fr-FR"/>
        </w:rPr>
        <w:t>uvant</w:t>
      </w:r>
      <w:r w:rsidR="001A249D" w:rsidRPr="002715F2">
        <w:rPr>
          <w:rFonts w:eastAsia="Batang"/>
          <w:lang w:val="fr-FR"/>
        </w:rPr>
        <w:t xml:space="preserve"> ex</w:t>
      </w:r>
      <w:r w:rsidR="003D0AB1" w:rsidRPr="002715F2">
        <w:rPr>
          <w:rFonts w:eastAsia="Batang"/>
          <w:lang w:val="fr-FR"/>
        </w:rPr>
        <w:t>c</w:t>
      </w:r>
      <w:r w:rsidR="001A249D" w:rsidRPr="002715F2">
        <w:rPr>
          <w:rFonts w:eastAsia="Batang"/>
          <w:lang w:val="fr-FR"/>
        </w:rPr>
        <w:t>é</w:t>
      </w:r>
      <w:r w:rsidR="003D0AB1" w:rsidRPr="002715F2">
        <w:rPr>
          <w:rFonts w:eastAsia="Batang"/>
          <w:lang w:val="fr-FR"/>
        </w:rPr>
        <w:t>de</w:t>
      </w:r>
      <w:r w:rsidR="001A249D" w:rsidRPr="002715F2">
        <w:rPr>
          <w:rFonts w:eastAsia="Batang"/>
          <w:lang w:val="fr-FR"/>
        </w:rPr>
        <w:t xml:space="preserve">r </w:t>
      </w:r>
      <w:r w:rsidR="003D0AB1" w:rsidRPr="002715F2">
        <w:rPr>
          <w:rFonts w:eastAsia="Batang"/>
          <w:lang w:val="fr-FR"/>
        </w:rPr>
        <w:t>30 </w:t>
      </w:r>
      <w:r w:rsidR="001A249D" w:rsidRPr="002715F2">
        <w:rPr>
          <w:rFonts w:eastAsia="Batang"/>
          <w:lang w:val="fr-FR"/>
        </w:rPr>
        <w:t xml:space="preserve">millions de </w:t>
      </w:r>
      <w:r w:rsidR="003D0AB1" w:rsidRPr="002715F2">
        <w:rPr>
          <w:rFonts w:eastAsia="Batang"/>
          <w:lang w:val="fr-FR"/>
        </w:rPr>
        <w:t>won</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71</w:t>
      </w:r>
      <w:r w:rsidR="003D0AB1"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3D0AB1" w:rsidRPr="002715F2">
        <w:rPr>
          <w:rFonts w:eastAsia="Batang"/>
          <w:lang w:val="fr-FR"/>
        </w:rPr>
        <w:t>1 </w:t>
      </w:r>
      <w:r w:rsidR="000078DA" w:rsidRPr="002715F2">
        <w:rPr>
          <w:rFonts w:eastAsia="Batang"/>
          <w:lang w:val="fr-FR"/>
        </w:rPr>
        <w:t xml:space="preserve">2)). </w:t>
      </w:r>
      <w:r w:rsidR="001C3B0D" w:rsidRPr="002715F2">
        <w:rPr>
          <w:rFonts w:eastAsia="Batang"/>
          <w:lang w:val="fr-FR"/>
        </w:rPr>
        <w:t xml:space="preserve">En outre, la loi sur les cas spéciaux relatifs à la répression de la maltraitance des enfants a été promulguée le 28 janvier 2014 afin de redéfinir ce type de maltraitance, de faire prendre conscience de son caractère criminel et </w:t>
      </w:r>
      <w:r w:rsidR="00C13B5A" w:rsidRPr="002715F2">
        <w:rPr>
          <w:rFonts w:eastAsia="Batang"/>
          <w:lang w:val="fr-FR"/>
        </w:rPr>
        <w:t xml:space="preserve">d’établir une corrélation </w:t>
      </w:r>
      <w:r w:rsidR="001C3B0D" w:rsidRPr="002715F2">
        <w:rPr>
          <w:rFonts w:eastAsia="Batang"/>
          <w:lang w:val="fr-FR"/>
        </w:rPr>
        <w:t>étroit</w:t>
      </w:r>
      <w:r w:rsidR="00C13B5A" w:rsidRPr="002715F2">
        <w:rPr>
          <w:rFonts w:eastAsia="Batang"/>
          <w:lang w:val="fr-FR"/>
        </w:rPr>
        <w:t>e</w:t>
      </w:r>
      <w:r w:rsidR="001C3B0D" w:rsidRPr="002715F2">
        <w:rPr>
          <w:rFonts w:eastAsia="Batang"/>
          <w:lang w:val="fr-FR"/>
        </w:rPr>
        <w:t xml:space="preserve"> entre les mesures de protection </w:t>
      </w:r>
      <w:r w:rsidR="00362459" w:rsidRPr="002715F2">
        <w:rPr>
          <w:rFonts w:eastAsia="Batang"/>
          <w:lang w:val="fr-FR"/>
        </w:rPr>
        <w:t xml:space="preserve">offertes aux </w:t>
      </w:r>
      <w:r w:rsidR="001C3B0D" w:rsidRPr="002715F2">
        <w:rPr>
          <w:rFonts w:eastAsia="Batang"/>
          <w:lang w:val="fr-FR"/>
        </w:rPr>
        <w:t>victimes</w:t>
      </w:r>
      <w:r w:rsidR="00BD2A22" w:rsidRPr="002715F2">
        <w:rPr>
          <w:rFonts w:eastAsia="Batang"/>
          <w:lang w:val="fr-FR"/>
        </w:rPr>
        <w:t xml:space="preserve"> mineures</w:t>
      </w:r>
      <w:r w:rsidR="001C3B0D" w:rsidRPr="002715F2">
        <w:rPr>
          <w:rFonts w:eastAsia="Batang"/>
          <w:lang w:val="fr-FR"/>
        </w:rPr>
        <w:t xml:space="preserve"> et l</w:t>
      </w:r>
      <w:r w:rsidR="00BD2A22" w:rsidRPr="002715F2">
        <w:rPr>
          <w:rFonts w:eastAsia="Batang"/>
          <w:lang w:val="fr-FR"/>
        </w:rPr>
        <w:t>es</w:t>
      </w:r>
      <w:r w:rsidR="001C3B0D" w:rsidRPr="002715F2">
        <w:rPr>
          <w:rFonts w:eastAsia="Batang"/>
          <w:lang w:val="fr-FR"/>
        </w:rPr>
        <w:t xml:space="preserve"> sanction</w:t>
      </w:r>
      <w:r w:rsidR="00BD2A22" w:rsidRPr="002715F2">
        <w:rPr>
          <w:rFonts w:eastAsia="Batang"/>
          <w:lang w:val="fr-FR"/>
        </w:rPr>
        <w:t xml:space="preserve">s </w:t>
      </w:r>
      <w:r w:rsidR="00362459" w:rsidRPr="002715F2">
        <w:rPr>
          <w:rFonts w:eastAsia="Batang"/>
          <w:lang w:val="fr-FR"/>
        </w:rPr>
        <w:t xml:space="preserve">prononcées </w:t>
      </w:r>
      <w:r w:rsidR="0039617D" w:rsidRPr="002715F2">
        <w:rPr>
          <w:rFonts w:eastAsia="Batang"/>
          <w:lang w:val="fr-FR"/>
        </w:rPr>
        <w:t>contre</w:t>
      </w:r>
      <w:r w:rsidR="00BD2A22" w:rsidRPr="002715F2">
        <w:rPr>
          <w:rFonts w:eastAsia="Batang"/>
          <w:lang w:val="fr-FR"/>
        </w:rPr>
        <w:t xml:space="preserve"> le</w:t>
      </w:r>
      <w:r w:rsidR="00362459" w:rsidRPr="002715F2">
        <w:rPr>
          <w:rFonts w:eastAsia="Batang"/>
          <w:lang w:val="fr-FR"/>
        </w:rPr>
        <w:t>s</w:t>
      </w:r>
      <w:r w:rsidR="001C3B0D" w:rsidRPr="002715F2">
        <w:rPr>
          <w:rFonts w:eastAsia="Batang"/>
          <w:lang w:val="fr-FR"/>
        </w:rPr>
        <w:t xml:space="preserve"> </w:t>
      </w:r>
      <w:r w:rsidR="00362459" w:rsidRPr="002715F2">
        <w:rPr>
          <w:rFonts w:eastAsia="Batang"/>
          <w:lang w:val="fr-FR"/>
        </w:rPr>
        <w:t>délinquants</w:t>
      </w:r>
      <w:r w:rsidR="00AA472B"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4438CE" w:rsidRPr="002715F2">
        <w:rPr>
          <w:rFonts w:eastAsia="Batang"/>
          <w:lang w:val="fr-FR" w:eastAsia="ko-KR"/>
        </w:rPr>
        <w:t>Réponse aux qu</w:t>
      </w:r>
      <w:r w:rsidR="00C13B5A" w:rsidRPr="002715F2">
        <w:rPr>
          <w:rFonts w:eastAsia="Batang"/>
          <w:lang w:val="fr-FR" w:eastAsia="ko-KR"/>
        </w:rPr>
        <w:t xml:space="preserve">estions soulevées au </w:t>
      </w:r>
      <w:r w:rsidR="00E2718F" w:rsidRPr="002715F2">
        <w:rPr>
          <w:rFonts w:eastAsia="Batang"/>
          <w:lang w:val="fr-FR" w:eastAsia="ko-KR"/>
        </w:rPr>
        <w:t xml:space="preserve">paragraphe </w:t>
      </w:r>
      <w:r w:rsidR="004438CE" w:rsidRPr="002715F2">
        <w:rPr>
          <w:rFonts w:eastAsia="Batang"/>
          <w:lang w:val="fr-FR" w:eastAsia="ko-KR"/>
        </w:rPr>
        <w:t>38</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9F0416" w:rsidRPr="002715F2">
        <w:rPr>
          <w:rFonts w:eastAsia="Batang"/>
          <w:lang w:val="fr-FR" w:eastAsia="ko-KR"/>
        </w:rPr>
        <w:t>Respect des procédures légales dans le cadre de la répression de</w:t>
      </w:r>
      <w:r w:rsidR="00D837C1" w:rsidRPr="002715F2">
        <w:rPr>
          <w:rFonts w:eastAsia="Batang"/>
          <w:lang w:val="fr-FR" w:eastAsia="ko-KR"/>
        </w:rPr>
        <w:t xml:space="preserve"> l’immigration clandestine </w:t>
      </w:r>
    </w:p>
    <w:p w:rsidR="000078DA" w:rsidRPr="002715F2" w:rsidRDefault="007026FB" w:rsidP="007026FB">
      <w:pPr>
        <w:pStyle w:val="SingleTxtG"/>
        <w:rPr>
          <w:rFonts w:eastAsia="Batang"/>
          <w:lang w:val="fr-FR"/>
        </w:rPr>
      </w:pPr>
      <w:r w:rsidRPr="002715F2">
        <w:rPr>
          <w:rFonts w:eastAsia="Batang"/>
          <w:lang w:val="fr-FR"/>
        </w:rPr>
        <w:t>199.</w:t>
      </w:r>
      <w:r w:rsidRPr="002715F2">
        <w:rPr>
          <w:rFonts w:eastAsia="Batang"/>
          <w:lang w:val="fr-FR"/>
        </w:rPr>
        <w:tab/>
      </w:r>
      <w:r w:rsidR="00867AE2" w:rsidRPr="002715F2">
        <w:rPr>
          <w:rFonts w:eastAsia="Batang"/>
          <w:lang w:val="fr-FR"/>
        </w:rPr>
        <w:t xml:space="preserve">Concernant la </w:t>
      </w:r>
      <w:r w:rsidR="0039617D" w:rsidRPr="002715F2">
        <w:rPr>
          <w:rFonts w:eastAsia="Batang"/>
          <w:lang w:val="fr-FR"/>
        </w:rPr>
        <w:t>répression</w:t>
      </w:r>
      <w:r w:rsidR="00867AE2" w:rsidRPr="002715F2">
        <w:rPr>
          <w:rFonts w:eastAsia="Batang"/>
          <w:lang w:val="fr-FR"/>
        </w:rPr>
        <w:t xml:space="preserve"> </w:t>
      </w:r>
      <w:r w:rsidR="00867AE2" w:rsidRPr="002715F2">
        <w:rPr>
          <w:rFonts w:eastAsia="Batang"/>
          <w:lang w:val="fr-FR" w:eastAsia="ko-KR"/>
        </w:rPr>
        <w:t xml:space="preserve">des </w:t>
      </w:r>
      <w:r w:rsidR="0087349F" w:rsidRPr="002715F2">
        <w:rPr>
          <w:rFonts w:eastAsia="Batang"/>
          <w:lang w:val="fr-FR" w:eastAsia="ko-KR"/>
        </w:rPr>
        <w:t>infraction</w:t>
      </w:r>
      <w:r w:rsidR="00D837C1" w:rsidRPr="002715F2">
        <w:rPr>
          <w:rFonts w:eastAsia="Batang"/>
          <w:lang w:val="fr-FR" w:eastAsia="ko-KR"/>
        </w:rPr>
        <w:t>s</w:t>
      </w:r>
      <w:r w:rsidR="0087349F" w:rsidRPr="002715F2">
        <w:rPr>
          <w:rFonts w:eastAsia="Batang"/>
          <w:lang w:val="fr-FR" w:eastAsia="ko-KR"/>
        </w:rPr>
        <w:t xml:space="preserve"> </w:t>
      </w:r>
      <w:r w:rsidR="00D837C1" w:rsidRPr="002715F2">
        <w:rPr>
          <w:rFonts w:eastAsia="Batang"/>
          <w:lang w:val="fr-FR" w:eastAsia="ko-KR"/>
        </w:rPr>
        <w:t>à</w:t>
      </w:r>
      <w:r w:rsidR="0087349F" w:rsidRPr="002715F2">
        <w:rPr>
          <w:rFonts w:eastAsia="Batang"/>
          <w:lang w:val="fr-FR" w:eastAsia="ko-KR"/>
        </w:rPr>
        <w:t xml:space="preserve"> la loi sur l’immigration</w:t>
      </w:r>
      <w:r w:rsidR="000078DA" w:rsidRPr="002715F2">
        <w:rPr>
          <w:rFonts w:eastAsia="Batang"/>
          <w:lang w:val="fr-FR"/>
        </w:rPr>
        <w:t xml:space="preserve">, </w:t>
      </w:r>
      <w:r w:rsidR="0063205C" w:rsidRPr="002715F2">
        <w:rPr>
          <w:rFonts w:eastAsia="Batang"/>
          <w:lang w:val="fr-FR"/>
        </w:rPr>
        <w:t>la règle</w:t>
      </w:r>
      <w:r w:rsidR="00AA7A36" w:rsidRPr="002715F2">
        <w:rPr>
          <w:rFonts w:eastAsia="Batang"/>
          <w:lang w:val="fr-FR"/>
        </w:rPr>
        <w:t xml:space="preserve"> «</w:t>
      </w:r>
      <w:r w:rsidR="000078DA" w:rsidRPr="002715F2">
        <w:rPr>
          <w:rFonts w:eastAsia="Batang"/>
          <w:lang w:val="fr-FR"/>
        </w:rPr>
        <w:t>Miranda</w:t>
      </w:r>
      <w:r w:rsidR="00E97B1A" w:rsidRPr="002715F2">
        <w:rPr>
          <w:rFonts w:eastAsia="Batang"/>
          <w:lang w:val="fr-FR"/>
        </w:rPr>
        <w:t>»</w:t>
      </w:r>
      <w:r w:rsidR="000078DA" w:rsidRPr="002715F2">
        <w:rPr>
          <w:rFonts w:eastAsia="Batang"/>
          <w:lang w:val="fr-FR"/>
        </w:rPr>
        <w:t xml:space="preserve"> </w:t>
      </w:r>
      <w:r w:rsidR="00BD2A22" w:rsidRPr="002715F2">
        <w:rPr>
          <w:rFonts w:eastAsia="Batang"/>
          <w:lang w:val="fr-FR"/>
        </w:rPr>
        <w:t xml:space="preserve">est disponible </w:t>
      </w:r>
      <w:r w:rsidR="0087349F" w:rsidRPr="002715F2">
        <w:rPr>
          <w:rFonts w:eastAsia="Batang"/>
          <w:lang w:val="fr-FR"/>
        </w:rPr>
        <w:t xml:space="preserve">en 10 langues, notamment en anglais, chinois, russe, thaï, vietnamien et mongol, en plus du coréen, afin que les </w:t>
      </w:r>
      <w:r w:rsidR="0063205C" w:rsidRPr="002715F2">
        <w:rPr>
          <w:rFonts w:eastAsia="Batang"/>
          <w:lang w:val="fr-FR"/>
        </w:rPr>
        <w:t>immigrés en situation irrégulière</w:t>
      </w:r>
      <w:r w:rsidR="0087349F" w:rsidRPr="002715F2">
        <w:rPr>
          <w:rFonts w:eastAsia="Batang"/>
          <w:lang w:val="fr-FR"/>
        </w:rPr>
        <w:t xml:space="preserve"> puissant être informés de leurs droits de garder le silence et de </w:t>
      </w:r>
      <w:r w:rsidR="00BE195F" w:rsidRPr="002715F2">
        <w:rPr>
          <w:rFonts w:eastAsia="Batang"/>
          <w:lang w:val="fr-FR"/>
        </w:rPr>
        <w:t>consulter un avocat</w:t>
      </w:r>
      <w:r w:rsidR="0087349F" w:rsidRPr="002715F2">
        <w:rPr>
          <w:rFonts w:eastAsia="Batang"/>
          <w:lang w:val="fr-FR"/>
        </w:rPr>
        <w:t xml:space="preserve"> dans une langue qu’ils peuvent comprendre</w:t>
      </w:r>
      <w:r w:rsidR="00AA472B"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200.</w:t>
      </w:r>
      <w:r w:rsidRPr="002715F2">
        <w:rPr>
          <w:rFonts w:eastAsia="Batang"/>
          <w:lang w:val="fr-FR"/>
        </w:rPr>
        <w:tab/>
      </w:r>
      <w:r w:rsidR="00552A73" w:rsidRPr="002715F2">
        <w:rPr>
          <w:rFonts w:eastAsia="Batang"/>
          <w:lang w:val="fr-FR"/>
        </w:rPr>
        <w:t xml:space="preserve">Le Règlement relatif au respect de la légalité et à </w:t>
      </w:r>
      <w:r w:rsidR="00A9772C" w:rsidRPr="002715F2">
        <w:rPr>
          <w:rFonts w:eastAsia="Batang"/>
          <w:lang w:val="fr-FR"/>
        </w:rPr>
        <w:t xml:space="preserve">la protection des droits de l’homme en matière de </w:t>
      </w:r>
      <w:r w:rsidR="0039617D" w:rsidRPr="002715F2">
        <w:rPr>
          <w:rFonts w:eastAsia="Batang"/>
          <w:lang w:val="fr-FR"/>
        </w:rPr>
        <w:t>répression</w:t>
      </w:r>
      <w:r w:rsidR="00A9772C" w:rsidRPr="002715F2">
        <w:rPr>
          <w:rFonts w:eastAsia="Batang"/>
          <w:lang w:val="fr-FR"/>
        </w:rPr>
        <w:t xml:space="preserve"> de l’immigration irrégulière </w:t>
      </w:r>
      <w:r w:rsidR="006E336C" w:rsidRPr="002715F2">
        <w:rPr>
          <w:rFonts w:eastAsia="Batang"/>
          <w:lang w:val="fr-FR"/>
        </w:rPr>
        <w:t xml:space="preserve">(directive du Ministère de la justice) </w:t>
      </w:r>
      <w:r w:rsidR="00A9772C" w:rsidRPr="002715F2">
        <w:rPr>
          <w:rFonts w:eastAsia="Batang"/>
          <w:lang w:val="fr-FR"/>
        </w:rPr>
        <w:t>précise</w:t>
      </w:r>
      <w:r w:rsidR="006E336C" w:rsidRPr="002715F2">
        <w:rPr>
          <w:rFonts w:eastAsia="Batang"/>
          <w:lang w:val="fr-FR"/>
        </w:rPr>
        <w:t xml:space="preserve"> qu’un fonctionnaire de</w:t>
      </w:r>
      <w:r w:rsidR="00033909" w:rsidRPr="002715F2">
        <w:rPr>
          <w:rFonts w:eastAsia="Batang"/>
          <w:lang w:val="fr-FR"/>
        </w:rPr>
        <w:t>s services de l</w:t>
      </w:r>
      <w:r w:rsidR="006E336C" w:rsidRPr="002715F2">
        <w:rPr>
          <w:rFonts w:eastAsia="Batang"/>
          <w:lang w:val="fr-FR"/>
        </w:rPr>
        <w:t>’immigration doit informer les étrangers de leur droit de garder le silence et d’être assisté</w:t>
      </w:r>
      <w:r w:rsidR="00033909" w:rsidRPr="002715F2">
        <w:rPr>
          <w:rFonts w:eastAsia="Batang"/>
          <w:lang w:val="fr-FR"/>
        </w:rPr>
        <w:t>s</w:t>
      </w:r>
      <w:r w:rsidR="006E336C" w:rsidRPr="002715F2">
        <w:rPr>
          <w:rFonts w:eastAsia="Batang"/>
          <w:lang w:val="fr-FR"/>
        </w:rPr>
        <w:t xml:space="preserve"> d’un conseil</w:t>
      </w:r>
      <w:r w:rsidR="00033909" w:rsidRPr="002715F2">
        <w:rPr>
          <w:rFonts w:eastAsia="Batang"/>
          <w:lang w:val="fr-FR"/>
        </w:rPr>
        <w:t>, et ce,</w:t>
      </w:r>
      <w:r w:rsidR="006E336C" w:rsidRPr="002715F2">
        <w:rPr>
          <w:rFonts w:eastAsia="Batang"/>
          <w:lang w:val="fr-FR"/>
        </w:rPr>
        <w:t xml:space="preserve"> au moment de leur arrestation </w:t>
      </w:r>
      <w:r w:rsidR="007B6781" w:rsidRPr="002715F2">
        <w:rPr>
          <w:rFonts w:eastAsia="Batang"/>
          <w:lang w:val="fr-FR"/>
        </w:rPr>
        <w:t xml:space="preserve">urgente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11</w:t>
      </w:r>
      <w:r w:rsidR="006E336C"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2) </w:t>
      </w:r>
      <w:r w:rsidR="006E336C" w:rsidRPr="002715F2">
        <w:rPr>
          <w:rFonts w:eastAsia="Batang"/>
          <w:lang w:val="fr-FR"/>
        </w:rPr>
        <w:t xml:space="preserve">et avant de les interroger </w:t>
      </w:r>
      <w:r w:rsidR="00AA472B" w:rsidRPr="002715F2">
        <w:rPr>
          <w:rFonts w:eastAsia="Batang"/>
          <w:lang w:val="fr-FR"/>
        </w:rPr>
        <w:t>(</w:t>
      </w:r>
      <w:r w:rsidR="00BD1A84" w:rsidRPr="002715F2">
        <w:rPr>
          <w:rFonts w:eastAsia="Batang"/>
          <w:lang w:val="fr-FR"/>
        </w:rPr>
        <w:t>art. </w:t>
      </w:r>
      <w:r w:rsidR="006E336C" w:rsidRPr="002715F2">
        <w:rPr>
          <w:rFonts w:eastAsia="Batang"/>
          <w:lang w:val="fr-FR"/>
        </w:rPr>
        <w:t>16</w:t>
      </w:r>
      <w:r w:rsidR="00E97B1A" w:rsidRPr="002715F2">
        <w:rPr>
          <w:rFonts w:eastAsia="Batang"/>
          <w:lang w:val="fr-FR"/>
        </w:rPr>
        <w:t>;</w:t>
      </w:r>
      <w:r w:rsidR="00AC505C" w:rsidRPr="002715F2">
        <w:rPr>
          <w:rFonts w:eastAsia="Batang"/>
          <w:lang w:val="fr-FR"/>
        </w:rPr>
        <w:t xml:space="preserve"> </w:t>
      </w:r>
      <w:r w:rsidR="00BD1A84" w:rsidRPr="002715F2">
        <w:rPr>
          <w:rFonts w:eastAsia="Batang"/>
          <w:lang w:val="fr-FR"/>
        </w:rPr>
        <w:t>art. </w:t>
      </w:r>
      <w:r w:rsidR="00AA472B" w:rsidRPr="002715F2">
        <w:rPr>
          <w:rFonts w:eastAsia="Batang"/>
          <w:lang w:val="fr-FR"/>
        </w:rPr>
        <w:t>17</w:t>
      </w:r>
      <w:r w:rsidR="006E336C" w:rsidRPr="002715F2">
        <w:rPr>
          <w:rFonts w:eastAsia="Batang"/>
          <w:lang w:val="fr-FR"/>
        </w:rPr>
        <w:t>,</w:t>
      </w:r>
      <w:r w:rsidR="00AA472B" w:rsidRPr="002715F2">
        <w:rPr>
          <w:rFonts w:eastAsia="Batang"/>
          <w:lang w:val="fr-FR"/>
        </w:rPr>
        <w:t xml:space="preserve"> </w:t>
      </w:r>
      <w:r w:rsidR="00BD1A84" w:rsidRPr="002715F2">
        <w:rPr>
          <w:rFonts w:eastAsia="Batang"/>
          <w:lang w:val="fr-FR"/>
        </w:rPr>
        <w:t>par. </w:t>
      </w:r>
      <w:r w:rsidR="00AA472B" w:rsidRPr="002715F2">
        <w:rPr>
          <w:rFonts w:eastAsia="Batang"/>
          <w:lang w:val="fr-FR"/>
        </w:rPr>
        <w:t>1).</w:t>
      </w:r>
    </w:p>
    <w:p w:rsidR="000078DA" w:rsidRPr="002715F2" w:rsidRDefault="00F420C5" w:rsidP="00D90B15">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033909" w:rsidRPr="002715F2">
        <w:rPr>
          <w:rFonts w:eastAsia="Batang"/>
          <w:lang w:val="fr-FR" w:eastAsia="ko-KR"/>
        </w:rPr>
        <w:t xml:space="preserve">Services d’aide </w:t>
      </w:r>
      <w:r w:rsidR="0039617D" w:rsidRPr="002715F2">
        <w:rPr>
          <w:rFonts w:eastAsia="Batang"/>
          <w:lang w:val="fr-FR"/>
        </w:rPr>
        <w:t>juridictionnelle</w:t>
      </w:r>
      <w:r w:rsidR="00A9772C" w:rsidRPr="002715F2">
        <w:rPr>
          <w:rFonts w:eastAsia="Batang"/>
          <w:lang w:val="fr-FR"/>
        </w:rPr>
        <w:t xml:space="preserve"> </w:t>
      </w:r>
      <w:r w:rsidR="00033909" w:rsidRPr="002715F2">
        <w:rPr>
          <w:rFonts w:eastAsia="Batang"/>
          <w:lang w:val="fr-FR" w:eastAsia="ko-KR"/>
        </w:rPr>
        <w:t>pour les étrangers résidant en République de Corée</w:t>
      </w:r>
    </w:p>
    <w:p w:rsidR="000078DA" w:rsidRPr="002715F2" w:rsidRDefault="007026FB" w:rsidP="007026FB">
      <w:pPr>
        <w:pStyle w:val="SingleTxtG"/>
        <w:rPr>
          <w:rFonts w:eastAsia="Batang"/>
          <w:lang w:val="fr-FR"/>
        </w:rPr>
      </w:pPr>
      <w:r w:rsidRPr="002715F2">
        <w:rPr>
          <w:rFonts w:eastAsia="Batang"/>
          <w:lang w:val="fr-FR"/>
        </w:rPr>
        <w:t>201.</w:t>
      </w:r>
      <w:r w:rsidRPr="002715F2">
        <w:rPr>
          <w:rFonts w:eastAsia="Batang"/>
          <w:lang w:val="fr-FR"/>
        </w:rPr>
        <w:tab/>
      </w:r>
      <w:r w:rsidR="00033909" w:rsidRPr="002715F2">
        <w:rPr>
          <w:rFonts w:eastAsia="Batang"/>
          <w:lang w:val="fr-FR"/>
        </w:rPr>
        <w:t xml:space="preserve">Conformément à la loi nationale sur la sécurité des moyens </w:t>
      </w:r>
      <w:r w:rsidR="00411922" w:rsidRPr="002715F2">
        <w:rPr>
          <w:rFonts w:eastAsia="Batang"/>
          <w:lang w:val="fr-FR"/>
        </w:rPr>
        <w:t>de</w:t>
      </w:r>
      <w:r w:rsidR="00033909" w:rsidRPr="002715F2">
        <w:rPr>
          <w:rFonts w:eastAsia="Batang"/>
          <w:lang w:val="fr-FR"/>
        </w:rPr>
        <w:t xml:space="preserve"> subsistance de base</w:t>
      </w:r>
      <w:r w:rsidR="000078DA" w:rsidRPr="002715F2">
        <w:rPr>
          <w:rFonts w:eastAsia="Batang"/>
          <w:lang w:val="fr-FR"/>
        </w:rPr>
        <w:t xml:space="preserve">, </w:t>
      </w:r>
      <w:r w:rsidR="0068054C" w:rsidRPr="002715F2">
        <w:rPr>
          <w:rFonts w:eastAsia="Batang"/>
          <w:lang w:val="fr-FR"/>
        </w:rPr>
        <w:t>les</w:t>
      </w:r>
      <w:r w:rsidR="00D4208D" w:rsidRPr="002715F2">
        <w:rPr>
          <w:rFonts w:eastAsia="Batang"/>
          <w:lang w:val="fr-FR"/>
        </w:rPr>
        <w:t xml:space="preserve"> étrangers </w:t>
      </w:r>
      <w:r w:rsidR="00D4208D" w:rsidRPr="002715F2">
        <w:rPr>
          <w:rFonts w:eastAsia="Batang"/>
          <w:lang w:val="fr-FR" w:eastAsia="ko-KR"/>
        </w:rPr>
        <w:t xml:space="preserve">résidant </w:t>
      </w:r>
      <w:r w:rsidR="00D4208D" w:rsidRPr="002715F2">
        <w:rPr>
          <w:rFonts w:eastAsia="Batang"/>
          <w:lang w:val="fr-FR"/>
        </w:rPr>
        <w:t>en République de Corée dont le</w:t>
      </w:r>
      <w:r w:rsidR="00A9772C" w:rsidRPr="002715F2">
        <w:rPr>
          <w:rFonts w:eastAsia="Batang"/>
          <w:lang w:val="fr-FR"/>
        </w:rPr>
        <w:t>s</w:t>
      </w:r>
      <w:r w:rsidR="00D4208D" w:rsidRPr="002715F2">
        <w:rPr>
          <w:rFonts w:eastAsia="Batang"/>
          <w:lang w:val="fr-FR"/>
        </w:rPr>
        <w:t xml:space="preserve"> revenu</w:t>
      </w:r>
      <w:r w:rsidR="00A9772C" w:rsidRPr="002715F2">
        <w:rPr>
          <w:rFonts w:eastAsia="Batang"/>
          <w:lang w:val="fr-FR"/>
        </w:rPr>
        <w:t>s</w:t>
      </w:r>
      <w:r w:rsidR="00D4208D" w:rsidRPr="002715F2">
        <w:rPr>
          <w:rFonts w:eastAsia="Batang"/>
          <w:lang w:val="fr-FR"/>
        </w:rPr>
        <w:t xml:space="preserve"> </w:t>
      </w:r>
      <w:r w:rsidR="00A9772C" w:rsidRPr="002715F2">
        <w:rPr>
          <w:rFonts w:eastAsia="Batang"/>
          <w:lang w:val="fr-FR"/>
        </w:rPr>
        <w:t>sont</w:t>
      </w:r>
      <w:r w:rsidR="00D4208D" w:rsidRPr="002715F2">
        <w:rPr>
          <w:rFonts w:eastAsia="Batang"/>
          <w:lang w:val="fr-FR"/>
        </w:rPr>
        <w:t xml:space="preserve"> inférieur</w:t>
      </w:r>
      <w:r w:rsidR="00A9772C" w:rsidRPr="002715F2">
        <w:rPr>
          <w:rFonts w:eastAsia="Batang"/>
          <w:lang w:val="fr-FR"/>
        </w:rPr>
        <w:t>s</w:t>
      </w:r>
      <w:r w:rsidR="00D4208D" w:rsidRPr="002715F2">
        <w:rPr>
          <w:rFonts w:eastAsia="Batang"/>
          <w:lang w:val="fr-FR"/>
        </w:rPr>
        <w:t xml:space="preserve"> de 125 % </w:t>
      </w:r>
      <w:r w:rsidR="00A9772C" w:rsidRPr="002715F2">
        <w:rPr>
          <w:rFonts w:eastAsia="Batang"/>
          <w:lang w:val="fr-FR"/>
        </w:rPr>
        <w:t>a</w:t>
      </w:r>
      <w:r w:rsidR="00D4208D" w:rsidRPr="002715F2">
        <w:rPr>
          <w:rFonts w:eastAsia="Batang"/>
          <w:lang w:val="fr-FR"/>
        </w:rPr>
        <w:t>u revenu médian des ménages (</w:t>
      </w:r>
      <w:r w:rsidR="00EF196D" w:rsidRPr="002715F2">
        <w:rPr>
          <w:rFonts w:eastAsia="Batang"/>
          <w:lang w:val="fr-FR"/>
        </w:rPr>
        <w:t xml:space="preserve">selon les </w:t>
      </w:r>
      <w:r w:rsidR="00D4208D" w:rsidRPr="002715F2">
        <w:rPr>
          <w:rFonts w:eastAsia="Batang"/>
          <w:lang w:val="fr-FR"/>
        </w:rPr>
        <w:t>calcul</w:t>
      </w:r>
      <w:r w:rsidR="00EF196D" w:rsidRPr="002715F2">
        <w:rPr>
          <w:rFonts w:eastAsia="Batang"/>
          <w:lang w:val="fr-FR"/>
        </w:rPr>
        <w:t>s du</w:t>
      </w:r>
      <w:r w:rsidR="00D4208D" w:rsidRPr="002715F2">
        <w:rPr>
          <w:rFonts w:eastAsia="Batang"/>
          <w:lang w:val="fr-FR"/>
        </w:rPr>
        <w:t xml:space="preserve"> Ministre de la santé et de la protection sociale)</w:t>
      </w:r>
      <w:r w:rsidR="0068054C" w:rsidRPr="002715F2">
        <w:rPr>
          <w:rFonts w:eastAsia="Batang"/>
          <w:lang w:val="fr-FR"/>
        </w:rPr>
        <w:t xml:space="preserve"> peuvent bénéficier</w:t>
      </w:r>
      <w:r w:rsidR="00D4208D" w:rsidRPr="002715F2">
        <w:rPr>
          <w:rFonts w:eastAsia="Batang"/>
          <w:lang w:val="fr-FR"/>
        </w:rPr>
        <w:t xml:space="preserve"> </w:t>
      </w:r>
      <w:r w:rsidR="003C1F6F" w:rsidRPr="002715F2">
        <w:rPr>
          <w:rFonts w:eastAsia="Batang"/>
          <w:lang w:val="fr-FR"/>
        </w:rPr>
        <w:t xml:space="preserve">des services </w:t>
      </w:r>
      <w:r w:rsidR="00AC505C" w:rsidRPr="002715F2">
        <w:rPr>
          <w:rFonts w:eastAsia="Batang"/>
          <w:lang w:val="fr-FR"/>
        </w:rPr>
        <w:t xml:space="preserve">gratuits </w:t>
      </w:r>
      <w:r w:rsidR="00A9772C" w:rsidRPr="002715F2">
        <w:rPr>
          <w:rFonts w:eastAsia="Batang"/>
          <w:lang w:val="fr-FR"/>
        </w:rPr>
        <w:t>fournis</w:t>
      </w:r>
      <w:r w:rsidR="00874804" w:rsidRPr="002715F2">
        <w:rPr>
          <w:rFonts w:eastAsia="Batang"/>
          <w:lang w:val="fr-FR"/>
        </w:rPr>
        <w:t xml:space="preserve"> par</w:t>
      </w:r>
      <w:r w:rsidR="004B5666" w:rsidRPr="002715F2">
        <w:rPr>
          <w:rFonts w:eastAsia="Batang"/>
          <w:lang w:val="fr-FR"/>
        </w:rPr>
        <w:t xml:space="preserve"> la Société</w:t>
      </w:r>
      <w:r w:rsidR="00874804" w:rsidRPr="002715F2">
        <w:rPr>
          <w:rFonts w:eastAsia="Batang"/>
          <w:lang w:val="fr-FR"/>
        </w:rPr>
        <w:t xml:space="preserve"> coréenne </w:t>
      </w:r>
      <w:r w:rsidR="004B5666" w:rsidRPr="002715F2">
        <w:rPr>
          <w:rFonts w:eastAsia="Batang"/>
          <w:lang w:val="fr-FR"/>
        </w:rPr>
        <w:t xml:space="preserve">d’assistance juridique </w:t>
      </w:r>
      <w:r w:rsidR="00487357" w:rsidRPr="002715F2">
        <w:rPr>
          <w:rFonts w:eastAsia="Batang"/>
          <w:lang w:val="fr-FR"/>
        </w:rPr>
        <w:t xml:space="preserve">pour </w:t>
      </w:r>
      <w:r w:rsidR="00EF196D" w:rsidRPr="002715F2">
        <w:rPr>
          <w:rFonts w:eastAsia="Batang"/>
          <w:lang w:val="fr-FR"/>
        </w:rPr>
        <w:t>l</w:t>
      </w:r>
      <w:r w:rsidR="006F08FE" w:rsidRPr="002715F2">
        <w:rPr>
          <w:rFonts w:eastAsia="Batang"/>
          <w:lang w:val="fr-FR"/>
        </w:rPr>
        <w:t>es</w:t>
      </w:r>
      <w:r w:rsidR="00487357" w:rsidRPr="002715F2">
        <w:rPr>
          <w:rFonts w:eastAsia="Batang"/>
          <w:lang w:val="fr-FR"/>
        </w:rPr>
        <w:t xml:space="preserve"> question</w:t>
      </w:r>
      <w:r w:rsidR="006F08FE" w:rsidRPr="002715F2">
        <w:rPr>
          <w:rFonts w:eastAsia="Batang"/>
          <w:lang w:val="fr-FR"/>
        </w:rPr>
        <w:t>s</w:t>
      </w:r>
      <w:r w:rsidR="00487357" w:rsidRPr="002715F2">
        <w:rPr>
          <w:rFonts w:eastAsia="Batang"/>
          <w:lang w:val="fr-FR"/>
        </w:rPr>
        <w:t xml:space="preserve"> d’ordre</w:t>
      </w:r>
      <w:r w:rsidR="00D4208D" w:rsidRPr="002715F2">
        <w:rPr>
          <w:rFonts w:eastAsia="Batang"/>
          <w:lang w:val="fr-FR"/>
        </w:rPr>
        <w:t xml:space="preserve"> </w:t>
      </w:r>
      <w:r w:rsidR="00487357" w:rsidRPr="002715F2">
        <w:rPr>
          <w:rFonts w:eastAsia="Batang"/>
          <w:lang w:val="fr-FR"/>
        </w:rPr>
        <w:t>civil</w:t>
      </w:r>
      <w:r w:rsidR="00D4208D" w:rsidRPr="002715F2">
        <w:rPr>
          <w:rFonts w:eastAsia="Batang"/>
          <w:lang w:val="fr-FR"/>
        </w:rPr>
        <w:t xml:space="preserve"> </w:t>
      </w:r>
      <w:r w:rsidR="003C1F6F" w:rsidRPr="002715F2">
        <w:rPr>
          <w:rFonts w:eastAsia="Batang"/>
          <w:lang w:val="fr-FR"/>
        </w:rPr>
        <w:t>et péna</w:t>
      </w:r>
      <w:r w:rsidR="00487357" w:rsidRPr="002715F2">
        <w:rPr>
          <w:rFonts w:eastAsia="Batang"/>
          <w:lang w:val="fr-FR"/>
        </w:rPr>
        <w:t>l</w:t>
      </w:r>
      <w:r w:rsidR="00D4208D" w:rsidRPr="002715F2">
        <w:rPr>
          <w:rFonts w:eastAsia="Batang"/>
          <w:lang w:val="fr-FR"/>
        </w:rPr>
        <w:t>.</w:t>
      </w:r>
      <w:r w:rsidR="000078DA" w:rsidRPr="002715F2">
        <w:rPr>
          <w:rFonts w:eastAsia="Batang"/>
          <w:lang w:val="fr-FR"/>
        </w:rPr>
        <w:t xml:space="preserve"> </w:t>
      </w:r>
      <w:r w:rsidR="00D4208D" w:rsidRPr="002715F2">
        <w:rPr>
          <w:rFonts w:eastAsia="Batang"/>
          <w:lang w:val="fr-FR"/>
        </w:rPr>
        <w:t>Entre 2006 et 2015,</w:t>
      </w:r>
      <w:r w:rsidR="009417E8" w:rsidRPr="002715F2">
        <w:rPr>
          <w:rFonts w:eastAsia="Batang"/>
          <w:lang w:val="fr-FR"/>
        </w:rPr>
        <w:t xml:space="preserve"> </w:t>
      </w:r>
      <w:r w:rsidR="006F08FE" w:rsidRPr="002715F2">
        <w:rPr>
          <w:rFonts w:eastAsia="Batang"/>
          <w:lang w:val="fr-FR"/>
        </w:rPr>
        <w:t>les</w:t>
      </w:r>
      <w:r w:rsidR="009417E8" w:rsidRPr="002715F2">
        <w:rPr>
          <w:rFonts w:eastAsia="Batang"/>
          <w:lang w:val="fr-FR"/>
        </w:rPr>
        <w:t xml:space="preserve"> étrangers </w:t>
      </w:r>
      <w:r w:rsidR="006F08FE" w:rsidRPr="002715F2">
        <w:rPr>
          <w:rFonts w:eastAsia="Batang"/>
          <w:lang w:val="fr-FR"/>
        </w:rPr>
        <w:t xml:space="preserve">résidant </w:t>
      </w:r>
      <w:r w:rsidR="009417E8" w:rsidRPr="002715F2">
        <w:rPr>
          <w:rFonts w:eastAsia="Batang"/>
          <w:lang w:val="fr-FR"/>
        </w:rPr>
        <w:t xml:space="preserve">en République de Corée </w:t>
      </w:r>
      <w:r w:rsidR="006F08FE" w:rsidRPr="002715F2">
        <w:rPr>
          <w:rFonts w:eastAsia="Batang"/>
          <w:lang w:val="fr-FR"/>
        </w:rPr>
        <w:t xml:space="preserve">ont pu obtenir une </w:t>
      </w:r>
      <w:r w:rsidR="009417E8" w:rsidRPr="002715F2">
        <w:rPr>
          <w:rFonts w:eastAsia="Batang"/>
          <w:lang w:val="fr-FR"/>
        </w:rPr>
        <w:t xml:space="preserve">aide </w:t>
      </w:r>
      <w:r w:rsidR="0039617D" w:rsidRPr="002715F2">
        <w:rPr>
          <w:rFonts w:eastAsia="Batang"/>
          <w:lang w:val="fr-FR"/>
        </w:rPr>
        <w:t>juridictionnelle</w:t>
      </w:r>
      <w:r w:rsidR="009417E8" w:rsidRPr="002715F2">
        <w:rPr>
          <w:rFonts w:eastAsia="Batang"/>
          <w:lang w:val="fr-FR"/>
        </w:rPr>
        <w:t xml:space="preserve"> dans</w:t>
      </w:r>
      <w:r w:rsidR="00D4208D" w:rsidRPr="002715F2">
        <w:rPr>
          <w:rFonts w:eastAsia="Batang"/>
          <w:lang w:val="fr-FR"/>
        </w:rPr>
        <w:t xml:space="preserve"> 46 086 affaires civiles et pénales (voir le tableau 35)</w:t>
      </w:r>
      <w:r w:rsidR="00AA472B"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BD2A22" w:rsidRPr="002715F2">
        <w:rPr>
          <w:rFonts w:eastAsia="Batang"/>
          <w:lang w:val="fr-FR" w:eastAsia="ko-KR"/>
        </w:rPr>
        <w:t xml:space="preserve">Attention particulière accordée aux femmes </w:t>
      </w:r>
      <w:r w:rsidR="0071118C" w:rsidRPr="002715F2">
        <w:rPr>
          <w:rFonts w:eastAsia="Batang"/>
          <w:lang w:val="fr-FR" w:eastAsia="ko-KR"/>
        </w:rPr>
        <w:t xml:space="preserve">et enfants </w:t>
      </w:r>
      <w:r w:rsidR="00BD2A22" w:rsidRPr="002715F2">
        <w:rPr>
          <w:rFonts w:eastAsia="Batang"/>
          <w:lang w:val="fr-FR" w:eastAsia="ko-KR"/>
        </w:rPr>
        <w:t xml:space="preserve">en situation </w:t>
      </w:r>
      <w:r w:rsidR="0039617D" w:rsidRPr="002715F2">
        <w:rPr>
          <w:rFonts w:eastAsia="Batang"/>
          <w:lang w:val="fr-FR" w:eastAsia="ko-KR"/>
        </w:rPr>
        <w:t>irrégulière</w:t>
      </w:r>
    </w:p>
    <w:p w:rsidR="000078DA" w:rsidRPr="002715F2" w:rsidRDefault="007026FB" w:rsidP="007026FB">
      <w:pPr>
        <w:pStyle w:val="SingleTxtG"/>
        <w:rPr>
          <w:rFonts w:eastAsia="Batang"/>
          <w:lang w:val="fr-FR"/>
        </w:rPr>
      </w:pPr>
      <w:r w:rsidRPr="002715F2">
        <w:rPr>
          <w:rFonts w:eastAsia="Batang"/>
          <w:lang w:val="fr-FR"/>
        </w:rPr>
        <w:t>202.</w:t>
      </w:r>
      <w:r w:rsidRPr="002715F2">
        <w:rPr>
          <w:rFonts w:eastAsia="Batang"/>
          <w:lang w:val="fr-FR"/>
        </w:rPr>
        <w:tab/>
      </w:r>
      <w:r w:rsidR="00552A73" w:rsidRPr="002715F2">
        <w:rPr>
          <w:rFonts w:eastAsia="Batang"/>
          <w:lang w:val="fr-FR"/>
        </w:rPr>
        <w:t xml:space="preserve">Le Règlement relatif à la </w:t>
      </w:r>
      <w:r w:rsidR="0039617D" w:rsidRPr="002715F2">
        <w:rPr>
          <w:rFonts w:eastAsia="Batang"/>
          <w:lang w:val="fr-FR"/>
        </w:rPr>
        <w:t>détention</w:t>
      </w:r>
      <w:r w:rsidR="00552A73" w:rsidRPr="002715F2">
        <w:rPr>
          <w:rFonts w:eastAsia="Batang"/>
          <w:lang w:val="fr-FR"/>
        </w:rPr>
        <w:t xml:space="preserve"> des étrangers</w:t>
      </w:r>
      <w:r w:rsidR="000078DA" w:rsidRPr="002715F2">
        <w:rPr>
          <w:rFonts w:eastAsia="Batang"/>
          <w:lang w:val="fr-FR"/>
        </w:rPr>
        <w:t xml:space="preserve"> </w:t>
      </w:r>
      <w:r w:rsidR="00552A73" w:rsidRPr="002715F2">
        <w:rPr>
          <w:rFonts w:eastAsia="Batang"/>
          <w:lang w:val="fr-FR"/>
        </w:rPr>
        <w:t xml:space="preserve">(ordonnance du Ministère de la justice) comporte une disposition spéciale pour les enfants </w:t>
      </w:r>
      <w:r w:rsidR="00552A73" w:rsidRPr="002715F2">
        <w:rPr>
          <w:rFonts w:eastAsia="Batang"/>
          <w:lang w:val="fr-FR" w:eastAsia="ko-KR"/>
        </w:rPr>
        <w:t xml:space="preserve">en situation </w:t>
      </w:r>
      <w:r w:rsidR="0039617D" w:rsidRPr="002715F2">
        <w:rPr>
          <w:rFonts w:eastAsia="Batang"/>
          <w:lang w:val="fr-FR" w:eastAsia="ko-KR"/>
        </w:rPr>
        <w:t>irrégulière</w:t>
      </w:r>
      <w:r w:rsidR="0071118C" w:rsidRPr="002715F2">
        <w:rPr>
          <w:rFonts w:eastAsia="Batang"/>
          <w:lang w:val="fr-FR" w:eastAsia="ko-KR"/>
        </w:rPr>
        <w:t xml:space="preserve"> dans le pays</w:t>
      </w:r>
      <w:r w:rsidR="000078DA" w:rsidRPr="002715F2">
        <w:rPr>
          <w:rFonts w:eastAsia="Batang"/>
          <w:lang w:val="fr-FR"/>
        </w:rPr>
        <w:t xml:space="preserve">. </w:t>
      </w:r>
      <w:r w:rsidR="00552A73" w:rsidRPr="002715F2">
        <w:rPr>
          <w:rFonts w:eastAsia="Batang"/>
          <w:lang w:val="fr-FR"/>
        </w:rPr>
        <w:t xml:space="preserve">Les enfants âgés de moins de 18 ans, qui vivent </w:t>
      </w:r>
      <w:r w:rsidR="002519FA" w:rsidRPr="002715F2">
        <w:rPr>
          <w:rFonts w:eastAsia="Batang"/>
          <w:lang w:val="fr-FR"/>
        </w:rPr>
        <w:t xml:space="preserve">depuis plus d’un mois </w:t>
      </w:r>
      <w:r w:rsidR="00552A73" w:rsidRPr="002715F2">
        <w:rPr>
          <w:rFonts w:eastAsia="Batang"/>
          <w:lang w:val="fr-FR"/>
        </w:rPr>
        <w:t>dans des centres de rétention pour migrants, peuvent recevoir</w:t>
      </w:r>
      <w:r w:rsidR="0021128E" w:rsidRPr="002715F2">
        <w:rPr>
          <w:rFonts w:eastAsia="Batang"/>
          <w:lang w:val="fr-FR"/>
        </w:rPr>
        <w:t xml:space="preserve"> </w:t>
      </w:r>
      <w:r w:rsidR="00552A73" w:rsidRPr="002715F2">
        <w:rPr>
          <w:rFonts w:eastAsia="Batang"/>
          <w:lang w:val="fr-FR"/>
        </w:rPr>
        <w:t>avec l</w:t>
      </w:r>
      <w:r w:rsidR="00957B10" w:rsidRPr="002715F2">
        <w:rPr>
          <w:rFonts w:eastAsia="Batang"/>
          <w:lang w:val="fr-FR"/>
        </w:rPr>
        <w:t>’autorisation</w:t>
      </w:r>
      <w:r w:rsidR="00552A73" w:rsidRPr="002715F2">
        <w:rPr>
          <w:rFonts w:eastAsia="Batang"/>
          <w:lang w:val="fr-FR"/>
        </w:rPr>
        <w:t xml:space="preserve"> de leurs parents un enseignement correspondant à leur âge et capacité qui </w:t>
      </w:r>
      <w:r w:rsidR="0021128E" w:rsidRPr="002715F2">
        <w:rPr>
          <w:rFonts w:eastAsia="Batang"/>
          <w:lang w:val="fr-FR"/>
        </w:rPr>
        <w:t>pourra</w:t>
      </w:r>
      <w:r w:rsidR="00552A73" w:rsidRPr="002715F2">
        <w:rPr>
          <w:rFonts w:eastAsia="Batang"/>
          <w:lang w:val="fr-FR"/>
        </w:rPr>
        <w:t xml:space="preserve"> être </w:t>
      </w:r>
      <w:r w:rsidR="00957B10" w:rsidRPr="002715F2">
        <w:rPr>
          <w:rFonts w:eastAsia="Batang"/>
          <w:lang w:val="fr-FR"/>
        </w:rPr>
        <w:t>organisé</w:t>
      </w:r>
      <w:r w:rsidR="00552A73" w:rsidRPr="002715F2">
        <w:rPr>
          <w:rFonts w:eastAsia="Batang"/>
          <w:lang w:val="fr-FR"/>
        </w:rPr>
        <w:t xml:space="preserve"> par des services sociaux extérieurs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4</w:t>
      </w:r>
      <w:r w:rsidR="00552A73"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4). </w:t>
      </w:r>
      <w:r w:rsidR="002519FA" w:rsidRPr="002715F2">
        <w:rPr>
          <w:rFonts w:eastAsia="Batang"/>
          <w:lang w:val="fr-FR"/>
        </w:rPr>
        <w:t>En outre</w:t>
      </w:r>
      <w:r w:rsidR="000078DA" w:rsidRPr="002715F2">
        <w:rPr>
          <w:rFonts w:eastAsia="Batang"/>
          <w:lang w:val="fr-FR"/>
        </w:rPr>
        <w:t xml:space="preserve">, </w:t>
      </w:r>
      <w:r w:rsidR="005342A0" w:rsidRPr="002715F2">
        <w:rPr>
          <w:rFonts w:eastAsia="Batang"/>
          <w:lang w:val="fr-FR"/>
        </w:rPr>
        <w:t>d</w:t>
      </w:r>
      <w:r w:rsidR="002519FA" w:rsidRPr="002715F2">
        <w:rPr>
          <w:rFonts w:eastAsia="Batang"/>
          <w:lang w:val="fr-FR"/>
        </w:rPr>
        <w:t xml:space="preserve">es fonctionnaires des services de l’immigration </w:t>
      </w:r>
      <w:r w:rsidR="005342A0" w:rsidRPr="002715F2">
        <w:rPr>
          <w:rFonts w:eastAsia="Batang"/>
          <w:lang w:val="fr-FR"/>
        </w:rPr>
        <w:t xml:space="preserve">sont assignés exclusivement aux enfants de moins de 19 ans </w:t>
      </w:r>
      <w:r w:rsidR="0071118C" w:rsidRPr="002715F2">
        <w:rPr>
          <w:rFonts w:eastAsia="Batang"/>
          <w:lang w:val="fr-FR"/>
        </w:rPr>
        <w:t>maintenus</w:t>
      </w:r>
      <w:r w:rsidR="005342A0" w:rsidRPr="002715F2">
        <w:rPr>
          <w:rFonts w:eastAsia="Batang"/>
          <w:lang w:val="fr-FR"/>
        </w:rPr>
        <w:t xml:space="preserve"> en </w:t>
      </w:r>
      <w:r w:rsidR="0071118C" w:rsidRPr="002715F2">
        <w:rPr>
          <w:rFonts w:eastAsia="Batang"/>
          <w:lang w:val="fr-FR"/>
        </w:rPr>
        <w:t>r</w:t>
      </w:r>
      <w:r w:rsidR="005342A0" w:rsidRPr="002715F2">
        <w:rPr>
          <w:rFonts w:eastAsia="Batang"/>
          <w:lang w:val="fr-FR"/>
        </w:rPr>
        <w:t xml:space="preserve">étention afin de </w:t>
      </w:r>
      <w:r w:rsidR="003441BE" w:rsidRPr="002715F2">
        <w:rPr>
          <w:rFonts w:eastAsia="Batang"/>
          <w:lang w:val="fr-FR"/>
        </w:rPr>
        <w:t>s’assurer que leur</w:t>
      </w:r>
      <w:r w:rsidR="005342A0" w:rsidRPr="002715F2">
        <w:rPr>
          <w:rFonts w:eastAsia="Batang"/>
          <w:lang w:val="fr-FR"/>
        </w:rPr>
        <w:t xml:space="preserve"> </w:t>
      </w:r>
      <w:r w:rsidR="003441BE" w:rsidRPr="002715F2">
        <w:rPr>
          <w:rFonts w:eastAsia="Batang"/>
          <w:lang w:val="fr-FR"/>
        </w:rPr>
        <w:t>traitement</w:t>
      </w:r>
      <w:r w:rsidR="005342A0" w:rsidRPr="002715F2">
        <w:rPr>
          <w:rFonts w:eastAsia="Batang"/>
          <w:lang w:val="fr-FR"/>
        </w:rPr>
        <w:t xml:space="preserve"> </w:t>
      </w:r>
      <w:r w:rsidR="003441BE" w:rsidRPr="002715F2">
        <w:rPr>
          <w:rFonts w:eastAsia="Batang"/>
          <w:lang w:val="fr-FR"/>
        </w:rPr>
        <w:t xml:space="preserve">est </w:t>
      </w:r>
      <w:r w:rsidR="005342A0" w:rsidRPr="002715F2">
        <w:rPr>
          <w:rFonts w:eastAsia="Batang"/>
          <w:lang w:val="fr-FR"/>
        </w:rPr>
        <w:t xml:space="preserve">adapté </w:t>
      </w:r>
      <w:r w:rsidR="003441BE" w:rsidRPr="002715F2">
        <w:rPr>
          <w:rFonts w:eastAsia="Batang"/>
          <w:lang w:val="fr-FR"/>
        </w:rPr>
        <w:t>à leurs</w:t>
      </w:r>
      <w:r w:rsidR="005342A0" w:rsidRPr="002715F2">
        <w:rPr>
          <w:rFonts w:eastAsia="Batang"/>
          <w:lang w:val="fr-FR"/>
        </w:rPr>
        <w:t xml:space="preserve"> besoins </w:t>
      </w:r>
      <w:r w:rsidR="003441BE" w:rsidRPr="002715F2">
        <w:rPr>
          <w:rFonts w:eastAsia="Batang"/>
          <w:lang w:val="fr-FR"/>
        </w:rPr>
        <w:t>spécifiques</w:t>
      </w:r>
      <w:r w:rsidR="000078DA" w:rsidRPr="002715F2">
        <w:rPr>
          <w:rFonts w:eastAsia="Batang"/>
          <w:lang w:val="fr-FR"/>
        </w:rPr>
        <w:t xml:space="preserve"> </w:t>
      </w:r>
      <w:r w:rsidR="00AA472B" w:rsidRPr="002715F2">
        <w:rPr>
          <w:rFonts w:eastAsia="Batang"/>
          <w:lang w:val="fr-FR"/>
        </w:rPr>
        <w:t>(</w:t>
      </w:r>
      <w:r w:rsidR="00BD1A84" w:rsidRPr="002715F2">
        <w:rPr>
          <w:rFonts w:eastAsia="Batang"/>
          <w:lang w:val="fr-FR"/>
        </w:rPr>
        <w:t>par. </w:t>
      </w:r>
      <w:r w:rsidR="00AA472B" w:rsidRPr="002715F2">
        <w:rPr>
          <w:rFonts w:eastAsia="Batang"/>
          <w:lang w:val="fr-FR"/>
        </w:rPr>
        <w:t>5).</w:t>
      </w:r>
    </w:p>
    <w:p w:rsidR="000078DA" w:rsidRPr="002715F2" w:rsidRDefault="007026FB" w:rsidP="007026FB">
      <w:pPr>
        <w:pStyle w:val="SingleTxtG"/>
        <w:rPr>
          <w:rFonts w:eastAsia="Batang"/>
          <w:lang w:val="fr-FR"/>
        </w:rPr>
      </w:pPr>
      <w:r w:rsidRPr="002715F2">
        <w:rPr>
          <w:rFonts w:eastAsia="Batang"/>
          <w:lang w:val="fr-FR"/>
        </w:rPr>
        <w:t>203.</w:t>
      </w:r>
      <w:r w:rsidRPr="002715F2">
        <w:rPr>
          <w:rFonts w:eastAsia="Batang"/>
          <w:lang w:val="fr-FR"/>
        </w:rPr>
        <w:tab/>
      </w:r>
      <w:r w:rsidR="001A6D57" w:rsidRPr="002715F2">
        <w:rPr>
          <w:rFonts w:eastAsia="Batang"/>
          <w:lang w:val="fr-FR"/>
        </w:rPr>
        <w:t xml:space="preserve">Les </w:t>
      </w:r>
      <w:r w:rsidR="005B0EF7" w:rsidRPr="002715F2">
        <w:rPr>
          <w:rFonts w:eastAsia="Batang"/>
          <w:lang w:val="fr-FR"/>
        </w:rPr>
        <w:t>personnes</w:t>
      </w:r>
      <w:r w:rsidR="001A6D57" w:rsidRPr="002715F2">
        <w:rPr>
          <w:rFonts w:eastAsia="Batang"/>
          <w:lang w:val="fr-FR"/>
        </w:rPr>
        <w:t xml:space="preserve"> vulnérables en situation irrégulière, </w:t>
      </w:r>
      <w:r w:rsidR="005B0EF7" w:rsidRPr="002715F2">
        <w:rPr>
          <w:rFonts w:eastAsia="Batang"/>
          <w:lang w:val="fr-FR"/>
        </w:rPr>
        <w:t>telles que</w:t>
      </w:r>
      <w:r w:rsidR="001A6D57" w:rsidRPr="002715F2">
        <w:rPr>
          <w:rFonts w:eastAsia="Batang"/>
          <w:lang w:val="fr-FR"/>
        </w:rPr>
        <w:t xml:space="preserve"> les femmes, les enfants, les malades et les femmes enceintes, bénéficient autant que possi</w:t>
      </w:r>
      <w:r w:rsidR="005B0EF7" w:rsidRPr="002715F2">
        <w:rPr>
          <w:rFonts w:eastAsia="Batang"/>
          <w:lang w:val="fr-FR"/>
        </w:rPr>
        <w:t>ble de mises en liberté proviso</w:t>
      </w:r>
      <w:r w:rsidR="001A6D57" w:rsidRPr="002715F2">
        <w:rPr>
          <w:rFonts w:eastAsia="Batang"/>
          <w:lang w:val="fr-FR"/>
        </w:rPr>
        <w:t xml:space="preserve">ire (loi sur l’immigration, art. 65) </w:t>
      </w:r>
      <w:r w:rsidR="005B0EF7" w:rsidRPr="002715F2">
        <w:rPr>
          <w:rFonts w:eastAsia="Batang"/>
          <w:lang w:val="fr-FR"/>
        </w:rPr>
        <w:t>et</w:t>
      </w:r>
      <w:r w:rsidR="001A6D57" w:rsidRPr="002715F2">
        <w:rPr>
          <w:rFonts w:eastAsia="Batang"/>
          <w:lang w:val="fr-FR"/>
        </w:rPr>
        <w:t xml:space="preserve"> sont logé</w:t>
      </w:r>
      <w:r w:rsidR="005B0EF7" w:rsidRPr="002715F2">
        <w:rPr>
          <w:rFonts w:eastAsia="Batang"/>
          <w:lang w:val="fr-FR"/>
        </w:rPr>
        <w:t>e</w:t>
      </w:r>
      <w:r w:rsidR="001A6D57" w:rsidRPr="002715F2">
        <w:rPr>
          <w:rFonts w:eastAsia="Batang"/>
          <w:lang w:val="fr-FR"/>
        </w:rPr>
        <w:t xml:space="preserve">s dans des </w:t>
      </w:r>
      <w:r w:rsidR="005B0EF7" w:rsidRPr="002715F2">
        <w:rPr>
          <w:rFonts w:eastAsia="Batang"/>
          <w:lang w:val="fr-FR"/>
        </w:rPr>
        <w:t>pièces</w:t>
      </w:r>
      <w:r w:rsidR="001A6D57" w:rsidRPr="002715F2">
        <w:rPr>
          <w:rFonts w:eastAsia="Batang"/>
          <w:lang w:val="fr-FR"/>
        </w:rPr>
        <w:t xml:space="preserve"> </w:t>
      </w:r>
      <w:r w:rsidR="005B0EF7" w:rsidRPr="002715F2">
        <w:rPr>
          <w:rFonts w:eastAsia="Batang"/>
          <w:lang w:val="fr-FR"/>
        </w:rPr>
        <w:t xml:space="preserve">adaptées </w:t>
      </w:r>
      <w:r w:rsidR="001A6D57" w:rsidRPr="002715F2">
        <w:rPr>
          <w:rFonts w:eastAsia="Batang"/>
          <w:lang w:val="fr-FR"/>
        </w:rPr>
        <w:t>si l</w:t>
      </w:r>
      <w:r w:rsidR="005B0EF7" w:rsidRPr="002715F2">
        <w:rPr>
          <w:rFonts w:eastAsia="Batang"/>
          <w:lang w:val="fr-FR"/>
        </w:rPr>
        <w:t>eur</w:t>
      </w:r>
      <w:r w:rsidR="001A6D57" w:rsidRPr="002715F2">
        <w:rPr>
          <w:rFonts w:eastAsia="Batang"/>
          <w:lang w:val="fr-FR"/>
        </w:rPr>
        <w:t xml:space="preserve"> détention est inévitable</w:t>
      </w:r>
      <w:r w:rsidR="000078DA" w:rsidRPr="002715F2">
        <w:rPr>
          <w:rFonts w:eastAsia="Batang"/>
          <w:lang w:val="fr-FR"/>
        </w:rPr>
        <w:t xml:space="preserve">. </w:t>
      </w:r>
      <w:r w:rsidR="005B0EF7" w:rsidRPr="002715F2">
        <w:rPr>
          <w:rFonts w:eastAsia="Batang"/>
          <w:lang w:val="fr-FR"/>
        </w:rPr>
        <w:t>En outre, les personnes qui ont besoin de soins ou de s’occuper de leurs enfants, ou d’autres besoins spécifiques reconnus, peuvent loger avec leur famille en centres de rétention</w:t>
      </w:r>
      <w:r w:rsidR="00AA472B"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204.</w:t>
      </w:r>
      <w:r w:rsidRPr="002715F2">
        <w:rPr>
          <w:rFonts w:eastAsia="Batang"/>
          <w:lang w:val="fr-FR"/>
        </w:rPr>
        <w:tab/>
      </w:r>
      <w:r w:rsidR="0021128E" w:rsidRPr="002715F2">
        <w:rPr>
          <w:rFonts w:eastAsia="Batang"/>
          <w:lang w:val="fr-FR"/>
        </w:rPr>
        <w:t>U</w:t>
      </w:r>
      <w:r w:rsidR="000E5AF2" w:rsidRPr="002715F2">
        <w:rPr>
          <w:rFonts w:eastAsia="Batang"/>
          <w:lang w:val="fr-FR"/>
        </w:rPr>
        <w:t>n</w:t>
      </w:r>
      <w:r w:rsidR="00EC78EF" w:rsidRPr="002715F2">
        <w:rPr>
          <w:rFonts w:eastAsia="Batang"/>
          <w:lang w:val="fr-FR"/>
        </w:rPr>
        <w:t xml:space="preserve"> mineur en âge scolaire </w:t>
      </w:r>
      <w:r w:rsidR="000E5AF2" w:rsidRPr="002715F2">
        <w:rPr>
          <w:rFonts w:eastAsia="Batang"/>
          <w:lang w:val="fr-FR"/>
        </w:rPr>
        <w:t>inscrit dans</w:t>
      </w:r>
      <w:r w:rsidR="00EC78EF" w:rsidRPr="002715F2">
        <w:rPr>
          <w:rFonts w:eastAsia="Batang"/>
          <w:lang w:val="fr-FR"/>
        </w:rPr>
        <w:t xml:space="preserve"> une école primaire ou secondaire</w:t>
      </w:r>
      <w:r w:rsidR="0021128E" w:rsidRPr="002715F2">
        <w:rPr>
          <w:rFonts w:eastAsia="Batang"/>
          <w:lang w:val="fr-FR"/>
        </w:rPr>
        <w:t>,</w:t>
      </w:r>
      <w:r w:rsidR="000E5AF2" w:rsidRPr="002715F2">
        <w:rPr>
          <w:rFonts w:eastAsia="Batang"/>
          <w:lang w:val="fr-FR"/>
        </w:rPr>
        <w:t xml:space="preserve"> </w:t>
      </w:r>
      <w:r w:rsidR="0021128E" w:rsidRPr="002715F2">
        <w:rPr>
          <w:rFonts w:eastAsia="Batang"/>
          <w:lang w:val="fr-FR"/>
        </w:rPr>
        <w:t xml:space="preserve">qui est </w:t>
      </w:r>
      <w:r w:rsidR="000E5AF2" w:rsidRPr="002715F2">
        <w:rPr>
          <w:rFonts w:eastAsia="Batang"/>
          <w:lang w:val="fr-FR"/>
        </w:rPr>
        <w:t xml:space="preserve">en situation irrégulière avec </w:t>
      </w:r>
      <w:r w:rsidR="0021128E" w:rsidRPr="002715F2">
        <w:rPr>
          <w:rFonts w:eastAsia="Batang"/>
          <w:lang w:val="fr-FR"/>
        </w:rPr>
        <w:t>ses</w:t>
      </w:r>
      <w:r w:rsidR="00EC78EF" w:rsidRPr="002715F2">
        <w:rPr>
          <w:rFonts w:eastAsia="Batang"/>
          <w:lang w:val="fr-FR"/>
        </w:rPr>
        <w:t xml:space="preserve"> parents en République de Corée, </w:t>
      </w:r>
      <w:r w:rsidR="0021128E" w:rsidRPr="002715F2">
        <w:rPr>
          <w:rFonts w:eastAsia="Batang"/>
          <w:lang w:val="fr-FR"/>
        </w:rPr>
        <w:t>pourra</w:t>
      </w:r>
      <w:r w:rsidR="00EC78EF" w:rsidRPr="002715F2">
        <w:rPr>
          <w:rFonts w:eastAsia="Batang"/>
          <w:lang w:val="fr-FR"/>
        </w:rPr>
        <w:t xml:space="preserve"> bénéficier d’une mise en liberté </w:t>
      </w:r>
      <w:r w:rsidR="0039617D" w:rsidRPr="002715F2">
        <w:rPr>
          <w:rFonts w:eastAsia="Batang"/>
          <w:lang w:val="fr-FR"/>
        </w:rPr>
        <w:t>provisoire</w:t>
      </w:r>
      <w:r w:rsidR="0021128E" w:rsidRPr="002715F2">
        <w:rPr>
          <w:rFonts w:eastAsia="Batang"/>
          <w:lang w:val="fr-FR"/>
        </w:rPr>
        <w:t xml:space="preserve"> afin d’</w:t>
      </w:r>
      <w:r w:rsidR="00EC78EF" w:rsidRPr="002715F2">
        <w:rPr>
          <w:rFonts w:eastAsia="Batang"/>
          <w:lang w:val="fr-FR"/>
        </w:rPr>
        <w:t xml:space="preserve">éviter qu’un </w:t>
      </w:r>
      <w:r w:rsidR="0039617D" w:rsidRPr="002715F2">
        <w:rPr>
          <w:rFonts w:eastAsia="Batang"/>
          <w:lang w:val="fr-FR"/>
        </w:rPr>
        <w:t>départ</w:t>
      </w:r>
      <w:r w:rsidR="00EC78EF" w:rsidRPr="002715F2">
        <w:rPr>
          <w:rFonts w:eastAsia="Batang"/>
          <w:lang w:val="fr-FR"/>
        </w:rPr>
        <w:t xml:space="preserve"> </w:t>
      </w:r>
      <w:r w:rsidR="0039617D" w:rsidRPr="002715F2">
        <w:rPr>
          <w:rFonts w:eastAsia="Batang"/>
          <w:lang w:val="fr-FR"/>
        </w:rPr>
        <w:t>précipité</w:t>
      </w:r>
      <w:r w:rsidR="0021128E" w:rsidRPr="002715F2">
        <w:rPr>
          <w:rFonts w:eastAsia="Batang"/>
          <w:lang w:val="fr-FR"/>
        </w:rPr>
        <w:t xml:space="preserve"> ne</w:t>
      </w:r>
      <w:r w:rsidR="00EC78EF" w:rsidRPr="002715F2">
        <w:rPr>
          <w:rFonts w:eastAsia="Batang"/>
          <w:lang w:val="fr-FR"/>
        </w:rPr>
        <w:t xml:space="preserve"> vienne interromp</w:t>
      </w:r>
      <w:r w:rsidR="0021128E" w:rsidRPr="002715F2">
        <w:rPr>
          <w:rFonts w:eastAsia="Batang"/>
          <w:lang w:val="fr-FR"/>
        </w:rPr>
        <w:t>r</w:t>
      </w:r>
      <w:r w:rsidR="00EC78EF" w:rsidRPr="002715F2">
        <w:rPr>
          <w:rFonts w:eastAsia="Batang"/>
          <w:lang w:val="fr-FR"/>
        </w:rPr>
        <w:t xml:space="preserve">e </w:t>
      </w:r>
      <w:r w:rsidR="0021128E" w:rsidRPr="002715F2">
        <w:rPr>
          <w:rFonts w:eastAsia="Batang"/>
          <w:lang w:val="fr-FR"/>
        </w:rPr>
        <w:t>sa</w:t>
      </w:r>
      <w:r w:rsidR="00EC78EF" w:rsidRPr="002715F2">
        <w:rPr>
          <w:rFonts w:eastAsia="Batang"/>
          <w:lang w:val="fr-FR"/>
        </w:rPr>
        <w:t xml:space="preserve"> scolarité</w:t>
      </w:r>
      <w:r w:rsidR="000078DA" w:rsidRPr="002715F2">
        <w:rPr>
          <w:rFonts w:eastAsia="Batang"/>
          <w:lang w:val="fr-FR"/>
        </w:rPr>
        <w:t xml:space="preserve">. </w:t>
      </w:r>
      <w:r w:rsidR="00EC78EF" w:rsidRPr="002715F2">
        <w:rPr>
          <w:rFonts w:eastAsia="Batang"/>
          <w:lang w:val="fr-FR"/>
        </w:rPr>
        <w:t xml:space="preserve">Les parents du mineur </w:t>
      </w:r>
      <w:r w:rsidR="0021128E" w:rsidRPr="002715F2">
        <w:rPr>
          <w:rFonts w:eastAsia="Batang"/>
          <w:lang w:val="fr-FR"/>
        </w:rPr>
        <w:t>pourront</w:t>
      </w:r>
      <w:r w:rsidR="00EC78EF" w:rsidRPr="002715F2">
        <w:rPr>
          <w:rFonts w:eastAsia="Batang"/>
          <w:lang w:val="fr-FR"/>
        </w:rPr>
        <w:t xml:space="preserve"> </w:t>
      </w:r>
      <w:r w:rsidR="000E5AF2" w:rsidRPr="002715F2">
        <w:rPr>
          <w:rFonts w:eastAsia="Batang"/>
          <w:lang w:val="fr-FR"/>
        </w:rPr>
        <w:t>obtenir un titre de séjour</w:t>
      </w:r>
      <w:r w:rsidR="00EC78EF" w:rsidRPr="002715F2">
        <w:rPr>
          <w:rFonts w:eastAsia="Batang"/>
          <w:lang w:val="fr-FR"/>
        </w:rPr>
        <w:t xml:space="preserve"> temporaire </w:t>
      </w:r>
      <w:r w:rsidR="00636E10" w:rsidRPr="002715F2">
        <w:rPr>
          <w:rFonts w:eastAsia="Batang"/>
          <w:lang w:val="fr-FR"/>
        </w:rPr>
        <w:t>pour</w:t>
      </w:r>
      <w:r w:rsidR="00EC78EF" w:rsidRPr="002715F2">
        <w:rPr>
          <w:rFonts w:eastAsia="Batang"/>
          <w:lang w:val="fr-FR"/>
        </w:rPr>
        <w:t xml:space="preserve"> </w:t>
      </w:r>
      <w:r w:rsidR="000E5AF2" w:rsidRPr="002715F2">
        <w:rPr>
          <w:rFonts w:eastAsia="Batang"/>
          <w:lang w:val="fr-FR"/>
        </w:rPr>
        <w:t xml:space="preserve">leur </w:t>
      </w:r>
      <w:r w:rsidR="00EC78EF" w:rsidRPr="002715F2">
        <w:rPr>
          <w:rFonts w:eastAsia="Batang"/>
          <w:lang w:val="fr-FR"/>
        </w:rPr>
        <w:t>laisser le temps de se préparer au départ</w:t>
      </w:r>
      <w:r w:rsidR="00AA472B"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21128E" w:rsidRPr="002715F2">
        <w:rPr>
          <w:rFonts w:eastAsia="Batang"/>
          <w:lang w:val="fr-FR" w:eastAsia="ko-KR"/>
        </w:rPr>
        <w:t xml:space="preserve">Plaintes relatives </w:t>
      </w:r>
      <w:r w:rsidR="0039617D" w:rsidRPr="002715F2">
        <w:rPr>
          <w:rFonts w:eastAsia="Batang"/>
          <w:lang w:val="fr-FR" w:eastAsia="ko-KR"/>
        </w:rPr>
        <w:t>aux</w:t>
      </w:r>
      <w:r w:rsidR="0021128E" w:rsidRPr="002715F2">
        <w:rPr>
          <w:rFonts w:eastAsia="Batang"/>
          <w:lang w:val="fr-FR" w:eastAsia="ko-KR"/>
        </w:rPr>
        <w:t xml:space="preserve"> conditions </w:t>
      </w:r>
      <w:r w:rsidR="00914F9E" w:rsidRPr="002715F2">
        <w:rPr>
          <w:rFonts w:eastAsia="Batang"/>
          <w:lang w:val="fr-FR"/>
        </w:rPr>
        <w:t>dans les centres de rétention pour migrants</w:t>
      </w:r>
    </w:p>
    <w:p w:rsidR="000078DA" w:rsidRPr="002715F2" w:rsidRDefault="007026FB" w:rsidP="007026FB">
      <w:pPr>
        <w:pStyle w:val="SingleTxtG"/>
        <w:rPr>
          <w:rFonts w:eastAsia="Batang"/>
          <w:lang w:val="fr-FR"/>
        </w:rPr>
      </w:pPr>
      <w:r w:rsidRPr="002715F2">
        <w:rPr>
          <w:rFonts w:eastAsia="Batang"/>
          <w:lang w:val="fr-FR"/>
        </w:rPr>
        <w:t>205.</w:t>
      </w:r>
      <w:r w:rsidRPr="002715F2">
        <w:rPr>
          <w:rFonts w:eastAsia="Batang"/>
          <w:lang w:val="fr-FR"/>
        </w:rPr>
        <w:tab/>
      </w:r>
      <w:r w:rsidR="00E91030" w:rsidRPr="002715F2">
        <w:rPr>
          <w:rFonts w:eastAsia="Batang"/>
          <w:lang w:val="fr-FR"/>
        </w:rPr>
        <w:t xml:space="preserve">Le Gouvernement a créé des centres de </w:t>
      </w:r>
      <w:r w:rsidR="0039617D" w:rsidRPr="002715F2">
        <w:rPr>
          <w:rFonts w:eastAsia="Batang"/>
          <w:lang w:val="fr-FR"/>
        </w:rPr>
        <w:t>rétention</w:t>
      </w:r>
      <w:r w:rsidR="00E91030" w:rsidRPr="002715F2">
        <w:rPr>
          <w:rFonts w:eastAsia="Batang"/>
          <w:lang w:val="fr-FR"/>
        </w:rPr>
        <w:t xml:space="preserve"> pour migrants qu’il administ</w:t>
      </w:r>
      <w:r w:rsidR="000257D9" w:rsidRPr="002715F2">
        <w:rPr>
          <w:rFonts w:eastAsia="Batang"/>
          <w:lang w:val="fr-FR"/>
        </w:rPr>
        <w:t>r</w:t>
      </w:r>
      <w:r w:rsidR="00E91030" w:rsidRPr="002715F2">
        <w:rPr>
          <w:rFonts w:eastAsia="Batang"/>
          <w:lang w:val="fr-FR"/>
        </w:rPr>
        <w:t xml:space="preserve">e conformément au Règlement sur les normes applicables aux infrastructures judiciaires </w:t>
      </w:r>
      <w:r w:rsidR="000078DA" w:rsidRPr="002715F2">
        <w:rPr>
          <w:rFonts w:eastAsia="Batang"/>
          <w:lang w:val="fr-FR"/>
        </w:rPr>
        <w:t>(</w:t>
      </w:r>
      <w:r w:rsidR="00E91030" w:rsidRPr="002715F2">
        <w:rPr>
          <w:rFonts w:eastAsia="Batang"/>
          <w:lang w:val="fr-FR"/>
        </w:rPr>
        <w:t>d</w:t>
      </w:r>
      <w:r w:rsidR="000078DA" w:rsidRPr="002715F2">
        <w:rPr>
          <w:rFonts w:eastAsia="Batang"/>
          <w:lang w:val="fr-FR"/>
        </w:rPr>
        <w:t xml:space="preserve">irective </w:t>
      </w:r>
      <w:r w:rsidR="00E91030" w:rsidRPr="002715F2">
        <w:rPr>
          <w:rFonts w:eastAsia="Batang"/>
          <w:lang w:val="fr-FR"/>
        </w:rPr>
        <w:t>du Ministère de la justice</w:t>
      </w:r>
      <w:r w:rsidR="000078DA" w:rsidRPr="002715F2">
        <w:rPr>
          <w:rFonts w:eastAsia="Batang"/>
          <w:lang w:val="fr-FR"/>
        </w:rPr>
        <w:t>)</w:t>
      </w:r>
      <w:r w:rsidR="00DE53E7" w:rsidRPr="002715F2">
        <w:rPr>
          <w:rFonts w:eastAsia="Batang"/>
          <w:lang w:val="fr-FR"/>
        </w:rPr>
        <w:t xml:space="preserve">, </w:t>
      </w:r>
      <w:r w:rsidR="000257D9" w:rsidRPr="002715F2">
        <w:rPr>
          <w:rFonts w:eastAsia="Batang"/>
          <w:lang w:val="fr-FR"/>
        </w:rPr>
        <w:t>en</w:t>
      </w:r>
      <w:r w:rsidR="00E91030" w:rsidRPr="002715F2">
        <w:rPr>
          <w:rFonts w:eastAsia="Batang"/>
          <w:lang w:val="fr-FR"/>
        </w:rPr>
        <w:t xml:space="preserve"> déploy</w:t>
      </w:r>
      <w:r w:rsidR="000257D9" w:rsidRPr="002715F2">
        <w:rPr>
          <w:rFonts w:eastAsia="Batang"/>
          <w:lang w:val="fr-FR"/>
        </w:rPr>
        <w:t>ant</w:t>
      </w:r>
      <w:r w:rsidR="00E91030" w:rsidRPr="002715F2">
        <w:rPr>
          <w:rFonts w:eastAsia="Batang"/>
          <w:lang w:val="fr-FR"/>
        </w:rPr>
        <w:t xml:space="preserve"> des</w:t>
      </w:r>
      <w:r w:rsidR="000078DA" w:rsidRPr="002715F2">
        <w:rPr>
          <w:rFonts w:eastAsia="Batang"/>
          <w:lang w:val="fr-FR"/>
        </w:rPr>
        <w:t xml:space="preserve"> </w:t>
      </w:r>
      <w:r w:rsidR="00E91030" w:rsidRPr="002715F2">
        <w:rPr>
          <w:rFonts w:eastAsia="Batang"/>
          <w:lang w:val="fr-FR"/>
        </w:rPr>
        <w:t xml:space="preserve">efforts </w:t>
      </w:r>
      <w:r w:rsidR="00DE53E7" w:rsidRPr="002715F2">
        <w:rPr>
          <w:rFonts w:eastAsia="Batang"/>
          <w:lang w:val="fr-FR"/>
        </w:rPr>
        <w:t xml:space="preserve">pour </w:t>
      </w:r>
      <w:r w:rsidR="00FB1369" w:rsidRPr="002715F2">
        <w:rPr>
          <w:rFonts w:eastAsia="Batang"/>
          <w:lang w:val="fr-FR"/>
        </w:rPr>
        <w:t>s’</w:t>
      </w:r>
      <w:r w:rsidR="00E91030" w:rsidRPr="002715F2">
        <w:rPr>
          <w:rFonts w:eastAsia="Batang"/>
          <w:lang w:val="fr-FR"/>
        </w:rPr>
        <w:t xml:space="preserve">assurer </w:t>
      </w:r>
      <w:r w:rsidR="00FB1369" w:rsidRPr="002715F2">
        <w:rPr>
          <w:rFonts w:eastAsia="Batang"/>
          <w:lang w:val="fr-FR"/>
        </w:rPr>
        <w:t xml:space="preserve">qu’ils répondent aux </w:t>
      </w:r>
      <w:r w:rsidR="00E91030" w:rsidRPr="002715F2">
        <w:rPr>
          <w:rFonts w:eastAsia="Batang"/>
          <w:lang w:val="fr-FR"/>
        </w:rPr>
        <w:t>normes internationales</w:t>
      </w:r>
      <w:r w:rsidR="000078DA" w:rsidRPr="002715F2">
        <w:rPr>
          <w:rFonts w:eastAsia="Batang"/>
          <w:lang w:val="fr-FR"/>
        </w:rPr>
        <w:t xml:space="preserve">. </w:t>
      </w:r>
      <w:r w:rsidR="00E91030" w:rsidRPr="002715F2">
        <w:rPr>
          <w:rFonts w:eastAsia="Batang"/>
          <w:lang w:val="fr-FR"/>
        </w:rPr>
        <w:t xml:space="preserve">Entre 2006 et 2015, </w:t>
      </w:r>
      <w:r w:rsidR="0022283E" w:rsidRPr="002715F2">
        <w:rPr>
          <w:rFonts w:eastAsia="Gulim" w:cs="Gulim"/>
          <w:lang w:val="fr-FR" w:eastAsia="ko-KR"/>
        </w:rPr>
        <w:t>la</w:t>
      </w:r>
      <w:r w:rsidR="00E91030" w:rsidRPr="002715F2">
        <w:rPr>
          <w:rFonts w:eastAsia="Gulim" w:cs="Gulim"/>
          <w:lang w:val="fr-FR" w:eastAsia="ko-KR"/>
        </w:rPr>
        <w:t xml:space="preserve"> permanence téléphonique mis</w:t>
      </w:r>
      <w:r w:rsidR="00DE53E7" w:rsidRPr="002715F2">
        <w:rPr>
          <w:rFonts w:eastAsia="Gulim" w:cs="Gulim"/>
          <w:lang w:val="fr-FR" w:eastAsia="ko-KR"/>
        </w:rPr>
        <w:t>e</w:t>
      </w:r>
      <w:r w:rsidR="00E91030" w:rsidRPr="002715F2">
        <w:rPr>
          <w:rFonts w:eastAsia="Gulim" w:cs="Gulim"/>
          <w:lang w:val="fr-FR" w:eastAsia="ko-KR"/>
        </w:rPr>
        <w:t xml:space="preserve"> en place par le Ministère de la justice</w:t>
      </w:r>
      <w:r w:rsidR="000257D9" w:rsidRPr="002715F2">
        <w:rPr>
          <w:rFonts w:eastAsia="Batang"/>
          <w:lang w:val="fr-FR"/>
        </w:rPr>
        <w:t xml:space="preserve"> a</w:t>
      </w:r>
      <w:r w:rsidR="00E91030" w:rsidRPr="002715F2">
        <w:rPr>
          <w:rFonts w:eastAsia="Batang"/>
          <w:lang w:val="fr-FR"/>
        </w:rPr>
        <w:t xml:space="preserve"> </w:t>
      </w:r>
      <w:r w:rsidR="000257D9" w:rsidRPr="002715F2">
        <w:rPr>
          <w:rFonts w:eastAsia="Batang"/>
          <w:lang w:val="fr-FR"/>
        </w:rPr>
        <w:t xml:space="preserve">accepté </w:t>
      </w:r>
      <w:r w:rsidR="00E91030" w:rsidRPr="002715F2">
        <w:rPr>
          <w:rFonts w:eastAsia="Batang"/>
          <w:lang w:val="fr-FR"/>
        </w:rPr>
        <w:t>25</w:t>
      </w:r>
      <w:r w:rsidR="000257D9" w:rsidRPr="002715F2">
        <w:rPr>
          <w:rFonts w:eastAsia="Batang"/>
          <w:lang w:val="fr-FR"/>
        </w:rPr>
        <w:t xml:space="preserve"> plaintes relatives </w:t>
      </w:r>
      <w:r w:rsidR="00DE53E7" w:rsidRPr="002715F2">
        <w:rPr>
          <w:rFonts w:eastAsia="Batang"/>
          <w:lang w:val="fr-FR"/>
        </w:rPr>
        <w:t>à ces</w:t>
      </w:r>
      <w:r w:rsidR="000257D9" w:rsidRPr="002715F2">
        <w:rPr>
          <w:rFonts w:eastAsia="Batang"/>
          <w:lang w:val="fr-FR"/>
        </w:rPr>
        <w:t xml:space="preserve"> centres</w:t>
      </w:r>
      <w:r w:rsidR="00DE53E7" w:rsidRPr="002715F2">
        <w:rPr>
          <w:rFonts w:eastAsia="Batang"/>
          <w:lang w:val="fr-FR"/>
        </w:rPr>
        <w:t xml:space="preserve"> qui ont donné lieu à des mesures de réparation</w:t>
      </w:r>
      <w:r w:rsidR="000078DA" w:rsidRPr="002715F2">
        <w:rPr>
          <w:rFonts w:eastAsia="Batang"/>
          <w:lang w:val="fr-FR"/>
        </w:rPr>
        <w:t xml:space="preserve">. </w:t>
      </w:r>
      <w:r w:rsidR="00DE53E7" w:rsidRPr="002715F2">
        <w:rPr>
          <w:rFonts w:eastAsia="Batang"/>
          <w:lang w:val="fr-FR"/>
        </w:rPr>
        <w:t>Les principales</w:t>
      </w:r>
      <w:r w:rsidR="000257D9" w:rsidRPr="002715F2">
        <w:rPr>
          <w:rFonts w:eastAsia="Batang"/>
          <w:lang w:val="fr-FR"/>
        </w:rPr>
        <w:t xml:space="preserve"> améliorations apportées aux locaux</w:t>
      </w:r>
      <w:r w:rsidR="00DE53E7" w:rsidRPr="002715F2">
        <w:rPr>
          <w:rFonts w:eastAsia="Batang"/>
          <w:lang w:val="fr-FR"/>
        </w:rPr>
        <w:t xml:space="preserve"> sont les suivantes</w:t>
      </w:r>
      <w:r w:rsidR="00E97B1A" w:rsidRPr="002715F2">
        <w:rPr>
          <w:rFonts w:eastAsia="Batang"/>
          <w:lang w:val="fr-FR"/>
        </w:rPr>
        <w:t>:</w:t>
      </w:r>
      <w:r w:rsidR="000257D9" w:rsidRPr="002715F2">
        <w:rPr>
          <w:rFonts w:eastAsia="Batang"/>
          <w:lang w:val="fr-FR"/>
        </w:rPr>
        <w:t xml:space="preserve"> installation de fenêtres pour l</w:t>
      </w:r>
      <w:r w:rsidR="00140766" w:rsidRPr="002715F2">
        <w:rPr>
          <w:rFonts w:eastAsia="Batang"/>
          <w:lang w:val="fr-FR"/>
        </w:rPr>
        <w:t xml:space="preserve">’aération </w:t>
      </w:r>
      <w:r w:rsidR="000257D9" w:rsidRPr="002715F2">
        <w:rPr>
          <w:rFonts w:eastAsia="Batang"/>
          <w:lang w:val="fr-FR"/>
        </w:rPr>
        <w:t>et la luminosité, réparation de l’éclairage, installation de sonnette</w:t>
      </w:r>
      <w:r w:rsidR="00140766" w:rsidRPr="002715F2">
        <w:rPr>
          <w:rFonts w:eastAsia="Batang"/>
          <w:lang w:val="fr-FR"/>
        </w:rPr>
        <w:t>s</w:t>
      </w:r>
      <w:r w:rsidR="000257D9" w:rsidRPr="002715F2">
        <w:rPr>
          <w:rFonts w:eastAsia="Batang"/>
          <w:lang w:val="fr-FR"/>
        </w:rPr>
        <w:t xml:space="preserve"> d’alarme </w:t>
      </w:r>
      <w:r w:rsidR="00140766" w:rsidRPr="002715F2">
        <w:rPr>
          <w:rFonts w:eastAsia="Batang"/>
          <w:lang w:val="fr-FR"/>
        </w:rPr>
        <w:t xml:space="preserve">dans les </w:t>
      </w:r>
      <w:r w:rsidR="00140766" w:rsidRPr="002715F2">
        <w:rPr>
          <w:rFonts w:ascii="TimesNewRomanPSMT" w:hAnsi="TimesNewRomanPSMT" w:cs="TimesNewRomanPSMT"/>
          <w:lang w:val="fr-FR" w:eastAsia="en-GB"/>
        </w:rPr>
        <w:t>cellules de protection</w:t>
      </w:r>
      <w:r w:rsidR="00140766" w:rsidRPr="002715F2">
        <w:rPr>
          <w:rFonts w:eastAsia="Batang"/>
          <w:lang w:val="fr-FR"/>
        </w:rPr>
        <w:t>, amélioration de l’</w:t>
      </w:r>
      <w:r w:rsidR="0039617D" w:rsidRPr="002715F2">
        <w:rPr>
          <w:rFonts w:eastAsia="Batang"/>
          <w:lang w:val="fr-FR"/>
        </w:rPr>
        <w:t>hygiène</w:t>
      </w:r>
      <w:r w:rsidR="00140766" w:rsidRPr="002715F2">
        <w:rPr>
          <w:rFonts w:eastAsia="Batang"/>
          <w:lang w:val="fr-FR"/>
        </w:rPr>
        <w:t xml:space="preserve"> des sanitaires</w:t>
      </w:r>
      <w:r w:rsidR="000257D9" w:rsidRPr="002715F2">
        <w:rPr>
          <w:rFonts w:eastAsia="Batang"/>
          <w:lang w:val="fr-FR"/>
        </w:rPr>
        <w:t xml:space="preserve">, </w:t>
      </w:r>
      <w:r w:rsidR="00140766" w:rsidRPr="002715F2">
        <w:rPr>
          <w:rFonts w:eastAsia="Batang"/>
          <w:lang w:val="fr-FR"/>
        </w:rPr>
        <w:t>cr</w:t>
      </w:r>
      <w:r w:rsidR="00CC3710" w:rsidRPr="002715F2">
        <w:rPr>
          <w:rFonts w:eastAsia="Batang"/>
          <w:lang w:val="fr-FR"/>
        </w:rPr>
        <w:t>é</w:t>
      </w:r>
      <w:r w:rsidR="00140766" w:rsidRPr="002715F2">
        <w:rPr>
          <w:rFonts w:eastAsia="Batang"/>
          <w:lang w:val="fr-FR"/>
        </w:rPr>
        <w:t>ation de</w:t>
      </w:r>
      <w:r w:rsidR="00CC3710" w:rsidRPr="002715F2">
        <w:rPr>
          <w:rFonts w:eastAsia="Batang"/>
          <w:lang w:val="fr-FR"/>
        </w:rPr>
        <w:t xml:space="preserve"> pièces privatives pour les</w:t>
      </w:r>
      <w:r w:rsidR="000257D9" w:rsidRPr="002715F2">
        <w:rPr>
          <w:rFonts w:eastAsia="Batang"/>
          <w:lang w:val="fr-FR"/>
        </w:rPr>
        <w:t xml:space="preserve"> </w:t>
      </w:r>
      <w:r w:rsidR="00CC3710" w:rsidRPr="002715F2">
        <w:rPr>
          <w:rFonts w:ascii="TimesNewRomanPSMT" w:hAnsi="TimesNewRomanPSMT" w:cs="TimesNewRomanPSMT"/>
          <w:lang w:val="fr-FR" w:eastAsia="en-GB"/>
        </w:rPr>
        <w:t xml:space="preserve">examens médicaux </w:t>
      </w:r>
      <w:r w:rsidR="000257D9" w:rsidRPr="002715F2">
        <w:rPr>
          <w:rFonts w:eastAsia="Batang"/>
          <w:lang w:val="fr-FR"/>
        </w:rPr>
        <w:t xml:space="preserve">et </w:t>
      </w:r>
      <w:r w:rsidR="00CC3710" w:rsidRPr="002715F2">
        <w:rPr>
          <w:rFonts w:eastAsia="Batang"/>
          <w:lang w:val="fr-FR"/>
        </w:rPr>
        <w:t>installation de</w:t>
      </w:r>
      <w:r w:rsidR="000257D9" w:rsidRPr="002715F2">
        <w:rPr>
          <w:rFonts w:eastAsia="Batang"/>
          <w:lang w:val="fr-FR"/>
        </w:rPr>
        <w:t xml:space="preserve"> téléphone</w:t>
      </w:r>
      <w:r w:rsidR="00CC3710" w:rsidRPr="002715F2">
        <w:rPr>
          <w:rFonts w:eastAsia="Batang"/>
          <w:lang w:val="fr-FR"/>
        </w:rPr>
        <w:t>s</w:t>
      </w:r>
      <w:r w:rsidR="000257D9" w:rsidRPr="002715F2">
        <w:rPr>
          <w:rFonts w:eastAsia="Batang"/>
          <w:lang w:val="fr-FR"/>
        </w:rPr>
        <w:t xml:space="preserve"> public</w:t>
      </w:r>
      <w:r w:rsidR="00CC3710" w:rsidRPr="002715F2">
        <w:rPr>
          <w:rFonts w:eastAsia="Batang"/>
          <w:lang w:val="fr-FR"/>
        </w:rPr>
        <w:t>s</w:t>
      </w:r>
      <w:r w:rsidR="000257D9" w:rsidRPr="002715F2">
        <w:rPr>
          <w:rFonts w:eastAsia="Batang"/>
          <w:lang w:val="fr-FR"/>
        </w:rPr>
        <w:t xml:space="preserve"> pour communi</w:t>
      </w:r>
      <w:r w:rsidR="00CC3710" w:rsidRPr="002715F2">
        <w:rPr>
          <w:rFonts w:eastAsia="Batang"/>
          <w:lang w:val="fr-FR"/>
        </w:rPr>
        <w:t>quer</w:t>
      </w:r>
      <w:r w:rsidR="000257D9" w:rsidRPr="002715F2">
        <w:rPr>
          <w:rFonts w:eastAsia="Batang"/>
          <w:lang w:val="fr-FR"/>
        </w:rPr>
        <w:t xml:space="preserve"> avec </w:t>
      </w:r>
      <w:r w:rsidR="00CC3710" w:rsidRPr="002715F2">
        <w:rPr>
          <w:rFonts w:eastAsia="Batang"/>
          <w:lang w:val="fr-FR"/>
        </w:rPr>
        <w:t>l’</w:t>
      </w:r>
      <w:r w:rsidR="000257D9" w:rsidRPr="002715F2">
        <w:rPr>
          <w:rFonts w:eastAsia="Batang"/>
          <w:lang w:val="fr-FR"/>
        </w:rPr>
        <w:t>extérieur</w:t>
      </w:r>
      <w:r w:rsidR="000078DA" w:rsidRPr="002715F2">
        <w:rPr>
          <w:rFonts w:eastAsia="Batang"/>
          <w:lang w:val="fr-FR"/>
        </w:rPr>
        <w:t>.</w:t>
      </w:r>
    </w:p>
    <w:p w:rsidR="000078DA" w:rsidRPr="002715F2" w:rsidRDefault="00F420C5"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6D4FB2" w:rsidRPr="002715F2">
        <w:rPr>
          <w:rFonts w:eastAsia="Batang"/>
          <w:lang w:val="fr-FR" w:eastAsia="ko-KR"/>
        </w:rPr>
        <w:t xml:space="preserve">Les demandeurs d’asile sont-ils </w:t>
      </w:r>
      <w:r w:rsidR="0039617D" w:rsidRPr="002715F2">
        <w:rPr>
          <w:rFonts w:eastAsia="Batang"/>
          <w:lang w:val="fr-FR" w:eastAsia="ko-KR"/>
        </w:rPr>
        <w:t>hébergés</w:t>
      </w:r>
      <w:r w:rsidR="006D4FB2" w:rsidRPr="002715F2">
        <w:rPr>
          <w:rFonts w:eastAsia="Batang"/>
          <w:lang w:val="fr-FR" w:eastAsia="ko-KR"/>
        </w:rPr>
        <w:t xml:space="preserve"> avec les migr</w:t>
      </w:r>
      <w:r w:rsidR="00D27E1A" w:rsidRPr="002715F2">
        <w:rPr>
          <w:rFonts w:eastAsia="Batang"/>
          <w:lang w:val="fr-FR" w:eastAsia="ko-KR"/>
        </w:rPr>
        <w:t>an</w:t>
      </w:r>
      <w:r w:rsidR="006D4FB2" w:rsidRPr="002715F2">
        <w:rPr>
          <w:rFonts w:eastAsia="Batang"/>
          <w:lang w:val="fr-FR" w:eastAsia="ko-KR"/>
        </w:rPr>
        <w:t xml:space="preserve">ts en situation </w:t>
      </w:r>
      <w:r w:rsidR="0039617D" w:rsidRPr="002715F2">
        <w:rPr>
          <w:rFonts w:eastAsia="Batang"/>
          <w:lang w:val="fr-FR" w:eastAsia="ko-KR"/>
        </w:rPr>
        <w:t>irrégulière</w:t>
      </w:r>
      <w:r w:rsidR="004A090F" w:rsidRPr="002715F2">
        <w:rPr>
          <w:rFonts w:eastAsia="Batang"/>
          <w:lang w:val="fr-FR" w:eastAsia="ko-KR"/>
        </w:rPr>
        <w:t>?</w:t>
      </w:r>
    </w:p>
    <w:p w:rsidR="000078DA" w:rsidRPr="002715F2" w:rsidRDefault="007026FB" w:rsidP="007026FB">
      <w:pPr>
        <w:pStyle w:val="SingleTxtG"/>
        <w:rPr>
          <w:rFonts w:eastAsia="Batang"/>
          <w:lang w:val="fr-FR"/>
        </w:rPr>
      </w:pPr>
      <w:r w:rsidRPr="002715F2">
        <w:rPr>
          <w:rFonts w:eastAsia="Batang"/>
          <w:lang w:val="fr-FR"/>
        </w:rPr>
        <w:t>206.</w:t>
      </w:r>
      <w:r w:rsidR="00146928" w:rsidRPr="002715F2">
        <w:rPr>
          <w:rFonts w:eastAsia="Batang"/>
          <w:lang w:val="fr-FR"/>
        </w:rPr>
        <w:tab/>
      </w:r>
      <w:r w:rsidR="00FB1369" w:rsidRPr="002715F2">
        <w:rPr>
          <w:rFonts w:eastAsia="Batang"/>
          <w:lang w:val="fr-FR"/>
        </w:rPr>
        <w:t>En règle générale, les demandeurs d’asile ne sont pas déten</w:t>
      </w:r>
      <w:r w:rsidR="000942EF" w:rsidRPr="002715F2">
        <w:rPr>
          <w:rFonts w:eastAsia="Batang"/>
          <w:lang w:val="fr-FR"/>
        </w:rPr>
        <w:t xml:space="preserve">us </w:t>
      </w:r>
      <w:r w:rsidR="00FB1369" w:rsidRPr="002715F2">
        <w:rPr>
          <w:rFonts w:eastAsia="Batang"/>
          <w:lang w:val="fr-FR"/>
        </w:rPr>
        <w:t>durant la procédure d’asile</w:t>
      </w:r>
      <w:r w:rsidR="000078DA" w:rsidRPr="002715F2">
        <w:rPr>
          <w:rFonts w:eastAsia="Batang"/>
          <w:lang w:val="fr-FR"/>
        </w:rPr>
        <w:t>.</w:t>
      </w:r>
      <w:r w:rsidR="00FB1369" w:rsidRPr="002715F2">
        <w:rPr>
          <w:rFonts w:eastAsia="Batang"/>
          <w:lang w:val="fr-FR"/>
        </w:rPr>
        <w:t xml:space="preserve"> Toutefois, un migrant </w:t>
      </w:r>
      <w:r w:rsidR="000942EF" w:rsidRPr="002715F2">
        <w:rPr>
          <w:rFonts w:eastAsia="Batang"/>
          <w:lang w:val="fr-FR"/>
        </w:rPr>
        <w:t xml:space="preserve">qui dépose une demande d’asile, alors qu’il est </w:t>
      </w:r>
      <w:r w:rsidR="00FB1369" w:rsidRPr="002715F2">
        <w:rPr>
          <w:rFonts w:eastAsia="Batang"/>
          <w:lang w:val="fr-FR"/>
        </w:rPr>
        <w:t>visé par un</w:t>
      </w:r>
      <w:r w:rsidR="000942EF" w:rsidRPr="002715F2">
        <w:rPr>
          <w:rFonts w:eastAsia="Batang"/>
          <w:lang w:val="fr-FR"/>
        </w:rPr>
        <w:t>e</w:t>
      </w:r>
      <w:r w:rsidR="00FB1369" w:rsidRPr="002715F2">
        <w:rPr>
          <w:rFonts w:eastAsia="Batang"/>
          <w:lang w:val="fr-FR"/>
        </w:rPr>
        <w:t xml:space="preserve"> </w:t>
      </w:r>
      <w:r w:rsidR="000942EF" w:rsidRPr="002715F2">
        <w:rPr>
          <w:rFonts w:eastAsia="Batang"/>
          <w:lang w:val="fr-FR"/>
        </w:rPr>
        <w:t>mesure</w:t>
      </w:r>
      <w:r w:rsidR="00FB1369" w:rsidRPr="002715F2">
        <w:rPr>
          <w:rFonts w:eastAsia="Batang"/>
          <w:lang w:val="fr-FR"/>
        </w:rPr>
        <w:t xml:space="preserve"> d’expulsion et</w:t>
      </w:r>
      <w:r w:rsidR="000F2C0C" w:rsidRPr="002715F2">
        <w:rPr>
          <w:rFonts w:eastAsia="Batang"/>
          <w:lang w:val="fr-FR"/>
        </w:rPr>
        <w:t xml:space="preserve"> donc</w:t>
      </w:r>
      <w:r w:rsidR="00FB1369" w:rsidRPr="002715F2">
        <w:rPr>
          <w:rFonts w:eastAsia="Batang"/>
          <w:lang w:val="fr-FR"/>
        </w:rPr>
        <w:t xml:space="preserve"> </w:t>
      </w:r>
      <w:r w:rsidR="0039617D" w:rsidRPr="002715F2">
        <w:rPr>
          <w:rFonts w:eastAsia="Batang"/>
          <w:lang w:val="fr-FR"/>
        </w:rPr>
        <w:t>hébergé</w:t>
      </w:r>
      <w:r w:rsidR="00FB1369" w:rsidRPr="002715F2">
        <w:rPr>
          <w:rFonts w:eastAsia="Batang"/>
          <w:lang w:val="fr-FR"/>
        </w:rPr>
        <w:t xml:space="preserve"> dans un centre de </w:t>
      </w:r>
      <w:r w:rsidR="0039617D" w:rsidRPr="002715F2">
        <w:rPr>
          <w:rFonts w:eastAsia="Batang"/>
          <w:lang w:val="fr-FR"/>
        </w:rPr>
        <w:t>rétention</w:t>
      </w:r>
      <w:r w:rsidR="00FB1369" w:rsidRPr="002715F2">
        <w:rPr>
          <w:rFonts w:eastAsia="Batang"/>
          <w:lang w:val="fr-FR"/>
        </w:rPr>
        <w:t xml:space="preserve"> pour migrants, sera </w:t>
      </w:r>
      <w:r w:rsidR="000F2C0C" w:rsidRPr="002715F2">
        <w:rPr>
          <w:rFonts w:eastAsia="Batang"/>
          <w:lang w:val="fr-FR"/>
        </w:rPr>
        <w:t xml:space="preserve">maintenu en </w:t>
      </w:r>
      <w:r w:rsidR="00FB1369" w:rsidRPr="002715F2">
        <w:rPr>
          <w:rFonts w:eastAsia="Batang"/>
          <w:lang w:val="fr-FR"/>
        </w:rPr>
        <w:t>déten</w:t>
      </w:r>
      <w:r w:rsidR="000F2C0C" w:rsidRPr="002715F2">
        <w:rPr>
          <w:rFonts w:eastAsia="Batang"/>
          <w:lang w:val="fr-FR"/>
        </w:rPr>
        <w:t>tion</w:t>
      </w:r>
      <w:r w:rsidR="00FB1369" w:rsidRPr="002715F2">
        <w:rPr>
          <w:rFonts w:eastAsia="Batang"/>
          <w:lang w:val="fr-FR"/>
        </w:rPr>
        <w:t xml:space="preserve"> </w:t>
      </w:r>
      <w:r w:rsidR="00DA0120" w:rsidRPr="002715F2">
        <w:rPr>
          <w:rFonts w:eastAsia="Batang"/>
          <w:lang w:val="fr-FR"/>
        </w:rPr>
        <w:t>pendant toute la durée des</w:t>
      </w:r>
      <w:r w:rsidR="00FB1369" w:rsidRPr="002715F2">
        <w:rPr>
          <w:rFonts w:eastAsia="Batang"/>
          <w:lang w:val="fr-FR"/>
        </w:rPr>
        <w:t xml:space="preserve"> </w:t>
      </w:r>
      <w:r w:rsidR="0039617D" w:rsidRPr="002715F2">
        <w:rPr>
          <w:rFonts w:eastAsia="Batang"/>
          <w:lang w:val="fr-FR"/>
        </w:rPr>
        <w:t>procédure</w:t>
      </w:r>
      <w:r w:rsidR="004A090F" w:rsidRPr="002715F2">
        <w:rPr>
          <w:rFonts w:eastAsia="Batang"/>
          <w:lang w:val="fr-FR"/>
        </w:rPr>
        <w:t>s envisageables</w:t>
      </w:r>
      <w:r w:rsidR="00FB1369" w:rsidRPr="002715F2">
        <w:rPr>
          <w:rFonts w:eastAsia="Batang"/>
          <w:lang w:val="fr-FR"/>
        </w:rPr>
        <w:t>, y compris jusqu’à épuisement de</w:t>
      </w:r>
      <w:r w:rsidR="004A090F" w:rsidRPr="002715F2">
        <w:rPr>
          <w:rFonts w:eastAsia="Batang"/>
          <w:lang w:val="fr-FR"/>
        </w:rPr>
        <w:t>s</w:t>
      </w:r>
      <w:r w:rsidR="00FB1369" w:rsidRPr="002715F2">
        <w:rPr>
          <w:rFonts w:eastAsia="Batang"/>
          <w:lang w:val="fr-FR"/>
        </w:rPr>
        <w:t xml:space="preserve"> voies de recours possibles. Dans ce cas, le demandeur d’asile est hébergé avec </w:t>
      </w:r>
      <w:r w:rsidR="00FB1369" w:rsidRPr="002715F2">
        <w:rPr>
          <w:rFonts w:eastAsia="Batang"/>
          <w:lang w:val="fr-FR" w:eastAsia="ko-KR"/>
        </w:rPr>
        <w:t xml:space="preserve">les migrants en situation </w:t>
      </w:r>
      <w:r w:rsidR="0039617D" w:rsidRPr="002715F2">
        <w:rPr>
          <w:rFonts w:eastAsia="Batang"/>
          <w:lang w:val="fr-FR" w:eastAsia="ko-KR"/>
        </w:rPr>
        <w:t>irrégulière</w:t>
      </w:r>
      <w:r w:rsidR="00AA472B" w:rsidRPr="002715F2">
        <w:rPr>
          <w:rFonts w:eastAsia="Batang"/>
          <w:lang w:val="fr-FR"/>
        </w:rPr>
        <w:t>.</w:t>
      </w:r>
    </w:p>
    <w:p w:rsidR="000078DA" w:rsidRPr="002715F2" w:rsidRDefault="00643BBE">
      <w:pPr>
        <w:pStyle w:val="H1G"/>
        <w:rPr>
          <w:rFonts w:eastAsia="Gulim"/>
          <w:lang w:val="fr-FR"/>
        </w:rPr>
      </w:pPr>
      <w:r w:rsidRPr="002715F2">
        <w:rPr>
          <w:rFonts w:eastAsia="Batang"/>
          <w:lang w:val="fr-FR"/>
        </w:rPr>
        <w:tab/>
      </w:r>
      <w:r w:rsidRPr="002715F2">
        <w:rPr>
          <w:rFonts w:eastAsia="Batang"/>
          <w:lang w:val="fr-FR"/>
        </w:rPr>
        <w:tab/>
      </w:r>
      <w:r w:rsidR="005342A0" w:rsidRPr="002715F2">
        <w:rPr>
          <w:lang w:val="fr-FR"/>
        </w:rPr>
        <w:t>Autres questions</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5342A0" w:rsidRPr="002715F2">
        <w:rPr>
          <w:rFonts w:eastAsia="Batang"/>
          <w:lang w:val="fr-FR" w:eastAsia="ko-KR"/>
        </w:rPr>
        <w:t>Réponse aux qu</w:t>
      </w:r>
      <w:r w:rsidR="004A090F" w:rsidRPr="002715F2">
        <w:rPr>
          <w:rFonts w:eastAsia="Batang"/>
          <w:lang w:val="fr-FR" w:eastAsia="ko-KR"/>
        </w:rPr>
        <w:t xml:space="preserve">estions soulevées au </w:t>
      </w:r>
      <w:r w:rsidR="00A53AAB" w:rsidRPr="002715F2">
        <w:rPr>
          <w:rFonts w:eastAsia="Batang"/>
          <w:lang w:val="fr-FR" w:eastAsia="ko-KR"/>
        </w:rPr>
        <w:t xml:space="preserve">paragraphe </w:t>
      </w:r>
      <w:r w:rsidR="005342A0" w:rsidRPr="002715F2">
        <w:rPr>
          <w:rFonts w:eastAsia="Batang"/>
          <w:lang w:val="fr-FR" w:eastAsia="ko-KR"/>
        </w:rPr>
        <w:t>39</w:t>
      </w:r>
    </w:p>
    <w:p w:rsidR="000078DA" w:rsidRPr="002715F2" w:rsidRDefault="007026FB" w:rsidP="007026FB">
      <w:pPr>
        <w:pStyle w:val="SingleTxtG"/>
        <w:rPr>
          <w:rFonts w:eastAsia="Batang"/>
          <w:lang w:val="fr-FR"/>
        </w:rPr>
      </w:pPr>
      <w:r w:rsidRPr="002715F2">
        <w:rPr>
          <w:rFonts w:eastAsia="Batang"/>
          <w:lang w:val="fr-FR"/>
        </w:rPr>
        <w:t>207.</w:t>
      </w:r>
      <w:r w:rsidRPr="002715F2">
        <w:rPr>
          <w:rFonts w:eastAsia="Batang"/>
          <w:lang w:val="fr-FR"/>
        </w:rPr>
        <w:tab/>
      </w:r>
      <w:r w:rsidR="005342A0" w:rsidRPr="002715F2">
        <w:rPr>
          <w:rFonts w:eastAsia="Batang"/>
          <w:lang w:val="fr-FR"/>
        </w:rPr>
        <w:t xml:space="preserve">Eu égard à la </w:t>
      </w:r>
      <w:r w:rsidR="005342A0" w:rsidRPr="002715F2">
        <w:rPr>
          <w:lang w:val="fr-FR"/>
        </w:rPr>
        <w:t>ratification du Protocole facultatif se rapportant à la Convention contre la torture</w:t>
      </w:r>
      <w:r w:rsidR="000078DA" w:rsidRPr="002715F2">
        <w:rPr>
          <w:rFonts w:eastAsia="Batang"/>
          <w:lang w:val="fr-FR"/>
        </w:rPr>
        <w:t xml:space="preserve">, </w:t>
      </w:r>
      <w:r w:rsidR="005342A0" w:rsidRPr="002715F2">
        <w:rPr>
          <w:rFonts w:eastAsia="Batang"/>
          <w:lang w:val="fr-FR"/>
        </w:rPr>
        <w:t xml:space="preserve">le Gouvernement a </w:t>
      </w:r>
      <w:r w:rsidR="00F52CB4" w:rsidRPr="002715F2">
        <w:rPr>
          <w:rFonts w:eastAsia="Batang"/>
          <w:lang w:val="fr-FR"/>
        </w:rPr>
        <w:t xml:space="preserve">entamé une </w:t>
      </w:r>
      <w:r w:rsidR="0039617D" w:rsidRPr="002715F2">
        <w:rPr>
          <w:rFonts w:eastAsia="Batang"/>
          <w:lang w:val="fr-FR"/>
        </w:rPr>
        <w:t>réflexion</w:t>
      </w:r>
      <w:r w:rsidR="00F52CB4" w:rsidRPr="002715F2">
        <w:rPr>
          <w:rFonts w:eastAsia="Batang"/>
          <w:lang w:val="fr-FR"/>
        </w:rPr>
        <w:t xml:space="preserve"> </w:t>
      </w:r>
      <w:r w:rsidR="004A090F" w:rsidRPr="002715F2">
        <w:rPr>
          <w:rFonts w:eastAsia="Batang"/>
          <w:lang w:val="fr-FR"/>
        </w:rPr>
        <w:t xml:space="preserve">approfondie </w:t>
      </w:r>
      <w:r w:rsidR="00F52CB4" w:rsidRPr="002715F2">
        <w:rPr>
          <w:rFonts w:eastAsia="Batang"/>
          <w:lang w:val="fr-FR"/>
        </w:rPr>
        <w:t>sur</w:t>
      </w:r>
      <w:r w:rsidR="005342A0" w:rsidRPr="002715F2">
        <w:rPr>
          <w:rFonts w:eastAsia="Batang"/>
          <w:lang w:val="fr-FR"/>
        </w:rPr>
        <w:t xml:space="preserve"> </w:t>
      </w:r>
      <w:r w:rsidR="004D55B9" w:rsidRPr="002715F2">
        <w:rPr>
          <w:rFonts w:eastAsia="Batang"/>
          <w:lang w:val="fr-FR"/>
        </w:rPr>
        <w:t>s</w:t>
      </w:r>
      <w:r w:rsidR="00F52CB4" w:rsidRPr="002715F2">
        <w:rPr>
          <w:rFonts w:eastAsia="Batang"/>
          <w:lang w:val="fr-FR"/>
        </w:rPr>
        <w:t>a</w:t>
      </w:r>
      <w:r w:rsidR="005342A0" w:rsidRPr="002715F2">
        <w:rPr>
          <w:rFonts w:eastAsia="Batang"/>
          <w:lang w:val="fr-FR"/>
        </w:rPr>
        <w:t xml:space="preserve"> législation et </w:t>
      </w:r>
      <w:r w:rsidR="004D55B9" w:rsidRPr="002715F2">
        <w:rPr>
          <w:rFonts w:eastAsia="Batang"/>
          <w:lang w:val="fr-FR"/>
        </w:rPr>
        <w:t>s</w:t>
      </w:r>
      <w:r w:rsidR="005342A0" w:rsidRPr="002715F2">
        <w:rPr>
          <w:rFonts w:eastAsia="Batang"/>
          <w:lang w:val="fr-FR"/>
        </w:rPr>
        <w:t>es institutions</w:t>
      </w:r>
      <w:r w:rsidR="00DD132B" w:rsidRPr="002715F2">
        <w:rPr>
          <w:rFonts w:eastAsia="Batang"/>
          <w:lang w:val="fr-FR"/>
        </w:rPr>
        <w:t xml:space="preserve"> pertinentes</w:t>
      </w:r>
      <w:r w:rsidR="004A090F" w:rsidRPr="002715F2">
        <w:rPr>
          <w:rFonts w:eastAsia="Batang"/>
          <w:lang w:val="fr-FR"/>
        </w:rPr>
        <w:t>,</w:t>
      </w:r>
      <w:r w:rsidR="00DD132B" w:rsidRPr="002715F2">
        <w:rPr>
          <w:rFonts w:eastAsia="Batang"/>
          <w:lang w:val="fr-FR"/>
        </w:rPr>
        <w:t xml:space="preserve"> </w:t>
      </w:r>
      <w:r w:rsidR="009130BC" w:rsidRPr="002715F2">
        <w:rPr>
          <w:rFonts w:eastAsia="Batang"/>
          <w:lang w:val="fr-FR"/>
        </w:rPr>
        <w:t>afin de</w:t>
      </w:r>
      <w:r w:rsidR="00DD132B" w:rsidRPr="002715F2">
        <w:rPr>
          <w:rFonts w:eastAsia="Batang"/>
          <w:lang w:val="fr-FR"/>
        </w:rPr>
        <w:t xml:space="preserve"> </w:t>
      </w:r>
      <w:r w:rsidR="004C2D3F" w:rsidRPr="002715F2">
        <w:rPr>
          <w:rFonts w:eastAsia="Batang"/>
          <w:lang w:val="fr-FR"/>
        </w:rPr>
        <w:t>déceler</w:t>
      </w:r>
      <w:r w:rsidR="00DD132B" w:rsidRPr="002715F2">
        <w:rPr>
          <w:rFonts w:eastAsia="Batang"/>
          <w:lang w:val="fr-FR"/>
        </w:rPr>
        <w:t xml:space="preserve"> d’éventuels</w:t>
      </w:r>
      <w:r w:rsidR="005342A0" w:rsidRPr="002715F2">
        <w:rPr>
          <w:rFonts w:eastAsia="Batang"/>
          <w:lang w:val="fr-FR"/>
        </w:rPr>
        <w:t xml:space="preserve"> conflits entre le </w:t>
      </w:r>
      <w:r w:rsidR="005342A0" w:rsidRPr="002715F2">
        <w:rPr>
          <w:lang w:val="fr-FR"/>
        </w:rPr>
        <w:t xml:space="preserve">Protocole </w:t>
      </w:r>
      <w:r w:rsidR="005342A0" w:rsidRPr="002715F2">
        <w:rPr>
          <w:rFonts w:eastAsia="Batang"/>
          <w:lang w:val="fr-FR"/>
        </w:rPr>
        <w:t xml:space="preserve">et </w:t>
      </w:r>
      <w:r w:rsidR="00DD132B" w:rsidRPr="002715F2">
        <w:rPr>
          <w:rFonts w:eastAsia="Batang"/>
          <w:lang w:val="fr-FR"/>
        </w:rPr>
        <w:t>le droit interne et</w:t>
      </w:r>
      <w:r w:rsidR="005342A0" w:rsidRPr="002715F2">
        <w:rPr>
          <w:rFonts w:eastAsia="Batang"/>
          <w:lang w:val="fr-FR"/>
        </w:rPr>
        <w:t xml:space="preserve"> </w:t>
      </w:r>
      <w:r w:rsidR="009130BC" w:rsidRPr="002715F2">
        <w:rPr>
          <w:rFonts w:eastAsia="Batang"/>
          <w:lang w:val="fr-FR"/>
        </w:rPr>
        <w:t xml:space="preserve">de </w:t>
      </w:r>
      <w:r w:rsidR="001340AD" w:rsidRPr="002715F2">
        <w:rPr>
          <w:rFonts w:eastAsia="Batang"/>
          <w:lang w:val="fr-FR"/>
        </w:rPr>
        <w:t>détermin</w:t>
      </w:r>
      <w:r w:rsidR="00DD132B" w:rsidRPr="002715F2">
        <w:rPr>
          <w:rFonts w:eastAsia="Batang"/>
          <w:lang w:val="fr-FR"/>
        </w:rPr>
        <w:t>er</w:t>
      </w:r>
      <w:r w:rsidR="000942EF" w:rsidRPr="002715F2">
        <w:rPr>
          <w:rFonts w:eastAsia="Batang"/>
          <w:lang w:val="fr-FR"/>
        </w:rPr>
        <w:t xml:space="preserve"> s’il </w:t>
      </w:r>
      <w:r w:rsidR="001340AD" w:rsidRPr="002715F2">
        <w:rPr>
          <w:rFonts w:eastAsia="Batang"/>
          <w:lang w:val="fr-FR"/>
        </w:rPr>
        <w:t>convient</w:t>
      </w:r>
      <w:r w:rsidR="005342A0" w:rsidRPr="002715F2">
        <w:rPr>
          <w:rFonts w:eastAsia="Batang"/>
          <w:lang w:val="fr-FR"/>
        </w:rPr>
        <w:t xml:space="preserve"> de modifier </w:t>
      </w:r>
      <w:r w:rsidR="00F52CB4" w:rsidRPr="002715F2">
        <w:rPr>
          <w:rFonts w:eastAsia="Batang"/>
          <w:lang w:val="fr-FR"/>
        </w:rPr>
        <w:t>l</w:t>
      </w:r>
      <w:r w:rsidR="009130BC" w:rsidRPr="002715F2">
        <w:rPr>
          <w:rFonts w:eastAsia="Batang"/>
          <w:lang w:val="fr-FR"/>
        </w:rPr>
        <w:t>es</w:t>
      </w:r>
      <w:r w:rsidR="00DD132B" w:rsidRPr="002715F2">
        <w:rPr>
          <w:rFonts w:eastAsia="Batang"/>
          <w:lang w:val="fr-FR"/>
        </w:rPr>
        <w:t xml:space="preserve"> lois</w:t>
      </w:r>
      <w:r w:rsidR="00F52CB4" w:rsidRPr="002715F2">
        <w:rPr>
          <w:rFonts w:eastAsia="Batang"/>
          <w:lang w:val="fr-FR"/>
        </w:rPr>
        <w:t xml:space="preserve"> nationales</w:t>
      </w:r>
      <w:r w:rsidR="000078DA" w:rsidRPr="002715F2">
        <w:rPr>
          <w:rFonts w:eastAsia="Batang"/>
          <w:lang w:val="fr-FR"/>
        </w:rPr>
        <w:t xml:space="preserve">. </w:t>
      </w:r>
      <w:r w:rsidR="006A74FC" w:rsidRPr="002715F2">
        <w:rPr>
          <w:rFonts w:eastAsia="Batang"/>
          <w:lang w:val="fr-FR"/>
        </w:rPr>
        <w:t>En parallèle</w:t>
      </w:r>
      <w:r w:rsidR="00623E85" w:rsidRPr="002715F2">
        <w:rPr>
          <w:rFonts w:eastAsia="Batang"/>
          <w:lang w:val="fr-FR"/>
        </w:rPr>
        <w:t>,</w:t>
      </w:r>
      <w:r w:rsidR="000078DA" w:rsidRPr="002715F2">
        <w:rPr>
          <w:rFonts w:eastAsia="Batang"/>
          <w:lang w:val="fr-FR"/>
        </w:rPr>
        <w:t xml:space="preserve"> </w:t>
      </w:r>
      <w:r w:rsidR="00DD132B" w:rsidRPr="002715F2">
        <w:rPr>
          <w:rFonts w:eastAsia="Batang"/>
          <w:lang w:val="fr-FR"/>
        </w:rPr>
        <w:t>l</w:t>
      </w:r>
      <w:r w:rsidR="00D83826" w:rsidRPr="002715F2">
        <w:rPr>
          <w:rFonts w:eastAsia="Batang"/>
          <w:lang w:val="fr-FR"/>
        </w:rPr>
        <w:t>a Commission nationale des droits de l’homme</w:t>
      </w:r>
      <w:r w:rsidR="004C2D3F" w:rsidRPr="002715F2">
        <w:rPr>
          <w:rFonts w:eastAsia="Batang"/>
          <w:lang w:val="fr-FR"/>
        </w:rPr>
        <w:t>,</w:t>
      </w:r>
      <w:r w:rsidR="00597F4E" w:rsidRPr="002715F2">
        <w:rPr>
          <w:rFonts w:eastAsia="Batang"/>
          <w:lang w:val="fr-FR"/>
        </w:rPr>
        <w:t xml:space="preserve"> </w:t>
      </w:r>
      <w:r w:rsidR="0039617D" w:rsidRPr="002715F2">
        <w:rPr>
          <w:rFonts w:eastAsia="Batang"/>
          <w:lang w:val="fr-FR"/>
        </w:rPr>
        <w:t>créée</w:t>
      </w:r>
      <w:r w:rsidR="00597F4E" w:rsidRPr="002715F2">
        <w:rPr>
          <w:rFonts w:eastAsia="Batang"/>
          <w:lang w:val="fr-FR"/>
        </w:rPr>
        <w:t xml:space="preserve"> en 2001</w:t>
      </w:r>
      <w:r w:rsidR="004C2D3F" w:rsidRPr="002715F2">
        <w:rPr>
          <w:rFonts w:eastAsia="Batang"/>
          <w:lang w:val="fr-FR"/>
        </w:rPr>
        <w:t xml:space="preserve">, </w:t>
      </w:r>
      <w:r w:rsidR="006A74FC" w:rsidRPr="002715F2">
        <w:rPr>
          <w:rFonts w:eastAsia="Batang"/>
          <w:lang w:val="fr-FR"/>
        </w:rPr>
        <w:t>a été</w:t>
      </w:r>
      <w:r w:rsidR="004C2D3F" w:rsidRPr="002715F2">
        <w:rPr>
          <w:rFonts w:eastAsia="Batang"/>
          <w:lang w:val="fr-FR"/>
        </w:rPr>
        <w:t xml:space="preserve"> mandatée pour exercer </w:t>
      </w:r>
      <w:r w:rsidR="00623E85" w:rsidRPr="002715F2">
        <w:rPr>
          <w:rFonts w:eastAsia="Batang"/>
          <w:lang w:val="fr-FR"/>
        </w:rPr>
        <w:t xml:space="preserve">les </w:t>
      </w:r>
      <w:r w:rsidR="006B5215" w:rsidRPr="002715F2">
        <w:rPr>
          <w:lang w:val="fr-FR"/>
        </w:rPr>
        <w:t>fonctions correspondant à celles du mécanisme national de prévention défini dans le Protocole facultatif</w:t>
      </w:r>
      <w:r w:rsidR="000078DA" w:rsidRPr="002715F2">
        <w:rPr>
          <w:rFonts w:eastAsia="Batang"/>
          <w:lang w:val="fr-FR"/>
        </w:rPr>
        <w:t xml:space="preserve">. </w:t>
      </w:r>
      <w:r w:rsidR="00EA7E0E" w:rsidRPr="002715F2">
        <w:rPr>
          <w:rFonts w:eastAsia="Batang"/>
          <w:lang w:val="fr-FR"/>
        </w:rPr>
        <w:t>L</w:t>
      </w:r>
      <w:r w:rsidR="004C2D3F" w:rsidRPr="002715F2">
        <w:rPr>
          <w:rFonts w:eastAsia="Batang"/>
          <w:lang w:val="fr-FR"/>
        </w:rPr>
        <w:t xml:space="preserve">es visites et enquêtes </w:t>
      </w:r>
      <w:r w:rsidR="0039617D" w:rsidRPr="002715F2">
        <w:rPr>
          <w:rFonts w:eastAsia="Batang"/>
          <w:lang w:val="fr-FR"/>
        </w:rPr>
        <w:t>qu’elle a</w:t>
      </w:r>
      <w:r w:rsidR="00EA7E0E" w:rsidRPr="002715F2">
        <w:rPr>
          <w:rFonts w:eastAsia="Batang"/>
          <w:lang w:val="fr-FR"/>
        </w:rPr>
        <w:t xml:space="preserve"> </w:t>
      </w:r>
      <w:r w:rsidR="004C2D3F" w:rsidRPr="002715F2">
        <w:rPr>
          <w:rFonts w:eastAsia="Batang"/>
          <w:lang w:val="fr-FR"/>
        </w:rPr>
        <w:t xml:space="preserve">menées </w:t>
      </w:r>
      <w:r w:rsidR="00EA7E0E" w:rsidRPr="002715F2">
        <w:rPr>
          <w:rFonts w:eastAsia="Batang"/>
          <w:lang w:val="fr-FR"/>
        </w:rPr>
        <w:t>ont</w:t>
      </w:r>
      <w:r w:rsidR="004C2D3F" w:rsidRPr="002715F2">
        <w:rPr>
          <w:rFonts w:eastAsia="Batang"/>
          <w:lang w:val="fr-FR"/>
        </w:rPr>
        <w:t xml:space="preserve"> permis d’obtenir</w:t>
      </w:r>
      <w:r w:rsidR="002217CB" w:rsidRPr="002715F2">
        <w:rPr>
          <w:rFonts w:eastAsia="Batang"/>
          <w:lang w:val="fr-FR"/>
        </w:rPr>
        <w:t xml:space="preserve"> </w:t>
      </w:r>
      <w:r w:rsidR="009130BC" w:rsidRPr="002715F2">
        <w:rPr>
          <w:rFonts w:eastAsia="Batang"/>
          <w:lang w:val="fr-FR"/>
        </w:rPr>
        <w:t xml:space="preserve">des résultats significatifs en matière de </w:t>
      </w:r>
      <w:r w:rsidR="002217CB" w:rsidRPr="002715F2">
        <w:rPr>
          <w:rFonts w:eastAsia="Batang"/>
          <w:lang w:val="fr-FR"/>
        </w:rPr>
        <w:t xml:space="preserve">prévention de la torture </w:t>
      </w:r>
      <w:r w:rsidR="009130BC" w:rsidRPr="002715F2">
        <w:rPr>
          <w:rFonts w:eastAsia="Batang"/>
          <w:lang w:val="fr-FR"/>
        </w:rPr>
        <w:t xml:space="preserve">dans les </w:t>
      </w:r>
      <w:r w:rsidR="009130BC" w:rsidRPr="002715F2">
        <w:rPr>
          <w:bCs/>
          <w:lang w:val="fr-FR"/>
        </w:rPr>
        <w:t>établissements de détention ou de protection</w:t>
      </w:r>
      <w:r w:rsidR="002217CB" w:rsidRPr="002715F2">
        <w:rPr>
          <w:rFonts w:eastAsia="Batang"/>
          <w:lang w:val="fr-FR"/>
        </w:rPr>
        <w:t xml:space="preserve">, </w:t>
      </w:r>
      <w:r w:rsidR="006B5215" w:rsidRPr="002715F2">
        <w:rPr>
          <w:rFonts w:eastAsia="Batang"/>
          <w:lang w:val="fr-FR"/>
        </w:rPr>
        <w:t>comme prévu par le</w:t>
      </w:r>
      <w:r w:rsidR="002217CB" w:rsidRPr="002715F2">
        <w:rPr>
          <w:rFonts w:eastAsia="Batang"/>
          <w:lang w:val="fr-FR"/>
        </w:rPr>
        <w:t xml:space="preserve"> </w:t>
      </w:r>
      <w:r w:rsidR="009130BC" w:rsidRPr="002715F2">
        <w:rPr>
          <w:rFonts w:eastAsia="Batang"/>
          <w:lang w:val="fr-FR"/>
        </w:rPr>
        <w:t>P</w:t>
      </w:r>
      <w:r w:rsidR="002217CB" w:rsidRPr="002715F2">
        <w:rPr>
          <w:rFonts w:eastAsia="Batang"/>
          <w:lang w:val="fr-FR"/>
        </w:rPr>
        <w:t xml:space="preserve">rotocole </w:t>
      </w:r>
      <w:r w:rsidR="004C2D3F" w:rsidRPr="002715F2">
        <w:rPr>
          <w:rFonts w:eastAsia="Batang"/>
          <w:lang w:val="fr-FR"/>
        </w:rPr>
        <w:t>facultatif</w:t>
      </w:r>
      <w:r w:rsidR="00AA472B" w:rsidRPr="002715F2">
        <w:rPr>
          <w:rFonts w:eastAsia="Batang"/>
          <w:lang w:val="fr-FR"/>
        </w:rPr>
        <w:t>.</w:t>
      </w:r>
    </w:p>
    <w:p w:rsidR="000078DA" w:rsidRPr="002715F2" w:rsidRDefault="00F420C5" w:rsidP="00643BBE">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4C2D3F" w:rsidRPr="002715F2">
        <w:rPr>
          <w:rFonts w:eastAsia="Batang"/>
          <w:lang w:val="fr-FR" w:eastAsia="ko-KR"/>
        </w:rPr>
        <w:t>Réponse aux qu</w:t>
      </w:r>
      <w:r w:rsidR="004A090F" w:rsidRPr="002715F2">
        <w:rPr>
          <w:rFonts w:eastAsia="Batang"/>
          <w:lang w:val="fr-FR" w:eastAsia="ko-KR"/>
        </w:rPr>
        <w:t xml:space="preserve">estions soulevées au </w:t>
      </w:r>
      <w:r w:rsidR="00FB33F2" w:rsidRPr="002715F2">
        <w:rPr>
          <w:rFonts w:eastAsia="Batang"/>
          <w:lang w:val="fr-FR" w:eastAsia="ko-KR"/>
        </w:rPr>
        <w:t xml:space="preserve">paragraphe </w:t>
      </w:r>
      <w:r w:rsidR="004C2D3F" w:rsidRPr="002715F2">
        <w:rPr>
          <w:rFonts w:eastAsia="Batang"/>
          <w:lang w:val="fr-FR" w:eastAsia="ko-KR"/>
        </w:rPr>
        <w:t>40</w:t>
      </w:r>
    </w:p>
    <w:p w:rsidR="000078DA" w:rsidRPr="002715F2" w:rsidRDefault="007026FB" w:rsidP="007026FB">
      <w:pPr>
        <w:pStyle w:val="SingleTxtG"/>
        <w:rPr>
          <w:rFonts w:eastAsia="Batang"/>
          <w:lang w:val="fr-FR"/>
        </w:rPr>
      </w:pPr>
      <w:r w:rsidRPr="002715F2">
        <w:rPr>
          <w:rFonts w:eastAsia="Batang"/>
          <w:lang w:val="fr-FR"/>
        </w:rPr>
        <w:t>208.</w:t>
      </w:r>
      <w:r w:rsidRPr="002715F2">
        <w:rPr>
          <w:rFonts w:eastAsia="Batang"/>
          <w:lang w:val="fr-FR"/>
        </w:rPr>
        <w:tab/>
      </w:r>
      <w:r w:rsidR="00DB3CAB" w:rsidRPr="002715F2">
        <w:rPr>
          <w:rFonts w:eastAsia="Batang"/>
          <w:lang w:val="fr-FR"/>
        </w:rPr>
        <w:t xml:space="preserve">La République de Corée </w:t>
      </w:r>
      <w:r w:rsidR="00FD7615" w:rsidRPr="002715F2">
        <w:rPr>
          <w:rFonts w:eastAsia="Batang"/>
          <w:lang w:val="fr-FR"/>
        </w:rPr>
        <w:t xml:space="preserve">ne </w:t>
      </w:r>
      <w:r w:rsidR="00FD7615" w:rsidRPr="002715F2">
        <w:rPr>
          <w:rFonts w:ascii="TimesNewRomanPSMT" w:hAnsi="TimesNewRomanPSMT" w:cs="TimesNewRomanPSMT"/>
          <w:lang w:val="fr-FR" w:eastAsia="en-GB"/>
        </w:rPr>
        <w:t>dispose pas de législation spécifique en</w:t>
      </w:r>
      <w:r w:rsidR="00DB3CAB" w:rsidRPr="002715F2">
        <w:rPr>
          <w:rFonts w:eastAsia="Batang"/>
          <w:lang w:val="fr-FR"/>
        </w:rPr>
        <w:t xml:space="preserve"> </w:t>
      </w:r>
      <w:r w:rsidR="00FD7615" w:rsidRPr="002715F2">
        <w:rPr>
          <w:rFonts w:ascii="TimesNewRomanPSMT" w:hAnsi="TimesNewRomanPSMT" w:cs="TimesNewRomanPSMT"/>
          <w:lang w:val="fr-FR" w:eastAsia="en-GB"/>
        </w:rPr>
        <w:t>matière de lutte contre le terrorisme</w:t>
      </w:r>
      <w:r w:rsidR="000078DA" w:rsidRPr="002715F2">
        <w:rPr>
          <w:rFonts w:eastAsia="Batang"/>
          <w:lang w:val="fr-FR"/>
        </w:rPr>
        <w:t xml:space="preserve">. </w:t>
      </w:r>
      <w:r w:rsidR="00FB4690" w:rsidRPr="002715F2">
        <w:rPr>
          <w:lang w:val="fr-FR"/>
        </w:rPr>
        <w:t xml:space="preserve">Des renseignements détaillés sur </w:t>
      </w:r>
      <w:r w:rsidR="00FD7615" w:rsidRPr="002715F2">
        <w:rPr>
          <w:rFonts w:eastAsia="Batang"/>
          <w:lang w:val="fr-FR"/>
        </w:rPr>
        <w:t>la</w:t>
      </w:r>
      <w:r w:rsidR="000078DA" w:rsidRPr="002715F2">
        <w:rPr>
          <w:rFonts w:eastAsia="Batang"/>
          <w:lang w:val="fr-FR"/>
        </w:rPr>
        <w:t xml:space="preserve"> </w:t>
      </w:r>
      <w:r w:rsidR="00FD7615" w:rsidRPr="002715F2">
        <w:rPr>
          <w:rFonts w:ascii="TimesNewRomanPSMT" w:hAnsi="TimesNewRomanPSMT" w:cs="TimesNewRomanPSMT"/>
          <w:lang w:val="fr-FR" w:eastAsia="en-GB"/>
        </w:rPr>
        <w:t>Directive nationale relative aux activités antiterroristes</w:t>
      </w:r>
      <w:r w:rsidR="00CE5067" w:rsidRPr="002715F2">
        <w:rPr>
          <w:rFonts w:ascii="TimesNewRomanPSMT" w:hAnsi="TimesNewRomanPSMT" w:cs="TimesNewRomanPSMT"/>
          <w:lang w:val="fr-FR" w:eastAsia="en-GB"/>
        </w:rPr>
        <w:t xml:space="preserve"> </w:t>
      </w:r>
      <w:r w:rsidR="00CE5067" w:rsidRPr="002715F2">
        <w:rPr>
          <w:rFonts w:eastAsia="Batang"/>
          <w:lang w:val="fr-FR"/>
        </w:rPr>
        <w:t>(directive du Président)</w:t>
      </w:r>
      <w:r w:rsidR="00FB4690" w:rsidRPr="002715F2">
        <w:rPr>
          <w:rFonts w:ascii="TimesNewRomanPSMT" w:hAnsi="TimesNewRomanPSMT" w:cs="TimesNewRomanPSMT"/>
          <w:lang w:val="fr-FR" w:eastAsia="en-GB"/>
        </w:rPr>
        <w:t xml:space="preserve"> figurent dans le</w:t>
      </w:r>
      <w:r w:rsidR="00FD7615" w:rsidRPr="002715F2">
        <w:rPr>
          <w:rFonts w:eastAsia="Batang"/>
          <w:lang w:val="fr-FR"/>
        </w:rPr>
        <w:t xml:space="preserve"> </w:t>
      </w:r>
      <w:r w:rsidR="00A22276" w:rsidRPr="002715F2">
        <w:rPr>
          <w:rFonts w:eastAsia="Batang"/>
          <w:lang w:val="fr-FR"/>
        </w:rPr>
        <w:t xml:space="preserve">quatrième </w:t>
      </w:r>
      <w:r w:rsidR="00FD7615" w:rsidRPr="002715F2">
        <w:rPr>
          <w:rFonts w:eastAsia="Batang"/>
          <w:lang w:val="fr-FR"/>
        </w:rPr>
        <w:t xml:space="preserve">rapport sur le Pacte </w:t>
      </w:r>
      <w:r w:rsidR="008A36A5" w:rsidRPr="002715F2">
        <w:rPr>
          <w:lang w:val="fr-FR"/>
        </w:rPr>
        <w:t>international relatif aux droits civils et politiques</w:t>
      </w:r>
      <w:r w:rsidR="00A22276" w:rsidRPr="002715F2">
        <w:rPr>
          <w:lang w:val="fr-FR"/>
        </w:rPr>
        <w:t xml:space="preserve"> </w:t>
      </w:r>
      <w:r w:rsidR="000078DA" w:rsidRPr="002715F2">
        <w:rPr>
          <w:rFonts w:eastAsia="Batang"/>
          <w:lang w:val="fr-FR"/>
        </w:rPr>
        <w:t>(CCPR/C/KOR/4</w:t>
      </w:r>
      <w:r w:rsidR="00FD7615"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19). </w:t>
      </w:r>
      <w:r w:rsidR="00B94D60" w:rsidRPr="002715F2">
        <w:rPr>
          <w:rFonts w:eastAsia="Batang"/>
          <w:lang w:val="fr-FR"/>
        </w:rPr>
        <w:t>C</w:t>
      </w:r>
      <w:r w:rsidR="00CE5067" w:rsidRPr="002715F2">
        <w:rPr>
          <w:rFonts w:eastAsia="Batang"/>
          <w:lang w:val="fr-FR"/>
        </w:rPr>
        <w:t xml:space="preserve">ette directive ne prévoit </w:t>
      </w:r>
      <w:r w:rsidR="00B94D60" w:rsidRPr="002715F2">
        <w:rPr>
          <w:rFonts w:eastAsia="Batang"/>
          <w:lang w:val="fr-FR"/>
        </w:rPr>
        <w:t xml:space="preserve">toutefois </w:t>
      </w:r>
      <w:r w:rsidR="00CE5067" w:rsidRPr="002715F2">
        <w:rPr>
          <w:rFonts w:eastAsia="Batang"/>
          <w:lang w:val="fr-FR"/>
        </w:rPr>
        <w:t>aucune garantie juridique</w:t>
      </w:r>
      <w:r w:rsidR="000078DA" w:rsidRPr="002715F2">
        <w:rPr>
          <w:rFonts w:eastAsia="Batang"/>
          <w:lang w:val="fr-FR"/>
        </w:rPr>
        <w:t xml:space="preserve"> </w:t>
      </w:r>
      <w:r w:rsidR="00CE5067" w:rsidRPr="002715F2">
        <w:rPr>
          <w:rFonts w:eastAsia="Batang"/>
          <w:lang w:val="fr-FR"/>
        </w:rPr>
        <w:t xml:space="preserve">ni </w:t>
      </w:r>
      <w:r w:rsidR="00CE5067" w:rsidRPr="002715F2">
        <w:rPr>
          <w:lang w:val="fr-FR"/>
        </w:rPr>
        <w:t>voie de recours pour les personnes visées par des mesures antiterroristes</w:t>
      </w:r>
      <w:r w:rsidR="00AA472B" w:rsidRPr="002715F2">
        <w:rPr>
          <w:rFonts w:eastAsia="Batang"/>
          <w:lang w:val="fr-FR"/>
        </w:rPr>
        <w:t>.</w:t>
      </w:r>
    </w:p>
    <w:p w:rsidR="000078DA" w:rsidRPr="002715F2" w:rsidRDefault="00643BBE">
      <w:pPr>
        <w:pStyle w:val="HChG"/>
        <w:rPr>
          <w:rFonts w:eastAsia="Gulim"/>
          <w:lang w:val="fr-FR"/>
        </w:rPr>
      </w:pPr>
      <w:r w:rsidRPr="002715F2">
        <w:rPr>
          <w:rFonts w:eastAsia="Malgun Gothic"/>
          <w:lang w:val="fr-FR"/>
        </w:rPr>
        <w:tab/>
      </w:r>
      <w:r w:rsidR="000078DA" w:rsidRPr="002715F2">
        <w:rPr>
          <w:rFonts w:eastAsia="Malgun Gothic"/>
          <w:lang w:val="fr-FR"/>
        </w:rPr>
        <w:t>III.</w:t>
      </w:r>
      <w:r w:rsidRPr="002715F2">
        <w:rPr>
          <w:rFonts w:eastAsia="Malgun Gothic"/>
          <w:lang w:val="fr-FR"/>
        </w:rPr>
        <w:tab/>
      </w:r>
      <w:r w:rsidR="00046394" w:rsidRPr="002715F2">
        <w:rPr>
          <w:lang w:val="fr-FR"/>
        </w:rPr>
        <w:t xml:space="preserve">Renseignements d’ordre général sur la situation des droits de l’homme dans le pays, </w:t>
      </w:r>
      <w:r w:rsidR="00AA7A36" w:rsidRPr="002715F2">
        <w:rPr>
          <w:lang w:val="fr-FR"/>
        </w:rPr>
        <w:t xml:space="preserve">y </w:t>
      </w:r>
      <w:r w:rsidR="00046394" w:rsidRPr="002715F2">
        <w:rPr>
          <w:lang w:val="fr-FR"/>
        </w:rPr>
        <w:t>compris sur les nouvelles mesures et les faits nouveaux concernant la mise en œuvre de la Convention</w:t>
      </w:r>
    </w:p>
    <w:p w:rsidR="000078DA" w:rsidRPr="002715F2" w:rsidRDefault="00643BBE" w:rsidP="00643BBE">
      <w:pPr>
        <w:pStyle w:val="H23G"/>
        <w:rPr>
          <w:rFonts w:ascii="한양신명조" w:eastAsia="한양신명조" w:hAnsi="Batang" w:cs="Gulim"/>
          <w:shd w:val="clear" w:color="auto" w:fill="FFFFFF"/>
          <w:lang w:val="fr-FR" w:eastAsia="ko-KR"/>
        </w:rPr>
      </w:pPr>
      <w:r w:rsidRPr="002715F2">
        <w:rPr>
          <w:rFonts w:eastAsia="Batang"/>
          <w:lang w:val="fr-FR" w:eastAsia="ko-KR"/>
        </w:rPr>
        <w:tab/>
      </w:r>
      <w:r w:rsidRPr="002715F2">
        <w:rPr>
          <w:rFonts w:eastAsia="Batang"/>
          <w:lang w:val="fr-FR" w:eastAsia="ko-KR"/>
        </w:rPr>
        <w:tab/>
      </w:r>
      <w:r w:rsidR="00046394" w:rsidRPr="002715F2">
        <w:rPr>
          <w:rFonts w:eastAsia="Batang"/>
          <w:lang w:val="fr-FR" w:eastAsia="ko-KR"/>
        </w:rPr>
        <w:t xml:space="preserve">Réponse aux questions soulevées au </w:t>
      </w:r>
      <w:r w:rsidR="001A3CB9" w:rsidRPr="002715F2">
        <w:rPr>
          <w:rFonts w:eastAsia="Batang"/>
          <w:lang w:val="fr-FR" w:eastAsia="ko-KR"/>
        </w:rPr>
        <w:t xml:space="preserve">paragraphe </w:t>
      </w:r>
      <w:r w:rsidR="00046394" w:rsidRPr="002715F2">
        <w:rPr>
          <w:rFonts w:eastAsia="Batang"/>
          <w:lang w:val="fr-FR" w:eastAsia="ko-KR"/>
        </w:rPr>
        <w:t>41</w:t>
      </w:r>
    </w:p>
    <w:p w:rsidR="000078DA" w:rsidRPr="002715F2" w:rsidRDefault="00643BBE" w:rsidP="007026FB">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5A32F7" w:rsidRPr="002715F2">
        <w:rPr>
          <w:rFonts w:eastAsia="Batang"/>
          <w:lang w:val="fr-FR" w:eastAsia="ko-KR"/>
        </w:rPr>
        <w:t xml:space="preserve">Ratification des traités internationaux relatifs aux droits de l’homme et retrait de </w:t>
      </w:r>
      <w:r w:rsidR="0039617D" w:rsidRPr="002715F2">
        <w:rPr>
          <w:rFonts w:eastAsia="Batang"/>
          <w:lang w:val="fr-FR" w:eastAsia="ko-KR"/>
        </w:rPr>
        <w:t>réserves</w:t>
      </w:r>
    </w:p>
    <w:p w:rsidR="000078DA" w:rsidRPr="002715F2" w:rsidRDefault="007026FB" w:rsidP="00714D73">
      <w:pPr>
        <w:pStyle w:val="SingleTxtG"/>
        <w:rPr>
          <w:rFonts w:eastAsia="Batang"/>
          <w:lang w:val="fr-FR"/>
        </w:rPr>
      </w:pPr>
      <w:r w:rsidRPr="002715F2">
        <w:rPr>
          <w:rFonts w:eastAsia="Batang"/>
          <w:lang w:val="fr-FR"/>
        </w:rPr>
        <w:t>209.</w:t>
      </w:r>
      <w:r w:rsidRPr="002715F2">
        <w:rPr>
          <w:rFonts w:eastAsia="Batang"/>
          <w:lang w:val="fr-FR"/>
        </w:rPr>
        <w:tab/>
      </w:r>
      <w:r w:rsidR="005A32F7" w:rsidRPr="002715F2">
        <w:rPr>
          <w:lang w:val="fr-FR"/>
        </w:rPr>
        <w:t>Le Gouvernement a ratifié le Protocole facultatif à la Convention sur l’élimination de toutes les formes de discrimination à l’égard des femmes</w:t>
      </w:r>
      <w:r w:rsidR="005A32F7" w:rsidRPr="002715F2">
        <w:rPr>
          <w:rFonts w:eastAsia="Batang"/>
          <w:lang w:val="fr-FR"/>
        </w:rPr>
        <w:t>, le 18 o</w:t>
      </w:r>
      <w:r w:rsidR="000078DA" w:rsidRPr="002715F2">
        <w:rPr>
          <w:rFonts w:eastAsia="Batang"/>
          <w:lang w:val="fr-FR"/>
        </w:rPr>
        <w:t>ctob</w:t>
      </w:r>
      <w:r w:rsidR="005A32F7" w:rsidRPr="002715F2">
        <w:rPr>
          <w:rFonts w:eastAsia="Batang"/>
          <w:lang w:val="fr-FR"/>
        </w:rPr>
        <w:t>re</w:t>
      </w:r>
      <w:r w:rsidR="000078DA" w:rsidRPr="002715F2">
        <w:rPr>
          <w:rFonts w:eastAsia="Batang"/>
          <w:lang w:val="fr-FR"/>
        </w:rPr>
        <w:t xml:space="preserve"> 2006</w:t>
      </w:r>
      <w:r w:rsidR="005A32F7" w:rsidRPr="002715F2">
        <w:rPr>
          <w:rFonts w:eastAsia="Batang"/>
          <w:lang w:val="fr-FR"/>
        </w:rPr>
        <w:t>,</w:t>
      </w:r>
      <w:r w:rsidR="000078DA" w:rsidRPr="002715F2">
        <w:rPr>
          <w:rFonts w:eastAsia="Batang"/>
          <w:lang w:val="fr-FR"/>
        </w:rPr>
        <w:t xml:space="preserve"> </w:t>
      </w:r>
      <w:r w:rsidR="005A32F7" w:rsidRPr="002715F2">
        <w:rPr>
          <w:rFonts w:eastAsia="Batang"/>
          <w:lang w:val="fr-FR"/>
        </w:rPr>
        <w:t xml:space="preserve">et </w:t>
      </w:r>
      <w:r w:rsidR="005A32F7" w:rsidRPr="002715F2">
        <w:rPr>
          <w:lang w:val="fr-FR"/>
        </w:rPr>
        <w:t>la Convention relative aux droits des personnes handicapées, le 11 décembre 2008,</w:t>
      </w:r>
      <w:r w:rsidR="005A32F7" w:rsidRPr="002715F2">
        <w:rPr>
          <w:rFonts w:eastAsia="Batang"/>
          <w:lang w:val="fr-FR"/>
        </w:rPr>
        <w:t xml:space="preserve"> </w:t>
      </w:r>
      <w:r w:rsidR="00785829" w:rsidRPr="002715F2">
        <w:rPr>
          <w:rFonts w:eastAsia="Batang"/>
          <w:lang w:val="fr-FR"/>
        </w:rPr>
        <w:t xml:space="preserve">afin de </w:t>
      </w:r>
      <w:r w:rsidR="00ED50E5" w:rsidRPr="002715F2">
        <w:rPr>
          <w:rFonts w:eastAsia="Batang"/>
          <w:lang w:val="fr-FR"/>
        </w:rPr>
        <w:t>se conformer aux</w:t>
      </w:r>
      <w:r w:rsidR="00785829" w:rsidRPr="002715F2">
        <w:rPr>
          <w:rFonts w:eastAsia="Batang"/>
          <w:lang w:val="fr-FR"/>
        </w:rPr>
        <w:t xml:space="preserve"> normes internationales </w:t>
      </w:r>
      <w:r w:rsidR="00956741" w:rsidRPr="002715F2">
        <w:rPr>
          <w:rFonts w:eastAsia="Batang"/>
          <w:lang w:val="fr-FR"/>
        </w:rPr>
        <w:t xml:space="preserve">en matière </w:t>
      </w:r>
      <w:r w:rsidR="00785829" w:rsidRPr="002715F2">
        <w:rPr>
          <w:rFonts w:eastAsia="Batang"/>
          <w:lang w:val="fr-FR"/>
        </w:rPr>
        <w:t>de protection des droits fondamentaux des femmes et des personnes handicapées</w:t>
      </w:r>
      <w:r w:rsidR="000078DA" w:rsidRPr="002715F2">
        <w:rPr>
          <w:rFonts w:eastAsia="Batang"/>
          <w:lang w:val="fr-FR"/>
        </w:rPr>
        <w:t xml:space="preserve">. </w:t>
      </w:r>
      <w:r w:rsidR="002B4844" w:rsidRPr="002715F2">
        <w:rPr>
          <w:rFonts w:eastAsia="Batang"/>
          <w:lang w:val="fr-FR"/>
        </w:rPr>
        <w:t>Le 2 avril 2007, l</w:t>
      </w:r>
      <w:r w:rsidR="00D624C2" w:rsidRPr="002715F2">
        <w:rPr>
          <w:rFonts w:eastAsia="Batang"/>
          <w:lang w:val="fr-FR"/>
        </w:rPr>
        <w:t xml:space="preserve">e Gouvernement a retiré </w:t>
      </w:r>
      <w:r w:rsidR="00E053C3" w:rsidRPr="002715F2">
        <w:rPr>
          <w:rFonts w:eastAsia="Batang"/>
          <w:lang w:val="fr-FR"/>
        </w:rPr>
        <w:t>sa</w:t>
      </w:r>
      <w:r w:rsidR="00D624C2" w:rsidRPr="002715F2">
        <w:rPr>
          <w:rFonts w:eastAsia="Batang"/>
          <w:lang w:val="fr-FR"/>
        </w:rPr>
        <w:t xml:space="preserve"> réserve concernant </w:t>
      </w:r>
      <w:r w:rsidR="003A42DC" w:rsidRPr="002715F2">
        <w:rPr>
          <w:rFonts w:eastAsia="Batang"/>
          <w:lang w:val="fr-FR"/>
        </w:rPr>
        <w:t>le paragraphe 5 de l’article 14 du</w:t>
      </w:r>
      <w:r w:rsidR="00707F1F" w:rsidRPr="002715F2">
        <w:rPr>
          <w:rFonts w:eastAsia="Batang"/>
          <w:lang w:val="fr-FR"/>
        </w:rPr>
        <w:t xml:space="preserve"> Pacte</w:t>
      </w:r>
      <w:r w:rsidR="008A36A5" w:rsidRPr="002715F2">
        <w:rPr>
          <w:rFonts w:eastAsia="Batang"/>
          <w:lang w:val="fr-FR"/>
        </w:rPr>
        <w:t xml:space="preserve"> </w:t>
      </w:r>
      <w:r w:rsidR="008A36A5" w:rsidRPr="002715F2">
        <w:rPr>
          <w:lang w:val="fr-FR"/>
        </w:rPr>
        <w:t>international relatif aux droits civils et politiques</w:t>
      </w:r>
      <w:r w:rsidR="00707F1F" w:rsidRPr="002715F2">
        <w:rPr>
          <w:rFonts w:eastAsia="Batang"/>
          <w:lang w:val="fr-FR"/>
        </w:rPr>
        <w:t xml:space="preserve">, </w:t>
      </w:r>
      <w:r w:rsidR="003A42DC" w:rsidRPr="002715F2">
        <w:rPr>
          <w:rFonts w:eastAsia="Batang"/>
          <w:lang w:val="fr-FR"/>
        </w:rPr>
        <w:t xml:space="preserve">selon lequel </w:t>
      </w:r>
      <w:r w:rsidR="00D624C2" w:rsidRPr="002715F2">
        <w:rPr>
          <w:rFonts w:eastAsia="Batang"/>
          <w:lang w:val="fr-FR"/>
        </w:rPr>
        <w:t>tout</w:t>
      </w:r>
      <w:r w:rsidR="003A42DC" w:rsidRPr="002715F2">
        <w:rPr>
          <w:rFonts w:eastAsia="Batang"/>
          <w:lang w:val="fr-FR"/>
        </w:rPr>
        <w:t>e personne</w:t>
      </w:r>
      <w:r w:rsidR="00D624C2" w:rsidRPr="002715F2">
        <w:rPr>
          <w:rFonts w:eastAsia="Batang"/>
          <w:lang w:val="fr-FR"/>
        </w:rPr>
        <w:t xml:space="preserve"> déclarée coupable </w:t>
      </w:r>
      <w:r w:rsidR="003A42DC" w:rsidRPr="002715F2">
        <w:rPr>
          <w:rFonts w:eastAsia="Batang"/>
          <w:lang w:val="fr-FR"/>
        </w:rPr>
        <w:t xml:space="preserve">a le droit </w:t>
      </w:r>
      <w:r w:rsidR="00D624C2" w:rsidRPr="002715F2">
        <w:rPr>
          <w:rFonts w:eastAsia="Batang"/>
          <w:lang w:val="fr-FR"/>
        </w:rPr>
        <w:t>de faire examiner par une juridiction supérieure la déclaration de culpabilité et la cond</w:t>
      </w:r>
      <w:r w:rsidR="006C3C7A" w:rsidRPr="002715F2">
        <w:rPr>
          <w:rFonts w:eastAsia="Batang"/>
          <w:lang w:val="fr-FR"/>
        </w:rPr>
        <w:t>a</w:t>
      </w:r>
      <w:r w:rsidR="00D624C2" w:rsidRPr="002715F2">
        <w:rPr>
          <w:rFonts w:eastAsia="Batang"/>
          <w:lang w:val="fr-FR"/>
        </w:rPr>
        <w:t>mnation</w:t>
      </w:r>
      <w:r w:rsidR="002B4844" w:rsidRPr="002715F2">
        <w:rPr>
          <w:rFonts w:eastAsia="Batang"/>
          <w:lang w:val="fr-FR"/>
        </w:rPr>
        <w:t xml:space="preserve">. Le 9 novembre 2007, il a </w:t>
      </w:r>
      <w:r w:rsidR="006C3C7A" w:rsidRPr="002715F2">
        <w:rPr>
          <w:rFonts w:eastAsia="Batang"/>
          <w:lang w:val="fr-FR"/>
        </w:rPr>
        <w:t>publié</w:t>
      </w:r>
      <w:r w:rsidR="00D624C2" w:rsidRPr="002715F2">
        <w:rPr>
          <w:rFonts w:eastAsia="Batang"/>
          <w:lang w:val="fr-FR"/>
        </w:rPr>
        <w:t xml:space="preserve"> des déclarations au sujet </w:t>
      </w:r>
      <w:r w:rsidR="00E053C3" w:rsidRPr="002715F2">
        <w:rPr>
          <w:rFonts w:eastAsia="Batang"/>
          <w:lang w:val="fr-FR"/>
        </w:rPr>
        <w:t>des dispositions de la Convention contre la torture relative</w:t>
      </w:r>
      <w:r w:rsidR="008B10E4" w:rsidRPr="002715F2">
        <w:rPr>
          <w:rFonts w:eastAsia="Batang"/>
          <w:lang w:val="fr-FR"/>
        </w:rPr>
        <w:t>s</w:t>
      </w:r>
      <w:r w:rsidR="00E053C3" w:rsidRPr="002715F2">
        <w:rPr>
          <w:rFonts w:eastAsia="Batang"/>
          <w:lang w:val="fr-FR"/>
        </w:rPr>
        <w:t xml:space="preserve"> aux </w:t>
      </w:r>
      <w:r w:rsidR="006C3C7A" w:rsidRPr="002715F2">
        <w:rPr>
          <w:rFonts w:eastAsia="Batang"/>
          <w:lang w:val="fr-FR"/>
        </w:rPr>
        <w:t>plaintes interétatiques (art. </w:t>
      </w:r>
      <w:r w:rsidR="00D624C2" w:rsidRPr="002715F2">
        <w:rPr>
          <w:rFonts w:eastAsia="Batang"/>
          <w:lang w:val="fr-FR"/>
        </w:rPr>
        <w:t xml:space="preserve">21) et </w:t>
      </w:r>
      <w:r w:rsidR="00E053C3" w:rsidRPr="002715F2">
        <w:rPr>
          <w:rFonts w:eastAsia="Batang"/>
          <w:lang w:val="fr-FR"/>
        </w:rPr>
        <w:t>aux</w:t>
      </w:r>
      <w:r w:rsidR="00D624C2" w:rsidRPr="002715F2">
        <w:rPr>
          <w:rFonts w:eastAsia="Batang"/>
          <w:lang w:val="fr-FR"/>
        </w:rPr>
        <w:t xml:space="preserve"> communications </w:t>
      </w:r>
      <w:r w:rsidR="008C71EF" w:rsidRPr="002715F2">
        <w:rPr>
          <w:rFonts w:eastAsia="Batang"/>
          <w:lang w:val="fr-FR"/>
        </w:rPr>
        <w:t xml:space="preserve">de particuliers </w:t>
      </w:r>
      <w:r w:rsidR="00D624C2" w:rsidRPr="002715F2">
        <w:rPr>
          <w:rFonts w:eastAsia="Batang"/>
          <w:lang w:val="fr-FR"/>
        </w:rPr>
        <w:t>(art.</w:t>
      </w:r>
      <w:r w:rsidR="006C3C7A" w:rsidRPr="002715F2">
        <w:rPr>
          <w:rFonts w:eastAsia="Batang"/>
          <w:lang w:val="fr-FR"/>
        </w:rPr>
        <w:t> </w:t>
      </w:r>
      <w:r w:rsidR="00D624C2" w:rsidRPr="002715F2">
        <w:rPr>
          <w:rFonts w:eastAsia="Batang"/>
          <w:lang w:val="fr-FR"/>
        </w:rPr>
        <w:t>22)</w:t>
      </w:r>
      <w:r w:rsidR="000078DA" w:rsidRPr="002715F2">
        <w:rPr>
          <w:rFonts w:eastAsia="Batang"/>
          <w:lang w:val="fr-FR"/>
        </w:rPr>
        <w:t xml:space="preserve">. </w:t>
      </w:r>
      <w:r w:rsidR="00707F1F" w:rsidRPr="002715F2">
        <w:rPr>
          <w:rFonts w:eastAsia="Batang"/>
          <w:lang w:val="fr-FR"/>
        </w:rPr>
        <w:t xml:space="preserve">Le 16 octobre 2008, </w:t>
      </w:r>
      <w:r w:rsidR="009F036D" w:rsidRPr="002715F2">
        <w:rPr>
          <w:rFonts w:eastAsia="Batang"/>
          <w:lang w:val="fr-FR"/>
        </w:rPr>
        <w:t>il</w:t>
      </w:r>
      <w:r w:rsidR="00114F74" w:rsidRPr="002715F2">
        <w:rPr>
          <w:rFonts w:eastAsia="Batang"/>
          <w:lang w:val="fr-FR"/>
        </w:rPr>
        <w:t xml:space="preserve"> a retiré </w:t>
      </w:r>
      <w:r w:rsidR="0063642E" w:rsidRPr="002715F2">
        <w:rPr>
          <w:rFonts w:eastAsia="Batang"/>
          <w:lang w:val="fr-FR"/>
        </w:rPr>
        <w:t>sa</w:t>
      </w:r>
      <w:r w:rsidR="00114F74" w:rsidRPr="002715F2">
        <w:rPr>
          <w:rFonts w:eastAsia="Batang"/>
          <w:lang w:val="fr-FR"/>
        </w:rPr>
        <w:t xml:space="preserve"> réserve concernant</w:t>
      </w:r>
      <w:r w:rsidR="00707F1F" w:rsidRPr="002715F2">
        <w:rPr>
          <w:rFonts w:eastAsia="Batang"/>
          <w:lang w:val="fr-FR"/>
        </w:rPr>
        <w:t xml:space="preserve"> </w:t>
      </w:r>
      <w:r w:rsidR="0063642E" w:rsidRPr="002715F2">
        <w:rPr>
          <w:rFonts w:eastAsia="Batang"/>
          <w:lang w:val="fr-FR"/>
        </w:rPr>
        <w:t xml:space="preserve">le paragraphe 3 de </w:t>
      </w:r>
      <w:r w:rsidR="00C87A6A" w:rsidRPr="002715F2">
        <w:rPr>
          <w:rFonts w:eastAsia="Batang"/>
          <w:lang w:val="fr-FR"/>
        </w:rPr>
        <w:t xml:space="preserve">l’article 9 de </w:t>
      </w:r>
      <w:r w:rsidR="00707F1F" w:rsidRPr="002715F2">
        <w:rPr>
          <w:rFonts w:eastAsia="Batang"/>
          <w:lang w:val="fr-FR"/>
        </w:rPr>
        <w:t>la</w:t>
      </w:r>
      <w:r w:rsidR="00114F74" w:rsidRPr="002715F2">
        <w:rPr>
          <w:rFonts w:eastAsia="Batang"/>
          <w:lang w:val="fr-FR"/>
        </w:rPr>
        <w:t xml:space="preserve"> </w:t>
      </w:r>
      <w:r w:rsidR="00707F1F" w:rsidRPr="002715F2">
        <w:rPr>
          <w:rFonts w:eastAsia="Batang"/>
          <w:lang w:val="fr-FR"/>
        </w:rPr>
        <w:t>Convention relative aux droits de l’enfant</w:t>
      </w:r>
      <w:r w:rsidR="00714D73" w:rsidRPr="002715F2">
        <w:rPr>
          <w:rFonts w:eastAsia="Batang"/>
          <w:lang w:val="fr-FR"/>
        </w:rPr>
        <w:t>, qui dispose</w:t>
      </w:r>
      <w:r w:rsidR="00707F1F" w:rsidRPr="002715F2">
        <w:rPr>
          <w:lang w:val="fr-FR" w:eastAsia="en-GB"/>
        </w:rPr>
        <w:t xml:space="preserve"> </w:t>
      </w:r>
      <w:r w:rsidR="00C87A6A" w:rsidRPr="002715F2">
        <w:rPr>
          <w:rFonts w:eastAsia="Batang"/>
          <w:lang w:val="fr-FR"/>
        </w:rPr>
        <w:t>que tout</w:t>
      </w:r>
      <w:r w:rsidR="00707F1F" w:rsidRPr="002715F2">
        <w:rPr>
          <w:rFonts w:eastAsia="Batang"/>
          <w:lang w:val="fr-FR"/>
        </w:rPr>
        <w:t xml:space="preserve"> enfant </w:t>
      </w:r>
      <w:r w:rsidR="0039617D" w:rsidRPr="002715F2">
        <w:rPr>
          <w:rFonts w:eastAsia="Batang"/>
          <w:lang w:val="fr-FR"/>
        </w:rPr>
        <w:t>a</w:t>
      </w:r>
      <w:r w:rsidR="00C87A6A" w:rsidRPr="002715F2">
        <w:rPr>
          <w:rFonts w:eastAsia="Batang"/>
          <w:lang w:val="fr-FR"/>
        </w:rPr>
        <w:t xml:space="preserve"> le droit </w:t>
      </w:r>
      <w:r w:rsidR="00707F1F" w:rsidRPr="002715F2">
        <w:rPr>
          <w:rFonts w:eastAsia="Batang"/>
          <w:lang w:val="fr-FR"/>
        </w:rPr>
        <w:t>d</w:t>
      </w:r>
      <w:r w:rsidR="00707F1F" w:rsidRPr="002715F2">
        <w:rPr>
          <w:lang w:val="fr-FR"/>
        </w:rPr>
        <w:t>’</w:t>
      </w:r>
      <w:r w:rsidR="00707F1F" w:rsidRPr="002715F2">
        <w:rPr>
          <w:rFonts w:eastAsia="Batang"/>
          <w:lang w:val="fr-FR"/>
        </w:rPr>
        <w:t xml:space="preserve">entretenir des contacts </w:t>
      </w:r>
      <w:r w:rsidR="0063642E" w:rsidRPr="002715F2">
        <w:rPr>
          <w:rFonts w:eastAsia="Batang"/>
          <w:lang w:val="fr-FR"/>
        </w:rPr>
        <w:t xml:space="preserve">avec ses </w:t>
      </w:r>
      <w:r w:rsidR="001A3CB9" w:rsidRPr="002715F2">
        <w:rPr>
          <w:rFonts w:eastAsia="Batang"/>
          <w:lang w:val="fr-FR"/>
        </w:rPr>
        <w:t xml:space="preserve">deux </w:t>
      </w:r>
      <w:r w:rsidR="00707F1F" w:rsidRPr="002715F2">
        <w:rPr>
          <w:rFonts w:eastAsia="Batang"/>
          <w:lang w:val="fr-FR"/>
        </w:rPr>
        <w:t>parents</w:t>
      </w:r>
      <w:r w:rsidR="00C87A6A" w:rsidRPr="002715F2">
        <w:rPr>
          <w:lang w:val="fr-FR" w:eastAsia="en-GB"/>
        </w:rPr>
        <w:t xml:space="preserve">. </w:t>
      </w:r>
      <w:r w:rsidR="00714D73" w:rsidRPr="002715F2">
        <w:rPr>
          <w:rFonts w:eastAsia="Batang"/>
          <w:lang w:val="fr-FR"/>
        </w:rPr>
        <w:t>Le</w:t>
      </w:r>
      <w:r w:rsidR="00AA472B" w:rsidRPr="002715F2">
        <w:rPr>
          <w:rFonts w:eastAsia="Batang"/>
          <w:lang w:val="fr-FR"/>
        </w:rPr>
        <w:t xml:space="preserve"> 8</w:t>
      </w:r>
      <w:r w:rsidR="00714D73" w:rsidRPr="002715F2">
        <w:rPr>
          <w:rFonts w:eastAsia="Batang"/>
          <w:lang w:val="fr-FR"/>
        </w:rPr>
        <w:t> s</w:t>
      </w:r>
      <w:r w:rsidR="00AA472B" w:rsidRPr="002715F2">
        <w:rPr>
          <w:rFonts w:eastAsia="Batang"/>
          <w:lang w:val="fr-FR"/>
        </w:rPr>
        <w:t>eptemb</w:t>
      </w:r>
      <w:r w:rsidR="008B10E4" w:rsidRPr="002715F2">
        <w:rPr>
          <w:rFonts w:eastAsia="Batang"/>
          <w:lang w:val="fr-FR"/>
        </w:rPr>
        <w:t>r</w:t>
      </w:r>
      <w:r w:rsidR="00AA472B" w:rsidRPr="002715F2">
        <w:rPr>
          <w:rFonts w:eastAsia="Batang"/>
          <w:lang w:val="fr-FR"/>
        </w:rPr>
        <w:t>e 2009</w:t>
      </w:r>
      <w:r w:rsidR="00714D73" w:rsidRPr="002715F2">
        <w:rPr>
          <w:rFonts w:eastAsia="Batang"/>
          <w:lang w:val="fr-FR"/>
        </w:rPr>
        <w:t xml:space="preserve">, il a également retiré sa réserve </w:t>
      </w:r>
      <w:r w:rsidR="0063642E" w:rsidRPr="002715F2">
        <w:rPr>
          <w:rFonts w:eastAsia="Batang"/>
          <w:lang w:val="fr-FR"/>
        </w:rPr>
        <w:t>au sujet de la dispense de réciprocité pr</w:t>
      </w:r>
      <w:r w:rsidR="00E96451" w:rsidRPr="002715F2">
        <w:rPr>
          <w:rFonts w:eastAsia="Batang"/>
          <w:lang w:val="fr-FR"/>
        </w:rPr>
        <w:t>é</w:t>
      </w:r>
      <w:r w:rsidR="0063642E" w:rsidRPr="002715F2">
        <w:rPr>
          <w:rFonts w:eastAsia="Batang"/>
          <w:lang w:val="fr-FR"/>
        </w:rPr>
        <w:t>vue par</w:t>
      </w:r>
      <w:r w:rsidR="00714D73" w:rsidRPr="002715F2">
        <w:rPr>
          <w:rFonts w:eastAsia="Batang"/>
          <w:lang w:val="fr-FR"/>
        </w:rPr>
        <w:t xml:space="preserve"> l’article 7 de la Convention relative au statut des réfugiés.</w:t>
      </w:r>
    </w:p>
    <w:p w:rsidR="000078DA" w:rsidRPr="002715F2" w:rsidRDefault="00643BBE" w:rsidP="008B10E4">
      <w:pPr>
        <w:pStyle w:val="H4G"/>
        <w:rPr>
          <w:rFonts w:eastAsia="Batang"/>
          <w:lang w:val="fr-FR" w:eastAsia="ko-KR"/>
        </w:rPr>
      </w:pPr>
      <w:r w:rsidRPr="002715F2">
        <w:rPr>
          <w:rFonts w:eastAsia="Batang"/>
          <w:lang w:val="fr-FR" w:eastAsia="ko-KR"/>
        </w:rPr>
        <w:tab/>
      </w:r>
      <w:r w:rsidRPr="002715F2">
        <w:rPr>
          <w:rFonts w:eastAsia="Batang"/>
          <w:lang w:val="fr-FR" w:eastAsia="ko-KR"/>
        </w:rPr>
        <w:tab/>
      </w:r>
      <w:r w:rsidR="008B10E4" w:rsidRPr="002715F2">
        <w:rPr>
          <w:rFonts w:eastAsia="Batang"/>
          <w:lang w:val="fr-FR" w:eastAsia="ko-KR"/>
        </w:rPr>
        <w:t xml:space="preserve">Principales promulgations et </w:t>
      </w:r>
      <w:r w:rsidR="0039617D" w:rsidRPr="002715F2">
        <w:rPr>
          <w:rFonts w:eastAsia="Batang"/>
          <w:lang w:val="fr-FR" w:eastAsia="ko-KR"/>
        </w:rPr>
        <w:t>modifications</w:t>
      </w:r>
      <w:r w:rsidR="008B10E4" w:rsidRPr="002715F2">
        <w:rPr>
          <w:rFonts w:eastAsia="Batang"/>
          <w:lang w:val="fr-FR" w:eastAsia="ko-KR"/>
        </w:rPr>
        <w:t xml:space="preserve"> de lois</w:t>
      </w:r>
    </w:p>
    <w:p w:rsidR="000078DA" w:rsidRPr="002715F2" w:rsidRDefault="007026FB" w:rsidP="007026FB">
      <w:pPr>
        <w:pStyle w:val="SingleTxtG"/>
        <w:rPr>
          <w:rFonts w:eastAsia="Batang"/>
          <w:lang w:val="fr-FR"/>
        </w:rPr>
      </w:pPr>
      <w:r w:rsidRPr="002715F2">
        <w:rPr>
          <w:rFonts w:eastAsia="Batang"/>
          <w:lang w:val="fr-FR"/>
        </w:rPr>
        <w:t>210.</w:t>
      </w:r>
      <w:r w:rsidRPr="002715F2">
        <w:rPr>
          <w:rFonts w:eastAsia="Batang"/>
          <w:lang w:val="fr-FR"/>
        </w:rPr>
        <w:tab/>
      </w:r>
      <w:r w:rsidR="003E52DE" w:rsidRPr="002715F2">
        <w:rPr>
          <w:rFonts w:eastAsia="Batang"/>
          <w:lang w:val="fr-FR"/>
        </w:rPr>
        <w:t>Entre 2006 et</w:t>
      </w:r>
      <w:r w:rsidR="000078DA" w:rsidRPr="002715F2">
        <w:rPr>
          <w:rFonts w:eastAsia="Batang"/>
          <w:lang w:val="fr-FR"/>
        </w:rPr>
        <w:t xml:space="preserve"> 2015, </w:t>
      </w:r>
      <w:r w:rsidR="003E52DE" w:rsidRPr="002715F2">
        <w:rPr>
          <w:rFonts w:eastAsia="Batang"/>
          <w:lang w:val="fr-FR"/>
        </w:rPr>
        <w:t>les lois suivantes ont été promulguées</w:t>
      </w:r>
      <w:r w:rsidR="00E97B1A" w:rsidRPr="002715F2">
        <w:rPr>
          <w:rFonts w:eastAsia="Batang"/>
          <w:lang w:val="fr-FR"/>
        </w:rPr>
        <w:t>:</w:t>
      </w:r>
      <w:r w:rsidR="003E52DE" w:rsidRPr="002715F2">
        <w:rPr>
          <w:rFonts w:eastAsia="Batang"/>
          <w:lang w:val="fr-FR"/>
        </w:rPr>
        <w:t xml:space="preserve"> </w:t>
      </w:r>
      <w:r w:rsidR="003E52DE" w:rsidRPr="002715F2">
        <w:rPr>
          <w:rFonts w:eastAsia="Batang"/>
          <w:lang w:val="fr-FR" w:eastAsia="ko-KR"/>
        </w:rPr>
        <w:t xml:space="preserve">la loi sur la répression des </w:t>
      </w:r>
      <w:r w:rsidR="00855A64" w:rsidRPr="002715F2">
        <w:rPr>
          <w:rFonts w:eastAsia="Batang"/>
          <w:lang w:val="fr-FR" w:eastAsia="ko-KR"/>
        </w:rPr>
        <w:t xml:space="preserve">délits </w:t>
      </w:r>
      <w:r w:rsidR="003E52DE" w:rsidRPr="002715F2">
        <w:rPr>
          <w:rFonts w:eastAsia="Batang"/>
          <w:lang w:val="fr-FR" w:eastAsia="ko-KR"/>
        </w:rPr>
        <w:t>relevant de la compétence de la Cour pénale internationale</w:t>
      </w:r>
      <w:r w:rsidR="003E52DE" w:rsidRPr="002715F2">
        <w:rPr>
          <w:rFonts w:eastAsia="Batang"/>
          <w:lang w:val="fr-FR"/>
        </w:rPr>
        <w:t xml:space="preserve">, la loi </w:t>
      </w:r>
      <w:r w:rsidR="003E52DE" w:rsidRPr="002715F2">
        <w:rPr>
          <w:rFonts w:eastAsia="Batang"/>
          <w:iCs/>
          <w:lang w:val="fr-FR" w:eastAsia="ko-KR"/>
        </w:rPr>
        <w:t>relative à l’encadrement des activités des agences matrimoniales</w:t>
      </w:r>
      <w:r w:rsidR="003E52DE" w:rsidRPr="002715F2">
        <w:rPr>
          <w:rFonts w:eastAsia="Batang"/>
          <w:lang w:val="fr-FR"/>
        </w:rPr>
        <w:t>, la loi sur le fon</w:t>
      </w:r>
      <w:r w:rsidR="0052055B" w:rsidRPr="002715F2">
        <w:rPr>
          <w:rFonts w:eastAsia="Batang"/>
          <w:lang w:val="fr-FR"/>
        </w:rPr>
        <w:t>ds de protection des victimes d’actes criminels</w:t>
      </w:r>
      <w:r w:rsidR="003E52DE" w:rsidRPr="002715F2">
        <w:rPr>
          <w:rFonts w:eastAsia="Batang"/>
          <w:lang w:val="fr-FR"/>
        </w:rPr>
        <w:t>, la loi sur les réfugiés et la loi sur les cas spéciaux relatifs à la répression de la maltraitance des enfants</w:t>
      </w:r>
      <w:r w:rsidR="000078DA" w:rsidRPr="002715F2">
        <w:rPr>
          <w:rFonts w:eastAsia="Batang"/>
          <w:lang w:val="fr-FR"/>
        </w:rPr>
        <w:t xml:space="preserve">. </w:t>
      </w:r>
      <w:r w:rsidR="00BF5DE9" w:rsidRPr="002715F2">
        <w:rPr>
          <w:rFonts w:eastAsia="Batang"/>
          <w:lang w:val="fr-FR"/>
        </w:rPr>
        <w:t>On s</w:t>
      </w:r>
      <w:r w:rsidR="003E52DE" w:rsidRPr="002715F2">
        <w:rPr>
          <w:rFonts w:eastAsia="Batang"/>
          <w:lang w:val="fr-FR"/>
        </w:rPr>
        <w:t>e reporter</w:t>
      </w:r>
      <w:r w:rsidR="00BF5DE9" w:rsidRPr="002715F2">
        <w:rPr>
          <w:rFonts w:eastAsia="Batang"/>
          <w:lang w:val="fr-FR"/>
        </w:rPr>
        <w:t>a</w:t>
      </w:r>
      <w:r w:rsidR="003E52DE" w:rsidRPr="002715F2">
        <w:rPr>
          <w:rFonts w:eastAsia="Batang"/>
          <w:lang w:val="fr-FR"/>
        </w:rPr>
        <w:t xml:space="preserve"> aux paragraphes 4 et 135 du présent rapport pour plus de renseignements </w:t>
      </w:r>
      <w:r w:rsidR="00BF5DE9" w:rsidRPr="002715F2">
        <w:rPr>
          <w:rFonts w:eastAsia="Batang"/>
          <w:lang w:val="fr-FR"/>
        </w:rPr>
        <w:t>concernant</w:t>
      </w:r>
      <w:r w:rsidR="003E52DE" w:rsidRPr="002715F2">
        <w:rPr>
          <w:rFonts w:eastAsia="Batang"/>
          <w:lang w:val="fr-FR"/>
        </w:rPr>
        <w:t xml:space="preserve"> la </w:t>
      </w:r>
      <w:r w:rsidR="003E52DE" w:rsidRPr="002715F2">
        <w:rPr>
          <w:rFonts w:eastAsia="Batang"/>
          <w:lang w:val="fr-FR" w:eastAsia="ko-KR"/>
        </w:rPr>
        <w:t xml:space="preserve">loi sur la répression des </w:t>
      </w:r>
      <w:r w:rsidR="00855A64" w:rsidRPr="002715F2">
        <w:rPr>
          <w:rFonts w:eastAsia="Batang"/>
          <w:lang w:val="fr-FR" w:eastAsia="ko-KR"/>
        </w:rPr>
        <w:t xml:space="preserve">délits </w:t>
      </w:r>
      <w:r w:rsidR="003E52DE" w:rsidRPr="002715F2">
        <w:rPr>
          <w:rFonts w:eastAsia="Batang"/>
          <w:lang w:val="fr-FR" w:eastAsia="ko-KR"/>
        </w:rPr>
        <w:t>relevant de la compétence de la Cour pénale internationale</w:t>
      </w:r>
      <w:r w:rsidR="003E52DE" w:rsidRPr="002715F2">
        <w:rPr>
          <w:rFonts w:eastAsia="Batang"/>
          <w:lang w:val="fr-FR"/>
        </w:rPr>
        <w:t xml:space="preserve">, au paragraphe 79 pour la loi </w:t>
      </w:r>
      <w:r w:rsidR="003E52DE" w:rsidRPr="002715F2">
        <w:rPr>
          <w:rFonts w:eastAsia="Batang"/>
          <w:iCs/>
          <w:lang w:val="fr-FR" w:eastAsia="ko-KR"/>
        </w:rPr>
        <w:t>relative à l’encadrement des activités des agences matrimoniales</w:t>
      </w:r>
      <w:r w:rsidR="003E52DE" w:rsidRPr="002715F2">
        <w:rPr>
          <w:rFonts w:eastAsia="Batang"/>
          <w:lang w:val="fr-FR"/>
        </w:rPr>
        <w:t xml:space="preserve"> </w:t>
      </w:r>
      <w:r w:rsidR="00A613A1" w:rsidRPr="002715F2">
        <w:rPr>
          <w:rFonts w:eastAsia="Batang"/>
          <w:lang w:val="fr-FR"/>
        </w:rPr>
        <w:t xml:space="preserve">et </w:t>
      </w:r>
      <w:r w:rsidR="003E52DE" w:rsidRPr="002715F2">
        <w:rPr>
          <w:rFonts w:eastAsia="Batang"/>
          <w:lang w:val="fr-FR"/>
        </w:rPr>
        <w:t xml:space="preserve">au paragraphe 198 pour </w:t>
      </w:r>
      <w:r w:rsidR="00A613A1" w:rsidRPr="002715F2">
        <w:rPr>
          <w:rFonts w:eastAsia="Batang"/>
          <w:lang w:val="fr-FR"/>
        </w:rPr>
        <w:t>la loi sur les cas spéciaux relatifs à la répression de la maltraitance des enfants</w:t>
      </w:r>
      <w:r w:rsidR="00AA472B"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211.</w:t>
      </w:r>
      <w:r w:rsidRPr="002715F2">
        <w:rPr>
          <w:rFonts w:eastAsia="Batang"/>
          <w:lang w:val="fr-FR"/>
        </w:rPr>
        <w:tab/>
      </w:r>
      <w:r w:rsidR="001905F8" w:rsidRPr="002715F2">
        <w:rPr>
          <w:rFonts w:eastAsia="Batang"/>
          <w:lang w:val="fr-FR"/>
        </w:rPr>
        <w:t xml:space="preserve">La loi sur les réfugiés a été </w:t>
      </w:r>
      <w:r w:rsidR="00420D25" w:rsidRPr="002715F2">
        <w:rPr>
          <w:rFonts w:eastAsia="Batang"/>
          <w:lang w:val="fr-FR"/>
        </w:rPr>
        <w:t>adoptée</w:t>
      </w:r>
      <w:r w:rsidR="001905F8" w:rsidRPr="002715F2">
        <w:rPr>
          <w:rFonts w:eastAsia="Batang"/>
          <w:lang w:val="fr-FR"/>
        </w:rPr>
        <w:t xml:space="preserve"> le 10 février 2012 afin de </w:t>
      </w:r>
      <w:r w:rsidR="00420D25" w:rsidRPr="002715F2">
        <w:rPr>
          <w:rFonts w:eastAsia="Batang"/>
          <w:lang w:val="fr-FR"/>
        </w:rPr>
        <w:t>respecter les</w:t>
      </w:r>
      <w:r w:rsidR="009762A8" w:rsidRPr="002715F2">
        <w:rPr>
          <w:rFonts w:eastAsia="Batang"/>
          <w:lang w:val="fr-FR"/>
        </w:rPr>
        <w:t xml:space="preserve"> normes internationales, notamment </w:t>
      </w:r>
      <w:r w:rsidR="001905F8" w:rsidRPr="002715F2">
        <w:rPr>
          <w:rFonts w:eastAsia="Batang"/>
          <w:lang w:val="fr-FR"/>
        </w:rPr>
        <w:t xml:space="preserve">la Convention </w:t>
      </w:r>
      <w:r w:rsidR="009762A8" w:rsidRPr="002715F2">
        <w:rPr>
          <w:rFonts w:eastAsia="Batang"/>
          <w:lang w:val="fr-FR"/>
        </w:rPr>
        <w:t>relative au statut d</w:t>
      </w:r>
      <w:r w:rsidR="001905F8" w:rsidRPr="002715F2">
        <w:rPr>
          <w:rFonts w:eastAsia="Batang"/>
          <w:lang w:val="fr-FR"/>
        </w:rPr>
        <w:t xml:space="preserve">es réfugiés, </w:t>
      </w:r>
      <w:r w:rsidR="00420D25" w:rsidRPr="002715F2">
        <w:rPr>
          <w:rFonts w:eastAsia="Batang"/>
          <w:lang w:val="fr-FR"/>
        </w:rPr>
        <w:t>s’agissant</w:t>
      </w:r>
      <w:r w:rsidR="001905F8" w:rsidRPr="002715F2">
        <w:rPr>
          <w:rFonts w:eastAsia="Batang"/>
          <w:lang w:val="fr-FR"/>
        </w:rPr>
        <w:t xml:space="preserve"> </w:t>
      </w:r>
      <w:r w:rsidR="00420D25" w:rsidRPr="002715F2">
        <w:rPr>
          <w:rFonts w:eastAsia="Batang"/>
          <w:lang w:val="fr-FR"/>
        </w:rPr>
        <w:t xml:space="preserve">des </w:t>
      </w:r>
      <w:r w:rsidR="001905F8" w:rsidRPr="002715F2">
        <w:rPr>
          <w:rFonts w:eastAsia="Batang"/>
          <w:lang w:val="fr-FR"/>
        </w:rPr>
        <w:t>proc</w:t>
      </w:r>
      <w:r w:rsidR="006F0401" w:rsidRPr="002715F2">
        <w:rPr>
          <w:rFonts w:eastAsia="Batang"/>
          <w:lang w:val="fr-FR"/>
        </w:rPr>
        <w:t>é</w:t>
      </w:r>
      <w:r w:rsidR="001905F8" w:rsidRPr="002715F2">
        <w:rPr>
          <w:rFonts w:eastAsia="Batang"/>
          <w:lang w:val="fr-FR"/>
        </w:rPr>
        <w:t xml:space="preserve">dures de demande d’asile et </w:t>
      </w:r>
      <w:r w:rsidR="009762A8" w:rsidRPr="002715F2">
        <w:rPr>
          <w:rFonts w:eastAsia="Batang"/>
          <w:lang w:val="fr-FR"/>
        </w:rPr>
        <w:t>d</w:t>
      </w:r>
      <w:r w:rsidR="00420D25" w:rsidRPr="002715F2">
        <w:rPr>
          <w:rFonts w:eastAsia="Batang"/>
          <w:lang w:val="fr-FR"/>
        </w:rPr>
        <w:t>u</w:t>
      </w:r>
      <w:r w:rsidR="001905F8" w:rsidRPr="002715F2">
        <w:rPr>
          <w:rFonts w:eastAsia="Batang"/>
          <w:lang w:val="fr-FR"/>
        </w:rPr>
        <w:t xml:space="preserve"> traitement des réfugiés</w:t>
      </w:r>
      <w:r w:rsidR="000078DA" w:rsidRPr="002715F2">
        <w:rPr>
          <w:rFonts w:eastAsia="Batang"/>
          <w:lang w:val="fr-FR"/>
        </w:rPr>
        <w:t xml:space="preserve">. </w:t>
      </w:r>
      <w:r w:rsidR="00420D25" w:rsidRPr="002715F2">
        <w:rPr>
          <w:rFonts w:eastAsia="Batang"/>
          <w:lang w:val="fr-FR"/>
        </w:rPr>
        <w:t>Elle devrait contribuer de façon significative à résoudre les difficultés relatives à l’équité, la rapidité et la transparence des procédures d’octroi du statut de réfugié</w:t>
      </w:r>
      <w:r w:rsidR="003E5F4B" w:rsidRPr="002715F2">
        <w:rPr>
          <w:rFonts w:eastAsia="Batang"/>
          <w:lang w:val="fr-FR"/>
        </w:rPr>
        <w:t>, ainsi qu’</w:t>
      </w:r>
      <w:r w:rsidR="00420D25" w:rsidRPr="002715F2">
        <w:rPr>
          <w:rFonts w:eastAsia="Batang"/>
          <w:lang w:val="fr-FR"/>
        </w:rPr>
        <w:t>au traitement des réfugiés</w:t>
      </w:r>
      <w:r w:rsidR="000078DA" w:rsidRPr="002715F2">
        <w:rPr>
          <w:rFonts w:eastAsia="Batang"/>
          <w:lang w:val="fr-FR"/>
        </w:rPr>
        <w:t xml:space="preserve">. </w:t>
      </w:r>
      <w:r w:rsidR="008302E2" w:rsidRPr="002715F2">
        <w:rPr>
          <w:rFonts w:eastAsia="Batang"/>
          <w:lang w:val="fr-FR"/>
        </w:rPr>
        <w:t xml:space="preserve">La loi accorde à tout demandeur d’asile le droit d’être assisté par un avocat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12)</w:t>
      </w:r>
      <w:r w:rsidR="00DA2F62" w:rsidRPr="002715F2">
        <w:rPr>
          <w:rFonts w:eastAsia="Batang"/>
          <w:lang w:val="fr-FR"/>
        </w:rPr>
        <w:t>,</w:t>
      </w:r>
      <w:r w:rsidR="000078DA" w:rsidRPr="002715F2">
        <w:rPr>
          <w:rFonts w:eastAsia="Batang"/>
          <w:lang w:val="fr-FR"/>
        </w:rPr>
        <w:t xml:space="preserve"> </w:t>
      </w:r>
      <w:r w:rsidR="00DA2F62" w:rsidRPr="002715F2">
        <w:rPr>
          <w:rFonts w:eastAsia="Batang"/>
          <w:lang w:val="fr-FR"/>
        </w:rPr>
        <w:t xml:space="preserve">d’être accompagné par une personne de confiance </w:t>
      </w:r>
      <w:r w:rsidR="003E5F4B" w:rsidRPr="002715F2">
        <w:rPr>
          <w:rFonts w:eastAsia="Batang"/>
          <w:lang w:val="fr-FR"/>
        </w:rPr>
        <w:t>pendant</w:t>
      </w:r>
      <w:r w:rsidR="00DA2F62" w:rsidRPr="002715F2">
        <w:rPr>
          <w:rFonts w:eastAsia="Batang"/>
          <w:lang w:val="fr-FR"/>
        </w:rPr>
        <w:t xml:space="preserve"> </w:t>
      </w:r>
      <w:r w:rsidR="003E5F4B" w:rsidRPr="002715F2">
        <w:rPr>
          <w:rFonts w:eastAsia="Batang"/>
          <w:lang w:val="fr-FR"/>
        </w:rPr>
        <w:t>son</w:t>
      </w:r>
      <w:r w:rsidR="00DA2F62" w:rsidRPr="002715F2">
        <w:rPr>
          <w:rFonts w:eastAsia="Batang"/>
          <w:lang w:val="fr-FR"/>
        </w:rPr>
        <w:t xml:space="preserve"> audition</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 xml:space="preserve">13) </w:t>
      </w:r>
      <w:r w:rsidR="00DA2F62" w:rsidRPr="002715F2">
        <w:rPr>
          <w:rFonts w:eastAsia="Batang"/>
          <w:lang w:val="fr-FR"/>
        </w:rPr>
        <w:t xml:space="preserve">et de bénéficier des services d’un interprète </w:t>
      </w:r>
      <w:r w:rsidR="003E5F4B" w:rsidRPr="002715F2">
        <w:rPr>
          <w:rFonts w:eastAsia="Batang"/>
          <w:lang w:val="fr-FR"/>
        </w:rPr>
        <w:t>lors son</w:t>
      </w:r>
      <w:r w:rsidR="00DA2F62" w:rsidRPr="002715F2">
        <w:rPr>
          <w:rFonts w:eastAsia="Batang"/>
          <w:lang w:val="fr-FR"/>
        </w:rPr>
        <w:t xml:space="preserve"> audition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 xml:space="preserve">14). </w:t>
      </w:r>
      <w:r w:rsidR="003E5F4B" w:rsidRPr="002715F2">
        <w:rPr>
          <w:rFonts w:eastAsia="Batang"/>
          <w:lang w:val="fr-FR"/>
        </w:rPr>
        <w:t xml:space="preserve">Cette loi </w:t>
      </w:r>
      <w:r w:rsidR="00E83686" w:rsidRPr="002715F2">
        <w:rPr>
          <w:rFonts w:eastAsia="Batang"/>
          <w:lang w:val="fr-FR"/>
        </w:rPr>
        <w:t>pose les fondements juridiques</w:t>
      </w:r>
      <w:r w:rsidR="004C2082" w:rsidRPr="002715F2">
        <w:rPr>
          <w:rFonts w:eastAsia="Batang"/>
          <w:lang w:val="fr-FR"/>
        </w:rPr>
        <w:t xml:space="preserve"> </w:t>
      </w:r>
      <w:r w:rsidR="003E5F4B" w:rsidRPr="002715F2">
        <w:rPr>
          <w:rFonts w:eastAsia="Batang"/>
          <w:lang w:val="fr-FR"/>
        </w:rPr>
        <w:t xml:space="preserve">de la sécurité sociale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31)</w:t>
      </w:r>
      <w:r w:rsidR="00BF5DE9" w:rsidRPr="002715F2">
        <w:rPr>
          <w:rFonts w:eastAsia="Batang"/>
          <w:lang w:val="fr-FR"/>
        </w:rPr>
        <w:t>,</w:t>
      </w:r>
      <w:r w:rsidR="00E725A2" w:rsidRPr="002715F2">
        <w:rPr>
          <w:rFonts w:eastAsia="Batang"/>
          <w:lang w:val="fr-FR"/>
        </w:rPr>
        <w:t xml:space="preserve"> </w:t>
      </w:r>
      <w:r w:rsidR="00BF5DE9" w:rsidRPr="002715F2">
        <w:rPr>
          <w:rFonts w:eastAsia="Batang"/>
          <w:lang w:val="fr-FR"/>
        </w:rPr>
        <w:t xml:space="preserve">de la </w:t>
      </w:r>
      <w:r w:rsidR="00665B26" w:rsidRPr="002715F2">
        <w:rPr>
          <w:rFonts w:eastAsia="Batang"/>
          <w:lang w:val="fr-FR"/>
        </w:rPr>
        <w:t>sécurité</w:t>
      </w:r>
      <w:r w:rsidR="000078DA" w:rsidRPr="002715F2">
        <w:rPr>
          <w:rFonts w:eastAsia="Batang"/>
          <w:lang w:val="fr-FR"/>
        </w:rPr>
        <w:t xml:space="preserve"> </w:t>
      </w:r>
      <w:r w:rsidR="003E5F4B" w:rsidRPr="002715F2">
        <w:rPr>
          <w:rFonts w:eastAsia="Batang"/>
          <w:lang w:val="fr-FR"/>
        </w:rPr>
        <w:t xml:space="preserve">des moyens de subsistance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 xml:space="preserve">32) </w:t>
      </w:r>
      <w:r w:rsidR="003E5F4B" w:rsidRPr="002715F2">
        <w:rPr>
          <w:rFonts w:eastAsia="Batang"/>
          <w:lang w:val="fr-FR"/>
        </w:rPr>
        <w:t xml:space="preserve">et </w:t>
      </w:r>
      <w:r w:rsidR="00BF5DE9" w:rsidRPr="002715F2">
        <w:rPr>
          <w:rFonts w:eastAsia="Batang"/>
          <w:lang w:val="fr-FR"/>
        </w:rPr>
        <w:t xml:space="preserve">de </w:t>
      </w:r>
      <w:r w:rsidR="003E5F4B" w:rsidRPr="002715F2">
        <w:rPr>
          <w:rFonts w:eastAsia="Batang"/>
          <w:lang w:val="fr-FR"/>
        </w:rPr>
        <w:t xml:space="preserve">l’accès </w:t>
      </w:r>
      <w:r w:rsidR="00665B26" w:rsidRPr="002715F2">
        <w:rPr>
          <w:rFonts w:eastAsia="Batang"/>
          <w:lang w:val="fr-FR"/>
        </w:rPr>
        <w:t xml:space="preserve">garanti </w:t>
      </w:r>
      <w:r w:rsidR="003E5F4B" w:rsidRPr="002715F2">
        <w:rPr>
          <w:rFonts w:eastAsia="Batang"/>
          <w:lang w:val="fr-FR"/>
        </w:rPr>
        <w:t xml:space="preserve">à </w:t>
      </w:r>
      <w:r w:rsidR="00E725A2" w:rsidRPr="002715F2">
        <w:rPr>
          <w:rFonts w:eastAsia="Batang"/>
          <w:lang w:val="fr-FR"/>
        </w:rPr>
        <w:t>l’enseignement</w:t>
      </w:r>
      <w:r w:rsidR="003E5F4B" w:rsidRPr="002715F2">
        <w:rPr>
          <w:rFonts w:eastAsia="Batang"/>
          <w:lang w:val="fr-FR"/>
        </w:rPr>
        <w:t xml:space="preserve"> primaire</w:t>
      </w:r>
      <w:r w:rsidR="000078DA" w:rsidRPr="002715F2">
        <w:rPr>
          <w:rFonts w:eastAsia="Batang"/>
          <w:lang w:val="fr-FR"/>
        </w:rPr>
        <w:t xml:space="preserve"> </w:t>
      </w:r>
      <w:r w:rsidR="003E5F4B" w:rsidRPr="002715F2">
        <w:rPr>
          <w:rFonts w:eastAsia="Batang"/>
          <w:lang w:val="fr-FR"/>
        </w:rPr>
        <w:t>et</w:t>
      </w:r>
      <w:r w:rsidR="000078DA" w:rsidRPr="002715F2">
        <w:rPr>
          <w:rFonts w:eastAsia="Batang"/>
          <w:lang w:val="fr-FR"/>
        </w:rPr>
        <w:t xml:space="preserve"> seconda</w:t>
      </w:r>
      <w:r w:rsidR="003E5F4B" w:rsidRPr="002715F2">
        <w:rPr>
          <w:rFonts w:eastAsia="Batang"/>
          <w:lang w:val="fr-FR"/>
        </w:rPr>
        <w:t>ire</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33</w:t>
      </w:r>
      <w:r w:rsidR="003E5F4B"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0078DA" w:rsidRPr="002715F2">
        <w:rPr>
          <w:rFonts w:eastAsia="Batang"/>
          <w:lang w:val="fr-FR"/>
        </w:rPr>
        <w:t xml:space="preserve">1) </w:t>
      </w:r>
      <w:r w:rsidR="003E5F4B" w:rsidRPr="002715F2">
        <w:rPr>
          <w:rFonts w:eastAsia="Batang"/>
          <w:lang w:val="fr-FR"/>
        </w:rPr>
        <w:t>pour les réfugié</w:t>
      </w:r>
      <w:r w:rsidR="004C2082" w:rsidRPr="002715F2">
        <w:rPr>
          <w:rFonts w:eastAsia="Batang"/>
          <w:lang w:val="fr-FR"/>
        </w:rPr>
        <w:t>s statutaires</w:t>
      </w:r>
      <w:r w:rsidR="000078DA" w:rsidRPr="002715F2">
        <w:rPr>
          <w:rFonts w:eastAsia="Batang"/>
          <w:lang w:val="fr-FR"/>
        </w:rPr>
        <w:t xml:space="preserve">. </w:t>
      </w:r>
      <w:r w:rsidR="00E725A2" w:rsidRPr="002715F2">
        <w:rPr>
          <w:rFonts w:eastAsia="Batang"/>
          <w:lang w:val="fr-FR"/>
        </w:rPr>
        <w:t>Elle</w:t>
      </w:r>
      <w:r w:rsidR="000078DA" w:rsidRPr="002715F2">
        <w:rPr>
          <w:rFonts w:eastAsia="Batang"/>
          <w:lang w:val="fr-FR"/>
        </w:rPr>
        <w:t xml:space="preserve"> </w:t>
      </w:r>
      <w:r w:rsidR="00E83686" w:rsidRPr="002715F2">
        <w:rPr>
          <w:rFonts w:eastAsia="Batang"/>
          <w:lang w:val="fr-FR"/>
        </w:rPr>
        <w:t xml:space="preserve">définit également le cadre juridique </w:t>
      </w:r>
      <w:r w:rsidR="00AB3B14" w:rsidRPr="002715F2">
        <w:rPr>
          <w:rFonts w:eastAsia="Batang"/>
          <w:lang w:val="fr-FR"/>
        </w:rPr>
        <w:t xml:space="preserve">régissant </w:t>
      </w:r>
      <w:r w:rsidR="00E83686" w:rsidRPr="002715F2">
        <w:rPr>
          <w:rFonts w:eastAsia="Batang"/>
          <w:lang w:val="fr-FR"/>
        </w:rPr>
        <w:t xml:space="preserve">la </w:t>
      </w:r>
      <w:r w:rsidR="004C2082" w:rsidRPr="002715F2">
        <w:rPr>
          <w:rFonts w:eastAsia="Batang"/>
          <w:lang w:val="fr-FR"/>
        </w:rPr>
        <w:t xml:space="preserve">couverture des </w:t>
      </w:r>
      <w:r w:rsidR="00E725A2" w:rsidRPr="002715F2">
        <w:rPr>
          <w:rFonts w:eastAsia="Batang"/>
          <w:lang w:val="fr-FR"/>
        </w:rPr>
        <w:t>frais de subsistance</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40</w:t>
      </w:r>
      <w:r w:rsidR="00E725A2" w:rsidRPr="002715F2">
        <w:rPr>
          <w:rFonts w:eastAsia="Batang"/>
          <w:lang w:val="fr-FR"/>
        </w:rPr>
        <w:t>,</w:t>
      </w:r>
      <w:r w:rsidR="000078DA" w:rsidRPr="002715F2">
        <w:rPr>
          <w:rFonts w:eastAsia="Batang"/>
          <w:lang w:val="fr-FR"/>
        </w:rPr>
        <w:t xml:space="preserve"> </w:t>
      </w:r>
      <w:r w:rsidR="00BD1A84" w:rsidRPr="002715F2">
        <w:rPr>
          <w:rFonts w:eastAsia="Batang"/>
          <w:lang w:val="fr-FR"/>
        </w:rPr>
        <w:t>par. </w:t>
      </w:r>
      <w:r w:rsidR="004C2082" w:rsidRPr="002715F2">
        <w:rPr>
          <w:rFonts w:eastAsia="Batang"/>
          <w:lang w:val="fr-FR"/>
        </w:rPr>
        <w:t>1)</w:t>
      </w:r>
      <w:r w:rsidR="000078DA" w:rsidRPr="002715F2">
        <w:rPr>
          <w:rFonts w:eastAsia="Batang"/>
          <w:lang w:val="fr-FR"/>
        </w:rPr>
        <w:t xml:space="preserve"> </w:t>
      </w:r>
      <w:r w:rsidR="004C2082" w:rsidRPr="002715F2">
        <w:rPr>
          <w:rFonts w:eastAsia="Batang"/>
          <w:lang w:val="fr-FR"/>
        </w:rPr>
        <w:t>et des frais médicaux</w:t>
      </w:r>
      <w:r w:rsidR="000078DA" w:rsidRPr="002715F2">
        <w:rPr>
          <w:rFonts w:eastAsia="Batang"/>
          <w:lang w:val="fr-FR"/>
        </w:rPr>
        <w:t xml:space="preserve"> (</w:t>
      </w:r>
      <w:r w:rsidR="00BD1A84" w:rsidRPr="002715F2">
        <w:rPr>
          <w:rFonts w:eastAsia="Batang"/>
          <w:lang w:val="fr-FR"/>
        </w:rPr>
        <w:t>art. </w:t>
      </w:r>
      <w:r w:rsidR="000078DA" w:rsidRPr="002715F2">
        <w:rPr>
          <w:rFonts w:eastAsia="Batang"/>
          <w:lang w:val="fr-FR"/>
        </w:rPr>
        <w:t>42)</w:t>
      </w:r>
      <w:r w:rsidR="004C2082" w:rsidRPr="002715F2">
        <w:rPr>
          <w:rFonts w:eastAsia="Batang"/>
          <w:lang w:val="fr-FR"/>
        </w:rPr>
        <w:t xml:space="preserve"> pour les demandeurs d’asile, et autorise ces derniers à </w:t>
      </w:r>
      <w:r w:rsidR="00E83686" w:rsidRPr="002715F2">
        <w:rPr>
          <w:rFonts w:eastAsia="Batang"/>
          <w:lang w:val="fr-FR"/>
        </w:rPr>
        <w:t>travailler</w:t>
      </w:r>
      <w:r w:rsidR="004C2082" w:rsidRPr="002715F2">
        <w:rPr>
          <w:rFonts w:eastAsia="Batang"/>
          <w:lang w:val="fr-FR"/>
        </w:rPr>
        <w:t xml:space="preserve"> six mois après le dépôt de leur demande d’asile (par. 2). </w:t>
      </w:r>
      <w:r w:rsidR="00E83686" w:rsidRPr="002715F2">
        <w:rPr>
          <w:rFonts w:eastAsia="Batang"/>
          <w:lang w:val="fr-FR"/>
        </w:rPr>
        <w:t xml:space="preserve">En outre, depuis </w:t>
      </w:r>
      <w:r w:rsidR="001A3CB9" w:rsidRPr="002715F2">
        <w:rPr>
          <w:rFonts w:eastAsia="Batang"/>
          <w:lang w:val="fr-FR"/>
        </w:rPr>
        <w:t xml:space="preserve">février </w:t>
      </w:r>
      <w:r w:rsidR="00E83686" w:rsidRPr="002715F2">
        <w:rPr>
          <w:rFonts w:eastAsia="Batang"/>
          <w:lang w:val="fr-FR"/>
        </w:rPr>
        <w:t xml:space="preserve">2014, un </w:t>
      </w:r>
      <w:r w:rsidR="00E97B1A" w:rsidRPr="002715F2">
        <w:rPr>
          <w:rFonts w:eastAsia="Batang"/>
          <w:lang w:val="fr-FR"/>
        </w:rPr>
        <w:t>«</w:t>
      </w:r>
      <w:r w:rsidR="00E83686" w:rsidRPr="002715F2">
        <w:rPr>
          <w:rFonts w:eastAsia="Batang"/>
          <w:lang w:val="fr-FR"/>
        </w:rPr>
        <w:t>Centre d’accueil des immigrés</w:t>
      </w:r>
      <w:r w:rsidR="00E97B1A" w:rsidRPr="002715F2">
        <w:rPr>
          <w:rFonts w:eastAsia="Batang"/>
          <w:lang w:val="fr-FR"/>
        </w:rPr>
        <w:t>»</w:t>
      </w:r>
      <w:r w:rsidR="00E83686" w:rsidRPr="002715F2">
        <w:rPr>
          <w:rFonts w:eastAsia="Batang"/>
          <w:lang w:val="fr-FR"/>
        </w:rPr>
        <w:t xml:space="preserve"> a été mis en place afin de fournir</w:t>
      </w:r>
      <w:r w:rsidR="00F1320D" w:rsidRPr="002715F2">
        <w:rPr>
          <w:rFonts w:eastAsia="Batang"/>
          <w:lang w:val="fr-FR"/>
        </w:rPr>
        <w:t xml:space="preserve"> aux demandeurs d’asile des aides </w:t>
      </w:r>
      <w:r w:rsidR="009B6E83" w:rsidRPr="002715F2">
        <w:rPr>
          <w:rFonts w:eastAsia="Batang"/>
          <w:lang w:val="fr-FR"/>
        </w:rPr>
        <w:t>pour le</w:t>
      </w:r>
      <w:r w:rsidR="00F1320D" w:rsidRPr="002715F2">
        <w:rPr>
          <w:rFonts w:eastAsia="Batang"/>
          <w:lang w:val="fr-FR"/>
        </w:rPr>
        <w:t xml:space="preserve"> logement</w:t>
      </w:r>
      <w:r w:rsidR="00E83686" w:rsidRPr="002715F2">
        <w:rPr>
          <w:rFonts w:eastAsia="Batang"/>
          <w:lang w:val="fr-FR"/>
        </w:rPr>
        <w:t xml:space="preserve"> </w:t>
      </w:r>
      <w:r w:rsidR="00F1320D" w:rsidRPr="002715F2">
        <w:rPr>
          <w:rFonts w:eastAsia="Batang"/>
          <w:lang w:val="fr-FR"/>
        </w:rPr>
        <w:t xml:space="preserve">et </w:t>
      </w:r>
      <w:r w:rsidR="009B6E83" w:rsidRPr="002715F2">
        <w:rPr>
          <w:rFonts w:eastAsia="Batang"/>
          <w:lang w:val="fr-FR"/>
        </w:rPr>
        <w:t>les premières nécessités</w:t>
      </w:r>
      <w:r w:rsidR="00F1320D" w:rsidRPr="002715F2">
        <w:rPr>
          <w:rFonts w:eastAsia="Batang"/>
          <w:lang w:val="fr-FR"/>
        </w:rPr>
        <w:t>,</w:t>
      </w:r>
      <w:r w:rsidR="00E83686" w:rsidRPr="002715F2">
        <w:rPr>
          <w:rFonts w:eastAsia="Batang"/>
          <w:lang w:val="fr-FR"/>
        </w:rPr>
        <w:t xml:space="preserve"> </w:t>
      </w:r>
      <w:r w:rsidR="00F1320D" w:rsidRPr="002715F2">
        <w:rPr>
          <w:rFonts w:eastAsia="Batang"/>
          <w:lang w:val="fr-FR"/>
        </w:rPr>
        <w:t xml:space="preserve">et de proposer </w:t>
      </w:r>
      <w:r w:rsidR="009B6E83" w:rsidRPr="002715F2">
        <w:rPr>
          <w:rFonts w:eastAsia="Batang"/>
          <w:lang w:val="fr-FR"/>
        </w:rPr>
        <w:t xml:space="preserve">aux réfugiés statutaires </w:t>
      </w:r>
      <w:r w:rsidR="00F1320D" w:rsidRPr="002715F2">
        <w:rPr>
          <w:rFonts w:eastAsia="Batang"/>
          <w:lang w:val="fr-FR"/>
        </w:rPr>
        <w:t>un</w:t>
      </w:r>
      <w:r w:rsidR="00E83686" w:rsidRPr="002715F2">
        <w:rPr>
          <w:rFonts w:eastAsia="Batang"/>
          <w:lang w:val="fr-FR"/>
        </w:rPr>
        <w:t xml:space="preserve"> programme d’in</w:t>
      </w:r>
      <w:r w:rsidR="00F1320D" w:rsidRPr="002715F2">
        <w:rPr>
          <w:rFonts w:eastAsia="Batang"/>
          <w:lang w:val="fr-FR"/>
        </w:rPr>
        <w:t xml:space="preserve">sertion </w:t>
      </w:r>
      <w:r w:rsidR="00E83686" w:rsidRPr="002715F2">
        <w:rPr>
          <w:rFonts w:eastAsia="Batang"/>
          <w:lang w:val="fr-FR"/>
        </w:rPr>
        <w:t>sociale</w:t>
      </w:r>
      <w:r w:rsidR="00AA472B"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212.</w:t>
      </w:r>
      <w:r w:rsidRPr="002715F2">
        <w:rPr>
          <w:rFonts w:eastAsia="Batang"/>
          <w:lang w:val="fr-FR"/>
        </w:rPr>
        <w:tab/>
      </w:r>
      <w:r w:rsidR="009B6E83" w:rsidRPr="002715F2">
        <w:rPr>
          <w:rFonts w:eastAsia="Batang"/>
          <w:lang w:val="fr-FR"/>
        </w:rPr>
        <w:t>La loi sur le fonds de protecti</w:t>
      </w:r>
      <w:r w:rsidR="004C3922" w:rsidRPr="002715F2">
        <w:rPr>
          <w:rFonts w:eastAsia="Batang"/>
          <w:lang w:val="fr-FR"/>
        </w:rPr>
        <w:t>on des victimes d’actes</w:t>
      </w:r>
      <w:r w:rsidR="009B6E83" w:rsidRPr="002715F2">
        <w:rPr>
          <w:rFonts w:eastAsia="Batang"/>
          <w:lang w:val="fr-FR"/>
        </w:rPr>
        <w:t xml:space="preserve"> crim</w:t>
      </w:r>
      <w:r w:rsidR="004C3922" w:rsidRPr="002715F2">
        <w:rPr>
          <w:rFonts w:eastAsia="Batang"/>
          <w:lang w:val="fr-FR"/>
        </w:rPr>
        <w:t>inels</w:t>
      </w:r>
      <w:r w:rsidR="009B6E83" w:rsidRPr="002715F2">
        <w:rPr>
          <w:rFonts w:eastAsia="Batang"/>
          <w:lang w:val="fr-FR"/>
        </w:rPr>
        <w:t xml:space="preserve"> a été promulguée le 14 mai 2010 afin de préciser le cadre juridique régissant la création d’un fonds </w:t>
      </w:r>
      <w:r w:rsidR="00665B26" w:rsidRPr="002715F2">
        <w:rPr>
          <w:rFonts w:eastAsia="Batang"/>
          <w:lang w:val="fr-FR"/>
        </w:rPr>
        <w:t>alimenté</w:t>
      </w:r>
      <w:r w:rsidR="009B6E83" w:rsidRPr="002715F2">
        <w:rPr>
          <w:rFonts w:eastAsia="Batang"/>
          <w:lang w:val="fr-FR"/>
        </w:rPr>
        <w:t xml:space="preserve"> </w:t>
      </w:r>
      <w:r w:rsidR="008A755D" w:rsidRPr="002715F2">
        <w:rPr>
          <w:rFonts w:eastAsia="Batang"/>
          <w:lang w:val="fr-FR"/>
        </w:rPr>
        <w:t xml:space="preserve">en partie </w:t>
      </w:r>
      <w:r w:rsidR="009B6E83" w:rsidRPr="002715F2">
        <w:rPr>
          <w:rFonts w:eastAsia="Batang"/>
          <w:lang w:val="fr-FR"/>
        </w:rPr>
        <w:t xml:space="preserve">par les amendes et les indemnités versées par les </w:t>
      </w:r>
      <w:r w:rsidR="00E03FFA" w:rsidRPr="002715F2">
        <w:rPr>
          <w:rFonts w:eastAsia="Batang"/>
          <w:lang w:val="fr-FR"/>
        </w:rPr>
        <w:t>agresseurs</w:t>
      </w:r>
      <w:r w:rsidR="009B6E83" w:rsidRPr="002715F2">
        <w:rPr>
          <w:rFonts w:eastAsia="Batang"/>
          <w:lang w:val="fr-FR"/>
        </w:rPr>
        <w:t xml:space="preserve"> </w:t>
      </w:r>
      <w:r w:rsidR="000078DA" w:rsidRPr="002715F2">
        <w:rPr>
          <w:rFonts w:eastAsia="Batang"/>
          <w:lang w:val="fr-FR"/>
        </w:rPr>
        <w:t>(</w:t>
      </w:r>
      <w:r w:rsidR="00BD1A84" w:rsidRPr="002715F2">
        <w:rPr>
          <w:rFonts w:eastAsia="Batang"/>
          <w:lang w:val="fr-FR"/>
        </w:rPr>
        <w:t>art. </w:t>
      </w:r>
      <w:r w:rsidR="000078DA" w:rsidRPr="002715F2">
        <w:rPr>
          <w:rFonts w:eastAsia="Batang"/>
          <w:lang w:val="fr-FR"/>
        </w:rPr>
        <w:t>4)</w:t>
      </w:r>
      <w:r w:rsidR="00F6194B" w:rsidRPr="002715F2">
        <w:rPr>
          <w:rFonts w:eastAsia="Batang"/>
          <w:lang w:val="fr-FR"/>
        </w:rPr>
        <w:t>,</w:t>
      </w:r>
      <w:r w:rsidR="000078DA" w:rsidRPr="002715F2">
        <w:rPr>
          <w:rFonts w:eastAsia="Batang"/>
          <w:lang w:val="fr-FR"/>
        </w:rPr>
        <w:t xml:space="preserve"> </w:t>
      </w:r>
      <w:r w:rsidR="001C4DB4" w:rsidRPr="002715F2">
        <w:rPr>
          <w:rFonts w:eastAsia="Batang"/>
          <w:lang w:val="fr-FR"/>
        </w:rPr>
        <w:t>et</w:t>
      </w:r>
      <w:r w:rsidR="009B6E83" w:rsidRPr="002715F2">
        <w:rPr>
          <w:rFonts w:eastAsia="Batang"/>
          <w:lang w:val="fr-FR"/>
        </w:rPr>
        <w:t xml:space="preserve"> de </w:t>
      </w:r>
      <w:r w:rsidR="00E03FFA" w:rsidRPr="002715F2">
        <w:rPr>
          <w:rFonts w:eastAsia="Batang"/>
          <w:lang w:val="fr-FR"/>
        </w:rPr>
        <w:t xml:space="preserve">consacrer </w:t>
      </w:r>
      <w:r w:rsidR="00F6194B" w:rsidRPr="002715F2">
        <w:rPr>
          <w:rFonts w:eastAsia="Batang"/>
          <w:lang w:val="fr-FR"/>
        </w:rPr>
        <w:t xml:space="preserve">ainsi </w:t>
      </w:r>
      <w:r w:rsidR="009B6E83" w:rsidRPr="002715F2">
        <w:rPr>
          <w:rFonts w:eastAsia="Batang"/>
          <w:lang w:val="fr-FR"/>
        </w:rPr>
        <w:t xml:space="preserve">des ressources financières stables et suffisantes </w:t>
      </w:r>
      <w:r w:rsidR="00E03FFA" w:rsidRPr="002715F2">
        <w:rPr>
          <w:rFonts w:eastAsia="Batang"/>
          <w:lang w:val="fr-FR"/>
        </w:rPr>
        <w:t>à la protection et à l’aide des</w:t>
      </w:r>
      <w:r w:rsidR="009B6E83" w:rsidRPr="002715F2">
        <w:rPr>
          <w:rFonts w:eastAsia="Batang"/>
          <w:lang w:val="fr-FR"/>
        </w:rPr>
        <w:t xml:space="preserve"> victimes</w:t>
      </w:r>
      <w:r w:rsidR="00AA472B"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213.</w:t>
      </w:r>
      <w:r w:rsidRPr="002715F2">
        <w:rPr>
          <w:rFonts w:eastAsia="Batang"/>
          <w:lang w:val="fr-FR"/>
        </w:rPr>
        <w:tab/>
      </w:r>
      <w:r w:rsidR="00C8267D" w:rsidRPr="002715F2">
        <w:rPr>
          <w:rFonts w:eastAsia="Batang"/>
          <w:lang w:val="fr-FR"/>
        </w:rPr>
        <w:t xml:space="preserve">Les modifications </w:t>
      </w:r>
      <w:r w:rsidR="00F6194B" w:rsidRPr="002715F2">
        <w:rPr>
          <w:rFonts w:eastAsia="Batang"/>
          <w:lang w:val="fr-FR"/>
        </w:rPr>
        <w:t xml:space="preserve">apportées à la </w:t>
      </w:r>
      <w:r w:rsidR="0039617D" w:rsidRPr="002715F2">
        <w:rPr>
          <w:rFonts w:eastAsia="Batang"/>
          <w:lang w:val="fr-FR"/>
        </w:rPr>
        <w:t>législation</w:t>
      </w:r>
      <w:r w:rsidR="00F6194B" w:rsidRPr="002715F2">
        <w:rPr>
          <w:rFonts w:eastAsia="Batang"/>
          <w:lang w:val="fr-FR"/>
        </w:rPr>
        <w:t xml:space="preserve"> existante</w:t>
      </w:r>
      <w:r w:rsidR="00C8267D" w:rsidRPr="002715F2">
        <w:rPr>
          <w:rFonts w:eastAsia="Batang"/>
          <w:lang w:val="fr-FR"/>
        </w:rPr>
        <w:t xml:space="preserve"> sont décrites dans les réponses apportées aux paragraphes 1 à 40 de la liste des </w:t>
      </w:r>
      <w:r w:rsidR="00AB3B14" w:rsidRPr="002715F2">
        <w:rPr>
          <w:rFonts w:eastAsia="Batang"/>
          <w:lang w:val="fr-FR"/>
        </w:rPr>
        <w:t>points</w:t>
      </w:r>
      <w:r w:rsidR="000078DA" w:rsidRPr="002715F2">
        <w:rPr>
          <w:rFonts w:eastAsia="Batang"/>
          <w:lang w:val="fr-FR"/>
        </w:rPr>
        <w:t>.</w:t>
      </w:r>
      <w:r w:rsidR="00AB3B14" w:rsidRPr="002715F2">
        <w:rPr>
          <w:rFonts w:eastAsia="Batang"/>
          <w:lang w:val="fr-FR"/>
        </w:rPr>
        <w:t xml:space="preserve"> Pour plus de renseignements, on se reportera à ces réponses</w:t>
      </w:r>
      <w:r w:rsidR="00AA472B" w:rsidRPr="002715F2">
        <w:rPr>
          <w:rFonts w:eastAsia="Batang"/>
          <w:lang w:val="fr-FR"/>
        </w:rPr>
        <w:t>.</w:t>
      </w:r>
    </w:p>
    <w:p w:rsidR="000078DA" w:rsidRPr="002715F2" w:rsidRDefault="00643BBE" w:rsidP="00643BBE">
      <w:pPr>
        <w:pStyle w:val="H23G"/>
        <w:rPr>
          <w:rFonts w:ascii="Gulim" w:eastAsia="Gulim" w:hAnsi="Gulim" w:cs="Gulim"/>
          <w:lang w:val="fr-FR" w:eastAsia="ko-KR"/>
        </w:rPr>
      </w:pPr>
      <w:r w:rsidRPr="002715F2">
        <w:rPr>
          <w:rFonts w:eastAsia="Batang"/>
          <w:lang w:val="fr-FR" w:eastAsia="ko-KR"/>
        </w:rPr>
        <w:tab/>
      </w:r>
      <w:r w:rsidRPr="002715F2">
        <w:rPr>
          <w:rFonts w:eastAsia="Batang"/>
          <w:lang w:val="fr-FR" w:eastAsia="ko-KR"/>
        </w:rPr>
        <w:tab/>
      </w:r>
      <w:r w:rsidR="00691764" w:rsidRPr="002715F2">
        <w:rPr>
          <w:rFonts w:eastAsia="Batang"/>
          <w:lang w:val="fr-FR" w:eastAsia="ko-KR"/>
        </w:rPr>
        <w:t xml:space="preserve">Réponse aux questions soulevées au </w:t>
      </w:r>
      <w:r w:rsidR="007661F9" w:rsidRPr="002715F2">
        <w:rPr>
          <w:rFonts w:eastAsia="Batang"/>
          <w:lang w:val="fr-FR" w:eastAsia="ko-KR"/>
        </w:rPr>
        <w:t xml:space="preserve">paragraphe </w:t>
      </w:r>
      <w:r w:rsidR="00691764" w:rsidRPr="002715F2">
        <w:rPr>
          <w:rFonts w:eastAsia="Batang"/>
          <w:lang w:val="fr-FR" w:eastAsia="ko-KR"/>
        </w:rPr>
        <w:t>42</w:t>
      </w:r>
    </w:p>
    <w:p w:rsidR="000078DA" w:rsidRPr="002715F2" w:rsidRDefault="007026FB" w:rsidP="007026FB">
      <w:pPr>
        <w:pStyle w:val="SingleTxtG"/>
        <w:rPr>
          <w:rFonts w:eastAsia="Batang"/>
          <w:lang w:val="fr-FR"/>
        </w:rPr>
      </w:pPr>
      <w:r w:rsidRPr="002715F2">
        <w:rPr>
          <w:rFonts w:eastAsia="Batang"/>
          <w:lang w:val="fr-FR"/>
        </w:rPr>
        <w:t>214.</w:t>
      </w:r>
      <w:r w:rsidRPr="002715F2">
        <w:rPr>
          <w:rFonts w:eastAsia="Batang"/>
          <w:lang w:val="fr-FR"/>
        </w:rPr>
        <w:tab/>
      </w:r>
      <w:r w:rsidR="00B04F34" w:rsidRPr="002715F2">
        <w:rPr>
          <w:rFonts w:eastAsia="Batang"/>
          <w:lang w:val="fr-FR"/>
        </w:rPr>
        <w:t xml:space="preserve">En </w:t>
      </w:r>
      <w:r w:rsidR="007661F9" w:rsidRPr="002715F2">
        <w:rPr>
          <w:rFonts w:eastAsia="Batang"/>
          <w:lang w:val="fr-FR"/>
        </w:rPr>
        <w:t xml:space="preserve">mai </w:t>
      </w:r>
      <w:r w:rsidR="000078DA" w:rsidRPr="002715F2">
        <w:rPr>
          <w:rFonts w:eastAsia="Batang"/>
          <w:lang w:val="fr-FR"/>
        </w:rPr>
        <w:t xml:space="preserve">2007, </w:t>
      </w:r>
      <w:r w:rsidR="00B04F34" w:rsidRPr="002715F2">
        <w:rPr>
          <w:rFonts w:eastAsia="Batang"/>
          <w:lang w:val="fr-FR"/>
        </w:rPr>
        <w:t xml:space="preserve">le Gouvernement a </w:t>
      </w:r>
      <w:r w:rsidR="00A26ED7" w:rsidRPr="002715F2">
        <w:rPr>
          <w:rFonts w:eastAsia="Batang"/>
          <w:lang w:val="fr-FR"/>
        </w:rPr>
        <w:t>mis en place</w:t>
      </w:r>
      <w:r w:rsidR="00B04F34" w:rsidRPr="002715F2">
        <w:rPr>
          <w:rFonts w:eastAsia="Batang"/>
          <w:lang w:val="fr-FR"/>
        </w:rPr>
        <w:t xml:space="preserve"> un </w:t>
      </w:r>
      <w:r w:rsidR="00B04F34" w:rsidRPr="002715F2">
        <w:rPr>
          <w:lang w:val="fr-FR"/>
        </w:rPr>
        <w:t>Conseil national de</w:t>
      </w:r>
      <w:r w:rsidR="00665B26" w:rsidRPr="002715F2">
        <w:rPr>
          <w:lang w:val="fr-FR"/>
        </w:rPr>
        <w:t xml:space="preserve">s </w:t>
      </w:r>
      <w:r w:rsidR="00B04F34" w:rsidRPr="002715F2">
        <w:rPr>
          <w:lang w:val="fr-FR"/>
        </w:rPr>
        <w:t>politique</w:t>
      </w:r>
      <w:r w:rsidR="00665B26" w:rsidRPr="002715F2">
        <w:rPr>
          <w:lang w:val="fr-FR"/>
        </w:rPr>
        <w:t>s</w:t>
      </w:r>
      <w:r w:rsidR="00B04F34" w:rsidRPr="002715F2">
        <w:rPr>
          <w:lang w:val="fr-FR"/>
        </w:rPr>
        <w:t xml:space="preserve"> </w:t>
      </w:r>
      <w:r w:rsidR="00665B26" w:rsidRPr="002715F2">
        <w:rPr>
          <w:lang w:val="fr-FR"/>
        </w:rPr>
        <w:t>en faveur des</w:t>
      </w:r>
      <w:r w:rsidR="00B04F34" w:rsidRPr="002715F2">
        <w:rPr>
          <w:lang w:val="fr-FR"/>
        </w:rPr>
        <w:t xml:space="preserve"> droits de l’homme, présid</w:t>
      </w:r>
      <w:r w:rsidR="00665B26" w:rsidRPr="002715F2">
        <w:rPr>
          <w:lang w:val="fr-FR"/>
        </w:rPr>
        <w:t xml:space="preserve">é par le Ministre de la justice, </w:t>
      </w:r>
      <w:r w:rsidR="00B04F34" w:rsidRPr="002715F2">
        <w:rPr>
          <w:lang w:val="fr-FR"/>
        </w:rPr>
        <w:t>auquel particip</w:t>
      </w:r>
      <w:r w:rsidR="00A26ED7" w:rsidRPr="002715F2">
        <w:rPr>
          <w:lang w:val="fr-FR"/>
        </w:rPr>
        <w:t>ent</w:t>
      </w:r>
      <w:r w:rsidR="00B04F34" w:rsidRPr="002715F2">
        <w:rPr>
          <w:lang w:val="fr-FR"/>
        </w:rPr>
        <w:t xml:space="preserve"> des membres au niveau vice-ministériel des ministères</w:t>
      </w:r>
      <w:r w:rsidR="002B7A76" w:rsidRPr="002715F2">
        <w:rPr>
          <w:lang w:val="fr-FR"/>
        </w:rPr>
        <w:t xml:space="preserve"> et des </w:t>
      </w:r>
      <w:r w:rsidR="0039617D" w:rsidRPr="002715F2">
        <w:rPr>
          <w:lang w:val="fr-FR"/>
        </w:rPr>
        <w:t>organisations</w:t>
      </w:r>
      <w:r w:rsidR="00B04F34" w:rsidRPr="002715F2">
        <w:rPr>
          <w:lang w:val="fr-FR"/>
        </w:rPr>
        <w:t xml:space="preserve"> concerné</w:t>
      </w:r>
      <w:r w:rsidR="002B7A76" w:rsidRPr="002715F2">
        <w:rPr>
          <w:lang w:val="fr-FR"/>
        </w:rPr>
        <w:t>s</w:t>
      </w:r>
      <w:r w:rsidR="00D73D8E" w:rsidRPr="002715F2">
        <w:rPr>
          <w:rFonts w:eastAsia="Batang"/>
          <w:lang w:val="fr-FR"/>
        </w:rPr>
        <w:t>.</w:t>
      </w:r>
      <w:r w:rsidR="000078DA" w:rsidRPr="002715F2">
        <w:rPr>
          <w:rFonts w:eastAsia="Batang"/>
          <w:lang w:val="fr-FR"/>
        </w:rPr>
        <w:t xml:space="preserve"> </w:t>
      </w:r>
      <w:r w:rsidR="00D73D8E" w:rsidRPr="002715F2">
        <w:rPr>
          <w:rFonts w:eastAsia="Batang"/>
          <w:lang w:val="fr-FR"/>
        </w:rPr>
        <w:t>Ce</w:t>
      </w:r>
      <w:r w:rsidR="00665B26" w:rsidRPr="002715F2">
        <w:rPr>
          <w:rFonts w:eastAsia="Batang"/>
          <w:lang w:val="fr-FR"/>
        </w:rPr>
        <w:t xml:space="preserve">t organe consultatif est également chargé de </w:t>
      </w:r>
      <w:r w:rsidR="009966B6" w:rsidRPr="002715F2">
        <w:rPr>
          <w:rFonts w:eastAsia="Batang"/>
          <w:lang w:val="fr-FR"/>
        </w:rPr>
        <w:t>coordonner</w:t>
      </w:r>
      <w:r w:rsidR="00665B26" w:rsidRPr="002715F2">
        <w:rPr>
          <w:rFonts w:eastAsia="Batang"/>
          <w:lang w:val="fr-FR"/>
        </w:rPr>
        <w:t xml:space="preserve"> les</w:t>
      </w:r>
      <w:r w:rsidR="00A66D7F" w:rsidRPr="002715F2">
        <w:rPr>
          <w:rFonts w:eastAsia="Batang"/>
          <w:lang w:val="fr-FR"/>
        </w:rPr>
        <w:t xml:space="preserve"> </w:t>
      </w:r>
      <w:r w:rsidR="002B7A76" w:rsidRPr="002715F2">
        <w:rPr>
          <w:rFonts w:eastAsia="Batang"/>
          <w:lang w:val="fr-FR"/>
        </w:rPr>
        <w:t xml:space="preserve">politiques </w:t>
      </w:r>
      <w:r w:rsidR="00481F88" w:rsidRPr="002715F2">
        <w:rPr>
          <w:rFonts w:eastAsia="Batang"/>
          <w:lang w:val="fr-FR"/>
        </w:rPr>
        <w:t xml:space="preserve">nationales </w:t>
      </w:r>
      <w:r w:rsidR="00665B26" w:rsidRPr="002715F2">
        <w:rPr>
          <w:rFonts w:eastAsia="Batang"/>
          <w:lang w:val="fr-FR"/>
        </w:rPr>
        <w:t>en matière de</w:t>
      </w:r>
      <w:r w:rsidR="002B7A76" w:rsidRPr="002715F2">
        <w:rPr>
          <w:rFonts w:eastAsia="Batang"/>
          <w:lang w:val="fr-FR"/>
        </w:rPr>
        <w:t xml:space="preserve"> droits de l’homme</w:t>
      </w:r>
      <w:r w:rsidR="000078DA" w:rsidRPr="002715F2">
        <w:rPr>
          <w:rFonts w:eastAsia="Batang"/>
          <w:lang w:val="fr-FR"/>
        </w:rPr>
        <w:t xml:space="preserve">. </w:t>
      </w:r>
      <w:r w:rsidR="007661F9" w:rsidRPr="002715F2">
        <w:rPr>
          <w:rFonts w:eastAsia="Batang"/>
          <w:lang w:val="fr-FR"/>
        </w:rPr>
        <w:t xml:space="preserve">Depuis </w:t>
      </w:r>
      <w:r w:rsidR="00A26ED7" w:rsidRPr="002715F2">
        <w:rPr>
          <w:rFonts w:eastAsia="Batang"/>
          <w:lang w:val="fr-FR"/>
        </w:rPr>
        <w:t xml:space="preserve">2008, </w:t>
      </w:r>
      <w:r w:rsidR="00A66D7F" w:rsidRPr="002715F2">
        <w:rPr>
          <w:rFonts w:eastAsia="Batang"/>
          <w:lang w:val="fr-FR"/>
        </w:rPr>
        <w:t>il</w:t>
      </w:r>
      <w:r w:rsidR="00A26ED7" w:rsidRPr="002715F2">
        <w:rPr>
          <w:rFonts w:eastAsia="Batang"/>
          <w:lang w:val="fr-FR"/>
        </w:rPr>
        <w:t xml:space="preserve"> examin</w:t>
      </w:r>
      <w:r w:rsidR="0062343F" w:rsidRPr="002715F2">
        <w:rPr>
          <w:rFonts w:eastAsia="Batang"/>
          <w:lang w:val="fr-FR"/>
        </w:rPr>
        <w:t>e</w:t>
      </w:r>
      <w:r w:rsidR="00A26ED7" w:rsidRPr="002715F2">
        <w:rPr>
          <w:rFonts w:eastAsia="Batang"/>
          <w:lang w:val="fr-FR"/>
        </w:rPr>
        <w:t xml:space="preserve"> les recommandations </w:t>
      </w:r>
      <w:r w:rsidR="00A66D7F" w:rsidRPr="002715F2">
        <w:rPr>
          <w:rFonts w:eastAsia="Batang"/>
          <w:lang w:val="fr-FR"/>
        </w:rPr>
        <w:t xml:space="preserve">qui sont adressées à la République de Corée par les </w:t>
      </w:r>
      <w:r w:rsidR="0062343F" w:rsidRPr="002715F2">
        <w:rPr>
          <w:lang w:val="fr-FR" w:eastAsia="en-GB"/>
        </w:rPr>
        <w:t>organes conventionnels</w:t>
      </w:r>
      <w:r w:rsidR="00A66D7F" w:rsidRPr="002715F2">
        <w:rPr>
          <w:lang w:val="fr-FR" w:eastAsia="en-GB"/>
        </w:rPr>
        <w:t xml:space="preserve"> </w:t>
      </w:r>
      <w:r w:rsidR="00A66D7F" w:rsidRPr="002715F2">
        <w:rPr>
          <w:lang w:val="fr-FR"/>
        </w:rPr>
        <w:t>des droits de l’homme</w:t>
      </w:r>
      <w:r w:rsidR="00A66D7F" w:rsidRPr="002715F2">
        <w:rPr>
          <w:rFonts w:eastAsia="Batang"/>
          <w:lang w:val="fr-FR"/>
        </w:rPr>
        <w:t xml:space="preserve">, </w:t>
      </w:r>
      <w:r w:rsidR="00A26ED7" w:rsidRPr="002715F2">
        <w:rPr>
          <w:rFonts w:eastAsia="Batang"/>
          <w:lang w:val="fr-FR"/>
        </w:rPr>
        <w:t xml:space="preserve">et </w:t>
      </w:r>
      <w:r w:rsidR="0062343F" w:rsidRPr="002715F2">
        <w:rPr>
          <w:rFonts w:eastAsia="Batang"/>
          <w:lang w:val="fr-FR"/>
        </w:rPr>
        <w:t>contrôle</w:t>
      </w:r>
      <w:r w:rsidR="00A26ED7" w:rsidRPr="002715F2">
        <w:rPr>
          <w:rFonts w:eastAsia="Batang"/>
          <w:lang w:val="fr-FR"/>
        </w:rPr>
        <w:t xml:space="preserve"> l</w:t>
      </w:r>
      <w:r w:rsidR="0062343F" w:rsidRPr="002715F2">
        <w:rPr>
          <w:rFonts w:eastAsia="Batang"/>
          <w:lang w:val="fr-FR"/>
        </w:rPr>
        <w:t>eur</w:t>
      </w:r>
      <w:r w:rsidR="00A26ED7" w:rsidRPr="002715F2">
        <w:rPr>
          <w:rFonts w:eastAsia="Batang"/>
          <w:lang w:val="fr-FR"/>
        </w:rPr>
        <w:t xml:space="preserve"> mise en œuvre </w:t>
      </w:r>
      <w:r w:rsidR="00437DF8" w:rsidRPr="002715F2">
        <w:rPr>
          <w:rFonts w:eastAsia="Batang"/>
          <w:lang w:val="fr-FR"/>
        </w:rPr>
        <w:t xml:space="preserve">afin </w:t>
      </w:r>
      <w:r w:rsidR="00665B26" w:rsidRPr="002715F2">
        <w:rPr>
          <w:rFonts w:eastAsia="Batang"/>
          <w:lang w:val="fr-FR"/>
        </w:rPr>
        <w:t>que celles-ci</w:t>
      </w:r>
      <w:r w:rsidR="00437DF8" w:rsidRPr="002715F2">
        <w:rPr>
          <w:rFonts w:eastAsia="Batang"/>
          <w:lang w:val="fr-FR"/>
        </w:rPr>
        <w:t xml:space="preserve"> soient </w:t>
      </w:r>
      <w:r w:rsidR="00B74218" w:rsidRPr="002715F2">
        <w:rPr>
          <w:rFonts w:eastAsia="Batang"/>
          <w:lang w:val="fr-FR"/>
        </w:rPr>
        <w:t>correctement</w:t>
      </w:r>
      <w:r w:rsidR="00437DF8" w:rsidRPr="002715F2">
        <w:rPr>
          <w:rFonts w:eastAsia="Batang"/>
          <w:lang w:val="fr-FR"/>
        </w:rPr>
        <w:t xml:space="preserve"> </w:t>
      </w:r>
      <w:r w:rsidR="009B2C7A" w:rsidRPr="002715F2">
        <w:rPr>
          <w:rFonts w:eastAsia="Batang"/>
          <w:lang w:val="fr-FR"/>
        </w:rPr>
        <w:t>appliquées</w:t>
      </w:r>
      <w:r w:rsidR="00437DF8" w:rsidRPr="002715F2">
        <w:rPr>
          <w:rFonts w:eastAsia="Batang"/>
          <w:lang w:val="fr-FR"/>
        </w:rPr>
        <w:t xml:space="preserve"> dans le pays</w:t>
      </w:r>
      <w:r w:rsidR="00B7052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215.</w:t>
      </w:r>
      <w:r w:rsidRPr="002715F2">
        <w:rPr>
          <w:rFonts w:eastAsia="Batang"/>
          <w:lang w:val="fr-FR"/>
        </w:rPr>
        <w:tab/>
      </w:r>
      <w:r w:rsidR="00A66D7F" w:rsidRPr="002715F2">
        <w:rPr>
          <w:rFonts w:eastAsia="Batang"/>
          <w:lang w:val="fr-FR"/>
        </w:rPr>
        <w:t xml:space="preserve">Le Gouvernement a élaboré et mis en </w:t>
      </w:r>
      <w:r w:rsidR="0039617D" w:rsidRPr="002715F2">
        <w:rPr>
          <w:rFonts w:eastAsia="Batang"/>
          <w:lang w:val="fr-FR"/>
        </w:rPr>
        <w:t>œuvre</w:t>
      </w:r>
      <w:r w:rsidR="00A66D7F" w:rsidRPr="002715F2">
        <w:rPr>
          <w:rFonts w:eastAsia="Batang"/>
          <w:lang w:val="fr-FR"/>
        </w:rPr>
        <w:t xml:space="preserve"> le</w:t>
      </w:r>
      <w:r w:rsidR="006B6B4B" w:rsidRPr="002715F2">
        <w:rPr>
          <w:rFonts w:eastAsia="Batang"/>
          <w:lang w:val="fr-FR"/>
        </w:rPr>
        <w:t>s</w:t>
      </w:r>
      <w:r w:rsidR="00A66D7F" w:rsidRPr="002715F2">
        <w:rPr>
          <w:rFonts w:eastAsia="Batang"/>
          <w:lang w:val="fr-FR"/>
        </w:rPr>
        <w:t xml:space="preserve"> premier et deuxième </w:t>
      </w:r>
      <w:r w:rsidR="006B6B4B" w:rsidRPr="002715F2">
        <w:rPr>
          <w:rFonts w:eastAsia="Batang"/>
          <w:lang w:val="fr-FR"/>
        </w:rPr>
        <w:t>p</w:t>
      </w:r>
      <w:r w:rsidR="00A66D7F" w:rsidRPr="002715F2">
        <w:rPr>
          <w:rFonts w:eastAsia="Batang"/>
          <w:lang w:val="fr-FR"/>
        </w:rPr>
        <w:t>lan</w:t>
      </w:r>
      <w:r w:rsidR="006B6B4B" w:rsidRPr="002715F2">
        <w:rPr>
          <w:rFonts w:eastAsia="Batang"/>
          <w:lang w:val="fr-FR"/>
        </w:rPr>
        <w:t>s</w:t>
      </w:r>
      <w:r w:rsidR="00481F88" w:rsidRPr="002715F2">
        <w:rPr>
          <w:rFonts w:eastAsia="Batang"/>
          <w:lang w:val="fr-FR"/>
        </w:rPr>
        <w:t xml:space="preserve"> d’action nationaux</w:t>
      </w:r>
      <w:r w:rsidR="00A66D7F" w:rsidRPr="002715F2">
        <w:rPr>
          <w:rFonts w:eastAsia="Batang"/>
          <w:lang w:val="fr-FR"/>
        </w:rPr>
        <w:t xml:space="preserve"> pour la promotion et la protection des droits de l’homme, comme décrit </w:t>
      </w:r>
      <w:r w:rsidR="006B6B4B" w:rsidRPr="002715F2">
        <w:rPr>
          <w:rFonts w:ascii="TimesNewRomanPSMT" w:hAnsi="TimesNewRomanPSMT" w:cs="TimesNewRomanPSMT"/>
          <w:lang w:val="fr-FR" w:eastAsia="en-GB"/>
        </w:rPr>
        <w:t>dans le</w:t>
      </w:r>
      <w:r w:rsidR="006B6B4B" w:rsidRPr="002715F2">
        <w:rPr>
          <w:rFonts w:eastAsia="Batang"/>
          <w:lang w:val="fr-FR"/>
        </w:rPr>
        <w:t xml:space="preserve"> </w:t>
      </w:r>
      <w:r w:rsidR="007661F9" w:rsidRPr="002715F2">
        <w:rPr>
          <w:rFonts w:eastAsia="Batang"/>
          <w:lang w:val="fr-FR"/>
        </w:rPr>
        <w:t xml:space="preserve">quatrième </w:t>
      </w:r>
      <w:r w:rsidR="006B6B4B" w:rsidRPr="002715F2">
        <w:rPr>
          <w:rFonts w:eastAsia="Batang"/>
          <w:lang w:val="fr-FR"/>
        </w:rPr>
        <w:t xml:space="preserve">rapport sur le Pacte </w:t>
      </w:r>
      <w:r w:rsidR="008A36A5" w:rsidRPr="002715F2">
        <w:rPr>
          <w:lang w:val="fr-FR"/>
        </w:rPr>
        <w:t xml:space="preserve">international relatif aux droits civils et politiques </w:t>
      </w:r>
      <w:r w:rsidR="006B6B4B" w:rsidRPr="002715F2">
        <w:rPr>
          <w:rFonts w:eastAsia="Batang"/>
          <w:lang w:val="fr-FR"/>
        </w:rPr>
        <w:t>et</w:t>
      </w:r>
      <w:r w:rsidR="000078DA" w:rsidRPr="002715F2">
        <w:rPr>
          <w:rFonts w:eastAsia="Batang"/>
          <w:lang w:val="fr-FR"/>
        </w:rPr>
        <w:t xml:space="preserve"> </w:t>
      </w:r>
      <w:r w:rsidR="00FB6712" w:rsidRPr="002715F2">
        <w:rPr>
          <w:rFonts w:eastAsia="Batang"/>
          <w:lang w:val="fr-FR"/>
        </w:rPr>
        <w:t xml:space="preserve">le deuxième rapport présenté au titre de l’Examen périodique universel </w:t>
      </w:r>
      <w:r w:rsidR="000078DA" w:rsidRPr="002715F2">
        <w:rPr>
          <w:rFonts w:eastAsia="Batang"/>
          <w:lang w:val="fr-FR"/>
        </w:rPr>
        <w:t>(CCPR/C/KOR/4</w:t>
      </w:r>
      <w:r w:rsidR="00481F88" w:rsidRPr="002715F2">
        <w:rPr>
          <w:rFonts w:eastAsia="Batang"/>
          <w:lang w:val="fr-FR"/>
        </w:rPr>
        <w:t>,</w:t>
      </w:r>
      <w:r w:rsidR="000078DA" w:rsidRPr="002715F2">
        <w:rPr>
          <w:rFonts w:eastAsia="Batang"/>
          <w:lang w:val="fr-FR"/>
        </w:rPr>
        <w:t xml:space="preserve"> </w:t>
      </w:r>
      <w:r w:rsidR="00480124" w:rsidRPr="002715F2">
        <w:rPr>
          <w:rFonts w:eastAsia="Batang"/>
          <w:lang w:val="fr-FR"/>
        </w:rPr>
        <w:t>par. </w:t>
      </w:r>
      <w:r w:rsidR="000078DA" w:rsidRPr="002715F2">
        <w:rPr>
          <w:rFonts w:eastAsia="Batang"/>
          <w:lang w:val="fr-FR"/>
        </w:rPr>
        <w:t>4</w:t>
      </w:r>
      <w:r w:rsidR="00FB6712" w:rsidRPr="002715F2">
        <w:rPr>
          <w:rFonts w:eastAsia="Batang"/>
          <w:lang w:val="fr-FR"/>
        </w:rPr>
        <w:t xml:space="preserve"> et </w:t>
      </w:r>
      <w:r w:rsidR="000078DA" w:rsidRPr="002715F2">
        <w:rPr>
          <w:rFonts w:eastAsia="Batang"/>
          <w:lang w:val="fr-FR"/>
        </w:rPr>
        <w:t>5</w:t>
      </w:r>
      <w:r w:rsidR="00E97B1A" w:rsidRPr="002715F2">
        <w:rPr>
          <w:rFonts w:eastAsia="Batang"/>
          <w:lang w:val="fr-FR"/>
        </w:rPr>
        <w:t>;</w:t>
      </w:r>
      <w:r w:rsidR="00AA472B" w:rsidRPr="002715F2">
        <w:rPr>
          <w:rFonts w:eastAsia="Batang"/>
          <w:lang w:val="fr-FR"/>
        </w:rPr>
        <w:t xml:space="preserve"> A/HRC/WG.6/14/KOR/1</w:t>
      </w:r>
      <w:r w:rsidR="00FB6712" w:rsidRPr="002715F2">
        <w:rPr>
          <w:rFonts w:eastAsia="Batang"/>
          <w:lang w:val="fr-FR"/>
        </w:rPr>
        <w:t>,</w:t>
      </w:r>
      <w:r w:rsidR="00AA472B" w:rsidRPr="002715F2">
        <w:rPr>
          <w:rFonts w:eastAsia="Batang"/>
          <w:lang w:val="fr-FR"/>
        </w:rPr>
        <w:t xml:space="preserve"> </w:t>
      </w:r>
      <w:r w:rsidR="00BD1A84" w:rsidRPr="002715F2">
        <w:rPr>
          <w:rFonts w:eastAsia="Batang"/>
          <w:lang w:val="fr-FR"/>
        </w:rPr>
        <w:t>par. </w:t>
      </w:r>
      <w:r w:rsidR="00AA472B" w:rsidRPr="002715F2">
        <w:rPr>
          <w:rFonts w:eastAsia="Batang"/>
          <w:lang w:val="fr-FR"/>
        </w:rPr>
        <w:t>7).</w:t>
      </w:r>
    </w:p>
    <w:p w:rsidR="000078DA" w:rsidRPr="002715F2" w:rsidRDefault="007026FB" w:rsidP="007026FB">
      <w:pPr>
        <w:pStyle w:val="SingleTxtG"/>
        <w:rPr>
          <w:rFonts w:eastAsia="Batang"/>
          <w:lang w:val="fr-FR"/>
        </w:rPr>
      </w:pPr>
      <w:r w:rsidRPr="002715F2">
        <w:rPr>
          <w:rFonts w:eastAsia="Batang"/>
          <w:lang w:val="fr-FR"/>
        </w:rPr>
        <w:t>216.</w:t>
      </w:r>
      <w:r w:rsidRPr="002715F2">
        <w:rPr>
          <w:rFonts w:eastAsia="Batang"/>
          <w:lang w:val="fr-FR"/>
        </w:rPr>
        <w:tab/>
      </w:r>
      <w:r w:rsidR="00AA10E2" w:rsidRPr="002715F2">
        <w:rPr>
          <w:rFonts w:eastAsia="Batang"/>
          <w:lang w:val="fr-FR"/>
        </w:rPr>
        <w:t xml:space="preserve">S’agissant de la mise en </w:t>
      </w:r>
      <w:r w:rsidR="0039617D" w:rsidRPr="002715F2">
        <w:rPr>
          <w:rFonts w:eastAsia="Batang"/>
          <w:lang w:val="fr-FR"/>
        </w:rPr>
        <w:t>œuvre</w:t>
      </w:r>
      <w:r w:rsidR="00AA10E2" w:rsidRPr="002715F2">
        <w:rPr>
          <w:rFonts w:eastAsia="Batang"/>
          <w:lang w:val="fr-FR"/>
        </w:rPr>
        <w:t xml:space="preserve"> de </w:t>
      </w:r>
      <w:r w:rsidR="0039617D" w:rsidRPr="002715F2">
        <w:rPr>
          <w:rFonts w:eastAsia="Batang"/>
          <w:lang w:val="fr-FR"/>
        </w:rPr>
        <w:t>ces</w:t>
      </w:r>
      <w:r w:rsidR="00AA10E2" w:rsidRPr="002715F2">
        <w:rPr>
          <w:rFonts w:eastAsia="Batang"/>
          <w:lang w:val="fr-FR"/>
        </w:rPr>
        <w:t xml:space="preserve"> deux premiers plans</w:t>
      </w:r>
      <w:r w:rsidR="004E06F5" w:rsidRPr="002715F2">
        <w:rPr>
          <w:rFonts w:eastAsia="Batang"/>
          <w:lang w:val="fr-FR"/>
        </w:rPr>
        <w:t xml:space="preserve"> d’action </w:t>
      </w:r>
      <w:r w:rsidR="00665B26" w:rsidRPr="002715F2">
        <w:rPr>
          <w:rFonts w:eastAsia="Batang"/>
          <w:lang w:val="fr-FR"/>
        </w:rPr>
        <w:t>nationaux</w:t>
      </w:r>
      <w:r w:rsidR="00AA10E2" w:rsidRPr="002715F2">
        <w:rPr>
          <w:rFonts w:eastAsia="Batang"/>
          <w:lang w:val="fr-FR"/>
        </w:rPr>
        <w:t xml:space="preserve">, le Gouvernement s’est efforcé de </w:t>
      </w:r>
      <w:r w:rsidR="00A2334E" w:rsidRPr="002715F2">
        <w:rPr>
          <w:rFonts w:eastAsia="Batang"/>
          <w:lang w:val="fr-FR"/>
        </w:rPr>
        <w:t>reprendre à son</w:t>
      </w:r>
      <w:r w:rsidR="00AA10E2" w:rsidRPr="002715F2">
        <w:rPr>
          <w:rFonts w:eastAsia="Batang"/>
          <w:lang w:val="fr-FR"/>
        </w:rPr>
        <w:t xml:space="preserve"> compte </w:t>
      </w:r>
      <w:r w:rsidR="00A2334E" w:rsidRPr="002715F2">
        <w:rPr>
          <w:rFonts w:eastAsia="Batang"/>
          <w:lang w:val="fr-FR"/>
        </w:rPr>
        <w:t>l</w:t>
      </w:r>
      <w:r w:rsidR="00AA10E2" w:rsidRPr="002715F2">
        <w:rPr>
          <w:rFonts w:eastAsia="Batang"/>
          <w:lang w:val="fr-FR"/>
        </w:rPr>
        <w:t xml:space="preserve">es recommandations de la Commission nationale des droits de l’homme et </w:t>
      </w:r>
      <w:r w:rsidR="00A2334E" w:rsidRPr="002715F2">
        <w:rPr>
          <w:rFonts w:eastAsia="Batang"/>
          <w:lang w:val="fr-FR"/>
        </w:rPr>
        <w:t>l</w:t>
      </w:r>
      <w:r w:rsidR="00AA10E2" w:rsidRPr="002715F2">
        <w:rPr>
          <w:rFonts w:eastAsia="Batang"/>
          <w:lang w:val="fr-FR"/>
        </w:rPr>
        <w:t>es avis des organisations non gouvernementales</w:t>
      </w:r>
      <w:r w:rsidR="000078DA" w:rsidRPr="002715F2">
        <w:rPr>
          <w:rFonts w:eastAsia="Batang"/>
          <w:lang w:val="fr-FR"/>
        </w:rPr>
        <w:t xml:space="preserve">. </w:t>
      </w:r>
      <w:r w:rsidR="00231F65" w:rsidRPr="002715F2">
        <w:rPr>
          <w:rFonts w:eastAsia="Batang"/>
          <w:lang w:val="fr-FR"/>
        </w:rPr>
        <w:t xml:space="preserve">S’agissant du deuxième plan établi en 2012, </w:t>
      </w:r>
      <w:r w:rsidR="00B74218" w:rsidRPr="002715F2">
        <w:rPr>
          <w:rFonts w:eastAsia="Batang"/>
          <w:lang w:val="fr-FR"/>
        </w:rPr>
        <w:t>le Gouvernement a</w:t>
      </w:r>
      <w:r w:rsidR="00AA10E2" w:rsidRPr="002715F2">
        <w:rPr>
          <w:rFonts w:eastAsia="Batang"/>
          <w:lang w:val="fr-FR"/>
        </w:rPr>
        <w:t xml:space="preserve"> également </w:t>
      </w:r>
      <w:r w:rsidR="00B74218" w:rsidRPr="002715F2">
        <w:rPr>
          <w:rFonts w:eastAsia="Batang"/>
          <w:lang w:val="fr-FR"/>
        </w:rPr>
        <w:t xml:space="preserve">œuvré pour y </w:t>
      </w:r>
      <w:r w:rsidR="00A2334E" w:rsidRPr="002715F2">
        <w:rPr>
          <w:rFonts w:eastAsia="Batang"/>
          <w:lang w:val="fr-FR"/>
        </w:rPr>
        <w:t>intégrer</w:t>
      </w:r>
      <w:r w:rsidR="00AA10E2" w:rsidRPr="002715F2">
        <w:rPr>
          <w:rFonts w:eastAsia="Batang"/>
          <w:lang w:val="fr-FR"/>
        </w:rPr>
        <w:t xml:space="preserve"> les recommandations </w:t>
      </w:r>
      <w:r w:rsidR="00A2334E" w:rsidRPr="002715F2">
        <w:rPr>
          <w:rFonts w:eastAsia="Batang"/>
          <w:lang w:val="fr-FR"/>
        </w:rPr>
        <w:t>émises</w:t>
      </w:r>
      <w:r w:rsidR="00231F65" w:rsidRPr="002715F2">
        <w:rPr>
          <w:rFonts w:eastAsia="Batang"/>
          <w:lang w:val="fr-FR"/>
        </w:rPr>
        <w:t xml:space="preserve"> par les</w:t>
      </w:r>
      <w:r w:rsidR="00AA10E2" w:rsidRPr="002715F2">
        <w:rPr>
          <w:rFonts w:eastAsia="Batang"/>
          <w:lang w:val="fr-FR"/>
        </w:rPr>
        <w:t xml:space="preserve"> organes conventionnels des dro</w:t>
      </w:r>
      <w:r w:rsidR="00DA0120" w:rsidRPr="002715F2">
        <w:rPr>
          <w:rFonts w:eastAsia="Batang"/>
          <w:lang w:val="fr-FR"/>
        </w:rPr>
        <w:t xml:space="preserve">its de l’homme depuis </w:t>
      </w:r>
      <w:r w:rsidR="007661F9" w:rsidRPr="002715F2">
        <w:rPr>
          <w:rFonts w:eastAsia="Batang"/>
          <w:lang w:val="fr-FR"/>
        </w:rPr>
        <w:t xml:space="preserve">mai </w:t>
      </w:r>
      <w:r w:rsidR="00DA0120" w:rsidRPr="002715F2">
        <w:rPr>
          <w:rFonts w:eastAsia="Batang"/>
          <w:lang w:val="fr-FR"/>
        </w:rPr>
        <w:t xml:space="preserve">2007 </w:t>
      </w:r>
      <w:r w:rsidR="00AA10E2" w:rsidRPr="002715F2">
        <w:rPr>
          <w:rFonts w:eastAsia="Batang"/>
          <w:lang w:val="fr-FR"/>
        </w:rPr>
        <w:t xml:space="preserve">en </w:t>
      </w:r>
      <w:r w:rsidR="00231F65" w:rsidRPr="002715F2">
        <w:rPr>
          <w:rFonts w:eastAsia="Batang"/>
          <w:lang w:val="fr-FR"/>
        </w:rPr>
        <w:t xml:space="preserve">les </w:t>
      </w:r>
      <w:r w:rsidR="004E06F5" w:rsidRPr="002715F2">
        <w:rPr>
          <w:rFonts w:eastAsia="Batang"/>
          <w:lang w:val="fr-FR"/>
        </w:rPr>
        <w:t>diffusant</w:t>
      </w:r>
      <w:r w:rsidR="00AA10E2" w:rsidRPr="002715F2">
        <w:rPr>
          <w:rFonts w:eastAsia="Batang"/>
          <w:lang w:val="fr-FR"/>
        </w:rPr>
        <w:t xml:space="preserve"> </w:t>
      </w:r>
      <w:r w:rsidR="00231F65" w:rsidRPr="002715F2">
        <w:rPr>
          <w:rFonts w:eastAsia="Batang"/>
          <w:lang w:val="fr-FR"/>
        </w:rPr>
        <w:t>au</w:t>
      </w:r>
      <w:r w:rsidR="00B74218" w:rsidRPr="002715F2">
        <w:rPr>
          <w:rFonts w:eastAsia="Batang"/>
          <w:lang w:val="fr-FR"/>
        </w:rPr>
        <w:t>près des</w:t>
      </w:r>
      <w:r w:rsidR="00AA10E2" w:rsidRPr="002715F2">
        <w:rPr>
          <w:rFonts w:eastAsia="Batang"/>
          <w:lang w:val="fr-FR"/>
        </w:rPr>
        <w:t xml:space="preserve"> ministères </w:t>
      </w:r>
      <w:r w:rsidR="00231F65" w:rsidRPr="002715F2">
        <w:rPr>
          <w:rFonts w:eastAsia="Batang"/>
          <w:lang w:val="fr-FR"/>
        </w:rPr>
        <w:t xml:space="preserve">et </w:t>
      </w:r>
      <w:r w:rsidR="00B74218" w:rsidRPr="002715F2">
        <w:rPr>
          <w:rFonts w:eastAsia="Batang"/>
          <w:lang w:val="fr-FR"/>
        </w:rPr>
        <w:t xml:space="preserve">des </w:t>
      </w:r>
      <w:r w:rsidR="00231F65" w:rsidRPr="002715F2">
        <w:rPr>
          <w:rFonts w:eastAsia="Batang"/>
          <w:lang w:val="fr-FR"/>
        </w:rPr>
        <w:t xml:space="preserve">organisations </w:t>
      </w:r>
      <w:r w:rsidR="00AA10E2" w:rsidRPr="002715F2">
        <w:rPr>
          <w:rFonts w:eastAsia="Batang"/>
          <w:lang w:val="fr-FR"/>
        </w:rPr>
        <w:t xml:space="preserve">concernés et </w:t>
      </w:r>
      <w:r w:rsidR="00231F65" w:rsidRPr="002715F2">
        <w:rPr>
          <w:rFonts w:eastAsia="Batang"/>
          <w:lang w:val="fr-FR"/>
        </w:rPr>
        <w:t>en les</w:t>
      </w:r>
      <w:r w:rsidR="00AA10E2" w:rsidRPr="002715F2">
        <w:rPr>
          <w:rFonts w:eastAsia="Batang"/>
          <w:lang w:val="fr-FR"/>
        </w:rPr>
        <w:t xml:space="preserve"> ventil</w:t>
      </w:r>
      <w:r w:rsidR="00231F65" w:rsidRPr="002715F2">
        <w:rPr>
          <w:rFonts w:eastAsia="Batang"/>
          <w:lang w:val="fr-FR"/>
        </w:rPr>
        <w:t xml:space="preserve">ant </w:t>
      </w:r>
      <w:r w:rsidR="00AA10E2" w:rsidRPr="002715F2">
        <w:rPr>
          <w:rFonts w:eastAsia="Batang"/>
          <w:lang w:val="fr-FR"/>
        </w:rPr>
        <w:t xml:space="preserve">par régions, ministères et </w:t>
      </w:r>
      <w:r w:rsidR="00231F65" w:rsidRPr="002715F2">
        <w:rPr>
          <w:rFonts w:eastAsia="Batang"/>
          <w:lang w:val="fr-FR"/>
        </w:rPr>
        <w:t>organisations</w:t>
      </w:r>
      <w:r w:rsidR="00B70529"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217.</w:t>
      </w:r>
      <w:r w:rsidRPr="002715F2">
        <w:rPr>
          <w:rFonts w:eastAsia="Batang"/>
          <w:lang w:val="fr-FR"/>
        </w:rPr>
        <w:tab/>
      </w:r>
      <w:r w:rsidR="004E06F5" w:rsidRPr="002715F2">
        <w:rPr>
          <w:rFonts w:eastAsia="Batang"/>
          <w:lang w:val="fr-FR"/>
        </w:rPr>
        <w:t>Le deuxième plan d’action national comprend</w:t>
      </w:r>
      <w:r w:rsidR="00B12492" w:rsidRPr="002715F2">
        <w:rPr>
          <w:rFonts w:eastAsia="Batang"/>
          <w:lang w:val="fr-FR"/>
        </w:rPr>
        <w:t xml:space="preserve"> </w:t>
      </w:r>
      <w:r w:rsidR="004E06F5" w:rsidRPr="002715F2">
        <w:rPr>
          <w:rFonts w:eastAsia="Batang"/>
          <w:lang w:val="fr-FR"/>
        </w:rPr>
        <w:t>221</w:t>
      </w:r>
      <w:r w:rsidR="00B12492" w:rsidRPr="002715F2">
        <w:rPr>
          <w:rFonts w:eastAsia="Batang"/>
          <w:lang w:val="fr-FR"/>
        </w:rPr>
        <w:t xml:space="preserve"> travaux de mise en </w:t>
      </w:r>
      <w:r w:rsidR="0039617D" w:rsidRPr="002715F2">
        <w:rPr>
          <w:rFonts w:eastAsia="Batang"/>
          <w:lang w:val="fr-FR"/>
        </w:rPr>
        <w:t>œuvre</w:t>
      </w:r>
      <w:r w:rsidR="00B12492" w:rsidRPr="002715F2">
        <w:rPr>
          <w:rFonts w:eastAsia="Batang"/>
          <w:lang w:val="fr-FR"/>
        </w:rPr>
        <w:t xml:space="preserve"> </w:t>
      </w:r>
      <w:r w:rsidR="004E06F5" w:rsidRPr="002715F2">
        <w:rPr>
          <w:rFonts w:eastAsia="Batang"/>
          <w:lang w:val="fr-FR"/>
        </w:rPr>
        <w:t xml:space="preserve">dans </w:t>
      </w:r>
      <w:r w:rsidR="00B12492" w:rsidRPr="002715F2">
        <w:rPr>
          <w:rFonts w:eastAsia="Batang"/>
          <w:lang w:val="fr-FR"/>
        </w:rPr>
        <w:t>divers</w:t>
      </w:r>
      <w:r w:rsidR="004E06F5" w:rsidRPr="002715F2">
        <w:rPr>
          <w:rFonts w:eastAsia="Batang"/>
          <w:lang w:val="fr-FR"/>
        </w:rPr>
        <w:t xml:space="preserve"> </w:t>
      </w:r>
      <w:r w:rsidR="00B12492" w:rsidRPr="002715F2">
        <w:rPr>
          <w:rFonts w:eastAsia="Batang"/>
          <w:lang w:val="fr-FR"/>
        </w:rPr>
        <w:t>domain</w:t>
      </w:r>
      <w:r w:rsidR="002472C3" w:rsidRPr="002715F2">
        <w:rPr>
          <w:rFonts w:eastAsia="Batang"/>
          <w:lang w:val="fr-FR"/>
        </w:rPr>
        <w:t>e</w:t>
      </w:r>
      <w:r w:rsidR="00B70774" w:rsidRPr="002715F2">
        <w:rPr>
          <w:rFonts w:eastAsia="Batang"/>
          <w:lang w:val="fr-FR"/>
        </w:rPr>
        <w:t>s</w:t>
      </w:r>
      <w:r w:rsidR="00B12492" w:rsidRPr="002715F2">
        <w:rPr>
          <w:rFonts w:eastAsia="Batang"/>
          <w:lang w:val="fr-FR"/>
        </w:rPr>
        <w:t xml:space="preserve"> </w:t>
      </w:r>
      <w:r w:rsidR="00481F88" w:rsidRPr="002715F2">
        <w:rPr>
          <w:rFonts w:eastAsia="Batang"/>
          <w:lang w:val="fr-FR"/>
        </w:rPr>
        <w:t>dont</w:t>
      </w:r>
      <w:r w:rsidR="00E97B1A" w:rsidRPr="002715F2">
        <w:rPr>
          <w:rFonts w:eastAsia="Batang"/>
          <w:lang w:val="fr-FR"/>
        </w:rPr>
        <w:t>:</w:t>
      </w:r>
      <w:r w:rsidR="004E06F5" w:rsidRPr="002715F2">
        <w:rPr>
          <w:rFonts w:eastAsia="Batang"/>
          <w:lang w:val="fr-FR"/>
        </w:rPr>
        <w:t xml:space="preserve"> </w:t>
      </w:r>
      <w:r w:rsidR="00481F88" w:rsidRPr="002715F2">
        <w:rPr>
          <w:rFonts w:eastAsia="Batang"/>
          <w:lang w:val="fr-FR"/>
        </w:rPr>
        <w:t xml:space="preserve">les </w:t>
      </w:r>
      <w:r w:rsidR="004E06F5" w:rsidRPr="002715F2">
        <w:rPr>
          <w:rFonts w:eastAsia="Batang"/>
          <w:lang w:val="fr-FR"/>
        </w:rPr>
        <w:t>droits civils, politiques, économiques, sociaux et culturels</w:t>
      </w:r>
      <w:r w:rsidR="00E97B1A" w:rsidRPr="002715F2">
        <w:rPr>
          <w:rFonts w:eastAsia="Batang"/>
          <w:lang w:val="fr-FR"/>
        </w:rPr>
        <w:t>;</w:t>
      </w:r>
      <w:r w:rsidR="004E06F5" w:rsidRPr="002715F2">
        <w:rPr>
          <w:rFonts w:eastAsia="Batang"/>
          <w:lang w:val="fr-FR"/>
        </w:rPr>
        <w:t xml:space="preserve"> </w:t>
      </w:r>
      <w:r w:rsidR="00481F88" w:rsidRPr="002715F2">
        <w:rPr>
          <w:rFonts w:eastAsia="Batang"/>
          <w:lang w:val="fr-FR"/>
        </w:rPr>
        <w:t xml:space="preserve">les </w:t>
      </w:r>
      <w:r w:rsidR="004E06F5" w:rsidRPr="002715F2">
        <w:rPr>
          <w:rFonts w:eastAsia="Batang"/>
          <w:lang w:val="fr-FR"/>
        </w:rPr>
        <w:t>droits fondamentaux des groupes vulnérables et des minorités</w:t>
      </w:r>
      <w:r w:rsidR="00E97B1A" w:rsidRPr="002715F2">
        <w:rPr>
          <w:rFonts w:eastAsia="Batang"/>
          <w:lang w:val="fr-FR"/>
        </w:rPr>
        <w:t>;</w:t>
      </w:r>
      <w:r w:rsidR="00D73CF8" w:rsidRPr="002715F2">
        <w:rPr>
          <w:rFonts w:eastAsia="Batang"/>
          <w:lang w:val="fr-FR"/>
        </w:rPr>
        <w:t xml:space="preserve"> </w:t>
      </w:r>
      <w:r w:rsidR="00481F88" w:rsidRPr="002715F2">
        <w:rPr>
          <w:rFonts w:eastAsia="Batang"/>
          <w:lang w:val="fr-FR"/>
        </w:rPr>
        <w:t>l’</w:t>
      </w:r>
      <w:r w:rsidR="004E06F5" w:rsidRPr="002715F2">
        <w:rPr>
          <w:rFonts w:eastAsia="Batang"/>
          <w:lang w:val="fr-FR"/>
        </w:rPr>
        <w:t>éducation aux droits de l’homme</w:t>
      </w:r>
      <w:r w:rsidR="000078DA" w:rsidRPr="002715F2">
        <w:rPr>
          <w:rFonts w:eastAsia="Batang"/>
          <w:lang w:val="fr-FR"/>
        </w:rPr>
        <w:t xml:space="preserve">. </w:t>
      </w:r>
      <w:r w:rsidR="004E06F5" w:rsidRPr="002715F2">
        <w:rPr>
          <w:rFonts w:eastAsia="Batang"/>
          <w:lang w:val="fr-FR"/>
        </w:rPr>
        <w:t xml:space="preserve">Vingt-quatre ministères et organismes sont chargés </w:t>
      </w:r>
      <w:r w:rsidR="00B12492" w:rsidRPr="002715F2">
        <w:rPr>
          <w:rFonts w:eastAsia="Batang"/>
          <w:lang w:val="fr-FR"/>
        </w:rPr>
        <w:t>de réaliser ces travaux</w:t>
      </w:r>
      <w:r w:rsidR="000078DA" w:rsidRPr="002715F2">
        <w:rPr>
          <w:rFonts w:eastAsia="Batang"/>
          <w:lang w:val="fr-FR"/>
        </w:rPr>
        <w:t xml:space="preserve">. </w:t>
      </w:r>
      <w:r w:rsidR="004E06F5" w:rsidRPr="002715F2">
        <w:rPr>
          <w:rFonts w:eastAsia="Batang"/>
          <w:lang w:val="fr-FR"/>
        </w:rPr>
        <w:t>Chaque année, les résultats de l</w:t>
      </w:r>
      <w:r w:rsidR="00B12492" w:rsidRPr="002715F2">
        <w:rPr>
          <w:rFonts w:eastAsia="Batang"/>
          <w:lang w:val="fr-FR"/>
        </w:rPr>
        <w:t>eur</w:t>
      </w:r>
      <w:r w:rsidR="004E06F5" w:rsidRPr="002715F2">
        <w:rPr>
          <w:rFonts w:eastAsia="Batang"/>
          <w:lang w:val="fr-FR"/>
        </w:rPr>
        <w:t xml:space="preserve"> mise en œuvre sont compilés et transmis au </w:t>
      </w:r>
      <w:r w:rsidR="00B70774" w:rsidRPr="002715F2">
        <w:rPr>
          <w:lang w:val="fr-FR"/>
        </w:rPr>
        <w:t>Conseil national des politiques en faveur des droits de l’homme</w:t>
      </w:r>
      <w:r w:rsidR="004E06F5" w:rsidRPr="002715F2">
        <w:rPr>
          <w:rFonts w:eastAsia="Batang"/>
          <w:lang w:val="fr-FR"/>
        </w:rPr>
        <w:t xml:space="preserve">, puis </w:t>
      </w:r>
      <w:r w:rsidR="00B12492" w:rsidRPr="002715F2">
        <w:rPr>
          <w:rFonts w:eastAsia="Batang"/>
          <w:lang w:val="fr-FR"/>
        </w:rPr>
        <w:t>rendus publics</w:t>
      </w:r>
      <w:r w:rsidR="00AA472B" w:rsidRPr="002715F2">
        <w:rPr>
          <w:rFonts w:eastAsia="Batang"/>
          <w:lang w:val="fr-FR"/>
        </w:rPr>
        <w:t>.</w:t>
      </w:r>
    </w:p>
    <w:p w:rsidR="000078DA" w:rsidRPr="002715F2" w:rsidRDefault="007026FB" w:rsidP="007026FB">
      <w:pPr>
        <w:pStyle w:val="SingleTxtG"/>
        <w:rPr>
          <w:rFonts w:eastAsia="Batang"/>
          <w:lang w:val="fr-FR"/>
        </w:rPr>
      </w:pPr>
      <w:r w:rsidRPr="002715F2">
        <w:rPr>
          <w:rFonts w:eastAsia="Batang"/>
          <w:lang w:val="fr-FR"/>
        </w:rPr>
        <w:t>218.</w:t>
      </w:r>
      <w:r w:rsidRPr="002715F2">
        <w:rPr>
          <w:rFonts w:eastAsia="Batang"/>
          <w:lang w:val="fr-FR"/>
        </w:rPr>
        <w:tab/>
      </w:r>
      <w:r w:rsidR="000A2D70" w:rsidRPr="002715F2">
        <w:rPr>
          <w:rFonts w:eastAsia="Batang"/>
          <w:lang w:val="fr-FR"/>
        </w:rPr>
        <w:t>Le deuxième plan d’action national comprend notamment les travaux suivants</w:t>
      </w:r>
      <w:r w:rsidR="00E97B1A" w:rsidRPr="002715F2">
        <w:rPr>
          <w:rFonts w:eastAsia="Batang"/>
          <w:lang w:val="fr-FR"/>
        </w:rPr>
        <w:t>:</w:t>
      </w:r>
      <w:r w:rsidR="000A2D70" w:rsidRPr="002715F2">
        <w:rPr>
          <w:rFonts w:eastAsia="Batang"/>
          <w:lang w:val="fr-FR"/>
        </w:rPr>
        <w:t xml:space="preserve"> amélioration des procédures d’arrestation et de détention en précisant dans la loi les motifs précis et clairs pour lesquels une personne peut être placée en </w:t>
      </w:r>
      <w:r w:rsidR="0039617D" w:rsidRPr="002715F2">
        <w:rPr>
          <w:rFonts w:eastAsia="Batang"/>
          <w:lang w:val="fr-FR"/>
        </w:rPr>
        <w:t>détention</w:t>
      </w:r>
      <w:r w:rsidR="00E97B1A" w:rsidRPr="002715F2">
        <w:rPr>
          <w:rFonts w:eastAsia="Batang"/>
          <w:lang w:val="fr-FR"/>
        </w:rPr>
        <w:t>;</w:t>
      </w:r>
      <w:r w:rsidR="000A2D70" w:rsidRPr="002715F2">
        <w:rPr>
          <w:rFonts w:eastAsia="Batang"/>
          <w:lang w:val="fr-FR"/>
        </w:rPr>
        <w:t xml:space="preserve"> renforcement </w:t>
      </w:r>
      <w:r w:rsidR="00111FCC" w:rsidRPr="002715F2">
        <w:rPr>
          <w:rFonts w:eastAsia="Batang"/>
          <w:lang w:val="fr-FR"/>
        </w:rPr>
        <w:t>de</w:t>
      </w:r>
      <w:r w:rsidR="00DA0120" w:rsidRPr="002715F2">
        <w:rPr>
          <w:rFonts w:eastAsia="Batang"/>
          <w:lang w:val="fr-FR"/>
        </w:rPr>
        <w:t>s</w:t>
      </w:r>
      <w:r w:rsidR="00111FCC" w:rsidRPr="002715F2">
        <w:rPr>
          <w:rFonts w:eastAsia="Batang"/>
          <w:lang w:val="fr-FR"/>
        </w:rPr>
        <w:t xml:space="preserve"> voies de</w:t>
      </w:r>
      <w:r w:rsidR="000A2D70" w:rsidRPr="002715F2">
        <w:rPr>
          <w:rFonts w:eastAsia="Batang"/>
          <w:lang w:val="fr-FR"/>
        </w:rPr>
        <w:t xml:space="preserve"> secours </w:t>
      </w:r>
      <w:r w:rsidR="00111FCC" w:rsidRPr="002715F2">
        <w:rPr>
          <w:rFonts w:eastAsia="Batang"/>
          <w:lang w:val="fr-FR"/>
        </w:rPr>
        <w:t>(</w:t>
      </w:r>
      <w:r w:rsidR="00111FCC" w:rsidRPr="002715F2">
        <w:rPr>
          <w:rFonts w:eastAsia="Batang"/>
          <w:i/>
          <w:lang w:val="fr-FR"/>
        </w:rPr>
        <w:t>habeas corpus</w:t>
      </w:r>
      <w:r w:rsidR="00111FCC" w:rsidRPr="002715F2">
        <w:rPr>
          <w:rFonts w:eastAsia="Batang"/>
          <w:lang w:val="fr-FR"/>
        </w:rPr>
        <w:t>)</w:t>
      </w:r>
      <w:r w:rsidR="00E97B1A" w:rsidRPr="002715F2">
        <w:rPr>
          <w:rFonts w:eastAsia="Batang"/>
          <w:lang w:val="fr-FR"/>
        </w:rPr>
        <w:t>;</w:t>
      </w:r>
      <w:r w:rsidR="000A2D70" w:rsidRPr="002715F2">
        <w:rPr>
          <w:rFonts w:eastAsia="Batang"/>
          <w:lang w:val="fr-FR"/>
        </w:rPr>
        <w:t xml:space="preserve"> imposition de sanctions plus sévères pour la traite des êtres humains et la vente d’enfants</w:t>
      </w:r>
      <w:r w:rsidR="00E97B1A" w:rsidRPr="002715F2">
        <w:rPr>
          <w:rFonts w:eastAsia="Batang"/>
          <w:lang w:val="fr-FR"/>
        </w:rPr>
        <w:t>;</w:t>
      </w:r>
      <w:r w:rsidR="000A2D70" w:rsidRPr="002715F2">
        <w:rPr>
          <w:rFonts w:eastAsia="Batang"/>
          <w:lang w:val="fr-FR"/>
        </w:rPr>
        <w:t xml:space="preserve"> </w:t>
      </w:r>
      <w:r w:rsidR="0039617D" w:rsidRPr="002715F2">
        <w:rPr>
          <w:rFonts w:eastAsia="Batang"/>
          <w:lang w:val="fr-FR"/>
        </w:rPr>
        <w:t>amélioration</w:t>
      </w:r>
      <w:r w:rsidR="000A2D70" w:rsidRPr="002715F2">
        <w:rPr>
          <w:rFonts w:eastAsia="Batang"/>
          <w:lang w:val="fr-FR"/>
        </w:rPr>
        <w:t xml:space="preserve"> des conditions dans les cellules de substitution</w:t>
      </w:r>
      <w:r w:rsidR="00E97B1A" w:rsidRPr="002715F2">
        <w:rPr>
          <w:rFonts w:eastAsia="Batang"/>
          <w:lang w:val="fr-FR"/>
        </w:rPr>
        <w:t>;</w:t>
      </w:r>
      <w:r w:rsidR="000A2D70" w:rsidRPr="002715F2">
        <w:rPr>
          <w:rFonts w:eastAsia="Batang"/>
          <w:lang w:val="fr-FR"/>
        </w:rPr>
        <w:t xml:space="preserve"> renforce</w:t>
      </w:r>
      <w:r w:rsidR="00111FCC" w:rsidRPr="002715F2">
        <w:rPr>
          <w:rFonts w:eastAsia="Batang"/>
          <w:lang w:val="fr-FR"/>
        </w:rPr>
        <w:t>ment de</w:t>
      </w:r>
      <w:r w:rsidR="000A2D70" w:rsidRPr="002715F2">
        <w:rPr>
          <w:rFonts w:eastAsia="Batang"/>
          <w:lang w:val="fr-FR"/>
        </w:rPr>
        <w:t xml:space="preserve"> la protection des droits de l’homme dans le cadre de la répression </w:t>
      </w:r>
      <w:r w:rsidR="00B70774" w:rsidRPr="002715F2">
        <w:rPr>
          <w:rFonts w:eastAsia="Batang"/>
          <w:lang w:val="fr-FR"/>
        </w:rPr>
        <w:t xml:space="preserve">de l’immigration clandestine </w:t>
      </w:r>
      <w:r w:rsidR="000A2D70" w:rsidRPr="002715F2">
        <w:rPr>
          <w:rFonts w:eastAsia="Batang"/>
          <w:lang w:val="fr-FR"/>
        </w:rPr>
        <w:t>et de la détention des étrangers sans papiers</w:t>
      </w:r>
      <w:r w:rsidR="000078DA" w:rsidRPr="002715F2">
        <w:rPr>
          <w:rFonts w:eastAsia="Batang"/>
          <w:lang w:val="fr-FR"/>
        </w:rPr>
        <w:t>.</w:t>
      </w:r>
    </w:p>
    <w:p w:rsidR="000078DA" w:rsidRPr="002715F2" w:rsidRDefault="00BB0CF3" w:rsidP="00BB0CF3">
      <w:pPr>
        <w:pStyle w:val="H23G"/>
        <w:rPr>
          <w:rFonts w:eastAsia="Batang"/>
          <w:lang w:val="fr-FR" w:eastAsia="ko-KR"/>
        </w:rPr>
      </w:pPr>
      <w:r w:rsidRPr="002715F2">
        <w:rPr>
          <w:rFonts w:eastAsia="Batang"/>
          <w:lang w:val="fr-FR" w:eastAsia="ko-KR"/>
        </w:rPr>
        <w:tab/>
      </w:r>
      <w:r w:rsidRPr="002715F2">
        <w:rPr>
          <w:rFonts w:eastAsia="Batang"/>
          <w:lang w:val="fr-FR" w:eastAsia="ko-KR"/>
        </w:rPr>
        <w:tab/>
      </w:r>
      <w:r w:rsidR="002472C3" w:rsidRPr="002715F2">
        <w:rPr>
          <w:rFonts w:eastAsia="Batang"/>
          <w:lang w:val="fr-FR" w:eastAsia="ko-KR"/>
        </w:rPr>
        <w:t>Réponse aux qu</w:t>
      </w:r>
      <w:r w:rsidR="00D73CF8" w:rsidRPr="002715F2">
        <w:rPr>
          <w:rFonts w:eastAsia="Batang"/>
          <w:lang w:val="fr-FR" w:eastAsia="ko-KR"/>
        </w:rPr>
        <w:t xml:space="preserve">estions soulevées au </w:t>
      </w:r>
      <w:r w:rsidR="00AA7A36" w:rsidRPr="002715F2">
        <w:rPr>
          <w:rFonts w:eastAsia="Batang"/>
          <w:lang w:val="fr-FR" w:eastAsia="ko-KR"/>
        </w:rPr>
        <w:t xml:space="preserve">paragraphe </w:t>
      </w:r>
      <w:r w:rsidR="002472C3" w:rsidRPr="002715F2">
        <w:rPr>
          <w:rFonts w:eastAsia="Batang"/>
          <w:lang w:val="fr-FR" w:eastAsia="ko-KR"/>
        </w:rPr>
        <w:t>43</w:t>
      </w:r>
    </w:p>
    <w:p w:rsidR="004D4A3E" w:rsidRPr="002715F2" w:rsidRDefault="007026FB" w:rsidP="007026FB">
      <w:pPr>
        <w:pStyle w:val="SingleTxtG"/>
        <w:rPr>
          <w:rFonts w:eastAsia="Batang"/>
          <w:lang w:val="fr-FR"/>
        </w:rPr>
      </w:pPr>
      <w:r w:rsidRPr="002715F2">
        <w:rPr>
          <w:rFonts w:eastAsia="Batang"/>
          <w:lang w:val="fr-FR"/>
        </w:rPr>
        <w:t>219.</w:t>
      </w:r>
      <w:r w:rsidRPr="002715F2">
        <w:rPr>
          <w:rFonts w:eastAsia="Batang"/>
          <w:lang w:val="fr-FR"/>
        </w:rPr>
        <w:tab/>
      </w:r>
      <w:r w:rsidR="002472C3" w:rsidRPr="002715F2">
        <w:rPr>
          <w:rFonts w:eastAsia="Batang"/>
          <w:lang w:val="fr-FR"/>
        </w:rPr>
        <w:t xml:space="preserve">Pour cette réponse, on se reportera aux réponses apportées </w:t>
      </w:r>
      <w:r w:rsidR="00AA7A36" w:rsidRPr="002715F2">
        <w:rPr>
          <w:rFonts w:eastAsia="Batang"/>
          <w:lang w:val="fr-FR"/>
        </w:rPr>
        <w:t xml:space="preserve">aux </w:t>
      </w:r>
      <w:r w:rsidR="00AD696F" w:rsidRPr="002715F2">
        <w:rPr>
          <w:rFonts w:eastAsia="Batang"/>
          <w:lang w:val="fr-FR"/>
        </w:rPr>
        <w:t xml:space="preserve">questions soulevées </w:t>
      </w:r>
      <w:r w:rsidR="002472C3" w:rsidRPr="002715F2">
        <w:rPr>
          <w:rFonts w:eastAsia="Batang"/>
          <w:lang w:val="fr-FR"/>
        </w:rPr>
        <w:t>aux paragraphes 1 à 42 de la liste des points</w:t>
      </w:r>
      <w:r w:rsidR="000078DA" w:rsidRPr="002715F2">
        <w:rPr>
          <w:rFonts w:eastAsia="Batang"/>
          <w:lang w:val="fr-FR"/>
        </w:rPr>
        <w:t>.</w:t>
      </w:r>
    </w:p>
    <w:p w:rsidR="004D4A3E" w:rsidRPr="002715F2" w:rsidRDefault="004D4A3E" w:rsidP="004D4A3E">
      <w:pPr>
        <w:pStyle w:val="SingleTxtG"/>
        <w:spacing w:before="240" w:after="0"/>
        <w:jc w:val="center"/>
        <w:rPr>
          <w:rFonts w:eastAsia="Batang"/>
          <w:u w:val="single"/>
          <w:lang w:val="fr-FR"/>
        </w:rPr>
      </w:pPr>
      <w:r w:rsidRPr="002715F2">
        <w:rPr>
          <w:rFonts w:eastAsia="Batang"/>
          <w:u w:val="single"/>
          <w:lang w:val="fr-FR"/>
        </w:rPr>
        <w:tab/>
      </w:r>
      <w:r w:rsidRPr="002715F2">
        <w:rPr>
          <w:rFonts w:eastAsia="Batang"/>
          <w:u w:val="single"/>
          <w:lang w:val="fr-FR"/>
        </w:rPr>
        <w:tab/>
      </w:r>
      <w:r w:rsidRPr="002715F2">
        <w:rPr>
          <w:rFonts w:eastAsia="Batang"/>
          <w:u w:val="single"/>
          <w:lang w:val="fr-FR"/>
        </w:rPr>
        <w:tab/>
      </w:r>
    </w:p>
    <w:sectPr w:rsidR="004D4A3E" w:rsidRPr="002715F2" w:rsidSect="005E619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F7" w:rsidRDefault="00F67AF7"/>
  </w:endnote>
  <w:endnote w:type="continuationSeparator" w:id="0">
    <w:p w:rsidR="00F67AF7" w:rsidRDefault="00F67AF7"/>
  </w:endnote>
  <w:endnote w:type="continuationNotice" w:id="1">
    <w:p w:rsidR="00F67AF7" w:rsidRDefault="00F6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HYHeadLine-Medium">
    <w:altName w:val="Arial Unicode MS"/>
    <w:charset w:val="81"/>
    <w:family w:val="roman"/>
    <w:pitch w:val="variable"/>
    <w:sig w:usb0="00000000" w:usb1="09D77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Arial Unicode MS"/>
    <w:charset w:val="81"/>
    <w:family w:val="auto"/>
    <w:pitch w:val="variable"/>
    <w:sig w:usb0="00000000" w:usb1="19D77CFB"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한양신명조">
    <w:altName w:val="Batang"/>
    <w:panose1 w:val="00000000000000000000"/>
    <w:charset w:val="81"/>
    <w:family w:val="roman"/>
    <w:notTrueType/>
    <w:pitch w:val="default"/>
    <w:sig w:usb0="00000001" w:usb1="09060000" w:usb2="00000010" w:usb3="00000000" w:csb0="00080000" w:csb1="00000000"/>
  </w:font>
  <w:font w:name="HyhwpEQ">
    <w:altName w:val="Arial Unicode MS"/>
    <w:charset w:val="81"/>
    <w:family w:val="roman"/>
    <w:pitch w:val="variable"/>
    <w:sig w:usb0="00000000" w:usb1="190628E8"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D" w:rsidRPr="007C30CC" w:rsidRDefault="00675A3D" w:rsidP="007C30CC">
    <w:pPr>
      <w:pStyle w:val="Footer"/>
      <w:tabs>
        <w:tab w:val="right" w:pos="9638"/>
      </w:tabs>
    </w:pPr>
    <w:r w:rsidRPr="007C30CC">
      <w:rPr>
        <w:b/>
        <w:sz w:val="18"/>
      </w:rPr>
      <w:fldChar w:fldCharType="begin"/>
    </w:r>
    <w:r w:rsidRPr="007C30CC">
      <w:rPr>
        <w:b/>
        <w:sz w:val="18"/>
      </w:rPr>
      <w:instrText xml:space="preserve"> PAGE  \* MERGEFORMAT </w:instrText>
    </w:r>
    <w:r w:rsidRPr="007C30CC">
      <w:rPr>
        <w:b/>
        <w:sz w:val="18"/>
      </w:rPr>
      <w:fldChar w:fldCharType="separate"/>
    </w:r>
    <w:r w:rsidR="002715F2">
      <w:rPr>
        <w:b/>
        <w:noProof/>
        <w:sz w:val="18"/>
      </w:rPr>
      <w:t>42</w:t>
    </w:r>
    <w:r w:rsidRPr="007C30CC">
      <w:rPr>
        <w:b/>
        <w:sz w:val="18"/>
      </w:rPr>
      <w:fldChar w:fldCharType="end"/>
    </w:r>
    <w:r>
      <w:rPr>
        <w:sz w:val="18"/>
      </w:rPr>
      <w:tab/>
    </w:r>
    <w:r w:rsidRPr="00AD2CD0">
      <w:rPr>
        <w:szCs w:val="16"/>
      </w:rPr>
      <w:t>GE.16-05871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D" w:rsidRPr="007C30CC" w:rsidRDefault="00675A3D" w:rsidP="007C30CC">
    <w:pPr>
      <w:pStyle w:val="Footer"/>
      <w:tabs>
        <w:tab w:val="right" w:pos="9638"/>
      </w:tabs>
      <w:rPr>
        <w:b/>
        <w:sz w:val="18"/>
      </w:rPr>
    </w:pPr>
    <w:r w:rsidRPr="00AD2CD0">
      <w:rPr>
        <w:szCs w:val="16"/>
      </w:rPr>
      <w:t>GE.16-05871  (EXT)</w:t>
    </w:r>
    <w:r>
      <w:tab/>
    </w:r>
    <w:r w:rsidRPr="007C30CC">
      <w:rPr>
        <w:b/>
        <w:sz w:val="18"/>
      </w:rPr>
      <w:fldChar w:fldCharType="begin"/>
    </w:r>
    <w:r w:rsidRPr="007C30CC">
      <w:rPr>
        <w:b/>
        <w:sz w:val="18"/>
      </w:rPr>
      <w:instrText xml:space="preserve"> PAGE  \* MERGEFORMAT </w:instrText>
    </w:r>
    <w:r w:rsidRPr="007C30CC">
      <w:rPr>
        <w:b/>
        <w:sz w:val="18"/>
      </w:rPr>
      <w:fldChar w:fldCharType="separate"/>
    </w:r>
    <w:r w:rsidR="002715F2">
      <w:rPr>
        <w:b/>
        <w:noProof/>
        <w:sz w:val="18"/>
      </w:rPr>
      <w:t>41</w:t>
    </w:r>
    <w:r w:rsidRPr="007C30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D" w:rsidRDefault="006555DA" w:rsidP="006555DA">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31pt;margin-top:15.4pt;width:50.25pt;height:50.25pt;z-index:2">
          <v:imagedata r:id="rId1" o:title="3-5&amp;Size=2&amp;Lang=F"/>
        </v:shape>
      </w:pict>
    </w:r>
    <w:r w:rsidR="00675A3D">
      <w:rPr>
        <w:noProof/>
      </w:rPr>
      <w:pict>
        <v:shape id="Picture 9" o:spid="_x0000_s2049" type="#_x0000_t75" alt="recycle_French" style="position:absolute;margin-left:340.15pt;margin-top:651.95pt;width:86.95pt;height:18.35pt;z-index:1;visibility:visible;mso-position-horizontal-relative:margin;mso-position-vertical-relative:margin">
          <v:imagedata r:id="rId2" o:title="recycle_French"/>
          <w10:wrap anchorx="margin" anchory="margin"/>
        </v:shape>
      </w:pict>
    </w:r>
    <w:r w:rsidR="00675A3D">
      <w:rPr>
        <w:sz w:val="20"/>
      </w:rPr>
      <w:t>GE.16-05871  (EXT)</w:t>
    </w:r>
  </w:p>
  <w:p w:rsidR="006555DA" w:rsidRPr="006555DA" w:rsidRDefault="006555DA" w:rsidP="006555D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F7" w:rsidRPr="000B175B" w:rsidRDefault="00F67AF7" w:rsidP="000B175B">
      <w:pPr>
        <w:tabs>
          <w:tab w:val="right" w:pos="2155"/>
        </w:tabs>
        <w:spacing w:after="80"/>
        <w:ind w:left="680"/>
        <w:rPr>
          <w:u w:val="single"/>
        </w:rPr>
      </w:pPr>
      <w:r>
        <w:rPr>
          <w:u w:val="single"/>
        </w:rPr>
        <w:tab/>
      </w:r>
    </w:p>
  </w:footnote>
  <w:footnote w:type="continuationSeparator" w:id="0">
    <w:p w:rsidR="00F67AF7" w:rsidRPr="00FC68B7" w:rsidRDefault="00F67AF7" w:rsidP="00FC68B7">
      <w:pPr>
        <w:tabs>
          <w:tab w:val="left" w:pos="2155"/>
        </w:tabs>
        <w:spacing w:after="80"/>
        <w:ind w:left="680"/>
        <w:rPr>
          <w:u w:val="single"/>
        </w:rPr>
      </w:pPr>
      <w:r>
        <w:rPr>
          <w:u w:val="single"/>
        </w:rPr>
        <w:tab/>
      </w:r>
    </w:p>
  </w:footnote>
  <w:footnote w:type="continuationNotice" w:id="1">
    <w:p w:rsidR="00F67AF7" w:rsidRDefault="00F67AF7"/>
  </w:footnote>
  <w:footnote w:id="2">
    <w:p w:rsidR="00675A3D" w:rsidRPr="009966B6" w:rsidRDefault="00675A3D" w:rsidP="002A6D38">
      <w:pPr>
        <w:pStyle w:val="FootnoteText"/>
        <w:rPr>
          <w:lang w:val="fr-FR"/>
        </w:rPr>
      </w:pPr>
      <w:r w:rsidRPr="007B59A3">
        <w:rPr>
          <w:rStyle w:val="FootnoteReference"/>
          <w:sz w:val="20"/>
          <w:lang w:val="fr-FR"/>
        </w:rPr>
        <w:tab/>
      </w:r>
      <w:r w:rsidRPr="007B59A3">
        <w:rPr>
          <w:rStyle w:val="FootnoteReference"/>
          <w:sz w:val="20"/>
          <w:vertAlign w:val="baseline"/>
          <w:lang w:val="fr-FR"/>
        </w:rPr>
        <w:t>*</w:t>
      </w:r>
      <w:r w:rsidRPr="009966B6">
        <w:rPr>
          <w:rStyle w:val="FootnoteReference"/>
          <w:lang w:val="fr-FR"/>
        </w:rPr>
        <w:tab/>
      </w:r>
      <w:r w:rsidRPr="009966B6">
        <w:rPr>
          <w:lang w:val="fr-FR" w:eastAsia="en-GB"/>
        </w:rPr>
        <w:t>Le deuxième</w:t>
      </w:r>
      <w:r>
        <w:rPr>
          <w:lang w:val="fr-FR" w:eastAsia="en-GB"/>
        </w:rPr>
        <w:t xml:space="preserve"> </w:t>
      </w:r>
      <w:r w:rsidRPr="009966B6">
        <w:rPr>
          <w:lang w:val="fr-FR" w:eastAsia="en-GB"/>
        </w:rPr>
        <w:t>rapport périodique de la République de Corée a été publié sous la cote</w:t>
      </w:r>
      <w:r>
        <w:rPr>
          <w:lang w:val="fr-FR" w:eastAsia="en-GB"/>
        </w:rPr>
        <w:t xml:space="preserve"> </w:t>
      </w:r>
      <w:r w:rsidRPr="009966B6">
        <w:rPr>
          <w:lang w:val="fr-FR" w:eastAsia="en-GB"/>
        </w:rPr>
        <w:t>CAT/C/53/Add.2; le Comité l’a examiné à ses 711</w:t>
      </w:r>
      <w:r w:rsidRPr="009966B6">
        <w:rPr>
          <w:vertAlign w:val="superscript"/>
          <w:lang w:val="fr-FR" w:eastAsia="en-GB"/>
        </w:rPr>
        <w:t>e</w:t>
      </w:r>
      <w:r w:rsidRPr="009966B6">
        <w:rPr>
          <w:lang w:val="fr-FR" w:eastAsia="en-GB"/>
        </w:rPr>
        <w:t xml:space="preserve"> et 714</w:t>
      </w:r>
      <w:r w:rsidRPr="009966B6">
        <w:rPr>
          <w:vertAlign w:val="superscript"/>
          <w:lang w:val="fr-FR" w:eastAsia="en-GB"/>
        </w:rPr>
        <w:t>e</w:t>
      </w:r>
      <w:r w:rsidRPr="009966B6">
        <w:rPr>
          <w:lang w:val="fr-FR" w:eastAsia="en-GB"/>
        </w:rPr>
        <w:t xml:space="preserve"> séances, les 11 et 12 mai 2006 (CAT/C/SR.711 et 714). On trouvera des informations sur cet examen dans les observations finales du Comité (CAT/C/KOR/CO/2).</w:t>
      </w:r>
    </w:p>
  </w:footnote>
  <w:footnote w:id="3">
    <w:p w:rsidR="00675A3D" w:rsidRPr="009966B6" w:rsidRDefault="00675A3D" w:rsidP="0052505A">
      <w:pPr>
        <w:pStyle w:val="FootnoteText"/>
        <w:rPr>
          <w:lang w:val="fr-FR"/>
        </w:rPr>
      </w:pPr>
      <w:r w:rsidRPr="009966B6">
        <w:rPr>
          <w:rStyle w:val="FootnoteReference"/>
          <w:lang w:val="fr-FR"/>
        </w:rPr>
        <w:tab/>
      </w:r>
      <w:r w:rsidRPr="007B59A3">
        <w:rPr>
          <w:rStyle w:val="FootnoteReference"/>
          <w:sz w:val="20"/>
          <w:vertAlign w:val="baseline"/>
          <w:lang w:val="fr-FR"/>
        </w:rPr>
        <w:t>**</w:t>
      </w:r>
      <w:r w:rsidRPr="009966B6">
        <w:rPr>
          <w:rStyle w:val="FootnoteReference"/>
          <w:lang w:val="fr-FR"/>
        </w:rPr>
        <w:tab/>
      </w:r>
      <w:r w:rsidRPr="009966B6">
        <w:rPr>
          <w:lang w:val="fr-FR"/>
        </w:rPr>
        <w:t>Le présent document n’a pas fait l’objet d’une relecture sur le fond par les services d’édition.</w:t>
      </w:r>
    </w:p>
  </w:footnote>
  <w:footnote w:id="4">
    <w:p w:rsidR="00675A3D" w:rsidRPr="009966B6" w:rsidRDefault="00675A3D" w:rsidP="0052505A">
      <w:pPr>
        <w:pStyle w:val="FootnoteText"/>
        <w:rPr>
          <w:rStyle w:val="FootnoteReference"/>
          <w:vertAlign w:val="baseline"/>
          <w:lang w:val="fr-FR"/>
        </w:rPr>
      </w:pPr>
      <w:r w:rsidRPr="009966B6">
        <w:rPr>
          <w:lang w:val="fr-FR"/>
        </w:rPr>
        <w:tab/>
      </w:r>
      <w:r w:rsidRPr="007B59A3">
        <w:rPr>
          <w:rStyle w:val="FootnoteReference"/>
          <w:sz w:val="20"/>
          <w:vertAlign w:val="baseline"/>
          <w:lang w:val="fr-FR"/>
        </w:rPr>
        <w:t>***</w:t>
      </w:r>
      <w:r w:rsidRPr="009966B6">
        <w:rPr>
          <w:lang w:val="fr-FR"/>
        </w:rPr>
        <w:tab/>
        <w:t>Les annexes au présent rapport peuvent être consultées au secrétariat</w:t>
      </w:r>
      <w:r w:rsidRPr="009966B6">
        <w:rPr>
          <w:color w:val="000000"/>
          <w:szCs w:val="18"/>
          <w:lang w:val="fr-FR" w:eastAsia="en-GB"/>
        </w:rPr>
        <w:t xml:space="preserve">. Elles </w:t>
      </w:r>
      <w:r w:rsidRPr="009966B6">
        <w:rPr>
          <w:lang w:val="fr-FR"/>
        </w:rPr>
        <w:t xml:space="preserve">sont également disponibles sur </w:t>
      </w:r>
      <w:r w:rsidRPr="009966B6">
        <w:rPr>
          <w:color w:val="000000"/>
          <w:szCs w:val="18"/>
          <w:lang w:val="fr-FR" w:eastAsia="en-GB"/>
        </w:rPr>
        <w:t>le site</w:t>
      </w:r>
      <w:r>
        <w:rPr>
          <w:color w:val="000000"/>
          <w:szCs w:val="18"/>
          <w:lang w:val="fr-FR" w:eastAsia="en-GB"/>
        </w:rPr>
        <w:t xml:space="preserve"> </w:t>
      </w:r>
      <w:r w:rsidRPr="009966B6">
        <w:rPr>
          <w:color w:val="000000"/>
          <w:szCs w:val="18"/>
          <w:lang w:val="fr-FR" w:eastAsia="en-GB"/>
        </w:rPr>
        <w:t>Internet du Comité contre la torture.</w:t>
      </w:r>
    </w:p>
  </w:footnote>
  <w:footnote w:id="5">
    <w:p w:rsidR="00675A3D" w:rsidRPr="009966B6" w:rsidRDefault="00675A3D" w:rsidP="000078DA">
      <w:pPr>
        <w:pStyle w:val="FootnoteText"/>
        <w:rPr>
          <w:lang w:val="fr-FR"/>
        </w:rPr>
      </w:pPr>
      <w:r w:rsidRPr="009966B6">
        <w:rPr>
          <w:lang w:val="fr-FR"/>
        </w:rPr>
        <w:tab/>
      </w:r>
      <w:r w:rsidRPr="009966B6">
        <w:rPr>
          <w:rStyle w:val="FootnoteReference"/>
          <w:lang w:val="fr-FR"/>
        </w:rPr>
        <w:footnoteRef/>
      </w:r>
      <w:r w:rsidRPr="009966B6">
        <w:rPr>
          <w:lang w:val="fr-FR"/>
        </w:rPr>
        <w:tab/>
        <w:t>Pour les tableaux, se reporter à l’annexe.</w:t>
      </w:r>
    </w:p>
  </w:footnote>
  <w:footnote w:id="6">
    <w:p w:rsidR="00675A3D" w:rsidRPr="009966B6" w:rsidRDefault="00675A3D" w:rsidP="000078DA">
      <w:pPr>
        <w:pStyle w:val="FootnoteText"/>
        <w:rPr>
          <w:lang w:val="fr-FR"/>
        </w:rPr>
      </w:pPr>
      <w:r w:rsidRPr="009966B6">
        <w:rPr>
          <w:lang w:val="fr-FR"/>
        </w:rPr>
        <w:tab/>
      </w:r>
      <w:r w:rsidRPr="009966B6">
        <w:rPr>
          <w:rStyle w:val="FootnoteReference"/>
          <w:lang w:val="fr-FR"/>
        </w:rPr>
        <w:footnoteRef/>
      </w:r>
      <w:r w:rsidRPr="009966B6">
        <w:rPr>
          <w:lang w:val="fr-FR"/>
        </w:rPr>
        <w:tab/>
        <w:t xml:space="preserve">Ci-après, </w:t>
      </w:r>
      <w:r>
        <w:rPr>
          <w:lang w:val="fr-FR"/>
        </w:rPr>
        <w:t>«</w:t>
      </w:r>
      <w:r w:rsidRPr="009966B6">
        <w:rPr>
          <w:lang w:val="fr-FR"/>
        </w:rPr>
        <w:t>de la liste des points à traiter (CAT/C/KOR/Q/3-5)</w:t>
      </w:r>
      <w:r>
        <w:rPr>
          <w:lang w:val="fr-FR"/>
        </w:rPr>
        <w:t>»</w:t>
      </w:r>
      <w:r w:rsidRPr="009966B6">
        <w:rPr>
          <w:lang w:val="fr-FR"/>
        </w:rPr>
        <w:t xml:space="preserve"> est omis.</w:t>
      </w:r>
    </w:p>
  </w:footnote>
  <w:footnote w:id="7">
    <w:p w:rsidR="00675A3D" w:rsidRPr="009966B6" w:rsidRDefault="00675A3D" w:rsidP="007026FB">
      <w:pPr>
        <w:pStyle w:val="FootnoteText"/>
        <w:rPr>
          <w:lang w:val="fr-FR"/>
        </w:rPr>
      </w:pPr>
      <w:r w:rsidRPr="009966B6">
        <w:rPr>
          <w:lang w:val="fr-FR"/>
        </w:rPr>
        <w:tab/>
      </w:r>
      <w:r w:rsidRPr="009966B6">
        <w:rPr>
          <w:rStyle w:val="FootnoteReference"/>
          <w:lang w:val="fr-FR"/>
        </w:rPr>
        <w:footnoteRef/>
      </w:r>
      <w:r w:rsidRPr="009966B6">
        <w:rPr>
          <w:lang w:val="fr-FR"/>
        </w:rPr>
        <w:tab/>
        <w:t xml:space="preserve">La liste des points à traiter fait état, par erreur, de 42 affaires </w:t>
      </w:r>
      <w:r w:rsidRPr="009966B6">
        <w:rPr>
          <w:rFonts w:eastAsia="Malgun Gothic"/>
          <w:kern w:val="2"/>
          <w:szCs w:val="22"/>
          <w:lang w:val="fr-FR" w:eastAsia="ko-KR"/>
        </w:rPr>
        <w:t xml:space="preserve">dans lesquelles des </w:t>
      </w:r>
      <w:r w:rsidRPr="009966B6">
        <w:rPr>
          <w:lang w:val="fr-FR"/>
        </w:rPr>
        <w:t xml:space="preserve">réparations ont été décidées </w:t>
      </w:r>
      <w:r w:rsidRPr="009966B6">
        <w:rPr>
          <w:rFonts w:eastAsia="Malgun Gothic"/>
          <w:kern w:val="2"/>
          <w:szCs w:val="22"/>
          <w:lang w:val="fr-FR" w:eastAsia="ko-KR"/>
        </w:rPr>
        <w:t>en 2008 et de 82 en 2009</w:t>
      </w:r>
      <w:r w:rsidRPr="009966B6">
        <w:rPr>
          <w:lang w:val="fr-FR"/>
        </w:rPr>
        <w:t>, en lieu et place de 42 affaires en 2007 et 81 en 2008.</w:t>
      </w:r>
    </w:p>
  </w:footnote>
  <w:footnote w:id="8">
    <w:p w:rsidR="00675A3D" w:rsidRPr="009966B6" w:rsidRDefault="00675A3D" w:rsidP="007026FB">
      <w:pPr>
        <w:pStyle w:val="FootnoteText"/>
        <w:rPr>
          <w:lang w:val="fr-FR"/>
        </w:rPr>
      </w:pPr>
      <w:r w:rsidRPr="009966B6">
        <w:rPr>
          <w:lang w:val="fr-FR"/>
        </w:rPr>
        <w:tab/>
      </w:r>
      <w:r w:rsidRPr="009966B6">
        <w:rPr>
          <w:rStyle w:val="FootnoteReference"/>
          <w:lang w:val="fr-FR"/>
        </w:rPr>
        <w:footnoteRef/>
      </w:r>
      <w:r w:rsidRPr="009966B6">
        <w:rPr>
          <w:lang w:val="fr-FR"/>
        </w:rPr>
        <w:tab/>
        <w:t>Voir CAT/C/KOR/CO/2, par. 17; CCPR/C/KOR/CO/3, par. 11; CEDAW/C/KOR/CO/6, par. 18; CEDAW/C/KOR/CO/7, par. 21; A/HRC/8/40, par. 64 14).</w:t>
      </w:r>
    </w:p>
  </w:footnote>
  <w:footnote w:id="9">
    <w:p w:rsidR="00675A3D" w:rsidRPr="009966B6" w:rsidRDefault="00675A3D" w:rsidP="000078DA">
      <w:pPr>
        <w:pStyle w:val="FootnoteText"/>
        <w:rPr>
          <w:lang w:val="fr-FR"/>
        </w:rPr>
      </w:pPr>
      <w:r w:rsidRPr="009966B6">
        <w:rPr>
          <w:lang w:val="fr-FR"/>
        </w:rPr>
        <w:tab/>
      </w:r>
      <w:r w:rsidRPr="009966B6">
        <w:rPr>
          <w:rStyle w:val="FootnoteReference"/>
          <w:lang w:val="fr-FR"/>
        </w:rPr>
        <w:footnoteRef/>
      </w:r>
      <w:r w:rsidRPr="009966B6">
        <w:rPr>
          <w:lang w:val="fr-FR"/>
        </w:rPr>
        <w:tab/>
        <w:t>Se reporter à la note de bas de page 5.</w:t>
      </w:r>
    </w:p>
  </w:footnote>
  <w:footnote w:id="10">
    <w:p w:rsidR="00675A3D" w:rsidRPr="009966B6" w:rsidRDefault="00675A3D" w:rsidP="007026FB">
      <w:pPr>
        <w:pStyle w:val="FootnoteText"/>
        <w:rPr>
          <w:lang w:val="fr-FR"/>
        </w:rPr>
      </w:pPr>
      <w:r w:rsidRPr="009966B6">
        <w:rPr>
          <w:bCs/>
          <w:lang w:val="fr-FR"/>
        </w:rPr>
        <w:tab/>
      </w:r>
      <w:r w:rsidRPr="009966B6">
        <w:rPr>
          <w:rStyle w:val="FootnoteReference"/>
          <w:lang w:val="fr-FR"/>
        </w:rPr>
        <w:footnoteRef/>
      </w:r>
      <w:r w:rsidRPr="009966B6">
        <w:rPr>
          <w:bCs/>
          <w:lang w:val="fr-FR"/>
        </w:rPr>
        <w:tab/>
      </w:r>
      <w:r w:rsidRPr="009966B6">
        <w:rPr>
          <w:lang w:val="fr-FR"/>
        </w:rPr>
        <w:t>Dans sa lettre en date du 14 mai 2010, l</w:t>
      </w:r>
      <w:r w:rsidRPr="009966B6">
        <w:rPr>
          <w:bCs/>
          <w:lang w:val="fr-FR"/>
        </w:rPr>
        <w:t>e</w:t>
      </w:r>
      <w:r w:rsidRPr="009966B6">
        <w:rPr>
          <w:lang w:val="fr-FR"/>
        </w:rPr>
        <w:t xml:space="preserve"> Rapporteur spécial chargé du suivi des observations finales a demandé des renseignements sur les i</w:t>
      </w:r>
      <w:r w:rsidRPr="009966B6">
        <w:rPr>
          <w:bCs/>
          <w:lang w:val="fr-FR"/>
        </w:rPr>
        <w:t xml:space="preserve">nspections des cellules de substitution qui ont été menées par le </w:t>
      </w:r>
      <w:r>
        <w:rPr>
          <w:bCs/>
          <w:lang w:val="fr-FR"/>
        </w:rPr>
        <w:t xml:space="preserve">Ministère de la justice </w:t>
      </w:r>
      <w:r w:rsidRPr="009966B6">
        <w:rPr>
          <w:bCs/>
          <w:lang w:val="fr-FR"/>
        </w:rPr>
        <w:t>en 2009.</w:t>
      </w:r>
    </w:p>
  </w:footnote>
  <w:footnote w:id="11">
    <w:p w:rsidR="00675A3D" w:rsidRPr="009966B6" w:rsidRDefault="00675A3D" w:rsidP="006E6D31">
      <w:pPr>
        <w:pStyle w:val="FootnoteText"/>
        <w:rPr>
          <w:lang w:val="fr-FR"/>
        </w:rPr>
      </w:pPr>
      <w:r w:rsidRPr="009966B6">
        <w:rPr>
          <w:lang w:val="fr-FR"/>
        </w:rPr>
        <w:tab/>
      </w:r>
      <w:r w:rsidRPr="009966B6">
        <w:rPr>
          <w:rStyle w:val="FootnoteReference"/>
          <w:lang w:val="fr-FR"/>
        </w:rPr>
        <w:footnoteRef/>
      </w:r>
      <w:r w:rsidRPr="009966B6">
        <w:rPr>
          <w:rStyle w:val="FootnoteReference"/>
          <w:lang w:val="fr-FR"/>
        </w:rPr>
        <w:tab/>
      </w:r>
      <w:r w:rsidRPr="009966B6">
        <w:rPr>
          <w:lang w:val="fr-FR"/>
        </w:rPr>
        <w:t>Se reporter à la note de bas de page 5.</w:t>
      </w:r>
    </w:p>
  </w:footnote>
  <w:footnote w:id="12">
    <w:p w:rsidR="00675A3D" w:rsidRPr="009966B6" w:rsidRDefault="00675A3D" w:rsidP="006E6D31">
      <w:pPr>
        <w:pStyle w:val="FootnoteText"/>
        <w:rPr>
          <w:lang w:val="fr-FR"/>
        </w:rPr>
      </w:pPr>
      <w:r w:rsidRPr="009966B6">
        <w:rPr>
          <w:lang w:val="fr-FR"/>
        </w:rPr>
        <w:tab/>
      </w:r>
      <w:r w:rsidRPr="009966B6">
        <w:rPr>
          <w:rStyle w:val="FootnoteReference"/>
          <w:lang w:val="fr-FR"/>
        </w:rPr>
        <w:footnoteRef/>
      </w:r>
      <w:r w:rsidRPr="009966B6">
        <w:rPr>
          <w:rStyle w:val="FootnoteReference"/>
          <w:lang w:val="fr-FR"/>
        </w:rPr>
        <w:tab/>
      </w:r>
      <w:r w:rsidRPr="009966B6">
        <w:rPr>
          <w:lang w:val="fr-FR"/>
        </w:rPr>
        <w:t>Se reporter à la note de bas de page 5.</w:t>
      </w:r>
    </w:p>
  </w:footnote>
  <w:footnote w:id="13">
    <w:p w:rsidR="00675A3D" w:rsidRPr="009966B6" w:rsidRDefault="00675A3D" w:rsidP="00C94F5A">
      <w:pPr>
        <w:pStyle w:val="FootnoteText"/>
        <w:jc w:val="both"/>
        <w:rPr>
          <w:lang w:val="fr-FR"/>
        </w:rPr>
      </w:pPr>
      <w:r w:rsidRPr="009966B6">
        <w:rPr>
          <w:lang w:val="fr-FR"/>
        </w:rPr>
        <w:tab/>
      </w:r>
      <w:r w:rsidRPr="009966B6">
        <w:rPr>
          <w:rStyle w:val="FootnoteReference"/>
          <w:lang w:val="fr-FR"/>
        </w:rPr>
        <w:footnoteRef/>
      </w:r>
      <w:r w:rsidRPr="009966B6">
        <w:rPr>
          <w:rStyle w:val="FootnoteReference"/>
          <w:lang w:val="fr-FR"/>
        </w:rPr>
        <w:tab/>
      </w:r>
      <w:r w:rsidRPr="009966B6">
        <w:rPr>
          <w:lang w:val="fr-FR"/>
        </w:rPr>
        <w:t>Un crime de violence ne pourra faire l’objet de poursuites judiciaires si la victime s</w:t>
      </w:r>
      <w:r>
        <w:rPr>
          <w:lang w:val="fr-FR"/>
        </w:rPr>
        <w:t>’y</w:t>
      </w:r>
      <w:r w:rsidRPr="009966B6">
        <w:rPr>
          <w:lang w:val="fr-FR"/>
        </w:rPr>
        <w:t xml:space="preserve"> oppose expressément (Code pénal, art. 260, par.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D" w:rsidRPr="007C30CC" w:rsidRDefault="00675A3D">
    <w:pPr>
      <w:pStyle w:val="Header"/>
    </w:pPr>
    <w:r>
      <w:t>CAT/C/KOR/3-5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D" w:rsidRPr="007C30CC" w:rsidRDefault="00675A3D" w:rsidP="007C30CC">
    <w:pPr>
      <w:pStyle w:val="Header"/>
      <w:jc w:val="right"/>
    </w:pPr>
    <w:r>
      <w:t>CAT/C/KOR/3-5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E88F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977859"/>
    <w:multiLevelType w:val="hybridMultilevel"/>
    <w:tmpl w:val="08921BCA"/>
    <w:lvl w:ilvl="0" w:tplc="9C1EC2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F6C6286"/>
    <w:multiLevelType w:val="hybridMultilevel"/>
    <w:tmpl w:val="32461CFC"/>
    <w:lvl w:ilvl="0" w:tplc="BE5C64DE">
      <w:start w:val="1"/>
      <w:numFmt w:val="decimal"/>
      <w:lvlText w:val="%1."/>
      <w:lvlJc w:val="left"/>
      <w:pPr>
        <w:ind w:left="760" w:hanging="360"/>
      </w:pPr>
      <w:rPr>
        <w:rFonts w:ascii="Times New Roman" w:hAnsi="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D95E61"/>
    <w:multiLevelType w:val="hybridMultilevel"/>
    <w:tmpl w:val="110A0ABE"/>
    <w:lvl w:ilvl="0" w:tplc="C05059B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D590FD7"/>
    <w:multiLevelType w:val="hybridMultilevel"/>
    <w:tmpl w:val="7C345442"/>
    <w:lvl w:ilvl="0" w:tplc="28AA7D18">
      <w:numFmt w:val="bullet"/>
      <w:lvlText w:val="-"/>
      <w:lvlJc w:val="left"/>
      <w:pPr>
        <w:ind w:left="478" w:hanging="360"/>
      </w:pPr>
      <w:rPr>
        <w:rFonts w:ascii="Times New Roman" w:eastAsia="Batang" w:hAnsi="Times New Roman" w:cs="Times New Roman" w:hint="default"/>
      </w:rPr>
    </w:lvl>
    <w:lvl w:ilvl="1" w:tplc="04090003" w:tentative="1">
      <w:start w:val="1"/>
      <w:numFmt w:val="bullet"/>
      <w:lvlText w:val=""/>
      <w:lvlJc w:val="left"/>
      <w:pPr>
        <w:ind w:left="918" w:hanging="400"/>
      </w:pPr>
      <w:rPr>
        <w:rFonts w:ascii="Wingdings" w:hAnsi="Wingdings" w:hint="default"/>
      </w:rPr>
    </w:lvl>
    <w:lvl w:ilvl="2" w:tplc="04090005" w:tentative="1">
      <w:start w:val="1"/>
      <w:numFmt w:val="bullet"/>
      <w:lvlText w:val=""/>
      <w:lvlJc w:val="left"/>
      <w:pPr>
        <w:ind w:left="1318" w:hanging="400"/>
      </w:pPr>
      <w:rPr>
        <w:rFonts w:ascii="Wingdings" w:hAnsi="Wingdings" w:hint="default"/>
      </w:rPr>
    </w:lvl>
    <w:lvl w:ilvl="3" w:tplc="04090001" w:tentative="1">
      <w:start w:val="1"/>
      <w:numFmt w:val="bullet"/>
      <w:lvlText w:val=""/>
      <w:lvlJc w:val="left"/>
      <w:pPr>
        <w:ind w:left="1718" w:hanging="400"/>
      </w:pPr>
      <w:rPr>
        <w:rFonts w:ascii="Wingdings" w:hAnsi="Wingdings" w:hint="default"/>
      </w:rPr>
    </w:lvl>
    <w:lvl w:ilvl="4" w:tplc="04090003" w:tentative="1">
      <w:start w:val="1"/>
      <w:numFmt w:val="bullet"/>
      <w:lvlText w:val=""/>
      <w:lvlJc w:val="left"/>
      <w:pPr>
        <w:ind w:left="2118" w:hanging="400"/>
      </w:pPr>
      <w:rPr>
        <w:rFonts w:ascii="Wingdings" w:hAnsi="Wingdings" w:hint="default"/>
      </w:rPr>
    </w:lvl>
    <w:lvl w:ilvl="5" w:tplc="04090005" w:tentative="1">
      <w:start w:val="1"/>
      <w:numFmt w:val="bullet"/>
      <w:lvlText w:val=""/>
      <w:lvlJc w:val="left"/>
      <w:pPr>
        <w:ind w:left="2518" w:hanging="400"/>
      </w:pPr>
      <w:rPr>
        <w:rFonts w:ascii="Wingdings" w:hAnsi="Wingdings" w:hint="default"/>
      </w:rPr>
    </w:lvl>
    <w:lvl w:ilvl="6" w:tplc="04090001" w:tentative="1">
      <w:start w:val="1"/>
      <w:numFmt w:val="bullet"/>
      <w:lvlText w:val=""/>
      <w:lvlJc w:val="left"/>
      <w:pPr>
        <w:ind w:left="2918" w:hanging="400"/>
      </w:pPr>
      <w:rPr>
        <w:rFonts w:ascii="Wingdings" w:hAnsi="Wingdings" w:hint="default"/>
      </w:rPr>
    </w:lvl>
    <w:lvl w:ilvl="7" w:tplc="04090003" w:tentative="1">
      <w:start w:val="1"/>
      <w:numFmt w:val="bullet"/>
      <w:lvlText w:val=""/>
      <w:lvlJc w:val="left"/>
      <w:pPr>
        <w:ind w:left="3318" w:hanging="400"/>
      </w:pPr>
      <w:rPr>
        <w:rFonts w:ascii="Wingdings" w:hAnsi="Wingdings" w:hint="default"/>
      </w:rPr>
    </w:lvl>
    <w:lvl w:ilvl="8" w:tplc="04090005" w:tentative="1">
      <w:start w:val="1"/>
      <w:numFmt w:val="bullet"/>
      <w:lvlText w:val=""/>
      <w:lvlJc w:val="left"/>
      <w:pPr>
        <w:ind w:left="3718" w:hanging="400"/>
      </w:pPr>
      <w:rPr>
        <w:rFonts w:ascii="Wingdings" w:hAnsi="Wingdings" w:hint="default"/>
      </w:rPr>
    </w:lvl>
  </w:abstractNum>
  <w:abstractNum w:abstractNumId="6">
    <w:nsid w:val="1DA86CDD"/>
    <w:multiLevelType w:val="hybridMultilevel"/>
    <w:tmpl w:val="3998F230"/>
    <w:lvl w:ilvl="0" w:tplc="CB040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0E4F23"/>
    <w:multiLevelType w:val="hybridMultilevel"/>
    <w:tmpl w:val="EECE089E"/>
    <w:lvl w:ilvl="0" w:tplc="10A62E0C">
      <w:start w:val="1"/>
      <w:numFmt w:val="decimal"/>
      <w:lvlText w:val="%1."/>
      <w:lvlJc w:val="left"/>
      <w:pPr>
        <w:ind w:left="760" w:hanging="360"/>
      </w:pPr>
      <w:rPr>
        <w:rFonts w:ascii="Malgun Gothic" w:hAnsi="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B8F54FB"/>
    <w:multiLevelType w:val="hybridMultilevel"/>
    <w:tmpl w:val="70724FD4"/>
    <w:lvl w:ilvl="0" w:tplc="A9CC9C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6A64792"/>
    <w:multiLevelType w:val="hybridMultilevel"/>
    <w:tmpl w:val="08921BCA"/>
    <w:lvl w:ilvl="0" w:tplc="9C1EC2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9576C57"/>
    <w:multiLevelType w:val="hybridMultilevel"/>
    <w:tmpl w:val="2676C4DE"/>
    <w:lvl w:ilvl="0" w:tplc="323A29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F9A3664"/>
    <w:multiLevelType w:val="hybridMultilevel"/>
    <w:tmpl w:val="3DA2C706"/>
    <w:lvl w:ilvl="0" w:tplc="CDEC667C">
      <w:start w:val="225"/>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23520D9"/>
    <w:multiLevelType w:val="hybridMultilevel"/>
    <w:tmpl w:val="B92ECA20"/>
    <w:lvl w:ilvl="0" w:tplc="99F036D4">
      <w:numFmt w:val="bullet"/>
      <w:lvlText w:val="-"/>
      <w:lvlJc w:val="left"/>
      <w:pPr>
        <w:ind w:left="586" w:hanging="360"/>
      </w:pPr>
      <w:rPr>
        <w:rFonts w:ascii="Times New Roman" w:eastAsia="Batang" w:hAnsi="Times New Roman" w:cs="Times New Roman" w:hint="default"/>
      </w:rPr>
    </w:lvl>
    <w:lvl w:ilvl="1" w:tplc="04090003" w:tentative="1">
      <w:start w:val="1"/>
      <w:numFmt w:val="bullet"/>
      <w:lvlText w:val=""/>
      <w:lvlJc w:val="left"/>
      <w:pPr>
        <w:ind w:left="1026" w:hanging="400"/>
      </w:pPr>
      <w:rPr>
        <w:rFonts w:ascii="Wingdings" w:hAnsi="Wingdings" w:hint="default"/>
      </w:rPr>
    </w:lvl>
    <w:lvl w:ilvl="2" w:tplc="04090005" w:tentative="1">
      <w:start w:val="1"/>
      <w:numFmt w:val="bullet"/>
      <w:lvlText w:val=""/>
      <w:lvlJc w:val="left"/>
      <w:pPr>
        <w:ind w:left="1426" w:hanging="400"/>
      </w:pPr>
      <w:rPr>
        <w:rFonts w:ascii="Wingdings" w:hAnsi="Wingdings" w:hint="default"/>
      </w:rPr>
    </w:lvl>
    <w:lvl w:ilvl="3" w:tplc="04090001" w:tentative="1">
      <w:start w:val="1"/>
      <w:numFmt w:val="bullet"/>
      <w:lvlText w:val=""/>
      <w:lvlJc w:val="left"/>
      <w:pPr>
        <w:ind w:left="1826" w:hanging="400"/>
      </w:pPr>
      <w:rPr>
        <w:rFonts w:ascii="Wingdings" w:hAnsi="Wingdings" w:hint="default"/>
      </w:rPr>
    </w:lvl>
    <w:lvl w:ilvl="4" w:tplc="04090003" w:tentative="1">
      <w:start w:val="1"/>
      <w:numFmt w:val="bullet"/>
      <w:lvlText w:val=""/>
      <w:lvlJc w:val="left"/>
      <w:pPr>
        <w:ind w:left="2226" w:hanging="400"/>
      </w:pPr>
      <w:rPr>
        <w:rFonts w:ascii="Wingdings" w:hAnsi="Wingdings" w:hint="default"/>
      </w:rPr>
    </w:lvl>
    <w:lvl w:ilvl="5" w:tplc="04090005" w:tentative="1">
      <w:start w:val="1"/>
      <w:numFmt w:val="bullet"/>
      <w:lvlText w:val=""/>
      <w:lvlJc w:val="left"/>
      <w:pPr>
        <w:ind w:left="2626" w:hanging="400"/>
      </w:pPr>
      <w:rPr>
        <w:rFonts w:ascii="Wingdings" w:hAnsi="Wingdings" w:hint="default"/>
      </w:rPr>
    </w:lvl>
    <w:lvl w:ilvl="6" w:tplc="04090001" w:tentative="1">
      <w:start w:val="1"/>
      <w:numFmt w:val="bullet"/>
      <w:lvlText w:val=""/>
      <w:lvlJc w:val="left"/>
      <w:pPr>
        <w:ind w:left="3026" w:hanging="400"/>
      </w:pPr>
      <w:rPr>
        <w:rFonts w:ascii="Wingdings" w:hAnsi="Wingdings" w:hint="default"/>
      </w:rPr>
    </w:lvl>
    <w:lvl w:ilvl="7" w:tplc="04090003" w:tentative="1">
      <w:start w:val="1"/>
      <w:numFmt w:val="bullet"/>
      <w:lvlText w:val=""/>
      <w:lvlJc w:val="left"/>
      <w:pPr>
        <w:ind w:left="3426" w:hanging="400"/>
      </w:pPr>
      <w:rPr>
        <w:rFonts w:ascii="Wingdings" w:hAnsi="Wingdings" w:hint="default"/>
      </w:rPr>
    </w:lvl>
    <w:lvl w:ilvl="8" w:tplc="04090005" w:tentative="1">
      <w:start w:val="1"/>
      <w:numFmt w:val="bullet"/>
      <w:lvlText w:val=""/>
      <w:lvlJc w:val="left"/>
      <w:pPr>
        <w:ind w:left="3826" w:hanging="400"/>
      </w:pPr>
      <w:rPr>
        <w:rFonts w:ascii="Wingdings" w:hAnsi="Wingdings" w:hint="default"/>
      </w:rPr>
    </w:lvl>
  </w:abstractNum>
  <w:abstractNum w:abstractNumId="13">
    <w:nsid w:val="4E206AC6"/>
    <w:multiLevelType w:val="hybridMultilevel"/>
    <w:tmpl w:val="A82C41B4"/>
    <w:lvl w:ilvl="0" w:tplc="9AC4C7DA">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E8F07E0"/>
    <w:multiLevelType w:val="hybridMultilevel"/>
    <w:tmpl w:val="8676D7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3A9544C"/>
    <w:multiLevelType w:val="hybridMultilevel"/>
    <w:tmpl w:val="F9AA9ED6"/>
    <w:lvl w:ilvl="0" w:tplc="0FDE29F4">
      <w:numFmt w:val="bullet"/>
      <w:lvlText w:val="-"/>
      <w:lvlJc w:val="left"/>
      <w:pPr>
        <w:ind w:left="478" w:hanging="360"/>
      </w:pPr>
      <w:rPr>
        <w:rFonts w:ascii="Times New Roman" w:eastAsia="Batang" w:hAnsi="Times New Roman" w:cs="Times New Roman" w:hint="default"/>
      </w:rPr>
    </w:lvl>
    <w:lvl w:ilvl="1" w:tplc="04090003" w:tentative="1">
      <w:start w:val="1"/>
      <w:numFmt w:val="bullet"/>
      <w:lvlText w:val=""/>
      <w:lvlJc w:val="left"/>
      <w:pPr>
        <w:ind w:left="918" w:hanging="400"/>
      </w:pPr>
      <w:rPr>
        <w:rFonts w:ascii="Wingdings" w:hAnsi="Wingdings" w:hint="default"/>
      </w:rPr>
    </w:lvl>
    <w:lvl w:ilvl="2" w:tplc="04090005" w:tentative="1">
      <w:start w:val="1"/>
      <w:numFmt w:val="bullet"/>
      <w:lvlText w:val=""/>
      <w:lvlJc w:val="left"/>
      <w:pPr>
        <w:ind w:left="1318" w:hanging="400"/>
      </w:pPr>
      <w:rPr>
        <w:rFonts w:ascii="Wingdings" w:hAnsi="Wingdings" w:hint="default"/>
      </w:rPr>
    </w:lvl>
    <w:lvl w:ilvl="3" w:tplc="04090001" w:tentative="1">
      <w:start w:val="1"/>
      <w:numFmt w:val="bullet"/>
      <w:lvlText w:val=""/>
      <w:lvlJc w:val="left"/>
      <w:pPr>
        <w:ind w:left="1718" w:hanging="400"/>
      </w:pPr>
      <w:rPr>
        <w:rFonts w:ascii="Wingdings" w:hAnsi="Wingdings" w:hint="default"/>
      </w:rPr>
    </w:lvl>
    <w:lvl w:ilvl="4" w:tplc="04090003" w:tentative="1">
      <w:start w:val="1"/>
      <w:numFmt w:val="bullet"/>
      <w:lvlText w:val=""/>
      <w:lvlJc w:val="left"/>
      <w:pPr>
        <w:ind w:left="2118" w:hanging="400"/>
      </w:pPr>
      <w:rPr>
        <w:rFonts w:ascii="Wingdings" w:hAnsi="Wingdings" w:hint="default"/>
      </w:rPr>
    </w:lvl>
    <w:lvl w:ilvl="5" w:tplc="04090005" w:tentative="1">
      <w:start w:val="1"/>
      <w:numFmt w:val="bullet"/>
      <w:lvlText w:val=""/>
      <w:lvlJc w:val="left"/>
      <w:pPr>
        <w:ind w:left="2518" w:hanging="400"/>
      </w:pPr>
      <w:rPr>
        <w:rFonts w:ascii="Wingdings" w:hAnsi="Wingdings" w:hint="default"/>
      </w:rPr>
    </w:lvl>
    <w:lvl w:ilvl="6" w:tplc="04090001" w:tentative="1">
      <w:start w:val="1"/>
      <w:numFmt w:val="bullet"/>
      <w:lvlText w:val=""/>
      <w:lvlJc w:val="left"/>
      <w:pPr>
        <w:ind w:left="2918" w:hanging="400"/>
      </w:pPr>
      <w:rPr>
        <w:rFonts w:ascii="Wingdings" w:hAnsi="Wingdings" w:hint="default"/>
      </w:rPr>
    </w:lvl>
    <w:lvl w:ilvl="7" w:tplc="04090003" w:tentative="1">
      <w:start w:val="1"/>
      <w:numFmt w:val="bullet"/>
      <w:lvlText w:val=""/>
      <w:lvlJc w:val="left"/>
      <w:pPr>
        <w:ind w:left="3318" w:hanging="400"/>
      </w:pPr>
      <w:rPr>
        <w:rFonts w:ascii="Wingdings" w:hAnsi="Wingdings" w:hint="default"/>
      </w:rPr>
    </w:lvl>
    <w:lvl w:ilvl="8" w:tplc="04090005" w:tentative="1">
      <w:start w:val="1"/>
      <w:numFmt w:val="bullet"/>
      <w:lvlText w:val=""/>
      <w:lvlJc w:val="left"/>
      <w:pPr>
        <w:ind w:left="3718" w:hanging="400"/>
      </w:pPr>
      <w:rPr>
        <w:rFonts w:ascii="Wingdings" w:hAnsi="Wingdings" w:hint="default"/>
      </w:rPr>
    </w:lvl>
  </w:abstractNum>
  <w:abstractNum w:abstractNumId="16">
    <w:nsid w:val="5E5C3EF5"/>
    <w:multiLevelType w:val="hybridMultilevel"/>
    <w:tmpl w:val="BF526680"/>
    <w:lvl w:ilvl="0" w:tplc="B0D2FD58">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3853AA0"/>
    <w:multiLevelType w:val="hybridMultilevel"/>
    <w:tmpl w:val="5A00264C"/>
    <w:lvl w:ilvl="0" w:tplc="1318FDE8">
      <w:start w:val="1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FA668E"/>
    <w:multiLevelType w:val="hybridMultilevel"/>
    <w:tmpl w:val="EF4AA344"/>
    <w:lvl w:ilvl="0" w:tplc="4F04C1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BAD6AC9"/>
    <w:multiLevelType w:val="hybridMultilevel"/>
    <w:tmpl w:val="AEA0DA7A"/>
    <w:lvl w:ilvl="0" w:tplc="19260BFE">
      <w:start w:val="1"/>
      <w:numFmt w:val="decimal"/>
      <w:lvlText w:val="%1."/>
      <w:lvlJc w:val="left"/>
      <w:pPr>
        <w:ind w:left="1689" w:hanging="555"/>
      </w:pPr>
      <w:rPr>
        <w:rFonts w:ascii="Times New Roman" w:hAnsi="Times New Roman" w:cs="Times New Roman" w:hint="default"/>
        <w:b w:val="0"/>
        <w:i w:val="0"/>
        <w:strike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18"/>
  </w:num>
  <w:num w:numId="3">
    <w:abstractNumId w:val="19"/>
  </w:num>
  <w:num w:numId="4">
    <w:abstractNumId w:val="7"/>
  </w:num>
  <w:num w:numId="5">
    <w:abstractNumId w:val="6"/>
  </w:num>
  <w:num w:numId="6">
    <w:abstractNumId w:val="9"/>
  </w:num>
  <w:num w:numId="7">
    <w:abstractNumId w:val="8"/>
  </w:num>
  <w:num w:numId="8">
    <w:abstractNumId w:val="11"/>
  </w:num>
  <w:num w:numId="9">
    <w:abstractNumId w:val="3"/>
  </w:num>
  <w:num w:numId="10">
    <w:abstractNumId w:val="13"/>
  </w:num>
  <w:num w:numId="11">
    <w:abstractNumId w:val="2"/>
  </w:num>
  <w:num w:numId="12">
    <w:abstractNumId w:val="17"/>
  </w:num>
  <w:num w:numId="13">
    <w:abstractNumId w:val="15"/>
  </w:num>
  <w:num w:numId="14">
    <w:abstractNumId w:val="5"/>
  </w:num>
  <w:num w:numId="15">
    <w:abstractNumId w:val="16"/>
  </w:num>
  <w:num w:numId="16">
    <w:abstractNumId w:val="12"/>
  </w:num>
  <w:num w:numId="17">
    <w:abstractNumId w:val="4"/>
  </w:num>
  <w:num w:numId="18">
    <w:abstractNumId w:val="10"/>
  </w:num>
  <w:num w:numId="19">
    <w:abstractNumId w:val="14"/>
  </w:num>
  <w:num w:numId="20">
    <w:abstractNumId w:val="20"/>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SV"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0CC"/>
    <w:rsid w:val="0000084F"/>
    <w:rsid w:val="0000248A"/>
    <w:rsid w:val="00002A9F"/>
    <w:rsid w:val="00002D0C"/>
    <w:rsid w:val="000078DA"/>
    <w:rsid w:val="000102A7"/>
    <w:rsid w:val="00013151"/>
    <w:rsid w:val="000149FE"/>
    <w:rsid w:val="00015474"/>
    <w:rsid w:val="00022B1E"/>
    <w:rsid w:val="00023EE4"/>
    <w:rsid w:val="000257D9"/>
    <w:rsid w:val="000273C5"/>
    <w:rsid w:val="000274B2"/>
    <w:rsid w:val="000303E6"/>
    <w:rsid w:val="00033909"/>
    <w:rsid w:val="00033B86"/>
    <w:rsid w:val="00035748"/>
    <w:rsid w:val="000372B7"/>
    <w:rsid w:val="0003786E"/>
    <w:rsid w:val="00040B08"/>
    <w:rsid w:val="00043151"/>
    <w:rsid w:val="000439DF"/>
    <w:rsid w:val="00043C32"/>
    <w:rsid w:val="00045044"/>
    <w:rsid w:val="00046394"/>
    <w:rsid w:val="00046D72"/>
    <w:rsid w:val="00050F6B"/>
    <w:rsid w:val="0005113C"/>
    <w:rsid w:val="0005129B"/>
    <w:rsid w:val="0005349C"/>
    <w:rsid w:val="00053D86"/>
    <w:rsid w:val="00057E97"/>
    <w:rsid w:val="00060E75"/>
    <w:rsid w:val="00066A5B"/>
    <w:rsid w:val="00070F89"/>
    <w:rsid w:val="00072C8C"/>
    <w:rsid w:val="00072DE6"/>
    <w:rsid w:val="000733B5"/>
    <w:rsid w:val="0008063E"/>
    <w:rsid w:val="00080D2E"/>
    <w:rsid w:val="00081815"/>
    <w:rsid w:val="00082240"/>
    <w:rsid w:val="00083947"/>
    <w:rsid w:val="000856AA"/>
    <w:rsid w:val="00085952"/>
    <w:rsid w:val="0009190A"/>
    <w:rsid w:val="000920C0"/>
    <w:rsid w:val="000931C0"/>
    <w:rsid w:val="000942EF"/>
    <w:rsid w:val="00094B47"/>
    <w:rsid w:val="000A14A2"/>
    <w:rsid w:val="000A170C"/>
    <w:rsid w:val="000A2A76"/>
    <w:rsid w:val="000A2D70"/>
    <w:rsid w:val="000A3FD8"/>
    <w:rsid w:val="000A5339"/>
    <w:rsid w:val="000A540B"/>
    <w:rsid w:val="000A6EEE"/>
    <w:rsid w:val="000A6FCF"/>
    <w:rsid w:val="000B0867"/>
    <w:rsid w:val="000B175B"/>
    <w:rsid w:val="000B3303"/>
    <w:rsid w:val="000B3A0F"/>
    <w:rsid w:val="000B40EB"/>
    <w:rsid w:val="000B4EF7"/>
    <w:rsid w:val="000B576E"/>
    <w:rsid w:val="000C1821"/>
    <w:rsid w:val="000C2C03"/>
    <w:rsid w:val="000C2D2E"/>
    <w:rsid w:val="000C3E1C"/>
    <w:rsid w:val="000C5BEB"/>
    <w:rsid w:val="000C5CFD"/>
    <w:rsid w:val="000C5ED4"/>
    <w:rsid w:val="000C6CDE"/>
    <w:rsid w:val="000C7C46"/>
    <w:rsid w:val="000D0857"/>
    <w:rsid w:val="000D0A79"/>
    <w:rsid w:val="000D4C71"/>
    <w:rsid w:val="000D5F5D"/>
    <w:rsid w:val="000E0415"/>
    <w:rsid w:val="000E0789"/>
    <w:rsid w:val="000E0C8B"/>
    <w:rsid w:val="000E3FD6"/>
    <w:rsid w:val="000E5AF2"/>
    <w:rsid w:val="000F2C0C"/>
    <w:rsid w:val="000F478A"/>
    <w:rsid w:val="000F6797"/>
    <w:rsid w:val="00100B59"/>
    <w:rsid w:val="00106D79"/>
    <w:rsid w:val="001076C6"/>
    <w:rsid w:val="00107FA8"/>
    <w:rsid w:val="001103AA"/>
    <w:rsid w:val="00111FCC"/>
    <w:rsid w:val="00114F74"/>
    <w:rsid w:val="001156DB"/>
    <w:rsid w:val="0012241B"/>
    <w:rsid w:val="00124002"/>
    <w:rsid w:val="00124DD2"/>
    <w:rsid w:val="001279C7"/>
    <w:rsid w:val="00127DA6"/>
    <w:rsid w:val="00133A0C"/>
    <w:rsid w:val="001340AD"/>
    <w:rsid w:val="0013749A"/>
    <w:rsid w:val="00140766"/>
    <w:rsid w:val="00144BC1"/>
    <w:rsid w:val="001450BD"/>
    <w:rsid w:val="00145FBC"/>
    <w:rsid w:val="00146928"/>
    <w:rsid w:val="00146D60"/>
    <w:rsid w:val="00146FB4"/>
    <w:rsid w:val="00152F61"/>
    <w:rsid w:val="00153179"/>
    <w:rsid w:val="001533DD"/>
    <w:rsid w:val="001545DB"/>
    <w:rsid w:val="00155859"/>
    <w:rsid w:val="00156C88"/>
    <w:rsid w:val="00162282"/>
    <w:rsid w:val="00162A5D"/>
    <w:rsid w:val="00165644"/>
    <w:rsid w:val="00165F3A"/>
    <w:rsid w:val="001665EE"/>
    <w:rsid w:val="00167373"/>
    <w:rsid w:val="001674EC"/>
    <w:rsid w:val="00171468"/>
    <w:rsid w:val="001719B6"/>
    <w:rsid w:val="0017280B"/>
    <w:rsid w:val="001730B2"/>
    <w:rsid w:val="001777CE"/>
    <w:rsid w:val="00181E77"/>
    <w:rsid w:val="00182F1C"/>
    <w:rsid w:val="00183227"/>
    <w:rsid w:val="00183FDF"/>
    <w:rsid w:val="001875CF"/>
    <w:rsid w:val="001903D0"/>
    <w:rsid w:val="001905F8"/>
    <w:rsid w:val="00193F66"/>
    <w:rsid w:val="00197B02"/>
    <w:rsid w:val="001A249D"/>
    <w:rsid w:val="001A39A7"/>
    <w:rsid w:val="001A3CB9"/>
    <w:rsid w:val="001A4B2F"/>
    <w:rsid w:val="001A6087"/>
    <w:rsid w:val="001A6D57"/>
    <w:rsid w:val="001B1FE3"/>
    <w:rsid w:val="001B4B04"/>
    <w:rsid w:val="001B54BD"/>
    <w:rsid w:val="001B6768"/>
    <w:rsid w:val="001B7707"/>
    <w:rsid w:val="001C1496"/>
    <w:rsid w:val="001C3B0D"/>
    <w:rsid w:val="001C4DB4"/>
    <w:rsid w:val="001C5365"/>
    <w:rsid w:val="001C5625"/>
    <w:rsid w:val="001C6663"/>
    <w:rsid w:val="001C7895"/>
    <w:rsid w:val="001D0C8C"/>
    <w:rsid w:val="001D26DF"/>
    <w:rsid w:val="001D2B2F"/>
    <w:rsid w:val="001D3A03"/>
    <w:rsid w:val="001E2865"/>
    <w:rsid w:val="001E473D"/>
    <w:rsid w:val="001E4916"/>
    <w:rsid w:val="001E7167"/>
    <w:rsid w:val="001F0D27"/>
    <w:rsid w:val="001F0D39"/>
    <w:rsid w:val="001F21F3"/>
    <w:rsid w:val="001F38A4"/>
    <w:rsid w:val="001F3CDD"/>
    <w:rsid w:val="001F3F2F"/>
    <w:rsid w:val="001F4965"/>
    <w:rsid w:val="001F4F95"/>
    <w:rsid w:val="001F524D"/>
    <w:rsid w:val="001F69EB"/>
    <w:rsid w:val="00200052"/>
    <w:rsid w:val="0020021B"/>
    <w:rsid w:val="00202DA8"/>
    <w:rsid w:val="002030E1"/>
    <w:rsid w:val="0020435E"/>
    <w:rsid w:val="0020437F"/>
    <w:rsid w:val="00204684"/>
    <w:rsid w:val="002066F9"/>
    <w:rsid w:val="00206936"/>
    <w:rsid w:val="0021128E"/>
    <w:rsid w:val="00211715"/>
    <w:rsid w:val="00211E0B"/>
    <w:rsid w:val="0021506A"/>
    <w:rsid w:val="00217754"/>
    <w:rsid w:val="00217F26"/>
    <w:rsid w:val="00220C2E"/>
    <w:rsid w:val="002217CB"/>
    <w:rsid w:val="0022240D"/>
    <w:rsid w:val="0022283E"/>
    <w:rsid w:val="00223FB6"/>
    <w:rsid w:val="00224967"/>
    <w:rsid w:val="0022535C"/>
    <w:rsid w:val="00231DB2"/>
    <w:rsid w:val="00231F65"/>
    <w:rsid w:val="002321B1"/>
    <w:rsid w:val="00232A32"/>
    <w:rsid w:val="0023355D"/>
    <w:rsid w:val="002343D6"/>
    <w:rsid w:val="0023531A"/>
    <w:rsid w:val="0023594B"/>
    <w:rsid w:val="002359D8"/>
    <w:rsid w:val="002371C0"/>
    <w:rsid w:val="0023741A"/>
    <w:rsid w:val="002402F4"/>
    <w:rsid w:val="002411E1"/>
    <w:rsid w:val="0024142B"/>
    <w:rsid w:val="00241EEA"/>
    <w:rsid w:val="00244C3A"/>
    <w:rsid w:val="00244E4C"/>
    <w:rsid w:val="0024542F"/>
    <w:rsid w:val="002472C3"/>
    <w:rsid w:val="00250784"/>
    <w:rsid w:val="0025191B"/>
    <w:rsid w:val="002519FA"/>
    <w:rsid w:val="00257BF0"/>
    <w:rsid w:val="002602D7"/>
    <w:rsid w:val="0026035B"/>
    <w:rsid w:val="002612E0"/>
    <w:rsid w:val="00261871"/>
    <w:rsid w:val="00263096"/>
    <w:rsid w:val="00263934"/>
    <w:rsid w:val="00264348"/>
    <w:rsid w:val="002643BA"/>
    <w:rsid w:val="00264439"/>
    <w:rsid w:val="0026458C"/>
    <w:rsid w:val="00267CF0"/>
    <w:rsid w:val="00267F5F"/>
    <w:rsid w:val="002715F2"/>
    <w:rsid w:val="002834B6"/>
    <w:rsid w:val="00286B4D"/>
    <w:rsid w:val="00292923"/>
    <w:rsid w:val="002955D6"/>
    <w:rsid w:val="00296C14"/>
    <w:rsid w:val="00297799"/>
    <w:rsid w:val="002A0564"/>
    <w:rsid w:val="002A64C1"/>
    <w:rsid w:val="002A6D38"/>
    <w:rsid w:val="002A77A1"/>
    <w:rsid w:val="002B2D31"/>
    <w:rsid w:val="002B3C39"/>
    <w:rsid w:val="002B466B"/>
    <w:rsid w:val="002B4844"/>
    <w:rsid w:val="002B636E"/>
    <w:rsid w:val="002B674C"/>
    <w:rsid w:val="002B7A76"/>
    <w:rsid w:val="002C0013"/>
    <w:rsid w:val="002C023C"/>
    <w:rsid w:val="002C0EB8"/>
    <w:rsid w:val="002C255C"/>
    <w:rsid w:val="002C37D1"/>
    <w:rsid w:val="002C4CA3"/>
    <w:rsid w:val="002C546D"/>
    <w:rsid w:val="002C609B"/>
    <w:rsid w:val="002D1B98"/>
    <w:rsid w:val="002D7116"/>
    <w:rsid w:val="002D77B6"/>
    <w:rsid w:val="002E120B"/>
    <w:rsid w:val="002E1CEF"/>
    <w:rsid w:val="002E1E9A"/>
    <w:rsid w:val="002E4F5F"/>
    <w:rsid w:val="002E5541"/>
    <w:rsid w:val="002E57D4"/>
    <w:rsid w:val="002E65A1"/>
    <w:rsid w:val="002E7019"/>
    <w:rsid w:val="002F08A5"/>
    <w:rsid w:val="002F175C"/>
    <w:rsid w:val="002F1A00"/>
    <w:rsid w:val="002F1D72"/>
    <w:rsid w:val="002F3249"/>
    <w:rsid w:val="002F4A6E"/>
    <w:rsid w:val="003017B1"/>
    <w:rsid w:val="00304632"/>
    <w:rsid w:val="00310D2A"/>
    <w:rsid w:val="003117B4"/>
    <w:rsid w:val="0031257D"/>
    <w:rsid w:val="003147F8"/>
    <w:rsid w:val="003210EA"/>
    <w:rsid w:val="00321C9B"/>
    <w:rsid w:val="0032248C"/>
    <w:rsid w:val="003229D8"/>
    <w:rsid w:val="00322A5D"/>
    <w:rsid w:val="0032460A"/>
    <w:rsid w:val="0032684B"/>
    <w:rsid w:val="003305C2"/>
    <w:rsid w:val="0033652E"/>
    <w:rsid w:val="00336824"/>
    <w:rsid w:val="003372C0"/>
    <w:rsid w:val="00337DFA"/>
    <w:rsid w:val="00337E9D"/>
    <w:rsid w:val="00341F95"/>
    <w:rsid w:val="00343E5E"/>
    <w:rsid w:val="003441BE"/>
    <w:rsid w:val="00345D43"/>
    <w:rsid w:val="003461AA"/>
    <w:rsid w:val="00352709"/>
    <w:rsid w:val="00353EEA"/>
    <w:rsid w:val="00355F17"/>
    <w:rsid w:val="003606BE"/>
    <w:rsid w:val="00361A28"/>
    <w:rsid w:val="00362459"/>
    <w:rsid w:val="00365352"/>
    <w:rsid w:val="003671E3"/>
    <w:rsid w:val="003675CB"/>
    <w:rsid w:val="00371178"/>
    <w:rsid w:val="0037535F"/>
    <w:rsid w:val="00375A5F"/>
    <w:rsid w:val="00376B4A"/>
    <w:rsid w:val="00376F1F"/>
    <w:rsid w:val="00377089"/>
    <w:rsid w:val="0037715A"/>
    <w:rsid w:val="003775E2"/>
    <w:rsid w:val="00380EFA"/>
    <w:rsid w:val="003832C7"/>
    <w:rsid w:val="0038380D"/>
    <w:rsid w:val="00384F60"/>
    <w:rsid w:val="003852BE"/>
    <w:rsid w:val="003860DB"/>
    <w:rsid w:val="00387190"/>
    <w:rsid w:val="00387EDC"/>
    <w:rsid w:val="00390F0B"/>
    <w:rsid w:val="003931D4"/>
    <w:rsid w:val="00395B17"/>
    <w:rsid w:val="0039617D"/>
    <w:rsid w:val="003A302A"/>
    <w:rsid w:val="003A32D0"/>
    <w:rsid w:val="003A42DC"/>
    <w:rsid w:val="003A4F85"/>
    <w:rsid w:val="003A6810"/>
    <w:rsid w:val="003A69CE"/>
    <w:rsid w:val="003B0D87"/>
    <w:rsid w:val="003B0DB7"/>
    <w:rsid w:val="003B1AFF"/>
    <w:rsid w:val="003B2F15"/>
    <w:rsid w:val="003B3F1B"/>
    <w:rsid w:val="003B41D7"/>
    <w:rsid w:val="003C05CA"/>
    <w:rsid w:val="003C13B1"/>
    <w:rsid w:val="003C1F6F"/>
    <w:rsid w:val="003C2CC4"/>
    <w:rsid w:val="003C6D2F"/>
    <w:rsid w:val="003D016F"/>
    <w:rsid w:val="003D0AB1"/>
    <w:rsid w:val="003D0FE2"/>
    <w:rsid w:val="003D192F"/>
    <w:rsid w:val="003D4B23"/>
    <w:rsid w:val="003D6C2D"/>
    <w:rsid w:val="003D6E5E"/>
    <w:rsid w:val="003D7D36"/>
    <w:rsid w:val="003E1270"/>
    <w:rsid w:val="003E52DE"/>
    <w:rsid w:val="003E5F4B"/>
    <w:rsid w:val="003F199F"/>
    <w:rsid w:val="003F23F7"/>
    <w:rsid w:val="003F251A"/>
    <w:rsid w:val="003F39E3"/>
    <w:rsid w:val="003F39F4"/>
    <w:rsid w:val="003F6182"/>
    <w:rsid w:val="00401D7D"/>
    <w:rsid w:val="004029A3"/>
    <w:rsid w:val="00402F06"/>
    <w:rsid w:val="00404F4E"/>
    <w:rsid w:val="00404FB0"/>
    <w:rsid w:val="00410C89"/>
    <w:rsid w:val="00411922"/>
    <w:rsid w:val="00411D55"/>
    <w:rsid w:val="00411FEB"/>
    <w:rsid w:val="0041391D"/>
    <w:rsid w:val="00415D90"/>
    <w:rsid w:val="00416EAF"/>
    <w:rsid w:val="00420D25"/>
    <w:rsid w:val="00421948"/>
    <w:rsid w:val="00426B9B"/>
    <w:rsid w:val="00427081"/>
    <w:rsid w:val="00431A18"/>
    <w:rsid w:val="00431C6D"/>
    <w:rsid w:val="0043214D"/>
    <w:rsid w:val="004325CB"/>
    <w:rsid w:val="00435361"/>
    <w:rsid w:val="004374BD"/>
    <w:rsid w:val="00437752"/>
    <w:rsid w:val="00437DF8"/>
    <w:rsid w:val="0044016B"/>
    <w:rsid w:val="00441FED"/>
    <w:rsid w:val="00442A83"/>
    <w:rsid w:val="004437F2"/>
    <w:rsid w:val="004438CE"/>
    <w:rsid w:val="0044413E"/>
    <w:rsid w:val="0044499E"/>
    <w:rsid w:val="004453AF"/>
    <w:rsid w:val="0044578C"/>
    <w:rsid w:val="0044640C"/>
    <w:rsid w:val="0045043A"/>
    <w:rsid w:val="00453494"/>
    <w:rsid w:val="0045495B"/>
    <w:rsid w:val="004549D7"/>
    <w:rsid w:val="00455177"/>
    <w:rsid w:val="00455670"/>
    <w:rsid w:val="00460777"/>
    <w:rsid w:val="00460A28"/>
    <w:rsid w:val="0046246B"/>
    <w:rsid w:val="00464129"/>
    <w:rsid w:val="004666F5"/>
    <w:rsid w:val="00470B16"/>
    <w:rsid w:val="00472979"/>
    <w:rsid w:val="00474102"/>
    <w:rsid w:val="00474481"/>
    <w:rsid w:val="00475072"/>
    <w:rsid w:val="0047575A"/>
    <w:rsid w:val="00477281"/>
    <w:rsid w:val="00480124"/>
    <w:rsid w:val="004817F7"/>
    <w:rsid w:val="00481F88"/>
    <w:rsid w:val="00482880"/>
    <w:rsid w:val="00484C7E"/>
    <w:rsid w:val="00486E9D"/>
    <w:rsid w:val="00487357"/>
    <w:rsid w:val="00490D13"/>
    <w:rsid w:val="0049366D"/>
    <w:rsid w:val="0049408A"/>
    <w:rsid w:val="00495B5F"/>
    <w:rsid w:val="004A090F"/>
    <w:rsid w:val="004A315C"/>
    <w:rsid w:val="004A404B"/>
    <w:rsid w:val="004A51AC"/>
    <w:rsid w:val="004B1BCA"/>
    <w:rsid w:val="004B2650"/>
    <w:rsid w:val="004B364E"/>
    <w:rsid w:val="004B4172"/>
    <w:rsid w:val="004B4C23"/>
    <w:rsid w:val="004B5666"/>
    <w:rsid w:val="004B59CF"/>
    <w:rsid w:val="004B7802"/>
    <w:rsid w:val="004C1811"/>
    <w:rsid w:val="004C1ADC"/>
    <w:rsid w:val="004C2082"/>
    <w:rsid w:val="004C2200"/>
    <w:rsid w:val="004C2D3F"/>
    <w:rsid w:val="004C379E"/>
    <w:rsid w:val="004C3922"/>
    <w:rsid w:val="004C3FE3"/>
    <w:rsid w:val="004C68C9"/>
    <w:rsid w:val="004C79EA"/>
    <w:rsid w:val="004D0D0F"/>
    <w:rsid w:val="004D2699"/>
    <w:rsid w:val="004D4A3E"/>
    <w:rsid w:val="004D55B9"/>
    <w:rsid w:val="004D5B01"/>
    <w:rsid w:val="004D658E"/>
    <w:rsid w:val="004D68C5"/>
    <w:rsid w:val="004E06F5"/>
    <w:rsid w:val="004E25D9"/>
    <w:rsid w:val="004E7269"/>
    <w:rsid w:val="004E7C58"/>
    <w:rsid w:val="004F1974"/>
    <w:rsid w:val="004F428C"/>
    <w:rsid w:val="004F5E25"/>
    <w:rsid w:val="004F7D67"/>
    <w:rsid w:val="004F7E3F"/>
    <w:rsid w:val="0050004C"/>
    <w:rsid w:val="00501736"/>
    <w:rsid w:val="00502BC1"/>
    <w:rsid w:val="005045AB"/>
    <w:rsid w:val="00505F2B"/>
    <w:rsid w:val="00507B9D"/>
    <w:rsid w:val="005101DD"/>
    <w:rsid w:val="005111F8"/>
    <w:rsid w:val="005112A7"/>
    <w:rsid w:val="00512521"/>
    <w:rsid w:val="00513DD2"/>
    <w:rsid w:val="00513EB6"/>
    <w:rsid w:val="0051676A"/>
    <w:rsid w:val="005171FE"/>
    <w:rsid w:val="0052055B"/>
    <w:rsid w:val="00520D08"/>
    <w:rsid w:val="0052136D"/>
    <w:rsid w:val="00522780"/>
    <w:rsid w:val="00524176"/>
    <w:rsid w:val="00524473"/>
    <w:rsid w:val="0052505A"/>
    <w:rsid w:val="005270E8"/>
    <w:rsid w:val="0052775E"/>
    <w:rsid w:val="00530A49"/>
    <w:rsid w:val="00530BC9"/>
    <w:rsid w:val="00533500"/>
    <w:rsid w:val="005342A0"/>
    <w:rsid w:val="00537572"/>
    <w:rsid w:val="00537A34"/>
    <w:rsid w:val="00537ABF"/>
    <w:rsid w:val="005420F2"/>
    <w:rsid w:val="00542D7D"/>
    <w:rsid w:val="0054753C"/>
    <w:rsid w:val="005521B2"/>
    <w:rsid w:val="00552A73"/>
    <w:rsid w:val="00554CA7"/>
    <w:rsid w:val="00555F8E"/>
    <w:rsid w:val="00556FD2"/>
    <w:rsid w:val="00561773"/>
    <w:rsid w:val="005628B6"/>
    <w:rsid w:val="005651FD"/>
    <w:rsid w:val="005707A5"/>
    <w:rsid w:val="00572AC4"/>
    <w:rsid w:val="00582895"/>
    <w:rsid w:val="00583106"/>
    <w:rsid w:val="00585853"/>
    <w:rsid w:val="005859A3"/>
    <w:rsid w:val="00591134"/>
    <w:rsid w:val="00597F4E"/>
    <w:rsid w:val="005A2E92"/>
    <w:rsid w:val="005A32F7"/>
    <w:rsid w:val="005A41DB"/>
    <w:rsid w:val="005A5495"/>
    <w:rsid w:val="005A6297"/>
    <w:rsid w:val="005A6E18"/>
    <w:rsid w:val="005B0EF7"/>
    <w:rsid w:val="005B2BE9"/>
    <w:rsid w:val="005B2CB1"/>
    <w:rsid w:val="005B3DB3"/>
    <w:rsid w:val="005B53A4"/>
    <w:rsid w:val="005B6D7E"/>
    <w:rsid w:val="005C2167"/>
    <w:rsid w:val="005C33E8"/>
    <w:rsid w:val="005C3579"/>
    <w:rsid w:val="005C6D8E"/>
    <w:rsid w:val="005D0FDF"/>
    <w:rsid w:val="005D59D8"/>
    <w:rsid w:val="005E025B"/>
    <w:rsid w:val="005E3C72"/>
    <w:rsid w:val="005E59CC"/>
    <w:rsid w:val="005E619F"/>
    <w:rsid w:val="005E6C2C"/>
    <w:rsid w:val="005E72A9"/>
    <w:rsid w:val="005F09EE"/>
    <w:rsid w:val="005F1337"/>
    <w:rsid w:val="005F139E"/>
    <w:rsid w:val="005F1A61"/>
    <w:rsid w:val="005F2122"/>
    <w:rsid w:val="005F3088"/>
    <w:rsid w:val="005F3991"/>
    <w:rsid w:val="005F552E"/>
    <w:rsid w:val="005F6B72"/>
    <w:rsid w:val="005F7489"/>
    <w:rsid w:val="005F7B75"/>
    <w:rsid w:val="006000CD"/>
    <w:rsid w:val="006001EE"/>
    <w:rsid w:val="00604BE2"/>
    <w:rsid w:val="00605042"/>
    <w:rsid w:val="00606FDC"/>
    <w:rsid w:val="0061009D"/>
    <w:rsid w:val="00611A03"/>
    <w:rsid w:val="00611FC4"/>
    <w:rsid w:val="00612ED6"/>
    <w:rsid w:val="00613352"/>
    <w:rsid w:val="006176FB"/>
    <w:rsid w:val="00622286"/>
    <w:rsid w:val="0062343F"/>
    <w:rsid w:val="00623E85"/>
    <w:rsid w:val="00626DE5"/>
    <w:rsid w:val="00626E1A"/>
    <w:rsid w:val="0063205C"/>
    <w:rsid w:val="00632CC7"/>
    <w:rsid w:val="006362DB"/>
    <w:rsid w:val="0063642E"/>
    <w:rsid w:val="00636E10"/>
    <w:rsid w:val="00640B26"/>
    <w:rsid w:val="00642F75"/>
    <w:rsid w:val="006435A0"/>
    <w:rsid w:val="00643BBE"/>
    <w:rsid w:val="00644663"/>
    <w:rsid w:val="00646627"/>
    <w:rsid w:val="00647485"/>
    <w:rsid w:val="00652D0A"/>
    <w:rsid w:val="006555DA"/>
    <w:rsid w:val="006569A0"/>
    <w:rsid w:val="006627A4"/>
    <w:rsid w:val="00662BB6"/>
    <w:rsid w:val="00665B26"/>
    <w:rsid w:val="00667616"/>
    <w:rsid w:val="00667E3C"/>
    <w:rsid w:val="0067220D"/>
    <w:rsid w:val="00673D8E"/>
    <w:rsid w:val="00675A3D"/>
    <w:rsid w:val="006770B8"/>
    <w:rsid w:val="00680455"/>
    <w:rsid w:val="0068054C"/>
    <w:rsid w:val="006813A8"/>
    <w:rsid w:val="0068192A"/>
    <w:rsid w:val="006846D0"/>
    <w:rsid w:val="00684C17"/>
    <w:rsid w:val="00684C21"/>
    <w:rsid w:val="00685B35"/>
    <w:rsid w:val="00686CC2"/>
    <w:rsid w:val="006908ED"/>
    <w:rsid w:val="00691764"/>
    <w:rsid w:val="00693A94"/>
    <w:rsid w:val="00694CBF"/>
    <w:rsid w:val="00694E78"/>
    <w:rsid w:val="00695E2D"/>
    <w:rsid w:val="0069680C"/>
    <w:rsid w:val="006A0590"/>
    <w:rsid w:val="006A0BAC"/>
    <w:rsid w:val="006A3785"/>
    <w:rsid w:val="006A4348"/>
    <w:rsid w:val="006A505D"/>
    <w:rsid w:val="006A7395"/>
    <w:rsid w:val="006A74FC"/>
    <w:rsid w:val="006B0D9D"/>
    <w:rsid w:val="006B180E"/>
    <w:rsid w:val="006B188F"/>
    <w:rsid w:val="006B28C9"/>
    <w:rsid w:val="006B2B77"/>
    <w:rsid w:val="006B5215"/>
    <w:rsid w:val="006B5B32"/>
    <w:rsid w:val="006B6450"/>
    <w:rsid w:val="006B6B4B"/>
    <w:rsid w:val="006C19AB"/>
    <w:rsid w:val="006C353A"/>
    <w:rsid w:val="006C3C7A"/>
    <w:rsid w:val="006D1DA8"/>
    <w:rsid w:val="006D37AF"/>
    <w:rsid w:val="006D4FB2"/>
    <w:rsid w:val="006D51D0"/>
    <w:rsid w:val="006D644F"/>
    <w:rsid w:val="006D69BF"/>
    <w:rsid w:val="006E0674"/>
    <w:rsid w:val="006E228E"/>
    <w:rsid w:val="006E336C"/>
    <w:rsid w:val="006E3C14"/>
    <w:rsid w:val="006E4470"/>
    <w:rsid w:val="006E564B"/>
    <w:rsid w:val="006E566E"/>
    <w:rsid w:val="006E6D31"/>
    <w:rsid w:val="006E7191"/>
    <w:rsid w:val="006F0401"/>
    <w:rsid w:val="006F08FE"/>
    <w:rsid w:val="006F25A8"/>
    <w:rsid w:val="006F3D0B"/>
    <w:rsid w:val="006F4412"/>
    <w:rsid w:val="006F5110"/>
    <w:rsid w:val="006F5689"/>
    <w:rsid w:val="007022EF"/>
    <w:rsid w:val="007026FB"/>
    <w:rsid w:val="00702703"/>
    <w:rsid w:val="00703577"/>
    <w:rsid w:val="0070411C"/>
    <w:rsid w:val="00704614"/>
    <w:rsid w:val="00707F1F"/>
    <w:rsid w:val="007106A9"/>
    <w:rsid w:val="00710884"/>
    <w:rsid w:val="0071118C"/>
    <w:rsid w:val="0071458C"/>
    <w:rsid w:val="007149EF"/>
    <w:rsid w:val="00714D73"/>
    <w:rsid w:val="007152FF"/>
    <w:rsid w:val="00720F30"/>
    <w:rsid w:val="00725DF6"/>
    <w:rsid w:val="0072632A"/>
    <w:rsid w:val="00730B36"/>
    <w:rsid w:val="007327D5"/>
    <w:rsid w:val="00735636"/>
    <w:rsid w:val="00741727"/>
    <w:rsid w:val="00755713"/>
    <w:rsid w:val="00755A1D"/>
    <w:rsid w:val="00756B69"/>
    <w:rsid w:val="007629C8"/>
    <w:rsid w:val="007661F9"/>
    <w:rsid w:val="00766BCF"/>
    <w:rsid w:val="007677BE"/>
    <w:rsid w:val="007716A7"/>
    <w:rsid w:val="00771DD7"/>
    <w:rsid w:val="00773DD0"/>
    <w:rsid w:val="00785324"/>
    <w:rsid w:val="00785829"/>
    <w:rsid w:val="00786CC5"/>
    <w:rsid w:val="007956AD"/>
    <w:rsid w:val="007A3B0B"/>
    <w:rsid w:val="007A48FE"/>
    <w:rsid w:val="007A5968"/>
    <w:rsid w:val="007A6D8C"/>
    <w:rsid w:val="007B4A59"/>
    <w:rsid w:val="007B59A3"/>
    <w:rsid w:val="007B6781"/>
    <w:rsid w:val="007B6BA5"/>
    <w:rsid w:val="007C2CFF"/>
    <w:rsid w:val="007C30CC"/>
    <w:rsid w:val="007C3390"/>
    <w:rsid w:val="007C35F1"/>
    <w:rsid w:val="007C36FB"/>
    <w:rsid w:val="007C4641"/>
    <w:rsid w:val="007C4705"/>
    <w:rsid w:val="007C4F4B"/>
    <w:rsid w:val="007C5014"/>
    <w:rsid w:val="007C5166"/>
    <w:rsid w:val="007D1744"/>
    <w:rsid w:val="007D22EE"/>
    <w:rsid w:val="007D27E6"/>
    <w:rsid w:val="007D2D08"/>
    <w:rsid w:val="007D4E1E"/>
    <w:rsid w:val="007D503B"/>
    <w:rsid w:val="007D5260"/>
    <w:rsid w:val="007D664D"/>
    <w:rsid w:val="007D7B60"/>
    <w:rsid w:val="007E0742"/>
    <w:rsid w:val="007E4062"/>
    <w:rsid w:val="007F170F"/>
    <w:rsid w:val="007F207F"/>
    <w:rsid w:val="007F4615"/>
    <w:rsid w:val="007F621F"/>
    <w:rsid w:val="007F6611"/>
    <w:rsid w:val="007F7CF9"/>
    <w:rsid w:val="00802342"/>
    <w:rsid w:val="0080315C"/>
    <w:rsid w:val="00804520"/>
    <w:rsid w:val="00811949"/>
    <w:rsid w:val="00811FB4"/>
    <w:rsid w:val="00812056"/>
    <w:rsid w:val="00812A3B"/>
    <w:rsid w:val="00815872"/>
    <w:rsid w:val="00816117"/>
    <w:rsid w:val="00817CEE"/>
    <w:rsid w:val="008242D7"/>
    <w:rsid w:val="008257B1"/>
    <w:rsid w:val="008302E2"/>
    <w:rsid w:val="00831AB9"/>
    <w:rsid w:val="00837094"/>
    <w:rsid w:val="00841690"/>
    <w:rsid w:val="00843086"/>
    <w:rsid w:val="00843767"/>
    <w:rsid w:val="00843ED0"/>
    <w:rsid w:val="0084514B"/>
    <w:rsid w:val="00846052"/>
    <w:rsid w:val="00847AA5"/>
    <w:rsid w:val="00853EFE"/>
    <w:rsid w:val="00855A64"/>
    <w:rsid w:val="008572D5"/>
    <w:rsid w:val="00857390"/>
    <w:rsid w:val="008607C8"/>
    <w:rsid w:val="00860EA4"/>
    <w:rsid w:val="008614D1"/>
    <w:rsid w:val="008614E2"/>
    <w:rsid w:val="008659DE"/>
    <w:rsid w:val="0086745D"/>
    <w:rsid w:val="008679D9"/>
    <w:rsid w:val="00867AE2"/>
    <w:rsid w:val="00873262"/>
    <w:rsid w:val="0087349F"/>
    <w:rsid w:val="008736D2"/>
    <w:rsid w:val="00874804"/>
    <w:rsid w:val="00876DD9"/>
    <w:rsid w:val="00877F0E"/>
    <w:rsid w:val="00880403"/>
    <w:rsid w:val="008845B0"/>
    <w:rsid w:val="00891ACD"/>
    <w:rsid w:val="00891CB4"/>
    <w:rsid w:val="00895F1A"/>
    <w:rsid w:val="008979B1"/>
    <w:rsid w:val="008A0D42"/>
    <w:rsid w:val="008A30C9"/>
    <w:rsid w:val="008A36A5"/>
    <w:rsid w:val="008A5B34"/>
    <w:rsid w:val="008A6B25"/>
    <w:rsid w:val="008A6C4F"/>
    <w:rsid w:val="008A755D"/>
    <w:rsid w:val="008B10E4"/>
    <w:rsid w:val="008B2335"/>
    <w:rsid w:val="008B2A8C"/>
    <w:rsid w:val="008C0469"/>
    <w:rsid w:val="008C04AA"/>
    <w:rsid w:val="008C0F23"/>
    <w:rsid w:val="008C63F9"/>
    <w:rsid w:val="008C71EF"/>
    <w:rsid w:val="008D0A20"/>
    <w:rsid w:val="008E0678"/>
    <w:rsid w:val="008E1CE8"/>
    <w:rsid w:val="008E27B9"/>
    <w:rsid w:val="008E3390"/>
    <w:rsid w:val="008E4285"/>
    <w:rsid w:val="008E470C"/>
    <w:rsid w:val="008E5739"/>
    <w:rsid w:val="008F03FA"/>
    <w:rsid w:val="008F0D4B"/>
    <w:rsid w:val="008F104E"/>
    <w:rsid w:val="008F18FE"/>
    <w:rsid w:val="008F4681"/>
    <w:rsid w:val="009017D5"/>
    <w:rsid w:val="009039CA"/>
    <w:rsid w:val="009054D1"/>
    <w:rsid w:val="00906A48"/>
    <w:rsid w:val="00910148"/>
    <w:rsid w:val="009130BC"/>
    <w:rsid w:val="00914A30"/>
    <w:rsid w:val="00914DE6"/>
    <w:rsid w:val="00914F9E"/>
    <w:rsid w:val="00915448"/>
    <w:rsid w:val="00915CCB"/>
    <w:rsid w:val="009205ED"/>
    <w:rsid w:val="009223CA"/>
    <w:rsid w:val="00923202"/>
    <w:rsid w:val="00926854"/>
    <w:rsid w:val="00926BA7"/>
    <w:rsid w:val="009271C9"/>
    <w:rsid w:val="00930F66"/>
    <w:rsid w:val="009326C3"/>
    <w:rsid w:val="00933D17"/>
    <w:rsid w:val="00934BD9"/>
    <w:rsid w:val="00936D0A"/>
    <w:rsid w:val="00937037"/>
    <w:rsid w:val="00940F93"/>
    <w:rsid w:val="009417E8"/>
    <w:rsid w:val="009419D6"/>
    <w:rsid w:val="00943C0D"/>
    <w:rsid w:val="0094531A"/>
    <w:rsid w:val="00945D3C"/>
    <w:rsid w:val="009469AB"/>
    <w:rsid w:val="00947E2F"/>
    <w:rsid w:val="00953D2B"/>
    <w:rsid w:val="009540FA"/>
    <w:rsid w:val="00956741"/>
    <w:rsid w:val="00957B10"/>
    <w:rsid w:val="00961BE3"/>
    <w:rsid w:val="0096473C"/>
    <w:rsid w:val="009648C0"/>
    <w:rsid w:val="00964B5B"/>
    <w:rsid w:val="00967934"/>
    <w:rsid w:val="0097150B"/>
    <w:rsid w:val="0097212F"/>
    <w:rsid w:val="0097283E"/>
    <w:rsid w:val="00974AEC"/>
    <w:rsid w:val="00974D91"/>
    <w:rsid w:val="00975215"/>
    <w:rsid w:val="009760F3"/>
    <w:rsid w:val="009762A8"/>
    <w:rsid w:val="00976955"/>
    <w:rsid w:val="0098082A"/>
    <w:rsid w:val="00981E8E"/>
    <w:rsid w:val="009839F1"/>
    <w:rsid w:val="00984C16"/>
    <w:rsid w:val="00984D2A"/>
    <w:rsid w:val="00987A96"/>
    <w:rsid w:val="00991442"/>
    <w:rsid w:val="00993AF4"/>
    <w:rsid w:val="00994007"/>
    <w:rsid w:val="0099406B"/>
    <w:rsid w:val="009966B6"/>
    <w:rsid w:val="009970B3"/>
    <w:rsid w:val="009A072E"/>
    <w:rsid w:val="009A0A6D"/>
    <w:rsid w:val="009A0E8D"/>
    <w:rsid w:val="009A38F9"/>
    <w:rsid w:val="009A3C66"/>
    <w:rsid w:val="009A4B97"/>
    <w:rsid w:val="009A500C"/>
    <w:rsid w:val="009B089C"/>
    <w:rsid w:val="009B26E7"/>
    <w:rsid w:val="009B2C7A"/>
    <w:rsid w:val="009B567E"/>
    <w:rsid w:val="009B6E83"/>
    <w:rsid w:val="009B6F59"/>
    <w:rsid w:val="009B7EF7"/>
    <w:rsid w:val="009C5637"/>
    <w:rsid w:val="009D0750"/>
    <w:rsid w:val="009D0F63"/>
    <w:rsid w:val="009D5DA9"/>
    <w:rsid w:val="009E0893"/>
    <w:rsid w:val="009E1092"/>
    <w:rsid w:val="009E1B44"/>
    <w:rsid w:val="009E32DD"/>
    <w:rsid w:val="009E40CD"/>
    <w:rsid w:val="009E5E81"/>
    <w:rsid w:val="009F036D"/>
    <w:rsid w:val="009F0416"/>
    <w:rsid w:val="009F06CD"/>
    <w:rsid w:val="009F28F0"/>
    <w:rsid w:val="009F453F"/>
    <w:rsid w:val="009F5CF5"/>
    <w:rsid w:val="009F7647"/>
    <w:rsid w:val="00A00A3F"/>
    <w:rsid w:val="00A0101E"/>
    <w:rsid w:val="00A01489"/>
    <w:rsid w:val="00A0343A"/>
    <w:rsid w:val="00A069A6"/>
    <w:rsid w:val="00A07298"/>
    <w:rsid w:val="00A13B1E"/>
    <w:rsid w:val="00A1449E"/>
    <w:rsid w:val="00A14858"/>
    <w:rsid w:val="00A17C05"/>
    <w:rsid w:val="00A20519"/>
    <w:rsid w:val="00A20E49"/>
    <w:rsid w:val="00A22276"/>
    <w:rsid w:val="00A2334E"/>
    <w:rsid w:val="00A24B60"/>
    <w:rsid w:val="00A25C62"/>
    <w:rsid w:val="00A25EE6"/>
    <w:rsid w:val="00A266C2"/>
    <w:rsid w:val="00A267EE"/>
    <w:rsid w:val="00A26ED7"/>
    <w:rsid w:val="00A338F1"/>
    <w:rsid w:val="00A35816"/>
    <w:rsid w:val="00A37D60"/>
    <w:rsid w:val="00A40A1D"/>
    <w:rsid w:val="00A40AE5"/>
    <w:rsid w:val="00A41484"/>
    <w:rsid w:val="00A416E0"/>
    <w:rsid w:val="00A43171"/>
    <w:rsid w:val="00A46FD8"/>
    <w:rsid w:val="00A5214F"/>
    <w:rsid w:val="00A52642"/>
    <w:rsid w:val="00A5306D"/>
    <w:rsid w:val="00A5349B"/>
    <w:rsid w:val="00A53AAB"/>
    <w:rsid w:val="00A54EB7"/>
    <w:rsid w:val="00A55809"/>
    <w:rsid w:val="00A57377"/>
    <w:rsid w:val="00A613A1"/>
    <w:rsid w:val="00A618E1"/>
    <w:rsid w:val="00A6196D"/>
    <w:rsid w:val="00A624D6"/>
    <w:rsid w:val="00A64B2F"/>
    <w:rsid w:val="00A66D7F"/>
    <w:rsid w:val="00A7037B"/>
    <w:rsid w:val="00A728FB"/>
    <w:rsid w:val="00A72F22"/>
    <w:rsid w:val="00A7360F"/>
    <w:rsid w:val="00A7370C"/>
    <w:rsid w:val="00A748A6"/>
    <w:rsid w:val="00A76469"/>
    <w:rsid w:val="00A769F4"/>
    <w:rsid w:val="00A76A34"/>
    <w:rsid w:val="00A776B4"/>
    <w:rsid w:val="00A83B56"/>
    <w:rsid w:val="00A84498"/>
    <w:rsid w:val="00A849B3"/>
    <w:rsid w:val="00A84C79"/>
    <w:rsid w:val="00A850C3"/>
    <w:rsid w:val="00A85BE9"/>
    <w:rsid w:val="00A90372"/>
    <w:rsid w:val="00A94361"/>
    <w:rsid w:val="00A94975"/>
    <w:rsid w:val="00A9772C"/>
    <w:rsid w:val="00AA10E2"/>
    <w:rsid w:val="00AA160D"/>
    <w:rsid w:val="00AA293C"/>
    <w:rsid w:val="00AA2F3F"/>
    <w:rsid w:val="00AA4323"/>
    <w:rsid w:val="00AA472B"/>
    <w:rsid w:val="00AA6FC4"/>
    <w:rsid w:val="00AA7135"/>
    <w:rsid w:val="00AA7A36"/>
    <w:rsid w:val="00AA7AA0"/>
    <w:rsid w:val="00AB3B14"/>
    <w:rsid w:val="00AC0F68"/>
    <w:rsid w:val="00AC2231"/>
    <w:rsid w:val="00AC28ED"/>
    <w:rsid w:val="00AC2E23"/>
    <w:rsid w:val="00AC43E7"/>
    <w:rsid w:val="00AC452C"/>
    <w:rsid w:val="00AC505C"/>
    <w:rsid w:val="00AC623A"/>
    <w:rsid w:val="00AD14CC"/>
    <w:rsid w:val="00AD1A69"/>
    <w:rsid w:val="00AD2CD0"/>
    <w:rsid w:val="00AD3324"/>
    <w:rsid w:val="00AD55A0"/>
    <w:rsid w:val="00AD696F"/>
    <w:rsid w:val="00AE5352"/>
    <w:rsid w:val="00AF01E5"/>
    <w:rsid w:val="00AF1DCD"/>
    <w:rsid w:val="00AF37C8"/>
    <w:rsid w:val="00AF39C6"/>
    <w:rsid w:val="00AF3A73"/>
    <w:rsid w:val="00AF79C9"/>
    <w:rsid w:val="00B04F34"/>
    <w:rsid w:val="00B05ED8"/>
    <w:rsid w:val="00B06DF0"/>
    <w:rsid w:val="00B12492"/>
    <w:rsid w:val="00B1523C"/>
    <w:rsid w:val="00B17069"/>
    <w:rsid w:val="00B17709"/>
    <w:rsid w:val="00B20E83"/>
    <w:rsid w:val="00B21206"/>
    <w:rsid w:val="00B230E9"/>
    <w:rsid w:val="00B25796"/>
    <w:rsid w:val="00B27540"/>
    <w:rsid w:val="00B30179"/>
    <w:rsid w:val="00B30942"/>
    <w:rsid w:val="00B30BB1"/>
    <w:rsid w:val="00B3206C"/>
    <w:rsid w:val="00B351C0"/>
    <w:rsid w:val="00B403FB"/>
    <w:rsid w:val="00B4144F"/>
    <w:rsid w:val="00B42A53"/>
    <w:rsid w:val="00B43B5E"/>
    <w:rsid w:val="00B44BD5"/>
    <w:rsid w:val="00B466DC"/>
    <w:rsid w:val="00B46881"/>
    <w:rsid w:val="00B46CA0"/>
    <w:rsid w:val="00B502F4"/>
    <w:rsid w:val="00B505DB"/>
    <w:rsid w:val="00B50DCB"/>
    <w:rsid w:val="00B520B2"/>
    <w:rsid w:val="00B540B1"/>
    <w:rsid w:val="00B54F31"/>
    <w:rsid w:val="00B553A7"/>
    <w:rsid w:val="00B56E4A"/>
    <w:rsid w:val="00B56E9C"/>
    <w:rsid w:val="00B57E0B"/>
    <w:rsid w:val="00B6196D"/>
    <w:rsid w:val="00B64B1F"/>
    <w:rsid w:val="00B65081"/>
    <w:rsid w:val="00B6553F"/>
    <w:rsid w:val="00B70529"/>
    <w:rsid w:val="00B70774"/>
    <w:rsid w:val="00B70AA8"/>
    <w:rsid w:val="00B732CB"/>
    <w:rsid w:val="00B74185"/>
    <w:rsid w:val="00B74218"/>
    <w:rsid w:val="00B77D05"/>
    <w:rsid w:val="00B81206"/>
    <w:rsid w:val="00B81B28"/>
    <w:rsid w:val="00B81C04"/>
    <w:rsid w:val="00B81E12"/>
    <w:rsid w:val="00B8277B"/>
    <w:rsid w:val="00B8413C"/>
    <w:rsid w:val="00B8543E"/>
    <w:rsid w:val="00B923EA"/>
    <w:rsid w:val="00B92937"/>
    <w:rsid w:val="00B9371E"/>
    <w:rsid w:val="00B94D60"/>
    <w:rsid w:val="00B95883"/>
    <w:rsid w:val="00B97143"/>
    <w:rsid w:val="00B97EE2"/>
    <w:rsid w:val="00BA34D3"/>
    <w:rsid w:val="00BA378A"/>
    <w:rsid w:val="00BA53D6"/>
    <w:rsid w:val="00BA5CE7"/>
    <w:rsid w:val="00BA73C8"/>
    <w:rsid w:val="00BB0CF3"/>
    <w:rsid w:val="00BB1EE4"/>
    <w:rsid w:val="00BB2372"/>
    <w:rsid w:val="00BB2898"/>
    <w:rsid w:val="00BC29DC"/>
    <w:rsid w:val="00BC4636"/>
    <w:rsid w:val="00BC6CFA"/>
    <w:rsid w:val="00BC74E9"/>
    <w:rsid w:val="00BC7CF5"/>
    <w:rsid w:val="00BD100E"/>
    <w:rsid w:val="00BD113C"/>
    <w:rsid w:val="00BD1A84"/>
    <w:rsid w:val="00BD2A22"/>
    <w:rsid w:val="00BD323C"/>
    <w:rsid w:val="00BD7455"/>
    <w:rsid w:val="00BE018B"/>
    <w:rsid w:val="00BE042A"/>
    <w:rsid w:val="00BE07E3"/>
    <w:rsid w:val="00BE195F"/>
    <w:rsid w:val="00BE2509"/>
    <w:rsid w:val="00BE2D20"/>
    <w:rsid w:val="00BE4965"/>
    <w:rsid w:val="00BE4A41"/>
    <w:rsid w:val="00BE4C31"/>
    <w:rsid w:val="00BE53FE"/>
    <w:rsid w:val="00BE6E39"/>
    <w:rsid w:val="00BF0098"/>
    <w:rsid w:val="00BF1E22"/>
    <w:rsid w:val="00BF357C"/>
    <w:rsid w:val="00BF41F5"/>
    <w:rsid w:val="00BF5DE9"/>
    <w:rsid w:val="00BF68A8"/>
    <w:rsid w:val="00BF7E80"/>
    <w:rsid w:val="00BF7E9E"/>
    <w:rsid w:val="00C0501E"/>
    <w:rsid w:val="00C06296"/>
    <w:rsid w:val="00C10E2E"/>
    <w:rsid w:val="00C11A03"/>
    <w:rsid w:val="00C13622"/>
    <w:rsid w:val="00C13B5A"/>
    <w:rsid w:val="00C20CA2"/>
    <w:rsid w:val="00C3122C"/>
    <w:rsid w:val="00C34EE1"/>
    <w:rsid w:val="00C35806"/>
    <w:rsid w:val="00C36EA4"/>
    <w:rsid w:val="00C37132"/>
    <w:rsid w:val="00C420EA"/>
    <w:rsid w:val="00C42634"/>
    <w:rsid w:val="00C43F91"/>
    <w:rsid w:val="00C44DAE"/>
    <w:rsid w:val="00C461BC"/>
    <w:rsid w:val="00C463DD"/>
    <w:rsid w:val="00C4724C"/>
    <w:rsid w:val="00C52DCB"/>
    <w:rsid w:val="00C55F6E"/>
    <w:rsid w:val="00C56523"/>
    <w:rsid w:val="00C56590"/>
    <w:rsid w:val="00C57238"/>
    <w:rsid w:val="00C57B13"/>
    <w:rsid w:val="00C628F6"/>
    <w:rsid w:val="00C629A0"/>
    <w:rsid w:val="00C6310C"/>
    <w:rsid w:val="00C66B63"/>
    <w:rsid w:val="00C66FB2"/>
    <w:rsid w:val="00C67D18"/>
    <w:rsid w:val="00C71A4A"/>
    <w:rsid w:val="00C72291"/>
    <w:rsid w:val="00C73C54"/>
    <w:rsid w:val="00C745C3"/>
    <w:rsid w:val="00C75BF8"/>
    <w:rsid w:val="00C77522"/>
    <w:rsid w:val="00C8267D"/>
    <w:rsid w:val="00C826A5"/>
    <w:rsid w:val="00C83A6C"/>
    <w:rsid w:val="00C85F87"/>
    <w:rsid w:val="00C8670E"/>
    <w:rsid w:val="00C87106"/>
    <w:rsid w:val="00C87A6A"/>
    <w:rsid w:val="00C92985"/>
    <w:rsid w:val="00C93B9D"/>
    <w:rsid w:val="00C94F5A"/>
    <w:rsid w:val="00C9687D"/>
    <w:rsid w:val="00CA210A"/>
    <w:rsid w:val="00CA7949"/>
    <w:rsid w:val="00CB0FC8"/>
    <w:rsid w:val="00CB37C3"/>
    <w:rsid w:val="00CB37E0"/>
    <w:rsid w:val="00CB3CEF"/>
    <w:rsid w:val="00CB6582"/>
    <w:rsid w:val="00CC11B4"/>
    <w:rsid w:val="00CC3710"/>
    <w:rsid w:val="00CC7D69"/>
    <w:rsid w:val="00CD1FBB"/>
    <w:rsid w:val="00CD4360"/>
    <w:rsid w:val="00CD5954"/>
    <w:rsid w:val="00CD7542"/>
    <w:rsid w:val="00CE4A8F"/>
    <w:rsid w:val="00CE5067"/>
    <w:rsid w:val="00CE76F5"/>
    <w:rsid w:val="00CE7F15"/>
    <w:rsid w:val="00CF036B"/>
    <w:rsid w:val="00CF1A7E"/>
    <w:rsid w:val="00CF4E5B"/>
    <w:rsid w:val="00CF702C"/>
    <w:rsid w:val="00D002DA"/>
    <w:rsid w:val="00D0207E"/>
    <w:rsid w:val="00D07210"/>
    <w:rsid w:val="00D12CB6"/>
    <w:rsid w:val="00D143D8"/>
    <w:rsid w:val="00D2031B"/>
    <w:rsid w:val="00D21278"/>
    <w:rsid w:val="00D213FB"/>
    <w:rsid w:val="00D21697"/>
    <w:rsid w:val="00D23306"/>
    <w:rsid w:val="00D25447"/>
    <w:rsid w:val="00D25E1D"/>
    <w:rsid w:val="00D25FE2"/>
    <w:rsid w:val="00D27E1A"/>
    <w:rsid w:val="00D33E3C"/>
    <w:rsid w:val="00D34DBF"/>
    <w:rsid w:val="00D35F1A"/>
    <w:rsid w:val="00D40C5F"/>
    <w:rsid w:val="00D4208D"/>
    <w:rsid w:val="00D4216C"/>
    <w:rsid w:val="00D42294"/>
    <w:rsid w:val="00D42608"/>
    <w:rsid w:val="00D43252"/>
    <w:rsid w:val="00D44692"/>
    <w:rsid w:val="00D44AB1"/>
    <w:rsid w:val="00D45701"/>
    <w:rsid w:val="00D47706"/>
    <w:rsid w:val="00D47EEA"/>
    <w:rsid w:val="00D50932"/>
    <w:rsid w:val="00D557E0"/>
    <w:rsid w:val="00D60744"/>
    <w:rsid w:val="00D624C2"/>
    <w:rsid w:val="00D62B49"/>
    <w:rsid w:val="00D67598"/>
    <w:rsid w:val="00D726FA"/>
    <w:rsid w:val="00D73CF8"/>
    <w:rsid w:val="00D73D8E"/>
    <w:rsid w:val="00D73F57"/>
    <w:rsid w:val="00D747AC"/>
    <w:rsid w:val="00D75BBF"/>
    <w:rsid w:val="00D76AB3"/>
    <w:rsid w:val="00D837C1"/>
    <w:rsid w:val="00D83826"/>
    <w:rsid w:val="00D86D11"/>
    <w:rsid w:val="00D86E72"/>
    <w:rsid w:val="00D9058F"/>
    <w:rsid w:val="00D90B15"/>
    <w:rsid w:val="00D90C55"/>
    <w:rsid w:val="00D91872"/>
    <w:rsid w:val="00D93CC8"/>
    <w:rsid w:val="00D94E90"/>
    <w:rsid w:val="00D95303"/>
    <w:rsid w:val="00D95A2C"/>
    <w:rsid w:val="00D971A9"/>
    <w:rsid w:val="00D978C6"/>
    <w:rsid w:val="00DA00C1"/>
    <w:rsid w:val="00DA0120"/>
    <w:rsid w:val="00DA07FD"/>
    <w:rsid w:val="00DA29AA"/>
    <w:rsid w:val="00DA2F62"/>
    <w:rsid w:val="00DA3C1C"/>
    <w:rsid w:val="00DA657F"/>
    <w:rsid w:val="00DA6A29"/>
    <w:rsid w:val="00DB3B45"/>
    <w:rsid w:val="00DB3CAB"/>
    <w:rsid w:val="00DC030C"/>
    <w:rsid w:val="00DC1764"/>
    <w:rsid w:val="00DC301F"/>
    <w:rsid w:val="00DC51C1"/>
    <w:rsid w:val="00DD132B"/>
    <w:rsid w:val="00DD41B6"/>
    <w:rsid w:val="00DE0981"/>
    <w:rsid w:val="00DE0D29"/>
    <w:rsid w:val="00DE2096"/>
    <w:rsid w:val="00DE2EF9"/>
    <w:rsid w:val="00DE53E7"/>
    <w:rsid w:val="00DE61FA"/>
    <w:rsid w:val="00DE7B43"/>
    <w:rsid w:val="00DF0D95"/>
    <w:rsid w:val="00DF16C8"/>
    <w:rsid w:val="00DF183D"/>
    <w:rsid w:val="00DF1CBF"/>
    <w:rsid w:val="00DF6BD7"/>
    <w:rsid w:val="00E03FFA"/>
    <w:rsid w:val="00E053C3"/>
    <w:rsid w:val="00E10709"/>
    <w:rsid w:val="00E116E3"/>
    <w:rsid w:val="00E1469B"/>
    <w:rsid w:val="00E17D9B"/>
    <w:rsid w:val="00E21D15"/>
    <w:rsid w:val="00E24D87"/>
    <w:rsid w:val="00E2718F"/>
    <w:rsid w:val="00E27346"/>
    <w:rsid w:val="00E27BAD"/>
    <w:rsid w:val="00E304B4"/>
    <w:rsid w:val="00E32EFC"/>
    <w:rsid w:val="00E33EE4"/>
    <w:rsid w:val="00E33EF1"/>
    <w:rsid w:val="00E34819"/>
    <w:rsid w:val="00E34AEB"/>
    <w:rsid w:val="00E34FEE"/>
    <w:rsid w:val="00E363AB"/>
    <w:rsid w:val="00E36E4B"/>
    <w:rsid w:val="00E4080B"/>
    <w:rsid w:val="00E467BA"/>
    <w:rsid w:val="00E5009D"/>
    <w:rsid w:val="00E60AC5"/>
    <w:rsid w:val="00E625E6"/>
    <w:rsid w:val="00E62E74"/>
    <w:rsid w:val="00E62FCC"/>
    <w:rsid w:val="00E667A6"/>
    <w:rsid w:val="00E7006B"/>
    <w:rsid w:val="00E70AB1"/>
    <w:rsid w:val="00E71BC8"/>
    <w:rsid w:val="00E725A2"/>
    <w:rsid w:val="00E7260F"/>
    <w:rsid w:val="00E745D4"/>
    <w:rsid w:val="00E77095"/>
    <w:rsid w:val="00E81315"/>
    <w:rsid w:val="00E83686"/>
    <w:rsid w:val="00E83823"/>
    <w:rsid w:val="00E8489A"/>
    <w:rsid w:val="00E85B98"/>
    <w:rsid w:val="00E87ECC"/>
    <w:rsid w:val="00E900C9"/>
    <w:rsid w:val="00E91030"/>
    <w:rsid w:val="00E91219"/>
    <w:rsid w:val="00E96451"/>
    <w:rsid w:val="00E96630"/>
    <w:rsid w:val="00E97B1A"/>
    <w:rsid w:val="00EA045D"/>
    <w:rsid w:val="00EA07ED"/>
    <w:rsid w:val="00EA1CBE"/>
    <w:rsid w:val="00EA2D48"/>
    <w:rsid w:val="00EA7E0E"/>
    <w:rsid w:val="00EB13D5"/>
    <w:rsid w:val="00EB1A19"/>
    <w:rsid w:val="00EB33BD"/>
    <w:rsid w:val="00EB36C0"/>
    <w:rsid w:val="00EB44CE"/>
    <w:rsid w:val="00EB4D1F"/>
    <w:rsid w:val="00EB5D03"/>
    <w:rsid w:val="00EC1256"/>
    <w:rsid w:val="00EC43D8"/>
    <w:rsid w:val="00EC4D4F"/>
    <w:rsid w:val="00EC5D5F"/>
    <w:rsid w:val="00EC78EF"/>
    <w:rsid w:val="00ED1BAC"/>
    <w:rsid w:val="00ED44AF"/>
    <w:rsid w:val="00ED50E5"/>
    <w:rsid w:val="00ED6844"/>
    <w:rsid w:val="00ED7A2A"/>
    <w:rsid w:val="00EE2BFC"/>
    <w:rsid w:val="00EF0800"/>
    <w:rsid w:val="00EF0DF0"/>
    <w:rsid w:val="00EF196D"/>
    <w:rsid w:val="00EF1D7F"/>
    <w:rsid w:val="00EF1E5C"/>
    <w:rsid w:val="00EF22CB"/>
    <w:rsid w:val="00EF40DA"/>
    <w:rsid w:val="00EF56C6"/>
    <w:rsid w:val="00F04EBF"/>
    <w:rsid w:val="00F10848"/>
    <w:rsid w:val="00F10C60"/>
    <w:rsid w:val="00F1128B"/>
    <w:rsid w:val="00F1320D"/>
    <w:rsid w:val="00F21BC0"/>
    <w:rsid w:val="00F22ADA"/>
    <w:rsid w:val="00F3230D"/>
    <w:rsid w:val="00F32902"/>
    <w:rsid w:val="00F34539"/>
    <w:rsid w:val="00F36160"/>
    <w:rsid w:val="00F36841"/>
    <w:rsid w:val="00F410E3"/>
    <w:rsid w:val="00F412D6"/>
    <w:rsid w:val="00F420C5"/>
    <w:rsid w:val="00F46299"/>
    <w:rsid w:val="00F466E9"/>
    <w:rsid w:val="00F46778"/>
    <w:rsid w:val="00F50C45"/>
    <w:rsid w:val="00F52CB4"/>
    <w:rsid w:val="00F53043"/>
    <w:rsid w:val="00F53BC7"/>
    <w:rsid w:val="00F53C38"/>
    <w:rsid w:val="00F56041"/>
    <w:rsid w:val="00F5626D"/>
    <w:rsid w:val="00F56292"/>
    <w:rsid w:val="00F5683B"/>
    <w:rsid w:val="00F601FF"/>
    <w:rsid w:val="00F606DC"/>
    <w:rsid w:val="00F60999"/>
    <w:rsid w:val="00F60D54"/>
    <w:rsid w:val="00F6194B"/>
    <w:rsid w:val="00F67AF7"/>
    <w:rsid w:val="00F7371F"/>
    <w:rsid w:val="00F77224"/>
    <w:rsid w:val="00F81584"/>
    <w:rsid w:val="00F81E6E"/>
    <w:rsid w:val="00F84D51"/>
    <w:rsid w:val="00F85F53"/>
    <w:rsid w:val="00F87BEA"/>
    <w:rsid w:val="00F93781"/>
    <w:rsid w:val="00FA037C"/>
    <w:rsid w:val="00FA171A"/>
    <w:rsid w:val="00FA5869"/>
    <w:rsid w:val="00FB09C4"/>
    <w:rsid w:val="00FB1369"/>
    <w:rsid w:val="00FB304C"/>
    <w:rsid w:val="00FB33F2"/>
    <w:rsid w:val="00FB35A3"/>
    <w:rsid w:val="00FB3F5C"/>
    <w:rsid w:val="00FB4048"/>
    <w:rsid w:val="00FB42FE"/>
    <w:rsid w:val="00FB4690"/>
    <w:rsid w:val="00FB613B"/>
    <w:rsid w:val="00FB63E3"/>
    <w:rsid w:val="00FB6712"/>
    <w:rsid w:val="00FB692F"/>
    <w:rsid w:val="00FB7895"/>
    <w:rsid w:val="00FB7E58"/>
    <w:rsid w:val="00FC0324"/>
    <w:rsid w:val="00FC0ABE"/>
    <w:rsid w:val="00FC2329"/>
    <w:rsid w:val="00FC4AF4"/>
    <w:rsid w:val="00FC68B7"/>
    <w:rsid w:val="00FD18A5"/>
    <w:rsid w:val="00FD1FE3"/>
    <w:rsid w:val="00FD6D28"/>
    <w:rsid w:val="00FD7615"/>
    <w:rsid w:val="00FD7B38"/>
    <w:rsid w:val="00FE0E2C"/>
    <w:rsid w:val="00FE106A"/>
    <w:rsid w:val="00FE2104"/>
    <w:rsid w:val="00FE397E"/>
    <w:rsid w:val="00FE7C6A"/>
    <w:rsid w:val="00FF1540"/>
    <w:rsid w:val="00FF3EAB"/>
    <w:rsid w:val="00FF4FA4"/>
    <w:rsid w:val="00FF78B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iPriority="99" w:unhideWhenUsed="0" w:qFormat="1"/>
    <w:lsdException w:name="footnote reference"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uiPriority w:val="99"/>
    <w:semiHidden/>
    <w:rsid w:val="00416EAF"/>
    <w:rPr>
      <w:color w:val="auto"/>
      <w:u w:val="none"/>
    </w:rPr>
  </w:style>
  <w:style w:type="paragraph" w:styleId="FootnoteText">
    <w:name w:val="footnote text"/>
    <w:aliases w:val="5_G"/>
    <w:basedOn w:val="Normal"/>
    <w:link w:val="FootnoteTextChar"/>
    <w:qFormat/>
    <w:rsid w:val="00144BC1"/>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144BC1"/>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52505A"/>
    <w:rPr>
      <w:rFonts w:eastAsia="Calibri"/>
      <w:sz w:val="18"/>
      <w:lang w:eastAsia="en-US"/>
    </w:rPr>
  </w:style>
  <w:style w:type="numbering" w:customStyle="1" w:styleId="NoList1">
    <w:name w:val="No List1"/>
    <w:next w:val="NoList"/>
    <w:uiPriority w:val="99"/>
    <w:semiHidden/>
    <w:unhideWhenUsed/>
    <w:rsid w:val="000078DA"/>
  </w:style>
  <w:style w:type="paragraph" w:customStyle="1" w:styleId="s0">
    <w:name w:val="s0"/>
    <w:uiPriority w:val="99"/>
    <w:rsid w:val="000078DA"/>
    <w:pPr>
      <w:widowControl w:val="0"/>
      <w:autoSpaceDE w:val="0"/>
      <w:autoSpaceDN w:val="0"/>
      <w:adjustRightInd w:val="0"/>
    </w:pPr>
    <w:rPr>
      <w:rFonts w:ascii="Batang" w:eastAsia="Batang" w:hAnsi="Malgun Gothic"/>
      <w:sz w:val="24"/>
      <w:szCs w:val="24"/>
      <w:lang w:eastAsia="ko-KR"/>
    </w:rPr>
  </w:style>
  <w:style w:type="character" w:customStyle="1" w:styleId="HeaderChar">
    <w:name w:val="Header Char"/>
    <w:aliases w:val="6_G Char"/>
    <w:link w:val="Header"/>
    <w:uiPriority w:val="99"/>
    <w:locked/>
    <w:rsid w:val="000078DA"/>
    <w:rPr>
      <w:b/>
      <w:sz w:val="18"/>
      <w:lang w:eastAsia="en-US"/>
    </w:rPr>
  </w:style>
  <w:style w:type="character" w:customStyle="1" w:styleId="FooterChar">
    <w:name w:val="Footer Char"/>
    <w:aliases w:val="3_G Char"/>
    <w:link w:val="Footer"/>
    <w:uiPriority w:val="99"/>
    <w:locked/>
    <w:rsid w:val="000078DA"/>
    <w:rPr>
      <w:sz w:val="16"/>
      <w:lang w:eastAsia="en-US"/>
    </w:rPr>
  </w:style>
  <w:style w:type="paragraph" w:customStyle="1" w:styleId="a">
    <w:name w:val="바탕글"/>
    <w:basedOn w:val="Normal"/>
    <w:rsid w:val="000078DA"/>
    <w:pPr>
      <w:suppressAutoHyphens w:val="0"/>
      <w:snapToGrid w:val="0"/>
      <w:spacing w:line="384" w:lineRule="auto"/>
      <w:jc w:val="both"/>
    </w:pPr>
    <w:rPr>
      <w:rFonts w:ascii="Batang" w:eastAsia="Batang" w:hAnsi="Batang" w:cs="Gulim"/>
      <w:color w:val="000000"/>
      <w:sz w:val="24"/>
      <w:lang w:val="en-US" w:eastAsia="ko-KR"/>
    </w:rPr>
  </w:style>
  <w:style w:type="paragraph" w:customStyle="1" w:styleId="a0">
    <w:name w:val="쪽"/>
    <w:basedOn w:val="Normal"/>
    <w:uiPriority w:val="99"/>
    <w:rsid w:val="000078DA"/>
    <w:pPr>
      <w:suppressAutoHyphens w:val="0"/>
      <w:spacing w:before="100" w:beforeAutospacing="1" w:after="100" w:afterAutospacing="1" w:line="240" w:lineRule="auto"/>
    </w:pPr>
    <w:rPr>
      <w:rFonts w:ascii="Gulim" w:eastAsia="Gulim" w:hAnsi="Gulim" w:cs="Gulim"/>
      <w:sz w:val="24"/>
      <w:szCs w:val="24"/>
      <w:lang w:val="en-US" w:eastAsia="ko-KR"/>
    </w:rPr>
  </w:style>
  <w:style w:type="paragraph" w:styleId="NormalWeb">
    <w:name w:val="Normal (Web)"/>
    <w:basedOn w:val="Normal"/>
    <w:uiPriority w:val="99"/>
    <w:rsid w:val="000078DA"/>
    <w:pPr>
      <w:suppressAutoHyphens w:val="0"/>
      <w:spacing w:before="100" w:beforeAutospacing="1" w:after="100" w:afterAutospacing="1" w:line="240" w:lineRule="auto"/>
    </w:pPr>
    <w:rPr>
      <w:rFonts w:ascii="Gulim" w:eastAsia="Gulim" w:hAnsi="Gulim" w:cs="Gulim"/>
      <w:sz w:val="24"/>
      <w:szCs w:val="24"/>
      <w:lang w:val="en-US" w:eastAsia="ko-KR"/>
    </w:rPr>
  </w:style>
  <w:style w:type="character" w:styleId="CommentReference">
    <w:name w:val="annotation reference"/>
    <w:uiPriority w:val="99"/>
    <w:rsid w:val="000078DA"/>
    <w:rPr>
      <w:rFonts w:cs="Times New Roman"/>
      <w:sz w:val="18"/>
    </w:rPr>
  </w:style>
  <w:style w:type="paragraph" w:styleId="CommentText">
    <w:name w:val="annotation text"/>
    <w:basedOn w:val="Normal"/>
    <w:link w:val="CommentTextChar"/>
    <w:uiPriority w:val="99"/>
    <w:rsid w:val="000078DA"/>
    <w:pPr>
      <w:widowControl w:val="0"/>
      <w:suppressAutoHyphens w:val="0"/>
      <w:wordWrap w:val="0"/>
      <w:autoSpaceDE w:val="0"/>
      <w:autoSpaceDN w:val="0"/>
      <w:spacing w:line="240" w:lineRule="auto"/>
    </w:pPr>
    <w:rPr>
      <w:rFonts w:ascii="Malgun Gothic" w:eastAsia="Malgun Gothic" w:hAnsi="Malgun Gothic"/>
      <w:kern w:val="2"/>
      <w:szCs w:val="22"/>
      <w:lang w:val="en-US" w:eastAsia="ko-KR"/>
    </w:rPr>
  </w:style>
  <w:style w:type="character" w:customStyle="1" w:styleId="CommentTextChar">
    <w:name w:val="Comment Text Char"/>
    <w:link w:val="CommentText"/>
    <w:uiPriority w:val="99"/>
    <w:rsid w:val="000078DA"/>
    <w:rPr>
      <w:rFonts w:ascii="Malgun Gothic" w:eastAsia="Malgun Gothic" w:hAnsi="Malgun Gothic"/>
      <w:kern w:val="2"/>
      <w:szCs w:val="22"/>
      <w:lang w:val="en-US" w:eastAsia="ko-KR"/>
    </w:rPr>
  </w:style>
  <w:style w:type="paragraph" w:styleId="CommentSubject">
    <w:name w:val="annotation subject"/>
    <w:basedOn w:val="CommentText"/>
    <w:next w:val="CommentText"/>
    <w:link w:val="CommentSubjectChar"/>
    <w:uiPriority w:val="99"/>
    <w:rsid w:val="000078DA"/>
    <w:rPr>
      <w:b/>
      <w:bCs/>
    </w:rPr>
  </w:style>
  <w:style w:type="character" w:customStyle="1" w:styleId="CommentSubjectChar">
    <w:name w:val="Comment Subject Char"/>
    <w:link w:val="CommentSubject"/>
    <w:uiPriority w:val="99"/>
    <w:rsid w:val="000078DA"/>
    <w:rPr>
      <w:rFonts w:ascii="Malgun Gothic" w:eastAsia="Malgun Gothic" w:hAnsi="Malgun Gothic"/>
      <w:b/>
      <w:bCs/>
      <w:kern w:val="2"/>
      <w:szCs w:val="22"/>
      <w:lang w:val="en-US" w:eastAsia="ko-KR"/>
    </w:rPr>
  </w:style>
  <w:style w:type="paragraph" w:styleId="BalloonText">
    <w:name w:val="Balloon Text"/>
    <w:basedOn w:val="Normal"/>
    <w:link w:val="BalloonTextChar"/>
    <w:uiPriority w:val="99"/>
    <w:rsid w:val="000078DA"/>
    <w:pPr>
      <w:widowControl w:val="0"/>
      <w:suppressAutoHyphens w:val="0"/>
      <w:wordWrap w:val="0"/>
      <w:autoSpaceDE w:val="0"/>
      <w:autoSpaceDN w:val="0"/>
      <w:spacing w:line="240" w:lineRule="auto"/>
      <w:jc w:val="both"/>
    </w:pPr>
    <w:rPr>
      <w:rFonts w:ascii="Malgun Gothic" w:eastAsia="Malgun Gothic" w:hAnsi="Malgun Gothic"/>
      <w:kern w:val="2"/>
      <w:sz w:val="18"/>
      <w:szCs w:val="18"/>
      <w:lang w:val="en-US" w:eastAsia="ko-KR"/>
    </w:rPr>
  </w:style>
  <w:style w:type="character" w:customStyle="1" w:styleId="BalloonTextChar">
    <w:name w:val="Balloon Text Char"/>
    <w:link w:val="BalloonText"/>
    <w:uiPriority w:val="99"/>
    <w:rsid w:val="000078DA"/>
    <w:rPr>
      <w:rFonts w:ascii="Malgun Gothic" w:eastAsia="Malgun Gothic" w:hAnsi="Malgun Gothic"/>
      <w:kern w:val="2"/>
      <w:sz w:val="18"/>
      <w:szCs w:val="18"/>
      <w:lang w:val="en-US" w:eastAsia="ko-KR"/>
    </w:rPr>
  </w:style>
  <w:style w:type="paragraph" w:customStyle="1" w:styleId="a1">
    <w:name w:val="각주"/>
    <w:basedOn w:val="Normal"/>
    <w:rsid w:val="000078DA"/>
    <w:pPr>
      <w:keepNext/>
      <w:keepLines/>
      <w:suppressAutoHyphens w:val="0"/>
      <w:snapToGrid w:val="0"/>
      <w:spacing w:line="312" w:lineRule="auto"/>
      <w:jc w:val="both"/>
    </w:pPr>
    <w:rPr>
      <w:rFonts w:ascii="Batang" w:eastAsia="Batang" w:hAnsi="Batang" w:cs="Gulim"/>
      <w:color w:val="000000"/>
      <w:sz w:val="18"/>
      <w:szCs w:val="18"/>
      <w:lang w:val="en-US" w:eastAsia="ko-KR"/>
    </w:rPr>
  </w:style>
  <w:style w:type="paragraph" w:customStyle="1" w:styleId="DecimalAligned">
    <w:name w:val="Decimal Aligned"/>
    <w:basedOn w:val="Normal"/>
    <w:uiPriority w:val="99"/>
    <w:rsid w:val="000078DA"/>
    <w:pPr>
      <w:tabs>
        <w:tab w:val="decimal" w:pos="360"/>
      </w:tabs>
      <w:suppressAutoHyphens w:val="0"/>
      <w:spacing w:after="200" w:line="276" w:lineRule="auto"/>
    </w:pPr>
    <w:rPr>
      <w:rFonts w:ascii="Malgun Gothic" w:eastAsia="Malgun Gothic" w:hAnsi="Malgun Gothic"/>
      <w:sz w:val="22"/>
      <w:szCs w:val="22"/>
      <w:lang w:val="en-US" w:eastAsia="ko-KR"/>
    </w:rPr>
  </w:style>
  <w:style w:type="character" w:customStyle="1" w:styleId="1">
    <w:name w:val="약한 강조1"/>
    <w:uiPriority w:val="99"/>
    <w:rsid w:val="000078DA"/>
    <w:rPr>
      <w:rFonts w:eastAsia="Malgun Gothic"/>
      <w:i/>
      <w:color w:val="808080"/>
      <w:sz w:val="22"/>
      <w:lang w:eastAsia="ko-KR"/>
    </w:rPr>
  </w:style>
  <w:style w:type="table" w:customStyle="1" w:styleId="-11">
    <w:name w:val="옅은 음영 - 강조색 11"/>
    <w:uiPriority w:val="99"/>
    <w:rsid w:val="000078DA"/>
    <w:rPr>
      <w:rFonts w:ascii="Malgun Gothic" w:eastAsia="Malgun Gothic" w:hAnsi="Malgun Gothic"/>
      <w:color w:val="365F91"/>
      <w:sz w:val="22"/>
      <w:lang w:eastAsia="ko-K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0">
    <w:name w:val="표 스타일1"/>
    <w:uiPriority w:val="99"/>
    <w:rsid w:val="000078DA"/>
    <w:pPr>
      <w:jc w:val="center"/>
    </w:pPr>
    <w:rPr>
      <w:rFonts w:ascii="Malgun Gothic" w:eastAsia="Malgun Gothic" w:hAnsi="Malgun Gothic"/>
      <w:lang w:eastAsia="ko-KR"/>
    </w:rPr>
    <w:tblPr>
      <w:tblInd w:w="0" w:type="dxa"/>
      <w:tblBorders>
        <w:top w:val="single" w:sz="4" w:space="0" w:color="auto"/>
        <w:bottom w:val="single" w:sz="4" w:space="0" w:color="auto"/>
      </w:tblBorders>
      <w:tblCellMar>
        <w:top w:w="0" w:type="dxa"/>
        <w:left w:w="108" w:type="dxa"/>
        <w:bottom w:w="0" w:type="dxa"/>
        <w:right w:w="108" w:type="dxa"/>
      </w:tblCellMar>
    </w:tblPr>
  </w:style>
  <w:style w:type="table" w:customStyle="1" w:styleId="UNSTYLE">
    <w:name w:val="UN STYLE"/>
    <w:uiPriority w:val="99"/>
    <w:rsid w:val="000078DA"/>
    <w:pPr>
      <w:jc w:val="right"/>
    </w:pPr>
    <w:rPr>
      <w:rFonts w:eastAsia="Malgun Gothic"/>
      <w:sz w:val="16"/>
      <w:lang w:eastAsia="ko-KR"/>
    </w:rPr>
    <w:tblPr>
      <w:tblInd w:w="0" w:type="dxa"/>
      <w:tblBorders>
        <w:top w:val="single" w:sz="6" w:space="0" w:color="auto"/>
        <w:bottom w:val="single" w:sz="12" w:space="0" w:color="auto"/>
      </w:tblBorders>
      <w:tblCellMar>
        <w:top w:w="0" w:type="dxa"/>
        <w:left w:w="108" w:type="dxa"/>
        <w:bottom w:w="0" w:type="dxa"/>
        <w:right w:w="108" w:type="dxa"/>
      </w:tblCellMar>
    </w:tblPr>
  </w:style>
  <w:style w:type="paragraph" w:customStyle="1" w:styleId="11">
    <w:name w:val="목록 단락1"/>
    <w:basedOn w:val="Normal"/>
    <w:uiPriority w:val="99"/>
    <w:rsid w:val="000078DA"/>
    <w:pPr>
      <w:widowControl w:val="0"/>
      <w:suppressAutoHyphens w:val="0"/>
      <w:wordWrap w:val="0"/>
      <w:autoSpaceDE w:val="0"/>
      <w:autoSpaceDN w:val="0"/>
      <w:spacing w:line="240" w:lineRule="auto"/>
      <w:ind w:leftChars="400" w:left="800"/>
      <w:jc w:val="both"/>
    </w:pPr>
    <w:rPr>
      <w:rFonts w:ascii="Malgun Gothic" w:eastAsia="Malgun Gothic" w:hAnsi="Malgun Gothic" w:cs="Malgun Gothic"/>
      <w:kern w:val="2"/>
      <w:sz w:val="24"/>
      <w:lang w:val="en-US" w:eastAsia="ko-KR"/>
    </w:rPr>
  </w:style>
  <w:style w:type="paragraph" w:customStyle="1" w:styleId="12">
    <w:name w:val="수정1"/>
    <w:hidden/>
    <w:uiPriority w:val="99"/>
    <w:semiHidden/>
    <w:rsid w:val="000078DA"/>
    <w:rPr>
      <w:rFonts w:ascii="Malgun Gothic" w:eastAsia="Malgun Gothic" w:hAnsi="Malgun Gothic"/>
      <w:kern w:val="2"/>
      <w:sz w:val="24"/>
      <w:szCs w:val="22"/>
      <w:lang w:eastAsia="ko-KR"/>
    </w:rPr>
  </w:style>
  <w:style w:type="paragraph" w:styleId="DocumentMap">
    <w:name w:val="Document Map"/>
    <w:basedOn w:val="Normal"/>
    <w:link w:val="DocumentMapChar"/>
    <w:uiPriority w:val="99"/>
    <w:rsid w:val="000078DA"/>
    <w:pPr>
      <w:widowControl w:val="0"/>
      <w:suppressAutoHyphens w:val="0"/>
      <w:wordWrap w:val="0"/>
      <w:autoSpaceDE w:val="0"/>
      <w:autoSpaceDN w:val="0"/>
      <w:spacing w:line="240" w:lineRule="auto"/>
      <w:jc w:val="both"/>
    </w:pPr>
    <w:rPr>
      <w:rFonts w:ascii="Gulim" w:eastAsia="Gulim" w:hAnsi="Malgun Gothic"/>
      <w:kern w:val="2"/>
      <w:sz w:val="18"/>
      <w:szCs w:val="18"/>
      <w:lang w:val="en-US" w:eastAsia="ko-KR"/>
    </w:rPr>
  </w:style>
  <w:style w:type="character" w:customStyle="1" w:styleId="DocumentMapChar">
    <w:name w:val="Document Map Char"/>
    <w:link w:val="DocumentMap"/>
    <w:uiPriority w:val="99"/>
    <w:rsid w:val="000078DA"/>
    <w:rPr>
      <w:rFonts w:ascii="Gulim" w:eastAsia="Gulim" w:hAnsi="Malgun Gothic"/>
      <w:kern w:val="2"/>
      <w:sz w:val="18"/>
      <w:szCs w:val="18"/>
      <w:lang w:val="en-US" w:eastAsia="ko-KR"/>
    </w:rPr>
  </w:style>
  <w:style w:type="paragraph" w:styleId="Revision">
    <w:name w:val="Revision"/>
    <w:hidden/>
    <w:uiPriority w:val="99"/>
    <w:semiHidden/>
    <w:rsid w:val="000078DA"/>
    <w:rPr>
      <w:rFonts w:ascii="Malgun Gothic" w:eastAsia="Malgun Gothic" w:hAnsi="Malgun Gothic"/>
      <w:kern w:val="2"/>
      <w:sz w:val="24"/>
      <w:szCs w:val="22"/>
      <w:lang w:eastAsia="ko-KR"/>
    </w:rPr>
  </w:style>
  <w:style w:type="paragraph" w:styleId="Caption">
    <w:name w:val="caption"/>
    <w:basedOn w:val="Normal"/>
    <w:next w:val="Normal"/>
    <w:uiPriority w:val="99"/>
    <w:qFormat/>
    <w:rsid w:val="000078DA"/>
    <w:pPr>
      <w:widowControl w:val="0"/>
      <w:suppressAutoHyphens w:val="0"/>
      <w:wordWrap w:val="0"/>
      <w:autoSpaceDE w:val="0"/>
      <w:autoSpaceDN w:val="0"/>
      <w:spacing w:after="200" w:line="240" w:lineRule="auto"/>
      <w:jc w:val="both"/>
    </w:pPr>
    <w:rPr>
      <w:rFonts w:ascii="Malgun Gothic" w:eastAsia="Malgun Gothic" w:hAnsi="Malgun Gothic"/>
      <w:b/>
      <w:bCs/>
      <w:color w:val="4F81BD"/>
      <w:kern w:val="2"/>
      <w:sz w:val="18"/>
      <w:szCs w:val="18"/>
      <w:lang w:val="en-US" w:eastAsia="ko-KR"/>
    </w:rPr>
  </w:style>
  <w:style w:type="character" w:styleId="Emphasis">
    <w:name w:val="Emphasis"/>
    <w:uiPriority w:val="20"/>
    <w:qFormat/>
    <w:rsid w:val="000078DA"/>
    <w:rPr>
      <w:rFonts w:cs="Times New Roman"/>
    </w:rPr>
  </w:style>
  <w:style w:type="paragraph" w:styleId="ListParagraph">
    <w:name w:val="List Paragraph"/>
    <w:basedOn w:val="Normal"/>
    <w:uiPriority w:val="99"/>
    <w:qFormat/>
    <w:rsid w:val="000078DA"/>
    <w:pPr>
      <w:widowControl w:val="0"/>
      <w:suppressAutoHyphens w:val="0"/>
      <w:wordWrap w:val="0"/>
      <w:autoSpaceDE w:val="0"/>
      <w:autoSpaceDN w:val="0"/>
      <w:spacing w:line="240" w:lineRule="auto"/>
      <w:ind w:leftChars="400" w:left="800"/>
      <w:jc w:val="both"/>
    </w:pPr>
    <w:rPr>
      <w:rFonts w:ascii="Malgun Gothic" w:eastAsia="Malgun Gothic" w:hAnsi="Malgun Gothic" w:cs="Malgun Gothic"/>
      <w:kern w:val="2"/>
      <w:lang w:val="en-US" w:eastAsia="ko-KR"/>
    </w:rPr>
  </w:style>
  <w:style w:type="paragraph" w:customStyle="1" w:styleId="a2">
    <w:name w:val="미주"/>
    <w:basedOn w:val="Normal"/>
    <w:uiPriority w:val="99"/>
    <w:rsid w:val="000078DA"/>
    <w:pPr>
      <w:widowControl w:val="0"/>
      <w:shd w:val="clear" w:color="auto" w:fill="FFFFFF"/>
      <w:suppressAutoHyphens w:val="0"/>
      <w:wordWrap w:val="0"/>
      <w:autoSpaceDE w:val="0"/>
      <w:autoSpaceDN w:val="0"/>
      <w:snapToGrid w:val="0"/>
      <w:spacing w:after="120" w:line="240" w:lineRule="auto"/>
      <w:ind w:left="170" w:hanging="170"/>
      <w:jc w:val="both"/>
      <w:textAlignment w:val="baseline"/>
    </w:pPr>
    <w:rPr>
      <w:rFonts w:eastAsia="Malgun Gothic"/>
      <w:color w:val="000000"/>
      <w:lang w:val="en-US" w:eastAsia="ko-KR"/>
    </w:rPr>
  </w:style>
  <w:style w:type="character" w:customStyle="1" w:styleId="fnte074">
    <w:name w:val="fnt_e074"/>
    <w:uiPriority w:val="99"/>
    <w:rsid w:val="000078DA"/>
    <w:rPr>
      <w:rFonts w:ascii="Arial" w:hAnsi="Arial" w:cs="Arial"/>
      <w:color w:val="666666"/>
      <w:sz w:val="18"/>
      <w:szCs w:val="18"/>
    </w:rPr>
  </w:style>
  <w:style w:type="character" w:customStyle="1" w:styleId="fnte096">
    <w:name w:val="fnt_e096"/>
    <w:uiPriority w:val="99"/>
    <w:rsid w:val="000078DA"/>
    <w:rPr>
      <w:rFonts w:ascii="Arial" w:hAnsi="Arial" w:cs="Arial"/>
      <w:color w:val="000000"/>
      <w:sz w:val="20"/>
      <w:szCs w:val="20"/>
    </w:rPr>
  </w:style>
  <w:style w:type="paragraph" w:customStyle="1" w:styleId="a3">
    <w:name w:val="쪽 번호"/>
    <w:basedOn w:val="Normal"/>
    <w:rsid w:val="000078DA"/>
    <w:pPr>
      <w:widowControl w:val="0"/>
      <w:shd w:val="clear" w:color="auto" w:fill="FFFFFF"/>
      <w:suppressAutoHyphens w:val="0"/>
      <w:wordWrap w:val="0"/>
      <w:autoSpaceDE w:val="0"/>
      <w:autoSpaceDN w:val="0"/>
      <w:snapToGrid w:val="0"/>
      <w:spacing w:line="384" w:lineRule="auto"/>
      <w:jc w:val="both"/>
      <w:textAlignment w:val="baseline"/>
    </w:pPr>
    <w:rPr>
      <w:rFonts w:ascii="Gulim" w:eastAsia="Gulim" w:hAnsi="Gulim" w:cs="Gulim"/>
      <w:color w:val="000000"/>
      <w:lang w:val="en-US" w:eastAsia="ko-KR"/>
    </w:rPr>
  </w:style>
  <w:style w:type="paragraph" w:customStyle="1" w:styleId="pty11de1i1">
    <w:name w:val="pty11_de1i1"/>
    <w:basedOn w:val="Normal"/>
    <w:uiPriority w:val="99"/>
    <w:rsid w:val="000078DA"/>
    <w:pPr>
      <w:suppressAutoHyphens w:val="0"/>
      <w:spacing w:line="240" w:lineRule="auto"/>
    </w:pPr>
    <w:rPr>
      <w:rFonts w:ascii="Gulim" w:eastAsia="Gulim" w:hAnsi="Gulim" w:cs="Gulim"/>
      <w:sz w:val="24"/>
      <w:szCs w:val="24"/>
      <w:lang w:val="en-US" w:eastAsia="ko-KR"/>
    </w:rPr>
  </w:style>
  <w:style w:type="paragraph" w:styleId="Date">
    <w:name w:val="Date"/>
    <w:basedOn w:val="Normal"/>
    <w:next w:val="Normal"/>
    <w:link w:val="DateChar"/>
    <w:uiPriority w:val="99"/>
    <w:rsid w:val="000078DA"/>
    <w:pPr>
      <w:widowControl w:val="0"/>
      <w:suppressAutoHyphens w:val="0"/>
      <w:wordWrap w:val="0"/>
      <w:autoSpaceDE w:val="0"/>
      <w:autoSpaceDN w:val="0"/>
      <w:spacing w:line="240" w:lineRule="auto"/>
      <w:jc w:val="both"/>
    </w:pPr>
    <w:rPr>
      <w:rFonts w:ascii="Malgun Gothic" w:eastAsia="Malgun Gothic" w:hAnsi="Malgun Gothic"/>
      <w:kern w:val="2"/>
      <w:sz w:val="24"/>
      <w:szCs w:val="22"/>
      <w:lang w:val="en-US" w:eastAsia="ko-KR"/>
    </w:rPr>
  </w:style>
  <w:style w:type="character" w:customStyle="1" w:styleId="DateChar">
    <w:name w:val="Date Char"/>
    <w:link w:val="Date"/>
    <w:uiPriority w:val="99"/>
    <w:rsid w:val="000078DA"/>
    <w:rPr>
      <w:rFonts w:ascii="Malgun Gothic" w:eastAsia="Malgun Gothic" w:hAnsi="Malgun Gothic"/>
      <w:kern w:val="2"/>
      <w:sz w:val="24"/>
      <w:szCs w:val="22"/>
      <w:lang w:val="en-US" w:eastAsia="ko-KR"/>
    </w:rPr>
  </w:style>
  <w:style w:type="paragraph" w:customStyle="1" w:styleId="xl63">
    <w:name w:val="xl63"/>
    <w:basedOn w:val="Normal"/>
    <w:rsid w:val="000078DA"/>
    <w:pPr>
      <w:widowControl w:val="0"/>
      <w:shd w:val="clear" w:color="auto" w:fill="FFFFFF"/>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64">
    <w:name w:val="xl64"/>
    <w:basedOn w:val="Normal"/>
    <w:uiPriority w:val="99"/>
    <w:rsid w:val="000078DA"/>
    <w:pPr>
      <w:widowControl w:val="0"/>
      <w:shd w:val="clear" w:color="auto" w:fill="FFFFFF"/>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67">
    <w:name w:val="xl67"/>
    <w:basedOn w:val="Normal"/>
    <w:uiPriority w:val="99"/>
    <w:rsid w:val="000078DA"/>
    <w:pPr>
      <w:widowControl w:val="0"/>
      <w:shd w:val="clear" w:color="auto" w:fill="FFFFFF"/>
      <w:suppressAutoHyphens w:val="0"/>
      <w:wordWrap w:val="0"/>
      <w:autoSpaceDE w:val="0"/>
      <w:autoSpaceDN w:val="0"/>
      <w:spacing w:line="384" w:lineRule="auto"/>
      <w:jc w:val="center"/>
      <w:textAlignment w:val="baseline"/>
    </w:pPr>
    <w:rPr>
      <w:rFonts w:ascii="Gulim" w:eastAsia="Gulim" w:hAnsi="Gulim" w:cs="Gulim"/>
      <w:color w:val="000000"/>
      <w:sz w:val="16"/>
      <w:szCs w:val="16"/>
      <w:lang w:val="en-US" w:eastAsia="ko-KR"/>
    </w:rPr>
  </w:style>
  <w:style w:type="paragraph" w:customStyle="1" w:styleId="xl70">
    <w:name w:val="xl70"/>
    <w:basedOn w:val="Normal"/>
    <w:uiPriority w:val="99"/>
    <w:rsid w:val="000078DA"/>
    <w:pPr>
      <w:widowControl w:val="0"/>
      <w:shd w:val="clear" w:color="auto" w:fill="FFFFFF"/>
      <w:suppressAutoHyphens w:val="0"/>
      <w:wordWrap w:val="0"/>
      <w:autoSpaceDE w:val="0"/>
      <w:autoSpaceDN w:val="0"/>
      <w:snapToGrid w:val="0"/>
      <w:spacing w:line="384" w:lineRule="auto"/>
      <w:jc w:val="center"/>
      <w:textAlignment w:val="baseline"/>
    </w:pPr>
    <w:rPr>
      <w:rFonts w:ascii="Gulim" w:eastAsia="Gulim" w:hAnsi="Gulim" w:cs="Gulim"/>
      <w:color w:val="000000"/>
      <w:sz w:val="18"/>
      <w:szCs w:val="18"/>
      <w:lang w:val="en-US" w:eastAsia="ko-KR"/>
    </w:rPr>
  </w:style>
  <w:style w:type="paragraph" w:styleId="BodyText">
    <w:name w:val="Body Text"/>
    <w:basedOn w:val="Normal"/>
    <w:link w:val="BodyTextChar"/>
    <w:uiPriority w:val="99"/>
    <w:rsid w:val="000078DA"/>
    <w:pPr>
      <w:widowControl w:val="0"/>
      <w:shd w:val="clear" w:color="auto" w:fill="FFFFFF"/>
      <w:suppressAutoHyphens w:val="0"/>
      <w:wordWrap w:val="0"/>
      <w:autoSpaceDE w:val="0"/>
      <w:autoSpaceDN w:val="0"/>
      <w:spacing w:line="384" w:lineRule="auto"/>
      <w:ind w:left="300"/>
      <w:jc w:val="both"/>
      <w:textAlignment w:val="baseline"/>
    </w:pPr>
    <w:rPr>
      <w:rFonts w:ascii="Gulim" w:eastAsia="Gulim" w:hAnsi="Gulim" w:cs="Gulim"/>
      <w:color w:val="000000"/>
      <w:lang w:val="en-US" w:eastAsia="ko-KR"/>
    </w:rPr>
  </w:style>
  <w:style w:type="character" w:customStyle="1" w:styleId="BodyTextChar">
    <w:name w:val="Body Text Char"/>
    <w:link w:val="BodyText"/>
    <w:uiPriority w:val="99"/>
    <w:rsid w:val="000078DA"/>
    <w:rPr>
      <w:rFonts w:ascii="Gulim" w:eastAsia="Gulim" w:hAnsi="Gulim" w:cs="Gulim"/>
      <w:color w:val="000000"/>
      <w:shd w:val="clear" w:color="auto" w:fill="FFFFFF"/>
      <w:lang w:val="en-US" w:eastAsia="ko-KR"/>
    </w:rPr>
  </w:style>
  <w:style w:type="character" w:customStyle="1" w:styleId="bl4">
    <w:name w:val="bl4"/>
    <w:rsid w:val="000078DA"/>
    <w:rPr>
      <w:rFonts w:ascii="Gulim" w:eastAsia="Gulim" w:hAnsi="Gulim" w:cs="Times New Roman"/>
      <w:b/>
      <w:bCs/>
      <w:color w:val="151594"/>
    </w:rPr>
  </w:style>
  <w:style w:type="paragraph" w:customStyle="1" w:styleId="pty111">
    <w:name w:val="pty111"/>
    <w:basedOn w:val="Normal"/>
    <w:uiPriority w:val="99"/>
    <w:rsid w:val="000078DA"/>
    <w:pPr>
      <w:suppressAutoHyphens w:val="0"/>
      <w:spacing w:line="240" w:lineRule="auto"/>
      <w:ind w:hanging="240"/>
    </w:pPr>
    <w:rPr>
      <w:rFonts w:ascii="Gulim" w:eastAsia="Gulim" w:hAnsi="Gulim" w:cs="Gulim"/>
      <w:sz w:val="24"/>
      <w:szCs w:val="24"/>
      <w:lang w:val="en-US" w:eastAsia="ko-KR"/>
    </w:rPr>
  </w:style>
  <w:style w:type="paragraph" w:customStyle="1" w:styleId="pty11de11">
    <w:name w:val="pty11_de11"/>
    <w:basedOn w:val="Normal"/>
    <w:uiPriority w:val="99"/>
    <w:rsid w:val="000078DA"/>
    <w:pPr>
      <w:suppressAutoHyphens w:val="0"/>
      <w:spacing w:line="240" w:lineRule="auto"/>
    </w:pPr>
    <w:rPr>
      <w:rFonts w:ascii="Gulim" w:eastAsia="Gulim" w:hAnsi="Gulim" w:cs="Gulim"/>
      <w:sz w:val="24"/>
      <w:szCs w:val="24"/>
      <w:lang w:val="en-US" w:eastAsia="ko-KR"/>
    </w:rPr>
  </w:style>
  <w:style w:type="paragraph" w:customStyle="1" w:styleId="hstyle1">
    <w:name w:val="hstyle1"/>
    <w:basedOn w:val="Normal"/>
    <w:uiPriority w:val="99"/>
    <w:rsid w:val="000078DA"/>
    <w:pPr>
      <w:suppressAutoHyphens w:val="0"/>
      <w:spacing w:line="384" w:lineRule="auto"/>
      <w:jc w:val="both"/>
    </w:pPr>
    <w:rPr>
      <w:rFonts w:ascii="Gulim" w:eastAsia="Gulim" w:hAnsi="Gulim" w:cs="Gulim"/>
      <w:color w:val="000000"/>
      <w:lang w:val="en-US" w:eastAsia="ko-KR"/>
    </w:rPr>
  </w:style>
  <w:style w:type="character" w:styleId="Strong">
    <w:name w:val="Strong"/>
    <w:qFormat/>
    <w:rsid w:val="000078DA"/>
    <w:rPr>
      <w:b/>
      <w:bCs/>
    </w:rPr>
  </w:style>
  <w:style w:type="paragraph" w:customStyle="1" w:styleId="pty11de21">
    <w:name w:val="pty11_de21"/>
    <w:basedOn w:val="Normal"/>
    <w:rsid w:val="000078DA"/>
    <w:pPr>
      <w:suppressAutoHyphens w:val="0"/>
      <w:spacing w:line="240" w:lineRule="auto"/>
      <w:ind w:hanging="240"/>
    </w:pPr>
    <w:rPr>
      <w:rFonts w:ascii="Gulim" w:eastAsia="Gulim" w:hAnsi="Gulim" w:cs="Gulim"/>
      <w:sz w:val="24"/>
      <w:szCs w:val="24"/>
      <w:lang w:val="en-US" w:eastAsia="ko-KR"/>
    </w:rPr>
  </w:style>
  <w:style w:type="paragraph" w:customStyle="1" w:styleId="pty1de2h1">
    <w:name w:val="pty1_de2h1"/>
    <w:basedOn w:val="Normal"/>
    <w:rsid w:val="000078DA"/>
    <w:pPr>
      <w:suppressAutoHyphens w:val="0"/>
      <w:spacing w:line="240" w:lineRule="auto"/>
      <w:ind w:hanging="225"/>
    </w:pPr>
    <w:rPr>
      <w:rFonts w:ascii="Gulim" w:eastAsia="Gulim" w:hAnsi="Gulim" w:cs="Gulim"/>
      <w:sz w:val="24"/>
      <w:szCs w:val="24"/>
      <w:lang w:val="en-US" w:eastAsia="ko-KR"/>
    </w:rPr>
  </w:style>
  <w:style w:type="paragraph" w:customStyle="1" w:styleId="2">
    <w:name w:val="제목2"/>
    <w:basedOn w:val="NormalWeb"/>
    <w:link w:val="2Char"/>
    <w:rsid w:val="000078DA"/>
    <w:pPr>
      <w:spacing w:before="60" w:beforeAutospacing="0" w:after="0" w:afterAutospacing="0" w:line="276" w:lineRule="auto"/>
      <w:jc w:val="center"/>
    </w:pPr>
    <w:rPr>
      <w:rFonts w:ascii="Times New Roman" w:eastAsia="휴먼명조,한컴돋움" w:hAnsi="Times New Roman" w:cs="Times New Roman"/>
      <w:b/>
      <w:bCs/>
      <w:color w:val="000000"/>
    </w:rPr>
  </w:style>
  <w:style w:type="character" w:customStyle="1" w:styleId="2Char">
    <w:name w:val="제목2 Char"/>
    <w:link w:val="2"/>
    <w:locked/>
    <w:rsid w:val="000078DA"/>
    <w:rPr>
      <w:rFonts w:eastAsia="휴먼명조,한컴돋움"/>
      <w:b/>
      <w:bCs/>
      <w:color w:val="000000"/>
      <w:sz w:val="24"/>
      <w:szCs w:val="24"/>
      <w:lang w:val="en-US" w:eastAsia="ko-KR"/>
    </w:rPr>
  </w:style>
  <w:style w:type="paragraph" w:customStyle="1" w:styleId="13">
    <w:name w:val="제목1"/>
    <w:basedOn w:val="Normal"/>
    <w:link w:val="1Char"/>
    <w:rsid w:val="000078DA"/>
    <w:pPr>
      <w:suppressAutoHyphens w:val="0"/>
      <w:spacing w:before="60" w:line="276" w:lineRule="auto"/>
      <w:jc w:val="center"/>
    </w:pPr>
    <w:rPr>
      <w:rFonts w:eastAsia="HYHeadLine-Medium"/>
      <w:b/>
      <w:bCs/>
      <w:color w:val="000000"/>
      <w:sz w:val="28"/>
      <w:szCs w:val="28"/>
      <w:lang w:val="en-US" w:eastAsia="ko-KR"/>
    </w:rPr>
  </w:style>
  <w:style w:type="character" w:customStyle="1" w:styleId="1Char">
    <w:name w:val="제목1 Char"/>
    <w:link w:val="13"/>
    <w:locked/>
    <w:rsid w:val="000078DA"/>
    <w:rPr>
      <w:rFonts w:eastAsia="HYHeadLine-Medium"/>
      <w:b/>
      <w:bCs/>
      <w:color w:val="000000"/>
      <w:sz w:val="28"/>
      <w:szCs w:val="28"/>
      <w:lang w:val="en-US" w:eastAsia="ko-KR"/>
    </w:rPr>
  </w:style>
  <w:style w:type="character" w:styleId="PlaceholderText">
    <w:name w:val="Placeholder Text"/>
    <w:uiPriority w:val="99"/>
    <w:semiHidden/>
    <w:rsid w:val="000078DA"/>
    <w:rPr>
      <w:color w:val="808080"/>
    </w:rPr>
  </w:style>
  <w:style w:type="character" w:customStyle="1" w:styleId="st1">
    <w:name w:val="st1"/>
    <w:basedOn w:val="DefaultParagraphFont"/>
    <w:rsid w:val="00CD5954"/>
  </w:style>
  <w:style w:type="paragraph" w:styleId="ListBullet">
    <w:name w:val="List Bullet"/>
    <w:basedOn w:val="Normal"/>
    <w:unhideWhenUsed/>
    <w:rsid w:val="006362DB"/>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2113">
      <w:bodyDiv w:val="1"/>
      <w:marLeft w:val="0"/>
      <w:marRight w:val="0"/>
      <w:marTop w:val="0"/>
      <w:marBottom w:val="0"/>
      <w:divBdr>
        <w:top w:val="none" w:sz="0" w:space="0" w:color="auto"/>
        <w:left w:val="none" w:sz="0" w:space="0" w:color="auto"/>
        <w:bottom w:val="none" w:sz="0" w:space="0" w:color="auto"/>
        <w:right w:val="none" w:sz="0" w:space="0" w:color="auto"/>
      </w:divBdr>
      <w:divsChild>
        <w:div w:id="622806885">
          <w:marLeft w:val="0"/>
          <w:marRight w:val="0"/>
          <w:marTop w:val="0"/>
          <w:marBottom w:val="0"/>
          <w:divBdr>
            <w:top w:val="none" w:sz="0" w:space="0" w:color="auto"/>
            <w:left w:val="none" w:sz="0" w:space="0" w:color="auto"/>
            <w:bottom w:val="none" w:sz="0" w:space="0" w:color="auto"/>
            <w:right w:val="none" w:sz="0" w:space="0" w:color="auto"/>
          </w:divBdr>
          <w:divsChild>
            <w:div w:id="462649824">
              <w:marLeft w:val="0"/>
              <w:marRight w:val="0"/>
              <w:marTop w:val="0"/>
              <w:marBottom w:val="0"/>
              <w:divBdr>
                <w:top w:val="none" w:sz="0" w:space="0" w:color="auto"/>
                <w:left w:val="none" w:sz="0" w:space="0" w:color="auto"/>
                <w:bottom w:val="none" w:sz="0" w:space="0" w:color="auto"/>
                <w:right w:val="none" w:sz="0" w:space="0" w:color="auto"/>
              </w:divBdr>
              <w:divsChild>
                <w:div w:id="1022053315">
                  <w:marLeft w:val="0"/>
                  <w:marRight w:val="0"/>
                  <w:marTop w:val="0"/>
                  <w:marBottom w:val="0"/>
                  <w:divBdr>
                    <w:top w:val="none" w:sz="0" w:space="0" w:color="auto"/>
                    <w:left w:val="none" w:sz="0" w:space="0" w:color="auto"/>
                    <w:bottom w:val="none" w:sz="0" w:space="0" w:color="auto"/>
                    <w:right w:val="none" w:sz="0" w:space="0" w:color="auto"/>
                  </w:divBdr>
                  <w:divsChild>
                    <w:div w:id="1015618050">
                      <w:marLeft w:val="0"/>
                      <w:marRight w:val="0"/>
                      <w:marTop w:val="0"/>
                      <w:marBottom w:val="0"/>
                      <w:divBdr>
                        <w:top w:val="none" w:sz="0" w:space="0" w:color="auto"/>
                        <w:left w:val="none" w:sz="0" w:space="0" w:color="auto"/>
                        <w:bottom w:val="none" w:sz="0" w:space="0" w:color="auto"/>
                        <w:right w:val="none" w:sz="0" w:space="0" w:color="auto"/>
                      </w:divBdr>
                      <w:divsChild>
                        <w:div w:id="1114518003">
                          <w:marLeft w:val="0"/>
                          <w:marRight w:val="0"/>
                          <w:marTop w:val="0"/>
                          <w:marBottom w:val="0"/>
                          <w:divBdr>
                            <w:top w:val="none" w:sz="0" w:space="0" w:color="auto"/>
                            <w:left w:val="none" w:sz="0" w:space="0" w:color="auto"/>
                            <w:bottom w:val="none" w:sz="0" w:space="0" w:color="auto"/>
                            <w:right w:val="none" w:sz="0" w:space="0" w:color="auto"/>
                          </w:divBdr>
                          <w:divsChild>
                            <w:div w:id="1636837073">
                              <w:marLeft w:val="0"/>
                              <w:marRight w:val="0"/>
                              <w:marTop w:val="0"/>
                              <w:marBottom w:val="0"/>
                              <w:divBdr>
                                <w:top w:val="none" w:sz="0" w:space="0" w:color="auto"/>
                                <w:left w:val="none" w:sz="0" w:space="0" w:color="auto"/>
                                <w:bottom w:val="none" w:sz="0" w:space="0" w:color="auto"/>
                                <w:right w:val="none" w:sz="0" w:space="0" w:color="auto"/>
                              </w:divBdr>
                              <w:divsChild>
                                <w:div w:id="1882665863">
                                  <w:marLeft w:val="0"/>
                                  <w:marRight w:val="0"/>
                                  <w:marTop w:val="30"/>
                                  <w:marBottom w:val="2250"/>
                                  <w:divBdr>
                                    <w:top w:val="none" w:sz="0" w:space="0" w:color="auto"/>
                                    <w:left w:val="none" w:sz="0" w:space="0" w:color="auto"/>
                                    <w:bottom w:val="none" w:sz="0" w:space="0" w:color="auto"/>
                                    <w:right w:val="none" w:sz="0" w:space="0" w:color="auto"/>
                                  </w:divBdr>
                                  <w:divsChild>
                                    <w:div w:id="150798829">
                                      <w:marLeft w:val="0"/>
                                      <w:marRight w:val="0"/>
                                      <w:marTop w:val="0"/>
                                      <w:marBottom w:val="0"/>
                                      <w:divBdr>
                                        <w:top w:val="none" w:sz="0" w:space="0" w:color="auto"/>
                                        <w:left w:val="none" w:sz="0" w:space="0" w:color="auto"/>
                                        <w:bottom w:val="none" w:sz="0" w:space="0" w:color="auto"/>
                                        <w:right w:val="none" w:sz="0" w:space="0" w:color="auto"/>
                                      </w:divBdr>
                                      <w:divsChild>
                                        <w:div w:id="542060327">
                                          <w:marLeft w:val="0"/>
                                          <w:marRight w:val="0"/>
                                          <w:marTop w:val="0"/>
                                          <w:marBottom w:val="0"/>
                                          <w:divBdr>
                                            <w:top w:val="none" w:sz="0" w:space="0" w:color="auto"/>
                                            <w:left w:val="none" w:sz="0" w:space="0" w:color="auto"/>
                                            <w:bottom w:val="none" w:sz="0" w:space="0" w:color="auto"/>
                                            <w:right w:val="none" w:sz="0" w:space="0" w:color="auto"/>
                                          </w:divBdr>
                                          <w:divsChild>
                                            <w:div w:id="1843351622">
                                              <w:marLeft w:val="0"/>
                                              <w:marRight w:val="0"/>
                                              <w:marTop w:val="0"/>
                                              <w:marBottom w:val="0"/>
                                              <w:divBdr>
                                                <w:top w:val="none" w:sz="0" w:space="0" w:color="auto"/>
                                                <w:left w:val="none" w:sz="0" w:space="0" w:color="auto"/>
                                                <w:bottom w:val="none" w:sz="0" w:space="0" w:color="auto"/>
                                                <w:right w:val="none" w:sz="0" w:space="0" w:color="auto"/>
                                              </w:divBdr>
                                              <w:divsChild>
                                                <w:div w:id="869798250">
                                                  <w:marLeft w:val="0"/>
                                                  <w:marRight w:val="0"/>
                                                  <w:marTop w:val="0"/>
                                                  <w:marBottom w:val="0"/>
                                                  <w:divBdr>
                                                    <w:top w:val="none" w:sz="0" w:space="0" w:color="auto"/>
                                                    <w:left w:val="none" w:sz="0" w:space="0" w:color="auto"/>
                                                    <w:bottom w:val="none" w:sz="0" w:space="0" w:color="auto"/>
                                                    <w:right w:val="none" w:sz="0" w:space="0" w:color="auto"/>
                                                  </w:divBdr>
                                                  <w:divsChild>
                                                    <w:div w:id="1424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220344">
      <w:bodyDiv w:val="1"/>
      <w:marLeft w:val="0"/>
      <w:marRight w:val="0"/>
      <w:marTop w:val="0"/>
      <w:marBottom w:val="0"/>
      <w:divBdr>
        <w:top w:val="none" w:sz="0" w:space="0" w:color="auto"/>
        <w:left w:val="none" w:sz="0" w:space="0" w:color="auto"/>
        <w:bottom w:val="none" w:sz="0" w:space="0" w:color="auto"/>
        <w:right w:val="none" w:sz="0" w:space="0" w:color="auto"/>
      </w:divBdr>
      <w:divsChild>
        <w:div w:id="2145729999">
          <w:marLeft w:val="0"/>
          <w:marRight w:val="0"/>
          <w:marTop w:val="0"/>
          <w:marBottom w:val="0"/>
          <w:divBdr>
            <w:top w:val="none" w:sz="0" w:space="0" w:color="auto"/>
            <w:left w:val="none" w:sz="0" w:space="0" w:color="auto"/>
            <w:bottom w:val="none" w:sz="0" w:space="0" w:color="auto"/>
            <w:right w:val="none" w:sz="0" w:space="0" w:color="auto"/>
          </w:divBdr>
          <w:divsChild>
            <w:div w:id="529488629">
              <w:marLeft w:val="0"/>
              <w:marRight w:val="0"/>
              <w:marTop w:val="0"/>
              <w:marBottom w:val="0"/>
              <w:divBdr>
                <w:top w:val="none" w:sz="0" w:space="0" w:color="auto"/>
                <w:left w:val="none" w:sz="0" w:space="0" w:color="auto"/>
                <w:bottom w:val="none" w:sz="0" w:space="0" w:color="auto"/>
                <w:right w:val="none" w:sz="0" w:space="0" w:color="auto"/>
              </w:divBdr>
              <w:divsChild>
                <w:div w:id="316882686">
                  <w:marLeft w:val="0"/>
                  <w:marRight w:val="0"/>
                  <w:marTop w:val="0"/>
                  <w:marBottom w:val="0"/>
                  <w:divBdr>
                    <w:top w:val="none" w:sz="0" w:space="0" w:color="auto"/>
                    <w:left w:val="none" w:sz="0" w:space="0" w:color="auto"/>
                    <w:bottom w:val="none" w:sz="0" w:space="0" w:color="auto"/>
                    <w:right w:val="none" w:sz="0" w:space="0" w:color="auto"/>
                  </w:divBdr>
                  <w:divsChild>
                    <w:div w:id="1059748426">
                      <w:marLeft w:val="0"/>
                      <w:marRight w:val="0"/>
                      <w:marTop w:val="0"/>
                      <w:marBottom w:val="0"/>
                      <w:divBdr>
                        <w:top w:val="none" w:sz="0" w:space="0" w:color="auto"/>
                        <w:left w:val="none" w:sz="0" w:space="0" w:color="auto"/>
                        <w:bottom w:val="none" w:sz="0" w:space="0" w:color="auto"/>
                        <w:right w:val="none" w:sz="0" w:space="0" w:color="auto"/>
                      </w:divBdr>
                      <w:divsChild>
                        <w:div w:id="475877450">
                          <w:marLeft w:val="0"/>
                          <w:marRight w:val="0"/>
                          <w:marTop w:val="0"/>
                          <w:marBottom w:val="0"/>
                          <w:divBdr>
                            <w:top w:val="none" w:sz="0" w:space="0" w:color="auto"/>
                            <w:left w:val="none" w:sz="0" w:space="0" w:color="auto"/>
                            <w:bottom w:val="none" w:sz="0" w:space="0" w:color="auto"/>
                            <w:right w:val="none" w:sz="0" w:space="0" w:color="auto"/>
                          </w:divBdr>
                          <w:divsChild>
                            <w:div w:id="1131822875">
                              <w:marLeft w:val="0"/>
                              <w:marRight w:val="0"/>
                              <w:marTop w:val="0"/>
                              <w:marBottom w:val="0"/>
                              <w:divBdr>
                                <w:top w:val="none" w:sz="0" w:space="0" w:color="auto"/>
                                <w:left w:val="none" w:sz="0" w:space="0" w:color="auto"/>
                                <w:bottom w:val="none" w:sz="0" w:space="0" w:color="auto"/>
                                <w:right w:val="none" w:sz="0" w:space="0" w:color="auto"/>
                              </w:divBdr>
                              <w:divsChild>
                                <w:div w:id="1082876169">
                                  <w:marLeft w:val="0"/>
                                  <w:marRight w:val="0"/>
                                  <w:marTop w:val="30"/>
                                  <w:marBottom w:val="2250"/>
                                  <w:divBdr>
                                    <w:top w:val="none" w:sz="0" w:space="0" w:color="auto"/>
                                    <w:left w:val="none" w:sz="0" w:space="0" w:color="auto"/>
                                    <w:bottom w:val="none" w:sz="0" w:space="0" w:color="auto"/>
                                    <w:right w:val="none" w:sz="0" w:space="0" w:color="auto"/>
                                  </w:divBdr>
                                  <w:divsChild>
                                    <w:div w:id="2051496758">
                                      <w:marLeft w:val="0"/>
                                      <w:marRight w:val="0"/>
                                      <w:marTop w:val="0"/>
                                      <w:marBottom w:val="0"/>
                                      <w:divBdr>
                                        <w:top w:val="none" w:sz="0" w:space="0" w:color="auto"/>
                                        <w:left w:val="none" w:sz="0" w:space="0" w:color="auto"/>
                                        <w:bottom w:val="none" w:sz="0" w:space="0" w:color="auto"/>
                                        <w:right w:val="none" w:sz="0" w:space="0" w:color="auto"/>
                                      </w:divBdr>
                                      <w:divsChild>
                                        <w:div w:id="813106736">
                                          <w:marLeft w:val="0"/>
                                          <w:marRight w:val="0"/>
                                          <w:marTop w:val="0"/>
                                          <w:marBottom w:val="0"/>
                                          <w:divBdr>
                                            <w:top w:val="none" w:sz="0" w:space="0" w:color="auto"/>
                                            <w:left w:val="none" w:sz="0" w:space="0" w:color="auto"/>
                                            <w:bottom w:val="none" w:sz="0" w:space="0" w:color="auto"/>
                                            <w:right w:val="none" w:sz="0" w:space="0" w:color="auto"/>
                                          </w:divBdr>
                                          <w:divsChild>
                                            <w:div w:id="390345229">
                                              <w:marLeft w:val="0"/>
                                              <w:marRight w:val="0"/>
                                              <w:marTop w:val="0"/>
                                              <w:marBottom w:val="0"/>
                                              <w:divBdr>
                                                <w:top w:val="none" w:sz="0" w:space="0" w:color="auto"/>
                                                <w:left w:val="none" w:sz="0" w:space="0" w:color="auto"/>
                                                <w:bottom w:val="none" w:sz="0" w:space="0" w:color="auto"/>
                                                <w:right w:val="none" w:sz="0" w:space="0" w:color="auto"/>
                                              </w:divBdr>
                                              <w:divsChild>
                                                <w:div w:id="13837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941241">
      <w:bodyDiv w:val="1"/>
      <w:marLeft w:val="0"/>
      <w:marRight w:val="0"/>
      <w:marTop w:val="0"/>
      <w:marBottom w:val="0"/>
      <w:divBdr>
        <w:top w:val="none" w:sz="0" w:space="0" w:color="auto"/>
        <w:left w:val="none" w:sz="0" w:space="0" w:color="auto"/>
        <w:bottom w:val="none" w:sz="0" w:space="0" w:color="auto"/>
        <w:right w:val="none" w:sz="0" w:space="0" w:color="auto"/>
      </w:divBdr>
      <w:divsChild>
        <w:div w:id="748775820">
          <w:marLeft w:val="0"/>
          <w:marRight w:val="0"/>
          <w:marTop w:val="0"/>
          <w:marBottom w:val="0"/>
          <w:divBdr>
            <w:top w:val="none" w:sz="0" w:space="0" w:color="auto"/>
            <w:left w:val="none" w:sz="0" w:space="0" w:color="auto"/>
            <w:bottom w:val="none" w:sz="0" w:space="0" w:color="auto"/>
            <w:right w:val="none" w:sz="0" w:space="0" w:color="auto"/>
          </w:divBdr>
          <w:divsChild>
            <w:div w:id="1347292639">
              <w:marLeft w:val="0"/>
              <w:marRight w:val="0"/>
              <w:marTop w:val="0"/>
              <w:marBottom w:val="0"/>
              <w:divBdr>
                <w:top w:val="none" w:sz="0" w:space="0" w:color="auto"/>
                <w:left w:val="none" w:sz="0" w:space="0" w:color="auto"/>
                <w:bottom w:val="none" w:sz="0" w:space="0" w:color="auto"/>
                <w:right w:val="none" w:sz="0" w:space="0" w:color="auto"/>
              </w:divBdr>
              <w:divsChild>
                <w:div w:id="938367641">
                  <w:marLeft w:val="0"/>
                  <w:marRight w:val="0"/>
                  <w:marTop w:val="0"/>
                  <w:marBottom w:val="0"/>
                  <w:divBdr>
                    <w:top w:val="none" w:sz="0" w:space="0" w:color="auto"/>
                    <w:left w:val="none" w:sz="0" w:space="0" w:color="auto"/>
                    <w:bottom w:val="none" w:sz="0" w:space="0" w:color="auto"/>
                    <w:right w:val="none" w:sz="0" w:space="0" w:color="auto"/>
                  </w:divBdr>
                  <w:divsChild>
                    <w:div w:id="1021468693">
                      <w:marLeft w:val="0"/>
                      <w:marRight w:val="0"/>
                      <w:marTop w:val="0"/>
                      <w:marBottom w:val="0"/>
                      <w:divBdr>
                        <w:top w:val="none" w:sz="0" w:space="0" w:color="auto"/>
                        <w:left w:val="none" w:sz="0" w:space="0" w:color="auto"/>
                        <w:bottom w:val="none" w:sz="0" w:space="0" w:color="auto"/>
                        <w:right w:val="none" w:sz="0" w:space="0" w:color="auto"/>
                      </w:divBdr>
                      <w:divsChild>
                        <w:div w:id="19286179">
                          <w:marLeft w:val="0"/>
                          <w:marRight w:val="0"/>
                          <w:marTop w:val="0"/>
                          <w:marBottom w:val="0"/>
                          <w:divBdr>
                            <w:top w:val="none" w:sz="0" w:space="0" w:color="auto"/>
                            <w:left w:val="none" w:sz="0" w:space="0" w:color="auto"/>
                            <w:bottom w:val="none" w:sz="0" w:space="0" w:color="auto"/>
                            <w:right w:val="none" w:sz="0" w:space="0" w:color="auto"/>
                          </w:divBdr>
                          <w:divsChild>
                            <w:div w:id="635530154">
                              <w:marLeft w:val="0"/>
                              <w:marRight w:val="0"/>
                              <w:marTop w:val="0"/>
                              <w:marBottom w:val="0"/>
                              <w:divBdr>
                                <w:top w:val="none" w:sz="0" w:space="0" w:color="auto"/>
                                <w:left w:val="none" w:sz="0" w:space="0" w:color="auto"/>
                                <w:bottom w:val="none" w:sz="0" w:space="0" w:color="auto"/>
                                <w:right w:val="none" w:sz="0" w:space="0" w:color="auto"/>
                              </w:divBdr>
                              <w:divsChild>
                                <w:div w:id="1563715946">
                                  <w:marLeft w:val="0"/>
                                  <w:marRight w:val="0"/>
                                  <w:marTop w:val="30"/>
                                  <w:marBottom w:val="2250"/>
                                  <w:divBdr>
                                    <w:top w:val="none" w:sz="0" w:space="0" w:color="auto"/>
                                    <w:left w:val="none" w:sz="0" w:space="0" w:color="auto"/>
                                    <w:bottom w:val="none" w:sz="0" w:space="0" w:color="auto"/>
                                    <w:right w:val="none" w:sz="0" w:space="0" w:color="auto"/>
                                  </w:divBdr>
                                  <w:divsChild>
                                    <w:div w:id="1262882546">
                                      <w:marLeft w:val="0"/>
                                      <w:marRight w:val="0"/>
                                      <w:marTop w:val="0"/>
                                      <w:marBottom w:val="0"/>
                                      <w:divBdr>
                                        <w:top w:val="none" w:sz="0" w:space="0" w:color="auto"/>
                                        <w:left w:val="none" w:sz="0" w:space="0" w:color="auto"/>
                                        <w:bottom w:val="none" w:sz="0" w:space="0" w:color="auto"/>
                                        <w:right w:val="none" w:sz="0" w:space="0" w:color="auto"/>
                                      </w:divBdr>
                                      <w:divsChild>
                                        <w:div w:id="74598180">
                                          <w:marLeft w:val="0"/>
                                          <w:marRight w:val="0"/>
                                          <w:marTop w:val="0"/>
                                          <w:marBottom w:val="0"/>
                                          <w:divBdr>
                                            <w:top w:val="none" w:sz="0" w:space="0" w:color="auto"/>
                                            <w:left w:val="none" w:sz="0" w:space="0" w:color="auto"/>
                                            <w:bottom w:val="none" w:sz="0" w:space="0" w:color="auto"/>
                                            <w:right w:val="none" w:sz="0" w:space="0" w:color="auto"/>
                                          </w:divBdr>
                                          <w:divsChild>
                                            <w:div w:id="32075120">
                                              <w:marLeft w:val="0"/>
                                              <w:marRight w:val="0"/>
                                              <w:marTop w:val="0"/>
                                              <w:marBottom w:val="0"/>
                                              <w:divBdr>
                                                <w:top w:val="none" w:sz="0" w:space="0" w:color="auto"/>
                                                <w:left w:val="none" w:sz="0" w:space="0" w:color="auto"/>
                                                <w:bottom w:val="none" w:sz="0" w:space="0" w:color="auto"/>
                                                <w:right w:val="none" w:sz="0" w:space="0" w:color="auto"/>
                                              </w:divBdr>
                                              <w:divsChild>
                                                <w:div w:id="956789596">
                                                  <w:marLeft w:val="0"/>
                                                  <w:marRight w:val="0"/>
                                                  <w:marTop w:val="0"/>
                                                  <w:marBottom w:val="0"/>
                                                  <w:divBdr>
                                                    <w:top w:val="none" w:sz="0" w:space="0" w:color="auto"/>
                                                    <w:left w:val="none" w:sz="0" w:space="0" w:color="auto"/>
                                                    <w:bottom w:val="none" w:sz="0" w:space="0" w:color="auto"/>
                                                    <w:right w:val="none" w:sz="0" w:space="0" w:color="auto"/>
                                                  </w:divBdr>
                                                  <w:divsChild>
                                                    <w:div w:id="7889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313858">
      <w:bodyDiv w:val="1"/>
      <w:marLeft w:val="0"/>
      <w:marRight w:val="0"/>
      <w:marTop w:val="0"/>
      <w:marBottom w:val="0"/>
      <w:divBdr>
        <w:top w:val="none" w:sz="0" w:space="0" w:color="auto"/>
        <w:left w:val="none" w:sz="0" w:space="0" w:color="auto"/>
        <w:bottom w:val="none" w:sz="0" w:space="0" w:color="auto"/>
        <w:right w:val="none" w:sz="0" w:space="0" w:color="auto"/>
      </w:divBdr>
      <w:divsChild>
        <w:div w:id="1846702908">
          <w:marLeft w:val="0"/>
          <w:marRight w:val="0"/>
          <w:marTop w:val="0"/>
          <w:marBottom w:val="0"/>
          <w:divBdr>
            <w:top w:val="none" w:sz="0" w:space="0" w:color="auto"/>
            <w:left w:val="none" w:sz="0" w:space="0" w:color="auto"/>
            <w:bottom w:val="none" w:sz="0" w:space="0" w:color="auto"/>
            <w:right w:val="none" w:sz="0" w:space="0" w:color="auto"/>
          </w:divBdr>
          <w:divsChild>
            <w:div w:id="712382759">
              <w:marLeft w:val="0"/>
              <w:marRight w:val="0"/>
              <w:marTop w:val="0"/>
              <w:marBottom w:val="0"/>
              <w:divBdr>
                <w:top w:val="none" w:sz="0" w:space="0" w:color="auto"/>
                <w:left w:val="none" w:sz="0" w:space="0" w:color="auto"/>
                <w:bottom w:val="none" w:sz="0" w:space="0" w:color="auto"/>
                <w:right w:val="none" w:sz="0" w:space="0" w:color="auto"/>
              </w:divBdr>
              <w:divsChild>
                <w:div w:id="1125343553">
                  <w:marLeft w:val="0"/>
                  <w:marRight w:val="0"/>
                  <w:marTop w:val="0"/>
                  <w:marBottom w:val="0"/>
                  <w:divBdr>
                    <w:top w:val="none" w:sz="0" w:space="0" w:color="auto"/>
                    <w:left w:val="none" w:sz="0" w:space="0" w:color="auto"/>
                    <w:bottom w:val="none" w:sz="0" w:space="0" w:color="auto"/>
                    <w:right w:val="none" w:sz="0" w:space="0" w:color="auto"/>
                  </w:divBdr>
                  <w:divsChild>
                    <w:div w:id="1148398697">
                      <w:marLeft w:val="0"/>
                      <w:marRight w:val="0"/>
                      <w:marTop w:val="0"/>
                      <w:marBottom w:val="0"/>
                      <w:divBdr>
                        <w:top w:val="none" w:sz="0" w:space="0" w:color="auto"/>
                        <w:left w:val="none" w:sz="0" w:space="0" w:color="auto"/>
                        <w:bottom w:val="none" w:sz="0" w:space="0" w:color="auto"/>
                        <w:right w:val="none" w:sz="0" w:space="0" w:color="auto"/>
                      </w:divBdr>
                      <w:divsChild>
                        <w:div w:id="1872378923">
                          <w:marLeft w:val="0"/>
                          <w:marRight w:val="0"/>
                          <w:marTop w:val="0"/>
                          <w:marBottom w:val="0"/>
                          <w:divBdr>
                            <w:top w:val="none" w:sz="0" w:space="0" w:color="auto"/>
                            <w:left w:val="none" w:sz="0" w:space="0" w:color="auto"/>
                            <w:bottom w:val="none" w:sz="0" w:space="0" w:color="auto"/>
                            <w:right w:val="none" w:sz="0" w:space="0" w:color="auto"/>
                          </w:divBdr>
                          <w:divsChild>
                            <w:div w:id="217325376">
                              <w:marLeft w:val="0"/>
                              <w:marRight w:val="0"/>
                              <w:marTop w:val="0"/>
                              <w:marBottom w:val="0"/>
                              <w:divBdr>
                                <w:top w:val="none" w:sz="0" w:space="0" w:color="auto"/>
                                <w:left w:val="none" w:sz="0" w:space="0" w:color="auto"/>
                                <w:bottom w:val="none" w:sz="0" w:space="0" w:color="auto"/>
                                <w:right w:val="none" w:sz="0" w:space="0" w:color="auto"/>
                              </w:divBdr>
                              <w:divsChild>
                                <w:div w:id="601299169">
                                  <w:marLeft w:val="0"/>
                                  <w:marRight w:val="0"/>
                                  <w:marTop w:val="30"/>
                                  <w:marBottom w:val="2250"/>
                                  <w:divBdr>
                                    <w:top w:val="none" w:sz="0" w:space="0" w:color="auto"/>
                                    <w:left w:val="none" w:sz="0" w:space="0" w:color="auto"/>
                                    <w:bottom w:val="none" w:sz="0" w:space="0" w:color="auto"/>
                                    <w:right w:val="none" w:sz="0" w:space="0" w:color="auto"/>
                                  </w:divBdr>
                                  <w:divsChild>
                                    <w:div w:id="1435588635">
                                      <w:marLeft w:val="0"/>
                                      <w:marRight w:val="0"/>
                                      <w:marTop w:val="0"/>
                                      <w:marBottom w:val="0"/>
                                      <w:divBdr>
                                        <w:top w:val="none" w:sz="0" w:space="0" w:color="auto"/>
                                        <w:left w:val="none" w:sz="0" w:space="0" w:color="auto"/>
                                        <w:bottom w:val="none" w:sz="0" w:space="0" w:color="auto"/>
                                        <w:right w:val="none" w:sz="0" w:space="0" w:color="auto"/>
                                      </w:divBdr>
                                      <w:divsChild>
                                        <w:div w:id="1751190714">
                                          <w:marLeft w:val="0"/>
                                          <w:marRight w:val="0"/>
                                          <w:marTop w:val="0"/>
                                          <w:marBottom w:val="0"/>
                                          <w:divBdr>
                                            <w:top w:val="none" w:sz="0" w:space="0" w:color="auto"/>
                                            <w:left w:val="none" w:sz="0" w:space="0" w:color="auto"/>
                                            <w:bottom w:val="none" w:sz="0" w:space="0" w:color="auto"/>
                                            <w:right w:val="none" w:sz="0" w:space="0" w:color="auto"/>
                                          </w:divBdr>
                                          <w:divsChild>
                                            <w:div w:id="1105923042">
                                              <w:marLeft w:val="0"/>
                                              <w:marRight w:val="0"/>
                                              <w:marTop w:val="0"/>
                                              <w:marBottom w:val="0"/>
                                              <w:divBdr>
                                                <w:top w:val="none" w:sz="0" w:space="0" w:color="auto"/>
                                                <w:left w:val="none" w:sz="0" w:space="0" w:color="auto"/>
                                                <w:bottom w:val="none" w:sz="0" w:space="0" w:color="auto"/>
                                                <w:right w:val="none" w:sz="0" w:space="0" w:color="auto"/>
                                              </w:divBdr>
                                              <w:divsChild>
                                                <w:div w:id="600454305">
                                                  <w:marLeft w:val="0"/>
                                                  <w:marRight w:val="0"/>
                                                  <w:marTop w:val="0"/>
                                                  <w:marBottom w:val="0"/>
                                                  <w:divBdr>
                                                    <w:top w:val="none" w:sz="0" w:space="0" w:color="auto"/>
                                                    <w:left w:val="none" w:sz="0" w:space="0" w:color="auto"/>
                                                    <w:bottom w:val="none" w:sz="0" w:space="0" w:color="auto"/>
                                                    <w:right w:val="none" w:sz="0" w:space="0" w:color="auto"/>
                                                  </w:divBdr>
                                                  <w:divsChild>
                                                    <w:div w:id="74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CCPR/C/KOR/2005/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23869</Words>
  <Characters>136058</Characters>
  <Application>Microsoft Office Word</Application>
  <DocSecurity>4</DocSecurity>
  <Lines>1133</Lines>
  <Paragraphs>319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LinksUpToDate>false</LinksUpToDate>
  <CharactersWithSpaces>159608</CharactersWithSpaces>
  <SharedDoc>false</SharedDoc>
  <HLinks>
    <vt:vector size="6" baseType="variant">
      <vt:variant>
        <vt:i4>5439560</vt:i4>
      </vt:variant>
      <vt:variant>
        <vt:i4>0</vt:i4>
      </vt:variant>
      <vt:variant>
        <vt:i4>0</vt:i4>
      </vt:variant>
      <vt:variant>
        <vt:i4>5</vt:i4>
      </vt:variant>
      <vt:variant>
        <vt:lpwstr>http://www.un.org/Docs/journal/asp/ws.asp?m=CCPR/C/KOR/2005/3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
  <cp:keywords/>
  <cp:lastModifiedBy/>
  <cp:revision>1</cp:revision>
  <dcterms:created xsi:type="dcterms:W3CDTF">2016-09-13T14:35:00Z</dcterms:created>
  <dcterms:modified xsi:type="dcterms:W3CDTF">2016-09-13T15:09:00Z</dcterms:modified>
</cp:coreProperties>
</file>