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59" w:type="dxa"/>
        <w:tblLayout w:type="fixed"/>
        <w:tblCellMar>
          <w:left w:w="0" w:type="dxa"/>
          <w:right w:w="0" w:type="dxa"/>
        </w:tblCellMar>
        <w:tblLook w:val="01E0" w:firstRow="1" w:lastRow="1" w:firstColumn="1" w:lastColumn="1" w:noHBand="0" w:noVBand="0"/>
      </w:tblPr>
      <w:tblGrid>
        <w:gridCol w:w="1276"/>
        <w:gridCol w:w="2268"/>
        <w:gridCol w:w="3260"/>
        <w:gridCol w:w="2855"/>
      </w:tblGrid>
      <w:tr w:rsidR="00297B00" w:rsidRPr="00DB58B5" w:rsidTr="00A8565B">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115" w:type="dxa"/>
            <w:gridSpan w:val="2"/>
            <w:tcBorders>
              <w:bottom w:val="single" w:sz="4" w:space="0" w:color="auto"/>
            </w:tcBorders>
            <w:vAlign w:val="bottom"/>
          </w:tcPr>
          <w:p w:rsidR="00297B00" w:rsidRPr="00DB58B5" w:rsidRDefault="008B039B" w:rsidP="008B039B">
            <w:pPr>
              <w:jc w:val="right"/>
            </w:pPr>
            <w:r w:rsidRPr="008B039B">
              <w:rPr>
                <w:sz w:val="40"/>
              </w:rPr>
              <w:t>CAT</w:t>
            </w:r>
            <w:r>
              <w:t>/C/LUX/QPR/8</w:t>
            </w:r>
          </w:p>
        </w:tc>
      </w:tr>
      <w:tr w:rsidR="00297B00" w:rsidRPr="00DB58B5" w:rsidTr="00A8565B">
        <w:trPr>
          <w:trHeight w:hRule="exact" w:val="2835"/>
        </w:trPr>
        <w:tc>
          <w:tcPr>
            <w:tcW w:w="1276" w:type="dxa"/>
            <w:tcBorders>
              <w:top w:val="single" w:sz="4" w:space="0" w:color="auto"/>
              <w:bottom w:val="single" w:sz="12" w:space="0" w:color="auto"/>
            </w:tcBorders>
          </w:tcPr>
          <w:p w:rsidR="00297B00" w:rsidRPr="00DB58B5" w:rsidRDefault="008B039B" w:rsidP="00A56EA8">
            <w:pPr>
              <w:spacing w:before="120"/>
              <w:jc w:val="center"/>
            </w:pPr>
            <w:r>
              <w:rPr>
                <w:noProof/>
                <w:lang w:eastAsia="fr-CH"/>
              </w:rPr>
              <w:drawing>
                <wp:inline distT="0" distB="0" distL="0" distR="0" wp14:anchorId="46696368" wp14:editId="541773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55" w:type="dxa"/>
            <w:tcBorders>
              <w:top w:val="single" w:sz="4" w:space="0" w:color="auto"/>
              <w:bottom w:val="single" w:sz="12" w:space="0" w:color="auto"/>
            </w:tcBorders>
          </w:tcPr>
          <w:p w:rsidR="00297B00" w:rsidRDefault="008B039B" w:rsidP="00A56EA8">
            <w:pPr>
              <w:spacing w:before="240"/>
            </w:pPr>
            <w:proofErr w:type="spellStart"/>
            <w:r>
              <w:t>Distr</w:t>
            </w:r>
            <w:proofErr w:type="spellEnd"/>
            <w:r>
              <w:t xml:space="preserve">. </w:t>
            </w:r>
            <w:r w:rsidR="00BE532C">
              <w:t>générale</w:t>
            </w:r>
          </w:p>
          <w:p w:rsidR="008B039B" w:rsidRDefault="00953BC6" w:rsidP="008B039B">
            <w:pPr>
              <w:spacing w:line="240" w:lineRule="exact"/>
            </w:pPr>
            <w:r>
              <w:t>2</w:t>
            </w:r>
            <w:r w:rsidR="00CB6F1F">
              <w:t xml:space="preserve"> </w:t>
            </w:r>
            <w:r>
              <w:t>juin</w:t>
            </w:r>
            <w:r w:rsidR="008B039B">
              <w:t xml:space="preserve"> 2017</w:t>
            </w:r>
          </w:p>
          <w:p w:rsidR="008B039B" w:rsidRDefault="008B039B" w:rsidP="008B039B">
            <w:pPr>
              <w:spacing w:line="240" w:lineRule="exact"/>
            </w:pPr>
          </w:p>
          <w:p w:rsidR="008B039B" w:rsidRDefault="008B039B" w:rsidP="008B039B">
            <w:pPr>
              <w:spacing w:line="240" w:lineRule="exact"/>
            </w:pPr>
            <w:r>
              <w:t>Original</w:t>
            </w:r>
            <w:r w:rsidR="001200E9">
              <w:t> </w:t>
            </w:r>
            <w:r>
              <w:t xml:space="preserve">: français </w:t>
            </w:r>
          </w:p>
          <w:p w:rsidR="008B039B" w:rsidRPr="00DB58B5" w:rsidRDefault="008B039B" w:rsidP="008B039B">
            <w:pPr>
              <w:spacing w:line="240" w:lineRule="exact"/>
            </w:pPr>
            <w:r>
              <w:t>Anglais</w:t>
            </w:r>
            <w:r w:rsidR="00B11D4C">
              <w:t xml:space="preserve">, </w:t>
            </w:r>
            <w:r>
              <w:t xml:space="preserve">espagnol </w:t>
            </w:r>
            <w:r w:rsidR="00B11D4C">
              <w:t xml:space="preserve">et français </w:t>
            </w:r>
            <w:r>
              <w:t xml:space="preserve">seulement </w:t>
            </w:r>
          </w:p>
        </w:tc>
      </w:tr>
    </w:tbl>
    <w:p w:rsidR="008B039B" w:rsidRPr="00A8565B" w:rsidRDefault="008B039B" w:rsidP="008B039B">
      <w:pPr>
        <w:suppressAutoHyphens w:val="0"/>
        <w:autoSpaceDE w:val="0"/>
        <w:autoSpaceDN w:val="0"/>
        <w:adjustRightInd w:val="0"/>
        <w:spacing w:before="120" w:line="240" w:lineRule="auto"/>
        <w:rPr>
          <w:b/>
          <w:bCs/>
          <w:color w:val="000000"/>
          <w:sz w:val="24"/>
          <w:szCs w:val="24"/>
          <w:lang w:eastAsia="en-GB"/>
        </w:rPr>
      </w:pPr>
      <w:r w:rsidRPr="00A8565B">
        <w:rPr>
          <w:b/>
          <w:bCs/>
          <w:color w:val="000000"/>
          <w:sz w:val="24"/>
          <w:szCs w:val="24"/>
          <w:lang w:eastAsia="en-GB"/>
        </w:rPr>
        <w:t>Comité contre la torture</w:t>
      </w:r>
    </w:p>
    <w:p w:rsidR="00953995" w:rsidRPr="00953995" w:rsidRDefault="00953995" w:rsidP="00953995">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Theme="minorHAnsi"/>
          <w:b/>
          <w:sz w:val="28"/>
        </w:rPr>
      </w:pPr>
      <w:r>
        <w:rPr>
          <w:rFonts w:eastAsiaTheme="minorHAnsi"/>
          <w:b/>
          <w:sz w:val="28"/>
          <w:lang w:val="fr-FR"/>
        </w:rPr>
        <w:tab/>
      </w:r>
      <w:r>
        <w:rPr>
          <w:rFonts w:eastAsiaTheme="minorHAnsi"/>
          <w:b/>
          <w:sz w:val="28"/>
          <w:lang w:val="fr-FR"/>
        </w:rPr>
        <w:tab/>
      </w:r>
      <w:r w:rsidRPr="00953995">
        <w:rPr>
          <w:rFonts w:eastAsiaTheme="minorHAnsi"/>
          <w:b/>
          <w:sz w:val="28"/>
          <w:lang w:val="fr-FR"/>
        </w:rPr>
        <w:t xml:space="preserve">Liste de points </w:t>
      </w:r>
      <w:r w:rsidR="00953BC6">
        <w:rPr>
          <w:rFonts w:eastAsiaTheme="minorHAnsi"/>
          <w:b/>
          <w:sz w:val="28"/>
          <w:lang w:val="fr-FR"/>
        </w:rPr>
        <w:t xml:space="preserve">établie avant la soumission du </w:t>
      </w:r>
      <w:r w:rsidRPr="00953995">
        <w:rPr>
          <w:rFonts w:eastAsiaTheme="minorHAnsi"/>
          <w:b/>
          <w:sz w:val="28"/>
          <w:lang w:val="fr-FR"/>
        </w:rPr>
        <w:t>huitième r</w:t>
      </w:r>
      <w:r w:rsidR="00C1467F">
        <w:rPr>
          <w:rFonts w:eastAsiaTheme="minorHAnsi"/>
          <w:b/>
          <w:sz w:val="28"/>
          <w:lang w:val="fr-FR"/>
        </w:rPr>
        <w:t>apport périodique du</w:t>
      </w:r>
      <w:r w:rsidR="00953BC6">
        <w:rPr>
          <w:rFonts w:eastAsiaTheme="minorHAnsi"/>
          <w:b/>
          <w:sz w:val="28"/>
          <w:lang w:val="fr-FR"/>
        </w:rPr>
        <w:t> </w:t>
      </w:r>
      <w:r w:rsidR="00C1467F">
        <w:rPr>
          <w:rFonts w:eastAsiaTheme="minorHAnsi"/>
          <w:b/>
          <w:sz w:val="28"/>
          <w:lang w:val="fr-FR"/>
        </w:rPr>
        <w:t>Luxembourg</w:t>
      </w:r>
      <w:r w:rsidRPr="00A8565B">
        <w:rPr>
          <w:rFonts w:eastAsiaTheme="minorHAnsi"/>
        </w:rPr>
        <w:footnoteReference w:customMarkFollows="1" w:id="2"/>
        <w:t>*</w:t>
      </w:r>
      <w:r w:rsidR="00953BC6">
        <w:rPr>
          <w:rFonts w:eastAsiaTheme="minorHAnsi"/>
        </w:rPr>
        <w:t xml:space="preserve"> </w:t>
      </w:r>
    </w:p>
    <w:p w:rsidR="00953995" w:rsidRPr="00C1467F" w:rsidRDefault="00953995" w:rsidP="00F82940">
      <w:pPr>
        <w:pStyle w:val="H1G"/>
        <w:rPr>
          <w:rFonts w:eastAsiaTheme="minorHAnsi"/>
        </w:rPr>
      </w:pPr>
      <w:r w:rsidRPr="00953995">
        <w:rPr>
          <w:rFonts w:eastAsiaTheme="minorHAnsi"/>
          <w:lang w:val="fr-FR"/>
        </w:rPr>
        <w:tab/>
      </w:r>
      <w:r w:rsidRPr="00953995">
        <w:rPr>
          <w:rFonts w:eastAsiaTheme="minorHAnsi"/>
          <w:lang w:val="fr-FR"/>
        </w:rPr>
        <w:tab/>
      </w:r>
      <w:r w:rsidRPr="00C1467F">
        <w:rPr>
          <w:rFonts w:eastAsiaTheme="minorHAnsi"/>
        </w:rPr>
        <w:t>Renseignements concernant spécifiquement la mise en œuvre des</w:t>
      </w:r>
      <w:r w:rsidR="006A5C2D">
        <w:rPr>
          <w:rFonts w:eastAsiaTheme="minorHAnsi"/>
        </w:rPr>
        <w:t> </w:t>
      </w:r>
      <w:r w:rsidRPr="00C1467F">
        <w:rPr>
          <w:rFonts w:eastAsiaTheme="minorHAnsi"/>
        </w:rPr>
        <w:t>articles 1</w:t>
      </w:r>
      <w:r w:rsidRPr="00A8565B">
        <w:rPr>
          <w:rFonts w:eastAsiaTheme="minorHAnsi"/>
          <w:vertAlign w:val="superscript"/>
        </w:rPr>
        <w:t>er</w:t>
      </w:r>
      <w:r w:rsidRPr="00C1467F">
        <w:rPr>
          <w:rFonts w:eastAsiaTheme="minorHAnsi"/>
        </w:rPr>
        <w:t xml:space="preserve"> à 16 de la Convention, </w:t>
      </w:r>
      <w:r w:rsidR="005519B4">
        <w:rPr>
          <w:rFonts w:eastAsiaTheme="minorHAnsi"/>
        </w:rPr>
        <w:t>notamment</w:t>
      </w:r>
      <w:r w:rsidRPr="00C1467F">
        <w:rPr>
          <w:rFonts w:eastAsiaTheme="minorHAnsi"/>
        </w:rPr>
        <w:t xml:space="preserve"> au regard </w:t>
      </w:r>
      <w:r w:rsidR="00587BBC">
        <w:rPr>
          <w:rFonts w:eastAsiaTheme="minorHAnsi"/>
        </w:rPr>
        <w:br/>
      </w:r>
      <w:r w:rsidRPr="00C1467F">
        <w:rPr>
          <w:rFonts w:eastAsiaTheme="minorHAnsi"/>
        </w:rPr>
        <w:t>des précédentes recommandations du Comité</w:t>
      </w:r>
    </w:p>
    <w:p w:rsidR="00953995" w:rsidRPr="00953995" w:rsidRDefault="00953995" w:rsidP="00953995">
      <w:pPr>
        <w:pStyle w:val="H23G"/>
        <w:rPr>
          <w:rFonts w:eastAsiaTheme="minorHAnsi"/>
          <w:lang w:val="fr-FR" w:eastAsia="en-GB"/>
        </w:rPr>
      </w:pPr>
      <w:r>
        <w:rPr>
          <w:rFonts w:eastAsiaTheme="minorHAnsi"/>
          <w:lang w:val="fr-FR"/>
        </w:rPr>
        <w:tab/>
      </w:r>
      <w:r>
        <w:rPr>
          <w:rFonts w:eastAsiaTheme="minorHAnsi"/>
          <w:lang w:val="fr-FR"/>
        </w:rPr>
        <w:tab/>
      </w:r>
      <w:r w:rsidRPr="00953995">
        <w:rPr>
          <w:rFonts w:eastAsiaTheme="minorHAnsi"/>
          <w:lang w:val="fr-FR"/>
        </w:rPr>
        <w:t>Renseignements</w:t>
      </w:r>
      <w:r w:rsidRPr="00953995">
        <w:rPr>
          <w:rFonts w:eastAsiaTheme="minorHAnsi"/>
          <w:lang w:val="fr-FR" w:eastAsia="en-GB"/>
        </w:rPr>
        <w:t xml:space="preserve"> sur la suite donnée à certaines des recommandations figurant</w:t>
      </w:r>
      <w:r w:rsidRPr="00953995">
        <w:rPr>
          <w:rFonts w:eastAsiaTheme="minorHAnsi"/>
          <w:lang w:val="fr-FR" w:eastAsia="en-GB"/>
        </w:rPr>
        <w:br/>
        <w:t>dans les précédentes observations finales</w:t>
      </w:r>
    </w:p>
    <w:p w:rsidR="00953995" w:rsidRPr="00A30C0E" w:rsidRDefault="00953995" w:rsidP="00D53B11">
      <w:pPr>
        <w:pStyle w:val="SingleTxtG"/>
        <w:rPr>
          <w:rFonts w:eastAsiaTheme="minorHAnsi"/>
          <w:w w:val="103"/>
          <w:lang w:val="fr-FR"/>
        </w:rPr>
      </w:pPr>
      <w:r w:rsidRPr="00D53B11">
        <w:rPr>
          <w:rFonts w:eastAsiaTheme="minorHAnsi"/>
          <w:w w:val="103"/>
          <w:lang w:val="fr-FR"/>
        </w:rPr>
        <w:t>1.</w:t>
      </w:r>
      <w:r w:rsidRPr="00D53B11">
        <w:rPr>
          <w:rFonts w:eastAsiaTheme="minorHAnsi"/>
          <w:w w:val="103"/>
          <w:lang w:val="fr-FR"/>
        </w:rPr>
        <w:tab/>
      </w:r>
      <w:r w:rsidRPr="00A30C0E">
        <w:rPr>
          <w:rFonts w:eastAsiaTheme="minorHAnsi"/>
          <w:w w:val="103"/>
          <w:lang w:val="fr-FR"/>
        </w:rPr>
        <w:t xml:space="preserve">Dans ses précédentes observations finales (CAT/C/LUX/CO/6-7, par. 18), le Comité a </w:t>
      </w:r>
      <w:r w:rsidR="0094479E" w:rsidRPr="00A30C0E">
        <w:rPr>
          <w:rFonts w:eastAsiaTheme="minorHAnsi"/>
          <w:w w:val="103"/>
          <w:lang w:val="fr-FR"/>
        </w:rPr>
        <w:t>prié</w:t>
      </w:r>
      <w:r w:rsidRPr="00A30C0E">
        <w:rPr>
          <w:rFonts w:eastAsiaTheme="minorHAnsi"/>
          <w:w w:val="103"/>
          <w:lang w:val="fr-FR"/>
        </w:rPr>
        <w:t xml:space="preserve"> l’État partie de lui faire parvenir, </w:t>
      </w:r>
      <w:r w:rsidR="0053198E" w:rsidRPr="00A30C0E">
        <w:rPr>
          <w:rFonts w:eastAsiaTheme="minorHAnsi"/>
          <w:w w:val="103"/>
          <w:lang w:val="fr-FR"/>
        </w:rPr>
        <w:t>d’ici au</w:t>
      </w:r>
      <w:r w:rsidRPr="00A30C0E">
        <w:rPr>
          <w:rFonts w:eastAsiaTheme="minorHAnsi"/>
          <w:w w:val="103"/>
          <w:lang w:val="fr-FR"/>
        </w:rPr>
        <w:t xml:space="preserve"> 15 mai 2016, des renseignements sur la suite qu’il aura</w:t>
      </w:r>
      <w:r w:rsidR="0094479E" w:rsidRPr="00A30C0E">
        <w:rPr>
          <w:rFonts w:eastAsiaTheme="minorHAnsi"/>
          <w:w w:val="103"/>
          <w:lang w:val="fr-FR"/>
        </w:rPr>
        <w:t>it</w:t>
      </w:r>
      <w:r w:rsidRPr="00A30C0E">
        <w:rPr>
          <w:rFonts w:eastAsiaTheme="minorHAnsi"/>
          <w:w w:val="103"/>
          <w:lang w:val="fr-FR"/>
        </w:rPr>
        <w:t xml:space="preserve"> donnée aux recommandations suivantes : a) améliorer les conditions de détention (par. 10) ; b) sanctionner toute discrimination ou incitation à la violence visant des groupes vulnérables et mener des enquêtes sur </w:t>
      </w:r>
      <w:r w:rsidR="0053198E" w:rsidRPr="00A30C0E">
        <w:rPr>
          <w:rFonts w:eastAsiaTheme="minorHAnsi"/>
          <w:w w:val="103"/>
          <w:lang w:val="fr-FR"/>
        </w:rPr>
        <w:t xml:space="preserve">les </w:t>
      </w:r>
      <w:r w:rsidRPr="00A30C0E">
        <w:rPr>
          <w:rFonts w:eastAsiaTheme="minorHAnsi"/>
          <w:w w:val="103"/>
          <w:lang w:val="fr-FR"/>
        </w:rPr>
        <w:t>infractions motivées par la haine (par. 12) ; c) veiller à ce que les mineurs en détention soient séparés des adultes et jugés par des tribunaux pour mineurs (par. 13) ; d)</w:t>
      </w:r>
      <w:r w:rsidR="006A5C2D">
        <w:rPr>
          <w:rFonts w:eastAsiaTheme="minorHAnsi"/>
          <w:w w:val="103"/>
          <w:lang w:val="fr-FR"/>
        </w:rPr>
        <w:t> </w:t>
      </w:r>
      <w:r w:rsidRPr="00A30C0E">
        <w:rPr>
          <w:rFonts w:eastAsiaTheme="minorHAnsi"/>
          <w:bCs/>
          <w:w w:val="103"/>
          <w:szCs w:val="24"/>
          <w:lang w:val="fr-FR"/>
        </w:rPr>
        <w:t>envisager une dérogation au système de l’opportunité des poursuites et déclencher des enquêtes impartiales dans tous les cas où existeraient des motifs raisonnables de croire qu’un acte de torture aurait été commis (par.</w:t>
      </w:r>
      <w:r w:rsidR="00587BBC">
        <w:rPr>
          <w:rFonts w:eastAsiaTheme="minorHAnsi"/>
          <w:bCs/>
          <w:w w:val="103"/>
          <w:szCs w:val="24"/>
          <w:lang w:val="fr-FR"/>
        </w:rPr>
        <w:t> </w:t>
      </w:r>
      <w:r w:rsidRPr="00A30C0E">
        <w:rPr>
          <w:rFonts w:eastAsiaTheme="minorHAnsi"/>
          <w:bCs/>
          <w:w w:val="103"/>
          <w:szCs w:val="24"/>
          <w:lang w:val="fr-FR"/>
        </w:rPr>
        <w:t>15</w:t>
      </w:r>
      <w:bookmarkStart w:id="0" w:name="_GoBack"/>
      <w:r w:rsidRPr="00A30C0E">
        <w:rPr>
          <w:rFonts w:eastAsiaTheme="minorHAnsi"/>
          <w:bCs/>
          <w:w w:val="103"/>
          <w:szCs w:val="24"/>
          <w:lang w:val="fr-FR"/>
        </w:rPr>
        <w:t>)</w:t>
      </w:r>
      <w:r w:rsidRPr="00A30C0E">
        <w:rPr>
          <w:rFonts w:eastAsiaTheme="minorHAnsi"/>
          <w:w w:val="103"/>
          <w:lang w:val="fr-FR"/>
        </w:rPr>
        <w:t xml:space="preserve">. </w:t>
      </w:r>
      <w:bookmarkEnd w:id="0"/>
      <w:r w:rsidRPr="00A30C0E">
        <w:rPr>
          <w:rFonts w:eastAsiaTheme="minorHAnsi"/>
          <w:w w:val="103"/>
          <w:lang w:val="fr-FR"/>
        </w:rPr>
        <w:t>Le Comité regrette que l’État partie n’ait pas soumis un rapport relatif à la suite donnée aux observations finales et considère que les recommandations figurant aux paragraphes</w:t>
      </w:r>
      <w:r w:rsidR="00587BBC">
        <w:rPr>
          <w:rFonts w:eastAsiaTheme="minorHAnsi"/>
          <w:w w:val="103"/>
          <w:lang w:val="fr-FR"/>
        </w:rPr>
        <w:t> </w:t>
      </w:r>
      <w:r w:rsidRPr="00A30C0E">
        <w:rPr>
          <w:rFonts w:eastAsiaTheme="minorHAnsi"/>
          <w:w w:val="103"/>
          <w:lang w:val="fr-FR"/>
        </w:rPr>
        <w:t>10, 12, 13 et 15 des précédentes observations finales doivent encore faire l’objet de mesures d’application (se reporter aux paragraphes 10, 17, 20 et 21 ci-</w:t>
      </w:r>
      <w:r w:rsidR="00321AA1" w:rsidRPr="00A30C0E">
        <w:rPr>
          <w:rFonts w:eastAsiaTheme="minorHAnsi"/>
          <w:w w:val="103"/>
          <w:lang w:val="fr-FR"/>
        </w:rPr>
        <w:t>après</w:t>
      </w:r>
      <w:r w:rsidRPr="00A30C0E">
        <w:rPr>
          <w:rFonts w:eastAsiaTheme="minorHAnsi"/>
          <w:w w:val="103"/>
          <w:lang w:val="fr-FR"/>
        </w:rPr>
        <w:t>).</w:t>
      </w:r>
    </w:p>
    <w:p w:rsidR="00953995" w:rsidRPr="00953995" w:rsidRDefault="00953995" w:rsidP="00FA52DA">
      <w:pPr>
        <w:pStyle w:val="H23G"/>
        <w:rPr>
          <w:rFonts w:eastAsiaTheme="minorHAnsi"/>
          <w:w w:val="103"/>
          <w:lang w:val="fr-FR"/>
        </w:rPr>
      </w:pPr>
      <w:r w:rsidRPr="00953995">
        <w:rPr>
          <w:rFonts w:eastAsiaTheme="minorHAnsi"/>
          <w:w w:val="103"/>
          <w:lang w:val="fr-FR"/>
        </w:rPr>
        <w:tab/>
      </w:r>
      <w:r w:rsidRPr="00953995">
        <w:rPr>
          <w:rFonts w:eastAsiaTheme="minorHAnsi"/>
          <w:w w:val="103"/>
          <w:lang w:val="fr-FR"/>
        </w:rPr>
        <w:tab/>
        <w:t>Article 2</w:t>
      </w:r>
      <w:r w:rsidRPr="00A8565B">
        <w:rPr>
          <w:rStyle w:val="Appelnotedebasdep"/>
          <w:rFonts w:eastAsiaTheme="minorHAnsi"/>
          <w:b w:val="0"/>
        </w:rPr>
        <w:footnoteReference w:id="3"/>
      </w:r>
    </w:p>
    <w:p w:rsidR="00953995" w:rsidRPr="00953995" w:rsidRDefault="00953995" w:rsidP="00953995">
      <w:pPr>
        <w:pStyle w:val="SingleTxtG"/>
        <w:rPr>
          <w:rFonts w:eastAsiaTheme="minorHAnsi"/>
          <w:w w:val="103"/>
          <w:lang w:val="fr-FR"/>
        </w:rPr>
      </w:pPr>
      <w:r w:rsidRPr="00953995">
        <w:rPr>
          <w:rFonts w:eastAsiaTheme="minorHAnsi"/>
          <w:w w:val="103"/>
          <w:lang w:val="fr-FR"/>
        </w:rPr>
        <w:t>2.</w:t>
      </w:r>
      <w:r w:rsidRPr="00953995">
        <w:rPr>
          <w:rFonts w:eastAsiaTheme="minorHAnsi"/>
          <w:w w:val="103"/>
          <w:lang w:val="fr-FR"/>
        </w:rPr>
        <w:tab/>
      </w:r>
      <w:r w:rsidR="00E06AB0">
        <w:rPr>
          <w:rFonts w:eastAsiaTheme="minorHAnsi"/>
          <w:w w:val="103"/>
          <w:lang w:val="fr-FR"/>
        </w:rPr>
        <w:t>D</w:t>
      </w:r>
      <w:r w:rsidRPr="00953995">
        <w:rPr>
          <w:rFonts w:eastAsiaTheme="minorHAnsi"/>
          <w:w w:val="103"/>
          <w:lang w:val="fr-FR"/>
        </w:rPr>
        <w:t>onner des</w:t>
      </w:r>
      <w:r w:rsidR="00FA52DA">
        <w:rPr>
          <w:rFonts w:eastAsiaTheme="minorHAnsi"/>
          <w:w w:val="103"/>
          <w:lang w:val="fr-FR"/>
        </w:rPr>
        <w:t xml:space="preserve"> </w:t>
      </w:r>
      <w:r w:rsidRPr="00953995">
        <w:rPr>
          <w:rFonts w:eastAsiaTheme="minorHAnsi"/>
          <w:w w:val="103"/>
          <w:lang w:val="fr-FR"/>
        </w:rPr>
        <w:t xml:space="preserve">informations sur les </w:t>
      </w:r>
      <w:r w:rsidRPr="00953995">
        <w:rPr>
          <w:rFonts w:eastAsiaTheme="minorHAnsi"/>
          <w:bCs/>
          <w:w w:val="103"/>
          <w:szCs w:val="24"/>
          <w:lang w:val="fr-FR"/>
        </w:rPr>
        <w:t>mesures</w:t>
      </w:r>
      <w:r w:rsidRPr="00953995">
        <w:rPr>
          <w:rFonts w:eastAsiaTheme="minorHAnsi"/>
          <w:w w:val="103"/>
          <w:lang w:val="fr-FR"/>
        </w:rPr>
        <w:t xml:space="preserve"> prises pour garantir</w:t>
      </w:r>
      <w:r w:rsidR="003217F6">
        <w:rPr>
          <w:rFonts w:eastAsiaTheme="minorHAnsi"/>
          <w:w w:val="103"/>
          <w:lang w:val="fr-FR"/>
        </w:rPr>
        <w:t>,</w:t>
      </w:r>
      <w:r w:rsidRPr="00953995">
        <w:rPr>
          <w:rFonts w:eastAsiaTheme="minorHAnsi"/>
          <w:w w:val="103"/>
          <w:lang w:val="fr-FR"/>
        </w:rPr>
        <w:t xml:space="preserve"> dans la pratique</w:t>
      </w:r>
      <w:r w:rsidR="003217F6">
        <w:rPr>
          <w:rFonts w:eastAsiaTheme="minorHAnsi"/>
          <w:w w:val="103"/>
          <w:lang w:val="fr-FR"/>
        </w:rPr>
        <w:t>,</w:t>
      </w:r>
      <w:r w:rsidRPr="00953995">
        <w:rPr>
          <w:rFonts w:eastAsiaTheme="minorHAnsi"/>
          <w:w w:val="103"/>
          <w:lang w:val="fr-FR"/>
        </w:rPr>
        <w:t xml:space="preserve"> que toutes les personnes privées de liberté se voient accorder le droit d’informer un proche ou un tiers de leur choix dès le tout déb</w:t>
      </w:r>
      <w:r w:rsidR="00217D12">
        <w:rPr>
          <w:rFonts w:eastAsiaTheme="minorHAnsi"/>
          <w:w w:val="103"/>
          <w:lang w:val="fr-FR"/>
        </w:rPr>
        <w:t>ut de l</w:t>
      </w:r>
      <w:r w:rsidR="00F85115">
        <w:rPr>
          <w:rFonts w:eastAsiaTheme="minorHAnsi"/>
          <w:w w:val="103"/>
          <w:lang w:val="fr-FR"/>
        </w:rPr>
        <w:t>a</w:t>
      </w:r>
      <w:r w:rsidR="00217D12">
        <w:rPr>
          <w:rFonts w:eastAsiaTheme="minorHAnsi"/>
          <w:w w:val="103"/>
          <w:lang w:val="fr-FR"/>
        </w:rPr>
        <w:t xml:space="preserve"> privation de liberté.</w:t>
      </w:r>
      <w:r w:rsidRPr="00953995">
        <w:rPr>
          <w:rFonts w:eastAsiaTheme="minorHAnsi"/>
          <w:w w:val="103"/>
          <w:lang w:val="fr-FR"/>
        </w:rPr>
        <w:t xml:space="preserve"> </w:t>
      </w:r>
      <w:r w:rsidR="003217F6">
        <w:rPr>
          <w:rFonts w:eastAsiaTheme="minorHAnsi"/>
          <w:w w:val="103"/>
          <w:lang w:val="fr-FR"/>
        </w:rPr>
        <w:t>Préciser quel est</w:t>
      </w:r>
      <w:r w:rsidR="003217F6" w:rsidRPr="00953995">
        <w:rPr>
          <w:rFonts w:eastAsiaTheme="minorHAnsi"/>
          <w:w w:val="103"/>
          <w:lang w:val="fr-FR"/>
        </w:rPr>
        <w:t xml:space="preserve"> </w:t>
      </w:r>
      <w:r w:rsidRPr="00953995">
        <w:rPr>
          <w:rFonts w:eastAsiaTheme="minorHAnsi"/>
          <w:w w:val="103"/>
          <w:lang w:val="fr-FR"/>
        </w:rPr>
        <w:t xml:space="preserve">le calendrier pour l’adoption du </w:t>
      </w:r>
      <w:r w:rsidR="007506B3">
        <w:rPr>
          <w:rFonts w:eastAsiaTheme="minorHAnsi"/>
          <w:w w:val="103"/>
          <w:lang w:val="fr-FR"/>
        </w:rPr>
        <w:t>p</w:t>
      </w:r>
      <w:r w:rsidR="007506B3" w:rsidRPr="00953995">
        <w:rPr>
          <w:rFonts w:eastAsiaTheme="minorHAnsi"/>
          <w:w w:val="103"/>
          <w:lang w:val="fr-FR"/>
        </w:rPr>
        <w:t xml:space="preserve">rojet </w:t>
      </w:r>
      <w:r w:rsidRPr="00953995">
        <w:rPr>
          <w:rFonts w:eastAsiaTheme="minorHAnsi"/>
          <w:w w:val="103"/>
          <w:lang w:val="fr-FR"/>
        </w:rPr>
        <w:t xml:space="preserve">de loi 6758 renforçant les garanties </w:t>
      </w:r>
      <w:r w:rsidRPr="00953995">
        <w:rPr>
          <w:rFonts w:eastAsiaTheme="minorHAnsi"/>
          <w:w w:val="103"/>
          <w:lang w:val="fr-FR"/>
        </w:rPr>
        <w:lastRenderedPageBreak/>
        <w:t xml:space="preserve">procédurales en matière pénale et </w:t>
      </w:r>
      <w:r w:rsidR="003217F6">
        <w:rPr>
          <w:rFonts w:eastAsiaTheme="minorHAnsi"/>
          <w:w w:val="103"/>
          <w:lang w:val="fr-FR"/>
        </w:rPr>
        <w:t>indiquer</w:t>
      </w:r>
      <w:r w:rsidR="003217F6" w:rsidRPr="00953995">
        <w:rPr>
          <w:rFonts w:eastAsiaTheme="minorHAnsi"/>
          <w:w w:val="103"/>
          <w:lang w:val="fr-FR"/>
        </w:rPr>
        <w:t xml:space="preserve"> </w:t>
      </w:r>
      <w:r w:rsidRPr="00953995">
        <w:rPr>
          <w:rFonts w:eastAsiaTheme="minorHAnsi"/>
          <w:w w:val="103"/>
          <w:lang w:val="fr-FR"/>
        </w:rPr>
        <w:t>si</w:t>
      </w:r>
      <w:r w:rsidR="00DB596A">
        <w:rPr>
          <w:rFonts w:eastAsiaTheme="minorHAnsi"/>
          <w:w w:val="103"/>
          <w:lang w:val="fr-FR"/>
        </w:rPr>
        <w:t>,</w:t>
      </w:r>
      <w:r w:rsidRPr="00953995">
        <w:rPr>
          <w:rFonts w:eastAsiaTheme="minorHAnsi"/>
          <w:w w:val="103"/>
          <w:lang w:val="fr-FR"/>
        </w:rPr>
        <w:t xml:space="preserve"> dans le nouveau projet</w:t>
      </w:r>
      <w:r w:rsidR="00DB596A">
        <w:rPr>
          <w:rFonts w:eastAsiaTheme="minorHAnsi"/>
          <w:w w:val="103"/>
          <w:lang w:val="fr-FR"/>
        </w:rPr>
        <w:t>,</w:t>
      </w:r>
      <w:r w:rsidRPr="00953995">
        <w:rPr>
          <w:rFonts w:eastAsiaTheme="minorHAnsi"/>
          <w:w w:val="103"/>
          <w:lang w:val="fr-FR"/>
        </w:rPr>
        <w:t xml:space="preserve"> tout retard dans l’exercice du droit d’informer un proche est soumis à l’accord du Procureur </w:t>
      </w:r>
      <w:r w:rsidR="001200E9" w:rsidRPr="00953995">
        <w:rPr>
          <w:rFonts w:eastAsiaTheme="minorHAnsi"/>
          <w:w w:val="103"/>
          <w:lang w:val="fr-FR"/>
        </w:rPr>
        <w:t>d’</w:t>
      </w:r>
      <w:r w:rsidR="009A437F">
        <w:rPr>
          <w:rFonts w:eastAsiaTheme="minorHAnsi"/>
          <w:w w:val="103"/>
          <w:lang w:val="fr-FR"/>
        </w:rPr>
        <w:t>É</w:t>
      </w:r>
      <w:r w:rsidR="001200E9" w:rsidRPr="00953995">
        <w:rPr>
          <w:rFonts w:eastAsiaTheme="minorHAnsi"/>
          <w:w w:val="103"/>
          <w:lang w:val="fr-FR"/>
        </w:rPr>
        <w:t xml:space="preserve">tat </w:t>
      </w:r>
      <w:r w:rsidRPr="00953995">
        <w:rPr>
          <w:rFonts w:eastAsiaTheme="minorHAnsi"/>
          <w:w w:val="103"/>
          <w:lang w:val="fr-FR"/>
        </w:rPr>
        <w:t xml:space="preserve">et </w:t>
      </w:r>
      <w:r w:rsidR="003217F6">
        <w:rPr>
          <w:rFonts w:eastAsiaTheme="minorHAnsi"/>
          <w:w w:val="103"/>
          <w:lang w:val="fr-FR"/>
        </w:rPr>
        <w:t xml:space="preserve">si </w:t>
      </w:r>
      <w:r w:rsidRPr="00953995">
        <w:rPr>
          <w:rFonts w:eastAsiaTheme="minorHAnsi"/>
          <w:w w:val="103"/>
          <w:lang w:val="fr-FR"/>
        </w:rPr>
        <w:t>les raisons qui l’ont motivé sont consignées par écrit</w:t>
      </w:r>
      <w:r w:rsidR="00217D12">
        <w:rPr>
          <w:rFonts w:eastAsiaTheme="minorHAnsi"/>
          <w:w w:val="103"/>
          <w:sz w:val="22"/>
          <w:lang w:val="fr-FR"/>
        </w:rPr>
        <w:t>.</w:t>
      </w:r>
      <w:r w:rsidRPr="00953995">
        <w:rPr>
          <w:rFonts w:eastAsiaTheme="minorHAnsi"/>
          <w:w w:val="103"/>
          <w:sz w:val="22"/>
          <w:lang w:val="fr-FR"/>
        </w:rPr>
        <w:t xml:space="preserve"> </w:t>
      </w:r>
      <w:r w:rsidRPr="00953995">
        <w:rPr>
          <w:rFonts w:eastAsiaTheme="minorHAnsi"/>
          <w:w w:val="103"/>
          <w:lang w:val="fr-FR"/>
        </w:rPr>
        <w:t>Indiquer aussi si le nouveau projet ou d’autres mesures administratives prises par l’</w:t>
      </w:r>
      <w:r w:rsidR="009A437F">
        <w:rPr>
          <w:rFonts w:eastAsiaTheme="minorHAnsi"/>
          <w:w w:val="103"/>
          <w:lang w:val="fr-FR"/>
        </w:rPr>
        <w:t>É</w:t>
      </w:r>
      <w:r w:rsidRPr="00953995">
        <w:rPr>
          <w:rFonts w:eastAsiaTheme="minorHAnsi"/>
          <w:w w:val="103"/>
          <w:lang w:val="fr-FR"/>
        </w:rPr>
        <w:t xml:space="preserve">tat partie pendant la période considérée garantissent : </w:t>
      </w:r>
      <w:r w:rsidR="00AE5084">
        <w:rPr>
          <w:rFonts w:eastAsiaTheme="minorHAnsi"/>
          <w:w w:val="103"/>
          <w:lang w:val="fr-FR"/>
        </w:rPr>
        <w:t>a</w:t>
      </w:r>
      <w:r w:rsidRPr="00953995">
        <w:rPr>
          <w:rFonts w:eastAsiaTheme="minorHAnsi"/>
          <w:w w:val="103"/>
          <w:lang w:val="fr-FR"/>
        </w:rPr>
        <w:t>)</w:t>
      </w:r>
      <w:r w:rsidR="006A5C2D">
        <w:rPr>
          <w:rFonts w:eastAsiaTheme="minorHAnsi"/>
          <w:w w:val="103"/>
          <w:lang w:val="fr-FR"/>
        </w:rPr>
        <w:t> </w:t>
      </w:r>
      <w:r w:rsidR="00492C0B">
        <w:rPr>
          <w:rFonts w:eastAsiaTheme="minorHAnsi"/>
          <w:w w:val="103"/>
          <w:lang w:val="fr-FR"/>
        </w:rPr>
        <w:t xml:space="preserve">que </w:t>
      </w:r>
      <w:r w:rsidRPr="00953995">
        <w:rPr>
          <w:rFonts w:eastAsiaTheme="minorHAnsi"/>
          <w:w w:val="103"/>
          <w:lang w:val="fr-FR"/>
        </w:rPr>
        <w:t xml:space="preserve">toutes les personnes privées de liberté, quelles qu’en soient les raisons, </w:t>
      </w:r>
      <w:r w:rsidR="00492C0B">
        <w:rPr>
          <w:rFonts w:eastAsiaTheme="minorHAnsi"/>
          <w:w w:val="103"/>
          <w:lang w:val="fr-FR"/>
        </w:rPr>
        <w:t xml:space="preserve">aient accès à un avocat </w:t>
      </w:r>
      <w:r w:rsidRPr="00953995">
        <w:rPr>
          <w:rFonts w:eastAsiaTheme="minorHAnsi"/>
          <w:w w:val="103"/>
          <w:lang w:val="fr-FR"/>
        </w:rPr>
        <w:t>dès le tout dé</w:t>
      </w:r>
      <w:r w:rsidR="00217D12">
        <w:rPr>
          <w:rFonts w:eastAsiaTheme="minorHAnsi"/>
          <w:w w:val="103"/>
          <w:lang w:val="fr-FR"/>
        </w:rPr>
        <w:t>but de la privation de liberté</w:t>
      </w:r>
      <w:r w:rsidR="004F68A8">
        <w:rPr>
          <w:rFonts w:eastAsiaTheme="minorHAnsi"/>
          <w:w w:val="103"/>
          <w:lang w:val="fr-FR"/>
        </w:rPr>
        <w:t> </w:t>
      </w:r>
      <w:r w:rsidR="000409E4">
        <w:rPr>
          <w:rFonts w:eastAsiaTheme="minorHAnsi"/>
          <w:w w:val="103"/>
          <w:lang w:val="fr-FR"/>
        </w:rPr>
        <w:t>;</w:t>
      </w:r>
      <w:r w:rsidRPr="00953995">
        <w:rPr>
          <w:rFonts w:eastAsiaTheme="minorHAnsi"/>
          <w:w w:val="103"/>
          <w:lang w:val="fr-FR"/>
        </w:rPr>
        <w:t xml:space="preserve"> </w:t>
      </w:r>
      <w:r w:rsidR="00AE5084">
        <w:rPr>
          <w:rFonts w:eastAsiaTheme="minorHAnsi"/>
          <w:w w:val="103"/>
          <w:lang w:val="fr-FR"/>
        </w:rPr>
        <w:t>b</w:t>
      </w:r>
      <w:r w:rsidRPr="00953995">
        <w:rPr>
          <w:rFonts w:eastAsiaTheme="minorHAnsi"/>
          <w:w w:val="103"/>
          <w:lang w:val="fr-FR"/>
        </w:rPr>
        <w:t>)</w:t>
      </w:r>
      <w:r w:rsidR="006A5C2D">
        <w:rPr>
          <w:rFonts w:eastAsiaTheme="minorHAnsi"/>
          <w:w w:val="103"/>
          <w:lang w:val="fr-FR"/>
        </w:rPr>
        <w:t> </w:t>
      </w:r>
      <w:r w:rsidR="00492C0B">
        <w:rPr>
          <w:rFonts w:eastAsiaTheme="minorHAnsi"/>
          <w:w w:val="103"/>
          <w:lang w:val="fr-FR"/>
        </w:rPr>
        <w:t xml:space="preserve">que </w:t>
      </w:r>
      <w:r w:rsidRPr="00953995">
        <w:rPr>
          <w:rFonts w:eastAsiaTheme="minorHAnsi"/>
          <w:w w:val="103"/>
          <w:lang w:val="fr-FR"/>
        </w:rPr>
        <w:t xml:space="preserve">les examens médicaux des personnes privées de liberté </w:t>
      </w:r>
      <w:r w:rsidR="00492C0B">
        <w:rPr>
          <w:rFonts w:eastAsiaTheme="minorHAnsi"/>
          <w:w w:val="103"/>
          <w:lang w:val="fr-FR"/>
        </w:rPr>
        <w:t xml:space="preserve">soient effectués </w:t>
      </w:r>
      <w:r w:rsidRPr="00953995">
        <w:rPr>
          <w:rFonts w:eastAsiaTheme="minorHAnsi"/>
          <w:w w:val="103"/>
          <w:lang w:val="fr-FR"/>
        </w:rPr>
        <w:t>hors de l’écoute et de la vue d</w:t>
      </w:r>
      <w:r w:rsidR="00492C0B">
        <w:rPr>
          <w:rFonts w:eastAsiaTheme="minorHAnsi"/>
          <w:w w:val="103"/>
          <w:lang w:val="fr-FR"/>
        </w:rPr>
        <w:t xml:space="preserve">es </w:t>
      </w:r>
      <w:r w:rsidRPr="00953995">
        <w:rPr>
          <w:rFonts w:eastAsiaTheme="minorHAnsi"/>
          <w:w w:val="103"/>
          <w:lang w:val="fr-FR"/>
        </w:rPr>
        <w:t>agents de pol</w:t>
      </w:r>
      <w:r w:rsidR="00217D12">
        <w:rPr>
          <w:rFonts w:eastAsiaTheme="minorHAnsi"/>
          <w:w w:val="103"/>
          <w:lang w:val="fr-FR"/>
        </w:rPr>
        <w:t>ice ou du personnel non médical</w:t>
      </w:r>
      <w:r w:rsidR="004F68A8">
        <w:rPr>
          <w:rFonts w:eastAsiaTheme="minorHAnsi"/>
          <w:w w:val="103"/>
          <w:lang w:val="fr-FR"/>
        </w:rPr>
        <w:t> </w:t>
      </w:r>
      <w:r w:rsidR="000409E4">
        <w:rPr>
          <w:rFonts w:eastAsiaTheme="minorHAnsi"/>
          <w:w w:val="103"/>
          <w:lang w:val="fr-FR"/>
        </w:rPr>
        <w:t>;</w:t>
      </w:r>
      <w:r w:rsidRPr="00953995">
        <w:rPr>
          <w:rFonts w:eastAsiaTheme="minorHAnsi"/>
          <w:w w:val="103"/>
          <w:lang w:val="fr-FR"/>
        </w:rPr>
        <w:t xml:space="preserve"> </w:t>
      </w:r>
      <w:r w:rsidR="00110163">
        <w:rPr>
          <w:rFonts w:eastAsiaTheme="minorHAnsi"/>
          <w:w w:val="103"/>
          <w:lang w:val="fr-FR"/>
        </w:rPr>
        <w:t>c</w:t>
      </w:r>
      <w:r w:rsidRPr="00953995">
        <w:rPr>
          <w:rFonts w:eastAsiaTheme="minorHAnsi"/>
          <w:w w:val="103"/>
          <w:lang w:val="fr-FR"/>
        </w:rPr>
        <w:t>)</w:t>
      </w:r>
      <w:r w:rsidR="006A5C2D">
        <w:rPr>
          <w:rFonts w:eastAsiaTheme="minorHAnsi"/>
          <w:w w:val="103"/>
          <w:lang w:val="fr-FR"/>
        </w:rPr>
        <w:t> </w:t>
      </w:r>
      <w:r w:rsidRPr="00953995">
        <w:rPr>
          <w:rFonts w:eastAsiaTheme="minorHAnsi"/>
          <w:w w:val="103"/>
          <w:lang w:val="fr-FR"/>
        </w:rPr>
        <w:t xml:space="preserve">que toutes </w:t>
      </w:r>
      <w:r w:rsidR="00633831">
        <w:rPr>
          <w:rFonts w:eastAsiaTheme="minorHAnsi"/>
          <w:w w:val="103"/>
          <w:lang w:val="fr-FR"/>
        </w:rPr>
        <w:t xml:space="preserve">les </w:t>
      </w:r>
      <w:r w:rsidRPr="00953995">
        <w:rPr>
          <w:rFonts w:eastAsiaTheme="minorHAnsi"/>
          <w:w w:val="103"/>
          <w:lang w:val="fr-FR"/>
        </w:rPr>
        <w:t>personnes privées de liberté, quelles qu’en soient les raisons, soient informées de l’ensemble de leurs droits dès le tout début de la privation de liberté</w:t>
      </w:r>
      <w:r w:rsidR="00217D12">
        <w:rPr>
          <w:rFonts w:eastAsiaTheme="minorHAnsi"/>
          <w:w w:val="103"/>
          <w:lang w:val="fr-FR"/>
        </w:rPr>
        <w:t> </w:t>
      </w:r>
      <w:r w:rsidR="000409E4">
        <w:rPr>
          <w:rFonts w:eastAsiaTheme="minorHAnsi"/>
          <w:w w:val="103"/>
          <w:lang w:val="fr-FR"/>
        </w:rPr>
        <w:t>;</w:t>
      </w:r>
      <w:r w:rsidRPr="00953995">
        <w:rPr>
          <w:rFonts w:eastAsiaTheme="minorHAnsi"/>
          <w:w w:val="103"/>
          <w:lang w:val="fr-FR"/>
        </w:rPr>
        <w:t xml:space="preserve"> </w:t>
      </w:r>
      <w:r w:rsidR="00110163">
        <w:rPr>
          <w:rFonts w:eastAsiaTheme="minorHAnsi"/>
          <w:w w:val="103"/>
          <w:lang w:val="fr-FR"/>
        </w:rPr>
        <w:t>d</w:t>
      </w:r>
      <w:r w:rsidRPr="00953995">
        <w:rPr>
          <w:rFonts w:eastAsiaTheme="minorHAnsi"/>
          <w:w w:val="103"/>
          <w:lang w:val="fr-FR"/>
        </w:rPr>
        <w:t>)</w:t>
      </w:r>
      <w:r w:rsidR="006A5C2D">
        <w:rPr>
          <w:rFonts w:eastAsiaTheme="minorHAnsi"/>
          <w:w w:val="103"/>
          <w:lang w:val="fr-FR"/>
        </w:rPr>
        <w:t> </w:t>
      </w:r>
      <w:r w:rsidRPr="00953995">
        <w:rPr>
          <w:rFonts w:eastAsiaTheme="minorHAnsi"/>
          <w:w w:val="103"/>
          <w:lang w:val="fr-FR"/>
        </w:rPr>
        <w:t>que, lorsqu’un mineur est privé de liberté par la police, un adulte de confiance soit informé dès le tout début de la privation de liberté et qu’il ou elle ne puisse pas être interrogé par la police sans bénéfi</w:t>
      </w:r>
      <w:r w:rsidR="00217D12">
        <w:rPr>
          <w:rFonts w:eastAsiaTheme="minorHAnsi"/>
          <w:w w:val="103"/>
          <w:lang w:val="fr-FR"/>
        </w:rPr>
        <w:t>cier de la présence d’un avocat.</w:t>
      </w:r>
    </w:p>
    <w:p w:rsidR="00953995" w:rsidRPr="00953995" w:rsidRDefault="00953995" w:rsidP="00953995">
      <w:pPr>
        <w:pStyle w:val="SingleTxtG"/>
        <w:rPr>
          <w:rFonts w:eastAsiaTheme="minorHAnsi"/>
          <w:w w:val="103"/>
          <w:lang w:val="fr-FR"/>
        </w:rPr>
      </w:pPr>
      <w:r w:rsidRPr="00953995">
        <w:rPr>
          <w:rFonts w:eastAsiaTheme="minorHAnsi"/>
          <w:w w:val="103"/>
          <w:lang w:val="fr-FR"/>
        </w:rPr>
        <w:t>3.</w:t>
      </w:r>
      <w:r w:rsidRPr="00953995">
        <w:rPr>
          <w:rFonts w:eastAsiaTheme="minorHAnsi"/>
          <w:w w:val="103"/>
          <w:lang w:val="fr-FR"/>
        </w:rPr>
        <w:tab/>
      </w:r>
      <w:r w:rsidR="00E06AB0">
        <w:rPr>
          <w:rFonts w:eastAsiaTheme="minorHAnsi"/>
          <w:w w:val="103"/>
          <w:lang w:val="fr-FR"/>
        </w:rPr>
        <w:t>D</w:t>
      </w:r>
      <w:r w:rsidRPr="00953995">
        <w:rPr>
          <w:rFonts w:eastAsiaTheme="minorHAnsi"/>
          <w:w w:val="103"/>
          <w:lang w:val="fr-FR"/>
        </w:rPr>
        <w:t>onner les informations actualisées ci-après relatives à la traite des êtres humains depuis juin 2015</w:t>
      </w:r>
      <w:r w:rsidR="004F68A8">
        <w:rPr>
          <w:rFonts w:eastAsiaTheme="minorHAnsi"/>
          <w:w w:val="103"/>
          <w:lang w:val="fr-FR"/>
        </w:rPr>
        <w:t> </w:t>
      </w:r>
      <w:r w:rsidRPr="00953995">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a)</w:t>
      </w:r>
      <w:r w:rsidRPr="00953995">
        <w:rPr>
          <w:rFonts w:eastAsiaTheme="minorHAnsi"/>
          <w:w w:val="103"/>
          <w:lang w:val="fr-FR"/>
        </w:rPr>
        <w:tab/>
        <w:t>Des données statistiques annuelles, ventilées par tranche d’âge, sexe, pays d’origine et secteur d’emploi de la victime, sur le nombre de victimes de la traite et le nombre de plaintes déposées ou de signalements enregistrés par la police concernant ce type d’infraction, le nombre de personnes qui ont fait l’objet d’une enquête, y compris des agents de l’</w:t>
      </w:r>
      <w:r w:rsidR="009A437F">
        <w:rPr>
          <w:rFonts w:eastAsiaTheme="minorHAnsi"/>
          <w:w w:val="103"/>
          <w:lang w:val="fr-FR"/>
        </w:rPr>
        <w:t>É</w:t>
      </w:r>
      <w:r w:rsidR="00901681">
        <w:rPr>
          <w:rFonts w:eastAsiaTheme="minorHAnsi"/>
          <w:w w:val="103"/>
          <w:lang w:val="fr-FR"/>
        </w:rPr>
        <w:t>tat soupçonnés d’être complices,</w:t>
      </w:r>
      <w:r w:rsidRPr="00953995">
        <w:rPr>
          <w:rFonts w:eastAsiaTheme="minorHAnsi"/>
          <w:w w:val="103"/>
          <w:lang w:val="fr-FR"/>
        </w:rPr>
        <w:t xml:space="preserve"> en précisant le nombre d</w:t>
      </w:r>
      <w:r w:rsidR="006D714C">
        <w:rPr>
          <w:rFonts w:eastAsiaTheme="minorHAnsi"/>
          <w:w w:val="103"/>
          <w:lang w:val="fr-FR"/>
        </w:rPr>
        <w:t>’</w:t>
      </w:r>
      <w:r w:rsidRPr="00953995">
        <w:rPr>
          <w:rFonts w:eastAsiaTheme="minorHAnsi"/>
          <w:w w:val="103"/>
          <w:lang w:val="fr-FR"/>
        </w:rPr>
        <w:t>enquêtes qui ont donné lieu à des poursuites et à des condamnations, et les peines infligées aux auteurs de tels faits</w:t>
      </w:r>
      <w:r w:rsidR="00901681">
        <w:rPr>
          <w:rFonts w:eastAsiaTheme="minorHAnsi"/>
          <w:w w:val="103"/>
          <w:lang w:val="fr-FR"/>
        </w:rPr>
        <w:t xml:space="preserve"> qui ont été reconnus coupables ;</w:t>
      </w:r>
    </w:p>
    <w:p w:rsidR="00953995" w:rsidRPr="00953995" w:rsidRDefault="00953995" w:rsidP="00A8565B">
      <w:pPr>
        <w:pStyle w:val="SingleTxtG"/>
        <w:ind w:firstLine="567"/>
        <w:rPr>
          <w:rFonts w:eastAsiaTheme="minorHAnsi"/>
          <w:w w:val="103"/>
          <w:highlight w:val="yellow"/>
          <w:lang w:val="fr-FR"/>
        </w:rPr>
      </w:pPr>
      <w:r w:rsidRPr="00953995">
        <w:rPr>
          <w:rFonts w:eastAsiaTheme="minorHAnsi"/>
          <w:w w:val="103"/>
          <w:lang w:val="fr-FR"/>
        </w:rPr>
        <w:t>b)</w:t>
      </w:r>
      <w:r w:rsidRPr="00953995">
        <w:rPr>
          <w:rFonts w:eastAsiaTheme="minorHAnsi"/>
          <w:w w:val="103"/>
          <w:lang w:val="fr-FR"/>
        </w:rPr>
        <w:tab/>
      </w:r>
      <w:r w:rsidR="002D6388">
        <w:rPr>
          <w:rFonts w:eastAsiaTheme="minorHAnsi"/>
          <w:w w:val="103"/>
          <w:lang w:val="fr-FR"/>
        </w:rPr>
        <w:t xml:space="preserve">Les stratégies </w:t>
      </w:r>
      <w:r w:rsidR="002D6388" w:rsidRPr="00953995">
        <w:rPr>
          <w:rFonts w:eastAsiaTheme="minorHAnsi"/>
          <w:w w:val="103"/>
          <w:lang w:val="fr-FR"/>
        </w:rPr>
        <w:t>ou plans d’action contre la traite des êtres huma</w:t>
      </w:r>
      <w:r w:rsidR="002D6388">
        <w:rPr>
          <w:rFonts w:eastAsiaTheme="minorHAnsi"/>
          <w:w w:val="103"/>
          <w:lang w:val="fr-FR"/>
        </w:rPr>
        <w:t>ins à des fins de travail forcé</w:t>
      </w:r>
      <w:r w:rsidR="002D6388" w:rsidRPr="002D6388">
        <w:rPr>
          <w:rFonts w:eastAsiaTheme="minorHAnsi"/>
          <w:w w:val="103"/>
          <w:lang w:val="fr-FR"/>
        </w:rPr>
        <w:t xml:space="preserve"> </w:t>
      </w:r>
      <w:r w:rsidR="002D6388">
        <w:rPr>
          <w:rFonts w:eastAsiaTheme="minorHAnsi"/>
          <w:w w:val="103"/>
          <w:lang w:val="fr-FR"/>
        </w:rPr>
        <w:t>que</w:t>
      </w:r>
      <w:r w:rsidR="002D6388" w:rsidRPr="00953995">
        <w:rPr>
          <w:rFonts w:eastAsiaTheme="minorHAnsi"/>
          <w:w w:val="103"/>
          <w:lang w:val="fr-FR"/>
        </w:rPr>
        <w:t xml:space="preserve"> l’État partie e</w:t>
      </w:r>
      <w:r w:rsidR="002D6388">
        <w:rPr>
          <w:rFonts w:eastAsiaTheme="minorHAnsi"/>
          <w:w w:val="103"/>
          <w:lang w:val="fr-FR"/>
        </w:rPr>
        <w:t>nvisage d’adopter, le cas échéant, c</w:t>
      </w:r>
      <w:r w:rsidRPr="00953995">
        <w:rPr>
          <w:rFonts w:eastAsiaTheme="minorHAnsi"/>
          <w:w w:val="103"/>
          <w:lang w:val="fr-FR"/>
        </w:rPr>
        <w:t>ompte tenu de l’adoption</w:t>
      </w:r>
      <w:r w:rsidR="00250EDC">
        <w:rPr>
          <w:rFonts w:eastAsiaTheme="minorHAnsi"/>
          <w:w w:val="103"/>
          <w:lang w:val="fr-FR"/>
        </w:rPr>
        <w:t>,</w:t>
      </w:r>
      <w:r w:rsidRPr="00953995">
        <w:rPr>
          <w:rFonts w:eastAsiaTheme="minorHAnsi"/>
          <w:w w:val="103"/>
          <w:lang w:val="fr-FR"/>
        </w:rPr>
        <w:t xml:space="preserve"> le 29 juin 2016</w:t>
      </w:r>
      <w:r w:rsidR="00250EDC">
        <w:rPr>
          <w:rFonts w:eastAsiaTheme="minorHAnsi"/>
          <w:w w:val="103"/>
          <w:lang w:val="fr-FR"/>
        </w:rPr>
        <w:t>,</w:t>
      </w:r>
      <w:r w:rsidRPr="00953995">
        <w:rPr>
          <w:rFonts w:eastAsiaTheme="minorHAnsi"/>
          <w:w w:val="103"/>
          <w:lang w:val="fr-FR"/>
        </w:rPr>
        <w:t xml:space="preserve"> d’une stratégie en matière d’encadrement de la prostitution, qui renforce aussi la lutte contre la traite des êtr</w:t>
      </w:r>
      <w:r w:rsidR="00901681">
        <w:rPr>
          <w:rFonts w:eastAsiaTheme="minorHAnsi"/>
          <w:w w:val="103"/>
          <w:lang w:val="fr-FR"/>
        </w:rPr>
        <w:t>es humains à des fins sexuelles.</w:t>
      </w:r>
      <w:r w:rsidRPr="00953995">
        <w:rPr>
          <w:rFonts w:eastAsiaTheme="minorHAnsi"/>
          <w:w w:val="103"/>
          <w:lang w:val="fr-FR"/>
        </w:rPr>
        <w:t xml:space="preserve"> Indiquer aussi les mesures prises pour </w:t>
      </w:r>
      <w:r w:rsidR="002D6388">
        <w:rPr>
          <w:rFonts w:eastAsiaTheme="minorHAnsi"/>
          <w:w w:val="103"/>
          <w:lang w:val="fr-FR"/>
        </w:rPr>
        <w:t>mettre en place</w:t>
      </w:r>
      <w:r w:rsidR="002D6388" w:rsidRPr="00953995">
        <w:rPr>
          <w:rFonts w:eastAsiaTheme="minorHAnsi"/>
          <w:w w:val="103"/>
          <w:lang w:val="fr-FR"/>
        </w:rPr>
        <w:t xml:space="preserve"> </w:t>
      </w:r>
      <w:r w:rsidRPr="00953995">
        <w:rPr>
          <w:rFonts w:eastAsiaTheme="minorHAnsi"/>
          <w:w w:val="103"/>
          <w:lang w:val="fr-FR"/>
        </w:rPr>
        <w:t xml:space="preserve">un mécanisme national </w:t>
      </w:r>
      <w:r w:rsidR="002D6388">
        <w:rPr>
          <w:rFonts w:eastAsiaTheme="minorHAnsi"/>
          <w:w w:val="103"/>
          <w:lang w:val="fr-FR"/>
        </w:rPr>
        <w:t>visant à</w:t>
      </w:r>
      <w:r w:rsidR="002D6388" w:rsidRPr="00953995">
        <w:rPr>
          <w:rFonts w:eastAsiaTheme="minorHAnsi"/>
          <w:w w:val="103"/>
          <w:lang w:val="fr-FR"/>
        </w:rPr>
        <w:t xml:space="preserve"> </w:t>
      </w:r>
      <w:r w:rsidRPr="00953995">
        <w:rPr>
          <w:rFonts w:eastAsiaTheme="minorHAnsi"/>
          <w:w w:val="103"/>
          <w:lang w:val="fr-FR"/>
        </w:rPr>
        <w:t>aider les professionnels qui travaillent en première ligne à identifier des victimes, particulièrement du travail forcé et de la m</w:t>
      </w:r>
      <w:r w:rsidR="00901681">
        <w:rPr>
          <w:rFonts w:eastAsiaTheme="minorHAnsi"/>
          <w:w w:val="103"/>
          <w:lang w:val="fr-FR"/>
        </w:rPr>
        <w:t>endicité,</w:t>
      </w:r>
      <w:r w:rsidRPr="00953995">
        <w:rPr>
          <w:rFonts w:eastAsiaTheme="minorHAnsi"/>
          <w:w w:val="103"/>
          <w:lang w:val="fr-FR"/>
        </w:rPr>
        <w:t xml:space="preserve"> et </w:t>
      </w:r>
      <w:r w:rsidR="002D6388">
        <w:rPr>
          <w:rFonts w:eastAsiaTheme="minorHAnsi"/>
          <w:w w:val="103"/>
          <w:lang w:val="fr-FR"/>
        </w:rPr>
        <w:t xml:space="preserve">à </w:t>
      </w:r>
      <w:r w:rsidRPr="00953995">
        <w:rPr>
          <w:rFonts w:eastAsiaTheme="minorHAnsi"/>
          <w:w w:val="103"/>
          <w:lang w:val="fr-FR"/>
        </w:rPr>
        <w:t xml:space="preserve">les </w:t>
      </w:r>
      <w:r w:rsidR="006258F1">
        <w:rPr>
          <w:rFonts w:eastAsiaTheme="minorHAnsi"/>
          <w:w w:val="103"/>
          <w:lang w:val="fr-FR"/>
        </w:rPr>
        <w:t>diriger</w:t>
      </w:r>
      <w:r w:rsidR="002D6388" w:rsidRPr="00953995">
        <w:rPr>
          <w:rFonts w:eastAsiaTheme="minorHAnsi"/>
          <w:w w:val="103"/>
          <w:lang w:val="fr-FR"/>
        </w:rPr>
        <w:t xml:space="preserve"> </w:t>
      </w:r>
      <w:r w:rsidRPr="00953995">
        <w:rPr>
          <w:rFonts w:eastAsiaTheme="minorHAnsi"/>
          <w:w w:val="103"/>
          <w:lang w:val="fr-FR"/>
        </w:rPr>
        <w:t>vers les serv</w:t>
      </w:r>
      <w:r w:rsidR="00901681">
        <w:rPr>
          <w:rFonts w:eastAsiaTheme="minorHAnsi"/>
          <w:w w:val="103"/>
          <w:lang w:val="fr-FR"/>
        </w:rPr>
        <w:t xml:space="preserve">ices d’assistance et </w:t>
      </w:r>
      <w:r w:rsidR="002D6388">
        <w:rPr>
          <w:rFonts w:eastAsiaTheme="minorHAnsi"/>
          <w:w w:val="103"/>
          <w:lang w:val="fr-FR"/>
        </w:rPr>
        <w:t xml:space="preserve">de </w:t>
      </w:r>
      <w:r w:rsidR="00901681">
        <w:rPr>
          <w:rFonts w:eastAsiaTheme="minorHAnsi"/>
          <w:w w:val="103"/>
          <w:lang w:val="fr-FR"/>
        </w:rPr>
        <w:t>protection</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c)</w:t>
      </w:r>
      <w:r w:rsidRPr="00953995">
        <w:rPr>
          <w:rFonts w:eastAsiaTheme="minorHAnsi"/>
          <w:w w:val="103"/>
          <w:lang w:val="fr-FR"/>
        </w:rPr>
        <w:tab/>
        <w:t>Les mesures de réparation accessibles aux victimes, notamment l’aide juridictionnelle, médicale et psychologique, le nombre de foyers d’accueil et leur taux d’occupation, la procédure permettant d’obtenir une indemnisation, le pourcentage de cas dans lesquels une indemnisation a été accordée ainsi que son montant moyen. Décrire l’action menée pour protéger les victimes et les témoins contre des représailles et pour accorder une protection contre le renvoi à toutes les victimes et à tous les témoins de la traite, en particulier lorsque ces personnes risquent de subir des actes de torture dans leur pays d’origine</w:t>
      </w:r>
      <w:r w:rsidR="00901681">
        <w:rPr>
          <w:rFonts w:eastAsiaTheme="minorHAnsi"/>
          <w:w w:val="103"/>
          <w:lang w:val="fr-FR"/>
        </w:rPr>
        <w:t>.</w:t>
      </w:r>
    </w:p>
    <w:p w:rsidR="00953995" w:rsidRPr="00953995" w:rsidRDefault="00953995" w:rsidP="00953995">
      <w:pPr>
        <w:pStyle w:val="SingleTxtG"/>
        <w:rPr>
          <w:rFonts w:eastAsiaTheme="minorHAnsi"/>
          <w:w w:val="103"/>
          <w:lang w:val="fr-FR"/>
        </w:rPr>
      </w:pPr>
      <w:r w:rsidRPr="00953995">
        <w:rPr>
          <w:rFonts w:eastAsiaTheme="minorHAnsi"/>
          <w:w w:val="103"/>
          <w:lang w:val="fr-FR"/>
        </w:rPr>
        <w:t>4.</w:t>
      </w:r>
      <w:r w:rsidRPr="00953995">
        <w:rPr>
          <w:rFonts w:eastAsiaTheme="minorHAnsi"/>
          <w:w w:val="103"/>
          <w:lang w:val="fr-FR"/>
        </w:rPr>
        <w:tab/>
      </w:r>
      <w:r w:rsidR="00D53B11">
        <w:rPr>
          <w:rFonts w:eastAsiaTheme="minorHAnsi"/>
          <w:w w:val="103"/>
          <w:lang w:val="fr-FR"/>
        </w:rPr>
        <w:t>Fournir d</w:t>
      </w:r>
      <w:r w:rsidRPr="00953995">
        <w:rPr>
          <w:rFonts w:eastAsiaTheme="minorHAnsi"/>
          <w:w w:val="103"/>
          <w:lang w:val="fr-FR"/>
        </w:rPr>
        <w:t xml:space="preserve">es statistiques depuis 2015 sur le nombre de plaintes reçues concernant des cas de torture ou mauvais traitements relevés par la Commission consultative des droits de l’homme au Luxembourg ou le Médiateur, ainsi que sur les suites </w:t>
      </w:r>
      <w:r w:rsidR="003B1D33">
        <w:rPr>
          <w:rFonts w:eastAsiaTheme="minorHAnsi"/>
          <w:w w:val="103"/>
          <w:lang w:val="fr-FR"/>
        </w:rPr>
        <w:t xml:space="preserve">qui y ont été </w:t>
      </w:r>
      <w:r w:rsidRPr="00953995">
        <w:rPr>
          <w:rFonts w:eastAsiaTheme="minorHAnsi"/>
          <w:w w:val="103"/>
          <w:lang w:val="fr-FR"/>
        </w:rPr>
        <w:t>données. Donner des renseignements sur la mise en œuvre</w:t>
      </w:r>
      <w:r w:rsidRPr="00953995" w:rsidDel="006467D2">
        <w:rPr>
          <w:rFonts w:eastAsiaTheme="minorHAnsi"/>
          <w:w w:val="103"/>
          <w:lang w:val="fr-FR"/>
        </w:rPr>
        <w:t xml:space="preserve"> </w:t>
      </w:r>
      <w:r w:rsidRPr="00953995">
        <w:rPr>
          <w:rFonts w:eastAsiaTheme="minorHAnsi"/>
          <w:w w:val="103"/>
          <w:lang w:val="fr-FR"/>
        </w:rPr>
        <w:t>par l’État partie</w:t>
      </w:r>
      <w:r w:rsidRPr="00953995" w:rsidDel="006467D2">
        <w:rPr>
          <w:rFonts w:eastAsiaTheme="minorHAnsi"/>
          <w:w w:val="103"/>
          <w:lang w:val="fr-FR"/>
        </w:rPr>
        <w:t xml:space="preserve"> </w:t>
      </w:r>
      <w:r w:rsidRPr="00953995">
        <w:rPr>
          <w:rFonts w:eastAsiaTheme="minorHAnsi"/>
          <w:w w:val="103"/>
          <w:lang w:val="fr-FR"/>
        </w:rPr>
        <w:t xml:space="preserve">des recommandations formulées par le Service du contrôle externe des lieux privatifs de liberté du Médiateur depuis 2015, </w:t>
      </w:r>
      <w:r w:rsidR="00202F9D">
        <w:rPr>
          <w:rFonts w:eastAsiaTheme="minorHAnsi"/>
          <w:w w:val="103"/>
          <w:lang w:val="fr-FR"/>
        </w:rPr>
        <w:t xml:space="preserve">en </w:t>
      </w:r>
      <w:r w:rsidRPr="00953995">
        <w:rPr>
          <w:rFonts w:eastAsiaTheme="minorHAnsi"/>
          <w:w w:val="103"/>
          <w:lang w:val="fr-FR"/>
        </w:rPr>
        <w:t xml:space="preserve">indiquant quelles recommandations n’ont pas encore été mises en œuvre et pour quelle raison. </w:t>
      </w:r>
    </w:p>
    <w:p w:rsidR="00953995" w:rsidRPr="00953995" w:rsidRDefault="00953995" w:rsidP="00FA52DA">
      <w:pPr>
        <w:pStyle w:val="H23G"/>
        <w:rPr>
          <w:rFonts w:eastAsiaTheme="minorHAnsi"/>
          <w:w w:val="103"/>
          <w:lang w:val="fr-FR"/>
        </w:rPr>
      </w:pPr>
      <w:r w:rsidRPr="00953995">
        <w:rPr>
          <w:rFonts w:eastAsiaTheme="minorHAnsi"/>
          <w:w w:val="103"/>
          <w:lang w:val="fr-FR"/>
        </w:rPr>
        <w:tab/>
      </w:r>
      <w:r w:rsidRPr="00953995">
        <w:rPr>
          <w:rFonts w:eastAsiaTheme="minorHAnsi"/>
          <w:w w:val="103"/>
          <w:lang w:val="fr-FR"/>
        </w:rPr>
        <w:tab/>
        <w:t>Article 3</w:t>
      </w:r>
    </w:p>
    <w:p w:rsidR="00953995" w:rsidRPr="00953995" w:rsidRDefault="00953995" w:rsidP="00953995">
      <w:pPr>
        <w:pStyle w:val="SingleTxtG"/>
        <w:rPr>
          <w:rFonts w:eastAsiaTheme="minorHAnsi"/>
          <w:w w:val="103"/>
          <w:lang w:val="fr-FR"/>
        </w:rPr>
      </w:pPr>
      <w:r w:rsidRPr="00953995">
        <w:rPr>
          <w:rFonts w:eastAsiaTheme="minorHAnsi"/>
          <w:w w:val="103"/>
          <w:lang w:val="fr-FR"/>
        </w:rPr>
        <w:t>5.</w:t>
      </w:r>
      <w:r w:rsidRPr="00953995">
        <w:rPr>
          <w:rFonts w:eastAsiaTheme="minorHAnsi"/>
          <w:w w:val="103"/>
          <w:lang w:val="fr-FR"/>
        </w:rPr>
        <w:tab/>
      </w:r>
      <w:r w:rsidR="00E06AB0">
        <w:rPr>
          <w:rFonts w:eastAsiaTheme="minorHAnsi"/>
          <w:w w:val="103"/>
          <w:lang w:val="fr-FR"/>
        </w:rPr>
        <w:t>F</w:t>
      </w:r>
      <w:r w:rsidRPr="00953995">
        <w:rPr>
          <w:rFonts w:eastAsiaTheme="minorHAnsi"/>
          <w:w w:val="103"/>
          <w:lang w:val="fr-FR"/>
        </w:rPr>
        <w:t xml:space="preserve">ournir des statistiques annuelles </w:t>
      </w:r>
      <w:r w:rsidR="00B16483" w:rsidRPr="00953995">
        <w:rPr>
          <w:rFonts w:eastAsiaTheme="minorHAnsi"/>
          <w:w w:val="103"/>
          <w:lang w:val="fr-FR"/>
        </w:rPr>
        <w:t>depuis 2015</w:t>
      </w:r>
      <w:r w:rsidR="00B16483">
        <w:rPr>
          <w:rFonts w:eastAsiaTheme="minorHAnsi"/>
          <w:w w:val="103"/>
          <w:lang w:val="fr-FR"/>
        </w:rPr>
        <w:t xml:space="preserve">, </w:t>
      </w:r>
      <w:r w:rsidRPr="00953995">
        <w:rPr>
          <w:rFonts w:eastAsiaTheme="minorHAnsi"/>
          <w:w w:val="103"/>
          <w:lang w:val="fr-FR"/>
        </w:rPr>
        <w:t>ventilées par sexe, pays d’origine et tranche d’âge</w:t>
      </w:r>
      <w:r w:rsidR="00B16483">
        <w:rPr>
          <w:rFonts w:eastAsiaTheme="minorHAnsi"/>
          <w:w w:val="103"/>
          <w:lang w:val="fr-FR"/>
        </w:rPr>
        <w:t>,</w:t>
      </w:r>
      <w:r w:rsidRPr="00953995">
        <w:rPr>
          <w:rFonts w:eastAsiaTheme="minorHAnsi"/>
          <w:w w:val="103"/>
          <w:lang w:val="fr-FR"/>
        </w:rPr>
        <w:t xml:space="preserve"> </w:t>
      </w:r>
      <w:r w:rsidR="00E66ABC">
        <w:rPr>
          <w:rFonts w:eastAsiaTheme="minorHAnsi"/>
          <w:w w:val="103"/>
          <w:lang w:val="fr-FR"/>
        </w:rPr>
        <w:t>sur les</w:t>
      </w:r>
      <w:r w:rsidR="00E66ABC" w:rsidRPr="00953995">
        <w:rPr>
          <w:rFonts w:eastAsiaTheme="minorHAnsi"/>
          <w:w w:val="103"/>
          <w:lang w:val="fr-FR"/>
        </w:rPr>
        <w:t xml:space="preserve"> </w:t>
      </w:r>
      <w:r w:rsidRPr="00953995">
        <w:rPr>
          <w:rFonts w:eastAsiaTheme="minorHAnsi"/>
          <w:w w:val="103"/>
          <w:lang w:val="fr-FR"/>
        </w:rPr>
        <w:t xml:space="preserve">personnes demandant </w:t>
      </w:r>
      <w:r w:rsidR="0083586A">
        <w:rPr>
          <w:rFonts w:eastAsiaTheme="minorHAnsi"/>
          <w:w w:val="103"/>
          <w:lang w:val="fr-FR"/>
        </w:rPr>
        <w:t>l’</w:t>
      </w:r>
      <w:r w:rsidRPr="00953995">
        <w:rPr>
          <w:rFonts w:eastAsiaTheme="minorHAnsi"/>
          <w:w w:val="103"/>
          <w:lang w:val="fr-FR"/>
        </w:rPr>
        <w:t>asile</w:t>
      </w:r>
      <w:r w:rsidR="00E66ABC">
        <w:rPr>
          <w:rFonts w:eastAsiaTheme="minorHAnsi"/>
          <w:w w:val="103"/>
          <w:lang w:val="fr-FR"/>
        </w:rPr>
        <w:t>, et notamment</w:t>
      </w:r>
      <w:r w:rsidRPr="00953995">
        <w:rPr>
          <w:rFonts w:eastAsiaTheme="minorHAnsi"/>
          <w:w w:val="103"/>
          <w:lang w:val="fr-FR"/>
        </w:rPr>
        <w:t>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a)</w:t>
      </w:r>
      <w:r w:rsidRPr="00953995">
        <w:rPr>
          <w:rFonts w:eastAsiaTheme="minorHAnsi"/>
          <w:w w:val="103"/>
          <w:lang w:val="fr-FR"/>
        </w:rPr>
        <w:tab/>
        <w:t>Le nombre de demandes d’asile enregistrées</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b)</w:t>
      </w:r>
      <w:r w:rsidRPr="00953995">
        <w:rPr>
          <w:rFonts w:eastAsiaTheme="minorHAnsi"/>
          <w:w w:val="103"/>
          <w:lang w:val="fr-FR"/>
        </w:rPr>
        <w:tab/>
        <w:t>Le nombre de demandes d’asile, du statut d</w:t>
      </w:r>
      <w:r w:rsidR="00B443C4">
        <w:rPr>
          <w:rFonts w:eastAsiaTheme="minorHAnsi"/>
          <w:w w:val="103"/>
          <w:lang w:val="fr-FR"/>
        </w:rPr>
        <w:t>e</w:t>
      </w:r>
      <w:r w:rsidRPr="00953995">
        <w:rPr>
          <w:rFonts w:eastAsiaTheme="minorHAnsi"/>
          <w:w w:val="103"/>
          <w:lang w:val="fr-FR"/>
        </w:rPr>
        <w:t xml:space="preserve"> réfugié ou d’autres formes de protection humanitaire qui ont été satisfaites en indiquant, le cas échéant, le nombre de cas dans lesquels une protection a été accordée en application du principe de non-refoulement</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lastRenderedPageBreak/>
        <w:t>c)</w:t>
      </w:r>
      <w:r w:rsidRPr="00953995">
        <w:rPr>
          <w:rFonts w:eastAsiaTheme="minorHAnsi"/>
          <w:w w:val="103"/>
          <w:lang w:val="fr-FR"/>
        </w:rPr>
        <w:tab/>
        <w:t>Le nombre de victimes d’actes de torture identifiées parmi les demandeurs d’asile par rapport au nombre total de demandeurs, les procédures suivies pour les identifier et les mesures prises en faveur des personnes identifiées en tant que victimes d’actes de torture, en indiquant si un examen médical comprenant une évaluation du traumatisme subi est mené à l’arrivée des intéressés dans les centre</w:t>
      </w:r>
      <w:r w:rsidR="005C74BF">
        <w:rPr>
          <w:rFonts w:eastAsiaTheme="minorHAnsi"/>
          <w:w w:val="103"/>
          <w:lang w:val="fr-FR"/>
        </w:rPr>
        <w:t>s</w:t>
      </w:r>
      <w:r w:rsidRPr="00953995">
        <w:rPr>
          <w:rFonts w:eastAsiaTheme="minorHAnsi"/>
          <w:w w:val="103"/>
          <w:lang w:val="fr-FR"/>
        </w:rPr>
        <w:t xml:space="preserve"> d’accueil, les zones internationales des aéroports ou les centres de détention</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d)</w:t>
      </w:r>
      <w:r w:rsidRPr="00953995">
        <w:rPr>
          <w:rFonts w:eastAsiaTheme="minorHAnsi"/>
          <w:w w:val="103"/>
          <w:lang w:val="fr-FR"/>
        </w:rPr>
        <w:tab/>
        <w:t>Le nombre de personnes extradées, expulsées ou renvoyées</w:t>
      </w:r>
      <w:r w:rsidR="005C74BF">
        <w:rPr>
          <w:rFonts w:eastAsiaTheme="minorHAnsi"/>
          <w:w w:val="103"/>
          <w:lang w:val="fr-FR"/>
        </w:rPr>
        <w:t>,</w:t>
      </w:r>
      <w:r w:rsidRPr="00953995">
        <w:rPr>
          <w:rFonts w:eastAsiaTheme="minorHAnsi"/>
          <w:w w:val="103"/>
          <w:lang w:val="fr-FR"/>
        </w:rPr>
        <w:t xml:space="preserve"> et les pays vers lesquels elles l’ont été</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e)</w:t>
      </w:r>
      <w:r w:rsidRPr="00953995">
        <w:rPr>
          <w:rFonts w:eastAsiaTheme="minorHAnsi"/>
          <w:w w:val="103"/>
          <w:lang w:val="fr-FR"/>
        </w:rPr>
        <w:tab/>
        <w:t>Le nombre de recours contre des décisions d’expulsion ou d’extradition déposés au motif que les requérants risquaient d’être soumis à la torture dans les pays de destination et l’issue de ces recours.</w:t>
      </w:r>
    </w:p>
    <w:p w:rsidR="00953995" w:rsidRPr="00953995" w:rsidRDefault="00953995" w:rsidP="00953995">
      <w:pPr>
        <w:pStyle w:val="SingleTxtG"/>
        <w:rPr>
          <w:rFonts w:eastAsiaTheme="minorHAnsi"/>
          <w:w w:val="103"/>
          <w:lang w:val="fr-FR"/>
        </w:rPr>
      </w:pPr>
      <w:r w:rsidRPr="00953995">
        <w:rPr>
          <w:rFonts w:eastAsiaTheme="minorHAnsi"/>
          <w:w w:val="103"/>
          <w:lang w:val="fr-FR"/>
        </w:rPr>
        <w:t>6.</w:t>
      </w:r>
      <w:r w:rsidRPr="00953995">
        <w:rPr>
          <w:rFonts w:eastAsiaTheme="minorHAnsi"/>
          <w:w w:val="103"/>
          <w:lang w:val="fr-FR"/>
        </w:rPr>
        <w:tab/>
        <w:t>Étant donné l’adoption</w:t>
      </w:r>
      <w:r w:rsidR="005C74BF">
        <w:rPr>
          <w:rFonts w:eastAsiaTheme="minorHAnsi"/>
          <w:w w:val="103"/>
          <w:lang w:val="fr-FR"/>
        </w:rPr>
        <w:t>,</w:t>
      </w:r>
      <w:r w:rsidRPr="00953995">
        <w:rPr>
          <w:rFonts w:eastAsiaTheme="minorHAnsi"/>
          <w:w w:val="103"/>
          <w:lang w:val="fr-FR"/>
        </w:rPr>
        <w:t xml:space="preserve"> le 18 décembre 2015</w:t>
      </w:r>
      <w:r w:rsidR="005C74BF">
        <w:rPr>
          <w:rFonts w:eastAsiaTheme="minorHAnsi"/>
          <w:w w:val="103"/>
          <w:lang w:val="fr-FR"/>
        </w:rPr>
        <w:t>,</w:t>
      </w:r>
      <w:r w:rsidRPr="00953995">
        <w:rPr>
          <w:rFonts w:eastAsiaTheme="minorHAnsi"/>
          <w:w w:val="103"/>
          <w:lang w:val="fr-FR"/>
        </w:rPr>
        <w:t xml:space="preserve"> de la nouvelle loi relative à la protection internationale et à la protection temporaire, préciser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a)</w:t>
      </w:r>
      <w:r w:rsidRPr="00953995">
        <w:rPr>
          <w:rFonts w:eastAsiaTheme="minorHAnsi"/>
          <w:w w:val="103"/>
          <w:lang w:val="fr-FR"/>
        </w:rPr>
        <w:tab/>
        <w:t>Les critères applicables ainsi que l’autorité compétente pour octroyer l’assistance juridique gratuite dans le cadre des procédures d’examen de la demande de protection internationale</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b)</w:t>
      </w:r>
      <w:r w:rsidRPr="00953995">
        <w:rPr>
          <w:rFonts w:eastAsiaTheme="minorHAnsi"/>
          <w:w w:val="103"/>
          <w:lang w:val="fr-FR"/>
        </w:rPr>
        <w:tab/>
        <w:t>S’il existe un recours judiciaire utile assorti d’un effet suspensif automatique pour contester l’expulsion de demandeurs de protection internationale et autres migrants sans papiers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c)</w:t>
      </w:r>
      <w:r w:rsidRPr="00953995">
        <w:rPr>
          <w:rFonts w:eastAsiaTheme="minorHAnsi"/>
          <w:w w:val="103"/>
          <w:lang w:val="fr-FR"/>
        </w:rPr>
        <w:tab/>
        <w:t xml:space="preserve">Les mesures prises afin de garantir un accès simple et rapide à la procédure de protection internationale. </w:t>
      </w:r>
      <w:r w:rsidR="003F60E4">
        <w:rPr>
          <w:rFonts w:eastAsiaTheme="minorHAnsi"/>
          <w:w w:val="103"/>
          <w:lang w:val="fr-FR"/>
        </w:rPr>
        <w:t>À</w:t>
      </w:r>
      <w:r w:rsidR="003F60E4" w:rsidRPr="00953995">
        <w:rPr>
          <w:rFonts w:eastAsiaTheme="minorHAnsi"/>
          <w:w w:val="103"/>
          <w:lang w:val="fr-FR"/>
        </w:rPr>
        <w:t xml:space="preserve"> </w:t>
      </w:r>
      <w:r w:rsidRPr="00953995">
        <w:rPr>
          <w:rFonts w:eastAsiaTheme="minorHAnsi"/>
          <w:w w:val="103"/>
          <w:lang w:val="fr-FR"/>
        </w:rPr>
        <w:t>cet égard, indiquer la durée moyenne de la période s</w:t>
      </w:r>
      <w:r w:rsidR="000D697F">
        <w:rPr>
          <w:rFonts w:eastAsiaTheme="minorHAnsi"/>
          <w:w w:val="103"/>
          <w:lang w:val="fr-FR"/>
        </w:rPr>
        <w:t>’écoulant</w:t>
      </w:r>
      <w:r w:rsidRPr="00953995">
        <w:rPr>
          <w:rFonts w:eastAsiaTheme="minorHAnsi"/>
          <w:w w:val="103"/>
          <w:lang w:val="fr-FR"/>
        </w:rPr>
        <w:t xml:space="preserve"> entre l’introduction de la demande de protection internationale et le moment de la convocation du demandeur de protection internationale pour introduire sa demande, conform</w:t>
      </w:r>
      <w:r w:rsidR="000D697F">
        <w:rPr>
          <w:rFonts w:eastAsiaTheme="minorHAnsi"/>
          <w:w w:val="103"/>
          <w:lang w:val="fr-FR"/>
        </w:rPr>
        <w:t>ément</w:t>
      </w:r>
      <w:r w:rsidRPr="00953995">
        <w:rPr>
          <w:rFonts w:eastAsiaTheme="minorHAnsi"/>
          <w:w w:val="103"/>
          <w:lang w:val="fr-FR"/>
        </w:rPr>
        <w:t xml:space="preserve"> à l’article 6 de la loi, et le type d’accueil dont il </w:t>
      </w:r>
      <w:r w:rsidR="00901681">
        <w:rPr>
          <w:rFonts w:eastAsiaTheme="minorHAnsi"/>
          <w:w w:val="103"/>
          <w:lang w:val="fr-FR"/>
        </w:rPr>
        <w:t>bénéfice pendant cette période</w:t>
      </w:r>
      <w:r w:rsidR="004F68A8">
        <w:rPr>
          <w:rFonts w:eastAsiaTheme="minorHAnsi"/>
          <w:w w:val="103"/>
          <w:lang w:val="fr-FR"/>
        </w:rPr>
        <w:t> </w:t>
      </w:r>
      <w:r w:rsidR="000409E4">
        <w:rPr>
          <w:rFonts w:eastAsiaTheme="minorHAnsi"/>
          <w:w w:val="103"/>
          <w:lang w:val="fr-FR"/>
        </w:rPr>
        <w:t>;</w:t>
      </w:r>
    </w:p>
    <w:p w:rsidR="00953995" w:rsidRPr="00A8565B" w:rsidRDefault="00953995" w:rsidP="00A8565B">
      <w:pPr>
        <w:pStyle w:val="SingleTxtG"/>
        <w:ind w:firstLine="567"/>
        <w:rPr>
          <w:rFonts w:eastAsiaTheme="minorHAnsi"/>
          <w:w w:val="103"/>
          <w:lang w:val="fr-FR"/>
        </w:rPr>
      </w:pPr>
      <w:r w:rsidRPr="00953995">
        <w:rPr>
          <w:rFonts w:eastAsiaTheme="minorHAnsi"/>
          <w:w w:val="103"/>
          <w:lang w:val="fr-FR"/>
        </w:rPr>
        <w:t>d)</w:t>
      </w:r>
      <w:r w:rsidRPr="00953995">
        <w:rPr>
          <w:rFonts w:eastAsiaTheme="minorHAnsi"/>
          <w:w w:val="103"/>
          <w:lang w:val="fr-FR"/>
        </w:rPr>
        <w:tab/>
        <w:t xml:space="preserve">Les mesures prises par l’État partie pour </w:t>
      </w:r>
      <w:r w:rsidR="006F20B6">
        <w:rPr>
          <w:rFonts w:eastAsiaTheme="minorHAnsi"/>
          <w:w w:val="103"/>
          <w:lang w:val="fr-FR"/>
        </w:rPr>
        <w:t>veiller à ce que</w:t>
      </w:r>
      <w:r w:rsidRPr="00953995">
        <w:rPr>
          <w:rFonts w:eastAsiaTheme="minorHAnsi"/>
          <w:w w:val="103"/>
          <w:lang w:val="fr-FR"/>
        </w:rPr>
        <w:t xml:space="preserve">, même dans le cadre du système de Dublin, le pays de destination offre dans l’application de sa politique d’asile des garanties suffisantes </w:t>
      </w:r>
      <w:r w:rsidR="006F20B6">
        <w:rPr>
          <w:rFonts w:eastAsiaTheme="minorHAnsi"/>
          <w:w w:val="103"/>
          <w:lang w:val="fr-FR"/>
        </w:rPr>
        <w:t xml:space="preserve">pour </w:t>
      </w:r>
      <w:r w:rsidRPr="00953995">
        <w:rPr>
          <w:rFonts w:eastAsiaTheme="minorHAnsi"/>
          <w:w w:val="103"/>
          <w:lang w:val="fr-FR"/>
        </w:rPr>
        <w:t>éviter que la personne concernée ne soit expulsée vers son pays d’origine sans une évalu</w:t>
      </w:r>
      <w:r w:rsidR="00901681">
        <w:rPr>
          <w:rFonts w:eastAsiaTheme="minorHAnsi"/>
          <w:w w:val="103"/>
          <w:lang w:val="fr-FR"/>
        </w:rPr>
        <w:t>ation des risques qu’elle court</w:t>
      </w:r>
      <w:r w:rsidRPr="00953995">
        <w:rPr>
          <w:rFonts w:eastAsiaTheme="minorHAnsi"/>
          <w:spacing w:val="5"/>
          <w:w w:val="103"/>
          <w:vertAlign w:val="superscript"/>
          <w:lang w:val="fr-FR"/>
        </w:rPr>
        <w:footnoteReference w:id="4"/>
      </w:r>
      <w:r w:rsidR="00901681">
        <w:rPr>
          <w:rFonts w:eastAsiaTheme="minorHAnsi"/>
          <w:w w:val="103"/>
          <w:lang w:val="fr-FR"/>
        </w:rPr>
        <w:t>.</w:t>
      </w:r>
    </w:p>
    <w:p w:rsidR="00953995" w:rsidRPr="00953995" w:rsidRDefault="00953995" w:rsidP="00E5064B">
      <w:pPr>
        <w:pStyle w:val="H23G"/>
        <w:rPr>
          <w:rFonts w:eastAsiaTheme="minorHAnsi"/>
          <w:w w:val="103"/>
          <w:lang w:val="fr-FR"/>
        </w:rPr>
      </w:pPr>
      <w:r w:rsidRPr="00953995">
        <w:rPr>
          <w:rFonts w:eastAsiaTheme="minorHAnsi"/>
          <w:w w:val="103"/>
          <w:lang w:val="fr-FR"/>
        </w:rPr>
        <w:tab/>
      </w:r>
      <w:r w:rsidRPr="00953995">
        <w:rPr>
          <w:rFonts w:eastAsiaTheme="minorHAnsi"/>
          <w:w w:val="103"/>
          <w:lang w:val="fr-FR"/>
        </w:rPr>
        <w:tab/>
        <w:t>Articles 5, 7 et 8</w:t>
      </w:r>
    </w:p>
    <w:p w:rsidR="00953995" w:rsidRPr="00953995" w:rsidRDefault="00953995" w:rsidP="00953995">
      <w:pPr>
        <w:pStyle w:val="SingleTxtG"/>
        <w:rPr>
          <w:rFonts w:eastAsiaTheme="minorHAnsi"/>
          <w:w w:val="103"/>
          <w:lang w:val="fr-FR"/>
        </w:rPr>
      </w:pPr>
      <w:r w:rsidRPr="00953995">
        <w:rPr>
          <w:rFonts w:eastAsiaTheme="minorHAnsi"/>
          <w:w w:val="103"/>
          <w:lang w:val="fr-FR"/>
        </w:rPr>
        <w:t>7.</w:t>
      </w:r>
      <w:r w:rsidRPr="00953995">
        <w:rPr>
          <w:rFonts w:eastAsiaTheme="minorHAnsi"/>
          <w:w w:val="103"/>
          <w:lang w:val="fr-FR"/>
        </w:rPr>
        <w:tab/>
      </w:r>
      <w:r w:rsidR="00E06AB0">
        <w:rPr>
          <w:rFonts w:eastAsiaTheme="minorHAnsi"/>
          <w:w w:val="103"/>
          <w:lang w:val="fr-FR"/>
        </w:rPr>
        <w:t>I</w:t>
      </w:r>
      <w:r w:rsidRPr="00953995">
        <w:rPr>
          <w:rFonts w:eastAsiaTheme="minorHAnsi"/>
          <w:w w:val="103"/>
          <w:lang w:val="fr-FR"/>
        </w:rPr>
        <w:t xml:space="preserve">ndiquer si, depuis l’examen du rapport précédent, l’État partie a rejeté, pour quelque motif que ce soit, une demande d’extradition adressée par un État tiers réclamant un individu soupçonné d’avoir commis des actes de torture et a fait le nécessaire pour exercer lui-même l’action pénale. </w:t>
      </w:r>
    </w:p>
    <w:p w:rsidR="00953995" w:rsidRPr="00953995" w:rsidRDefault="00953995" w:rsidP="00E5064B">
      <w:pPr>
        <w:pStyle w:val="H23G"/>
        <w:rPr>
          <w:rFonts w:eastAsiaTheme="minorHAnsi"/>
          <w:w w:val="103"/>
          <w:lang w:val="fr-FR"/>
        </w:rPr>
      </w:pPr>
      <w:r w:rsidRPr="00953995">
        <w:rPr>
          <w:rFonts w:eastAsiaTheme="minorHAnsi"/>
          <w:w w:val="103"/>
          <w:lang w:val="fr-FR"/>
        </w:rPr>
        <w:tab/>
      </w:r>
      <w:r w:rsidRPr="00953995">
        <w:rPr>
          <w:rFonts w:eastAsiaTheme="minorHAnsi"/>
          <w:w w:val="103"/>
          <w:lang w:val="fr-FR"/>
        </w:rPr>
        <w:tab/>
        <w:t>Article 10</w:t>
      </w:r>
    </w:p>
    <w:p w:rsidR="00953995" w:rsidRPr="00953995" w:rsidRDefault="00953995" w:rsidP="00953995">
      <w:pPr>
        <w:pStyle w:val="SingleTxtG"/>
        <w:rPr>
          <w:rFonts w:eastAsiaTheme="minorHAnsi"/>
          <w:w w:val="103"/>
          <w:lang w:val="fr-FR"/>
        </w:rPr>
      </w:pPr>
      <w:r w:rsidRPr="00953995">
        <w:rPr>
          <w:rFonts w:eastAsiaTheme="minorHAnsi"/>
          <w:w w:val="103"/>
          <w:lang w:val="fr-FR"/>
        </w:rPr>
        <w:t>8.</w:t>
      </w:r>
      <w:r w:rsidRPr="00953995">
        <w:rPr>
          <w:rFonts w:eastAsiaTheme="minorHAnsi"/>
          <w:w w:val="103"/>
          <w:lang w:val="fr-FR"/>
        </w:rPr>
        <w:tab/>
        <w:t xml:space="preserve">Compte tenu des précédentes observations finales du Comité (par. 14), fournir – en indiquant le nombre </w:t>
      </w:r>
      <w:r w:rsidR="009150B6">
        <w:rPr>
          <w:rFonts w:eastAsiaTheme="minorHAnsi"/>
          <w:w w:val="103"/>
          <w:lang w:val="fr-FR"/>
        </w:rPr>
        <w:t>total</w:t>
      </w:r>
      <w:r w:rsidR="009150B6" w:rsidRPr="00953995">
        <w:rPr>
          <w:rFonts w:eastAsiaTheme="minorHAnsi"/>
          <w:w w:val="103"/>
          <w:lang w:val="fr-FR"/>
        </w:rPr>
        <w:t xml:space="preserve"> </w:t>
      </w:r>
      <w:r w:rsidRPr="00953995">
        <w:rPr>
          <w:rFonts w:eastAsiaTheme="minorHAnsi"/>
          <w:w w:val="103"/>
          <w:lang w:val="fr-FR"/>
        </w:rPr>
        <w:t>de personnes visées et le pourcentage de bénéficiaires ainsi que la périodicité de la formation – des informations sur les programmes de formation dispensés à tout agent de l’</w:t>
      </w:r>
      <w:r w:rsidR="009A437F">
        <w:rPr>
          <w:rFonts w:eastAsiaTheme="minorHAnsi"/>
          <w:w w:val="103"/>
          <w:lang w:val="fr-FR"/>
        </w:rPr>
        <w:t>É</w:t>
      </w:r>
      <w:r w:rsidRPr="00953995">
        <w:rPr>
          <w:rFonts w:eastAsiaTheme="minorHAnsi"/>
          <w:w w:val="103"/>
          <w:lang w:val="fr-FR"/>
        </w:rPr>
        <w:t>tat qui intervient dans la garde, l’interrogatoire ou le traitement de tout individu soumis à une forme quelconque de détention ou d’emprisonnement dans les domaines suivants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a)</w:t>
      </w:r>
      <w:r w:rsidRPr="00953995">
        <w:rPr>
          <w:rFonts w:eastAsiaTheme="minorHAnsi"/>
          <w:w w:val="103"/>
          <w:lang w:val="fr-FR"/>
        </w:rPr>
        <w:tab/>
        <w:t>Les dispositions de la Convention et les obligations spécifiques qui incombent</w:t>
      </w:r>
      <w:r w:rsidR="004C0F6F">
        <w:rPr>
          <w:rFonts w:eastAsiaTheme="minorHAnsi"/>
          <w:w w:val="103"/>
          <w:lang w:val="fr-FR"/>
        </w:rPr>
        <w:t xml:space="preserve"> </w:t>
      </w:r>
      <w:r w:rsidR="002613DC">
        <w:rPr>
          <w:rFonts w:eastAsiaTheme="minorHAnsi"/>
          <w:w w:val="103"/>
          <w:lang w:val="fr-FR"/>
        </w:rPr>
        <w:t>au personnel concerné</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b)</w:t>
      </w:r>
      <w:r w:rsidRPr="00953995">
        <w:rPr>
          <w:rFonts w:eastAsiaTheme="minorHAnsi"/>
          <w:w w:val="103"/>
          <w:lang w:val="fr-FR"/>
        </w:rPr>
        <w:tab/>
        <w:t>Les directives données pour déceler les traces de torture et de mauvais traitements, conformément aux normes internationales, notamment celles figurant dans le Manuel pour enquêter efficacement sur l</w:t>
      </w:r>
      <w:r w:rsidR="004C0F6F">
        <w:rPr>
          <w:rFonts w:eastAsiaTheme="minorHAnsi"/>
          <w:w w:val="103"/>
          <w:lang w:val="fr-FR"/>
        </w:rPr>
        <w:t>a</w:t>
      </w:r>
      <w:r w:rsidRPr="00953995">
        <w:rPr>
          <w:rFonts w:eastAsiaTheme="minorHAnsi"/>
          <w:w w:val="103"/>
          <w:lang w:val="fr-FR"/>
        </w:rPr>
        <w:t xml:space="preserve"> torture et autres peines ou traitements cruels, inhumains ou dégradants (Protocole d’Istanbul)</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lastRenderedPageBreak/>
        <w:t>c)</w:t>
      </w:r>
      <w:r w:rsidRPr="00953995">
        <w:rPr>
          <w:rFonts w:eastAsiaTheme="minorHAnsi"/>
          <w:w w:val="103"/>
          <w:lang w:val="fr-FR"/>
        </w:rPr>
        <w:tab/>
        <w:t>Les techniques d’enquête sans recours à la contrainte ni à des moyens de contention, et le principe de l’utilisation de la force en dernier ressort</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d)</w:t>
      </w:r>
      <w:r w:rsidRPr="00953995">
        <w:rPr>
          <w:rFonts w:eastAsiaTheme="minorHAnsi"/>
          <w:w w:val="103"/>
          <w:lang w:val="fr-FR"/>
        </w:rPr>
        <w:tab/>
        <w:t>L’identification des victimes de la traite, de la torture et de la violence sexuelle parmi les demandeurs d’asile.</w:t>
      </w:r>
    </w:p>
    <w:p w:rsidR="00953995" w:rsidRPr="00953995" w:rsidRDefault="00953995" w:rsidP="00953995">
      <w:pPr>
        <w:pStyle w:val="SingleTxtG"/>
        <w:rPr>
          <w:rFonts w:eastAsiaTheme="minorHAnsi"/>
          <w:w w:val="103"/>
          <w:lang w:val="fr-FR"/>
        </w:rPr>
      </w:pPr>
      <w:r w:rsidRPr="00953995">
        <w:rPr>
          <w:rFonts w:eastAsiaTheme="minorHAnsi"/>
          <w:w w:val="103"/>
          <w:lang w:val="fr-FR"/>
        </w:rPr>
        <w:t>9.</w:t>
      </w:r>
      <w:r w:rsidRPr="00953995">
        <w:rPr>
          <w:rFonts w:eastAsiaTheme="minorHAnsi"/>
          <w:w w:val="103"/>
          <w:lang w:val="fr-FR"/>
        </w:rPr>
        <w:tab/>
      </w:r>
      <w:r w:rsidR="00E06AB0">
        <w:rPr>
          <w:rFonts w:eastAsiaTheme="minorHAnsi"/>
          <w:w w:val="103"/>
          <w:lang w:val="fr-FR"/>
        </w:rPr>
        <w:t>I</w:t>
      </w:r>
      <w:r w:rsidRPr="00953995">
        <w:rPr>
          <w:rFonts w:eastAsiaTheme="minorHAnsi"/>
          <w:w w:val="103"/>
          <w:lang w:val="fr-FR"/>
        </w:rPr>
        <w:t>ndiquer si l’État partie a élaboré des méthodes spéciales pour évaluer l’efficacité et l’incidence de ces formations sur la prévention de la torture et le respect du principe de l’interdiction absolue de la torture.</w:t>
      </w:r>
    </w:p>
    <w:p w:rsidR="00953995" w:rsidRPr="00953995" w:rsidRDefault="00953995" w:rsidP="00E5064B">
      <w:pPr>
        <w:pStyle w:val="H23G"/>
        <w:rPr>
          <w:rFonts w:eastAsiaTheme="minorHAnsi"/>
          <w:w w:val="103"/>
          <w:lang w:val="fr-FR"/>
        </w:rPr>
      </w:pPr>
      <w:r w:rsidRPr="00953995">
        <w:rPr>
          <w:rFonts w:eastAsiaTheme="minorHAnsi"/>
          <w:w w:val="103"/>
          <w:lang w:val="fr-FR"/>
        </w:rPr>
        <w:tab/>
      </w:r>
      <w:r w:rsidRPr="00953995">
        <w:rPr>
          <w:rFonts w:eastAsiaTheme="minorHAnsi"/>
          <w:w w:val="103"/>
          <w:lang w:val="fr-FR"/>
        </w:rPr>
        <w:tab/>
        <w:t>Article 11</w:t>
      </w:r>
    </w:p>
    <w:p w:rsidR="00953995" w:rsidRPr="00953995" w:rsidRDefault="00953995" w:rsidP="00953995">
      <w:pPr>
        <w:pStyle w:val="SingleTxtG"/>
        <w:rPr>
          <w:rFonts w:eastAsiaTheme="minorHAnsi"/>
          <w:spacing w:val="4"/>
          <w:w w:val="103"/>
          <w:lang w:val="fr-FR"/>
        </w:rPr>
      </w:pPr>
      <w:r w:rsidRPr="00953995">
        <w:rPr>
          <w:rFonts w:eastAsiaTheme="minorHAnsi"/>
          <w:w w:val="103"/>
          <w:lang w:val="fr-FR"/>
        </w:rPr>
        <w:t>10.</w:t>
      </w:r>
      <w:r w:rsidRPr="00953995">
        <w:rPr>
          <w:rFonts w:eastAsiaTheme="minorHAnsi"/>
          <w:w w:val="103"/>
          <w:lang w:val="fr-FR"/>
        </w:rPr>
        <w:tab/>
        <w:t>Compte tenu des précédentes observations finales du Comité (par. 10),</w:t>
      </w:r>
      <w:r w:rsidRPr="00953995">
        <w:rPr>
          <w:rFonts w:eastAsiaTheme="minorHAnsi"/>
          <w:spacing w:val="4"/>
          <w:w w:val="103"/>
          <w:lang w:val="fr-FR"/>
        </w:rPr>
        <w:t xml:space="preserve"> donner des informations à jour sur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a)</w:t>
      </w:r>
      <w:r w:rsidRPr="00953995">
        <w:rPr>
          <w:rFonts w:eastAsiaTheme="minorHAnsi"/>
          <w:w w:val="103"/>
          <w:lang w:val="fr-FR"/>
        </w:rPr>
        <w:tab/>
        <w:t>Le taux d’occupation de tous les lieux de détention, y compris les postes de police</w:t>
      </w:r>
      <w:r w:rsidR="004F68A8">
        <w:rPr>
          <w:rFonts w:eastAsiaTheme="minorHAnsi"/>
          <w:w w:val="103"/>
          <w:lang w:val="fr-FR"/>
        </w:rPr>
        <w:t> </w:t>
      </w:r>
      <w:r w:rsidR="000409E4">
        <w:rPr>
          <w:rFonts w:eastAsiaTheme="minorHAnsi"/>
          <w:w w:val="103"/>
          <w:lang w:val="fr-FR"/>
        </w:rPr>
        <w:t>;</w:t>
      </w:r>
      <w:r w:rsidRPr="00953995">
        <w:rPr>
          <w:rFonts w:eastAsiaTheme="minorHAnsi"/>
          <w:w w:val="103"/>
          <w:lang w:val="fr-FR"/>
        </w:rPr>
        <w:t xml:space="preserve">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b)</w:t>
      </w:r>
      <w:r w:rsidRPr="00953995">
        <w:rPr>
          <w:rFonts w:eastAsiaTheme="minorHAnsi"/>
          <w:w w:val="103"/>
          <w:lang w:val="fr-FR"/>
        </w:rPr>
        <w:tab/>
      </w:r>
      <w:r w:rsidR="006B22BB">
        <w:rPr>
          <w:rFonts w:eastAsiaTheme="minorHAnsi"/>
          <w:w w:val="103"/>
          <w:lang w:val="fr-FR"/>
        </w:rPr>
        <w:t>L</w:t>
      </w:r>
      <w:r w:rsidRPr="00953995">
        <w:rPr>
          <w:rFonts w:eastAsiaTheme="minorHAnsi"/>
          <w:w w:val="103"/>
          <w:lang w:val="fr-FR"/>
        </w:rPr>
        <w:t xml:space="preserve">e nombre de personnes </w:t>
      </w:r>
      <w:r w:rsidR="006B22BB">
        <w:rPr>
          <w:rFonts w:eastAsiaTheme="minorHAnsi"/>
          <w:w w:val="103"/>
          <w:lang w:val="fr-FR"/>
        </w:rPr>
        <w:t>(</w:t>
      </w:r>
      <w:r w:rsidR="006B22BB" w:rsidRPr="00953995">
        <w:rPr>
          <w:rFonts w:eastAsiaTheme="minorHAnsi"/>
          <w:w w:val="103"/>
          <w:lang w:val="fr-FR"/>
        </w:rPr>
        <w:t>données ventilées par sexe, tranche d’âge et origine ethnique ou nationalité</w:t>
      </w:r>
      <w:r w:rsidR="006B22BB">
        <w:rPr>
          <w:rFonts w:eastAsiaTheme="minorHAnsi"/>
          <w:w w:val="103"/>
          <w:lang w:val="fr-FR"/>
        </w:rPr>
        <w:t xml:space="preserve">) </w:t>
      </w:r>
      <w:r w:rsidRPr="00953995">
        <w:rPr>
          <w:rFonts w:eastAsiaTheme="minorHAnsi"/>
          <w:w w:val="103"/>
          <w:lang w:val="fr-FR"/>
        </w:rPr>
        <w:t xml:space="preserve">placées en détention </w:t>
      </w:r>
      <w:r w:rsidR="00B162BA">
        <w:rPr>
          <w:rFonts w:eastAsiaTheme="minorHAnsi"/>
          <w:w w:val="103"/>
          <w:lang w:val="fr-FR"/>
        </w:rPr>
        <w:t>préventive</w:t>
      </w:r>
      <w:r w:rsidRPr="00953995">
        <w:rPr>
          <w:rFonts w:eastAsiaTheme="minorHAnsi"/>
          <w:w w:val="103"/>
          <w:lang w:val="fr-FR"/>
        </w:rPr>
        <w:t xml:space="preserve">, par rapport au nombre total de détenus, ainsi que la durée moyenne et maximale de la détention </w:t>
      </w:r>
      <w:r w:rsidR="00B162BA">
        <w:rPr>
          <w:rFonts w:eastAsiaTheme="minorHAnsi"/>
          <w:w w:val="103"/>
          <w:lang w:val="fr-FR"/>
        </w:rPr>
        <w:t>préventive</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c)</w:t>
      </w:r>
      <w:r w:rsidRPr="00953995">
        <w:rPr>
          <w:rFonts w:eastAsiaTheme="minorHAnsi"/>
          <w:w w:val="103"/>
          <w:lang w:val="fr-FR"/>
        </w:rPr>
        <w:tab/>
        <w:t>Les mesures prises pour améliorer les conditions sanitaires dans les prisons, notamment la réalisation du projet de cloisonnement du coin san</w:t>
      </w:r>
      <w:r w:rsidR="00901681">
        <w:rPr>
          <w:rFonts w:eastAsiaTheme="minorHAnsi"/>
          <w:w w:val="103"/>
          <w:lang w:val="fr-FR"/>
        </w:rPr>
        <w:t>itaire dans toutes les cellules,</w:t>
      </w:r>
      <w:r w:rsidRPr="00953995">
        <w:rPr>
          <w:rFonts w:eastAsiaTheme="minorHAnsi"/>
          <w:w w:val="103"/>
          <w:sz w:val="22"/>
          <w:lang w:val="fr-FR"/>
        </w:rPr>
        <w:t xml:space="preserve"> </w:t>
      </w:r>
      <w:r w:rsidRPr="00953995">
        <w:rPr>
          <w:rFonts w:eastAsiaTheme="minorHAnsi"/>
          <w:w w:val="103"/>
          <w:lang w:val="fr-FR"/>
        </w:rPr>
        <w:t>ainsi que dans les commissariats de police</w:t>
      </w:r>
      <w:r w:rsidR="00955A79">
        <w:rPr>
          <w:rFonts w:eastAsiaTheme="minorHAnsi"/>
          <w:w w:val="103"/>
          <w:lang w:val="fr-FR"/>
        </w:rPr>
        <w:t>,</w:t>
      </w:r>
      <w:r w:rsidRPr="00953995">
        <w:rPr>
          <w:rFonts w:eastAsiaTheme="minorHAnsi"/>
          <w:w w:val="103"/>
          <w:lang w:val="fr-FR"/>
        </w:rPr>
        <w:t xml:space="preserve"> et pour placer des matela</w:t>
      </w:r>
      <w:r w:rsidR="00901681">
        <w:rPr>
          <w:rFonts w:eastAsiaTheme="minorHAnsi"/>
          <w:w w:val="103"/>
          <w:lang w:val="fr-FR"/>
        </w:rPr>
        <w:t xml:space="preserve">s dans </w:t>
      </w:r>
      <w:r w:rsidR="00F3564C">
        <w:rPr>
          <w:rFonts w:eastAsiaTheme="minorHAnsi"/>
          <w:w w:val="103"/>
          <w:lang w:val="fr-FR"/>
        </w:rPr>
        <w:t>l</w:t>
      </w:r>
      <w:r w:rsidR="00901681">
        <w:rPr>
          <w:rFonts w:eastAsiaTheme="minorHAnsi"/>
          <w:w w:val="103"/>
          <w:lang w:val="fr-FR"/>
        </w:rPr>
        <w:t>es « cellules d’arrêt »</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d)</w:t>
      </w:r>
      <w:r w:rsidRPr="00953995">
        <w:rPr>
          <w:rFonts w:eastAsiaTheme="minorHAnsi"/>
          <w:w w:val="103"/>
          <w:lang w:val="fr-FR"/>
        </w:rPr>
        <w:tab/>
        <w:t>Les mesures prises pour mettre un terme aux pratiques</w:t>
      </w:r>
      <w:r w:rsidR="007B3AC0">
        <w:rPr>
          <w:rFonts w:eastAsiaTheme="minorHAnsi"/>
          <w:w w:val="103"/>
          <w:lang w:val="fr-FR"/>
        </w:rPr>
        <w:t xml:space="preserve"> consistant à</w:t>
      </w:r>
      <w:r w:rsidRPr="00953995">
        <w:rPr>
          <w:rFonts w:eastAsiaTheme="minorHAnsi"/>
          <w:w w:val="103"/>
          <w:lang w:val="fr-FR"/>
        </w:rPr>
        <w:t> : i)</w:t>
      </w:r>
      <w:r w:rsidR="00016511">
        <w:rPr>
          <w:rFonts w:eastAsiaTheme="minorHAnsi"/>
          <w:w w:val="103"/>
          <w:lang w:val="fr-FR"/>
        </w:rPr>
        <w:t> </w:t>
      </w:r>
      <w:r w:rsidRPr="00953995">
        <w:rPr>
          <w:rFonts w:eastAsiaTheme="minorHAnsi"/>
          <w:w w:val="103"/>
          <w:lang w:val="fr-FR"/>
        </w:rPr>
        <w:t>utiliser des « cellules de sécurité », ne mesurant pas plus de 2</w:t>
      </w:r>
      <w:r w:rsidR="00912B9E">
        <w:rPr>
          <w:rFonts w:eastAsiaTheme="minorHAnsi"/>
          <w:w w:val="103"/>
          <w:lang w:val="fr-FR"/>
        </w:rPr>
        <w:t> </w:t>
      </w:r>
      <w:r w:rsidRPr="00953995">
        <w:rPr>
          <w:rFonts w:eastAsiaTheme="minorHAnsi"/>
          <w:w w:val="103"/>
          <w:lang w:val="fr-FR"/>
        </w:rPr>
        <w:t>m</w:t>
      </w:r>
      <w:r w:rsidRPr="00A8565B">
        <w:rPr>
          <w:rFonts w:eastAsiaTheme="minorHAnsi"/>
          <w:w w:val="103"/>
          <w:vertAlign w:val="superscript"/>
          <w:lang w:val="fr-FR"/>
        </w:rPr>
        <w:t>2</w:t>
      </w:r>
      <w:r w:rsidRPr="00953995">
        <w:rPr>
          <w:rFonts w:eastAsiaTheme="minorHAnsi"/>
          <w:w w:val="103"/>
          <w:lang w:val="fr-FR"/>
        </w:rPr>
        <w:t>, pour des interrogatoires et comme locaux d’atte</w:t>
      </w:r>
      <w:r w:rsidR="00901681">
        <w:rPr>
          <w:rFonts w:eastAsiaTheme="minorHAnsi"/>
          <w:w w:val="103"/>
          <w:lang w:val="fr-FR"/>
        </w:rPr>
        <w:t>nte pour des durées prolongées</w:t>
      </w:r>
      <w:r w:rsidR="004F68A8">
        <w:rPr>
          <w:rFonts w:eastAsiaTheme="minorHAnsi"/>
          <w:w w:val="103"/>
          <w:lang w:val="fr-FR"/>
        </w:rPr>
        <w:t> </w:t>
      </w:r>
      <w:r w:rsidR="000409E4">
        <w:rPr>
          <w:rFonts w:eastAsiaTheme="minorHAnsi"/>
          <w:w w:val="103"/>
          <w:lang w:val="fr-FR"/>
        </w:rPr>
        <w:t>;</w:t>
      </w:r>
      <w:r w:rsidR="00901681">
        <w:rPr>
          <w:rFonts w:eastAsiaTheme="minorHAnsi"/>
          <w:w w:val="103"/>
          <w:lang w:val="fr-FR"/>
        </w:rPr>
        <w:t xml:space="preserve"> </w:t>
      </w:r>
      <w:r w:rsidRPr="00953995">
        <w:rPr>
          <w:rFonts w:eastAsiaTheme="minorHAnsi"/>
          <w:w w:val="103"/>
          <w:lang w:val="fr-FR"/>
        </w:rPr>
        <w:t>ii)</w:t>
      </w:r>
      <w:r w:rsidR="00016511">
        <w:rPr>
          <w:rFonts w:eastAsiaTheme="minorHAnsi"/>
          <w:w w:val="103"/>
          <w:lang w:val="fr-FR"/>
        </w:rPr>
        <w:t> </w:t>
      </w:r>
      <w:r w:rsidRPr="00953995">
        <w:rPr>
          <w:rFonts w:eastAsiaTheme="minorHAnsi"/>
          <w:w w:val="103"/>
          <w:lang w:val="fr-FR"/>
        </w:rPr>
        <w:t xml:space="preserve">menotter des personnes privées de liberté à des objets fixes, par exemple aux chaises du hall d’entrée du centre d’intervention de la police à la gare de </w:t>
      </w:r>
      <w:r w:rsidR="00901681">
        <w:rPr>
          <w:rFonts w:eastAsiaTheme="minorHAnsi"/>
          <w:w w:val="103"/>
          <w:lang w:val="fr-FR"/>
        </w:rPr>
        <w:t>Luxembourg.</w:t>
      </w:r>
    </w:p>
    <w:p w:rsidR="00953995" w:rsidRPr="00953995" w:rsidRDefault="00953995" w:rsidP="00953995">
      <w:pPr>
        <w:pStyle w:val="SingleTxtG"/>
        <w:rPr>
          <w:rFonts w:eastAsiaTheme="minorHAnsi"/>
          <w:spacing w:val="4"/>
          <w:w w:val="103"/>
          <w:lang w:val="fr-FR"/>
        </w:rPr>
      </w:pPr>
      <w:r w:rsidRPr="00953995">
        <w:rPr>
          <w:rFonts w:eastAsiaTheme="minorHAnsi"/>
          <w:w w:val="103"/>
          <w:lang w:val="fr-FR"/>
        </w:rPr>
        <w:t>11.</w:t>
      </w:r>
      <w:r w:rsidRPr="00953995">
        <w:rPr>
          <w:rFonts w:eastAsiaTheme="minorHAnsi"/>
          <w:w w:val="103"/>
          <w:lang w:val="fr-FR"/>
        </w:rPr>
        <w:tab/>
        <w:t>Compte tenu des précédentes observations finales du Comité (par. 11),</w:t>
      </w:r>
      <w:r w:rsidRPr="00953995">
        <w:rPr>
          <w:rFonts w:eastAsiaTheme="minorHAnsi"/>
          <w:spacing w:val="4"/>
          <w:w w:val="103"/>
          <w:lang w:val="fr-FR"/>
        </w:rPr>
        <w:t xml:space="preserve"> donner des informations sur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a)</w:t>
      </w:r>
      <w:r w:rsidRPr="00953995">
        <w:rPr>
          <w:rFonts w:eastAsiaTheme="minorHAnsi"/>
          <w:w w:val="103"/>
          <w:lang w:val="fr-FR"/>
        </w:rPr>
        <w:tab/>
        <w:t>Les mesures prises pour garantir l’accès des personnes privées de liberté au traitement médical dont elles ont besoin, y compris des soins médicaux extérieurs</w:t>
      </w:r>
      <w:r w:rsidR="004F68A8">
        <w:rPr>
          <w:rFonts w:eastAsiaTheme="minorHAnsi"/>
          <w:w w:val="103"/>
          <w:lang w:val="fr-FR"/>
        </w:rPr>
        <w:t> </w:t>
      </w:r>
      <w:r w:rsidR="000409E4">
        <w:rPr>
          <w:rFonts w:eastAsiaTheme="minorHAnsi"/>
          <w:w w:val="103"/>
          <w:lang w:val="fr-FR"/>
        </w:rPr>
        <w:t>;</w:t>
      </w:r>
      <w:r w:rsidRPr="00953995">
        <w:rPr>
          <w:rFonts w:eastAsiaTheme="minorHAnsi"/>
          <w:w w:val="103"/>
          <w:lang w:val="fr-FR"/>
        </w:rPr>
        <w:t xml:space="preserve">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b)</w:t>
      </w:r>
      <w:r w:rsidRPr="00953995">
        <w:rPr>
          <w:rFonts w:eastAsiaTheme="minorHAnsi"/>
          <w:w w:val="103"/>
          <w:lang w:val="fr-FR"/>
        </w:rPr>
        <w:tab/>
        <w:t xml:space="preserve">Le calendrier </w:t>
      </w:r>
      <w:r w:rsidR="00A3675B">
        <w:rPr>
          <w:rFonts w:eastAsiaTheme="minorHAnsi"/>
          <w:w w:val="103"/>
          <w:lang w:val="fr-FR"/>
        </w:rPr>
        <w:t xml:space="preserve">prévu </w:t>
      </w:r>
      <w:r w:rsidRPr="00953995">
        <w:rPr>
          <w:rFonts w:eastAsiaTheme="minorHAnsi"/>
          <w:w w:val="103"/>
          <w:lang w:val="fr-FR"/>
        </w:rPr>
        <w:t xml:space="preserve">pour l’ouverture et </w:t>
      </w:r>
      <w:r w:rsidR="00A3675B">
        <w:rPr>
          <w:rFonts w:eastAsiaTheme="minorHAnsi"/>
          <w:w w:val="103"/>
          <w:lang w:val="fr-FR"/>
        </w:rPr>
        <w:t xml:space="preserve">la </w:t>
      </w:r>
      <w:r w:rsidRPr="00953995">
        <w:rPr>
          <w:rFonts w:eastAsiaTheme="minorHAnsi"/>
          <w:w w:val="103"/>
          <w:lang w:val="fr-FR"/>
        </w:rPr>
        <w:t>mise en fonctionnement de l’</w:t>
      </w:r>
      <w:r w:rsidR="00660B53">
        <w:rPr>
          <w:rFonts w:eastAsiaTheme="minorHAnsi"/>
          <w:w w:val="103"/>
          <w:lang w:val="fr-FR"/>
        </w:rPr>
        <w:t>u</w:t>
      </w:r>
      <w:r w:rsidRPr="00953995">
        <w:rPr>
          <w:rFonts w:eastAsiaTheme="minorHAnsi"/>
          <w:w w:val="103"/>
          <w:lang w:val="fr-FR"/>
        </w:rPr>
        <w:t xml:space="preserve">nité </w:t>
      </w:r>
      <w:r w:rsidR="00363567">
        <w:rPr>
          <w:rFonts w:eastAsiaTheme="minorHAnsi"/>
          <w:w w:val="103"/>
          <w:lang w:val="fr-FR"/>
        </w:rPr>
        <w:t>p</w:t>
      </w:r>
      <w:r w:rsidRPr="00953995">
        <w:rPr>
          <w:rFonts w:eastAsiaTheme="minorHAnsi"/>
          <w:w w:val="103"/>
          <w:lang w:val="fr-FR"/>
        </w:rPr>
        <w:t>sycho-</w:t>
      </w:r>
      <w:r w:rsidR="00363567">
        <w:rPr>
          <w:rFonts w:eastAsiaTheme="minorHAnsi"/>
          <w:w w:val="103"/>
          <w:lang w:val="fr-FR"/>
        </w:rPr>
        <w:t>s</w:t>
      </w:r>
      <w:r w:rsidRPr="00953995">
        <w:rPr>
          <w:rFonts w:eastAsiaTheme="minorHAnsi"/>
          <w:w w:val="103"/>
          <w:lang w:val="fr-FR"/>
        </w:rPr>
        <w:t>ocio-</w:t>
      </w:r>
      <w:r w:rsidR="00363567">
        <w:rPr>
          <w:rFonts w:eastAsiaTheme="minorHAnsi"/>
          <w:w w:val="103"/>
          <w:lang w:val="fr-FR"/>
        </w:rPr>
        <w:t>j</w:t>
      </w:r>
      <w:r w:rsidRPr="00953995">
        <w:rPr>
          <w:rFonts w:eastAsiaTheme="minorHAnsi"/>
          <w:w w:val="103"/>
          <w:lang w:val="fr-FR"/>
        </w:rPr>
        <w:t>udiciaire adjacente au centre pénitencier du Luxembourg pour améliorer l’accès aux soins des détenus atteints d’</w:t>
      </w:r>
      <w:r w:rsidR="00901681">
        <w:rPr>
          <w:rFonts w:eastAsiaTheme="minorHAnsi"/>
          <w:w w:val="103"/>
          <w:lang w:val="fr-FR"/>
        </w:rPr>
        <w:t>un trouble psychiatrique grave</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c)</w:t>
      </w:r>
      <w:r w:rsidRPr="00953995">
        <w:rPr>
          <w:rFonts w:eastAsiaTheme="minorHAnsi"/>
          <w:w w:val="103"/>
          <w:lang w:val="fr-FR"/>
        </w:rPr>
        <w:tab/>
        <w:t xml:space="preserve">Les mesures prises pour </w:t>
      </w:r>
      <w:r w:rsidR="000641A8">
        <w:rPr>
          <w:rFonts w:eastAsiaTheme="minorHAnsi"/>
          <w:w w:val="103"/>
          <w:lang w:val="fr-FR"/>
        </w:rPr>
        <w:t>veiller à ce que,</w:t>
      </w:r>
      <w:r w:rsidR="000641A8" w:rsidRPr="00953995">
        <w:rPr>
          <w:rFonts w:eastAsiaTheme="minorHAnsi"/>
          <w:w w:val="103"/>
          <w:lang w:val="fr-FR"/>
        </w:rPr>
        <w:t xml:space="preserve"> </w:t>
      </w:r>
      <w:r w:rsidRPr="00953995">
        <w:rPr>
          <w:rFonts w:eastAsiaTheme="minorHAnsi"/>
          <w:w w:val="103"/>
          <w:lang w:val="fr-FR"/>
        </w:rPr>
        <w:t>dans la pratique</w:t>
      </w:r>
      <w:r w:rsidR="000641A8">
        <w:rPr>
          <w:rFonts w:eastAsiaTheme="minorHAnsi"/>
          <w:w w:val="103"/>
          <w:lang w:val="fr-FR"/>
        </w:rPr>
        <w:t>,</w:t>
      </w:r>
      <w:r w:rsidRPr="00953995">
        <w:rPr>
          <w:rFonts w:eastAsiaTheme="minorHAnsi"/>
          <w:w w:val="103"/>
          <w:lang w:val="fr-FR"/>
        </w:rPr>
        <w:t xml:space="preserve"> l’examen médical dans un centre pénitencier, dans un centre socioéducatif de l’</w:t>
      </w:r>
      <w:r w:rsidR="009A437F">
        <w:rPr>
          <w:rFonts w:eastAsiaTheme="minorHAnsi"/>
          <w:w w:val="103"/>
          <w:lang w:val="fr-FR"/>
        </w:rPr>
        <w:t>É</w:t>
      </w:r>
      <w:r w:rsidRPr="00953995">
        <w:rPr>
          <w:rFonts w:eastAsiaTheme="minorHAnsi"/>
          <w:w w:val="103"/>
          <w:lang w:val="fr-FR"/>
        </w:rPr>
        <w:t xml:space="preserve">tat ou dans un centre de rétention soit effectué dans les </w:t>
      </w:r>
      <w:r w:rsidR="00395895">
        <w:rPr>
          <w:rFonts w:eastAsiaTheme="minorHAnsi"/>
          <w:w w:val="103"/>
          <w:lang w:val="fr-FR"/>
        </w:rPr>
        <w:t>vingt-quatre</w:t>
      </w:r>
      <w:r w:rsidR="00395895" w:rsidRPr="00953995">
        <w:rPr>
          <w:rFonts w:eastAsiaTheme="minorHAnsi"/>
          <w:w w:val="103"/>
          <w:lang w:val="fr-FR"/>
        </w:rPr>
        <w:t xml:space="preserve"> </w:t>
      </w:r>
      <w:r w:rsidRPr="00953995">
        <w:rPr>
          <w:rFonts w:eastAsiaTheme="minorHAnsi"/>
          <w:w w:val="103"/>
          <w:lang w:val="fr-FR"/>
        </w:rPr>
        <w:t>heures suivant l’admission et que le compte</w:t>
      </w:r>
      <w:r w:rsidR="00E20403">
        <w:rPr>
          <w:rFonts w:eastAsiaTheme="minorHAnsi"/>
          <w:w w:val="103"/>
          <w:lang w:val="fr-FR"/>
        </w:rPr>
        <w:t xml:space="preserve"> </w:t>
      </w:r>
      <w:r w:rsidRPr="00953995">
        <w:rPr>
          <w:rFonts w:eastAsiaTheme="minorHAnsi"/>
          <w:w w:val="103"/>
          <w:lang w:val="fr-FR"/>
        </w:rPr>
        <w:t>rendu établi après l’examen d’admission ou par la suite contienne</w:t>
      </w:r>
      <w:r w:rsidR="000641A8">
        <w:rPr>
          <w:rFonts w:eastAsiaTheme="minorHAnsi"/>
          <w:w w:val="103"/>
          <w:lang w:val="fr-FR"/>
        </w:rPr>
        <w:t> :</w:t>
      </w:r>
      <w:r w:rsidRPr="00953995">
        <w:rPr>
          <w:rFonts w:eastAsiaTheme="minorHAnsi"/>
          <w:w w:val="103"/>
          <w:lang w:val="fr-FR"/>
        </w:rPr>
        <w:t xml:space="preserve"> i)</w:t>
      </w:r>
      <w:r w:rsidR="00016511">
        <w:rPr>
          <w:rFonts w:eastAsiaTheme="minorHAnsi"/>
          <w:w w:val="103"/>
          <w:lang w:val="fr-FR"/>
        </w:rPr>
        <w:t> </w:t>
      </w:r>
      <w:r w:rsidRPr="00953995">
        <w:rPr>
          <w:rFonts w:eastAsiaTheme="minorHAnsi"/>
          <w:w w:val="103"/>
          <w:lang w:val="fr-FR"/>
        </w:rPr>
        <w:t>une description exhaustive des constatations médicales fondées sur un examen approfondi, y</w:t>
      </w:r>
      <w:r w:rsidR="006A5C2D">
        <w:rPr>
          <w:rFonts w:eastAsiaTheme="minorHAnsi"/>
          <w:w w:val="103"/>
          <w:lang w:val="fr-FR"/>
        </w:rPr>
        <w:t> </w:t>
      </w:r>
      <w:r w:rsidRPr="00953995">
        <w:rPr>
          <w:rFonts w:eastAsiaTheme="minorHAnsi"/>
          <w:w w:val="103"/>
          <w:lang w:val="fr-FR"/>
        </w:rPr>
        <w:t>compris des lésions traumatiques, ii)</w:t>
      </w:r>
      <w:r w:rsidR="00016511">
        <w:rPr>
          <w:rFonts w:eastAsiaTheme="minorHAnsi"/>
          <w:w w:val="103"/>
          <w:lang w:val="fr-FR"/>
        </w:rPr>
        <w:t> </w:t>
      </w:r>
      <w:r w:rsidRPr="00953995">
        <w:rPr>
          <w:rFonts w:eastAsiaTheme="minorHAnsi"/>
          <w:w w:val="103"/>
          <w:lang w:val="fr-FR"/>
        </w:rPr>
        <w:t xml:space="preserve">les déclarations </w:t>
      </w:r>
      <w:r w:rsidR="000641A8">
        <w:rPr>
          <w:rFonts w:eastAsiaTheme="minorHAnsi"/>
          <w:w w:val="103"/>
          <w:lang w:val="fr-FR"/>
        </w:rPr>
        <w:t>de</w:t>
      </w:r>
      <w:r w:rsidRPr="00953995">
        <w:rPr>
          <w:rFonts w:eastAsiaTheme="minorHAnsi"/>
          <w:w w:val="103"/>
          <w:lang w:val="fr-FR"/>
        </w:rPr>
        <w:t xml:space="preserve"> l’intéressé pertinentes pour l’examen et iii)</w:t>
      </w:r>
      <w:r w:rsidR="00032725">
        <w:rPr>
          <w:rFonts w:eastAsiaTheme="minorHAnsi"/>
          <w:w w:val="103"/>
          <w:lang w:val="fr-FR"/>
        </w:rPr>
        <w:t> </w:t>
      </w:r>
      <w:r w:rsidRPr="00953995">
        <w:rPr>
          <w:rFonts w:eastAsiaTheme="minorHAnsi"/>
          <w:w w:val="103"/>
          <w:lang w:val="fr-FR"/>
        </w:rPr>
        <w:t>les observations du professionnel de santé à la</w:t>
      </w:r>
      <w:r w:rsidR="00901681">
        <w:rPr>
          <w:rFonts w:eastAsiaTheme="minorHAnsi"/>
          <w:w w:val="103"/>
          <w:lang w:val="fr-FR"/>
        </w:rPr>
        <w:t xml:space="preserve"> lumière des points i) et ii).</w:t>
      </w:r>
    </w:p>
    <w:p w:rsidR="00953995" w:rsidRPr="00953995" w:rsidRDefault="00953995" w:rsidP="00953995">
      <w:pPr>
        <w:pStyle w:val="SingleTxtG"/>
        <w:rPr>
          <w:rFonts w:eastAsiaTheme="minorHAnsi"/>
          <w:w w:val="103"/>
          <w:lang w:val="fr-FR"/>
        </w:rPr>
      </w:pPr>
      <w:r w:rsidRPr="00953995">
        <w:rPr>
          <w:rFonts w:eastAsiaTheme="minorHAnsi"/>
          <w:w w:val="103"/>
          <w:lang w:val="fr-FR"/>
        </w:rPr>
        <w:t>12.</w:t>
      </w:r>
      <w:r w:rsidRPr="00953995">
        <w:rPr>
          <w:rFonts w:eastAsiaTheme="minorHAnsi"/>
          <w:w w:val="103"/>
          <w:lang w:val="fr-FR"/>
        </w:rPr>
        <w:tab/>
      </w:r>
      <w:r w:rsidR="00363567">
        <w:rPr>
          <w:rFonts w:eastAsiaTheme="minorHAnsi"/>
          <w:w w:val="103"/>
          <w:lang w:val="fr-FR"/>
        </w:rPr>
        <w:t>D</w:t>
      </w:r>
      <w:r w:rsidRPr="00953995">
        <w:rPr>
          <w:rFonts w:eastAsiaTheme="minorHAnsi"/>
          <w:w w:val="103"/>
          <w:lang w:val="fr-FR"/>
        </w:rPr>
        <w:t xml:space="preserve">onner les renseignements ci-après </w:t>
      </w:r>
      <w:r w:rsidR="008770FE">
        <w:rPr>
          <w:rFonts w:eastAsiaTheme="minorHAnsi"/>
          <w:w w:val="103"/>
          <w:lang w:val="fr-FR"/>
        </w:rPr>
        <w:t>sur le</w:t>
      </w:r>
      <w:r w:rsidRPr="00953995">
        <w:rPr>
          <w:rFonts w:eastAsiaTheme="minorHAnsi"/>
          <w:w w:val="103"/>
          <w:lang w:val="fr-FR"/>
        </w:rPr>
        <w:t xml:space="preserve"> régime disciplinaire dans les prisons et centres de rétention</w:t>
      </w:r>
      <w:r w:rsidR="004F68A8">
        <w:rPr>
          <w:rFonts w:eastAsiaTheme="minorHAnsi"/>
          <w:w w:val="103"/>
          <w:lang w:val="fr-FR"/>
        </w:rPr>
        <w:t> </w:t>
      </w:r>
      <w:r w:rsidRPr="00953995">
        <w:rPr>
          <w:rFonts w:eastAsiaTheme="minorHAnsi"/>
          <w:w w:val="103"/>
          <w:lang w:val="fr-FR"/>
        </w:rPr>
        <w:t xml:space="preserve">: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a)</w:t>
      </w:r>
      <w:r w:rsidRPr="00953995">
        <w:rPr>
          <w:rFonts w:eastAsiaTheme="minorHAnsi"/>
          <w:w w:val="103"/>
          <w:lang w:val="fr-FR"/>
        </w:rPr>
        <w:tab/>
        <w:t xml:space="preserve">Les mesures prises pour abolir le régime cellulaire strict et modifier le droit applicable à l’isolement disciplinaire de sorte que : i) ce régime ne soit utilisé qu’en dernier ressort et pour une durée la plus courte possible, </w:t>
      </w:r>
      <w:r w:rsidR="00D54C26">
        <w:rPr>
          <w:rFonts w:eastAsiaTheme="minorHAnsi"/>
          <w:w w:val="103"/>
          <w:lang w:val="fr-FR"/>
        </w:rPr>
        <w:t xml:space="preserve">en </w:t>
      </w:r>
      <w:r w:rsidRPr="00953995">
        <w:rPr>
          <w:rFonts w:eastAsiaTheme="minorHAnsi"/>
          <w:w w:val="103"/>
          <w:lang w:val="fr-FR"/>
        </w:rPr>
        <w:t xml:space="preserve">précisant la durée maximale </w:t>
      </w:r>
      <w:r w:rsidR="00D54C26">
        <w:rPr>
          <w:rFonts w:eastAsiaTheme="minorHAnsi"/>
          <w:w w:val="103"/>
          <w:lang w:val="fr-FR"/>
        </w:rPr>
        <w:t>pour</w:t>
      </w:r>
      <w:r w:rsidR="00D54C26" w:rsidRPr="00953995">
        <w:rPr>
          <w:rFonts w:eastAsiaTheme="minorHAnsi"/>
          <w:w w:val="103"/>
          <w:lang w:val="fr-FR"/>
        </w:rPr>
        <w:t xml:space="preserve"> </w:t>
      </w:r>
      <w:r w:rsidRPr="00953995">
        <w:rPr>
          <w:rFonts w:eastAsiaTheme="minorHAnsi"/>
          <w:w w:val="103"/>
          <w:lang w:val="fr-FR"/>
        </w:rPr>
        <w:t>laquelle le placement à l’isolement peut être appliqué</w:t>
      </w:r>
      <w:r w:rsidR="004F68A8">
        <w:rPr>
          <w:rFonts w:eastAsiaTheme="minorHAnsi"/>
          <w:w w:val="103"/>
          <w:lang w:val="fr-FR"/>
        </w:rPr>
        <w:t> </w:t>
      </w:r>
      <w:r w:rsidR="000409E4">
        <w:rPr>
          <w:rFonts w:eastAsiaTheme="minorHAnsi"/>
          <w:w w:val="103"/>
          <w:lang w:val="fr-FR"/>
        </w:rPr>
        <w:t>;</w:t>
      </w:r>
      <w:r w:rsidRPr="00953995">
        <w:rPr>
          <w:rFonts w:eastAsiaTheme="minorHAnsi"/>
          <w:w w:val="103"/>
          <w:lang w:val="fr-FR"/>
        </w:rPr>
        <w:t xml:space="preserve"> ii) ce régime ne soit jamais appliqué aux mineurs ou aux personnes souffrant de handicap psychosocial</w:t>
      </w:r>
      <w:r w:rsidR="004F68A8">
        <w:rPr>
          <w:rFonts w:eastAsiaTheme="minorHAnsi"/>
          <w:w w:val="103"/>
          <w:lang w:val="fr-FR"/>
        </w:rPr>
        <w:t> </w:t>
      </w:r>
      <w:r w:rsidR="000409E4">
        <w:rPr>
          <w:rFonts w:eastAsiaTheme="minorHAnsi"/>
          <w:w w:val="103"/>
          <w:lang w:val="fr-FR"/>
        </w:rPr>
        <w:t>;</w:t>
      </w:r>
      <w:r w:rsidRPr="00953995">
        <w:rPr>
          <w:rFonts w:eastAsiaTheme="minorHAnsi"/>
          <w:w w:val="103"/>
          <w:lang w:val="fr-FR"/>
        </w:rPr>
        <w:t xml:space="preserve"> iii) des critères clairs et </w:t>
      </w:r>
      <w:r w:rsidR="008770FE">
        <w:rPr>
          <w:rFonts w:eastAsiaTheme="minorHAnsi"/>
          <w:w w:val="103"/>
          <w:lang w:val="fr-FR"/>
        </w:rPr>
        <w:t>précis</w:t>
      </w:r>
      <w:r w:rsidR="008770FE" w:rsidRPr="00953995">
        <w:rPr>
          <w:rFonts w:eastAsiaTheme="minorHAnsi"/>
          <w:w w:val="103"/>
          <w:lang w:val="fr-FR"/>
        </w:rPr>
        <w:t xml:space="preserve"> </w:t>
      </w:r>
      <w:r w:rsidRPr="00953995">
        <w:rPr>
          <w:rFonts w:eastAsiaTheme="minorHAnsi"/>
          <w:w w:val="103"/>
          <w:lang w:val="fr-FR"/>
        </w:rPr>
        <w:t>encadrent son application</w:t>
      </w:r>
      <w:r w:rsidR="004F68A8">
        <w:rPr>
          <w:rFonts w:eastAsiaTheme="minorHAnsi"/>
          <w:w w:val="103"/>
          <w:lang w:val="fr-FR"/>
        </w:rPr>
        <w:t> </w:t>
      </w:r>
      <w:r w:rsidR="000409E4">
        <w:rPr>
          <w:rFonts w:eastAsiaTheme="minorHAnsi"/>
          <w:w w:val="103"/>
          <w:lang w:val="fr-FR"/>
        </w:rPr>
        <w:t>;</w:t>
      </w:r>
      <w:r w:rsidRPr="00953995">
        <w:rPr>
          <w:rFonts w:eastAsiaTheme="minorHAnsi"/>
          <w:w w:val="103"/>
          <w:lang w:val="fr-FR"/>
        </w:rPr>
        <w:t xml:space="preserve"> iv)</w:t>
      </w:r>
      <w:r w:rsidR="006A5C2D">
        <w:rPr>
          <w:rFonts w:eastAsiaTheme="minorHAnsi"/>
          <w:w w:val="103"/>
          <w:lang w:val="fr-FR"/>
        </w:rPr>
        <w:t> </w:t>
      </w:r>
      <w:r w:rsidRPr="00953995">
        <w:rPr>
          <w:rFonts w:eastAsiaTheme="minorHAnsi"/>
          <w:w w:val="103"/>
          <w:lang w:val="fr-FR"/>
        </w:rPr>
        <w:t>les détenus soumis au régime d’isolement puissent avoir des contacts avec l</w:t>
      </w:r>
      <w:r w:rsidR="00D54C26">
        <w:rPr>
          <w:rFonts w:eastAsiaTheme="minorHAnsi"/>
          <w:w w:val="103"/>
          <w:lang w:val="fr-FR"/>
        </w:rPr>
        <w:t>eur</w:t>
      </w:r>
      <w:r w:rsidRPr="00953995">
        <w:rPr>
          <w:rFonts w:eastAsiaTheme="minorHAnsi"/>
          <w:w w:val="103"/>
          <w:lang w:val="fr-FR"/>
        </w:rPr>
        <w:t xml:space="preserve"> famille pen</w:t>
      </w:r>
      <w:r w:rsidR="00901681">
        <w:rPr>
          <w:rFonts w:eastAsiaTheme="minorHAnsi"/>
          <w:w w:val="103"/>
          <w:lang w:val="fr-FR"/>
        </w:rPr>
        <w:t>dant la durée de cette sanction.</w:t>
      </w:r>
      <w:r w:rsidRPr="00953995">
        <w:rPr>
          <w:rFonts w:eastAsiaTheme="minorHAnsi"/>
          <w:w w:val="103"/>
          <w:lang w:val="fr-FR"/>
        </w:rPr>
        <w:t xml:space="preserve"> Indiquer à quelle fréquence l’état de santé physique et mentale du détenu est</w:t>
      </w:r>
      <w:r w:rsidR="00901681">
        <w:rPr>
          <w:rFonts w:eastAsiaTheme="minorHAnsi"/>
          <w:w w:val="103"/>
          <w:lang w:val="fr-FR"/>
        </w:rPr>
        <w:t xml:space="preserve"> contrôlé pendant son isolement.</w:t>
      </w:r>
      <w:r w:rsidRPr="00953995">
        <w:rPr>
          <w:rFonts w:eastAsiaTheme="minorHAnsi"/>
          <w:w w:val="103"/>
          <w:lang w:val="fr-FR"/>
        </w:rPr>
        <w:t xml:space="preserve"> Fournir des données statistiques annuelles depuis 2015 indiquant le nombre de détenus placés à l’isolement, ainsi que la durée maximale et moyenne du placement à l’isolement pendant cette période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lastRenderedPageBreak/>
        <w:t>b)</w:t>
      </w:r>
      <w:r w:rsidRPr="00953995">
        <w:rPr>
          <w:rFonts w:eastAsiaTheme="minorHAnsi"/>
          <w:w w:val="103"/>
          <w:lang w:val="fr-FR"/>
        </w:rPr>
        <w:tab/>
        <w:t xml:space="preserve">Les mesures prises pour </w:t>
      </w:r>
      <w:r w:rsidR="00D54C26">
        <w:rPr>
          <w:rFonts w:eastAsiaTheme="minorHAnsi"/>
          <w:w w:val="103"/>
          <w:lang w:val="fr-FR"/>
        </w:rPr>
        <w:t>veiller à ce</w:t>
      </w:r>
      <w:r w:rsidR="00D54C26" w:rsidRPr="00953995">
        <w:rPr>
          <w:rFonts w:eastAsiaTheme="minorHAnsi"/>
          <w:w w:val="103"/>
          <w:lang w:val="fr-FR"/>
        </w:rPr>
        <w:t xml:space="preserve"> </w:t>
      </w:r>
      <w:r w:rsidRPr="00953995">
        <w:rPr>
          <w:rFonts w:eastAsiaTheme="minorHAnsi"/>
          <w:w w:val="103"/>
          <w:lang w:val="fr-FR"/>
        </w:rPr>
        <w:t>que les prisonniers soient entendus en personne par l’autorité appelée à statuer et puissent bénéficier d’un contre-interrogatoire avant que la mesur</w:t>
      </w:r>
      <w:r w:rsidR="00901681">
        <w:rPr>
          <w:rFonts w:eastAsiaTheme="minorHAnsi"/>
          <w:w w:val="103"/>
          <w:lang w:val="fr-FR"/>
        </w:rPr>
        <w:t>e disciplinaire ne soit imposée</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c)</w:t>
      </w:r>
      <w:r w:rsidRPr="00953995">
        <w:rPr>
          <w:rFonts w:eastAsiaTheme="minorHAnsi"/>
          <w:w w:val="103"/>
          <w:lang w:val="fr-FR"/>
        </w:rPr>
        <w:tab/>
        <w:t>Les mesures prises pour que les décisions de placement de prisonniers dans des unités de sécurité et les décisions de prolongation de ce placement soient motivées et notifiées aux personnes concernées, et qu’elles puissent faire l’objet d’un recours</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d)</w:t>
      </w:r>
      <w:r w:rsidRPr="00953995">
        <w:rPr>
          <w:rFonts w:eastAsiaTheme="minorHAnsi"/>
          <w:w w:val="103"/>
          <w:lang w:val="fr-FR"/>
        </w:rPr>
        <w:tab/>
        <w:t>Les mesures prises pour mettre en place des mécanismes impartiaux de registre et d’examen des plaintes des détenus concernant leurs conditions de détention et les sanctions disciplinaires imposées.</w:t>
      </w:r>
    </w:p>
    <w:p w:rsidR="00953995" w:rsidRPr="00953995" w:rsidRDefault="00953995" w:rsidP="00953995">
      <w:pPr>
        <w:pStyle w:val="SingleTxtG"/>
        <w:rPr>
          <w:rFonts w:eastAsiaTheme="minorHAnsi"/>
          <w:w w:val="103"/>
          <w:lang w:val="fr-FR"/>
        </w:rPr>
      </w:pPr>
      <w:r w:rsidRPr="00953995">
        <w:rPr>
          <w:rFonts w:eastAsiaTheme="minorHAnsi"/>
          <w:w w:val="103"/>
          <w:lang w:val="fr-FR"/>
        </w:rPr>
        <w:t>13.</w:t>
      </w:r>
      <w:r w:rsidRPr="00953995">
        <w:rPr>
          <w:rFonts w:eastAsiaTheme="minorHAnsi"/>
          <w:w w:val="103"/>
          <w:lang w:val="fr-FR"/>
        </w:rPr>
        <w:tab/>
      </w:r>
      <w:r w:rsidR="00363567">
        <w:rPr>
          <w:rFonts w:eastAsiaTheme="minorHAnsi"/>
          <w:w w:val="103"/>
          <w:lang w:val="fr-FR"/>
        </w:rPr>
        <w:t>D</w:t>
      </w:r>
      <w:r w:rsidRPr="00953995">
        <w:rPr>
          <w:rFonts w:eastAsiaTheme="minorHAnsi"/>
          <w:w w:val="103"/>
          <w:lang w:val="fr-FR"/>
        </w:rPr>
        <w:t xml:space="preserve">onner </w:t>
      </w:r>
      <w:r w:rsidR="008014C2">
        <w:rPr>
          <w:rFonts w:eastAsiaTheme="minorHAnsi"/>
          <w:w w:val="103"/>
          <w:lang w:val="fr-FR"/>
        </w:rPr>
        <w:t>l</w:t>
      </w:r>
      <w:r w:rsidR="008014C2" w:rsidRPr="00953995">
        <w:rPr>
          <w:rFonts w:eastAsiaTheme="minorHAnsi"/>
          <w:w w:val="103"/>
          <w:lang w:val="fr-FR"/>
        </w:rPr>
        <w:t xml:space="preserve">es </w:t>
      </w:r>
      <w:r w:rsidRPr="00953995">
        <w:rPr>
          <w:rFonts w:eastAsiaTheme="minorHAnsi"/>
          <w:w w:val="103"/>
          <w:lang w:val="fr-FR"/>
        </w:rPr>
        <w:t>renseignements suivants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a)</w:t>
      </w:r>
      <w:r w:rsidRPr="00953995">
        <w:rPr>
          <w:rFonts w:eastAsiaTheme="minorHAnsi"/>
          <w:w w:val="103"/>
          <w:lang w:val="fr-FR"/>
        </w:rPr>
        <w:tab/>
        <w:t xml:space="preserve">Des statistiques annuelles depuis 2015, ventilées par lieu de privation de liberté et </w:t>
      </w:r>
      <w:r w:rsidR="007D583C">
        <w:rPr>
          <w:rFonts w:eastAsiaTheme="minorHAnsi"/>
          <w:w w:val="103"/>
          <w:lang w:val="fr-FR"/>
        </w:rPr>
        <w:t xml:space="preserve">par </w:t>
      </w:r>
      <w:r w:rsidRPr="00953995">
        <w:rPr>
          <w:rFonts w:eastAsiaTheme="minorHAnsi"/>
          <w:w w:val="103"/>
          <w:lang w:val="fr-FR"/>
        </w:rPr>
        <w:t>sexe, tranche d’âge et origine ethnique de la victime, sur : i) le nombre de décès en détention en indiquant la cause du décès</w:t>
      </w:r>
      <w:r w:rsidR="004F68A8">
        <w:rPr>
          <w:rFonts w:eastAsiaTheme="minorHAnsi"/>
          <w:w w:val="103"/>
          <w:lang w:val="fr-FR"/>
        </w:rPr>
        <w:t> </w:t>
      </w:r>
      <w:r w:rsidR="000409E4">
        <w:rPr>
          <w:rFonts w:eastAsiaTheme="minorHAnsi"/>
          <w:w w:val="103"/>
          <w:lang w:val="fr-FR"/>
        </w:rPr>
        <w:t>;</w:t>
      </w:r>
      <w:r w:rsidRPr="00953995">
        <w:rPr>
          <w:rFonts w:eastAsiaTheme="minorHAnsi"/>
          <w:w w:val="103"/>
          <w:lang w:val="fr-FR"/>
        </w:rPr>
        <w:t xml:space="preserve"> ii) le nombre de personnes blessées </w:t>
      </w:r>
      <w:r w:rsidR="007D583C">
        <w:rPr>
          <w:rFonts w:eastAsiaTheme="minorHAnsi"/>
          <w:w w:val="103"/>
          <w:lang w:val="fr-FR"/>
        </w:rPr>
        <w:t xml:space="preserve">à la </w:t>
      </w:r>
      <w:r w:rsidRPr="00953995">
        <w:rPr>
          <w:rFonts w:eastAsiaTheme="minorHAnsi"/>
          <w:w w:val="103"/>
          <w:lang w:val="fr-FR"/>
        </w:rPr>
        <w:t>suite d</w:t>
      </w:r>
      <w:r w:rsidR="007D583C">
        <w:rPr>
          <w:rFonts w:eastAsiaTheme="minorHAnsi"/>
          <w:w w:val="103"/>
          <w:lang w:val="fr-FR"/>
        </w:rPr>
        <w:t>’</w:t>
      </w:r>
      <w:r w:rsidRPr="00953995">
        <w:rPr>
          <w:rFonts w:eastAsiaTheme="minorHAnsi"/>
          <w:w w:val="103"/>
          <w:lang w:val="fr-FR"/>
        </w:rPr>
        <w:t xml:space="preserve">actes de violence commis dans les lieux de détention, en indiquant si l’auteur de ces actes était un fonctionnaire ou un autre détenu. Donner également des informations détaillées sur l’issue des enquêtes </w:t>
      </w:r>
      <w:r w:rsidR="00C72BB3">
        <w:rPr>
          <w:rFonts w:eastAsiaTheme="minorHAnsi"/>
          <w:w w:val="103"/>
          <w:lang w:val="fr-FR"/>
        </w:rPr>
        <w:t>menées</w:t>
      </w:r>
      <w:r w:rsidR="00C72BB3" w:rsidRPr="00953995">
        <w:rPr>
          <w:rFonts w:eastAsiaTheme="minorHAnsi"/>
          <w:w w:val="103"/>
          <w:lang w:val="fr-FR"/>
        </w:rPr>
        <w:t xml:space="preserve"> </w:t>
      </w:r>
      <w:r w:rsidRPr="00953995">
        <w:rPr>
          <w:rFonts w:eastAsiaTheme="minorHAnsi"/>
          <w:w w:val="103"/>
          <w:lang w:val="fr-FR"/>
        </w:rPr>
        <w:t>sur ces décès ou ces violences, et sur les sanctions imposées aux personnes reconnues coupables d’actes de torture, de mauvais traitements ou de négligences ayant entraîné la mort ou des blessures. Préciser quelles informations ont été fournies aux victimes de ces violations et à leur famille</w:t>
      </w:r>
      <w:r w:rsidR="00F54053">
        <w:rPr>
          <w:rFonts w:eastAsiaTheme="minorHAnsi"/>
          <w:w w:val="103"/>
          <w:lang w:val="fr-FR"/>
        </w:rPr>
        <w:t xml:space="preserve"> </w:t>
      </w:r>
      <w:r w:rsidR="00F54053" w:rsidRPr="00953995">
        <w:rPr>
          <w:rFonts w:eastAsiaTheme="minorHAnsi"/>
          <w:w w:val="103"/>
          <w:lang w:val="fr-FR"/>
        </w:rPr>
        <w:t xml:space="preserve">et </w:t>
      </w:r>
      <w:r w:rsidR="00F54053">
        <w:rPr>
          <w:rFonts w:eastAsiaTheme="minorHAnsi"/>
          <w:w w:val="103"/>
          <w:lang w:val="fr-FR"/>
        </w:rPr>
        <w:t xml:space="preserve">quelles </w:t>
      </w:r>
      <w:r w:rsidR="00F54053" w:rsidRPr="00953995">
        <w:rPr>
          <w:rFonts w:eastAsiaTheme="minorHAnsi"/>
          <w:w w:val="103"/>
          <w:lang w:val="fr-FR"/>
        </w:rPr>
        <w:t>mesures de réparation</w:t>
      </w:r>
      <w:r w:rsidR="00F54053">
        <w:rPr>
          <w:rFonts w:eastAsiaTheme="minorHAnsi"/>
          <w:w w:val="103"/>
          <w:lang w:val="fr-FR"/>
        </w:rPr>
        <w:t xml:space="preserve"> leur ont été proposées</w:t>
      </w:r>
      <w:r w:rsidRPr="00953995">
        <w:rPr>
          <w:rFonts w:eastAsiaTheme="minorHAnsi"/>
          <w:w w:val="103"/>
          <w:lang w:val="fr-FR"/>
        </w:rPr>
        <w:t xml:space="preserve">.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b)</w:t>
      </w:r>
      <w:r w:rsidRPr="00953995">
        <w:rPr>
          <w:rFonts w:eastAsiaTheme="minorHAnsi"/>
          <w:w w:val="103"/>
          <w:lang w:val="fr-FR"/>
        </w:rPr>
        <w:tab/>
        <w:t>Les mesures prises pour combattre le pro</w:t>
      </w:r>
      <w:r w:rsidR="00901681">
        <w:rPr>
          <w:rFonts w:eastAsiaTheme="minorHAnsi"/>
          <w:w w:val="103"/>
          <w:lang w:val="fr-FR"/>
        </w:rPr>
        <w:t>blème de violence entre détenus,</w:t>
      </w:r>
      <w:r w:rsidRPr="00953995">
        <w:rPr>
          <w:rFonts w:eastAsiaTheme="minorHAnsi"/>
          <w:w w:val="103"/>
          <w:lang w:val="fr-FR"/>
        </w:rPr>
        <w:t xml:space="preserve"> améliorer la surveillance et le repérage des détenus à risque et prévenir les suicides</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c)</w:t>
      </w:r>
      <w:r w:rsidRPr="00953995">
        <w:rPr>
          <w:rFonts w:eastAsiaTheme="minorHAnsi"/>
          <w:w w:val="103"/>
          <w:lang w:val="fr-FR"/>
        </w:rPr>
        <w:tab/>
        <w:t>L’évaluation des programmes en place pour prévenir les suicides et réduire les cas de violence et de mauvais traitements entre détenus dans les lieux de détention.</w:t>
      </w:r>
    </w:p>
    <w:p w:rsidR="00953995" w:rsidRPr="00953995" w:rsidRDefault="00953995" w:rsidP="00953995">
      <w:pPr>
        <w:pStyle w:val="SingleTxtG"/>
        <w:rPr>
          <w:rFonts w:eastAsiaTheme="minorHAnsi"/>
          <w:w w:val="103"/>
          <w:lang w:val="fr-FR"/>
        </w:rPr>
      </w:pPr>
      <w:r w:rsidRPr="00953995">
        <w:rPr>
          <w:rFonts w:eastAsiaTheme="minorHAnsi"/>
          <w:w w:val="103"/>
          <w:lang w:val="fr-FR"/>
        </w:rPr>
        <w:t>14.</w:t>
      </w:r>
      <w:r w:rsidRPr="00953995">
        <w:rPr>
          <w:rFonts w:eastAsiaTheme="minorHAnsi"/>
          <w:w w:val="103"/>
          <w:lang w:val="fr-FR"/>
        </w:rPr>
        <w:tab/>
      </w:r>
      <w:r w:rsidR="00363567">
        <w:rPr>
          <w:rFonts w:eastAsiaTheme="minorHAnsi"/>
          <w:w w:val="103"/>
          <w:lang w:val="fr-FR"/>
        </w:rPr>
        <w:t>P</w:t>
      </w:r>
      <w:r w:rsidRPr="00953995">
        <w:rPr>
          <w:rFonts w:eastAsiaTheme="minorHAnsi"/>
          <w:w w:val="103"/>
          <w:lang w:val="fr-FR"/>
        </w:rPr>
        <w:t xml:space="preserve">réciser si l’État partie a élaboré des directives permettant d’examiner dans chaque cas la nécessité et la proportionnalité du placement en rétention de migrants en situation irrégulière et de veiller à ce que ces migrants ne soient placés en rétention qu’en dernier recours, une fois que les </w:t>
      </w:r>
      <w:r w:rsidR="00F8408E">
        <w:rPr>
          <w:rFonts w:eastAsiaTheme="minorHAnsi"/>
          <w:lang w:val="fr-FR"/>
        </w:rPr>
        <w:t>mesures de substitution</w:t>
      </w:r>
      <w:r w:rsidRPr="00953995">
        <w:rPr>
          <w:rFonts w:eastAsiaTheme="minorHAnsi"/>
          <w:w w:val="103"/>
          <w:lang w:val="fr-FR"/>
        </w:rPr>
        <w:t xml:space="preserve"> au placement en rétention </w:t>
      </w:r>
      <w:r w:rsidRPr="00953995">
        <w:rPr>
          <w:rFonts w:eastAsiaTheme="minorHAnsi"/>
          <w:bCs/>
          <w:w w:val="103"/>
          <w:lang w:val="fr-FR"/>
        </w:rPr>
        <w:t xml:space="preserve">ont été dûment examinées et épuisées, et pour une période aussi brève que possible. </w:t>
      </w:r>
      <w:r w:rsidR="00AC1942">
        <w:rPr>
          <w:rFonts w:eastAsiaTheme="minorHAnsi"/>
          <w:w w:val="103"/>
          <w:lang w:val="fr-FR"/>
        </w:rPr>
        <w:t>Décrire</w:t>
      </w:r>
      <w:r w:rsidR="00AC1942" w:rsidRPr="00953995">
        <w:rPr>
          <w:rFonts w:eastAsiaTheme="minorHAnsi"/>
          <w:w w:val="103"/>
          <w:lang w:val="fr-FR"/>
        </w:rPr>
        <w:t xml:space="preserve"> </w:t>
      </w:r>
      <w:r w:rsidRPr="00953995">
        <w:rPr>
          <w:rFonts w:eastAsiaTheme="minorHAnsi"/>
          <w:w w:val="103"/>
          <w:lang w:val="fr-FR"/>
        </w:rPr>
        <w:t>également les mesures prises pour garantir un contrôle juridictionnel rapide et approfondi des décisions privant un individu de sa liberté au motif de son statut migratoire</w:t>
      </w:r>
      <w:r w:rsidRPr="00953995">
        <w:rPr>
          <w:rFonts w:eastAsiaTheme="minorHAnsi"/>
          <w:spacing w:val="5"/>
          <w:w w:val="103"/>
          <w:vertAlign w:val="superscript"/>
          <w:lang w:val="fr-FR"/>
        </w:rPr>
        <w:footnoteReference w:id="5"/>
      </w:r>
      <w:r w:rsidR="00901681">
        <w:rPr>
          <w:rFonts w:eastAsiaTheme="minorHAnsi"/>
          <w:w w:val="103"/>
          <w:lang w:val="fr-FR"/>
        </w:rPr>
        <w:t>.</w:t>
      </w:r>
      <w:r w:rsidRPr="00953995">
        <w:rPr>
          <w:rFonts w:eastAsiaTheme="minorHAnsi"/>
          <w:w w:val="103"/>
          <w:sz w:val="23"/>
          <w:szCs w:val="23"/>
          <w:lang w:val="fr-FR"/>
        </w:rPr>
        <w:t xml:space="preserve"> </w:t>
      </w:r>
    </w:p>
    <w:p w:rsidR="00953995" w:rsidRPr="00953995" w:rsidRDefault="00953995" w:rsidP="00953995">
      <w:pPr>
        <w:pStyle w:val="SingleTxtG"/>
        <w:rPr>
          <w:rFonts w:eastAsiaTheme="minorHAnsi"/>
          <w:lang w:val="fr-FR"/>
        </w:rPr>
      </w:pPr>
      <w:r w:rsidRPr="00953995">
        <w:rPr>
          <w:rFonts w:eastAsiaTheme="minorHAnsi"/>
          <w:lang w:val="fr-FR"/>
        </w:rPr>
        <w:t>15.</w:t>
      </w:r>
      <w:r w:rsidRPr="00953995">
        <w:rPr>
          <w:rFonts w:eastAsiaTheme="minorHAnsi"/>
          <w:lang w:val="fr-FR"/>
        </w:rPr>
        <w:tab/>
      </w:r>
      <w:r w:rsidR="00363567">
        <w:rPr>
          <w:rFonts w:eastAsiaTheme="minorHAnsi"/>
          <w:lang w:val="fr-FR"/>
        </w:rPr>
        <w:t>F</w:t>
      </w:r>
      <w:r w:rsidRPr="00953995">
        <w:rPr>
          <w:rFonts w:eastAsiaTheme="minorHAnsi"/>
          <w:lang w:val="fr-FR"/>
        </w:rPr>
        <w:t>ournir des données annuelles pour la période considérée, indiquant :</w:t>
      </w:r>
    </w:p>
    <w:p w:rsidR="00953995" w:rsidRPr="00953995" w:rsidRDefault="00953995" w:rsidP="00A8565B">
      <w:pPr>
        <w:pStyle w:val="SingleTxtG"/>
        <w:ind w:firstLine="567"/>
        <w:rPr>
          <w:rFonts w:eastAsiaTheme="minorHAnsi"/>
          <w:lang w:val="fr-FR"/>
        </w:rPr>
      </w:pPr>
      <w:r>
        <w:rPr>
          <w:rFonts w:eastAsiaTheme="minorHAnsi"/>
          <w:lang w:val="fr-FR"/>
        </w:rPr>
        <w:t>a)</w:t>
      </w:r>
      <w:r w:rsidRPr="00953995">
        <w:rPr>
          <w:rFonts w:eastAsiaTheme="minorHAnsi"/>
          <w:lang w:val="fr-FR"/>
        </w:rPr>
        <w:tab/>
      </w:r>
      <w:r w:rsidR="00363567" w:rsidRPr="00953995">
        <w:rPr>
          <w:rFonts w:eastAsiaTheme="minorHAnsi"/>
          <w:lang w:val="fr-FR"/>
        </w:rPr>
        <w:t>L</w:t>
      </w:r>
      <w:r w:rsidRPr="00953995">
        <w:rPr>
          <w:rFonts w:eastAsiaTheme="minorHAnsi"/>
          <w:lang w:val="fr-FR"/>
        </w:rPr>
        <w:t xml:space="preserve">e pourcentage de demandeurs d’asile ou </w:t>
      </w:r>
      <w:r w:rsidR="00F8408E">
        <w:rPr>
          <w:rFonts w:eastAsiaTheme="minorHAnsi"/>
          <w:lang w:val="fr-FR"/>
        </w:rPr>
        <w:t xml:space="preserve">de </w:t>
      </w:r>
      <w:r w:rsidRPr="00953995">
        <w:rPr>
          <w:rFonts w:eastAsiaTheme="minorHAnsi"/>
          <w:lang w:val="fr-FR"/>
        </w:rPr>
        <w:t>protection internationale retenus par année, le fondement juridique et la durée moyenne de la rétention</w:t>
      </w:r>
      <w:r w:rsidR="004F68A8">
        <w:rPr>
          <w:rFonts w:eastAsiaTheme="minorHAnsi"/>
          <w:lang w:val="fr-FR"/>
        </w:rPr>
        <w:t>,</w:t>
      </w:r>
      <w:r w:rsidRPr="00953995">
        <w:rPr>
          <w:rFonts w:eastAsiaTheme="minorHAnsi"/>
          <w:lang w:val="fr-FR"/>
        </w:rPr>
        <w:t xml:space="preserve"> ainsi que</w:t>
      </w:r>
      <w:r w:rsidR="004F68A8">
        <w:rPr>
          <w:rFonts w:eastAsiaTheme="minorHAnsi"/>
          <w:lang w:val="fr-FR"/>
        </w:rPr>
        <w:t xml:space="preserve"> </w:t>
      </w:r>
      <w:r w:rsidRPr="00953995">
        <w:rPr>
          <w:rFonts w:eastAsiaTheme="minorHAnsi"/>
          <w:lang w:val="fr-FR"/>
        </w:rPr>
        <w:t xml:space="preserve">le pourcentage de cas dans lesquels des </w:t>
      </w:r>
      <w:r w:rsidR="00F8408E">
        <w:rPr>
          <w:rFonts w:eastAsiaTheme="minorHAnsi"/>
          <w:lang w:val="fr-FR"/>
        </w:rPr>
        <w:t>mesures de substitution</w:t>
      </w:r>
      <w:r w:rsidR="00F8408E" w:rsidRPr="00953995">
        <w:rPr>
          <w:rFonts w:eastAsiaTheme="minorHAnsi"/>
          <w:lang w:val="fr-FR"/>
        </w:rPr>
        <w:t xml:space="preserve"> </w:t>
      </w:r>
      <w:r w:rsidRPr="00953995">
        <w:rPr>
          <w:rFonts w:eastAsiaTheme="minorHAnsi"/>
          <w:lang w:val="fr-FR"/>
        </w:rPr>
        <w:t>au placement en rétention ont été appliquées </w:t>
      </w:r>
      <w:r w:rsidRPr="00953995">
        <w:rPr>
          <w:rFonts w:eastAsiaTheme="minorHAnsi"/>
          <w:bCs/>
          <w:lang w:val="fr-FR"/>
        </w:rPr>
        <w:t>;</w:t>
      </w:r>
      <w:r w:rsidRPr="00953995">
        <w:rPr>
          <w:rFonts w:eastAsiaTheme="minorHAnsi"/>
          <w:lang w:val="fr-FR"/>
        </w:rPr>
        <w:t xml:space="preserve"> </w:t>
      </w:r>
    </w:p>
    <w:p w:rsidR="00953995" w:rsidRPr="00953995" w:rsidRDefault="00953995" w:rsidP="00953995">
      <w:pPr>
        <w:pStyle w:val="SingleTxtG"/>
        <w:ind w:firstLine="567"/>
        <w:rPr>
          <w:rFonts w:eastAsiaTheme="minorHAnsi"/>
          <w:lang w:val="fr-FR"/>
        </w:rPr>
      </w:pPr>
      <w:r>
        <w:rPr>
          <w:rFonts w:eastAsiaTheme="minorHAnsi"/>
          <w:lang w:val="fr-FR"/>
        </w:rPr>
        <w:t>b)</w:t>
      </w:r>
      <w:r w:rsidRPr="00953995">
        <w:rPr>
          <w:rFonts w:eastAsiaTheme="minorHAnsi"/>
          <w:lang w:val="fr-FR"/>
        </w:rPr>
        <w:tab/>
      </w:r>
      <w:r w:rsidR="00363567" w:rsidRPr="00953995">
        <w:rPr>
          <w:rFonts w:eastAsiaTheme="minorHAnsi"/>
          <w:lang w:val="fr-FR"/>
        </w:rPr>
        <w:t>L</w:t>
      </w:r>
      <w:r w:rsidRPr="00953995">
        <w:rPr>
          <w:rFonts w:eastAsiaTheme="minorHAnsi"/>
          <w:lang w:val="fr-FR"/>
        </w:rPr>
        <w:t xml:space="preserve">e pourcentage d’enfants non accompagnés et de familles accompagnées d’enfants qui ont été retenus, les conditions de rétention, le type d’établissement et le régime appliqué, ainsi que le pourcentage de cas dans lesquels des </w:t>
      </w:r>
      <w:r w:rsidR="00F8408E">
        <w:rPr>
          <w:rFonts w:eastAsiaTheme="minorHAnsi"/>
          <w:lang w:val="fr-FR"/>
        </w:rPr>
        <w:t>mesures de substitution</w:t>
      </w:r>
      <w:r w:rsidRPr="00953995">
        <w:rPr>
          <w:rFonts w:eastAsiaTheme="minorHAnsi"/>
          <w:lang w:val="fr-FR"/>
        </w:rPr>
        <w:t xml:space="preserve"> au placement en rétention ont été appliquées</w:t>
      </w:r>
      <w:r w:rsidRPr="00953995">
        <w:rPr>
          <w:rFonts w:eastAsiaTheme="minorHAnsi"/>
          <w:bCs/>
          <w:lang w:val="fr-FR"/>
        </w:rPr>
        <w:t xml:space="preserve"> et </w:t>
      </w:r>
      <w:r w:rsidRPr="00953995">
        <w:rPr>
          <w:rFonts w:eastAsiaTheme="minorHAnsi"/>
          <w:lang w:val="fr-FR"/>
        </w:rPr>
        <w:t>la durée moyenne des rétentions ;</w:t>
      </w:r>
    </w:p>
    <w:p w:rsidR="00953995" w:rsidRPr="00953995" w:rsidRDefault="00953995" w:rsidP="00953995">
      <w:pPr>
        <w:pStyle w:val="SingleTxtG"/>
        <w:ind w:firstLine="567"/>
        <w:rPr>
          <w:rFonts w:eastAsiaTheme="minorHAnsi"/>
          <w:lang w:val="fr-FR"/>
        </w:rPr>
      </w:pPr>
      <w:r w:rsidRPr="00953995">
        <w:rPr>
          <w:rFonts w:eastAsiaTheme="minorHAnsi"/>
          <w:lang w:val="fr-FR"/>
        </w:rPr>
        <w:t>c)</w:t>
      </w:r>
      <w:r w:rsidRPr="00953995">
        <w:rPr>
          <w:rFonts w:eastAsiaTheme="minorHAnsi"/>
          <w:lang w:val="fr-FR"/>
        </w:rPr>
        <w:tab/>
      </w:r>
      <w:r w:rsidR="00363567" w:rsidRPr="00953995">
        <w:rPr>
          <w:rFonts w:eastAsiaTheme="minorHAnsi"/>
          <w:lang w:val="fr-FR"/>
        </w:rPr>
        <w:t>L</w:t>
      </w:r>
      <w:r w:rsidRPr="00953995">
        <w:rPr>
          <w:rFonts w:eastAsiaTheme="minorHAnsi"/>
          <w:lang w:val="fr-FR"/>
        </w:rPr>
        <w:t>a durée moyenne de rétention de</w:t>
      </w:r>
      <w:r w:rsidR="00F8408E">
        <w:rPr>
          <w:rFonts w:eastAsiaTheme="minorHAnsi"/>
          <w:lang w:val="fr-FR"/>
        </w:rPr>
        <w:t>s</w:t>
      </w:r>
      <w:r w:rsidRPr="00953995">
        <w:rPr>
          <w:rFonts w:eastAsiaTheme="minorHAnsi"/>
          <w:lang w:val="fr-FR"/>
        </w:rPr>
        <w:t xml:space="preserve"> migrants en situation irrégulière, le pourcentage de cas par année dans lesquels des mesures de substitution à la rétention ont été appliquées dans la pratique par rapport au pourcentage de cas dans lesquels la rétention a été imposée. </w:t>
      </w:r>
    </w:p>
    <w:p w:rsidR="00953995" w:rsidRPr="00953995" w:rsidRDefault="00953995" w:rsidP="00953995">
      <w:pPr>
        <w:pStyle w:val="H23G"/>
        <w:rPr>
          <w:rFonts w:eastAsiaTheme="minorHAnsi"/>
          <w:w w:val="103"/>
          <w:lang w:val="fr-FR"/>
        </w:rPr>
      </w:pPr>
      <w:r w:rsidRPr="00953995">
        <w:rPr>
          <w:rFonts w:eastAsiaTheme="minorHAnsi"/>
          <w:w w:val="103"/>
          <w:lang w:val="fr-FR"/>
        </w:rPr>
        <w:tab/>
      </w:r>
      <w:r w:rsidRPr="00953995">
        <w:rPr>
          <w:rFonts w:eastAsiaTheme="minorHAnsi"/>
          <w:w w:val="103"/>
          <w:lang w:val="fr-FR"/>
        </w:rPr>
        <w:tab/>
        <w:t>Articles 12 et 13</w:t>
      </w:r>
    </w:p>
    <w:p w:rsidR="00953995" w:rsidRPr="00953995" w:rsidRDefault="00953995" w:rsidP="00953995">
      <w:pPr>
        <w:pStyle w:val="SingleTxtG"/>
        <w:rPr>
          <w:rFonts w:eastAsiaTheme="minorHAnsi"/>
          <w:w w:val="103"/>
          <w:lang w:val="fr-FR"/>
        </w:rPr>
      </w:pPr>
      <w:r w:rsidRPr="00953995">
        <w:rPr>
          <w:rFonts w:eastAsiaTheme="minorHAnsi"/>
          <w:w w:val="103"/>
          <w:lang w:val="fr-FR"/>
        </w:rPr>
        <w:t>16.</w:t>
      </w:r>
      <w:r w:rsidRPr="00953995">
        <w:rPr>
          <w:rFonts w:eastAsiaTheme="minorHAnsi"/>
          <w:w w:val="103"/>
          <w:lang w:val="fr-FR"/>
        </w:rPr>
        <w:tab/>
        <w:t>Compte tenu des précédentes observations finales du Comité (par. 17), fournir des statistiques annuelles depuis 2015, ventilées par infraction et appartenance ethnique</w:t>
      </w:r>
      <w:r w:rsidR="00633429">
        <w:rPr>
          <w:rFonts w:eastAsiaTheme="minorHAnsi"/>
          <w:w w:val="103"/>
          <w:lang w:val="fr-FR"/>
        </w:rPr>
        <w:t>,</w:t>
      </w:r>
      <w:r w:rsidRPr="00953995">
        <w:rPr>
          <w:rFonts w:eastAsiaTheme="minorHAnsi"/>
          <w:w w:val="103"/>
          <w:lang w:val="fr-FR"/>
        </w:rPr>
        <w:t xml:space="preserve"> tranche d’âge et sexe de la victime, sur :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lastRenderedPageBreak/>
        <w:t>a)</w:t>
      </w:r>
      <w:r w:rsidRPr="00953995">
        <w:rPr>
          <w:rFonts w:eastAsiaTheme="minorHAnsi"/>
          <w:w w:val="103"/>
          <w:lang w:val="fr-FR"/>
        </w:rPr>
        <w:tab/>
      </w:r>
      <w:r w:rsidR="00363567" w:rsidRPr="00953995">
        <w:rPr>
          <w:rFonts w:eastAsiaTheme="minorHAnsi"/>
          <w:w w:val="103"/>
          <w:lang w:val="fr-FR"/>
        </w:rPr>
        <w:t>L</w:t>
      </w:r>
      <w:r w:rsidRPr="00953995">
        <w:rPr>
          <w:rFonts w:eastAsiaTheme="minorHAnsi"/>
          <w:w w:val="103"/>
          <w:lang w:val="fr-FR"/>
        </w:rPr>
        <w:t>e nombre de plaintes déposées ou de rapports de police rédigés concernant des infractions telles que la torture et les mauvais traitements, la complicité ou la participation à de tels actes</w:t>
      </w:r>
      <w:r w:rsidR="00633429">
        <w:rPr>
          <w:rFonts w:eastAsiaTheme="minorHAnsi"/>
          <w:w w:val="103"/>
          <w:lang w:val="fr-FR"/>
        </w:rPr>
        <w:t xml:space="preserve"> et</w:t>
      </w:r>
      <w:r w:rsidRPr="00953995">
        <w:rPr>
          <w:rFonts w:eastAsiaTheme="minorHAnsi"/>
          <w:w w:val="103"/>
          <w:lang w:val="fr-FR"/>
        </w:rPr>
        <w:t xml:space="preserve"> l’usage excessif de la force qui auraient été commises par des agents de la force publique ou avec le consentement exprès ou tacite de ces </w:t>
      </w:r>
      <w:r w:rsidR="005738C6">
        <w:rPr>
          <w:rFonts w:eastAsiaTheme="minorHAnsi"/>
          <w:w w:val="103"/>
          <w:lang w:val="fr-FR"/>
        </w:rPr>
        <w:t>derniers </w:t>
      </w:r>
      <w:r w:rsidR="000409E4">
        <w:rPr>
          <w:rFonts w:eastAsiaTheme="minorHAnsi"/>
          <w:w w:val="103"/>
          <w:lang w:val="fr-FR"/>
        </w:rPr>
        <w:t>;</w:t>
      </w:r>
      <w:r w:rsidRPr="00953995">
        <w:rPr>
          <w:rFonts w:eastAsiaTheme="minorHAnsi"/>
          <w:w w:val="103"/>
          <w:lang w:val="fr-FR"/>
        </w:rPr>
        <w:t xml:space="preserve">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b)</w:t>
      </w:r>
      <w:r w:rsidRPr="00953995">
        <w:rPr>
          <w:rFonts w:eastAsiaTheme="minorHAnsi"/>
          <w:w w:val="103"/>
          <w:lang w:val="fr-FR"/>
        </w:rPr>
        <w:tab/>
      </w:r>
      <w:r w:rsidR="00363567" w:rsidRPr="00953995">
        <w:rPr>
          <w:rFonts w:eastAsiaTheme="minorHAnsi"/>
          <w:w w:val="103"/>
          <w:lang w:val="fr-FR"/>
        </w:rPr>
        <w:t>L</w:t>
      </w:r>
      <w:r w:rsidRPr="00953995">
        <w:rPr>
          <w:rFonts w:eastAsiaTheme="minorHAnsi"/>
          <w:w w:val="103"/>
          <w:lang w:val="fr-FR"/>
        </w:rPr>
        <w:t xml:space="preserve">e nombre d’enquêtes ouvertes </w:t>
      </w:r>
      <w:r w:rsidR="005738C6">
        <w:rPr>
          <w:rFonts w:eastAsiaTheme="minorHAnsi"/>
          <w:w w:val="103"/>
          <w:lang w:val="fr-FR"/>
        </w:rPr>
        <w:t>après le</w:t>
      </w:r>
      <w:r w:rsidRPr="00953995">
        <w:rPr>
          <w:rFonts w:eastAsiaTheme="minorHAnsi"/>
          <w:w w:val="103"/>
          <w:lang w:val="fr-FR"/>
        </w:rPr>
        <w:t xml:space="preserve"> dépôt de ces plaintes et les autorités qui les ont ouvertes</w:t>
      </w:r>
      <w:r w:rsidR="004F68A8">
        <w:rPr>
          <w:rFonts w:eastAsiaTheme="minorHAnsi"/>
          <w:w w:val="103"/>
          <w:lang w:val="fr-FR"/>
        </w:rPr>
        <w:t> </w:t>
      </w:r>
      <w:r w:rsidR="000409E4">
        <w:rPr>
          <w:rFonts w:eastAsiaTheme="minorHAnsi"/>
          <w:w w:val="103"/>
          <w:lang w:val="fr-FR"/>
        </w:rPr>
        <w:t>;</w:t>
      </w:r>
      <w:r w:rsidRPr="00953995">
        <w:rPr>
          <w:rFonts w:eastAsiaTheme="minorHAnsi"/>
          <w:w w:val="103"/>
          <w:lang w:val="fr-FR"/>
        </w:rPr>
        <w:t xml:space="preserve">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c)</w:t>
      </w:r>
      <w:r w:rsidRPr="00953995">
        <w:rPr>
          <w:rFonts w:eastAsiaTheme="minorHAnsi"/>
          <w:w w:val="103"/>
          <w:lang w:val="fr-FR"/>
        </w:rPr>
        <w:tab/>
      </w:r>
      <w:r w:rsidR="00363567" w:rsidRPr="00953995">
        <w:rPr>
          <w:rFonts w:eastAsiaTheme="minorHAnsi"/>
          <w:w w:val="103"/>
          <w:lang w:val="fr-FR"/>
        </w:rPr>
        <w:t>L</w:t>
      </w:r>
      <w:r w:rsidRPr="00953995">
        <w:rPr>
          <w:rFonts w:eastAsiaTheme="minorHAnsi"/>
          <w:w w:val="103"/>
          <w:lang w:val="fr-FR"/>
        </w:rPr>
        <w:t>e nombre de ces enquêtes qui ont été classées sans suite</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d)</w:t>
      </w:r>
      <w:r w:rsidRPr="00953995">
        <w:rPr>
          <w:rFonts w:eastAsiaTheme="minorHAnsi"/>
          <w:w w:val="103"/>
          <w:lang w:val="fr-FR"/>
        </w:rPr>
        <w:tab/>
      </w:r>
      <w:r w:rsidR="00363567" w:rsidRPr="00953995">
        <w:rPr>
          <w:rFonts w:eastAsiaTheme="minorHAnsi"/>
          <w:w w:val="103"/>
          <w:lang w:val="fr-FR"/>
        </w:rPr>
        <w:t>L</w:t>
      </w:r>
      <w:r w:rsidRPr="00953995">
        <w:rPr>
          <w:rFonts w:eastAsiaTheme="minorHAnsi"/>
          <w:w w:val="103"/>
          <w:lang w:val="fr-FR"/>
        </w:rPr>
        <w:t>e nombre de ces enquêtes qui ont donné lieu à des poursuites</w:t>
      </w:r>
      <w:r w:rsidR="004F68A8">
        <w:rPr>
          <w:rFonts w:eastAsiaTheme="minorHAnsi"/>
          <w:w w:val="103"/>
          <w:lang w:val="fr-FR"/>
        </w:rPr>
        <w:t> </w:t>
      </w:r>
      <w:r w:rsidR="000409E4">
        <w:rPr>
          <w:rFonts w:eastAsiaTheme="minorHAnsi"/>
          <w:w w:val="103"/>
          <w:lang w:val="fr-FR"/>
        </w:rPr>
        <w:t>;</w:t>
      </w:r>
      <w:r w:rsidRPr="00953995">
        <w:rPr>
          <w:rFonts w:eastAsiaTheme="minorHAnsi"/>
          <w:w w:val="103"/>
          <w:lang w:val="fr-FR"/>
        </w:rPr>
        <w:t xml:space="preserve">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e)</w:t>
      </w:r>
      <w:r w:rsidRPr="00953995">
        <w:rPr>
          <w:rFonts w:eastAsiaTheme="minorHAnsi"/>
          <w:w w:val="103"/>
          <w:lang w:val="fr-FR"/>
        </w:rPr>
        <w:tab/>
      </w:r>
      <w:r w:rsidR="00363567" w:rsidRPr="00953995">
        <w:rPr>
          <w:rFonts w:eastAsiaTheme="minorHAnsi"/>
          <w:w w:val="103"/>
          <w:lang w:val="fr-FR"/>
        </w:rPr>
        <w:t>L</w:t>
      </w:r>
      <w:r w:rsidRPr="00953995">
        <w:rPr>
          <w:rFonts w:eastAsiaTheme="minorHAnsi"/>
          <w:w w:val="103"/>
          <w:lang w:val="fr-FR"/>
        </w:rPr>
        <w:t>e nombre de ces poursuites qui ont abouti à une condamnation</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f)</w:t>
      </w:r>
      <w:r w:rsidRPr="00953995">
        <w:rPr>
          <w:rFonts w:eastAsiaTheme="minorHAnsi"/>
          <w:w w:val="103"/>
          <w:lang w:val="fr-FR"/>
        </w:rPr>
        <w:tab/>
      </w:r>
      <w:r w:rsidR="00363567" w:rsidRPr="00953995">
        <w:rPr>
          <w:rFonts w:eastAsiaTheme="minorHAnsi"/>
          <w:w w:val="103"/>
          <w:lang w:val="fr-FR"/>
        </w:rPr>
        <w:t>L</w:t>
      </w:r>
      <w:r w:rsidRPr="00953995">
        <w:rPr>
          <w:rFonts w:eastAsiaTheme="minorHAnsi"/>
          <w:w w:val="103"/>
          <w:lang w:val="fr-FR"/>
        </w:rPr>
        <w:t xml:space="preserve">es sanctions pénales et disciplinaires qui ont été appliquées, en indiquant la durée des peines d’emprisonnement. </w:t>
      </w:r>
    </w:p>
    <w:p w:rsidR="00953995" w:rsidRPr="00953995" w:rsidRDefault="00953995" w:rsidP="00953995">
      <w:pPr>
        <w:pStyle w:val="SingleTxtG"/>
        <w:rPr>
          <w:rFonts w:eastAsiaTheme="minorHAnsi"/>
          <w:w w:val="103"/>
          <w:lang w:val="fr-FR"/>
        </w:rPr>
      </w:pPr>
      <w:r w:rsidRPr="00953995">
        <w:rPr>
          <w:rFonts w:eastAsiaTheme="minorHAnsi"/>
          <w:w w:val="103"/>
          <w:lang w:val="fr-FR"/>
        </w:rPr>
        <w:t>17.</w:t>
      </w:r>
      <w:r w:rsidRPr="00953995">
        <w:rPr>
          <w:rFonts w:eastAsiaTheme="minorHAnsi"/>
          <w:w w:val="103"/>
          <w:lang w:val="fr-FR"/>
        </w:rPr>
        <w:tab/>
        <w:t>Compte tenu des précédentes observations finales du Comité (par. 15), indiquer si l’</w:t>
      </w:r>
      <w:r w:rsidR="009A437F">
        <w:rPr>
          <w:rFonts w:eastAsiaTheme="minorHAnsi"/>
          <w:w w:val="103"/>
          <w:lang w:val="fr-FR"/>
        </w:rPr>
        <w:t>É</w:t>
      </w:r>
      <w:r w:rsidRPr="00953995">
        <w:rPr>
          <w:rFonts w:eastAsiaTheme="minorHAnsi"/>
          <w:w w:val="103"/>
          <w:lang w:val="fr-FR"/>
        </w:rPr>
        <w:t>tat envisage une dérogation au système de l’opportunité des poursuites, afin qu’aucun doute ne soit permis quant à l’obligation pour les autorités compétentes de déclencher spontanément et systématiquement des enquêtes impartiales dans tous les cas où existeraient des motifs raisonnables de croire qu’un acte de torture a été commis sur le territoire sous sa juridiction. Préciser également pour chaque année le nombre d’enquêtes ouvertes d’office sur des cas de torture et de mauvais traitements qui ont donné d’office lieu à des poursuites, ainsi que le nombre de cas de torture ou de mauvais traitements signalés par des médecins après des examens cliniques de détenus et la suite donnée à leurs rapports.</w:t>
      </w:r>
    </w:p>
    <w:p w:rsidR="00953995" w:rsidRPr="00953995" w:rsidRDefault="00953995" w:rsidP="00953995">
      <w:pPr>
        <w:pStyle w:val="SingleTxtG"/>
        <w:rPr>
          <w:rFonts w:eastAsiaTheme="minorHAnsi"/>
          <w:w w:val="103"/>
          <w:lang w:val="fr-FR"/>
        </w:rPr>
      </w:pPr>
      <w:r w:rsidRPr="00953995">
        <w:rPr>
          <w:rFonts w:eastAsiaTheme="minorHAnsi"/>
          <w:w w:val="103"/>
          <w:lang w:val="fr-FR"/>
        </w:rPr>
        <w:t>18.</w:t>
      </w:r>
      <w:r w:rsidRPr="00953995">
        <w:rPr>
          <w:rFonts w:eastAsiaTheme="minorHAnsi"/>
          <w:w w:val="103"/>
          <w:lang w:val="fr-FR"/>
        </w:rPr>
        <w:tab/>
        <w:t>Compte tenu des précédentes observations finales du Comité (par. 16), indiquer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a)</w:t>
      </w:r>
      <w:r w:rsidRPr="00953995">
        <w:rPr>
          <w:rFonts w:eastAsiaTheme="minorHAnsi"/>
          <w:w w:val="103"/>
          <w:lang w:val="fr-FR"/>
        </w:rPr>
        <w:tab/>
        <w:t>Le calendrier pour l’adoption des mesures législatives et réglementaires nécessaires pour r</w:t>
      </w:r>
      <w:r w:rsidR="0045628B">
        <w:rPr>
          <w:rFonts w:eastAsiaTheme="minorHAnsi"/>
          <w:w w:val="103"/>
          <w:lang w:val="fr-FR"/>
        </w:rPr>
        <w:t>é</w:t>
      </w:r>
      <w:r w:rsidRPr="00953995">
        <w:rPr>
          <w:rFonts w:eastAsiaTheme="minorHAnsi"/>
          <w:w w:val="103"/>
          <w:lang w:val="fr-FR"/>
        </w:rPr>
        <w:t xml:space="preserve">former l’Inspection générale de la </w:t>
      </w:r>
      <w:r w:rsidR="00F2390E">
        <w:rPr>
          <w:rFonts w:eastAsiaTheme="minorHAnsi"/>
          <w:w w:val="103"/>
          <w:lang w:val="fr-FR"/>
        </w:rPr>
        <w:t>p</w:t>
      </w:r>
      <w:r w:rsidR="00F2390E" w:rsidRPr="00953995">
        <w:rPr>
          <w:rFonts w:eastAsiaTheme="minorHAnsi"/>
          <w:w w:val="103"/>
          <w:lang w:val="fr-FR"/>
        </w:rPr>
        <w:t>olice</w:t>
      </w:r>
      <w:r w:rsidRPr="00953995">
        <w:rPr>
          <w:rFonts w:eastAsiaTheme="minorHAnsi"/>
          <w:w w:val="103"/>
          <w:lang w:val="fr-FR"/>
        </w:rPr>
        <w:t xml:space="preserve">, comme indiqué dans le rapport </w:t>
      </w:r>
      <w:r w:rsidR="00901681">
        <w:rPr>
          <w:rFonts w:eastAsiaTheme="minorHAnsi"/>
          <w:w w:val="103"/>
          <w:lang w:val="fr-FR"/>
        </w:rPr>
        <w:t>d’activités de l’I</w:t>
      </w:r>
      <w:r w:rsidR="00F2390E">
        <w:rPr>
          <w:rFonts w:eastAsiaTheme="minorHAnsi"/>
          <w:w w:val="103"/>
          <w:lang w:val="fr-FR"/>
        </w:rPr>
        <w:t>nspection</w:t>
      </w:r>
      <w:r w:rsidR="00901681">
        <w:rPr>
          <w:rFonts w:eastAsiaTheme="minorHAnsi"/>
          <w:w w:val="103"/>
          <w:lang w:val="fr-FR"/>
        </w:rPr>
        <w:t xml:space="preserve"> </w:t>
      </w:r>
      <w:r w:rsidR="0045628B">
        <w:rPr>
          <w:rFonts w:eastAsiaTheme="minorHAnsi"/>
          <w:w w:val="103"/>
          <w:lang w:val="fr-FR"/>
        </w:rPr>
        <w:t xml:space="preserve">générale </w:t>
      </w:r>
      <w:r w:rsidR="00901681">
        <w:rPr>
          <w:rFonts w:eastAsiaTheme="minorHAnsi"/>
          <w:w w:val="103"/>
          <w:lang w:val="fr-FR"/>
        </w:rPr>
        <w:t>de 2015.</w:t>
      </w:r>
      <w:r w:rsidR="00FA52DA">
        <w:rPr>
          <w:rFonts w:eastAsiaTheme="minorHAnsi"/>
          <w:w w:val="103"/>
          <w:lang w:val="fr-FR"/>
        </w:rPr>
        <w:t xml:space="preserve"> </w:t>
      </w:r>
      <w:r w:rsidRPr="00953995">
        <w:rPr>
          <w:rFonts w:eastAsiaTheme="minorHAnsi"/>
          <w:w w:val="103"/>
          <w:lang w:val="fr-FR"/>
        </w:rPr>
        <w:t xml:space="preserve">Décrire les propositions de réforme </w:t>
      </w:r>
      <w:r w:rsidR="00EC0A37">
        <w:rPr>
          <w:rFonts w:eastAsiaTheme="minorHAnsi"/>
          <w:w w:val="103"/>
          <w:lang w:val="fr-FR"/>
        </w:rPr>
        <w:t>visant</w:t>
      </w:r>
      <w:r w:rsidR="00EC0A37" w:rsidRPr="00953995">
        <w:rPr>
          <w:rFonts w:eastAsiaTheme="minorHAnsi"/>
          <w:w w:val="103"/>
          <w:lang w:val="fr-FR"/>
        </w:rPr>
        <w:t xml:space="preserve"> </w:t>
      </w:r>
      <w:r w:rsidRPr="00953995">
        <w:rPr>
          <w:rFonts w:eastAsiaTheme="minorHAnsi"/>
          <w:w w:val="103"/>
          <w:lang w:val="fr-FR"/>
        </w:rPr>
        <w:t xml:space="preserve">à assurer l’indépendance et </w:t>
      </w:r>
      <w:r w:rsidR="00F2390E">
        <w:rPr>
          <w:rFonts w:eastAsiaTheme="minorHAnsi"/>
          <w:w w:val="103"/>
          <w:lang w:val="fr-FR"/>
        </w:rPr>
        <w:t>l’</w:t>
      </w:r>
      <w:r w:rsidRPr="00953995">
        <w:rPr>
          <w:rFonts w:eastAsiaTheme="minorHAnsi"/>
          <w:w w:val="103"/>
          <w:lang w:val="fr-FR"/>
        </w:rPr>
        <w:t>impartialité de cet organe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b)</w:t>
      </w:r>
      <w:r w:rsidRPr="00953995">
        <w:rPr>
          <w:rFonts w:eastAsiaTheme="minorHAnsi"/>
          <w:w w:val="103"/>
          <w:lang w:val="fr-FR"/>
        </w:rPr>
        <w:tab/>
        <w:t>Si tous les agents dont il y a lieu de soupçonner qu’ils ont commis des actes de torture et des mauvais traitements sont systématiquement suspendus ou mutés pendant la durée de l’enquête.</w:t>
      </w:r>
    </w:p>
    <w:p w:rsidR="00953995" w:rsidRPr="00953995" w:rsidRDefault="00953995" w:rsidP="00953995">
      <w:pPr>
        <w:pStyle w:val="H23G"/>
        <w:rPr>
          <w:rFonts w:eastAsiaTheme="minorHAnsi"/>
          <w:w w:val="103"/>
          <w:lang w:val="fr-FR"/>
        </w:rPr>
      </w:pPr>
      <w:r w:rsidRPr="00953995">
        <w:rPr>
          <w:rFonts w:eastAsiaTheme="minorHAnsi"/>
          <w:w w:val="103"/>
          <w:lang w:val="fr-FR"/>
        </w:rPr>
        <w:tab/>
      </w:r>
      <w:r w:rsidRPr="00953995">
        <w:rPr>
          <w:rFonts w:eastAsiaTheme="minorHAnsi"/>
          <w:w w:val="103"/>
          <w:lang w:val="fr-FR"/>
        </w:rPr>
        <w:tab/>
        <w:t>Article 14</w:t>
      </w:r>
    </w:p>
    <w:p w:rsidR="00953995" w:rsidRPr="00953995" w:rsidRDefault="00953995" w:rsidP="00953995">
      <w:pPr>
        <w:pStyle w:val="SingleTxtG"/>
        <w:rPr>
          <w:rFonts w:eastAsiaTheme="minorHAnsi"/>
          <w:w w:val="103"/>
          <w:lang w:val="fr-FR"/>
        </w:rPr>
      </w:pPr>
      <w:r w:rsidRPr="00953995">
        <w:rPr>
          <w:rFonts w:eastAsiaTheme="minorHAnsi"/>
          <w:w w:val="103"/>
          <w:lang w:val="fr-FR"/>
        </w:rPr>
        <w:t>19.</w:t>
      </w:r>
      <w:r w:rsidRPr="00953995">
        <w:rPr>
          <w:rFonts w:eastAsiaTheme="minorHAnsi"/>
          <w:w w:val="103"/>
          <w:lang w:val="fr-FR"/>
        </w:rPr>
        <w:tab/>
        <w:t>Compte tenu des précédentes observations finales du Comité (par. 17) et eu égard aux dispositions du paragraphe 46 de l’observation générale n</w:t>
      </w:r>
      <w:r w:rsidRPr="00953995">
        <w:rPr>
          <w:rFonts w:eastAsiaTheme="minorHAnsi"/>
          <w:w w:val="103"/>
          <w:vertAlign w:val="superscript"/>
          <w:lang w:val="fr-FR"/>
        </w:rPr>
        <w:t>o</w:t>
      </w:r>
      <w:r w:rsidRPr="00953995">
        <w:rPr>
          <w:rFonts w:eastAsiaTheme="minorHAnsi"/>
          <w:w w:val="103"/>
          <w:lang w:val="fr-FR"/>
        </w:rPr>
        <w:t> 3 (2012) sur l</w:t>
      </w:r>
      <w:r w:rsidR="00411FB8">
        <w:rPr>
          <w:rFonts w:eastAsiaTheme="minorHAnsi"/>
          <w:w w:val="103"/>
          <w:lang w:val="fr-FR"/>
        </w:rPr>
        <w:t>’application</w:t>
      </w:r>
      <w:r w:rsidRPr="00953995">
        <w:rPr>
          <w:rFonts w:eastAsiaTheme="minorHAnsi"/>
          <w:w w:val="103"/>
          <w:lang w:val="fr-FR"/>
        </w:rPr>
        <w:t xml:space="preserve"> de l’article 14 par les États parties, fournir des informations sur :</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a)</w:t>
      </w:r>
      <w:r w:rsidRPr="00953995">
        <w:rPr>
          <w:rFonts w:eastAsiaTheme="minorHAnsi"/>
          <w:w w:val="103"/>
          <w:lang w:val="fr-FR"/>
        </w:rPr>
        <w:tab/>
        <w:t xml:space="preserve">Les mesures de réparation (restitution, satisfaction, </w:t>
      </w:r>
      <w:r w:rsidR="000763D3">
        <w:rPr>
          <w:rFonts w:eastAsiaTheme="minorHAnsi"/>
          <w:w w:val="103"/>
          <w:lang w:val="fr-FR"/>
        </w:rPr>
        <w:t>dont</w:t>
      </w:r>
      <w:r w:rsidRPr="00953995">
        <w:rPr>
          <w:rFonts w:eastAsiaTheme="minorHAnsi"/>
          <w:w w:val="103"/>
          <w:lang w:val="fr-FR"/>
        </w:rPr>
        <w:t xml:space="preserve"> le rétablissement de la dignité et de la réputation, et garanties de non-répétition) et d’indemnisation accordées par les tribunaux ou d’autres organes administratifs aux victimes de torture et de mauvais traitements et à leur famille depuis l’examen du précédent rapport périodique. Préciser le nombre de demandes d’indemnisation présentées, le nombre auxquelles il a été fait droit, les montants accordés et les sommes effectivement versées dans chaque cas</w:t>
      </w:r>
      <w:r w:rsidR="004F68A8">
        <w:rPr>
          <w:rFonts w:eastAsiaTheme="minorHAnsi"/>
          <w:w w:val="103"/>
          <w:lang w:val="fr-FR"/>
        </w:rPr>
        <w:t> </w:t>
      </w:r>
      <w:r w:rsidR="000409E4">
        <w:rPr>
          <w:rFonts w:eastAsiaTheme="minorHAnsi"/>
          <w:w w:val="103"/>
          <w:lang w:val="fr-FR"/>
        </w:rPr>
        <w:t>;</w:t>
      </w:r>
    </w:p>
    <w:p w:rsidR="00953995" w:rsidRPr="00953995" w:rsidRDefault="00953995" w:rsidP="00A8565B">
      <w:pPr>
        <w:pStyle w:val="SingleTxtG"/>
        <w:ind w:firstLine="567"/>
        <w:rPr>
          <w:rFonts w:eastAsiaTheme="minorHAnsi"/>
          <w:w w:val="103"/>
          <w:lang w:val="fr-FR"/>
        </w:rPr>
      </w:pPr>
      <w:r w:rsidRPr="00953995">
        <w:rPr>
          <w:rFonts w:eastAsiaTheme="minorHAnsi"/>
          <w:w w:val="103"/>
          <w:lang w:val="fr-FR"/>
        </w:rPr>
        <w:t>b)</w:t>
      </w:r>
      <w:r w:rsidRPr="00953995">
        <w:rPr>
          <w:rFonts w:eastAsiaTheme="minorHAnsi"/>
          <w:w w:val="103"/>
          <w:lang w:val="fr-FR"/>
        </w:rPr>
        <w:tab/>
        <w:t>Tout programme de réadaptation pour les victimes de torture et de mauvais traitements, en précisant s’il compren</w:t>
      </w:r>
      <w:r w:rsidR="004354CC">
        <w:rPr>
          <w:rFonts w:eastAsiaTheme="minorHAnsi"/>
          <w:w w:val="103"/>
          <w:lang w:val="fr-FR"/>
        </w:rPr>
        <w:t>d</w:t>
      </w:r>
      <w:r w:rsidRPr="00953995">
        <w:rPr>
          <w:rFonts w:eastAsiaTheme="minorHAnsi"/>
          <w:w w:val="103"/>
          <w:lang w:val="fr-FR"/>
        </w:rPr>
        <w:t xml:space="preserve"> une assistance médicale et psychologique. </w:t>
      </w:r>
    </w:p>
    <w:p w:rsidR="00953995" w:rsidRPr="00953995" w:rsidRDefault="00953995" w:rsidP="00953995">
      <w:pPr>
        <w:pStyle w:val="H23G"/>
        <w:rPr>
          <w:rFonts w:eastAsiaTheme="minorHAnsi"/>
          <w:w w:val="103"/>
          <w:lang w:val="fr-FR"/>
        </w:rPr>
      </w:pPr>
      <w:r w:rsidRPr="00953995">
        <w:rPr>
          <w:rFonts w:eastAsiaTheme="minorHAnsi"/>
          <w:w w:val="103"/>
          <w:lang w:val="fr-FR"/>
        </w:rPr>
        <w:tab/>
      </w:r>
      <w:r w:rsidRPr="00953995">
        <w:rPr>
          <w:rFonts w:eastAsiaTheme="minorHAnsi"/>
          <w:w w:val="103"/>
          <w:lang w:val="fr-FR"/>
        </w:rPr>
        <w:tab/>
        <w:t>Article 16</w:t>
      </w:r>
    </w:p>
    <w:p w:rsidR="00953995" w:rsidRPr="00953995" w:rsidRDefault="00953995" w:rsidP="00953995">
      <w:pPr>
        <w:pStyle w:val="SingleTxtG"/>
        <w:rPr>
          <w:rFonts w:eastAsiaTheme="minorHAnsi"/>
          <w:bCs/>
          <w:w w:val="103"/>
          <w:lang w:val="fr-FR"/>
        </w:rPr>
      </w:pPr>
      <w:r w:rsidRPr="00953995">
        <w:rPr>
          <w:rFonts w:eastAsiaTheme="minorHAnsi"/>
          <w:w w:val="103"/>
          <w:lang w:val="fr-FR"/>
        </w:rPr>
        <w:t>20.</w:t>
      </w:r>
      <w:r w:rsidRPr="00953995">
        <w:rPr>
          <w:rFonts w:eastAsiaTheme="minorHAnsi"/>
          <w:w w:val="103"/>
          <w:lang w:val="fr-FR"/>
        </w:rPr>
        <w:tab/>
        <w:t>Compte tenu des précédentes observations finales du Comité (par. 12), fournir des renseignements</w:t>
      </w:r>
      <w:r w:rsidR="00FA52DA">
        <w:rPr>
          <w:rFonts w:eastAsiaTheme="minorHAnsi"/>
          <w:w w:val="103"/>
          <w:lang w:val="fr-FR"/>
        </w:rPr>
        <w:t xml:space="preserve"> </w:t>
      </w:r>
      <w:r w:rsidRPr="00953995">
        <w:rPr>
          <w:rFonts w:eastAsiaTheme="minorHAnsi"/>
          <w:w w:val="103"/>
          <w:lang w:val="fr-FR"/>
        </w:rPr>
        <w:t xml:space="preserve">relatifs à la lutte contre </w:t>
      </w:r>
      <w:r w:rsidR="00E47319">
        <w:rPr>
          <w:rFonts w:eastAsiaTheme="minorHAnsi"/>
          <w:w w:val="103"/>
          <w:lang w:val="fr-FR"/>
        </w:rPr>
        <w:t>l</w:t>
      </w:r>
      <w:r w:rsidR="00E47319" w:rsidRPr="00953995">
        <w:rPr>
          <w:rFonts w:eastAsiaTheme="minorHAnsi"/>
          <w:w w:val="103"/>
          <w:lang w:val="fr-FR"/>
        </w:rPr>
        <w:t xml:space="preserve">es </w:t>
      </w:r>
      <w:r w:rsidRPr="00953995">
        <w:rPr>
          <w:rFonts w:eastAsiaTheme="minorHAnsi"/>
          <w:w w:val="103"/>
          <w:lang w:val="fr-FR"/>
        </w:rPr>
        <w:t xml:space="preserve">actes racistes et xénophobes et, notamment, </w:t>
      </w:r>
      <w:r w:rsidR="00B93A86">
        <w:rPr>
          <w:rFonts w:eastAsiaTheme="minorHAnsi"/>
          <w:w w:val="103"/>
          <w:lang w:val="fr-FR"/>
        </w:rPr>
        <w:t>aux</w:t>
      </w:r>
      <w:r w:rsidR="00B93A86" w:rsidRPr="00953995">
        <w:rPr>
          <w:rFonts w:eastAsiaTheme="minorHAnsi"/>
          <w:w w:val="103"/>
          <w:lang w:val="fr-FR"/>
        </w:rPr>
        <w:t xml:space="preserve"> </w:t>
      </w:r>
      <w:r w:rsidRPr="00953995">
        <w:rPr>
          <w:rFonts w:eastAsiaTheme="minorHAnsi"/>
          <w:w w:val="103"/>
          <w:lang w:val="fr-FR"/>
        </w:rPr>
        <w:t>mesures prises pour prévenir, interdire et sanctionner les violences ou l’incitation à la haine visant des groupes vulnérables et l’usage excessif de la force par la police vis-à-vis des membres de minorités, et pour garantir que ces agissements fassent effectivement l’objet d’enquêtes et que les auteurs soient poursuivis.</w:t>
      </w:r>
    </w:p>
    <w:p w:rsidR="00953995" w:rsidRPr="00953995" w:rsidRDefault="00953995" w:rsidP="00953995">
      <w:pPr>
        <w:pStyle w:val="SingleTxtG"/>
        <w:rPr>
          <w:rFonts w:eastAsiaTheme="minorHAnsi"/>
          <w:lang w:val="fr-FR"/>
        </w:rPr>
      </w:pPr>
      <w:r w:rsidRPr="00953995">
        <w:rPr>
          <w:rFonts w:eastAsiaTheme="minorHAnsi"/>
          <w:lang w:val="fr-FR"/>
        </w:rPr>
        <w:lastRenderedPageBreak/>
        <w:t>21.</w:t>
      </w:r>
      <w:r w:rsidRPr="00953995">
        <w:rPr>
          <w:rFonts w:eastAsiaTheme="minorHAnsi"/>
          <w:lang w:val="fr-FR"/>
        </w:rPr>
        <w:tab/>
        <w:t>Compte tenu des précédentes observations finales du Comité (par. 13), donner des renseignements sur les mesures adoptées par l’État partie pour renforcer les droits des enfants en conflit avec la loi et leur protection dans les lieux de détention et les prisons. Indiquer en particulier</w:t>
      </w:r>
      <w:r w:rsidR="004F68A8">
        <w:rPr>
          <w:rFonts w:eastAsiaTheme="minorHAnsi"/>
          <w:lang w:val="fr-FR"/>
        </w:rPr>
        <w:t> </w:t>
      </w:r>
      <w:r w:rsidRPr="00953995">
        <w:rPr>
          <w:rFonts w:eastAsiaTheme="minorHAnsi"/>
          <w:lang w:val="fr-FR"/>
        </w:rPr>
        <w:t>:</w:t>
      </w:r>
    </w:p>
    <w:p w:rsidR="00953995" w:rsidRPr="00953995" w:rsidRDefault="00953995" w:rsidP="00A8565B">
      <w:pPr>
        <w:pStyle w:val="SingleTxtG"/>
        <w:ind w:firstLine="567"/>
        <w:rPr>
          <w:rFonts w:eastAsiaTheme="minorHAnsi"/>
          <w:lang w:val="fr-FR"/>
        </w:rPr>
      </w:pPr>
      <w:r>
        <w:rPr>
          <w:rFonts w:eastAsiaTheme="minorHAnsi"/>
          <w:lang w:val="fr-FR"/>
        </w:rPr>
        <w:t>a)</w:t>
      </w:r>
      <w:r w:rsidRPr="00953995">
        <w:rPr>
          <w:rFonts w:eastAsiaTheme="minorHAnsi"/>
          <w:lang w:val="fr-FR"/>
        </w:rPr>
        <w:tab/>
        <w:t xml:space="preserve">Le calendrier pour l’ouverture et </w:t>
      </w:r>
      <w:r w:rsidR="00E47319">
        <w:rPr>
          <w:rFonts w:eastAsiaTheme="minorHAnsi"/>
          <w:lang w:val="fr-FR"/>
        </w:rPr>
        <w:t xml:space="preserve">la </w:t>
      </w:r>
      <w:r w:rsidRPr="00953995">
        <w:rPr>
          <w:rFonts w:eastAsiaTheme="minorHAnsi"/>
          <w:lang w:val="fr-FR"/>
        </w:rPr>
        <w:t>mise en fonctionnement de l</w:t>
      </w:r>
      <w:r w:rsidR="004F68A8">
        <w:rPr>
          <w:rFonts w:eastAsiaTheme="minorHAnsi"/>
          <w:lang w:val="fr-FR"/>
        </w:rPr>
        <w:t>’</w:t>
      </w:r>
      <w:r w:rsidRPr="00953995">
        <w:rPr>
          <w:rFonts w:eastAsiaTheme="minorHAnsi"/>
          <w:lang w:val="fr-FR"/>
        </w:rPr>
        <w:t>unité de sécurité dans l’enceinte de l’internat du Centre socioéducatif de l’</w:t>
      </w:r>
      <w:r w:rsidR="009A437F">
        <w:rPr>
          <w:rFonts w:eastAsiaTheme="minorHAnsi"/>
          <w:w w:val="103"/>
          <w:lang w:val="fr-FR"/>
        </w:rPr>
        <w:t>É</w:t>
      </w:r>
      <w:r w:rsidRPr="00953995">
        <w:rPr>
          <w:rFonts w:eastAsiaTheme="minorHAnsi"/>
          <w:lang w:val="fr-FR"/>
        </w:rPr>
        <w:t xml:space="preserve">tat </w:t>
      </w:r>
      <w:r w:rsidR="00F54B52">
        <w:rPr>
          <w:rFonts w:eastAsiaTheme="minorHAnsi"/>
          <w:lang w:val="fr-FR"/>
        </w:rPr>
        <w:t>à</w:t>
      </w:r>
      <w:r w:rsidR="00F54B52" w:rsidRPr="00953995">
        <w:rPr>
          <w:rFonts w:eastAsiaTheme="minorHAnsi"/>
          <w:lang w:val="fr-FR"/>
        </w:rPr>
        <w:t xml:space="preserve"> </w:t>
      </w:r>
      <w:proofErr w:type="spellStart"/>
      <w:r w:rsidRPr="00953995">
        <w:rPr>
          <w:rFonts w:eastAsiaTheme="minorHAnsi"/>
          <w:lang w:val="fr-FR"/>
        </w:rPr>
        <w:t>Dreiborn</w:t>
      </w:r>
      <w:proofErr w:type="spellEnd"/>
      <w:r w:rsidRPr="00953995">
        <w:rPr>
          <w:rFonts w:eastAsiaTheme="minorHAnsi"/>
          <w:lang w:val="fr-FR"/>
        </w:rPr>
        <w:t xml:space="preserve"> et les mesures </w:t>
      </w:r>
      <w:r w:rsidR="00660B53">
        <w:rPr>
          <w:rFonts w:eastAsiaTheme="minorHAnsi"/>
          <w:lang w:val="fr-FR"/>
        </w:rPr>
        <w:t xml:space="preserve">prises </w:t>
      </w:r>
      <w:r w:rsidRPr="00953995">
        <w:rPr>
          <w:rFonts w:eastAsiaTheme="minorHAnsi"/>
          <w:lang w:val="fr-FR"/>
        </w:rPr>
        <w:t>pour que les mineurs au centre pénitentiaire de Luxembourg soient entretemps</w:t>
      </w:r>
      <w:r w:rsidR="00901681">
        <w:rPr>
          <w:rFonts w:eastAsiaTheme="minorHAnsi"/>
          <w:lang w:val="fr-FR"/>
        </w:rPr>
        <w:t xml:space="preserve"> totalement séparés des adultes</w:t>
      </w:r>
      <w:r w:rsidR="004F68A8">
        <w:rPr>
          <w:rFonts w:eastAsiaTheme="minorHAnsi"/>
          <w:lang w:val="fr-FR"/>
        </w:rPr>
        <w:t> </w:t>
      </w:r>
      <w:r w:rsidR="00901681">
        <w:rPr>
          <w:rFonts w:eastAsiaTheme="minorHAnsi"/>
          <w:lang w:val="fr-FR"/>
        </w:rPr>
        <w:t>;</w:t>
      </w:r>
    </w:p>
    <w:p w:rsidR="00953995" w:rsidRPr="00953995" w:rsidRDefault="00953995" w:rsidP="00A8565B">
      <w:pPr>
        <w:pStyle w:val="SingleTxtG"/>
        <w:ind w:firstLine="567"/>
        <w:rPr>
          <w:rFonts w:eastAsiaTheme="minorHAnsi"/>
          <w:lang w:val="fr-FR"/>
        </w:rPr>
      </w:pPr>
      <w:r w:rsidRPr="00953995">
        <w:rPr>
          <w:rFonts w:eastAsiaTheme="minorHAnsi"/>
          <w:lang w:val="fr-FR"/>
        </w:rPr>
        <w:t>b</w:t>
      </w:r>
      <w:r>
        <w:rPr>
          <w:rFonts w:eastAsiaTheme="minorHAnsi"/>
          <w:lang w:val="fr-FR"/>
        </w:rPr>
        <w:t>)</w:t>
      </w:r>
      <w:r>
        <w:rPr>
          <w:rFonts w:eastAsiaTheme="minorHAnsi"/>
          <w:lang w:val="fr-FR"/>
        </w:rPr>
        <w:tab/>
      </w:r>
      <w:r w:rsidRPr="00953995">
        <w:rPr>
          <w:rFonts w:eastAsiaTheme="minorHAnsi"/>
          <w:lang w:val="fr-FR"/>
        </w:rPr>
        <w:t>Les mesures prises pour garantir que les moins de 18 ans qui sont en conflit avec la loi ne soient privés de liberté qu’en dernier recours,</w:t>
      </w:r>
      <w:r w:rsidR="005278D2">
        <w:rPr>
          <w:rFonts w:eastAsiaTheme="minorHAnsi"/>
          <w:lang w:val="fr-FR"/>
        </w:rPr>
        <w:t xml:space="preserve"> et</w:t>
      </w:r>
      <w:r w:rsidRPr="00953995">
        <w:rPr>
          <w:rFonts w:eastAsiaTheme="minorHAnsi"/>
          <w:lang w:val="fr-FR"/>
        </w:rPr>
        <w:t xml:space="preserve"> soient jugés par des tribunaux pour mineurs et </w:t>
      </w:r>
      <w:r w:rsidR="005278D2">
        <w:rPr>
          <w:rFonts w:eastAsiaTheme="minorHAnsi"/>
          <w:lang w:val="fr-FR"/>
        </w:rPr>
        <w:t>en</w:t>
      </w:r>
      <w:r w:rsidR="005278D2" w:rsidRPr="00953995">
        <w:rPr>
          <w:rFonts w:eastAsiaTheme="minorHAnsi"/>
          <w:lang w:val="fr-FR"/>
        </w:rPr>
        <w:t xml:space="preserve"> </w:t>
      </w:r>
      <w:r w:rsidRPr="00953995">
        <w:rPr>
          <w:rFonts w:eastAsiaTheme="minorHAnsi"/>
          <w:lang w:val="fr-FR"/>
        </w:rPr>
        <w:t>favoris</w:t>
      </w:r>
      <w:r w:rsidR="005278D2">
        <w:rPr>
          <w:rFonts w:eastAsiaTheme="minorHAnsi"/>
          <w:lang w:val="fr-FR"/>
        </w:rPr>
        <w:t>ant</w:t>
      </w:r>
      <w:r w:rsidRPr="00953995">
        <w:rPr>
          <w:rFonts w:eastAsiaTheme="minorHAnsi"/>
          <w:lang w:val="fr-FR"/>
        </w:rPr>
        <w:t xml:space="preserve"> l’application de mesures de substitution. Indiquer le </w:t>
      </w:r>
      <w:r w:rsidR="005278D2">
        <w:rPr>
          <w:rFonts w:eastAsiaTheme="minorHAnsi"/>
          <w:lang w:val="fr-FR"/>
        </w:rPr>
        <w:t>nombre</w:t>
      </w:r>
      <w:r w:rsidR="005278D2" w:rsidRPr="00953995">
        <w:rPr>
          <w:rFonts w:eastAsiaTheme="minorHAnsi"/>
          <w:lang w:val="fr-FR"/>
        </w:rPr>
        <w:t xml:space="preserve"> </w:t>
      </w:r>
      <w:r w:rsidRPr="00953995">
        <w:rPr>
          <w:rFonts w:eastAsiaTheme="minorHAnsi"/>
          <w:lang w:val="fr-FR"/>
        </w:rPr>
        <w:t xml:space="preserve">annuel, ventilé par âge, sexe et origine ethnique, de mineurs qui ont été inculpés et condamnés à des peines d’emprisonnement par rapport à ceux qui ont obtenu des mesures de substitution. </w:t>
      </w:r>
    </w:p>
    <w:p w:rsidR="00953995" w:rsidRPr="00953995" w:rsidRDefault="00953995" w:rsidP="00953995">
      <w:pPr>
        <w:pStyle w:val="H23G"/>
        <w:rPr>
          <w:rFonts w:eastAsiaTheme="minorHAnsi"/>
          <w:w w:val="103"/>
          <w:lang w:val="fr-FR"/>
        </w:rPr>
      </w:pPr>
      <w:r>
        <w:rPr>
          <w:rFonts w:eastAsiaTheme="minorHAnsi"/>
          <w:w w:val="103"/>
          <w:lang w:val="fr-FR"/>
        </w:rPr>
        <w:tab/>
      </w:r>
      <w:r>
        <w:rPr>
          <w:rFonts w:eastAsiaTheme="minorHAnsi"/>
          <w:w w:val="103"/>
          <w:lang w:val="fr-FR"/>
        </w:rPr>
        <w:tab/>
      </w:r>
      <w:r w:rsidRPr="00953995">
        <w:rPr>
          <w:rFonts w:eastAsiaTheme="minorHAnsi"/>
          <w:w w:val="103"/>
          <w:lang w:val="fr-FR"/>
        </w:rPr>
        <w:t>Renseignements d’ordre général sur les autres mesures et faits nouveaux concernant la mise en œuvre de la Convention dans l’État partie</w:t>
      </w:r>
    </w:p>
    <w:p w:rsidR="00953995" w:rsidRPr="00953995" w:rsidRDefault="00953995" w:rsidP="00953995">
      <w:pPr>
        <w:pStyle w:val="SingleTxtG"/>
        <w:rPr>
          <w:rFonts w:eastAsiaTheme="minorHAnsi"/>
          <w:w w:val="103"/>
          <w:lang w:val="fr-FR"/>
        </w:rPr>
      </w:pPr>
      <w:r w:rsidRPr="00953995">
        <w:rPr>
          <w:rFonts w:eastAsiaTheme="minorHAnsi"/>
          <w:w w:val="103"/>
          <w:lang w:val="fr-FR"/>
        </w:rPr>
        <w:t>22.</w:t>
      </w:r>
      <w:r w:rsidRPr="00953995">
        <w:rPr>
          <w:rFonts w:eastAsiaTheme="minorHAnsi"/>
          <w:w w:val="103"/>
          <w:lang w:val="fr-FR"/>
        </w:rPr>
        <w:tab/>
        <w:t>Donner des informations détaillées sur toute mesure pertinente d’ordre législatif, administratif, judiciaire ou autre qui a été prise depuis l’examen du précédent rapport périodique pour mettre en œuvre les dispositions de la Convention ou pour donner suite aux recommandations du Comité. Il peut s’agir aussi de changements institutionnels et de plans ou programmes. Préciser les ressources allouées et fournir des données statistiques ou tout autre renseignement que l’État partie estime utile.</w:t>
      </w:r>
    </w:p>
    <w:p w:rsidR="00953995" w:rsidRPr="00953995" w:rsidRDefault="00953995" w:rsidP="00953995">
      <w:pPr>
        <w:spacing w:before="240"/>
        <w:ind w:left="1134" w:right="1134"/>
        <w:jc w:val="center"/>
        <w:rPr>
          <w:u w:val="single"/>
        </w:rPr>
      </w:pPr>
      <w:r>
        <w:rPr>
          <w:u w:val="single"/>
        </w:rPr>
        <w:tab/>
      </w:r>
      <w:r>
        <w:rPr>
          <w:u w:val="single"/>
        </w:rPr>
        <w:tab/>
      </w:r>
      <w:r>
        <w:rPr>
          <w:u w:val="single"/>
        </w:rPr>
        <w:tab/>
      </w:r>
    </w:p>
    <w:sectPr w:rsidR="00953995" w:rsidRPr="00953995" w:rsidSect="008D53FE">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9B" w:rsidRDefault="008B039B"/>
  </w:endnote>
  <w:endnote w:type="continuationSeparator" w:id="0">
    <w:p w:rsidR="008B039B" w:rsidRDefault="008B039B"/>
  </w:endnote>
  <w:endnote w:type="continuationNotice" w:id="1">
    <w:p w:rsidR="008B039B" w:rsidRDefault="008B0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B" w:rsidRPr="008B039B" w:rsidRDefault="008B039B" w:rsidP="008B039B">
    <w:pPr>
      <w:pStyle w:val="Pieddepage"/>
      <w:tabs>
        <w:tab w:val="right" w:pos="9638"/>
      </w:tabs>
    </w:pPr>
    <w:r w:rsidRPr="008B039B">
      <w:rPr>
        <w:b/>
        <w:sz w:val="18"/>
      </w:rPr>
      <w:fldChar w:fldCharType="begin"/>
    </w:r>
    <w:r w:rsidRPr="008B039B">
      <w:rPr>
        <w:b/>
        <w:sz w:val="18"/>
      </w:rPr>
      <w:instrText xml:space="preserve"> PAGE  \* MERGEFORMAT </w:instrText>
    </w:r>
    <w:r w:rsidRPr="008B039B">
      <w:rPr>
        <w:b/>
        <w:sz w:val="18"/>
      </w:rPr>
      <w:fldChar w:fldCharType="separate"/>
    </w:r>
    <w:r w:rsidR="00A2399C">
      <w:rPr>
        <w:b/>
        <w:noProof/>
        <w:sz w:val="18"/>
      </w:rPr>
      <w:t>2</w:t>
    </w:r>
    <w:r w:rsidRPr="008B039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B" w:rsidRPr="008B039B" w:rsidRDefault="008B039B" w:rsidP="008B039B">
    <w:pPr>
      <w:pStyle w:val="Pieddepage"/>
      <w:tabs>
        <w:tab w:val="right" w:pos="9638"/>
      </w:tabs>
      <w:rPr>
        <w:b/>
        <w:sz w:val="18"/>
      </w:rPr>
    </w:pPr>
    <w:r>
      <w:tab/>
    </w:r>
    <w:r w:rsidRPr="008B039B">
      <w:rPr>
        <w:b/>
        <w:sz w:val="18"/>
      </w:rPr>
      <w:fldChar w:fldCharType="begin"/>
    </w:r>
    <w:r w:rsidRPr="008B039B">
      <w:rPr>
        <w:b/>
        <w:sz w:val="18"/>
      </w:rPr>
      <w:instrText xml:space="preserve"> PAGE  \* MERGEFORMAT </w:instrText>
    </w:r>
    <w:r w:rsidRPr="008B039B">
      <w:rPr>
        <w:b/>
        <w:sz w:val="18"/>
      </w:rPr>
      <w:fldChar w:fldCharType="separate"/>
    </w:r>
    <w:r w:rsidR="00A2399C">
      <w:rPr>
        <w:b/>
        <w:noProof/>
        <w:sz w:val="18"/>
      </w:rPr>
      <w:t>7</w:t>
    </w:r>
    <w:r w:rsidRPr="008B03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99C" w:rsidRPr="00A2399C" w:rsidRDefault="00A2399C">
    <w:pPr>
      <w:pStyle w:val="Pieddepage"/>
      <w:rPr>
        <w:rFonts w:ascii="C39T30Lfz" w:hAnsi="C39T30Lfz"/>
        <w:sz w:val="56"/>
      </w:rPr>
    </w:pPr>
    <w:r>
      <w:rPr>
        <w:noProof/>
        <w:lang w:eastAsia="fr-CH"/>
      </w:rPr>
      <w:drawing>
        <wp:anchor distT="0" distB="0" distL="114300" distR="114300" simplePos="0" relativeHeight="251660288" behindDoc="0" locked="0" layoutInCell="1" allowOverlap="1" wp14:anchorId="437E2898" wp14:editId="59E817F9">
          <wp:simplePos x="0" y="0"/>
          <wp:positionH relativeFrom="column">
            <wp:posOffset>5476875</wp:posOffset>
          </wp:positionH>
          <wp:positionV relativeFrom="paragraph">
            <wp:posOffset>0</wp:posOffset>
          </wp:positionV>
          <wp:extent cx="638175" cy="638175"/>
          <wp:effectExtent l="0" t="0" r="9525" b="9525"/>
          <wp:wrapNone/>
          <wp:docPr id="3" name="Image 1" descr="https://undocs.org/m2/QRCode.ashx?DS=CAT/C/LUX/QPR/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UX/QPR/8&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9264" behindDoc="0" locked="0" layoutInCell="1" allowOverlap="0" wp14:anchorId="1504E341" wp14:editId="778EFC9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w:t>
    </w:r>
    <w:r>
      <w:rPr>
        <w:sz w:val="20"/>
      </w:rPr>
      <w:t>8952</w:t>
    </w:r>
    <w:r>
      <w:rPr>
        <w:sz w:val="20"/>
      </w:rPr>
      <w:t xml:space="preserve">  (F)</w:t>
    </w:r>
    <w:r>
      <w:br/>
    </w:r>
    <w:r w:rsidRPr="00A2399C">
      <w:rPr>
        <w:rFonts w:ascii="C39T30Lfz" w:hAnsi="C39T30Lfz"/>
        <w:sz w:val="56"/>
      </w:rPr>
      <w:t></w:t>
    </w:r>
    <w:r w:rsidRPr="00A2399C">
      <w:rPr>
        <w:rFonts w:ascii="C39T30Lfz" w:hAnsi="C39T30Lfz"/>
        <w:sz w:val="56"/>
      </w:rPr>
      <w:t></w:t>
    </w:r>
    <w:r w:rsidRPr="00A2399C">
      <w:rPr>
        <w:rFonts w:ascii="C39T30Lfz" w:hAnsi="C39T30Lfz"/>
        <w:sz w:val="56"/>
      </w:rPr>
      <w:t></w:t>
    </w:r>
    <w:r w:rsidRPr="00A2399C">
      <w:rPr>
        <w:rFonts w:ascii="C39T30Lfz" w:hAnsi="C39T30Lfz"/>
        <w:sz w:val="56"/>
      </w:rPr>
      <w:t></w:t>
    </w:r>
    <w:r w:rsidRPr="00A2399C">
      <w:rPr>
        <w:rFonts w:ascii="C39T30Lfz" w:hAnsi="C39T30Lfz"/>
        <w:sz w:val="56"/>
      </w:rPr>
      <w:t></w:t>
    </w:r>
    <w:r w:rsidRPr="00A2399C">
      <w:rPr>
        <w:rFonts w:ascii="C39T30Lfz" w:hAnsi="C39T30Lfz"/>
        <w:sz w:val="56"/>
      </w:rPr>
      <w:t></w:t>
    </w:r>
    <w:r w:rsidRPr="00A2399C">
      <w:rPr>
        <w:rFonts w:ascii="C39T30Lfz" w:hAnsi="C39T30Lfz"/>
        <w:sz w:val="56"/>
      </w:rPr>
      <w:t></w:t>
    </w:r>
    <w:r w:rsidRPr="00A2399C">
      <w:rPr>
        <w:rFonts w:ascii="C39T30Lfz" w:hAnsi="C39T30Lfz"/>
        <w:sz w:val="56"/>
      </w:rPr>
      <w:t></w:t>
    </w:r>
    <w:r w:rsidRPr="00A2399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9B" w:rsidRPr="00D27D5E" w:rsidRDefault="008B039B" w:rsidP="00D27D5E">
      <w:pPr>
        <w:tabs>
          <w:tab w:val="right" w:pos="2155"/>
        </w:tabs>
        <w:spacing w:after="80"/>
        <w:ind w:left="680"/>
        <w:rPr>
          <w:u w:val="single"/>
        </w:rPr>
      </w:pPr>
      <w:r>
        <w:rPr>
          <w:u w:val="single"/>
        </w:rPr>
        <w:tab/>
      </w:r>
    </w:p>
  </w:footnote>
  <w:footnote w:type="continuationSeparator" w:id="0">
    <w:p w:rsidR="008B039B" w:rsidRPr="00A103C4" w:rsidRDefault="008B039B" w:rsidP="00A103C4">
      <w:pPr>
        <w:tabs>
          <w:tab w:val="right" w:pos="2155"/>
        </w:tabs>
        <w:spacing w:after="80"/>
        <w:ind w:left="680"/>
        <w:rPr>
          <w:u w:val="single"/>
        </w:rPr>
      </w:pPr>
      <w:r w:rsidRPr="00A103C4">
        <w:rPr>
          <w:u w:val="single"/>
        </w:rPr>
        <w:tab/>
      </w:r>
    </w:p>
  </w:footnote>
  <w:footnote w:type="continuationNotice" w:id="1">
    <w:p w:rsidR="008B039B" w:rsidRDefault="008B039B"/>
  </w:footnote>
  <w:footnote w:id="2">
    <w:p w:rsidR="00953995" w:rsidRPr="005E4229" w:rsidRDefault="00953995" w:rsidP="00953995">
      <w:pPr>
        <w:pStyle w:val="Notedebasdepage"/>
      </w:pPr>
      <w:r>
        <w:rPr>
          <w:rStyle w:val="Appelnotedebasdep"/>
        </w:rPr>
        <w:tab/>
      </w:r>
      <w:r w:rsidRPr="00A8565B">
        <w:rPr>
          <w:rStyle w:val="Appelnotedebasdep"/>
          <w:sz w:val="20"/>
          <w:vertAlign w:val="baseline"/>
        </w:rPr>
        <w:t>*</w:t>
      </w:r>
      <w:r>
        <w:rPr>
          <w:rStyle w:val="Appelnotedebasdep"/>
          <w:sz w:val="20"/>
        </w:rPr>
        <w:tab/>
      </w:r>
      <w:r w:rsidR="00892F8C">
        <w:rPr>
          <w:lang w:val="fr-FR"/>
        </w:rPr>
        <w:t>Adoptée</w:t>
      </w:r>
      <w:r w:rsidR="00BE532C">
        <w:rPr>
          <w:lang w:val="fr-FR"/>
        </w:rPr>
        <w:t xml:space="preserve"> par le Comité à sa soix</w:t>
      </w:r>
      <w:r w:rsidR="00F92A7F">
        <w:rPr>
          <w:lang w:val="fr-FR"/>
        </w:rPr>
        <w:t>ant</w:t>
      </w:r>
      <w:r w:rsidR="00BE532C">
        <w:rPr>
          <w:lang w:val="fr-FR"/>
        </w:rPr>
        <w:t xml:space="preserve">ième </w:t>
      </w:r>
      <w:r w:rsidR="00BE532C" w:rsidRPr="00BE532C">
        <w:rPr>
          <w:lang w:val="fr-FR"/>
        </w:rPr>
        <w:t>session (</w:t>
      </w:r>
      <w:r w:rsidR="00BE532C">
        <w:rPr>
          <w:lang w:val="fr-FR"/>
        </w:rPr>
        <w:t>18 avril-12 mai 2017</w:t>
      </w:r>
      <w:r w:rsidR="00BE532C" w:rsidRPr="00BE532C">
        <w:rPr>
          <w:lang w:val="fr-FR"/>
        </w:rPr>
        <w:t>).</w:t>
      </w:r>
    </w:p>
  </w:footnote>
  <w:footnote w:id="3">
    <w:p w:rsidR="00953995" w:rsidRPr="00514F30" w:rsidRDefault="00953995" w:rsidP="00FA52DA">
      <w:pPr>
        <w:pStyle w:val="Notedebasdepage"/>
        <w:rPr>
          <w:spacing w:val="5"/>
          <w:w w:val="104"/>
        </w:rPr>
      </w:pPr>
      <w:r>
        <w:tab/>
      </w:r>
      <w:r>
        <w:rPr>
          <w:rStyle w:val="Appelnotedebasdep"/>
        </w:rPr>
        <w:footnoteRef/>
      </w:r>
      <w:r w:rsidR="00FA52DA">
        <w:tab/>
      </w:r>
      <w:r w:rsidRPr="00514F30">
        <w:t xml:space="preserve">Les </w:t>
      </w:r>
      <w:r w:rsidR="00EC72B3">
        <w:t>questions</w:t>
      </w:r>
      <w:r w:rsidR="00EC72B3" w:rsidRPr="00514F30">
        <w:t xml:space="preserve"> </w:t>
      </w:r>
      <w:r w:rsidRPr="00514F30">
        <w:t>soulevé</w:t>
      </w:r>
      <w:r w:rsidR="00EC72B3">
        <w:t>e</w:t>
      </w:r>
      <w:r w:rsidRPr="00514F30">
        <w:t>s au titre de l’article 2 peuvent également l’être a</w:t>
      </w:r>
      <w:r>
        <w:t xml:space="preserve">u titre d’autres articles de la </w:t>
      </w:r>
      <w:r w:rsidRPr="00514F30">
        <w:t xml:space="preserve">Convention, notamment </w:t>
      </w:r>
      <w:r w:rsidR="00EC72B3">
        <w:t xml:space="preserve">de </w:t>
      </w:r>
      <w:r w:rsidRPr="00514F30">
        <w:t>l’article 16. Comme il est indiqué au paragraphe</w:t>
      </w:r>
      <w:r>
        <w:t> </w:t>
      </w:r>
      <w:r w:rsidRPr="00514F30">
        <w:t xml:space="preserve">3 de l’observation générale </w:t>
      </w:r>
      <w:r>
        <w:t>n</w:t>
      </w:r>
      <w:r w:rsidRPr="00514F30">
        <w:rPr>
          <w:vertAlign w:val="superscript"/>
        </w:rPr>
        <w:t>o</w:t>
      </w:r>
      <w:r>
        <w:t> </w:t>
      </w:r>
      <w:r w:rsidRPr="00514F30">
        <w:t>2 (2007) du Comité sur l’application de l’article 2 par les États parties, l’obligation de prévenir la torture consacrée à l’article 2 est de portée large. Cette obligation et celle de prévenir les peines ou traitements cruels, inhumains ou dégradants, énoncée au paragraphe 1 de l’article</w:t>
      </w:r>
      <w:r>
        <w:t> </w:t>
      </w:r>
      <w:r w:rsidRPr="00514F30">
        <w:t>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w:t>
      </w:r>
      <w:r>
        <w:t> </w:t>
      </w:r>
      <w:r w:rsidRPr="00514F30">
        <w:t>V de cette même observation générale.</w:t>
      </w:r>
    </w:p>
  </w:footnote>
  <w:footnote w:id="4">
    <w:p w:rsidR="00953995" w:rsidRPr="00214150" w:rsidRDefault="00953995" w:rsidP="00953995">
      <w:pPr>
        <w:pStyle w:val="Notedebasdepage"/>
      </w:pPr>
      <w:r>
        <w:tab/>
      </w:r>
      <w:r w:rsidRPr="00052055">
        <w:rPr>
          <w:rStyle w:val="Appelnotedebasdep"/>
        </w:rPr>
        <w:footnoteRef/>
      </w:r>
      <w:r w:rsidRPr="00214150">
        <w:tab/>
      </w:r>
      <w:r w:rsidR="00A5644A">
        <w:t>Cour</w:t>
      </w:r>
      <w:r w:rsidR="00A5644A" w:rsidRPr="00C90AC4">
        <w:t xml:space="preserve"> </w:t>
      </w:r>
      <w:r w:rsidR="00A5644A">
        <w:t>européenne des droits de l’homme,</w:t>
      </w:r>
      <w:r w:rsidR="00A5644A" w:rsidDel="00851528">
        <w:t xml:space="preserve"> </w:t>
      </w:r>
      <w:proofErr w:type="spellStart"/>
      <w:r w:rsidRPr="00A97B50">
        <w:rPr>
          <w:i/>
        </w:rPr>
        <w:t>Sharifi</w:t>
      </w:r>
      <w:proofErr w:type="spellEnd"/>
      <w:r w:rsidRPr="00A97B50">
        <w:rPr>
          <w:i/>
        </w:rPr>
        <w:t xml:space="preserve"> et autres </w:t>
      </w:r>
      <w:r w:rsidRPr="00A8565B">
        <w:rPr>
          <w:i/>
        </w:rPr>
        <w:t>c.</w:t>
      </w:r>
      <w:r w:rsidRPr="00A97B50">
        <w:rPr>
          <w:i/>
        </w:rPr>
        <w:t xml:space="preserve"> Italie et Grèce</w:t>
      </w:r>
      <w:r w:rsidRPr="00C90AC4">
        <w:t xml:space="preserve">, </w:t>
      </w:r>
      <w:r w:rsidR="00A5644A">
        <w:t>n</w:t>
      </w:r>
      <w:r w:rsidR="00A5644A" w:rsidRPr="00A8565B">
        <w:rPr>
          <w:vertAlign w:val="superscript"/>
        </w:rPr>
        <w:t>o</w:t>
      </w:r>
      <w:r w:rsidR="00A5644A">
        <w:t> 16643/09,</w:t>
      </w:r>
      <w:r>
        <w:t xml:space="preserve"> </w:t>
      </w:r>
      <w:r w:rsidRPr="00C90AC4">
        <w:t>21</w:t>
      </w:r>
      <w:r>
        <w:t xml:space="preserve"> octobre </w:t>
      </w:r>
      <w:r w:rsidRPr="00C90AC4">
        <w:t>2014</w:t>
      </w:r>
      <w:r>
        <w:t>.</w:t>
      </w:r>
    </w:p>
  </w:footnote>
  <w:footnote w:id="5">
    <w:p w:rsidR="00953995" w:rsidRPr="00C50441" w:rsidRDefault="00953995" w:rsidP="00953995">
      <w:pPr>
        <w:pStyle w:val="Notedebasdepage"/>
      </w:pPr>
      <w:r>
        <w:tab/>
      </w:r>
      <w:r w:rsidRPr="00052055">
        <w:rPr>
          <w:rStyle w:val="Appelnotedebasdep"/>
        </w:rPr>
        <w:footnoteRef/>
      </w:r>
      <w:r w:rsidRPr="00616C72">
        <w:tab/>
      </w:r>
      <w:r w:rsidR="00681DF9" w:rsidRPr="00C50441">
        <w:t>Cour européenne de</w:t>
      </w:r>
      <w:r w:rsidR="00681DF9">
        <w:t>s</w:t>
      </w:r>
      <w:r w:rsidR="00681DF9" w:rsidRPr="00C50441">
        <w:t xml:space="preserve"> droits de l</w:t>
      </w:r>
      <w:r w:rsidR="00681DF9">
        <w:t>’</w:t>
      </w:r>
      <w:r w:rsidR="00681DF9" w:rsidRPr="00C50441">
        <w:t>homme</w:t>
      </w:r>
      <w:r w:rsidR="00681DF9">
        <w:t xml:space="preserve">, </w:t>
      </w:r>
      <w:r w:rsidRPr="00851528">
        <w:rPr>
          <w:i/>
        </w:rPr>
        <w:t>M. A.</w:t>
      </w:r>
      <w:r w:rsidRPr="00A8565B">
        <w:rPr>
          <w:i/>
        </w:rPr>
        <w:t xml:space="preserve"> c. </w:t>
      </w:r>
      <w:r w:rsidRPr="00851528">
        <w:rPr>
          <w:i/>
        </w:rPr>
        <w:t>Chypre</w:t>
      </w:r>
      <w:r w:rsidRPr="00C50441">
        <w:t xml:space="preserve">, </w:t>
      </w:r>
      <w:r w:rsidR="00681DF9">
        <w:t>n</w:t>
      </w:r>
      <w:r w:rsidR="00681DF9" w:rsidRPr="00A8565B">
        <w:rPr>
          <w:vertAlign w:val="superscript"/>
        </w:rPr>
        <w:t>o</w:t>
      </w:r>
      <w:r w:rsidR="00681DF9">
        <w:t> 41872/10, CEDH 2013 (extraits)</w:t>
      </w:r>
      <w:r w:rsidRPr="00C5044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B" w:rsidRPr="008B039B" w:rsidRDefault="008B039B">
    <w:pPr>
      <w:pStyle w:val="En-tte"/>
    </w:pPr>
    <w:r>
      <w:t>CAT/C/LUX/QPR/8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B" w:rsidRPr="008B039B" w:rsidRDefault="008B039B" w:rsidP="008B039B">
    <w:pPr>
      <w:pStyle w:val="En-tte"/>
      <w:jc w:val="right"/>
    </w:pPr>
    <w:r>
      <w:t>CAT/C/LUX/QPR/8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941DB0"/>
    <w:multiLevelType w:val="hybridMultilevel"/>
    <w:tmpl w:val="5B2E4A66"/>
    <w:lvl w:ilvl="0" w:tplc="7222118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2"/>
  </w:num>
  <w:num w:numId="6">
    <w:abstractNumId w:val="20"/>
  </w:num>
  <w:num w:numId="7">
    <w:abstractNumId w:val="24"/>
  </w:num>
  <w:num w:numId="8">
    <w:abstractNumId w:val="38"/>
  </w:num>
  <w:num w:numId="9">
    <w:abstractNumId w:val="30"/>
  </w:num>
  <w:num w:numId="10">
    <w:abstractNumId w:val="41"/>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40"/>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9"/>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CA"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9B"/>
    <w:rsid w:val="0000691F"/>
    <w:rsid w:val="00016511"/>
    <w:rsid w:val="00016AC5"/>
    <w:rsid w:val="00016EA0"/>
    <w:rsid w:val="00023376"/>
    <w:rsid w:val="00032725"/>
    <w:rsid w:val="000346C1"/>
    <w:rsid w:val="000409E4"/>
    <w:rsid w:val="000641A8"/>
    <w:rsid w:val="0007244A"/>
    <w:rsid w:val="00072B39"/>
    <w:rsid w:val="00073AA4"/>
    <w:rsid w:val="000763D3"/>
    <w:rsid w:val="0007777E"/>
    <w:rsid w:val="00077F16"/>
    <w:rsid w:val="00085E0B"/>
    <w:rsid w:val="00086D50"/>
    <w:rsid w:val="000936EC"/>
    <w:rsid w:val="00095796"/>
    <w:rsid w:val="000A51BF"/>
    <w:rsid w:val="000B2D38"/>
    <w:rsid w:val="000B4151"/>
    <w:rsid w:val="000C7C40"/>
    <w:rsid w:val="000D1A2A"/>
    <w:rsid w:val="000D697F"/>
    <w:rsid w:val="000E180D"/>
    <w:rsid w:val="000E50F7"/>
    <w:rsid w:val="000E64BD"/>
    <w:rsid w:val="000F41F2"/>
    <w:rsid w:val="00103C55"/>
    <w:rsid w:val="00110163"/>
    <w:rsid w:val="00112EA8"/>
    <w:rsid w:val="001200E9"/>
    <w:rsid w:val="001268BD"/>
    <w:rsid w:val="00136336"/>
    <w:rsid w:val="00140E87"/>
    <w:rsid w:val="00141C7F"/>
    <w:rsid w:val="001443B1"/>
    <w:rsid w:val="001600F5"/>
    <w:rsid w:val="00160540"/>
    <w:rsid w:val="0016134E"/>
    <w:rsid w:val="00173575"/>
    <w:rsid w:val="00180BC0"/>
    <w:rsid w:val="0019109D"/>
    <w:rsid w:val="00192EEB"/>
    <w:rsid w:val="001A20FB"/>
    <w:rsid w:val="001A668D"/>
    <w:rsid w:val="001B6609"/>
    <w:rsid w:val="001C6124"/>
    <w:rsid w:val="001D6FCA"/>
    <w:rsid w:val="001D7F8A"/>
    <w:rsid w:val="001E10A3"/>
    <w:rsid w:val="001E29F9"/>
    <w:rsid w:val="001E3FEB"/>
    <w:rsid w:val="001E4A02"/>
    <w:rsid w:val="0020161B"/>
    <w:rsid w:val="00202F9D"/>
    <w:rsid w:val="00205165"/>
    <w:rsid w:val="00217D12"/>
    <w:rsid w:val="00221CA7"/>
    <w:rsid w:val="0022229E"/>
    <w:rsid w:val="00225A8C"/>
    <w:rsid w:val="0023170D"/>
    <w:rsid w:val="00243AA5"/>
    <w:rsid w:val="00243E50"/>
    <w:rsid w:val="00245B3D"/>
    <w:rsid w:val="00246AA4"/>
    <w:rsid w:val="00250EDC"/>
    <w:rsid w:val="002613DC"/>
    <w:rsid w:val="002659F1"/>
    <w:rsid w:val="00265B99"/>
    <w:rsid w:val="0027237C"/>
    <w:rsid w:val="0028431B"/>
    <w:rsid w:val="00287E79"/>
    <w:rsid w:val="002928F9"/>
    <w:rsid w:val="00297B00"/>
    <w:rsid w:val="002A0072"/>
    <w:rsid w:val="002A5D07"/>
    <w:rsid w:val="002C39A5"/>
    <w:rsid w:val="002D1DA7"/>
    <w:rsid w:val="002D6388"/>
    <w:rsid w:val="002E0C1D"/>
    <w:rsid w:val="002E4065"/>
    <w:rsid w:val="002F1954"/>
    <w:rsid w:val="003016B7"/>
    <w:rsid w:val="00303AE8"/>
    <w:rsid w:val="003105A7"/>
    <w:rsid w:val="00311ADA"/>
    <w:rsid w:val="003217F6"/>
    <w:rsid w:val="00321AA1"/>
    <w:rsid w:val="003232A7"/>
    <w:rsid w:val="00330591"/>
    <w:rsid w:val="003515AA"/>
    <w:rsid w:val="00363567"/>
    <w:rsid w:val="00365256"/>
    <w:rsid w:val="00365AE4"/>
    <w:rsid w:val="0036724F"/>
    <w:rsid w:val="0036787D"/>
    <w:rsid w:val="00374106"/>
    <w:rsid w:val="0037422D"/>
    <w:rsid w:val="00376565"/>
    <w:rsid w:val="0038777C"/>
    <w:rsid w:val="00395895"/>
    <w:rsid w:val="003976D5"/>
    <w:rsid w:val="003B0B19"/>
    <w:rsid w:val="003B1D33"/>
    <w:rsid w:val="003C2314"/>
    <w:rsid w:val="003D4E3D"/>
    <w:rsid w:val="003D6C68"/>
    <w:rsid w:val="003E502E"/>
    <w:rsid w:val="003F2539"/>
    <w:rsid w:val="003F5D6F"/>
    <w:rsid w:val="003F60E4"/>
    <w:rsid w:val="00401D50"/>
    <w:rsid w:val="00402B2F"/>
    <w:rsid w:val="00406EAB"/>
    <w:rsid w:val="00411FB8"/>
    <w:rsid w:val="004159D0"/>
    <w:rsid w:val="00420FFD"/>
    <w:rsid w:val="00422B46"/>
    <w:rsid w:val="00423B7E"/>
    <w:rsid w:val="004354CC"/>
    <w:rsid w:val="004429D7"/>
    <w:rsid w:val="00450B95"/>
    <w:rsid w:val="00455D94"/>
    <w:rsid w:val="0045628B"/>
    <w:rsid w:val="00463160"/>
    <w:rsid w:val="00475F23"/>
    <w:rsid w:val="00492C0B"/>
    <w:rsid w:val="004A51A8"/>
    <w:rsid w:val="004B4C0B"/>
    <w:rsid w:val="004C0F6F"/>
    <w:rsid w:val="004C378A"/>
    <w:rsid w:val="004E1BFC"/>
    <w:rsid w:val="004E6D29"/>
    <w:rsid w:val="004F6095"/>
    <w:rsid w:val="004F68A8"/>
    <w:rsid w:val="00510A8E"/>
    <w:rsid w:val="00511FD1"/>
    <w:rsid w:val="0051585F"/>
    <w:rsid w:val="00523ECB"/>
    <w:rsid w:val="00523ECC"/>
    <w:rsid w:val="00525DBB"/>
    <w:rsid w:val="005278D2"/>
    <w:rsid w:val="0053198E"/>
    <w:rsid w:val="00531F17"/>
    <w:rsid w:val="00543D5E"/>
    <w:rsid w:val="005519B4"/>
    <w:rsid w:val="00555040"/>
    <w:rsid w:val="00555ED2"/>
    <w:rsid w:val="005610B3"/>
    <w:rsid w:val="00571F41"/>
    <w:rsid w:val="005738C6"/>
    <w:rsid w:val="00587BBC"/>
    <w:rsid w:val="005C37E0"/>
    <w:rsid w:val="005C74BF"/>
    <w:rsid w:val="005D0661"/>
    <w:rsid w:val="005D3437"/>
    <w:rsid w:val="005D53CF"/>
    <w:rsid w:val="005D6833"/>
    <w:rsid w:val="005E0932"/>
    <w:rsid w:val="005E5D1F"/>
    <w:rsid w:val="00600E79"/>
    <w:rsid w:val="00611D43"/>
    <w:rsid w:val="00612D48"/>
    <w:rsid w:val="00616AC8"/>
    <w:rsid w:val="00616B45"/>
    <w:rsid w:val="006258F1"/>
    <w:rsid w:val="0063039F"/>
    <w:rsid w:val="00630D9B"/>
    <w:rsid w:val="00631953"/>
    <w:rsid w:val="00633429"/>
    <w:rsid w:val="00633831"/>
    <w:rsid w:val="006343F4"/>
    <w:rsid w:val="00636BB0"/>
    <w:rsid w:val="00641569"/>
    <w:rsid w:val="00641873"/>
    <w:rsid w:val="00643435"/>
    <w:rsid w:val="006439EC"/>
    <w:rsid w:val="00643B19"/>
    <w:rsid w:val="00660B53"/>
    <w:rsid w:val="006647E0"/>
    <w:rsid w:val="006716B4"/>
    <w:rsid w:val="00681DF9"/>
    <w:rsid w:val="006935B2"/>
    <w:rsid w:val="00695B38"/>
    <w:rsid w:val="006A5C2D"/>
    <w:rsid w:val="006B0C54"/>
    <w:rsid w:val="006B132B"/>
    <w:rsid w:val="006B22BB"/>
    <w:rsid w:val="006B4590"/>
    <w:rsid w:val="006C340C"/>
    <w:rsid w:val="006C6E15"/>
    <w:rsid w:val="006D0636"/>
    <w:rsid w:val="006D22FB"/>
    <w:rsid w:val="006D459E"/>
    <w:rsid w:val="006D4B2A"/>
    <w:rsid w:val="006D714C"/>
    <w:rsid w:val="006F20B6"/>
    <w:rsid w:val="00702774"/>
    <w:rsid w:val="00702A6F"/>
    <w:rsid w:val="0070347C"/>
    <w:rsid w:val="00707459"/>
    <w:rsid w:val="00713556"/>
    <w:rsid w:val="00714B22"/>
    <w:rsid w:val="007176C1"/>
    <w:rsid w:val="00720ADB"/>
    <w:rsid w:val="00732407"/>
    <w:rsid w:val="00737DD2"/>
    <w:rsid w:val="00744D61"/>
    <w:rsid w:val="007506B3"/>
    <w:rsid w:val="0075428D"/>
    <w:rsid w:val="0077229F"/>
    <w:rsid w:val="00774E33"/>
    <w:rsid w:val="00777E32"/>
    <w:rsid w:val="007932E3"/>
    <w:rsid w:val="00797ADA"/>
    <w:rsid w:val="007B0499"/>
    <w:rsid w:val="007B056C"/>
    <w:rsid w:val="007B2FDD"/>
    <w:rsid w:val="007B3AC0"/>
    <w:rsid w:val="007C6541"/>
    <w:rsid w:val="007D583C"/>
    <w:rsid w:val="007E52E5"/>
    <w:rsid w:val="007F3D60"/>
    <w:rsid w:val="007F3FA0"/>
    <w:rsid w:val="007F55CB"/>
    <w:rsid w:val="008014C2"/>
    <w:rsid w:val="0083586A"/>
    <w:rsid w:val="00840C1B"/>
    <w:rsid w:val="00841DC3"/>
    <w:rsid w:val="00842E4D"/>
    <w:rsid w:val="00844750"/>
    <w:rsid w:val="008464C8"/>
    <w:rsid w:val="00851528"/>
    <w:rsid w:val="008529FD"/>
    <w:rsid w:val="00862629"/>
    <w:rsid w:val="008770FE"/>
    <w:rsid w:val="0089271F"/>
    <w:rsid w:val="00892F8C"/>
    <w:rsid w:val="008956B2"/>
    <w:rsid w:val="008B039B"/>
    <w:rsid w:val="008B44C4"/>
    <w:rsid w:val="008B5DD1"/>
    <w:rsid w:val="008C0AF2"/>
    <w:rsid w:val="008C58CA"/>
    <w:rsid w:val="008D53FE"/>
    <w:rsid w:val="008D6349"/>
    <w:rsid w:val="008E1957"/>
    <w:rsid w:val="008E1A99"/>
    <w:rsid w:val="008E675E"/>
    <w:rsid w:val="008E7FAE"/>
    <w:rsid w:val="008F5B06"/>
    <w:rsid w:val="00901681"/>
    <w:rsid w:val="009110DE"/>
    <w:rsid w:val="00911BF7"/>
    <w:rsid w:val="00912B9E"/>
    <w:rsid w:val="009150B6"/>
    <w:rsid w:val="0093348B"/>
    <w:rsid w:val="0094046D"/>
    <w:rsid w:val="0094451C"/>
    <w:rsid w:val="0094479E"/>
    <w:rsid w:val="009476EF"/>
    <w:rsid w:val="00953995"/>
    <w:rsid w:val="00953BC6"/>
    <w:rsid w:val="00955547"/>
    <w:rsid w:val="00955A79"/>
    <w:rsid w:val="00956F42"/>
    <w:rsid w:val="00961DDA"/>
    <w:rsid w:val="00965AEA"/>
    <w:rsid w:val="00970DFE"/>
    <w:rsid w:val="00977EC8"/>
    <w:rsid w:val="00993B6C"/>
    <w:rsid w:val="009A1476"/>
    <w:rsid w:val="009A25AD"/>
    <w:rsid w:val="009A437F"/>
    <w:rsid w:val="009A47FA"/>
    <w:rsid w:val="009B2E8D"/>
    <w:rsid w:val="009C22E8"/>
    <w:rsid w:val="009C3C0F"/>
    <w:rsid w:val="009D3A8C"/>
    <w:rsid w:val="009E7956"/>
    <w:rsid w:val="00A018E0"/>
    <w:rsid w:val="00A10264"/>
    <w:rsid w:val="00A103C4"/>
    <w:rsid w:val="00A1451D"/>
    <w:rsid w:val="00A2399C"/>
    <w:rsid w:val="00A2492E"/>
    <w:rsid w:val="00A30C0E"/>
    <w:rsid w:val="00A345EF"/>
    <w:rsid w:val="00A3675B"/>
    <w:rsid w:val="00A50390"/>
    <w:rsid w:val="00A5644A"/>
    <w:rsid w:val="00A56EA8"/>
    <w:rsid w:val="00A63017"/>
    <w:rsid w:val="00A66B53"/>
    <w:rsid w:val="00A8565B"/>
    <w:rsid w:val="00A86DAC"/>
    <w:rsid w:val="00A961B6"/>
    <w:rsid w:val="00A97B50"/>
    <w:rsid w:val="00AA17A7"/>
    <w:rsid w:val="00AC1942"/>
    <w:rsid w:val="00AC67A1"/>
    <w:rsid w:val="00AC7977"/>
    <w:rsid w:val="00AD4BC0"/>
    <w:rsid w:val="00AD5047"/>
    <w:rsid w:val="00AE352C"/>
    <w:rsid w:val="00AE5084"/>
    <w:rsid w:val="00AE5166"/>
    <w:rsid w:val="00AF6083"/>
    <w:rsid w:val="00B05CE1"/>
    <w:rsid w:val="00B07430"/>
    <w:rsid w:val="00B11D4C"/>
    <w:rsid w:val="00B162BA"/>
    <w:rsid w:val="00B16483"/>
    <w:rsid w:val="00B30891"/>
    <w:rsid w:val="00B32E2D"/>
    <w:rsid w:val="00B443C4"/>
    <w:rsid w:val="00B61990"/>
    <w:rsid w:val="00B62955"/>
    <w:rsid w:val="00B63A55"/>
    <w:rsid w:val="00B72566"/>
    <w:rsid w:val="00B732C4"/>
    <w:rsid w:val="00B75CC8"/>
    <w:rsid w:val="00B77C99"/>
    <w:rsid w:val="00B93A86"/>
    <w:rsid w:val="00B94328"/>
    <w:rsid w:val="00B96D28"/>
    <w:rsid w:val="00BA31B5"/>
    <w:rsid w:val="00BB5E2D"/>
    <w:rsid w:val="00BC554A"/>
    <w:rsid w:val="00BD703E"/>
    <w:rsid w:val="00BE532C"/>
    <w:rsid w:val="00BF0556"/>
    <w:rsid w:val="00BF0983"/>
    <w:rsid w:val="00C005F9"/>
    <w:rsid w:val="00C03E22"/>
    <w:rsid w:val="00C10448"/>
    <w:rsid w:val="00C12735"/>
    <w:rsid w:val="00C1467F"/>
    <w:rsid w:val="00C1562D"/>
    <w:rsid w:val="00C261F8"/>
    <w:rsid w:val="00C33100"/>
    <w:rsid w:val="00C42566"/>
    <w:rsid w:val="00C42EC5"/>
    <w:rsid w:val="00C43D42"/>
    <w:rsid w:val="00C64C04"/>
    <w:rsid w:val="00C72BB3"/>
    <w:rsid w:val="00C91C7A"/>
    <w:rsid w:val="00CA4D81"/>
    <w:rsid w:val="00CA7CAA"/>
    <w:rsid w:val="00CB3C1E"/>
    <w:rsid w:val="00CB6F1F"/>
    <w:rsid w:val="00CC797F"/>
    <w:rsid w:val="00CD1A71"/>
    <w:rsid w:val="00CD1FBB"/>
    <w:rsid w:val="00CD752B"/>
    <w:rsid w:val="00CF0EEB"/>
    <w:rsid w:val="00CF24DE"/>
    <w:rsid w:val="00D016B5"/>
    <w:rsid w:val="00D034F1"/>
    <w:rsid w:val="00D26FC7"/>
    <w:rsid w:val="00D27D5E"/>
    <w:rsid w:val="00D313F5"/>
    <w:rsid w:val="00D40095"/>
    <w:rsid w:val="00D42C1E"/>
    <w:rsid w:val="00D453F0"/>
    <w:rsid w:val="00D4798B"/>
    <w:rsid w:val="00D53B11"/>
    <w:rsid w:val="00D54C26"/>
    <w:rsid w:val="00D5502C"/>
    <w:rsid w:val="00D6028A"/>
    <w:rsid w:val="00D62C14"/>
    <w:rsid w:val="00D80C7A"/>
    <w:rsid w:val="00D9083F"/>
    <w:rsid w:val="00D9498D"/>
    <w:rsid w:val="00DB12ED"/>
    <w:rsid w:val="00DB4FBC"/>
    <w:rsid w:val="00DB596A"/>
    <w:rsid w:val="00DE6D90"/>
    <w:rsid w:val="00DF002F"/>
    <w:rsid w:val="00DF1796"/>
    <w:rsid w:val="00DF2B52"/>
    <w:rsid w:val="00DF77A2"/>
    <w:rsid w:val="00E01507"/>
    <w:rsid w:val="00E0244D"/>
    <w:rsid w:val="00E06AB0"/>
    <w:rsid w:val="00E12CC8"/>
    <w:rsid w:val="00E20403"/>
    <w:rsid w:val="00E314B5"/>
    <w:rsid w:val="00E47319"/>
    <w:rsid w:val="00E5064B"/>
    <w:rsid w:val="00E5144E"/>
    <w:rsid w:val="00E54072"/>
    <w:rsid w:val="00E563FC"/>
    <w:rsid w:val="00E65150"/>
    <w:rsid w:val="00E66ABC"/>
    <w:rsid w:val="00E728BE"/>
    <w:rsid w:val="00E767D0"/>
    <w:rsid w:val="00E7766E"/>
    <w:rsid w:val="00E81E94"/>
    <w:rsid w:val="00E82607"/>
    <w:rsid w:val="00E84B99"/>
    <w:rsid w:val="00E84E69"/>
    <w:rsid w:val="00E92622"/>
    <w:rsid w:val="00EC0A37"/>
    <w:rsid w:val="00EC72B3"/>
    <w:rsid w:val="00EE1A0D"/>
    <w:rsid w:val="00EE55BC"/>
    <w:rsid w:val="00F02DEC"/>
    <w:rsid w:val="00F1167D"/>
    <w:rsid w:val="00F2390E"/>
    <w:rsid w:val="00F24106"/>
    <w:rsid w:val="00F3159B"/>
    <w:rsid w:val="00F3564C"/>
    <w:rsid w:val="00F515A1"/>
    <w:rsid w:val="00F51E3D"/>
    <w:rsid w:val="00F54053"/>
    <w:rsid w:val="00F54B52"/>
    <w:rsid w:val="00F82940"/>
    <w:rsid w:val="00F83CD6"/>
    <w:rsid w:val="00F8408E"/>
    <w:rsid w:val="00F85115"/>
    <w:rsid w:val="00F92A7F"/>
    <w:rsid w:val="00F95A12"/>
    <w:rsid w:val="00FA52DA"/>
    <w:rsid w:val="00FA5A79"/>
    <w:rsid w:val="00FB0BFE"/>
    <w:rsid w:val="00FB4C51"/>
    <w:rsid w:val="00FC0E74"/>
    <w:rsid w:val="00FC1ADB"/>
    <w:rsid w:val="00FD4C04"/>
    <w:rsid w:val="00FD6DCD"/>
    <w:rsid w:val="00FE2E4F"/>
    <w:rsid w:val="00FE30E9"/>
    <w:rsid w:val="00FE5B51"/>
    <w:rsid w:val="00FE73E8"/>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
    <w:basedOn w:val="SingleTxtG"/>
    <w:next w:val="SingleTxtG"/>
    <w:qFormat/>
    <w:rsid w:val="00B77C99"/>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Appelnotedebasdep">
    <w:name w:val="footnote reference"/>
    <w:aliases w:val="4_G"/>
    <w:qFormat/>
    <w:rsid w:val="00CA7CAA"/>
    <w:rPr>
      <w:rFonts w:ascii="Times New Roman" w:hAnsi="Times New Roman"/>
      <w:sz w:val="18"/>
      <w:vertAlign w:val="superscript"/>
      <w:lang w:val="fr-CH"/>
    </w:rPr>
  </w:style>
  <w:style w:type="character" w:styleId="Appeldenotedefin">
    <w:name w:val="endnote reference"/>
    <w:aliases w:val="1_G"/>
    <w:basedOn w:val="Appelnotedebasdep"/>
    <w:rsid w:val="00CA7CAA"/>
    <w:rPr>
      <w:rFonts w:ascii="Times New Roman" w:hAnsi="Times New Roman"/>
      <w:sz w:val="18"/>
      <w:vertAlign w:val="superscript"/>
      <w:lang w:val="fr-CH"/>
    </w:rPr>
  </w:style>
  <w:style w:type="paragraph" w:styleId="En-tte">
    <w:name w:val="header"/>
    <w:aliases w:val="6_G"/>
    <w:basedOn w:val="Normal"/>
    <w:next w:val="Normal"/>
    <w:rsid w:val="00CA7CAA"/>
    <w:pPr>
      <w:pBdr>
        <w:bottom w:val="single" w:sz="4" w:space="4" w:color="auto"/>
      </w:pBdr>
      <w:spacing w:line="240" w:lineRule="auto"/>
    </w:pPr>
    <w:rPr>
      <w:b/>
      <w:sz w:val="18"/>
    </w:rPr>
  </w:style>
  <w:style w:type="paragraph" w:styleId="Notedebasdepage">
    <w:name w:val="footnote text"/>
    <w:aliases w:val="5_G"/>
    <w:basedOn w:val="Normal"/>
    <w:rsid w:val="00C1562D"/>
    <w:pPr>
      <w:tabs>
        <w:tab w:val="right" w:pos="1021"/>
      </w:tabs>
      <w:spacing w:line="220" w:lineRule="exact"/>
      <w:ind w:left="1134" w:right="1134" w:hanging="1134"/>
    </w:pPr>
    <w:rPr>
      <w:sz w:val="18"/>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Lienhypertexte">
    <w:name w:val="Hyperlink"/>
    <w:semiHidden/>
    <w:rsid w:val="006B132B"/>
    <w:rPr>
      <w:color w:val="auto"/>
      <w:u w:val="none"/>
    </w:rPr>
  </w:style>
  <w:style w:type="character" w:styleId="Lienhypertextesuivivisit">
    <w:name w:val="FollowedHyperlink"/>
    <w:semiHidden/>
    <w:rsid w:val="006B132B"/>
    <w:rPr>
      <w:color w:val="auto"/>
      <w:u w:val="none"/>
    </w:rPr>
  </w:style>
  <w:style w:type="table" w:styleId="Grilledutableau">
    <w:name w:val="Table Grid"/>
    <w:basedOn w:val="Tableau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rsid w:val="008B039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B039B"/>
    <w:rPr>
      <w:rFonts w:ascii="Tahoma" w:hAnsi="Tahoma" w:cs="Tahoma"/>
      <w:sz w:val="16"/>
      <w:szCs w:val="16"/>
      <w:lang w:val="fr-CH" w:eastAsia="en-US"/>
    </w:rPr>
  </w:style>
  <w:style w:type="paragraph" w:customStyle="1" w:styleId="Default">
    <w:name w:val="Default"/>
    <w:rsid w:val="00953995"/>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
    <w:basedOn w:val="SingleTxtG"/>
    <w:next w:val="SingleTxtG"/>
    <w:qFormat/>
    <w:rsid w:val="00B77C99"/>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Appelnotedebasdep">
    <w:name w:val="footnote reference"/>
    <w:aliases w:val="4_G"/>
    <w:qFormat/>
    <w:rsid w:val="00CA7CAA"/>
    <w:rPr>
      <w:rFonts w:ascii="Times New Roman" w:hAnsi="Times New Roman"/>
      <w:sz w:val="18"/>
      <w:vertAlign w:val="superscript"/>
      <w:lang w:val="fr-CH"/>
    </w:rPr>
  </w:style>
  <w:style w:type="character" w:styleId="Appeldenotedefin">
    <w:name w:val="endnote reference"/>
    <w:aliases w:val="1_G"/>
    <w:basedOn w:val="Appelnotedebasdep"/>
    <w:rsid w:val="00CA7CAA"/>
    <w:rPr>
      <w:rFonts w:ascii="Times New Roman" w:hAnsi="Times New Roman"/>
      <w:sz w:val="18"/>
      <w:vertAlign w:val="superscript"/>
      <w:lang w:val="fr-CH"/>
    </w:rPr>
  </w:style>
  <w:style w:type="paragraph" w:styleId="En-tte">
    <w:name w:val="header"/>
    <w:aliases w:val="6_G"/>
    <w:basedOn w:val="Normal"/>
    <w:next w:val="Normal"/>
    <w:rsid w:val="00CA7CAA"/>
    <w:pPr>
      <w:pBdr>
        <w:bottom w:val="single" w:sz="4" w:space="4" w:color="auto"/>
      </w:pBdr>
      <w:spacing w:line="240" w:lineRule="auto"/>
    </w:pPr>
    <w:rPr>
      <w:b/>
      <w:sz w:val="18"/>
    </w:rPr>
  </w:style>
  <w:style w:type="paragraph" w:styleId="Notedebasdepage">
    <w:name w:val="footnote text"/>
    <w:aliases w:val="5_G"/>
    <w:basedOn w:val="Normal"/>
    <w:rsid w:val="00C1562D"/>
    <w:pPr>
      <w:tabs>
        <w:tab w:val="right" w:pos="1021"/>
      </w:tabs>
      <w:spacing w:line="220" w:lineRule="exact"/>
      <w:ind w:left="1134" w:right="1134" w:hanging="1134"/>
    </w:pPr>
    <w:rPr>
      <w:sz w:val="18"/>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Lienhypertexte">
    <w:name w:val="Hyperlink"/>
    <w:semiHidden/>
    <w:rsid w:val="006B132B"/>
    <w:rPr>
      <w:color w:val="auto"/>
      <w:u w:val="none"/>
    </w:rPr>
  </w:style>
  <w:style w:type="character" w:styleId="Lienhypertextesuivivisit">
    <w:name w:val="FollowedHyperlink"/>
    <w:semiHidden/>
    <w:rsid w:val="006B132B"/>
    <w:rPr>
      <w:color w:val="auto"/>
      <w:u w:val="none"/>
    </w:rPr>
  </w:style>
  <w:style w:type="table" w:styleId="Grilledutableau">
    <w:name w:val="Table Grid"/>
    <w:basedOn w:val="Tableau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rsid w:val="008B039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B039B"/>
    <w:rPr>
      <w:rFonts w:ascii="Tahoma" w:hAnsi="Tahoma" w:cs="Tahoma"/>
      <w:sz w:val="16"/>
      <w:szCs w:val="16"/>
      <w:lang w:val="fr-CH" w:eastAsia="en-US"/>
    </w:rPr>
  </w:style>
  <w:style w:type="paragraph" w:customStyle="1" w:styleId="Default">
    <w:name w:val="Default"/>
    <w:rsid w:val="0095399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917C-8236-40C8-BA8D-F64049B1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CAT_F.dotm</Template>
  <TotalTime>0</TotalTime>
  <Pages>7</Pages>
  <Words>3167</Words>
  <Characters>19101</Characters>
  <Application>Microsoft Office Word</Application>
  <DocSecurity>0</DocSecurity>
  <Lines>734</Lines>
  <Paragraphs>585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CAT/C/LUX/QPR/8</vt:lpstr>
      <vt:lpstr>CAT/C/LUX/QPR/R.8</vt:lpstr>
    </vt:vector>
  </TitlesOfParts>
  <Company>CSD</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CAT/C/LUX/QPR/8</dc:title>
  <dc:subject>qrcode</dc:subject>
  <dc:creator>dvx</dc:creator>
  <cp:keywords/>
  <dc:description/>
  <cp:lastModifiedBy>Devouass</cp:lastModifiedBy>
  <cp:revision>2</cp:revision>
  <cp:lastPrinted>2017-05-31T10:29:00Z</cp:lastPrinted>
  <dcterms:created xsi:type="dcterms:W3CDTF">2017-06-06T06:30:00Z</dcterms:created>
  <dcterms:modified xsi:type="dcterms:W3CDTF">2017-06-06T06:30:00Z</dcterms:modified>
</cp:coreProperties>
</file>